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76981" w14:textId="77777777" w:rsidR="00D83818" w:rsidRDefault="00D83818" w:rsidP="00F809BD">
      <w:pPr>
        <w:jc w:val="center"/>
        <w:rPr>
          <w:sz w:val="36"/>
          <w:szCs w:val="36"/>
        </w:rPr>
      </w:pPr>
    </w:p>
    <w:p w14:paraId="64C6C670" w14:textId="77BC31DE" w:rsidR="00D83818" w:rsidRDefault="00D83818" w:rsidP="00D83818">
      <w:pPr>
        <w:jc w:val="right"/>
        <w:rPr>
          <w:sz w:val="36"/>
          <w:szCs w:val="36"/>
        </w:rPr>
      </w:pPr>
      <w:r>
        <w:rPr>
          <w:noProof/>
          <w:sz w:val="36"/>
          <w:szCs w:val="36"/>
        </w:rPr>
        <w:drawing>
          <wp:inline distT="0" distB="0" distL="0" distR="0" wp14:anchorId="03788BFC" wp14:editId="2DE9E9D7">
            <wp:extent cx="847725" cy="1030605"/>
            <wp:effectExtent l="0" t="0" r="9525" b="0"/>
            <wp:docPr id="1" name="Picture 1" descr="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1030605"/>
                    </a:xfrm>
                    <a:prstGeom prst="rect">
                      <a:avLst/>
                    </a:prstGeom>
                    <a:noFill/>
                  </pic:spPr>
                </pic:pic>
              </a:graphicData>
            </a:graphic>
          </wp:inline>
        </w:drawing>
      </w:r>
      <w:r>
        <w:rPr>
          <w:noProof/>
          <w:sz w:val="36"/>
          <w:szCs w:val="36"/>
        </w:rPr>
        <w:tab/>
      </w:r>
      <w:r>
        <w:rPr>
          <w:noProof/>
          <w:sz w:val="36"/>
          <w:szCs w:val="36"/>
        </w:rPr>
        <w:tab/>
      </w:r>
      <w:r>
        <w:rPr>
          <w:noProof/>
          <w:sz w:val="36"/>
          <w:szCs w:val="36"/>
        </w:rPr>
        <w:tab/>
      </w:r>
      <w:r>
        <w:rPr>
          <w:noProof/>
          <w:sz w:val="36"/>
          <w:szCs w:val="36"/>
        </w:rPr>
        <w:tab/>
      </w:r>
      <w:r>
        <w:rPr>
          <w:noProof/>
          <w:sz w:val="36"/>
          <w:szCs w:val="36"/>
        </w:rPr>
        <w:tab/>
      </w:r>
      <w:r>
        <w:rPr>
          <w:noProof/>
          <w:sz w:val="36"/>
          <w:szCs w:val="36"/>
        </w:rPr>
        <w:tab/>
      </w:r>
      <w:r>
        <w:rPr>
          <w:noProof/>
          <w:sz w:val="36"/>
          <w:szCs w:val="36"/>
        </w:rPr>
        <w:tab/>
      </w:r>
      <w:r>
        <w:rPr>
          <w:noProof/>
          <w:sz w:val="36"/>
          <w:szCs w:val="36"/>
        </w:rPr>
        <w:tab/>
      </w:r>
      <w:r>
        <w:rPr>
          <w:noProof/>
          <w:sz w:val="36"/>
          <w:szCs w:val="36"/>
        </w:rPr>
        <w:drawing>
          <wp:inline distT="0" distB="0" distL="0" distR="0" wp14:anchorId="76AA8325" wp14:editId="5461C5BF">
            <wp:extent cx="1524000" cy="871855"/>
            <wp:effectExtent l="0" t="0" r="0" b="4445"/>
            <wp:docPr id="4" name="Picture 4" descr="MassHealth 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ssHealth Lo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871855"/>
                    </a:xfrm>
                    <a:prstGeom prst="rect">
                      <a:avLst/>
                    </a:prstGeom>
                    <a:noFill/>
                  </pic:spPr>
                </pic:pic>
              </a:graphicData>
            </a:graphic>
          </wp:inline>
        </w:drawing>
      </w:r>
    </w:p>
    <w:p w14:paraId="105CC9B1" w14:textId="77777777" w:rsidR="00D83818" w:rsidRDefault="00D83818" w:rsidP="00F809BD">
      <w:pPr>
        <w:jc w:val="center"/>
        <w:rPr>
          <w:sz w:val="36"/>
          <w:szCs w:val="36"/>
        </w:rPr>
      </w:pPr>
    </w:p>
    <w:p w14:paraId="5FF3EE26" w14:textId="14B25297" w:rsidR="00F809BD" w:rsidRPr="00AD6B7A" w:rsidRDefault="00F809BD" w:rsidP="000434B7">
      <w:pPr>
        <w:pStyle w:val="Heading1"/>
        <w:numPr>
          <w:ilvl w:val="0"/>
          <w:numId w:val="0"/>
        </w:numPr>
        <w:ind w:left="-990"/>
        <w:jc w:val="center"/>
      </w:pPr>
      <w:bookmarkStart w:id="0" w:name="_Toc190440050"/>
      <w:r w:rsidRPr="00AD6B7A">
        <w:t>MassHealth</w:t>
      </w:r>
      <w:r w:rsidR="00127AE0">
        <w:br/>
      </w:r>
      <w:r w:rsidR="00127AE0">
        <w:br/>
      </w:r>
      <w:r w:rsidRPr="00AD6B7A">
        <w:t>Comprehensive Quality Strategy</w:t>
      </w:r>
      <w:r w:rsidR="00127AE0">
        <w:br/>
      </w:r>
      <w:r w:rsidR="00127AE0">
        <w:br/>
      </w:r>
      <w:r w:rsidRPr="00AD6B7A">
        <w:t>Effectiveness Evaluation</w:t>
      </w:r>
      <w:bookmarkEnd w:id="0"/>
    </w:p>
    <w:p w14:paraId="2C0407CA" w14:textId="77777777" w:rsidR="00F809BD" w:rsidRDefault="00F809BD" w:rsidP="000434B7">
      <w:pPr>
        <w:jc w:val="center"/>
      </w:pPr>
    </w:p>
    <w:p w14:paraId="31AB9E02" w14:textId="77777777" w:rsidR="00F809BD" w:rsidRDefault="00F809BD" w:rsidP="00F809BD"/>
    <w:p w14:paraId="1FD99376" w14:textId="77777777" w:rsidR="00F809BD" w:rsidRPr="009870A2" w:rsidRDefault="00F809BD" w:rsidP="000434B7">
      <w:pPr>
        <w:jc w:val="center"/>
        <w:rPr>
          <w:color w:val="1F497D"/>
          <w:sz w:val="36"/>
          <w:szCs w:val="36"/>
        </w:rPr>
      </w:pPr>
      <w:r w:rsidRPr="009870A2">
        <w:rPr>
          <w:color w:val="1F497D"/>
          <w:sz w:val="36"/>
          <w:szCs w:val="36"/>
        </w:rPr>
        <w:t>Commonwealth of Massachusetts</w:t>
      </w:r>
    </w:p>
    <w:p w14:paraId="78FADC72" w14:textId="77777777" w:rsidR="00F809BD" w:rsidRPr="009870A2" w:rsidRDefault="00F809BD" w:rsidP="000434B7">
      <w:pPr>
        <w:jc w:val="center"/>
        <w:rPr>
          <w:color w:val="1F497D"/>
          <w:sz w:val="36"/>
          <w:szCs w:val="36"/>
        </w:rPr>
      </w:pPr>
      <w:r w:rsidRPr="009870A2">
        <w:rPr>
          <w:color w:val="1F497D"/>
          <w:sz w:val="36"/>
          <w:szCs w:val="36"/>
        </w:rPr>
        <w:t>Executive Office of Health and Human Services</w:t>
      </w:r>
    </w:p>
    <w:p w14:paraId="4AE805AA" w14:textId="77777777" w:rsidR="00F809BD" w:rsidRDefault="00F809BD" w:rsidP="000434B7">
      <w:pPr>
        <w:spacing w:after="360"/>
        <w:jc w:val="center"/>
        <w:rPr>
          <w:color w:val="1F497D"/>
          <w:sz w:val="36"/>
          <w:szCs w:val="36"/>
        </w:rPr>
      </w:pPr>
      <w:r w:rsidRPr="009870A2">
        <w:rPr>
          <w:color w:val="1F497D"/>
          <w:sz w:val="36"/>
          <w:szCs w:val="36"/>
        </w:rPr>
        <w:t>Office of Medicaid</w:t>
      </w:r>
    </w:p>
    <w:p w14:paraId="422E1529" w14:textId="45FB85D1" w:rsidR="00AC2D09" w:rsidRDefault="00335E31" w:rsidP="000434B7">
      <w:pPr>
        <w:jc w:val="center"/>
        <w:rPr>
          <w:color w:val="1F497D"/>
          <w:sz w:val="36"/>
          <w:szCs w:val="36"/>
        </w:rPr>
      </w:pPr>
      <w:r>
        <w:rPr>
          <w:color w:val="1F497D"/>
          <w:sz w:val="36"/>
          <w:szCs w:val="36"/>
        </w:rPr>
        <w:t>February</w:t>
      </w:r>
      <w:r w:rsidR="0049725B" w:rsidRPr="33B8EE5E">
        <w:rPr>
          <w:color w:val="1F497D"/>
          <w:sz w:val="36"/>
          <w:szCs w:val="36"/>
        </w:rPr>
        <w:t xml:space="preserve"> </w:t>
      </w:r>
      <w:r w:rsidR="00F809BD" w:rsidRPr="33B8EE5E">
        <w:rPr>
          <w:color w:val="1F497D"/>
          <w:sz w:val="36"/>
          <w:szCs w:val="36"/>
        </w:rPr>
        <w:t>202</w:t>
      </w:r>
      <w:r w:rsidR="004C5883">
        <w:rPr>
          <w:color w:val="1F497D"/>
          <w:sz w:val="36"/>
          <w:szCs w:val="36"/>
        </w:rPr>
        <w:t>5</w:t>
      </w:r>
    </w:p>
    <w:p w14:paraId="716E1771" w14:textId="77777777" w:rsidR="00AC2D09" w:rsidRDefault="00AC2D09" w:rsidP="000434B7">
      <w:pPr>
        <w:jc w:val="center"/>
        <w:rPr>
          <w:color w:val="1F497D"/>
          <w:sz w:val="36"/>
          <w:szCs w:val="36"/>
        </w:rPr>
      </w:pPr>
      <w:r>
        <w:rPr>
          <w:color w:val="1F497D"/>
          <w:sz w:val="36"/>
          <w:szCs w:val="36"/>
        </w:rPr>
        <w:br w:type="page"/>
      </w:r>
    </w:p>
    <w:sdt>
      <w:sdtPr>
        <w:rPr>
          <w:rFonts w:eastAsia="Calibri"/>
          <w:b w:val="0"/>
          <w:bCs w:val="0"/>
          <w:color w:val="auto"/>
          <w:sz w:val="22"/>
          <w:szCs w:val="22"/>
          <w:lang w:eastAsia="en-US"/>
        </w:rPr>
        <w:id w:val="1947958413"/>
        <w:docPartObj>
          <w:docPartGallery w:val="Table of Contents"/>
          <w:docPartUnique/>
        </w:docPartObj>
      </w:sdtPr>
      <w:sdtEndPr>
        <w:rPr>
          <w:noProof/>
        </w:rPr>
      </w:sdtEndPr>
      <w:sdtContent>
        <w:p w14:paraId="3D68EAB4" w14:textId="408499D1" w:rsidR="00AC2D09" w:rsidRDefault="00AC2D09" w:rsidP="00AC2D09">
          <w:pPr>
            <w:pStyle w:val="TOCHeading"/>
            <w:numPr>
              <w:ilvl w:val="0"/>
              <w:numId w:val="0"/>
            </w:numPr>
            <w:ind w:left="3690"/>
          </w:pPr>
          <w:r>
            <w:t>Table of Contents</w:t>
          </w:r>
        </w:p>
        <w:p w14:paraId="5748494B" w14:textId="5A78F6B2" w:rsidR="00DD27DB" w:rsidRDefault="00AC2D09">
          <w:pPr>
            <w:pStyle w:val="TOC1"/>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90440050" w:history="1">
            <w:r w:rsidR="00DD27DB" w:rsidRPr="00765285">
              <w:rPr>
                <w:rStyle w:val="Hyperlink"/>
                <w:noProof/>
              </w:rPr>
              <w:t>MassHealth  Comprehensive Quality Strategy  Effectiveness Evaluation</w:t>
            </w:r>
            <w:r w:rsidR="00DD27DB">
              <w:rPr>
                <w:noProof/>
                <w:webHidden/>
              </w:rPr>
              <w:tab/>
            </w:r>
            <w:r w:rsidR="00DD27DB">
              <w:rPr>
                <w:noProof/>
                <w:webHidden/>
              </w:rPr>
              <w:fldChar w:fldCharType="begin"/>
            </w:r>
            <w:r w:rsidR="00DD27DB">
              <w:rPr>
                <w:noProof/>
                <w:webHidden/>
              </w:rPr>
              <w:instrText xml:space="preserve"> PAGEREF _Toc190440050 \h </w:instrText>
            </w:r>
            <w:r w:rsidR="00DD27DB">
              <w:rPr>
                <w:noProof/>
                <w:webHidden/>
              </w:rPr>
            </w:r>
            <w:r w:rsidR="00DD27DB">
              <w:rPr>
                <w:noProof/>
                <w:webHidden/>
              </w:rPr>
              <w:fldChar w:fldCharType="separate"/>
            </w:r>
            <w:r w:rsidR="00DD27DB">
              <w:rPr>
                <w:noProof/>
                <w:webHidden/>
              </w:rPr>
              <w:t>0</w:t>
            </w:r>
            <w:r w:rsidR="00DD27DB">
              <w:rPr>
                <w:noProof/>
                <w:webHidden/>
              </w:rPr>
              <w:fldChar w:fldCharType="end"/>
            </w:r>
          </w:hyperlink>
        </w:p>
        <w:p w14:paraId="0B30A501" w14:textId="64C0B452" w:rsidR="00DD27DB" w:rsidRDefault="00DD27DB">
          <w:pPr>
            <w:pStyle w:val="TOC2"/>
            <w:rPr>
              <w:rFonts w:asciiTheme="minorHAnsi" w:eastAsiaTheme="minorEastAsia" w:hAnsiTheme="minorHAnsi" w:cstheme="minorBidi"/>
              <w:noProof/>
              <w:kern w:val="2"/>
              <w:sz w:val="24"/>
              <w:szCs w:val="24"/>
              <w14:ligatures w14:val="standardContextual"/>
            </w:rPr>
          </w:pPr>
          <w:hyperlink w:anchor="_Toc190440051" w:history="1">
            <w:r w:rsidRPr="00765285">
              <w:rPr>
                <w:rStyle w:val="Hyperlink"/>
                <w:noProof/>
              </w:rPr>
              <w:t>Introduction</w:t>
            </w:r>
            <w:r>
              <w:rPr>
                <w:noProof/>
                <w:webHidden/>
              </w:rPr>
              <w:tab/>
            </w:r>
            <w:r>
              <w:rPr>
                <w:noProof/>
                <w:webHidden/>
              </w:rPr>
              <w:fldChar w:fldCharType="begin"/>
            </w:r>
            <w:r>
              <w:rPr>
                <w:noProof/>
                <w:webHidden/>
              </w:rPr>
              <w:instrText xml:space="preserve"> PAGEREF _Toc190440051 \h </w:instrText>
            </w:r>
            <w:r>
              <w:rPr>
                <w:noProof/>
                <w:webHidden/>
              </w:rPr>
            </w:r>
            <w:r>
              <w:rPr>
                <w:noProof/>
                <w:webHidden/>
              </w:rPr>
              <w:fldChar w:fldCharType="separate"/>
            </w:r>
            <w:r>
              <w:rPr>
                <w:noProof/>
                <w:webHidden/>
              </w:rPr>
              <w:t>2</w:t>
            </w:r>
            <w:r>
              <w:rPr>
                <w:noProof/>
                <w:webHidden/>
              </w:rPr>
              <w:fldChar w:fldCharType="end"/>
            </w:r>
          </w:hyperlink>
        </w:p>
        <w:p w14:paraId="6436DA46" w14:textId="43A13779" w:rsidR="00DD27DB" w:rsidRDefault="00DD27DB">
          <w:pPr>
            <w:pStyle w:val="TOC2"/>
            <w:rPr>
              <w:rFonts w:asciiTheme="minorHAnsi" w:eastAsiaTheme="minorEastAsia" w:hAnsiTheme="minorHAnsi" w:cstheme="minorBidi"/>
              <w:noProof/>
              <w:kern w:val="2"/>
              <w:sz w:val="24"/>
              <w:szCs w:val="24"/>
              <w14:ligatures w14:val="standardContextual"/>
            </w:rPr>
          </w:pPr>
          <w:hyperlink w:anchor="_Toc190440052" w:history="1">
            <w:r w:rsidRPr="00765285">
              <w:rPr>
                <w:rStyle w:val="Hyperlink"/>
                <w:noProof/>
              </w:rPr>
              <w:t>MassHealth Managed Care Programs</w:t>
            </w:r>
            <w:r>
              <w:rPr>
                <w:noProof/>
                <w:webHidden/>
              </w:rPr>
              <w:tab/>
            </w:r>
            <w:r>
              <w:rPr>
                <w:noProof/>
                <w:webHidden/>
              </w:rPr>
              <w:fldChar w:fldCharType="begin"/>
            </w:r>
            <w:r>
              <w:rPr>
                <w:noProof/>
                <w:webHidden/>
              </w:rPr>
              <w:instrText xml:space="preserve"> PAGEREF _Toc190440052 \h </w:instrText>
            </w:r>
            <w:r>
              <w:rPr>
                <w:noProof/>
                <w:webHidden/>
              </w:rPr>
            </w:r>
            <w:r>
              <w:rPr>
                <w:noProof/>
                <w:webHidden/>
              </w:rPr>
              <w:fldChar w:fldCharType="separate"/>
            </w:r>
            <w:r>
              <w:rPr>
                <w:noProof/>
                <w:webHidden/>
              </w:rPr>
              <w:t>2</w:t>
            </w:r>
            <w:r>
              <w:rPr>
                <w:noProof/>
                <w:webHidden/>
              </w:rPr>
              <w:fldChar w:fldCharType="end"/>
            </w:r>
          </w:hyperlink>
        </w:p>
        <w:p w14:paraId="27609123" w14:textId="6EAB42DA" w:rsidR="00DD27DB" w:rsidRDefault="00DD27DB">
          <w:pPr>
            <w:pStyle w:val="TOC2"/>
            <w:rPr>
              <w:rFonts w:asciiTheme="minorHAnsi" w:eastAsiaTheme="minorEastAsia" w:hAnsiTheme="minorHAnsi" w:cstheme="minorBidi"/>
              <w:noProof/>
              <w:kern w:val="2"/>
              <w:sz w:val="24"/>
              <w:szCs w:val="24"/>
              <w14:ligatures w14:val="standardContextual"/>
            </w:rPr>
          </w:pPr>
          <w:hyperlink w:anchor="_Toc190440053" w:history="1">
            <w:r w:rsidRPr="00765285">
              <w:rPr>
                <w:rStyle w:val="Hyperlink"/>
                <w:noProof/>
              </w:rPr>
              <w:t>Evaluation Methodology</w:t>
            </w:r>
            <w:r>
              <w:rPr>
                <w:noProof/>
                <w:webHidden/>
              </w:rPr>
              <w:tab/>
            </w:r>
            <w:r>
              <w:rPr>
                <w:noProof/>
                <w:webHidden/>
              </w:rPr>
              <w:fldChar w:fldCharType="begin"/>
            </w:r>
            <w:r>
              <w:rPr>
                <w:noProof/>
                <w:webHidden/>
              </w:rPr>
              <w:instrText xml:space="preserve"> PAGEREF _Toc190440053 \h </w:instrText>
            </w:r>
            <w:r>
              <w:rPr>
                <w:noProof/>
                <w:webHidden/>
              </w:rPr>
            </w:r>
            <w:r>
              <w:rPr>
                <w:noProof/>
                <w:webHidden/>
              </w:rPr>
              <w:fldChar w:fldCharType="separate"/>
            </w:r>
            <w:r>
              <w:rPr>
                <w:noProof/>
                <w:webHidden/>
              </w:rPr>
              <w:t>4</w:t>
            </w:r>
            <w:r>
              <w:rPr>
                <w:noProof/>
                <w:webHidden/>
              </w:rPr>
              <w:fldChar w:fldCharType="end"/>
            </w:r>
          </w:hyperlink>
        </w:p>
        <w:p w14:paraId="3EACC029" w14:textId="49E705F8" w:rsidR="00DD27DB" w:rsidRDefault="00DD27DB">
          <w:pPr>
            <w:pStyle w:val="TOC2"/>
            <w:rPr>
              <w:rFonts w:asciiTheme="minorHAnsi" w:eastAsiaTheme="minorEastAsia" w:hAnsiTheme="minorHAnsi" w:cstheme="minorBidi"/>
              <w:noProof/>
              <w:kern w:val="2"/>
              <w:sz w:val="24"/>
              <w:szCs w:val="24"/>
              <w14:ligatures w14:val="standardContextual"/>
            </w:rPr>
          </w:pPr>
          <w:hyperlink w:anchor="_Toc190440054" w:history="1">
            <w:r w:rsidRPr="00765285">
              <w:rPr>
                <w:rStyle w:val="Hyperlink"/>
                <w:noProof/>
              </w:rPr>
              <w:t>MassHealth CQS Quality Goals, Measures and Performance</w:t>
            </w:r>
            <w:r>
              <w:rPr>
                <w:noProof/>
                <w:webHidden/>
              </w:rPr>
              <w:tab/>
            </w:r>
            <w:r>
              <w:rPr>
                <w:noProof/>
                <w:webHidden/>
              </w:rPr>
              <w:fldChar w:fldCharType="begin"/>
            </w:r>
            <w:r>
              <w:rPr>
                <w:noProof/>
                <w:webHidden/>
              </w:rPr>
              <w:instrText xml:space="preserve"> PAGEREF _Toc190440054 \h </w:instrText>
            </w:r>
            <w:r>
              <w:rPr>
                <w:noProof/>
                <w:webHidden/>
              </w:rPr>
            </w:r>
            <w:r>
              <w:rPr>
                <w:noProof/>
                <w:webHidden/>
              </w:rPr>
              <w:fldChar w:fldCharType="separate"/>
            </w:r>
            <w:r>
              <w:rPr>
                <w:noProof/>
                <w:webHidden/>
              </w:rPr>
              <w:t>5</w:t>
            </w:r>
            <w:r>
              <w:rPr>
                <w:noProof/>
                <w:webHidden/>
              </w:rPr>
              <w:fldChar w:fldCharType="end"/>
            </w:r>
          </w:hyperlink>
        </w:p>
        <w:p w14:paraId="0454B393" w14:textId="7316288E" w:rsidR="00DD27DB" w:rsidRDefault="00DD27DB">
          <w:pPr>
            <w:pStyle w:val="TOC3"/>
            <w:rPr>
              <w:rFonts w:asciiTheme="minorHAnsi" w:eastAsiaTheme="minorEastAsia" w:hAnsiTheme="minorHAnsi" w:cstheme="minorBidi"/>
              <w:noProof/>
              <w:kern w:val="2"/>
              <w:sz w:val="24"/>
              <w:szCs w:val="24"/>
              <w14:ligatures w14:val="standardContextual"/>
            </w:rPr>
          </w:pPr>
          <w:hyperlink w:anchor="_Toc190440055" w:history="1">
            <w:r w:rsidRPr="00765285">
              <w:rPr>
                <w:rStyle w:val="Hyperlink"/>
                <w:noProof/>
              </w:rPr>
              <w:t>Quality Goal 1: Promote better care: Promote safe and high-quality care for MassHealth members</w:t>
            </w:r>
            <w:r>
              <w:rPr>
                <w:noProof/>
                <w:webHidden/>
              </w:rPr>
              <w:tab/>
            </w:r>
            <w:r>
              <w:rPr>
                <w:noProof/>
                <w:webHidden/>
              </w:rPr>
              <w:fldChar w:fldCharType="begin"/>
            </w:r>
            <w:r>
              <w:rPr>
                <w:noProof/>
                <w:webHidden/>
              </w:rPr>
              <w:instrText xml:space="preserve"> PAGEREF _Toc190440055 \h </w:instrText>
            </w:r>
            <w:r>
              <w:rPr>
                <w:noProof/>
                <w:webHidden/>
              </w:rPr>
            </w:r>
            <w:r>
              <w:rPr>
                <w:noProof/>
                <w:webHidden/>
              </w:rPr>
              <w:fldChar w:fldCharType="separate"/>
            </w:r>
            <w:r>
              <w:rPr>
                <w:noProof/>
                <w:webHidden/>
              </w:rPr>
              <w:t>7</w:t>
            </w:r>
            <w:r>
              <w:rPr>
                <w:noProof/>
                <w:webHidden/>
              </w:rPr>
              <w:fldChar w:fldCharType="end"/>
            </w:r>
          </w:hyperlink>
        </w:p>
        <w:p w14:paraId="4079B73D" w14:textId="23445450" w:rsidR="00DD27DB" w:rsidRDefault="00DD27DB">
          <w:pPr>
            <w:pStyle w:val="TOC3"/>
            <w:rPr>
              <w:rFonts w:asciiTheme="minorHAnsi" w:eastAsiaTheme="minorEastAsia" w:hAnsiTheme="minorHAnsi" w:cstheme="minorBidi"/>
              <w:noProof/>
              <w:kern w:val="2"/>
              <w:sz w:val="24"/>
              <w:szCs w:val="24"/>
              <w14:ligatures w14:val="standardContextual"/>
            </w:rPr>
          </w:pPr>
          <w:hyperlink w:anchor="_Toc190440056" w:history="1">
            <w:r w:rsidRPr="00765285">
              <w:rPr>
                <w:rStyle w:val="Hyperlink"/>
                <w:noProof/>
              </w:rPr>
              <w:t>Quality Goal 2: Promote equitable care:  Achieve measurable reductions in health and health care quality inequities related to race, ethnicity, language, disability, sexual orientation, gender identity, and other social risk factors that MassHealth members experience</w:t>
            </w:r>
            <w:r>
              <w:rPr>
                <w:noProof/>
                <w:webHidden/>
              </w:rPr>
              <w:tab/>
            </w:r>
            <w:r>
              <w:rPr>
                <w:noProof/>
                <w:webHidden/>
              </w:rPr>
              <w:fldChar w:fldCharType="begin"/>
            </w:r>
            <w:r>
              <w:rPr>
                <w:noProof/>
                <w:webHidden/>
              </w:rPr>
              <w:instrText xml:space="preserve"> PAGEREF _Toc190440056 \h </w:instrText>
            </w:r>
            <w:r>
              <w:rPr>
                <w:noProof/>
                <w:webHidden/>
              </w:rPr>
            </w:r>
            <w:r>
              <w:rPr>
                <w:noProof/>
                <w:webHidden/>
              </w:rPr>
              <w:fldChar w:fldCharType="separate"/>
            </w:r>
            <w:r>
              <w:rPr>
                <w:noProof/>
                <w:webHidden/>
              </w:rPr>
              <w:t>9</w:t>
            </w:r>
            <w:r>
              <w:rPr>
                <w:noProof/>
                <w:webHidden/>
              </w:rPr>
              <w:fldChar w:fldCharType="end"/>
            </w:r>
          </w:hyperlink>
        </w:p>
        <w:p w14:paraId="187778C7" w14:textId="6F3DBAC5" w:rsidR="00DD27DB" w:rsidRDefault="00DD27DB">
          <w:pPr>
            <w:pStyle w:val="TOC3"/>
            <w:rPr>
              <w:rFonts w:asciiTheme="minorHAnsi" w:eastAsiaTheme="minorEastAsia" w:hAnsiTheme="minorHAnsi" w:cstheme="minorBidi"/>
              <w:noProof/>
              <w:kern w:val="2"/>
              <w:sz w:val="24"/>
              <w:szCs w:val="24"/>
              <w14:ligatures w14:val="standardContextual"/>
            </w:rPr>
          </w:pPr>
          <w:hyperlink w:anchor="_Toc190440057" w:history="1">
            <w:r w:rsidRPr="00765285">
              <w:rPr>
                <w:rStyle w:val="Hyperlink"/>
                <w:noProof/>
              </w:rPr>
              <w:t>Quality Goal 3: Make care more value-based: Ensure value-based care for our members by holding providers accountable for cost and high quality of patient-centered, equitable care</w:t>
            </w:r>
            <w:r>
              <w:rPr>
                <w:noProof/>
                <w:webHidden/>
              </w:rPr>
              <w:tab/>
            </w:r>
            <w:r>
              <w:rPr>
                <w:noProof/>
                <w:webHidden/>
              </w:rPr>
              <w:fldChar w:fldCharType="begin"/>
            </w:r>
            <w:r>
              <w:rPr>
                <w:noProof/>
                <w:webHidden/>
              </w:rPr>
              <w:instrText xml:space="preserve"> PAGEREF _Toc190440057 \h </w:instrText>
            </w:r>
            <w:r>
              <w:rPr>
                <w:noProof/>
                <w:webHidden/>
              </w:rPr>
            </w:r>
            <w:r>
              <w:rPr>
                <w:noProof/>
                <w:webHidden/>
              </w:rPr>
              <w:fldChar w:fldCharType="separate"/>
            </w:r>
            <w:r>
              <w:rPr>
                <w:noProof/>
                <w:webHidden/>
              </w:rPr>
              <w:t>10</w:t>
            </w:r>
            <w:r>
              <w:rPr>
                <w:noProof/>
                <w:webHidden/>
              </w:rPr>
              <w:fldChar w:fldCharType="end"/>
            </w:r>
          </w:hyperlink>
        </w:p>
        <w:p w14:paraId="3A61270F" w14:textId="48AAEDE8" w:rsidR="00DD27DB" w:rsidRDefault="00DD27DB">
          <w:pPr>
            <w:pStyle w:val="TOC3"/>
            <w:rPr>
              <w:rFonts w:asciiTheme="minorHAnsi" w:eastAsiaTheme="minorEastAsia" w:hAnsiTheme="minorHAnsi" w:cstheme="minorBidi"/>
              <w:noProof/>
              <w:kern w:val="2"/>
              <w:sz w:val="24"/>
              <w:szCs w:val="24"/>
              <w14:ligatures w14:val="standardContextual"/>
            </w:rPr>
          </w:pPr>
          <w:hyperlink w:anchor="_Toc190440058" w:history="1">
            <w:r w:rsidRPr="00765285">
              <w:rPr>
                <w:rStyle w:val="Hyperlink"/>
                <w:rFonts w:cstheme="minorHAnsi"/>
                <w:noProof/>
              </w:rPr>
              <w:t>Quality Goal 4: Promote person and family-centered care: Strengthen member and family-centered approaches to care and focus on engaging members in their health</w:t>
            </w:r>
            <w:r>
              <w:rPr>
                <w:noProof/>
                <w:webHidden/>
              </w:rPr>
              <w:tab/>
            </w:r>
            <w:r>
              <w:rPr>
                <w:noProof/>
                <w:webHidden/>
              </w:rPr>
              <w:fldChar w:fldCharType="begin"/>
            </w:r>
            <w:r>
              <w:rPr>
                <w:noProof/>
                <w:webHidden/>
              </w:rPr>
              <w:instrText xml:space="preserve"> PAGEREF _Toc190440058 \h </w:instrText>
            </w:r>
            <w:r>
              <w:rPr>
                <w:noProof/>
                <w:webHidden/>
              </w:rPr>
            </w:r>
            <w:r>
              <w:rPr>
                <w:noProof/>
                <w:webHidden/>
              </w:rPr>
              <w:fldChar w:fldCharType="separate"/>
            </w:r>
            <w:r>
              <w:rPr>
                <w:noProof/>
                <w:webHidden/>
              </w:rPr>
              <w:t>12</w:t>
            </w:r>
            <w:r>
              <w:rPr>
                <w:noProof/>
                <w:webHidden/>
              </w:rPr>
              <w:fldChar w:fldCharType="end"/>
            </w:r>
          </w:hyperlink>
        </w:p>
        <w:p w14:paraId="3C245034" w14:textId="2B954E78" w:rsidR="00DD27DB" w:rsidRDefault="00DD27DB">
          <w:pPr>
            <w:pStyle w:val="TOC3"/>
            <w:rPr>
              <w:rFonts w:asciiTheme="minorHAnsi" w:eastAsiaTheme="minorEastAsia" w:hAnsiTheme="minorHAnsi" w:cstheme="minorBidi"/>
              <w:noProof/>
              <w:kern w:val="2"/>
              <w:sz w:val="24"/>
              <w:szCs w:val="24"/>
              <w14:ligatures w14:val="standardContextual"/>
            </w:rPr>
          </w:pPr>
          <w:hyperlink w:anchor="_Toc190440059" w:history="1">
            <w:r w:rsidRPr="00765285">
              <w:rPr>
                <w:rStyle w:val="Hyperlink"/>
                <w:noProof/>
              </w:rPr>
              <w:t>Quality Goal 5: Improve care through better integration, communication, and coordination across the care continuum and across care teams for our members</w:t>
            </w:r>
            <w:r>
              <w:rPr>
                <w:noProof/>
                <w:webHidden/>
              </w:rPr>
              <w:tab/>
            </w:r>
            <w:r>
              <w:rPr>
                <w:noProof/>
                <w:webHidden/>
              </w:rPr>
              <w:fldChar w:fldCharType="begin"/>
            </w:r>
            <w:r>
              <w:rPr>
                <w:noProof/>
                <w:webHidden/>
              </w:rPr>
              <w:instrText xml:space="preserve"> PAGEREF _Toc190440059 \h </w:instrText>
            </w:r>
            <w:r>
              <w:rPr>
                <w:noProof/>
                <w:webHidden/>
              </w:rPr>
            </w:r>
            <w:r>
              <w:rPr>
                <w:noProof/>
                <w:webHidden/>
              </w:rPr>
              <w:fldChar w:fldCharType="separate"/>
            </w:r>
            <w:r>
              <w:rPr>
                <w:noProof/>
                <w:webHidden/>
              </w:rPr>
              <w:t>13</w:t>
            </w:r>
            <w:r>
              <w:rPr>
                <w:noProof/>
                <w:webHidden/>
              </w:rPr>
              <w:fldChar w:fldCharType="end"/>
            </w:r>
          </w:hyperlink>
        </w:p>
        <w:p w14:paraId="5825A7FE" w14:textId="12D82939" w:rsidR="00DD27DB" w:rsidRDefault="00DD27DB">
          <w:pPr>
            <w:pStyle w:val="TOC2"/>
            <w:rPr>
              <w:rFonts w:asciiTheme="minorHAnsi" w:eastAsiaTheme="minorEastAsia" w:hAnsiTheme="minorHAnsi" w:cstheme="minorBidi"/>
              <w:noProof/>
              <w:kern w:val="2"/>
              <w:sz w:val="24"/>
              <w:szCs w:val="24"/>
              <w14:ligatures w14:val="standardContextual"/>
            </w:rPr>
          </w:pPr>
          <w:hyperlink w:anchor="_Toc190440060" w:history="1">
            <w:r w:rsidRPr="00765285">
              <w:rPr>
                <w:rStyle w:val="Hyperlink"/>
                <w:noProof/>
              </w:rPr>
              <w:t>CMS Child and Adult Core Set Performance</w:t>
            </w:r>
            <w:r>
              <w:rPr>
                <w:noProof/>
                <w:webHidden/>
              </w:rPr>
              <w:tab/>
            </w:r>
            <w:r>
              <w:rPr>
                <w:noProof/>
                <w:webHidden/>
              </w:rPr>
              <w:fldChar w:fldCharType="begin"/>
            </w:r>
            <w:r>
              <w:rPr>
                <w:noProof/>
                <w:webHidden/>
              </w:rPr>
              <w:instrText xml:space="preserve"> PAGEREF _Toc190440060 \h </w:instrText>
            </w:r>
            <w:r>
              <w:rPr>
                <w:noProof/>
                <w:webHidden/>
              </w:rPr>
            </w:r>
            <w:r>
              <w:rPr>
                <w:noProof/>
                <w:webHidden/>
              </w:rPr>
              <w:fldChar w:fldCharType="separate"/>
            </w:r>
            <w:r>
              <w:rPr>
                <w:noProof/>
                <w:webHidden/>
              </w:rPr>
              <w:t>15</w:t>
            </w:r>
            <w:r>
              <w:rPr>
                <w:noProof/>
                <w:webHidden/>
              </w:rPr>
              <w:fldChar w:fldCharType="end"/>
            </w:r>
          </w:hyperlink>
        </w:p>
        <w:p w14:paraId="37AA9197" w14:textId="7263E6BE" w:rsidR="00DD27DB" w:rsidRDefault="00DD27DB">
          <w:pPr>
            <w:pStyle w:val="TOC2"/>
            <w:rPr>
              <w:rFonts w:asciiTheme="minorHAnsi" w:eastAsiaTheme="minorEastAsia" w:hAnsiTheme="minorHAnsi" w:cstheme="minorBidi"/>
              <w:noProof/>
              <w:kern w:val="2"/>
              <w:sz w:val="24"/>
              <w:szCs w:val="24"/>
              <w14:ligatures w14:val="standardContextual"/>
            </w:rPr>
          </w:pPr>
          <w:hyperlink w:anchor="_Toc190440061" w:history="1">
            <w:r w:rsidRPr="00765285">
              <w:rPr>
                <w:rStyle w:val="Hyperlink"/>
                <w:noProof/>
              </w:rPr>
              <w:t>State Responsiveness to External Quality Review Organization (EQRO) Recommendations</w:t>
            </w:r>
            <w:r>
              <w:rPr>
                <w:noProof/>
                <w:webHidden/>
              </w:rPr>
              <w:tab/>
            </w:r>
            <w:r>
              <w:rPr>
                <w:noProof/>
                <w:webHidden/>
              </w:rPr>
              <w:fldChar w:fldCharType="begin"/>
            </w:r>
            <w:r>
              <w:rPr>
                <w:noProof/>
                <w:webHidden/>
              </w:rPr>
              <w:instrText xml:space="preserve"> PAGEREF _Toc190440061 \h </w:instrText>
            </w:r>
            <w:r>
              <w:rPr>
                <w:noProof/>
                <w:webHidden/>
              </w:rPr>
            </w:r>
            <w:r>
              <w:rPr>
                <w:noProof/>
                <w:webHidden/>
              </w:rPr>
              <w:fldChar w:fldCharType="separate"/>
            </w:r>
            <w:r>
              <w:rPr>
                <w:noProof/>
                <w:webHidden/>
              </w:rPr>
              <w:t>18</w:t>
            </w:r>
            <w:r>
              <w:rPr>
                <w:noProof/>
                <w:webHidden/>
              </w:rPr>
              <w:fldChar w:fldCharType="end"/>
            </w:r>
          </w:hyperlink>
        </w:p>
        <w:p w14:paraId="25A0314A" w14:textId="0474D108" w:rsidR="00DD27DB" w:rsidRDefault="00DD27DB">
          <w:pPr>
            <w:pStyle w:val="TOC3"/>
            <w:rPr>
              <w:rFonts w:asciiTheme="minorHAnsi" w:eastAsiaTheme="minorEastAsia" w:hAnsiTheme="minorHAnsi" w:cstheme="minorBidi"/>
              <w:noProof/>
              <w:kern w:val="2"/>
              <w:sz w:val="24"/>
              <w:szCs w:val="24"/>
              <w14:ligatures w14:val="standardContextual"/>
            </w:rPr>
          </w:pPr>
          <w:hyperlink w:anchor="_Toc190440062" w:history="1">
            <w:r w:rsidRPr="00765285">
              <w:rPr>
                <w:rStyle w:val="Hyperlink"/>
                <w:noProof/>
              </w:rPr>
              <w:t>EQR Recommendations and MassHealth Responses</w:t>
            </w:r>
            <w:r>
              <w:rPr>
                <w:noProof/>
                <w:webHidden/>
              </w:rPr>
              <w:tab/>
            </w:r>
            <w:r>
              <w:rPr>
                <w:noProof/>
                <w:webHidden/>
              </w:rPr>
              <w:fldChar w:fldCharType="begin"/>
            </w:r>
            <w:r>
              <w:rPr>
                <w:noProof/>
                <w:webHidden/>
              </w:rPr>
              <w:instrText xml:space="preserve"> PAGEREF _Toc190440062 \h </w:instrText>
            </w:r>
            <w:r>
              <w:rPr>
                <w:noProof/>
                <w:webHidden/>
              </w:rPr>
            </w:r>
            <w:r>
              <w:rPr>
                <w:noProof/>
                <w:webHidden/>
              </w:rPr>
              <w:fldChar w:fldCharType="separate"/>
            </w:r>
            <w:r>
              <w:rPr>
                <w:noProof/>
                <w:webHidden/>
              </w:rPr>
              <w:t>18</w:t>
            </w:r>
            <w:r>
              <w:rPr>
                <w:noProof/>
                <w:webHidden/>
              </w:rPr>
              <w:fldChar w:fldCharType="end"/>
            </w:r>
          </w:hyperlink>
        </w:p>
        <w:p w14:paraId="0D8F98C9" w14:textId="3258D6A0" w:rsidR="00DD27DB" w:rsidRDefault="00DD27DB">
          <w:pPr>
            <w:pStyle w:val="TOC2"/>
            <w:rPr>
              <w:rFonts w:asciiTheme="minorHAnsi" w:eastAsiaTheme="minorEastAsia" w:hAnsiTheme="minorHAnsi" w:cstheme="minorBidi"/>
              <w:noProof/>
              <w:kern w:val="2"/>
              <w:sz w:val="24"/>
              <w:szCs w:val="24"/>
              <w14:ligatures w14:val="standardContextual"/>
            </w:rPr>
          </w:pPr>
          <w:hyperlink w:anchor="_Toc190440063" w:history="1">
            <w:r w:rsidRPr="00765285">
              <w:rPr>
                <w:rStyle w:val="Hyperlink"/>
                <w:noProof/>
              </w:rPr>
              <w:t>Progress On Quality Strategy Goals and Objectives and Goal Revision</w:t>
            </w:r>
            <w:r>
              <w:rPr>
                <w:noProof/>
                <w:webHidden/>
              </w:rPr>
              <w:tab/>
            </w:r>
            <w:r>
              <w:rPr>
                <w:noProof/>
                <w:webHidden/>
              </w:rPr>
              <w:fldChar w:fldCharType="begin"/>
            </w:r>
            <w:r>
              <w:rPr>
                <w:noProof/>
                <w:webHidden/>
              </w:rPr>
              <w:instrText xml:space="preserve"> PAGEREF _Toc190440063 \h </w:instrText>
            </w:r>
            <w:r>
              <w:rPr>
                <w:noProof/>
                <w:webHidden/>
              </w:rPr>
            </w:r>
            <w:r>
              <w:rPr>
                <w:noProof/>
                <w:webHidden/>
              </w:rPr>
              <w:fldChar w:fldCharType="separate"/>
            </w:r>
            <w:r>
              <w:rPr>
                <w:noProof/>
                <w:webHidden/>
              </w:rPr>
              <w:t>23</w:t>
            </w:r>
            <w:r>
              <w:rPr>
                <w:noProof/>
                <w:webHidden/>
              </w:rPr>
              <w:fldChar w:fldCharType="end"/>
            </w:r>
          </w:hyperlink>
        </w:p>
        <w:p w14:paraId="58E513A3" w14:textId="6E55ACBC" w:rsidR="00DD27DB" w:rsidRDefault="00DD27DB">
          <w:pPr>
            <w:pStyle w:val="TOC2"/>
            <w:rPr>
              <w:rFonts w:asciiTheme="minorHAnsi" w:eastAsiaTheme="minorEastAsia" w:hAnsiTheme="minorHAnsi" w:cstheme="minorBidi"/>
              <w:noProof/>
              <w:kern w:val="2"/>
              <w:sz w:val="24"/>
              <w:szCs w:val="24"/>
              <w14:ligatures w14:val="standardContextual"/>
            </w:rPr>
          </w:pPr>
          <w:hyperlink w:anchor="_Toc190440064" w:history="1">
            <w:r w:rsidRPr="00765285">
              <w:rPr>
                <w:rStyle w:val="Hyperlink"/>
                <w:noProof/>
              </w:rPr>
              <w:t>Appendices</w:t>
            </w:r>
            <w:r>
              <w:rPr>
                <w:noProof/>
                <w:webHidden/>
              </w:rPr>
              <w:tab/>
            </w:r>
            <w:r>
              <w:rPr>
                <w:noProof/>
                <w:webHidden/>
              </w:rPr>
              <w:fldChar w:fldCharType="begin"/>
            </w:r>
            <w:r>
              <w:rPr>
                <w:noProof/>
                <w:webHidden/>
              </w:rPr>
              <w:instrText xml:space="preserve"> PAGEREF _Toc190440064 \h </w:instrText>
            </w:r>
            <w:r>
              <w:rPr>
                <w:noProof/>
                <w:webHidden/>
              </w:rPr>
            </w:r>
            <w:r>
              <w:rPr>
                <w:noProof/>
                <w:webHidden/>
              </w:rPr>
              <w:fldChar w:fldCharType="separate"/>
            </w:r>
            <w:r>
              <w:rPr>
                <w:noProof/>
                <w:webHidden/>
              </w:rPr>
              <w:t>26</w:t>
            </w:r>
            <w:r>
              <w:rPr>
                <w:noProof/>
                <w:webHidden/>
              </w:rPr>
              <w:fldChar w:fldCharType="end"/>
            </w:r>
          </w:hyperlink>
        </w:p>
        <w:p w14:paraId="672F2C07" w14:textId="38099E04" w:rsidR="00DD27DB" w:rsidRDefault="00DD27DB">
          <w:pPr>
            <w:pStyle w:val="TOC3"/>
            <w:rPr>
              <w:rFonts w:asciiTheme="minorHAnsi" w:eastAsiaTheme="minorEastAsia" w:hAnsiTheme="minorHAnsi" w:cstheme="minorBidi"/>
              <w:noProof/>
              <w:kern w:val="2"/>
              <w:sz w:val="24"/>
              <w:szCs w:val="24"/>
              <w14:ligatures w14:val="standardContextual"/>
            </w:rPr>
          </w:pPr>
          <w:hyperlink w:anchor="_Toc190440065" w:history="1">
            <w:r w:rsidRPr="00765285">
              <w:rPr>
                <w:rStyle w:val="Hyperlink"/>
                <w:noProof/>
              </w:rPr>
              <w:t>Appendix A: MassHealth Managed Care Plans</w:t>
            </w:r>
            <w:r>
              <w:rPr>
                <w:noProof/>
                <w:webHidden/>
              </w:rPr>
              <w:tab/>
            </w:r>
            <w:r>
              <w:rPr>
                <w:noProof/>
                <w:webHidden/>
              </w:rPr>
              <w:fldChar w:fldCharType="begin"/>
            </w:r>
            <w:r>
              <w:rPr>
                <w:noProof/>
                <w:webHidden/>
              </w:rPr>
              <w:instrText xml:space="preserve"> PAGEREF _Toc190440065 \h </w:instrText>
            </w:r>
            <w:r>
              <w:rPr>
                <w:noProof/>
                <w:webHidden/>
              </w:rPr>
            </w:r>
            <w:r>
              <w:rPr>
                <w:noProof/>
                <w:webHidden/>
              </w:rPr>
              <w:fldChar w:fldCharType="separate"/>
            </w:r>
            <w:r>
              <w:rPr>
                <w:noProof/>
                <w:webHidden/>
              </w:rPr>
              <w:t>27</w:t>
            </w:r>
            <w:r>
              <w:rPr>
                <w:noProof/>
                <w:webHidden/>
              </w:rPr>
              <w:fldChar w:fldCharType="end"/>
            </w:r>
          </w:hyperlink>
        </w:p>
        <w:p w14:paraId="17B90441" w14:textId="17D8C1EC" w:rsidR="00DD27DB" w:rsidRDefault="00DD27DB">
          <w:pPr>
            <w:pStyle w:val="TOC3"/>
            <w:rPr>
              <w:rFonts w:asciiTheme="minorHAnsi" w:eastAsiaTheme="minorEastAsia" w:hAnsiTheme="minorHAnsi" w:cstheme="minorBidi"/>
              <w:noProof/>
              <w:kern w:val="2"/>
              <w:sz w:val="24"/>
              <w:szCs w:val="24"/>
              <w14:ligatures w14:val="standardContextual"/>
            </w:rPr>
          </w:pPr>
          <w:hyperlink w:anchor="_Toc190440066" w:history="1">
            <w:r w:rsidRPr="00765285">
              <w:rPr>
                <w:rStyle w:val="Hyperlink"/>
                <w:noProof/>
              </w:rPr>
              <w:t>Appendix B:  Quality Measure Performance (Contract Level), 2020-2022</w:t>
            </w:r>
            <w:r>
              <w:rPr>
                <w:noProof/>
                <w:webHidden/>
              </w:rPr>
              <w:tab/>
            </w:r>
            <w:r>
              <w:rPr>
                <w:noProof/>
                <w:webHidden/>
              </w:rPr>
              <w:fldChar w:fldCharType="begin"/>
            </w:r>
            <w:r>
              <w:rPr>
                <w:noProof/>
                <w:webHidden/>
              </w:rPr>
              <w:instrText xml:space="preserve"> PAGEREF _Toc190440066 \h </w:instrText>
            </w:r>
            <w:r>
              <w:rPr>
                <w:noProof/>
                <w:webHidden/>
              </w:rPr>
            </w:r>
            <w:r>
              <w:rPr>
                <w:noProof/>
                <w:webHidden/>
              </w:rPr>
              <w:fldChar w:fldCharType="separate"/>
            </w:r>
            <w:r>
              <w:rPr>
                <w:noProof/>
                <w:webHidden/>
              </w:rPr>
              <w:t>28</w:t>
            </w:r>
            <w:r>
              <w:rPr>
                <w:noProof/>
                <w:webHidden/>
              </w:rPr>
              <w:fldChar w:fldCharType="end"/>
            </w:r>
          </w:hyperlink>
        </w:p>
        <w:p w14:paraId="2FE4E0D2" w14:textId="04B8B919" w:rsidR="00DD27DB" w:rsidRDefault="00DD27DB">
          <w:pPr>
            <w:pStyle w:val="TOC3"/>
            <w:rPr>
              <w:rFonts w:asciiTheme="minorHAnsi" w:eastAsiaTheme="minorEastAsia" w:hAnsiTheme="minorHAnsi" w:cstheme="minorBidi"/>
              <w:noProof/>
              <w:kern w:val="2"/>
              <w:sz w:val="24"/>
              <w:szCs w:val="24"/>
              <w14:ligatures w14:val="standardContextual"/>
            </w:rPr>
          </w:pPr>
          <w:hyperlink w:anchor="_Toc190440067" w:history="1">
            <w:r w:rsidRPr="00765285">
              <w:rPr>
                <w:rStyle w:val="Hyperlink"/>
                <w:noProof/>
              </w:rPr>
              <w:t>Appendix C: CMS Adult and Child Core Measure Sets Performance (Calculated and Reported by MassHealth)</w:t>
            </w:r>
            <w:r>
              <w:rPr>
                <w:noProof/>
                <w:webHidden/>
              </w:rPr>
              <w:tab/>
            </w:r>
            <w:r>
              <w:rPr>
                <w:noProof/>
                <w:webHidden/>
              </w:rPr>
              <w:fldChar w:fldCharType="begin"/>
            </w:r>
            <w:r>
              <w:rPr>
                <w:noProof/>
                <w:webHidden/>
              </w:rPr>
              <w:instrText xml:space="preserve"> PAGEREF _Toc190440067 \h </w:instrText>
            </w:r>
            <w:r>
              <w:rPr>
                <w:noProof/>
                <w:webHidden/>
              </w:rPr>
            </w:r>
            <w:r>
              <w:rPr>
                <w:noProof/>
                <w:webHidden/>
              </w:rPr>
              <w:fldChar w:fldCharType="separate"/>
            </w:r>
            <w:r>
              <w:rPr>
                <w:noProof/>
                <w:webHidden/>
              </w:rPr>
              <w:t>41</w:t>
            </w:r>
            <w:r>
              <w:rPr>
                <w:noProof/>
                <w:webHidden/>
              </w:rPr>
              <w:fldChar w:fldCharType="end"/>
            </w:r>
          </w:hyperlink>
        </w:p>
        <w:p w14:paraId="7A919C65" w14:textId="6551CE99" w:rsidR="00DD27DB" w:rsidRDefault="00DD27DB">
          <w:pPr>
            <w:pStyle w:val="TOC3"/>
            <w:rPr>
              <w:rFonts w:asciiTheme="minorHAnsi" w:eastAsiaTheme="minorEastAsia" w:hAnsiTheme="minorHAnsi" w:cstheme="minorBidi"/>
              <w:noProof/>
              <w:kern w:val="2"/>
              <w:sz w:val="24"/>
              <w:szCs w:val="24"/>
              <w14:ligatures w14:val="standardContextual"/>
            </w:rPr>
          </w:pPr>
          <w:hyperlink w:anchor="_Toc190440068" w:history="1">
            <w:r w:rsidRPr="00765285">
              <w:rPr>
                <w:rStyle w:val="Hyperlink"/>
                <w:noProof/>
              </w:rPr>
              <w:t>Appendix D: 2023 EQR Performance Improvement Projects (PIPs)</w:t>
            </w:r>
            <w:r>
              <w:rPr>
                <w:noProof/>
                <w:webHidden/>
              </w:rPr>
              <w:tab/>
            </w:r>
            <w:r>
              <w:rPr>
                <w:noProof/>
                <w:webHidden/>
              </w:rPr>
              <w:fldChar w:fldCharType="begin"/>
            </w:r>
            <w:r>
              <w:rPr>
                <w:noProof/>
                <w:webHidden/>
              </w:rPr>
              <w:instrText xml:space="preserve"> PAGEREF _Toc190440068 \h </w:instrText>
            </w:r>
            <w:r>
              <w:rPr>
                <w:noProof/>
                <w:webHidden/>
              </w:rPr>
            </w:r>
            <w:r>
              <w:rPr>
                <w:noProof/>
                <w:webHidden/>
              </w:rPr>
              <w:fldChar w:fldCharType="separate"/>
            </w:r>
            <w:r>
              <w:rPr>
                <w:noProof/>
                <w:webHidden/>
              </w:rPr>
              <w:t>49</w:t>
            </w:r>
            <w:r>
              <w:rPr>
                <w:noProof/>
                <w:webHidden/>
              </w:rPr>
              <w:fldChar w:fldCharType="end"/>
            </w:r>
          </w:hyperlink>
        </w:p>
        <w:p w14:paraId="7D00C5B7" w14:textId="3F29D32A" w:rsidR="00AC2D09" w:rsidRDefault="00AC2D09">
          <w:r>
            <w:rPr>
              <w:b/>
              <w:bCs/>
              <w:noProof/>
            </w:rPr>
            <w:fldChar w:fldCharType="end"/>
          </w:r>
        </w:p>
      </w:sdtContent>
    </w:sdt>
    <w:p w14:paraId="5ABE8D21" w14:textId="125D6575" w:rsidR="00AC2D09" w:rsidRDefault="00AC2D09">
      <w:pPr>
        <w:rPr>
          <w:color w:val="000000"/>
        </w:rPr>
      </w:pPr>
      <w:r>
        <w:rPr>
          <w:color w:val="000000"/>
        </w:rPr>
        <w:br w:type="page"/>
      </w:r>
    </w:p>
    <w:p w14:paraId="039AE097" w14:textId="03C898E4" w:rsidR="00F35AB3" w:rsidRDefault="00753CD6" w:rsidP="00730D03">
      <w:pPr>
        <w:pStyle w:val="Heading2"/>
        <w:numPr>
          <w:ilvl w:val="0"/>
          <w:numId w:val="0"/>
        </w:numPr>
        <w:spacing w:after="120"/>
      </w:pPr>
      <w:bookmarkStart w:id="1" w:name="_Toc190440051"/>
      <w:bookmarkStart w:id="2" w:name="_Hlk127206255"/>
      <w:r w:rsidRPr="00AD6B7A">
        <w:lastRenderedPageBreak/>
        <w:t>Introduction</w:t>
      </w:r>
      <w:bookmarkEnd w:id="1"/>
    </w:p>
    <w:p w14:paraId="359B1588" w14:textId="6A6E8792" w:rsidR="00753CD6" w:rsidRDefault="105203B4" w:rsidP="00753CD6">
      <w:r>
        <w:t xml:space="preserve">The Commonwealth of Massachusetts, Executive Office of Health and Human Services </w:t>
      </w:r>
      <w:r w:rsidR="69DB1085">
        <w:t xml:space="preserve">(EOHHS) </w:t>
      </w:r>
      <w:r>
        <w:t xml:space="preserve">Office of Medicaid is pleased to submit the </w:t>
      </w:r>
      <w:r w:rsidRPr="21CA7F43">
        <w:rPr>
          <w:b/>
          <w:bCs/>
        </w:rPr>
        <w:t>Comprehensive Quality Strategy (CQS) Effectiveness Evaluation</w:t>
      </w:r>
      <w:r>
        <w:t xml:space="preserve"> </w:t>
      </w:r>
      <w:r w:rsidR="7CFFB67E">
        <w:t xml:space="preserve">(“Evaluation”) </w:t>
      </w:r>
      <w:r>
        <w:t xml:space="preserve">for the MassHealth </w:t>
      </w:r>
      <w:r w:rsidR="367AF09D">
        <w:t>CQS</w:t>
      </w:r>
      <w:r>
        <w:t xml:space="preserve"> published in </w:t>
      </w:r>
      <w:r w:rsidR="0082621D">
        <w:t>June</w:t>
      </w:r>
      <w:r>
        <w:t xml:space="preserve"> 20</w:t>
      </w:r>
      <w:r w:rsidR="0082621D">
        <w:t>22</w:t>
      </w:r>
      <w:r>
        <w:t xml:space="preserve"> </w:t>
      </w:r>
      <w:r w:rsidR="47063BB4">
        <w:t>(</w:t>
      </w:r>
      <w:r w:rsidR="1BE3609A">
        <w:t>“</w:t>
      </w:r>
      <w:r w:rsidR="58C674FC">
        <w:t xml:space="preserve">CQS”) </w:t>
      </w:r>
      <w:r>
        <w:t>and covering the three-year period of Calendar Years (CY) 20</w:t>
      </w:r>
      <w:r w:rsidR="008C2784">
        <w:t>22</w:t>
      </w:r>
      <w:r>
        <w:t xml:space="preserve"> through 202</w:t>
      </w:r>
      <w:r w:rsidR="009523A9">
        <w:t>4</w:t>
      </w:r>
      <w:r>
        <w:t>.</w:t>
      </w:r>
    </w:p>
    <w:p w14:paraId="1995E1CB" w14:textId="09384CB0" w:rsidR="00753CD6" w:rsidRDefault="00753CD6" w:rsidP="00753CD6">
      <w:r>
        <w:t xml:space="preserve">In accordance with 42 CFR §438.340(c)(2), </w:t>
      </w:r>
      <w:r w:rsidR="00B80B4F">
        <w:t xml:space="preserve">EOHHS </w:t>
      </w:r>
      <w:r>
        <w:t xml:space="preserve">evaluates the effectiveness of the CQS at least every three years to assess whether MassHealth has met or made progress on its quality strategy goals. This </w:t>
      </w:r>
      <w:r w:rsidR="00D300AA">
        <w:t>E</w:t>
      </w:r>
      <w:r>
        <w:t xml:space="preserve">valuation will use data reflecting a quality performance measurement period </w:t>
      </w:r>
      <w:r w:rsidR="0014678B">
        <w:t xml:space="preserve">for Measurement </w:t>
      </w:r>
      <w:r w:rsidR="2F214F46">
        <w:t>Year</w:t>
      </w:r>
      <w:r w:rsidR="08C5ECD0">
        <w:t>s</w:t>
      </w:r>
      <w:r w:rsidR="0014678B">
        <w:t xml:space="preserve"> (MY) 20</w:t>
      </w:r>
      <w:r w:rsidR="00C510BF">
        <w:t>20</w:t>
      </w:r>
      <w:r w:rsidR="0014678B">
        <w:t xml:space="preserve"> through 202</w:t>
      </w:r>
      <w:r w:rsidR="00C510BF">
        <w:t>2</w:t>
      </w:r>
      <w:r w:rsidR="0014678B">
        <w:t xml:space="preserve"> (</w:t>
      </w:r>
      <w:r>
        <w:t>1/1/</w:t>
      </w:r>
      <w:r w:rsidR="00C510BF">
        <w:t>20</w:t>
      </w:r>
      <w:r>
        <w:t xml:space="preserve"> </w:t>
      </w:r>
      <w:r w:rsidR="0014678B">
        <w:t xml:space="preserve">– </w:t>
      </w:r>
      <w:r>
        <w:t>12/31/2</w:t>
      </w:r>
      <w:r w:rsidR="00C510BF">
        <w:t>2</w:t>
      </w:r>
      <w:r w:rsidR="0014678B">
        <w:t>)</w:t>
      </w:r>
      <w:r>
        <w:t xml:space="preserve">. </w:t>
      </w:r>
      <w:r w:rsidR="00AA5AFB">
        <w:t>MassHealth</w:t>
      </w:r>
      <w:r w:rsidR="00AC2ABC">
        <w:t xml:space="preserve"> </w:t>
      </w:r>
      <w:r w:rsidR="001773FB">
        <w:t xml:space="preserve">did not </w:t>
      </w:r>
      <w:r w:rsidR="00AC2ABC">
        <w:t>include MY2</w:t>
      </w:r>
      <w:r w:rsidR="001773FB">
        <w:t>023 data</w:t>
      </w:r>
      <w:r w:rsidR="00DC55B2">
        <w:t xml:space="preserve"> in this evaluation</w:t>
      </w:r>
      <w:r w:rsidR="00A92C85">
        <w:t xml:space="preserve">. </w:t>
      </w:r>
      <w:r w:rsidR="00B2628E">
        <w:t xml:space="preserve">In MY2023 </w:t>
      </w:r>
      <w:r w:rsidR="00E42074">
        <w:t xml:space="preserve">MassHealth adopted </w:t>
      </w:r>
      <w:proofErr w:type="gramStart"/>
      <w:r w:rsidR="009F311D">
        <w:t>new</w:t>
      </w:r>
      <w:proofErr w:type="gramEnd"/>
      <w:r w:rsidR="009F311D">
        <w:t xml:space="preserve"> methodology to calculate </w:t>
      </w:r>
      <w:r w:rsidR="005F71AC">
        <w:t>the Child and Adult Core Set Measures</w:t>
      </w:r>
      <w:r w:rsidR="00E858E7">
        <w:t>.</w:t>
      </w:r>
      <w:r w:rsidR="005F71AC">
        <w:t xml:space="preserve"> </w:t>
      </w:r>
      <w:r w:rsidR="008C1EE9">
        <w:t>This change in methodology</w:t>
      </w:r>
      <w:r w:rsidR="006D742E">
        <w:t>, reflecting CMS’ updated mandatory core</w:t>
      </w:r>
      <w:r w:rsidR="009B1EDD">
        <w:t xml:space="preserve"> measure requirements for MY2023,</w:t>
      </w:r>
      <w:r w:rsidR="008C1EE9">
        <w:t xml:space="preserve"> </w:t>
      </w:r>
      <w:r w:rsidR="00535263">
        <w:t xml:space="preserve">resulted in </w:t>
      </w:r>
      <w:r w:rsidR="00C671F6">
        <w:t>the inclusion of the fee for service population</w:t>
      </w:r>
      <w:r w:rsidR="000E0C5D">
        <w:t xml:space="preserve"> and continuous enrollment across MassHealth </w:t>
      </w:r>
      <w:r w:rsidR="00EB39A4">
        <w:t>instead of an individual product</w:t>
      </w:r>
      <w:r w:rsidR="008C74B4">
        <w:t xml:space="preserve">, therefore making </w:t>
      </w:r>
      <w:r w:rsidR="005B28CA">
        <w:t xml:space="preserve">MY2023 results incomparable </w:t>
      </w:r>
      <w:r w:rsidR="00892B05">
        <w:t>to prior years.</w:t>
      </w:r>
      <w:r w:rsidR="008C1EE9">
        <w:t xml:space="preserve"> </w:t>
      </w:r>
      <w:r w:rsidR="00012088">
        <w:t xml:space="preserve">Additionally, </w:t>
      </w:r>
      <w:r w:rsidR="00D8042F">
        <w:t>MY</w:t>
      </w:r>
      <w:r w:rsidR="00AB2B3C">
        <w:t>2023</w:t>
      </w:r>
      <w:r w:rsidR="000A60DD">
        <w:t xml:space="preserve"> represented a new contract cycle </w:t>
      </w:r>
      <w:r w:rsidR="00C478CC">
        <w:t xml:space="preserve">for </w:t>
      </w:r>
      <w:r w:rsidR="008C187D">
        <w:t>our ACO and MCO programs wh</w:t>
      </w:r>
      <w:r w:rsidR="005572D5">
        <w:t xml:space="preserve">ich </w:t>
      </w:r>
      <w:r w:rsidR="00077268">
        <w:t xml:space="preserve">resulted in changes </w:t>
      </w:r>
      <w:r w:rsidR="00803D02">
        <w:t xml:space="preserve">in participating plans </w:t>
      </w:r>
      <w:r w:rsidR="00283579">
        <w:t xml:space="preserve">and </w:t>
      </w:r>
      <w:r w:rsidR="00864ADB">
        <w:t xml:space="preserve">quality measure slates. </w:t>
      </w:r>
      <w:r w:rsidR="00CE080F">
        <w:t xml:space="preserve">MassHealth intends to use MY2023 data as their baseline performance in the </w:t>
      </w:r>
      <w:r w:rsidR="002550FC">
        <w:t>updated</w:t>
      </w:r>
      <w:r w:rsidR="00CE080F">
        <w:t xml:space="preserve"> Quality Strategy </w:t>
      </w:r>
      <w:r w:rsidR="00CD5B50">
        <w:t xml:space="preserve">anticipated </w:t>
      </w:r>
      <w:r w:rsidR="00880CCD">
        <w:t xml:space="preserve">in </w:t>
      </w:r>
      <w:r w:rsidR="00102D1E">
        <w:t>Q2/Q3 of 2025.</w:t>
      </w:r>
    </w:p>
    <w:p w14:paraId="2603E4FE" w14:textId="7A2265E6" w:rsidR="00753CD6" w:rsidRDefault="105203B4" w:rsidP="00753CD6">
      <w:r>
        <w:t xml:space="preserve">Following the CMS guidance provided in the Medicaid and Children’s Health Insurance Program (CHIP) Managed Care Quality Strategy Toolkit published in June 2021, this </w:t>
      </w:r>
      <w:r w:rsidR="2EBE1D77">
        <w:t>E</w:t>
      </w:r>
      <w:r>
        <w:t>valuation will:</w:t>
      </w:r>
    </w:p>
    <w:p w14:paraId="7E74993F" w14:textId="77777777" w:rsidR="00753CD6" w:rsidRDefault="00753CD6">
      <w:pPr>
        <w:pStyle w:val="ListParagraph"/>
        <w:numPr>
          <w:ilvl w:val="0"/>
          <w:numId w:val="11"/>
        </w:numPr>
      </w:pPr>
      <w:r>
        <w:t>Describe the methodology used in the evaluation.</w:t>
      </w:r>
    </w:p>
    <w:p w14:paraId="5A27EFD6" w14:textId="47492ADA" w:rsidR="00753CD6" w:rsidRDefault="461D9FDE">
      <w:pPr>
        <w:pStyle w:val="ListParagraph"/>
        <w:numPr>
          <w:ilvl w:val="0"/>
          <w:numId w:val="11"/>
        </w:numPr>
      </w:pPr>
      <w:r>
        <w:t>List the quality goals laid out in the MassHealth CQS</w:t>
      </w:r>
      <w:r w:rsidR="00CD4625">
        <w:rPr>
          <w:rStyle w:val="CommentReference"/>
        </w:rPr>
        <w:t xml:space="preserve"> </w:t>
      </w:r>
      <w:r>
        <w:t>and the quality measures associated with each goal.</w:t>
      </w:r>
    </w:p>
    <w:p w14:paraId="4928B896" w14:textId="0B5F7596" w:rsidR="00753CD6" w:rsidRDefault="00753CD6">
      <w:pPr>
        <w:pStyle w:val="ListParagraph"/>
        <w:numPr>
          <w:ilvl w:val="0"/>
          <w:numId w:val="11"/>
        </w:numPr>
      </w:pPr>
      <w:r>
        <w:t xml:space="preserve">Provide baseline and subsequent year data </w:t>
      </w:r>
      <w:r w:rsidR="5AD22F97">
        <w:t>for each quality measure</w:t>
      </w:r>
      <w:r w:rsidR="33744A2F">
        <w:t xml:space="preserve"> included in this report</w:t>
      </w:r>
      <w:r w:rsidR="5AD22F97">
        <w:t xml:space="preserve"> </w:t>
      </w:r>
      <w:r>
        <w:t>for each of the three years in the CQS period, indicating where improvements have been made, and where opportunities for improvement remain.</w:t>
      </w:r>
    </w:p>
    <w:p w14:paraId="3A3E3626" w14:textId="0373480D" w:rsidR="00753CD6" w:rsidRDefault="00753CD6">
      <w:pPr>
        <w:pStyle w:val="ListParagraph"/>
        <w:numPr>
          <w:ilvl w:val="0"/>
          <w:numId w:val="11"/>
        </w:numPr>
      </w:pPr>
      <w:r>
        <w:t xml:space="preserve">Discuss areas where improvement goals have not been met, with reference to modifications </w:t>
      </w:r>
      <w:r w:rsidR="06582E48">
        <w:t xml:space="preserve">to </w:t>
      </w:r>
      <w:r>
        <w:t>MassHealth quality strategy approach in the most recent CQS (submitted to CMS in June 2022).</w:t>
      </w:r>
    </w:p>
    <w:p w14:paraId="5FBDD887" w14:textId="789FC401" w:rsidR="7537E018" w:rsidRDefault="7537E018">
      <w:pPr>
        <w:pStyle w:val="ListParagraph"/>
        <w:numPr>
          <w:ilvl w:val="0"/>
          <w:numId w:val="11"/>
        </w:numPr>
      </w:pPr>
      <w:r>
        <w:t>Assess the extent to which MassHealth CQS</w:t>
      </w:r>
      <w:r w:rsidR="3A38A6F2">
        <w:t xml:space="preserve"> measures are consistent </w:t>
      </w:r>
      <w:r w:rsidR="1118D6D0">
        <w:t xml:space="preserve">with </w:t>
      </w:r>
      <w:r w:rsidR="3A38A6F2">
        <w:t>and a</w:t>
      </w:r>
      <w:r w:rsidR="4CB54535">
        <w:t>ligned across goals, objectives, and programs.</w:t>
      </w:r>
    </w:p>
    <w:p w14:paraId="7358DF54" w14:textId="242F5DCA" w:rsidR="4CB54535" w:rsidRDefault="4CB54535">
      <w:pPr>
        <w:pStyle w:val="ListParagraph"/>
        <w:numPr>
          <w:ilvl w:val="0"/>
          <w:numId w:val="11"/>
        </w:numPr>
      </w:pPr>
      <w:r>
        <w:t>Summarize MassHealth performance on the CMS Adult and Child Core Measure Sets</w:t>
      </w:r>
      <w:r w:rsidR="00F35A3B">
        <w:t>.</w:t>
      </w:r>
    </w:p>
    <w:p w14:paraId="7FB0199B" w14:textId="482DD8F0" w:rsidR="00753CD6" w:rsidRDefault="16D4E3EE">
      <w:pPr>
        <w:pStyle w:val="ListParagraph"/>
        <w:numPr>
          <w:ilvl w:val="0"/>
          <w:numId w:val="11"/>
        </w:numPr>
      </w:pPr>
      <w:r>
        <w:t>Summarize MassHealth responsiveness to EQR recommendations.</w:t>
      </w:r>
    </w:p>
    <w:p w14:paraId="5A4BB238" w14:textId="4C7C0C42" w:rsidR="00D83818" w:rsidRDefault="00D70792" w:rsidP="0020648E">
      <w:pPr>
        <w:pStyle w:val="Heading2"/>
        <w:spacing w:after="120"/>
      </w:pPr>
      <w:bookmarkStart w:id="3" w:name="_Toc190440052"/>
      <w:r>
        <w:t>MassHealth Managed Care Programs</w:t>
      </w:r>
      <w:bookmarkEnd w:id="3"/>
      <w:r>
        <w:t xml:space="preserve"> </w:t>
      </w:r>
    </w:p>
    <w:p w14:paraId="689A2150" w14:textId="4354F728" w:rsidR="00D70792" w:rsidRDefault="00D70792" w:rsidP="00D70792">
      <w:pPr>
        <w:rPr>
          <w:rFonts w:cs="Calibri"/>
        </w:rPr>
      </w:pPr>
      <w:r w:rsidRPr="00821C14">
        <w:rPr>
          <w:rFonts w:cs="Calibri"/>
        </w:rPr>
        <w:t>MassHealth operate</w:t>
      </w:r>
      <w:r w:rsidR="0047111A">
        <w:rPr>
          <w:rFonts w:cs="Calibri"/>
        </w:rPr>
        <w:t>d</w:t>
      </w:r>
      <w:r w:rsidRPr="00821C14">
        <w:rPr>
          <w:rFonts w:cs="Calibri"/>
        </w:rPr>
        <w:t xml:space="preserve"> the</w:t>
      </w:r>
      <w:r>
        <w:rPr>
          <w:rFonts w:cs="Calibri"/>
        </w:rPr>
        <w:t xml:space="preserve"> </w:t>
      </w:r>
      <w:r w:rsidRPr="00821C14">
        <w:rPr>
          <w:rFonts w:cs="Calibri"/>
        </w:rPr>
        <w:t>managed care programs</w:t>
      </w:r>
      <w:r>
        <w:rPr>
          <w:rStyle w:val="FootnoteReference"/>
        </w:rPr>
        <w:footnoteReference w:id="2"/>
      </w:r>
      <w:r>
        <w:rPr>
          <w:rFonts w:cs="Calibri"/>
        </w:rPr>
        <w:t xml:space="preserve"> </w:t>
      </w:r>
      <w:r w:rsidR="00784816">
        <w:rPr>
          <w:rFonts w:cs="Calibri"/>
        </w:rPr>
        <w:t xml:space="preserve">or managed care plans </w:t>
      </w:r>
      <w:r>
        <w:rPr>
          <w:rFonts w:cs="Calibri"/>
        </w:rPr>
        <w:t>(MCPs)</w:t>
      </w:r>
      <w:r w:rsidR="00806B59">
        <w:rPr>
          <w:rFonts w:cs="Calibri"/>
        </w:rPr>
        <w:t xml:space="preserve"> </w:t>
      </w:r>
      <w:r w:rsidR="00142A4B">
        <w:rPr>
          <w:rFonts w:cs="Calibri"/>
        </w:rPr>
        <w:t xml:space="preserve">listed below </w:t>
      </w:r>
      <w:r w:rsidR="00806B59">
        <w:rPr>
          <w:rFonts w:cs="Calibri"/>
        </w:rPr>
        <w:t xml:space="preserve">during the </w:t>
      </w:r>
      <w:proofErr w:type="gramStart"/>
      <w:r w:rsidR="00FB5092">
        <w:rPr>
          <w:rFonts w:cs="Calibri"/>
        </w:rPr>
        <w:t>ti</w:t>
      </w:r>
      <w:r w:rsidR="00096AC8">
        <w:rPr>
          <w:rFonts w:cs="Calibri"/>
        </w:rPr>
        <w:t>me period</w:t>
      </w:r>
      <w:proofErr w:type="gramEnd"/>
      <w:r w:rsidR="00096AC8">
        <w:rPr>
          <w:rFonts w:cs="Calibri"/>
        </w:rPr>
        <w:t xml:space="preserve"> covered by </w:t>
      </w:r>
      <w:proofErr w:type="gramStart"/>
      <w:r w:rsidR="00EF58B5">
        <w:rPr>
          <w:rFonts w:cs="Calibri"/>
        </w:rPr>
        <w:t>the CQS</w:t>
      </w:r>
      <w:proofErr w:type="gramEnd"/>
      <w:r w:rsidR="00D94AA6">
        <w:rPr>
          <w:rFonts w:cs="Calibri"/>
        </w:rPr>
        <w:t xml:space="preserve">.  </w:t>
      </w:r>
      <w:r w:rsidR="5E02526A">
        <w:rPr>
          <w:rFonts w:cs="Calibri"/>
        </w:rPr>
        <w:t>Performance by t</w:t>
      </w:r>
      <w:r w:rsidR="00D94AA6">
        <w:rPr>
          <w:rFonts w:cs="Calibri"/>
        </w:rPr>
        <w:t>hese MCPs</w:t>
      </w:r>
      <w:r>
        <w:rPr>
          <w:rFonts w:cs="Calibri"/>
        </w:rPr>
        <w:t xml:space="preserve"> </w:t>
      </w:r>
      <w:r w:rsidR="00BC230D">
        <w:rPr>
          <w:rFonts w:cs="Calibri"/>
        </w:rPr>
        <w:t>is</w:t>
      </w:r>
      <w:r>
        <w:rPr>
          <w:rFonts w:cs="Calibri"/>
        </w:rPr>
        <w:t xml:space="preserve"> the focus of this Evaluation.</w:t>
      </w:r>
    </w:p>
    <w:p w14:paraId="7BFCD8EB" w14:textId="39B234F5" w:rsidR="00D70792" w:rsidRPr="002635E3" w:rsidRDefault="00D70792" w:rsidP="00D70792">
      <w:pPr>
        <w:rPr>
          <w:u w:val="single"/>
        </w:rPr>
      </w:pPr>
      <w:r>
        <w:t xml:space="preserve">Detail on current </w:t>
      </w:r>
      <w:r w:rsidR="47B0F5BA">
        <w:t>MCPs</w:t>
      </w:r>
      <w:r>
        <w:t xml:space="preserve"> is found in the </w:t>
      </w:r>
      <w:r w:rsidR="008F021E">
        <w:t>current</w:t>
      </w:r>
      <w:r>
        <w:t xml:space="preserve"> Comprehensive Quality Strategy (CQS), available on the MassHealth quality reports and resources webpage: </w:t>
      </w:r>
      <w:hyperlink r:id="rId13">
        <w:r w:rsidR="00DB0D10" w:rsidRPr="0F6B20DE">
          <w:rPr>
            <w:rStyle w:val="Hyperlink"/>
          </w:rPr>
          <w:t>www.mass.gov/info-details/masshealth-quality-reports-and-resources</w:t>
        </w:r>
      </w:hyperlink>
      <w:r w:rsidR="006A4AD6" w:rsidRPr="0F6B20DE">
        <w:rPr>
          <w:rStyle w:val="Hyperlink"/>
          <w:u w:val="none"/>
        </w:rPr>
        <w:t xml:space="preserve">. </w:t>
      </w:r>
      <w:r w:rsidR="006A4AD6" w:rsidRPr="0F6B20DE">
        <w:rPr>
          <w:rStyle w:val="Hyperlink"/>
          <w:color w:val="auto"/>
          <w:u w:val="none"/>
        </w:rPr>
        <w:t>The MCPs are as follows:</w:t>
      </w:r>
    </w:p>
    <w:p w14:paraId="4C09F0BE" w14:textId="1FA12357" w:rsidR="00D01D90" w:rsidRPr="00C63BA4" w:rsidRDefault="00D01D90" w:rsidP="00D01D90">
      <w:pPr>
        <w:autoSpaceDE w:val="0"/>
        <w:autoSpaceDN w:val="0"/>
        <w:adjustRightInd w:val="0"/>
        <w:rPr>
          <w:rFonts w:cs="Calibri"/>
        </w:rPr>
      </w:pPr>
      <w:r w:rsidRPr="0F6B20DE">
        <w:rPr>
          <w:rFonts w:cs="Calibri"/>
          <w:b/>
          <w:bCs/>
        </w:rPr>
        <w:t xml:space="preserve">Accountable Care Organization (ACO) Program: </w:t>
      </w:r>
      <w:r w:rsidRPr="0F6B20DE">
        <w:rPr>
          <w:rFonts w:cs="Calibri"/>
        </w:rPr>
        <w:t xml:space="preserve">ACOs are a network of primary care providers who work in partnership with hospitals, specialists, LTSS providers, and state agencies to coordinate </w:t>
      </w:r>
      <w:r w:rsidR="00EF58B5" w:rsidRPr="0F6B20DE">
        <w:rPr>
          <w:rFonts w:cs="Calibri"/>
        </w:rPr>
        <w:t>all</w:t>
      </w:r>
      <w:r w:rsidRPr="0F6B20DE">
        <w:rPr>
          <w:rFonts w:cs="Calibri"/>
        </w:rPr>
        <w:t xml:space="preserve"> a member’s care. ACOs focus on improving this coordination, better engaging members in their care, and </w:t>
      </w:r>
      <w:r w:rsidRPr="0F6B20DE">
        <w:rPr>
          <w:rFonts w:cs="Calibri"/>
        </w:rPr>
        <w:lastRenderedPageBreak/>
        <w:t>integrating behavioral health care, medical care, long-term services and supports, and health-related social services. ACOs are accountable for the quality</w:t>
      </w:r>
      <w:r w:rsidR="28DF2390" w:rsidRPr="0F6B20DE">
        <w:rPr>
          <w:rFonts w:cs="Calibri"/>
        </w:rPr>
        <w:t xml:space="preserve"> of care</w:t>
      </w:r>
      <w:r w:rsidRPr="0F6B20DE">
        <w:rPr>
          <w:rFonts w:cs="Calibri"/>
        </w:rPr>
        <w:t>, member experience and cost of care for members. MassHealth has three ACO delivery models.</w:t>
      </w:r>
    </w:p>
    <w:p w14:paraId="34658257" w14:textId="77777777" w:rsidR="00D01D90" w:rsidRPr="006C6ED1" w:rsidRDefault="00D01D90" w:rsidP="00D01D90">
      <w:pPr>
        <w:pStyle w:val="ListParagraph"/>
        <w:numPr>
          <w:ilvl w:val="0"/>
          <w:numId w:val="37"/>
        </w:numPr>
        <w:autoSpaceDE w:val="0"/>
        <w:autoSpaceDN w:val="0"/>
        <w:adjustRightInd w:val="0"/>
        <w:contextualSpacing w:val="0"/>
        <w:rPr>
          <w:color w:val="000000" w:themeColor="text1"/>
        </w:rPr>
      </w:pPr>
      <w:r w:rsidRPr="00443966">
        <w:rPr>
          <w:rFonts w:asciiTheme="minorHAnsi" w:hAnsiTheme="minorHAnsi" w:cstheme="minorBidi"/>
          <w:b/>
          <w:bCs/>
        </w:rPr>
        <w:t>Accountable Care Partnership Plan (ACPP):</w:t>
      </w:r>
      <w:r w:rsidRPr="00443966">
        <w:rPr>
          <w:rFonts w:asciiTheme="minorHAnsi" w:hAnsiTheme="minorHAnsi" w:cstheme="minorBidi"/>
        </w:rPr>
        <w:t xml:space="preserve"> ACPPs </w:t>
      </w:r>
      <w:r w:rsidRPr="00443966">
        <w:rPr>
          <w:color w:val="000000" w:themeColor="text1"/>
        </w:rPr>
        <w:t>are</w:t>
      </w:r>
      <w:r w:rsidRPr="00443966">
        <w:rPr>
          <w:i/>
          <w:iCs/>
          <w:color w:val="000000" w:themeColor="text1"/>
        </w:rPr>
        <w:t> </w:t>
      </w:r>
      <w:r w:rsidRPr="00443966">
        <w:rPr>
          <w:color w:val="000000" w:themeColor="text1"/>
        </w:rPr>
        <w:t>groups of primary care providers (PCPs) who work with just one managed care organization to create a full network of providers</w:t>
      </w:r>
      <w:r w:rsidRPr="00443966">
        <w:rPr>
          <w:b/>
          <w:bCs/>
          <w:color w:val="000000" w:themeColor="text1"/>
        </w:rPr>
        <w:t> </w:t>
      </w:r>
      <w:r w:rsidRPr="00443966">
        <w:rPr>
          <w:color w:val="000000" w:themeColor="text1"/>
        </w:rPr>
        <w:t xml:space="preserve">that </w:t>
      </w:r>
      <w:proofErr w:type="gramStart"/>
      <w:r w:rsidRPr="00443966">
        <w:rPr>
          <w:color w:val="000000" w:themeColor="text1"/>
        </w:rPr>
        <w:t>includes</w:t>
      </w:r>
      <w:proofErr w:type="gramEnd"/>
      <w:r w:rsidRPr="00443966">
        <w:rPr>
          <w:color w:val="000000" w:themeColor="text1"/>
        </w:rPr>
        <w:t xml:space="preserve"> PCPs, specialists, behavioral health providers, and hospitals.  </w:t>
      </w:r>
    </w:p>
    <w:p w14:paraId="35460ADD" w14:textId="77777777" w:rsidR="00D01D90" w:rsidRPr="00372748" w:rsidRDefault="00D01D90" w:rsidP="00D01D90">
      <w:pPr>
        <w:pStyle w:val="ListParagraph"/>
        <w:numPr>
          <w:ilvl w:val="0"/>
          <w:numId w:val="37"/>
        </w:numPr>
        <w:contextualSpacing w:val="0"/>
        <w:rPr>
          <w:color w:val="000000" w:themeColor="text1"/>
        </w:rPr>
      </w:pPr>
      <w:r w:rsidRPr="006C6ED1">
        <w:rPr>
          <w:b/>
          <w:bCs/>
        </w:rPr>
        <w:t>Primary Care ACO (PCACO):</w:t>
      </w:r>
      <w:r>
        <w:t xml:space="preserve"> </w:t>
      </w:r>
      <w:r w:rsidRPr="006C6ED1">
        <w:rPr>
          <w:color w:val="000000" w:themeColor="text1"/>
        </w:rPr>
        <w:t xml:space="preserve">PCACOs are groups of primary care providers or PCPs forming an ACO responsible for members’ care and the coordination of care. PCACOs work directly with MassHealth to provide primary care to members and to coordinate the full range of services available to them. PCACOs work with the MassHealth network of specialists and hospitals. </w:t>
      </w:r>
      <w:r>
        <w:t>PCACO members receive behavioral health services through</w:t>
      </w:r>
      <w:r w:rsidRPr="006F4C9F">
        <w:t xml:space="preserve"> </w:t>
      </w:r>
      <w:r>
        <w:t>the state’s Managed Behavioral Health Vendor.</w:t>
      </w:r>
      <w:r w:rsidRPr="006C6ED1">
        <w:rPr>
          <w:color w:val="000000" w:themeColor="text1"/>
        </w:rPr>
        <w:t xml:space="preserve">  </w:t>
      </w:r>
    </w:p>
    <w:p w14:paraId="4B76407F" w14:textId="77777777" w:rsidR="00D01D90" w:rsidRDefault="00D01D90" w:rsidP="00D01D90">
      <w:pPr>
        <w:pStyle w:val="ListParagraph"/>
        <w:spacing w:after="240"/>
        <w:ind w:left="0"/>
        <w:contextualSpacing w:val="0"/>
        <w:rPr>
          <w:rFonts w:cs="Calibri"/>
        </w:rPr>
      </w:pPr>
      <w:r w:rsidRPr="00584A6A">
        <w:rPr>
          <w:b/>
        </w:rPr>
        <w:t>Managed Care Organization (MCO) Program</w:t>
      </w:r>
      <w:r w:rsidRPr="004B45D5">
        <w:t xml:space="preserve"> – </w:t>
      </w:r>
      <w:r>
        <w:t>A</w:t>
      </w:r>
      <w:r w:rsidRPr="004B45D5">
        <w:t xml:space="preserve"> capitated model for </w:t>
      </w:r>
      <w:r>
        <w:t xml:space="preserve">managed care eligible </w:t>
      </w:r>
      <w:r w:rsidRPr="004B45D5">
        <w:t xml:space="preserve">members under the age of 65. </w:t>
      </w:r>
    </w:p>
    <w:p w14:paraId="12952C8B" w14:textId="15D93A49" w:rsidR="00D01D90" w:rsidRDefault="00D01D90" w:rsidP="0DFD7F05">
      <w:pPr>
        <w:pStyle w:val="ListParagraph"/>
        <w:spacing w:after="240"/>
        <w:ind w:left="0"/>
        <w:rPr>
          <w:rFonts w:cs="Calibri"/>
        </w:rPr>
      </w:pPr>
      <w:r w:rsidRPr="0DFD7F05">
        <w:rPr>
          <w:rFonts w:cs="Calibri"/>
          <w:b/>
          <w:bCs/>
        </w:rPr>
        <w:t>Primary Care Clinician (PCC) Plan Program</w:t>
      </w:r>
      <w:r w:rsidRPr="0DFD7F05">
        <w:rPr>
          <w:rFonts w:cs="Calibri"/>
        </w:rPr>
        <w:t xml:space="preserve"> – A primary care case management model of managed care for members under </w:t>
      </w:r>
      <w:r w:rsidR="413FCA62" w:rsidRPr="0DFD7F05">
        <w:rPr>
          <w:rFonts w:cs="Calibri"/>
        </w:rPr>
        <w:t xml:space="preserve">the </w:t>
      </w:r>
      <w:r w:rsidRPr="0DFD7F05">
        <w:rPr>
          <w:rFonts w:cs="Calibri"/>
        </w:rPr>
        <w:t xml:space="preserve">age </w:t>
      </w:r>
      <w:r w:rsidR="432387E9" w:rsidRPr="0DFD7F05">
        <w:rPr>
          <w:rFonts w:cs="Calibri"/>
        </w:rPr>
        <w:t xml:space="preserve">of </w:t>
      </w:r>
      <w:r w:rsidRPr="0DFD7F05">
        <w:rPr>
          <w:rFonts w:cs="Calibri"/>
        </w:rPr>
        <w:t>65 and without any third-party insurance.  Members receive behavioral health services through the Managed Behavioral Health Vendor. MassHealth includes the PCC Plan (a PCCM) in the managed care strategy where appropriate.</w:t>
      </w:r>
    </w:p>
    <w:p w14:paraId="7FDA9341" w14:textId="77777777" w:rsidR="00D01D90" w:rsidRDefault="00D01D90" w:rsidP="00D01D90">
      <w:pPr>
        <w:pStyle w:val="ListBullet2"/>
        <w:numPr>
          <w:ilvl w:val="0"/>
          <w:numId w:val="0"/>
        </w:numPr>
        <w:spacing w:after="240"/>
        <w:contextualSpacing w:val="0"/>
        <w:rPr>
          <w:sz w:val="22"/>
        </w:rPr>
      </w:pPr>
      <w:r w:rsidRPr="361E8982">
        <w:rPr>
          <w:b/>
          <w:bCs/>
          <w:sz w:val="22"/>
        </w:rPr>
        <w:t xml:space="preserve">Managed Behavioral Health Vendor </w:t>
      </w:r>
      <w:r w:rsidRPr="361E8982">
        <w:rPr>
          <w:sz w:val="22"/>
        </w:rPr>
        <w:t xml:space="preserve">– A capitated behavioral health (BH) model that provides and/or manages behavioral health services to members of the PCC Plan and PCACOs, children in state custody and certain children </w:t>
      </w:r>
      <w:r w:rsidRPr="361E8982">
        <w:rPr>
          <w:color w:val="000000"/>
          <w:sz w:val="22"/>
          <w:shd w:val="clear" w:color="auto" w:fill="FFFFFF"/>
        </w:rPr>
        <w:t>enrolled in MassHealth, including children who have commercial insurance as their primary insurance.</w:t>
      </w:r>
    </w:p>
    <w:p w14:paraId="7F501EBE" w14:textId="4928D8D2" w:rsidR="00D01D90" w:rsidRPr="00E300A9" w:rsidRDefault="00D01D90" w:rsidP="0550ECD3">
      <w:pPr>
        <w:pStyle w:val="ListBullet2"/>
        <w:numPr>
          <w:ilvl w:val="0"/>
          <w:numId w:val="0"/>
        </w:numPr>
        <w:rPr>
          <w:color w:val="000000"/>
          <w:sz w:val="22"/>
          <w:shd w:val="clear" w:color="auto" w:fill="FFFFFF"/>
        </w:rPr>
      </w:pPr>
      <w:r w:rsidRPr="00E300A9">
        <w:rPr>
          <w:b/>
          <w:bCs/>
          <w:color w:val="000000"/>
          <w:sz w:val="22"/>
          <w:shd w:val="clear" w:color="auto" w:fill="FFFFFF"/>
        </w:rPr>
        <w:t xml:space="preserve">Integrated Care </w:t>
      </w:r>
      <w:r w:rsidRPr="559AEFB7">
        <w:rPr>
          <w:b/>
          <w:bCs/>
          <w:color w:val="000000"/>
          <w:sz w:val="22"/>
          <w:shd w:val="clear" w:color="auto" w:fill="FFFFFF"/>
        </w:rPr>
        <w:t>Program</w:t>
      </w:r>
      <w:r w:rsidRPr="53CACBC6">
        <w:rPr>
          <w:b/>
          <w:color w:val="000000" w:themeColor="text1"/>
          <w:sz w:val="22"/>
        </w:rPr>
        <w:t>s</w:t>
      </w:r>
      <w:r>
        <w:rPr>
          <w:color w:val="000000"/>
          <w:sz w:val="22"/>
          <w:shd w:val="clear" w:color="auto" w:fill="FFFFFF"/>
        </w:rPr>
        <w:t xml:space="preserve"> – T</w:t>
      </w:r>
      <w:r w:rsidRPr="0050004C">
        <w:rPr>
          <w:color w:val="000000"/>
          <w:sz w:val="22"/>
          <w:shd w:val="clear" w:color="auto" w:fill="FFFFFF"/>
        </w:rPr>
        <w:t>o bring more integrated, coordinated, and person-centered care options to dua</w:t>
      </w:r>
      <w:r>
        <w:rPr>
          <w:color w:val="000000"/>
          <w:sz w:val="22"/>
          <w:shd w:val="clear" w:color="auto" w:fill="FFFFFF"/>
        </w:rPr>
        <w:t>l</w:t>
      </w:r>
      <w:r w:rsidRPr="0050004C">
        <w:rPr>
          <w:color w:val="000000"/>
          <w:sz w:val="22"/>
          <w:shd w:val="clear" w:color="auto" w:fill="FFFFFF"/>
        </w:rPr>
        <w:t>l</w:t>
      </w:r>
      <w:r>
        <w:rPr>
          <w:color w:val="000000"/>
          <w:sz w:val="22"/>
          <w:shd w:val="clear" w:color="auto" w:fill="FFFFFF"/>
        </w:rPr>
        <w:t>y</w:t>
      </w:r>
      <w:r w:rsidRPr="0050004C">
        <w:rPr>
          <w:color w:val="000000"/>
          <w:sz w:val="22"/>
          <w:shd w:val="clear" w:color="auto" w:fill="FFFFFF"/>
        </w:rPr>
        <w:t xml:space="preserve"> eligible members, </w:t>
      </w:r>
      <w:r>
        <w:rPr>
          <w:color w:val="000000"/>
          <w:sz w:val="22"/>
          <w:shd w:val="clear" w:color="auto" w:fill="FFFFFF"/>
        </w:rPr>
        <w:t xml:space="preserve">MassHealth operates two </w:t>
      </w:r>
      <w:r w:rsidRPr="0050004C">
        <w:rPr>
          <w:color w:val="000000"/>
          <w:sz w:val="22"/>
          <w:shd w:val="clear" w:color="auto" w:fill="FFFFFF"/>
        </w:rPr>
        <w:t>programs</w:t>
      </w:r>
      <w:r>
        <w:rPr>
          <w:color w:val="000000"/>
          <w:sz w:val="22"/>
          <w:shd w:val="clear" w:color="auto" w:fill="FFFFFF"/>
        </w:rPr>
        <w:t xml:space="preserve"> for</w:t>
      </w:r>
      <w:r w:rsidRPr="0050004C">
        <w:rPr>
          <w:color w:val="000000"/>
          <w:sz w:val="22"/>
          <w:shd w:val="clear" w:color="auto" w:fill="FFFFFF"/>
        </w:rPr>
        <w:t xml:space="preserve"> </w:t>
      </w:r>
      <w:r>
        <w:rPr>
          <w:color w:val="000000"/>
          <w:sz w:val="22"/>
          <w:shd w:val="clear" w:color="auto" w:fill="FFFFFF"/>
        </w:rPr>
        <w:t>such</w:t>
      </w:r>
      <w:r w:rsidRPr="0050004C">
        <w:rPr>
          <w:color w:val="000000"/>
          <w:sz w:val="22"/>
          <w:shd w:val="clear" w:color="auto" w:fill="FFFFFF"/>
        </w:rPr>
        <w:t xml:space="preserve"> members </w:t>
      </w:r>
      <w:r w:rsidRPr="570AF4DF">
        <w:rPr>
          <w:color w:val="000000"/>
          <w:sz w:val="22"/>
          <w:shd w:val="clear" w:color="auto" w:fill="FFFFFF"/>
        </w:rPr>
        <w:t>ages</w:t>
      </w:r>
      <w:r w:rsidRPr="0050004C">
        <w:rPr>
          <w:color w:val="000000"/>
          <w:sz w:val="22"/>
          <w:shd w:val="clear" w:color="auto" w:fill="FFFFFF"/>
        </w:rPr>
        <w:t xml:space="preserve"> </w:t>
      </w:r>
      <w:r w:rsidRPr="7E74E576">
        <w:rPr>
          <w:color w:val="000000"/>
          <w:sz w:val="22"/>
          <w:shd w:val="clear" w:color="auto" w:fill="FFFFFF"/>
        </w:rPr>
        <w:t xml:space="preserve">21 to </w:t>
      </w:r>
      <w:r w:rsidRPr="0550ECD3">
        <w:rPr>
          <w:color w:val="000000"/>
          <w:sz w:val="22"/>
          <w:shd w:val="clear" w:color="auto" w:fill="FFFFFF"/>
        </w:rPr>
        <w:t>6</w:t>
      </w:r>
      <w:r w:rsidR="4D00C300" w:rsidRPr="0550ECD3">
        <w:rPr>
          <w:color w:val="000000"/>
          <w:sz w:val="22"/>
          <w:shd w:val="clear" w:color="auto" w:fill="FFFFFF"/>
        </w:rPr>
        <w:t>4</w:t>
      </w:r>
      <w:r w:rsidRPr="7E74E576">
        <w:rPr>
          <w:color w:val="000000"/>
          <w:sz w:val="22"/>
          <w:shd w:val="clear" w:color="auto" w:fill="FFFFFF"/>
        </w:rPr>
        <w:t xml:space="preserve"> at the time of enrollment,</w:t>
      </w:r>
      <w:r w:rsidRPr="0050004C">
        <w:rPr>
          <w:color w:val="000000"/>
          <w:sz w:val="22"/>
          <w:shd w:val="clear" w:color="auto" w:fill="FFFFFF"/>
        </w:rPr>
        <w:t xml:space="preserve"> and age 65</w:t>
      </w:r>
      <w:r>
        <w:rPr>
          <w:color w:val="000000"/>
          <w:sz w:val="22"/>
          <w:shd w:val="clear" w:color="auto" w:fill="FFFFFF"/>
        </w:rPr>
        <w:t xml:space="preserve"> or older</w:t>
      </w:r>
      <w:r w:rsidRPr="0050004C">
        <w:rPr>
          <w:color w:val="000000"/>
          <w:sz w:val="22"/>
          <w:shd w:val="clear" w:color="auto" w:fill="FFFFFF"/>
        </w:rPr>
        <w:t>, respectively</w:t>
      </w:r>
      <w:r>
        <w:rPr>
          <w:color w:val="000000"/>
          <w:sz w:val="22"/>
          <w:shd w:val="clear" w:color="auto" w:fill="FFFFFF"/>
        </w:rPr>
        <w:t>:</w:t>
      </w:r>
    </w:p>
    <w:p w14:paraId="3FB86239" w14:textId="04A67CDD" w:rsidR="00D01D90" w:rsidRPr="00AD5B16" w:rsidRDefault="00D01D90" w:rsidP="0939FE37">
      <w:pPr>
        <w:pStyle w:val="ListBullet2"/>
        <w:spacing w:before="120"/>
        <w:rPr>
          <w:color w:val="000000"/>
          <w:sz w:val="22"/>
          <w:shd w:val="clear" w:color="auto" w:fill="FFFFFF"/>
        </w:rPr>
      </w:pPr>
      <w:r w:rsidRPr="0939FE37">
        <w:rPr>
          <w:rFonts w:cs="Calibri"/>
          <w:b/>
          <w:bCs/>
          <w:sz w:val="22"/>
        </w:rPr>
        <w:t xml:space="preserve">One Care – </w:t>
      </w:r>
      <w:r w:rsidRPr="0939FE37">
        <w:rPr>
          <w:color w:val="000000"/>
          <w:sz w:val="22"/>
          <w:shd w:val="clear" w:color="auto" w:fill="FFFFFF"/>
        </w:rPr>
        <w:t xml:space="preserve">One Care is an integrated, comprehensive care option for persons with disabilities, ages 21-64 at the time of enrollment, who are eligible for both MassHealth and Medicare. One Care members receive both MassHealth and Medicare services, including all medical and behavioral health services and long-term services and </w:t>
      </w:r>
      <w:proofErr w:type="gramStart"/>
      <w:r w:rsidRPr="0939FE37">
        <w:rPr>
          <w:color w:val="000000"/>
          <w:sz w:val="22"/>
          <w:shd w:val="clear" w:color="auto" w:fill="FFFFFF"/>
        </w:rPr>
        <w:t>supports</w:t>
      </w:r>
      <w:proofErr w:type="gramEnd"/>
      <w:r w:rsidR="715A77C1" w:rsidRPr="0550ECD3">
        <w:rPr>
          <w:color w:val="000000"/>
          <w:sz w:val="22"/>
          <w:shd w:val="clear" w:color="auto" w:fill="FFFFFF"/>
        </w:rPr>
        <w:t>,</w:t>
      </w:r>
      <w:r w:rsidRPr="0939FE37">
        <w:rPr>
          <w:color w:val="000000"/>
          <w:sz w:val="22"/>
          <w:shd w:val="clear" w:color="auto" w:fill="FFFFFF"/>
        </w:rPr>
        <w:t xml:space="preserve"> through health plans that promote the provision of integrated care. </w:t>
      </w:r>
    </w:p>
    <w:p w14:paraId="1F9D00A5" w14:textId="57861263" w:rsidR="00D01D90" w:rsidRPr="00A77592" w:rsidRDefault="00D01D90" w:rsidP="0939FE37">
      <w:pPr>
        <w:pStyle w:val="ListBullet2"/>
        <w:spacing w:before="120"/>
        <w:rPr>
          <w:color w:val="000000"/>
          <w:sz w:val="22"/>
          <w:shd w:val="clear" w:color="auto" w:fill="FFFFFF"/>
        </w:rPr>
      </w:pPr>
      <w:r w:rsidRPr="0939FE37">
        <w:rPr>
          <w:rFonts w:cs="Calibri"/>
          <w:b/>
          <w:bCs/>
          <w:sz w:val="22"/>
        </w:rPr>
        <w:t>Senior Care Options (SCO)</w:t>
      </w:r>
      <w:r w:rsidRPr="0939FE37">
        <w:rPr>
          <w:rFonts w:cs="Calibri"/>
          <w:sz w:val="22"/>
        </w:rPr>
        <w:t xml:space="preserve"> – Dual Eligible Special Needs Plans (D-SNP) for </w:t>
      </w:r>
      <w:r w:rsidRPr="0939FE37">
        <w:rPr>
          <w:sz w:val="22"/>
        </w:rPr>
        <w:t>MassHealth and</w:t>
      </w:r>
      <w:r w:rsidRPr="0939FE37" w:rsidDel="00315A4A">
        <w:rPr>
          <w:sz w:val="22"/>
        </w:rPr>
        <w:t xml:space="preserve"> </w:t>
      </w:r>
      <w:r w:rsidRPr="0939FE37">
        <w:rPr>
          <w:color w:val="000000"/>
          <w:sz w:val="22"/>
          <w:shd w:val="clear" w:color="auto" w:fill="FFFFFF"/>
        </w:rPr>
        <w:t xml:space="preserve">dual eligible members aged 65 and older. SCO plans provide </w:t>
      </w:r>
      <w:proofErr w:type="gramStart"/>
      <w:r w:rsidRPr="0939FE37">
        <w:rPr>
          <w:color w:val="000000"/>
          <w:sz w:val="22"/>
          <w:shd w:val="clear" w:color="auto" w:fill="FFFFFF"/>
        </w:rPr>
        <w:t>full</w:t>
      </w:r>
      <w:proofErr w:type="gramEnd"/>
      <w:r w:rsidRPr="0939FE37">
        <w:rPr>
          <w:color w:val="000000"/>
          <w:sz w:val="22"/>
          <w:shd w:val="clear" w:color="auto" w:fill="FFFFFF"/>
        </w:rPr>
        <w:t xml:space="preserve"> range of medical, behavioral health, and long-term services and </w:t>
      </w:r>
      <w:proofErr w:type="gramStart"/>
      <w:r w:rsidRPr="0939FE37">
        <w:rPr>
          <w:color w:val="000000"/>
          <w:sz w:val="22"/>
          <w:shd w:val="clear" w:color="auto" w:fill="FFFFFF"/>
        </w:rPr>
        <w:t>supports</w:t>
      </w:r>
      <w:proofErr w:type="gramEnd"/>
      <w:r w:rsidRPr="0939FE37">
        <w:rPr>
          <w:color w:val="000000"/>
          <w:sz w:val="22"/>
          <w:shd w:val="clear" w:color="auto" w:fill="FFFFFF"/>
        </w:rPr>
        <w:t>. SCO offers quality health care by combining health services with social support services. SCO coordinates care and specialized geriatric support services along with respite care for families and caregivers.</w:t>
      </w:r>
    </w:p>
    <w:p w14:paraId="652E8EE8" w14:textId="31D558E2" w:rsidR="00D01D90" w:rsidRDefault="00D01D90" w:rsidP="00D01D90">
      <w:pPr>
        <w:spacing w:before="120"/>
      </w:pPr>
      <w:r>
        <w:t xml:space="preserve">In accordance with the managed care rule, the Accountable Care Partnership Plan, MCO, One Care and SCO programs are considered MCOs, and for the purposes of this document, will be referred to as managed care entities (MCEs). Primary Care ACOs are considered primary care case management entities (PCCM entities). The PCC Plan is considered a PCCM.  MassHealth’s Managed Behavioral Health Vendor, which serves members enrolled in the PCC Plan and Primary Care ACOs, and certain other populations is a Prepaid Inpatient Health Plan (PIHP) and is also referred to as Managed BH Vendor in this document. MassHealth does not contract with any Prepaid Ambulatory Health Plans (PAHPs) as </w:t>
      </w:r>
      <w:r>
        <w:lastRenderedPageBreak/>
        <w:t>defined in 42 CFR 438.2. The CQS under 42 CFR 438.340 relates</w:t>
      </w:r>
      <w:r w:rsidR="4DC7AAF3">
        <w:t xml:space="preserve">, </w:t>
      </w:r>
      <w:r>
        <w:t xml:space="preserve">but is not limited </w:t>
      </w:r>
      <w:proofErr w:type="gramStart"/>
      <w:r>
        <w:t>to</w:t>
      </w:r>
      <w:r w:rsidR="1B4338AD">
        <w:t>,</w:t>
      </w:r>
      <w:proofErr w:type="gramEnd"/>
      <w:r>
        <w:t xml:space="preserve"> MCEs, PIHPs, and to PCCM entities as described in 42 CFR 438.310(c)(2). </w:t>
      </w:r>
    </w:p>
    <w:p w14:paraId="46D48192" w14:textId="7176B686" w:rsidR="0020648E" w:rsidRDefault="00BB7CBB" w:rsidP="00D70792">
      <w:pPr>
        <w:spacing w:before="120"/>
        <w:rPr>
          <w:rFonts w:cs="Calibri"/>
        </w:rPr>
      </w:pPr>
      <w:r w:rsidRPr="007C617B">
        <w:rPr>
          <w:rFonts w:cs="Calibri"/>
        </w:rPr>
        <w:t>Though not required to comply with managed care rule</w:t>
      </w:r>
      <w:r>
        <w:rPr>
          <w:rFonts w:cs="Calibri"/>
        </w:rPr>
        <w:t>s</w:t>
      </w:r>
      <w:r w:rsidRPr="007C617B">
        <w:rPr>
          <w:rFonts w:cs="Calibri"/>
        </w:rPr>
        <w:t xml:space="preserve">, </w:t>
      </w:r>
      <w:proofErr w:type="gramStart"/>
      <w:r>
        <w:rPr>
          <w:rFonts w:cs="Calibri"/>
        </w:rPr>
        <w:t>the CQS</w:t>
      </w:r>
      <w:proofErr w:type="gramEnd"/>
      <w:r w:rsidRPr="007C617B">
        <w:rPr>
          <w:rFonts w:cs="Calibri"/>
        </w:rPr>
        <w:t xml:space="preserve"> includes the PCC Plan (a PCCM) in the managed care strategy </w:t>
      </w:r>
      <w:r>
        <w:rPr>
          <w:rFonts w:cs="Calibri"/>
        </w:rPr>
        <w:t xml:space="preserve">and evaluation </w:t>
      </w:r>
      <w:r w:rsidRPr="007C617B">
        <w:rPr>
          <w:rFonts w:cs="Calibri"/>
        </w:rPr>
        <w:t>where appropriate.</w:t>
      </w:r>
    </w:p>
    <w:p w14:paraId="21D34C4B" w14:textId="2FF3946A" w:rsidR="00753CD6" w:rsidRPr="00AD6B7A" w:rsidRDefault="00753CD6" w:rsidP="00ED0C2F">
      <w:pPr>
        <w:pStyle w:val="Heading2"/>
        <w:spacing w:after="120"/>
      </w:pPr>
      <w:bookmarkStart w:id="4" w:name="_Toc190440053"/>
      <w:r>
        <w:t>Evaluation Methodology</w:t>
      </w:r>
      <w:bookmarkEnd w:id="4"/>
    </w:p>
    <w:p w14:paraId="425AE86E" w14:textId="4252B0CA" w:rsidR="00753CD6" w:rsidRDefault="00753CD6" w:rsidP="692C77C9">
      <w:r>
        <w:t xml:space="preserve">The evidence base for this CQS </w:t>
      </w:r>
      <w:r w:rsidR="2D98DAE2">
        <w:t>evaluation</w:t>
      </w:r>
      <w:r>
        <w:t xml:space="preserve"> </w:t>
      </w:r>
      <w:r w:rsidR="0000739C">
        <w:t>includes</w:t>
      </w:r>
      <w:r>
        <w:t xml:space="preserve"> MassHealth quality measure performance rates from the three-year period from Measurement Year (MY) 20</w:t>
      </w:r>
      <w:r w:rsidR="008A1A9C">
        <w:t>20</w:t>
      </w:r>
      <w:r>
        <w:t xml:space="preserve"> through 202</w:t>
      </w:r>
      <w:r w:rsidR="008A1A9C">
        <w:t>2</w:t>
      </w:r>
      <w:r>
        <w:t xml:space="preserve"> (1/1/20</w:t>
      </w:r>
      <w:r w:rsidR="008A1A9C">
        <w:t>20</w:t>
      </w:r>
      <w:r>
        <w:t xml:space="preserve"> – 12/31/202</w:t>
      </w:r>
      <w:r w:rsidR="008A1A9C">
        <w:t>2</w:t>
      </w:r>
      <w:r>
        <w:t xml:space="preserve">). </w:t>
      </w:r>
      <w:r w:rsidR="0020648E">
        <w:t>MassHealth</w:t>
      </w:r>
      <w:r>
        <w:t xml:space="preserve"> used </w:t>
      </w:r>
      <w:r w:rsidR="16D8048F">
        <w:t>three</w:t>
      </w:r>
      <w:r>
        <w:t xml:space="preserve"> major criteria in selecting quality measures for inclusion in this </w:t>
      </w:r>
      <w:r w:rsidR="00221976">
        <w:t>E</w:t>
      </w:r>
      <w:r>
        <w:t>valuation:</w:t>
      </w:r>
    </w:p>
    <w:p w14:paraId="3493A871" w14:textId="47BFA3B5" w:rsidR="00753CD6" w:rsidRDefault="00753CD6">
      <w:pPr>
        <w:pStyle w:val="ListParagraph"/>
        <w:numPr>
          <w:ilvl w:val="0"/>
          <w:numId w:val="15"/>
        </w:numPr>
        <w:ind w:left="720"/>
      </w:pPr>
      <w:r>
        <w:t>Alignment with the original quality strategy goals</w:t>
      </w:r>
      <w:r w:rsidR="30C8F54C">
        <w:t xml:space="preserve"> and objectives</w:t>
      </w:r>
      <w:r>
        <w:t xml:space="preserve">, as presented in the </w:t>
      </w:r>
      <w:proofErr w:type="gramStart"/>
      <w:r w:rsidR="00221976">
        <w:t>CQS</w:t>
      </w:r>
      <w:r>
        <w:t>;</w:t>
      </w:r>
      <w:proofErr w:type="gramEnd"/>
    </w:p>
    <w:p w14:paraId="33ADA1D9" w14:textId="20AED82E" w:rsidR="00753CD6" w:rsidRDefault="2655A443">
      <w:pPr>
        <w:pStyle w:val="ListParagraph"/>
        <w:numPr>
          <w:ilvl w:val="0"/>
          <w:numId w:val="15"/>
        </w:numPr>
        <w:ind w:left="720"/>
      </w:pPr>
      <w:r>
        <w:t>Alignment with the CMS Core Measure Sets, as recommended in CMS’s Medicaid and CHIP Managed Care Quality Strategy Toolkit</w:t>
      </w:r>
      <w:r w:rsidR="770741E5">
        <w:t xml:space="preserve">; and </w:t>
      </w:r>
    </w:p>
    <w:p w14:paraId="562C7982" w14:textId="61975629" w:rsidR="692C77C9" w:rsidRPr="00B51C5A" w:rsidRDefault="0175C246">
      <w:pPr>
        <w:pStyle w:val="ListParagraph"/>
        <w:numPr>
          <w:ilvl w:val="0"/>
          <w:numId w:val="15"/>
        </w:numPr>
        <w:ind w:left="720"/>
      </w:pPr>
      <w:r w:rsidRPr="692C77C9">
        <w:t xml:space="preserve">Alignment with measure slates used </w:t>
      </w:r>
      <w:r w:rsidR="35F44C2D" w:rsidRPr="692C77C9">
        <w:t xml:space="preserve">to assess MCP contract </w:t>
      </w:r>
      <w:r w:rsidR="4346D61C" w:rsidRPr="692C77C9">
        <w:t>performance</w:t>
      </w:r>
      <w:r w:rsidR="35F44C2D" w:rsidRPr="692C77C9">
        <w:t xml:space="preserve">. </w:t>
      </w:r>
    </w:p>
    <w:p w14:paraId="013D884F" w14:textId="61F2B287" w:rsidR="00753CD6" w:rsidRDefault="2655A443" w:rsidP="00753CD6">
      <w:r>
        <w:t xml:space="preserve">In evaluating performance, </w:t>
      </w:r>
      <w:r w:rsidR="13753CDD">
        <w:t>MassHealth</w:t>
      </w:r>
      <w:r>
        <w:t xml:space="preserve"> </w:t>
      </w:r>
      <w:r w:rsidR="091C2A81">
        <w:t>looked at</w:t>
      </w:r>
      <w:r>
        <w:t>:</w:t>
      </w:r>
    </w:p>
    <w:p w14:paraId="30A2F566" w14:textId="43B62714" w:rsidR="00753CD6" w:rsidRDefault="461D9FDE">
      <w:pPr>
        <w:pStyle w:val="ListParagraph"/>
        <w:numPr>
          <w:ilvl w:val="0"/>
          <w:numId w:val="14"/>
        </w:numPr>
      </w:pPr>
      <w:r>
        <w:t>Change in measure rates from baseline year (MY 20</w:t>
      </w:r>
      <w:r w:rsidR="00187455">
        <w:t>20</w:t>
      </w:r>
      <w:r>
        <w:t>) to comparison year (MY 202</w:t>
      </w:r>
      <w:r w:rsidR="00187455">
        <w:t>2</w:t>
      </w:r>
      <w:r>
        <w:t>),</w:t>
      </w:r>
      <w:r w:rsidR="24919958">
        <w:t xml:space="preserve"> </w:t>
      </w:r>
      <w:r w:rsidR="770B7E3E">
        <w:t>and</w:t>
      </w:r>
      <w:r w:rsidR="7E01A7AE">
        <w:t xml:space="preserve"> </w:t>
      </w:r>
      <w:r w:rsidR="24919958">
        <w:t>directionality</w:t>
      </w:r>
      <w:r w:rsidR="3A9FCCE6">
        <w:t xml:space="preserve"> over the three measurement periods </w:t>
      </w:r>
      <w:r w:rsidR="24919958">
        <w:t>(MY</w:t>
      </w:r>
      <w:r w:rsidR="00410180">
        <w:t xml:space="preserve"> </w:t>
      </w:r>
      <w:r w:rsidR="24919958">
        <w:t>20</w:t>
      </w:r>
      <w:r w:rsidR="00187455">
        <w:t>20</w:t>
      </w:r>
      <w:r w:rsidR="24919958">
        <w:t>-MY</w:t>
      </w:r>
      <w:r w:rsidR="00410180">
        <w:t xml:space="preserve"> </w:t>
      </w:r>
      <w:r w:rsidR="24919958">
        <w:t>202</w:t>
      </w:r>
      <w:r w:rsidR="00187455">
        <w:t>2</w:t>
      </w:r>
      <w:r w:rsidR="24919958">
        <w:t>)</w:t>
      </w:r>
      <w:r>
        <w:t xml:space="preserve"> and</w:t>
      </w:r>
    </w:p>
    <w:p w14:paraId="76AD1475" w14:textId="7A5DFB2A" w:rsidR="00753CD6" w:rsidRDefault="2655A443">
      <w:pPr>
        <w:pStyle w:val="ListParagraph"/>
        <w:numPr>
          <w:ilvl w:val="0"/>
          <w:numId w:val="14"/>
        </w:numPr>
      </w:pPr>
      <w:r>
        <w:t>Comparison of MassHealth measure rates for MY 202</w:t>
      </w:r>
      <w:r w:rsidR="00187455">
        <w:t>2</w:t>
      </w:r>
      <w:r>
        <w:t xml:space="preserve"> to national benchmarks (</w:t>
      </w:r>
      <w:r w:rsidR="64517036">
        <w:t xml:space="preserve">e.g., </w:t>
      </w:r>
      <w:r>
        <w:t>NCQA Quality Compass National Medicaid</w:t>
      </w:r>
      <w:r w:rsidR="005A5F60">
        <w:t xml:space="preserve"> and Medicare</w:t>
      </w:r>
      <w:r>
        <w:t xml:space="preserve"> 75</w:t>
      </w:r>
      <w:r w:rsidRPr="76C29537">
        <w:rPr>
          <w:vertAlign w:val="superscript"/>
        </w:rPr>
        <w:t>th</w:t>
      </w:r>
      <w:r>
        <w:t xml:space="preserve"> percentile rate)</w:t>
      </w:r>
      <w:r w:rsidR="001308BC">
        <w:t xml:space="preserve">, and program specific </w:t>
      </w:r>
      <w:r w:rsidR="005A5F60">
        <w:t>benchmarks</w:t>
      </w:r>
      <w:r w:rsidR="001308BC">
        <w:t>.</w:t>
      </w:r>
    </w:p>
    <w:p w14:paraId="68F6C001" w14:textId="69EC15D1" w:rsidR="00753CD6" w:rsidRPr="00D37B9D" w:rsidRDefault="00753CD6" w:rsidP="0939FE37">
      <w:r>
        <w:t xml:space="preserve">For each measure, </w:t>
      </w:r>
      <w:r w:rsidR="00D91404">
        <w:t>MassHealth</w:t>
      </w:r>
      <w:r>
        <w:t xml:space="preserve"> note</w:t>
      </w:r>
      <w:r w:rsidR="005E4D71">
        <w:t>d</w:t>
      </w:r>
      <w:r>
        <w:t xml:space="preserve"> whether MassHealth’s aggregate</w:t>
      </w:r>
      <w:r w:rsidR="4707C930">
        <w:t xml:space="preserve"> performance</w:t>
      </w:r>
      <w:r>
        <w:t xml:space="preserve"> (weighted mean across plans) in MY 202</w:t>
      </w:r>
      <w:r w:rsidR="00227E54">
        <w:t>2</w:t>
      </w:r>
      <w:r>
        <w:t xml:space="preserve"> </w:t>
      </w:r>
      <w:r w:rsidR="005E4D71">
        <w:t>was</w:t>
      </w:r>
      <w:r>
        <w:t xml:space="preserve"> equal to</w:t>
      </w:r>
      <w:r w:rsidR="51216D7F">
        <w:t>,</w:t>
      </w:r>
      <w:r>
        <w:t xml:space="preserve"> or better than</w:t>
      </w:r>
      <w:r w:rsidR="391670DA">
        <w:t>,</w:t>
      </w:r>
      <w:r>
        <w:t xml:space="preserve"> the</w:t>
      </w:r>
      <w:r w:rsidR="00DC3AC6">
        <w:t xml:space="preserve"> identified benchmark</w:t>
      </w:r>
      <w:r w:rsidR="007E0D1E">
        <w:t>.</w:t>
      </w:r>
      <w:r>
        <w:t xml:space="preserve"> </w:t>
      </w:r>
      <w:r w:rsidR="007E0D1E">
        <w:t>I</w:t>
      </w:r>
      <w:r>
        <w:t xml:space="preserve">f not, </w:t>
      </w:r>
      <w:r w:rsidR="007E0D1E">
        <w:t>MassH</w:t>
      </w:r>
      <w:r w:rsidR="00B80B4F">
        <w:t xml:space="preserve">ealth </w:t>
      </w:r>
      <w:r w:rsidR="00231055">
        <w:t xml:space="preserve">considered </w:t>
      </w:r>
      <w:r>
        <w:t>whether the MassHealth rate ha</w:t>
      </w:r>
      <w:r w:rsidR="00231055">
        <w:t>d</w:t>
      </w:r>
      <w:r>
        <w:t xml:space="preserve"> improved from MY 20</w:t>
      </w:r>
      <w:r w:rsidR="00DC3AC6">
        <w:t>20</w:t>
      </w:r>
      <w:r>
        <w:t xml:space="preserve"> to MY 202</w:t>
      </w:r>
      <w:r w:rsidR="00DC3AC6">
        <w:t>2</w:t>
      </w:r>
      <w:r>
        <w:t xml:space="preserve"> using the “Gap to Goal” methodology outlined in CMS’s guidance to Medicare-Medicaid programs on Quality Withhold methodology (available at </w:t>
      </w:r>
      <w:hyperlink r:id="rId14">
        <w:r w:rsidR="002E5288" w:rsidRPr="0939FE37">
          <w:rPr>
            <w:rStyle w:val="Hyperlink"/>
          </w:rPr>
          <w:t>MMP Quality Withhold Technical Notes for DY 2 through 12</w:t>
        </w:r>
      </w:hyperlink>
      <w:r>
        <w:t>). Where MassHealth’s MY 202</w:t>
      </w:r>
      <w:r w:rsidR="00D34A00">
        <w:t>2</w:t>
      </w:r>
      <w:r>
        <w:t xml:space="preserve"> measure rate met/exceed</w:t>
      </w:r>
      <w:r w:rsidR="00231055">
        <w:t>ed</w:t>
      </w:r>
      <w:r>
        <w:t xml:space="preserve"> the benchmark or met/exceed</w:t>
      </w:r>
      <w:r w:rsidR="006F3930">
        <w:t>ed</w:t>
      </w:r>
      <w:r>
        <w:t xml:space="preserve"> the Gap to Goal improvement target, </w:t>
      </w:r>
      <w:r w:rsidR="00842202">
        <w:t>MassHealth</w:t>
      </w:r>
      <w:r>
        <w:t xml:space="preserve"> indicate</w:t>
      </w:r>
      <w:r w:rsidR="006F3930">
        <w:t>d</w:t>
      </w:r>
      <w:r>
        <w:t xml:space="preserve"> this by highlighting the cell containing either the benchmark or the Gap to Goal target, as appropriate.</w:t>
      </w:r>
    </w:p>
    <w:p w14:paraId="5D30D362" w14:textId="057C1F32" w:rsidR="00753CD6" w:rsidRDefault="00753CD6" w:rsidP="00753CD6">
      <w:r>
        <w:t xml:space="preserve">The body of this report will present data on </w:t>
      </w:r>
      <w:r w:rsidR="1547811C">
        <w:t xml:space="preserve">only a </w:t>
      </w:r>
      <w:r>
        <w:t>subset of measures</w:t>
      </w:r>
      <w:r w:rsidR="00560916">
        <w:t xml:space="preserve"> </w:t>
      </w:r>
      <w:r>
        <w:t xml:space="preserve">that clearly relate to the quality goals referenced in </w:t>
      </w:r>
      <w:r w:rsidR="002A58B2">
        <w:t>the CQS</w:t>
      </w:r>
      <w:r>
        <w:t xml:space="preserve">. For </w:t>
      </w:r>
      <w:r w:rsidR="00E37DCB">
        <w:t>some</w:t>
      </w:r>
      <w:r w:rsidR="3DE36B22">
        <w:t xml:space="preserve"> </w:t>
      </w:r>
      <w:r w:rsidR="00E37DCB">
        <w:t>objectives</w:t>
      </w:r>
      <w:r>
        <w:t xml:space="preserve">, </w:t>
      </w:r>
      <w:r w:rsidR="0020648E">
        <w:t>MassHealth</w:t>
      </w:r>
      <w:r>
        <w:t xml:space="preserve"> provide</w:t>
      </w:r>
      <w:r w:rsidR="0020648E">
        <w:t>s</w:t>
      </w:r>
      <w:r>
        <w:t xml:space="preserve"> a narrative </w:t>
      </w:r>
      <w:r w:rsidR="004333CA">
        <w:t xml:space="preserve">response </w:t>
      </w:r>
      <w:r w:rsidR="48497B2D">
        <w:t xml:space="preserve">for which </w:t>
      </w:r>
      <w:r w:rsidR="00325E5C">
        <w:t xml:space="preserve">there is not a quantifiable metric to meaningfully evaluate </w:t>
      </w:r>
      <w:r w:rsidR="00FD6230">
        <w:t>progress, or</w:t>
      </w:r>
      <w:r w:rsidR="000E5717">
        <w:t xml:space="preserve"> where MassHealth is still in the process of developing </w:t>
      </w:r>
      <w:r w:rsidR="658BB809">
        <w:t xml:space="preserve">a </w:t>
      </w:r>
      <w:r w:rsidR="000E5717">
        <w:t xml:space="preserve">methodology to assess performance, </w:t>
      </w:r>
      <w:r>
        <w:t>as is the case with</w:t>
      </w:r>
      <w:r w:rsidR="000E5717">
        <w:t xml:space="preserve"> health disparity reductions.</w:t>
      </w:r>
    </w:p>
    <w:p w14:paraId="2589760C" w14:textId="05C56C1A" w:rsidR="002C3D2B" w:rsidDel="002C3D2B" w:rsidRDefault="56C78823" w:rsidP="00BC2F64">
      <w:pPr>
        <w:tabs>
          <w:tab w:val="left" w:pos="720"/>
        </w:tabs>
        <w:spacing w:after="240"/>
      </w:pPr>
      <w:r w:rsidRPr="76C9A50B">
        <w:rPr>
          <w:rFonts w:eastAsia="Times New Roman" w:cs="Calibri"/>
        </w:rPr>
        <w:t>The metrics used to evaluate the effectiveness of the quality strategy are closely aligned with the measure slates used to assess MCP contract performance.</w:t>
      </w:r>
      <w:r w:rsidR="2C83B155" w:rsidRPr="76C9A50B">
        <w:rPr>
          <w:rFonts w:eastAsia="Times New Roman" w:cs="Calibri"/>
        </w:rPr>
        <w:t xml:space="preserve"> </w:t>
      </w:r>
      <w:r w:rsidRPr="76C9A50B">
        <w:rPr>
          <w:rFonts w:eastAsia="Times New Roman" w:cs="Calibri"/>
        </w:rPr>
        <w:t xml:space="preserve">As a general practice, MassHealth uses standardized measure sets to evaluate both statewide and contract-level quality performance, drawing primarily on the Adult and Child Core </w:t>
      </w:r>
      <w:r w:rsidR="007D7DF5" w:rsidRPr="76C9A50B">
        <w:rPr>
          <w:rFonts w:eastAsia="Times New Roman" w:cs="Calibri"/>
        </w:rPr>
        <w:t xml:space="preserve">Sets </w:t>
      </w:r>
      <w:r w:rsidRPr="76C9A50B">
        <w:rPr>
          <w:rFonts w:eastAsia="Times New Roman" w:cs="Calibri"/>
        </w:rPr>
        <w:t xml:space="preserve">and HEDIS measures. MassHealth has endeavored to align quality measures </w:t>
      </w:r>
      <w:r w:rsidR="2986E533" w:rsidRPr="76C9A50B">
        <w:rPr>
          <w:rFonts w:eastAsia="Times New Roman" w:cs="Calibri"/>
        </w:rPr>
        <w:t>used to assess MC</w:t>
      </w:r>
      <w:r w:rsidR="56AC928A" w:rsidRPr="76C9A50B">
        <w:rPr>
          <w:rFonts w:eastAsia="Times New Roman" w:cs="Calibri"/>
        </w:rPr>
        <w:t>P</w:t>
      </w:r>
      <w:r w:rsidR="2986E533" w:rsidRPr="76C9A50B">
        <w:rPr>
          <w:rFonts w:eastAsia="Times New Roman" w:cs="Calibri"/>
        </w:rPr>
        <w:t xml:space="preserve"> performance </w:t>
      </w:r>
      <w:r w:rsidRPr="76C9A50B">
        <w:rPr>
          <w:rFonts w:eastAsia="Times New Roman" w:cs="Calibri"/>
        </w:rPr>
        <w:t xml:space="preserve">across the organization wherever possible. MassHealth modifies or adapts measures where appropriate to reflect the unique program populations served. </w:t>
      </w:r>
    </w:p>
    <w:p w14:paraId="352A3B75" w14:textId="1D65F318" w:rsidR="00730D03" w:rsidRDefault="002C3D2B" w:rsidP="692C77C9">
      <w:pPr>
        <w:tabs>
          <w:tab w:val="left" w:pos="720"/>
        </w:tabs>
      </w:pPr>
      <w:r>
        <w:t xml:space="preserve">A set of appendices at the end of this Evaluation </w:t>
      </w:r>
      <w:r w:rsidR="0092443C">
        <w:t>provides detailed</w:t>
      </w:r>
      <w:r>
        <w:t xml:space="preserve"> performance data for contractually required quality metrics and the CMS Adult and Child Core Sets.</w:t>
      </w:r>
    </w:p>
    <w:p w14:paraId="3037BDB7" w14:textId="65E1EACE" w:rsidR="00753CD6" w:rsidRPr="00744007" w:rsidRDefault="00753CD6" w:rsidP="00F35AB3">
      <w:pPr>
        <w:pStyle w:val="Heading2"/>
      </w:pPr>
      <w:bookmarkStart w:id="5" w:name="_Toc190440054"/>
      <w:r>
        <w:lastRenderedPageBreak/>
        <w:t>MassHealth CQS Quality Goals</w:t>
      </w:r>
      <w:r w:rsidR="007E3FBE">
        <w:t>,</w:t>
      </w:r>
      <w:r w:rsidR="00B54208">
        <w:t xml:space="preserve"> </w:t>
      </w:r>
      <w:r>
        <w:t>Measures</w:t>
      </w:r>
      <w:r w:rsidR="007E3FBE">
        <w:t xml:space="preserve"> and Performance</w:t>
      </w:r>
      <w:bookmarkEnd w:id="5"/>
    </w:p>
    <w:p w14:paraId="406353D4" w14:textId="30A13AC2" w:rsidR="00AF648F" w:rsidRPr="009069AE" w:rsidRDefault="00AF648F" w:rsidP="00753CD6">
      <w:pPr>
        <w:spacing w:before="360"/>
        <w:rPr>
          <w:rStyle w:val="SubtleEmphasis"/>
        </w:rPr>
      </w:pPr>
    </w:p>
    <w:tbl>
      <w:tblPr>
        <w:tblpPr w:leftFromText="180" w:rightFromText="180" w:vertAnchor="text" w:horzAnchor="margin" w:tblpXSpec="right" w:tblpY="-251"/>
        <w:tblW w:w="95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of the quality goals and objectives to improve health care delivery, experience and outcome"/>
        <w:tblDescription w:val="This table lists the quality goasl and objectives to improve health care delvery, experience and outcomes that promote better and equitable, value based and patient centered care"/>
      </w:tblPr>
      <w:tblGrid>
        <w:gridCol w:w="812"/>
        <w:gridCol w:w="8767"/>
      </w:tblGrid>
      <w:tr w:rsidR="0063511C" w:rsidRPr="00915FCC" w14:paraId="1EDB5B55" w14:textId="77777777">
        <w:trPr>
          <w:trHeight w:val="165"/>
          <w:tblHeader/>
        </w:trPr>
        <w:tc>
          <w:tcPr>
            <w:tcW w:w="9579" w:type="dxa"/>
            <w:gridSpan w:val="2"/>
            <w:tcBorders>
              <w:top w:val="nil"/>
              <w:left w:val="nil"/>
              <w:bottom w:val="nil"/>
              <w:right w:val="nil"/>
            </w:tcBorders>
            <w:shd w:val="clear" w:color="auto" w:fill="auto"/>
          </w:tcPr>
          <w:p w14:paraId="7B203D44" w14:textId="30A709FF" w:rsidR="0063511C" w:rsidRPr="005C70A3" w:rsidRDefault="0063511C" w:rsidP="001A2EE8">
            <w:pPr>
              <w:spacing w:before="120" w:after="100" w:afterAutospacing="1"/>
              <w:textAlignment w:val="baseline"/>
              <w:rPr>
                <w:rFonts w:eastAsia="Times New Roman" w:cs="Calibri"/>
                <w:b/>
                <w:bCs/>
                <w:sz w:val="24"/>
                <w:szCs w:val="24"/>
              </w:rPr>
            </w:pPr>
          </w:p>
        </w:tc>
      </w:tr>
      <w:tr w:rsidR="00AF648F" w:rsidRPr="00915FCC" w14:paraId="10647DB8" w14:textId="77777777" w:rsidTr="00BE636E">
        <w:trPr>
          <w:trHeight w:val="60"/>
          <w:tblHeader/>
        </w:trPr>
        <w:tc>
          <w:tcPr>
            <w:tcW w:w="9579" w:type="dxa"/>
            <w:gridSpan w:val="2"/>
            <w:tcBorders>
              <w:top w:val="nil"/>
              <w:left w:val="nil"/>
              <w:bottom w:val="single" w:sz="4" w:space="0" w:color="auto"/>
              <w:right w:val="nil"/>
            </w:tcBorders>
            <w:shd w:val="clear" w:color="auto" w:fill="auto"/>
          </w:tcPr>
          <w:p w14:paraId="53D0E816" w14:textId="7A3C5BC2" w:rsidR="00AF648F" w:rsidRPr="00112A85" w:rsidRDefault="001A2EE8" w:rsidP="00603B12">
            <w:pPr>
              <w:spacing w:after="0"/>
              <w:textAlignment w:val="baseline"/>
              <w:rPr>
                <w:rStyle w:val="IntenseEmphasis"/>
                <w:color w:val="4176B2"/>
              </w:rPr>
            </w:pPr>
            <w:r w:rsidRPr="00112A85">
              <w:rPr>
                <w:rStyle w:val="IntenseEmphasis"/>
                <w:color w:val="4176B2"/>
              </w:rPr>
              <w:t xml:space="preserve">Table 1: MassHealth Quality Goals and </w:t>
            </w:r>
            <w:r w:rsidR="00BE636E" w:rsidRPr="00112A85">
              <w:rPr>
                <w:rStyle w:val="IntenseEmphasis"/>
                <w:color w:val="4176B2"/>
              </w:rPr>
              <w:t>Objectives: Improve Healthcare Delivery, Experience, and Outcomes</w:t>
            </w:r>
          </w:p>
        </w:tc>
      </w:tr>
      <w:tr w:rsidR="00BE636E" w:rsidRPr="00926101" w14:paraId="642204C3" w14:textId="77777777" w:rsidTr="00BE636E">
        <w:trPr>
          <w:trHeight w:val="525"/>
          <w:tblHeader/>
        </w:trPr>
        <w:tc>
          <w:tcPr>
            <w:tcW w:w="812" w:type="dxa"/>
            <w:tcBorders>
              <w:top w:val="single" w:sz="4" w:space="0" w:color="auto"/>
              <w:left w:val="single" w:sz="4" w:space="0" w:color="auto"/>
              <w:bottom w:val="single" w:sz="4" w:space="0" w:color="auto"/>
              <w:right w:val="nil"/>
            </w:tcBorders>
            <w:shd w:val="clear" w:color="auto" w:fill="D9E2F3" w:themeFill="accent1" w:themeFillTint="33"/>
          </w:tcPr>
          <w:p w14:paraId="604B88A5" w14:textId="77777777" w:rsidR="00BE636E" w:rsidRPr="00926101" w:rsidRDefault="00BE636E" w:rsidP="0063511C">
            <w:pPr>
              <w:spacing w:before="120"/>
              <w:jc w:val="center"/>
              <w:textAlignment w:val="baseline"/>
              <w:rPr>
                <w:rFonts w:eastAsia="Times New Roman" w:cs="Calibri"/>
                <w:b/>
                <w:bCs/>
                <w:color w:val="FFFFFF"/>
                <w:sz w:val="20"/>
                <w:szCs w:val="20"/>
              </w:rPr>
            </w:pPr>
          </w:p>
        </w:tc>
        <w:tc>
          <w:tcPr>
            <w:tcW w:w="8767" w:type="dxa"/>
            <w:tcBorders>
              <w:top w:val="single" w:sz="4" w:space="0" w:color="auto"/>
              <w:left w:val="nil"/>
              <w:bottom w:val="single" w:sz="4" w:space="0" w:color="auto"/>
              <w:right w:val="single" w:sz="4" w:space="0" w:color="auto"/>
            </w:tcBorders>
            <w:shd w:val="clear" w:color="auto" w:fill="D9E2F3" w:themeFill="accent1" w:themeFillTint="33"/>
          </w:tcPr>
          <w:p w14:paraId="4CC607B2" w14:textId="3B07DAA6" w:rsidR="00BE636E" w:rsidRPr="0030427F" w:rsidRDefault="0030427F" w:rsidP="0030427F">
            <w:pPr>
              <w:spacing w:before="120"/>
              <w:textAlignment w:val="baseline"/>
              <w:rPr>
                <w:rFonts w:eastAsia="Times New Roman" w:cs="Calibri"/>
                <w:b/>
                <w:bCs/>
                <w:color w:val="FFFFFF"/>
                <w:sz w:val="20"/>
                <w:szCs w:val="20"/>
              </w:rPr>
            </w:pPr>
            <w:r>
              <w:rPr>
                <w:rFonts w:eastAsia="Times New Roman" w:cs="Calibri"/>
                <w:b/>
                <w:bCs/>
                <w:sz w:val="20"/>
                <w:szCs w:val="20"/>
              </w:rPr>
              <w:t xml:space="preserve"> </w:t>
            </w:r>
            <w:r w:rsidR="00BE636E" w:rsidRPr="0030427F">
              <w:rPr>
                <w:rFonts w:eastAsia="Times New Roman" w:cs="Calibri"/>
                <w:b/>
                <w:bCs/>
                <w:sz w:val="20"/>
                <w:szCs w:val="20"/>
              </w:rPr>
              <w:t>Promote better care</w:t>
            </w:r>
            <w:r w:rsidR="004447CA" w:rsidRPr="0030427F">
              <w:rPr>
                <w:rFonts w:eastAsia="Times New Roman" w:cs="Calibri"/>
                <w:b/>
                <w:bCs/>
                <w:sz w:val="20"/>
                <w:szCs w:val="20"/>
              </w:rPr>
              <w:t xml:space="preserve">: </w:t>
            </w:r>
            <w:r w:rsidR="004447CA" w:rsidRPr="0030427F">
              <w:rPr>
                <w:rFonts w:eastAsia="Times New Roman" w:cs="Calibri"/>
                <w:b/>
                <w:sz w:val="20"/>
                <w:szCs w:val="20"/>
              </w:rPr>
              <w:t>Promote</w:t>
            </w:r>
            <w:r w:rsidR="00BE636E" w:rsidRPr="0030427F">
              <w:rPr>
                <w:rFonts w:eastAsia="Times New Roman" w:cs="Calibri"/>
                <w:sz w:val="20"/>
                <w:szCs w:val="20"/>
              </w:rPr>
              <w:t xml:space="preserve"> safe and high-quality care for MassHealth members</w:t>
            </w:r>
          </w:p>
        </w:tc>
      </w:tr>
      <w:tr w:rsidR="00BE636E" w:rsidRPr="00DB40B6" w:rsidDel="006452EB" w14:paraId="312A18A7" w14:textId="77777777" w:rsidTr="00BE636E">
        <w:trPr>
          <w:trHeight w:val="192"/>
        </w:trPr>
        <w:tc>
          <w:tcPr>
            <w:tcW w:w="812" w:type="dxa"/>
            <w:tcBorders>
              <w:top w:val="single" w:sz="4" w:space="0" w:color="auto"/>
              <w:left w:val="single" w:sz="6" w:space="0" w:color="auto"/>
              <w:bottom w:val="single" w:sz="6" w:space="0" w:color="auto"/>
              <w:right w:val="single" w:sz="6" w:space="0" w:color="auto"/>
            </w:tcBorders>
            <w:shd w:val="clear" w:color="auto" w:fill="auto"/>
          </w:tcPr>
          <w:p w14:paraId="081DA986" w14:textId="3A002366" w:rsidR="00BE636E" w:rsidRPr="00DB40B6" w:rsidDel="006452EB" w:rsidRDefault="00BE636E" w:rsidP="0063511C">
            <w:pPr>
              <w:pStyle w:val="ListParagraph"/>
              <w:numPr>
                <w:ilvl w:val="0"/>
                <w:numId w:val="36"/>
              </w:numPr>
              <w:spacing w:before="120"/>
              <w:jc w:val="center"/>
              <w:textAlignment w:val="baseline"/>
              <w:rPr>
                <w:rFonts w:eastAsia="Times New Roman" w:cs="Calibri"/>
                <w:b/>
                <w:bCs/>
                <w:sz w:val="20"/>
                <w:szCs w:val="20"/>
              </w:rPr>
            </w:pPr>
            <w:r w:rsidRPr="00A12DD3">
              <w:rPr>
                <w:rFonts w:eastAsia="Times New Roman" w:cs="Calibri"/>
                <w:sz w:val="20"/>
                <w:szCs w:val="20"/>
              </w:rPr>
              <w:t>1.1</w:t>
            </w:r>
            <w:r w:rsidRPr="00A12DD3">
              <w:rPr>
                <w:rFonts w:eastAsia="Times New Roman" w:cs="Calibri"/>
                <w:sz w:val="20"/>
                <w:szCs w:val="20"/>
              </w:rPr>
              <w:tab/>
              <w:t xml:space="preserve"> </w:t>
            </w:r>
          </w:p>
        </w:tc>
        <w:tc>
          <w:tcPr>
            <w:tcW w:w="8767" w:type="dxa"/>
            <w:tcBorders>
              <w:top w:val="single" w:sz="4" w:space="0" w:color="auto"/>
              <w:left w:val="single" w:sz="6" w:space="0" w:color="auto"/>
              <w:bottom w:val="single" w:sz="6" w:space="0" w:color="auto"/>
              <w:right w:val="single" w:sz="6" w:space="0" w:color="auto"/>
            </w:tcBorders>
            <w:shd w:val="clear" w:color="auto" w:fill="auto"/>
          </w:tcPr>
          <w:p w14:paraId="74FD36BE" w14:textId="60BC8B00" w:rsidR="00BE636E" w:rsidRPr="00DB40B6" w:rsidDel="006452EB" w:rsidRDefault="00BE636E" w:rsidP="0063511C">
            <w:pPr>
              <w:spacing w:before="120" w:line="259" w:lineRule="auto"/>
              <w:ind w:left="144"/>
              <w:rPr>
                <w:rFonts w:eastAsia="Times New Roman" w:cs="Calibri"/>
                <w:b/>
                <w:bCs/>
                <w:sz w:val="20"/>
                <w:szCs w:val="20"/>
              </w:rPr>
            </w:pPr>
            <w:r w:rsidRPr="00A12DD3">
              <w:rPr>
                <w:rFonts w:eastAsia="Times New Roman" w:cs="Calibri"/>
                <w:sz w:val="20"/>
                <w:szCs w:val="20"/>
              </w:rPr>
              <w:t xml:space="preserve">Focus on timely preventative, primary care services with access to integrated care and community-based services and supports  </w:t>
            </w:r>
          </w:p>
        </w:tc>
      </w:tr>
      <w:tr w:rsidR="00BE636E" w14:paraId="2629C75E" w14:textId="77777777">
        <w:trPr>
          <w:trHeight w:val="807"/>
        </w:trPr>
        <w:tc>
          <w:tcPr>
            <w:tcW w:w="812" w:type="dxa"/>
            <w:tcBorders>
              <w:top w:val="single" w:sz="6" w:space="0" w:color="auto"/>
              <w:left w:val="single" w:sz="6" w:space="0" w:color="auto"/>
              <w:bottom w:val="single" w:sz="6" w:space="0" w:color="auto"/>
              <w:right w:val="single" w:sz="6" w:space="0" w:color="auto"/>
            </w:tcBorders>
            <w:shd w:val="clear" w:color="auto" w:fill="auto"/>
          </w:tcPr>
          <w:p w14:paraId="37007B70" w14:textId="37CF0710" w:rsidR="00BE636E" w:rsidRDefault="00BE636E" w:rsidP="0063511C">
            <w:pPr>
              <w:spacing w:before="120" w:line="259" w:lineRule="auto"/>
              <w:ind w:left="144"/>
              <w:rPr>
                <w:rFonts w:eastAsia="Times New Roman" w:cs="Calibri"/>
                <w:sz w:val="20"/>
                <w:szCs w:val="20"/>
              </w:rPr>
            </w:pPr>
            <w:r w:rsidRPr="00A12DD3">
              <w:rPr>
                <w:rFonts w:eastAsia="Times New Roman" w:cs="Calibri"/>
                <w:sz w:val="20"/>
                <w:szCs w:val="20"/>
              </w:rPr>
              <w:t>1.2</w:t>
            </w:r>
            <w:r w:rsidRPr="00A12DD3">
              <w:rPr>
                <w:rFonts w:eastAsia="Times New Roman" w:cs="Calibri"/>
                <w:sz w:val="20"/>
                <w:szCs w:val="20"/>
              </w:rPr>
              <w:tab/>
              <w:t xml:space="preserve"> </w:t>
            </w:r>
          </w:p>
        </w:tc>
        <w:tc>
          <w:tcPr>
            <w:tcW w:w="8767" w:type="dxa"/>
            <w:tcBorders>
              <w:top w:val="single" w:sz="6" w:space="0" w:color="auto"/>
              <w:left w:val="single" w:sz="6" w:space="0" w:color="auto"/>
              <w:bottom w:val="single" w:sz="6" w:space="0" w:color="auto"/>
              <w:right w:val="single" w:sz="6" w:space="0" w:color="auto"/>
            </w:tcBorders>
            <w:shd w:val="clear" w:color="auto" w:fill="auto"/>
          </w:tcPr>
          <w:p w14:paraId="288C3714" w14:textId="17032BDC" w:rsidR="00BE636E" w:rsidRDefault="00BE636E" w:rsidP="0063511C">
            <w:pPr>
              <w:spacing w:before="120" w:line="259" w:lineRule="auto"/>
              <w:ind w:left="144"/>
              <w:rPr>
                <w:rFonts w:eastAsia="Times New Roman" w:cs="Calibri"/>
                <w:sz w:val="20"/>
                <w:szCs w:val="20"/>
              </w:rPr>
            </w:pPr>
            <w:r w:rsidRPr="00A12DD3">
              <w:rPr>
                <w:rFonts w:eastAsia="Times New Roman" w:cs="Calibri"/>
                <w:sz w:val="20"/>
                <w:szCs w:val="20"/>
              </w:rPr>
              <w:t xml:space="preserve">Promote effective prevention and treatment to address acute and chronic conditions in at-risk populations  </w:t>
            </w:r>
          </w:p>
        </w:tc>
      </w:tr>
      <w:tr w:rsidR="00BE636E" w:rsidRPr="00A12DD3" w14:paraId="284735A9" w14:textId="77777777" w:rsidTr="00BE636E">
        <w:trPr>
          <w:trHeight w:val="807"/>
        </w:trPr>
        <w:tc>
          <w:tcPr>
            <w:tcW w:w="812" w:type="dxa"/>
            <w:tcBorders>
              <w:top w:val="single" w:sz="6" w:space="0" w:color="auto"/>
              <w:left w:val="single" w:sz="6" w:space="0" w:color="auto"/>
              <w:bottom w:val="single" w:sz="4" w:space="0" w:color="auto"/>
              <w:right w:val="single" w:sz="6" w:space="0" w:color="auto"/>
            </w:tcBorders>
            <w:shd w:val="clear" w:color="auto" w:fill="auto"/>
          </w:tcPr>
          <w:p w14:paraId="2BD23778" w14:textId="3F11BF92" w:rsidR="00BE636E" w:rsidRPr="00A12DD3" w:rsidRDefault="00BE636E" w:rsidP="0063511C">
            <w:pPr>
              <w:spacing w:before="120" w:line="259" w:lineRule="auto"/>
              <w:ind w:left="144"/>
              <w:rPr>
                <w:rFonts w:eastAsia="Times New Roman" w:cs="Calibri"/>
                <w:sz w:val="20"/>
                <w:szCs w:val="20"/>
              </w:rPr>
            </w:pPr>
            <w:r w:rsidRPr="00A12DD3">
              <w:rPr>
                <w:rFonts w:eastAsia="Times New Roman" w:cs="Calibri"/>
                <w:sz w:val="20"/>
                <w:szCs w:val="20"/>
              </w:rPr>
              <w:t>1.3</w:t>
            </w:r>
            <w:r w:rsidRPr="00A12DD3">
              <w:rPr>
                <w:rFonts w:eastAsia="Times New Roman" w:cs="Calibri"/>
                <w:sz w:val="20"/>
                <w:szCs w:val="20"/>
              </w:rPr>
              <w:tab/>
            </w:r>
          </w:p>
        </w:tc>
        <w:tc>
          <w:tcPr>
            <w:tcW w:w="8767" w:type="dxa"/>
            <w:tcBorders>
              <w:top w:val="single" w:sz="6" w:space="0" w:color="auto"/>
              <w:left w:val="single" w:sz="6" w:space="0" w:color="auto"/>
              <w:bottom w:val="single" w:sz="4" w:space="0" w:color="auto"/>
              <w:right w:val="single" w:sz="6" w:space="0" w:color="auto"/>
            </w:tcBorders>
            <w:shd w:val="clear" w:color="auto" w:fill="auto"/>
          </w:tcPr>
          <w:p w14:paraId="3AA6B3A9" w14:textId="405F7B22" w:rsidR="00BE636E" w:rsidRPr="00A12DD3" w:rsidRDefault="00BE636E" w:rsidP="0063511C">
            <w:pPr>
              <w:spacing w:before="120" w:line="259" w:lineRule="auto"/>
              <w:ind w:left="144"/>
              <w:rPr>
                <w:rFonts w:eastAsia="Times New Roman" w:cs="Calibri"/>
                <w:sz w:val="20"/>
                <w:szCs w:val="20"/>
              </w:rPr>
            </w:pPr>
            <w:r w:rsidRPr="00A12DD3">
              <w:rPr>
                <w:rFonts w:eastAsia="Times New Roman" w:cs="Calibri"/>
                <w:sz w:val="20"/>
                <w:szCs w:val="20"/>
              </w:rPr>
              <w:t>Strengthen access, accommodations</w:t>
            </w:r>
            <w:r>
              <w:rPr>
                <w:rFonts w:eastAsia="Times New Roman" w:cs="Calibri"/>
                <w:sz w:val="20"/>
                <w:szCs w:val="20"/>
              </w:rPr>
              <w:t>,</w:t>
            </w:r>
            <w:r w:rsidRPr="00A12DD3">
              <w:rPr>
                <w:rFonts w:eastAsia="Times New Roman" w:cs="Calibri"/>
                <w:sz w:val="20"/>
                <w:szCs w:val="20"/>
              </w:rPr>
              <w:t xml:space="preserve"> and experience for members with disabilities, including enhanced identification and screening, and improvements to coordinated care</w:t>
            </w:r>
          </w:p>
        </w:tc>
      </w:tr>
      <w:tr w:rsidR="00BE636E" w:rsidRPr="00A12DD3" w14:paraId="5C7E14A0" w14:textId="77777777" w:rsidTr="00BE636E">
        <w:trPr>
          <w:trHeight w:val="807"/>
        </w:trPr>
        <w:tc>
          <w:tcPr>
            <w:tcW w:w="812" w:type="dxa"/>
            <w:tcBorders>
              <w:top w:val="single" w:sz="4" w:space="0" w:color="auto"/>
              <w:left w:val="single" w:sz="4" w:space="0" w:color="auto"/>
              <w:bottom w:val="single" w:sz="4" w:space="0" w:color="auto"/>
              <w:right w:val="nil"/>
            </w:tcBorders>
            <w:shd w:val="clear" w:color="auto" w:fill="D9E2F3" w:themeFill="accent1" w:themeFillTint="33"/>
          </w:tcPr>
          <w:p w14:paraId="4EE25103" w14:textId="2A0393DB" w:rsidR="00BE636E" w:rsidRPr="00A12DD3" w:rsidRDefault="00BE636E" w:rsidP="0063511C">
            <w:pPr>
              <w:spacing w:before="120" w:line="259" w:lineRule="auto"/>
              <w:ind w:left="144"/>
              <w:rPr>
                <w:rFonts w:eastAsia="Times New Roman" w:cs="Calibri"/>
                <w:sz w:val="20"/>
                <w:szCs w:val="20"/>
              </w:rPr>
            </w:pPr>
          </w:p>
        </w:tc>
        <w:tc>
          <w:tcPr>
            <w:tcW w:w="8767" w:type="dxa"/>
            <w:tcBorders>
              <w:top w:val="single" w:sz="4" w:space="0" w:color="auto"/>
              <w:left w:val="nil"/>
              <w:bottom w:val="single" w:sz="4" w:space="0" w:color="auto"/>
              <w:right w:val="single" w:sz="4" w:space="0" w:color="auto"/>
            </w:tcBorders>
            <w:shd w:val="clear" w:color="auto" w:fill="D9E2F3" w:themeFill="accent1" w:themeFillTint="33"/>
          </w:tcPr>
          <w:p w14:paraId="5B4AB7E8" w14:textId="2796D7F8" w:rsidR="00BE636E" w:rsidRPr="00A12DD3" w:rsidRDefault="00BE636E" w:rsidP="0063511C">
            <w:pPr>
              <w:spacing w:before="120" w:line="259" w:lineRule="auto"/>
              <w:ind w:left="144"/>
              <w:rPr>
                <w:rFonts w:eastAsia="Times New Roman" w:cs="Calibri"/>
                <w:sz w:val="20"/>
                <w:szCs w:val="20"/>
              </w:rPr>
            </w:pPr>
            <w:r>
              <w:rPr>
                <w:rFonts w:eastAsia="Times New Roman" w:cs="Calibri"/>
                <w:b/>
                <w:bCs/>
                <w:sz w:val="20"/>
                <w:szCs w:val="20"/>
              </w:rPr>
              <w:t>Promote equitable care</w:t>
            </w:r>
            <w:r w:rsidR="004447CA">
              <w:rPr>
                <w:rFonts w:eastAsia="Times New Roman" w:cs="Calibri"/>
                <w:b/>
                <w:bCs/>
                <w:sz w:val="20"/>
                <w:szCs w:val="20"/>
              </w:rPr>
              <w:t xml:space="preserve">: </w:t>
            </w:r>
            <w:r w:rsidR="004447CA" w:rsidRPr="00441233">
              <w:rPr>
                <w:rFonts w:eastAsia="Times New Roman" w:cs="Calibri"/>
                <w:b/>
                <w:sz w:val="20"/>
                <w:szCs w:val="20"/>
              </w:rPr>
              <w:t>Achieve</w:t>
            </w:r>
            <w:r w:rsidRPr="00441233">
              <w:rPr>
                <w:rFonts w:eastAsia="Times New Roman" w:cs="Calibri"/>
                <w:sz w:val="20"/>
                <w:szCs w:val="20"/>
              </w:rPr>
              <w:t xml:space="preserve"> measurable reductions in health and health care quality inequities related to race, ethnicity, language, disability, sexual orientation, gender identity, and other social risk factors that MassHealth members experience</w:t>
            </w:r>
          </w:p>
        </w:tc>
      </w:tr>
      <w:tr w:rsidR="00BE636E" w:rsidRPr="00E83D40" w14:paraId="0AEE251E" w14:textId="77777777" w:rsidTr="00BE636E">
        <w:tc>
          <w:tcPr>
            <w:tcW w:w="812" w:type="dxa"/>
            <w:tcBorders>
              <w:top w:val="single" w:sz="4" w:space="0" w:color="auto"/>
              <w:left w:val="single" w:sz="6" w:space="0" w:color="auto"/>
              <w:bottom w:val="single" w:sz="6" w:space="0" w:color="auto"/>
              <w:right w:val="single" w:sz="6" w:space="0" w:color="auto"/>
            </w:tcBorders>
            <w:shd w:val="clear" w:color="auto" w:fill="FFFFFF" w:themeFill="background1"/>
          </w:tcPr>
          <w:p w14:paraId="6BEA13B1" w14:textId="5A80E577" w:rsidR="00BE636E" w:rsidRPr="00510CF6" w:rsidRDefault="00BE636E" w:rsidP="0063511C">
            <w:pPr>
              <w:pStyle w:val="ListParagraph"/>
              <w:numPr>
                <w:ilvl w:val="0"/>
                <w:numId w:val="36"/>
              </w:numPr>
              <w:tabs>
                <w:tab w:val="left" w:pos="720"/>
              </w:tabs>
              <w:spacing w:after="60"/>
              <w:contextualSpacing w:val="0"/>
              <w:jc w:val="center"/>
              <w:rPr>
                <w:rFonts w:cs="Calibri"/>
                <w:color w:val="000000" w:themeColor="text1"/>
              </w:rPr>
            </w:pPr>
            <w:r>
              <w:rPr>
                <w:rFonts w:eastAsia="Times New Roman" w:cs="Calibri"/>
                <w:sz w:val="20"/>
                <w:szCs w:val="20"/>
              </w:rPr>
              <w:t>2.1</w:t>
            </w:r>
          </w:p>
        </w:tc>
        <w:tc>
          <w:tcPr>
            <w:tcW w:w="8767" w:type="dxa"/>
            <w:tcBorders>
              <w:top w:val="single" w:sz="4" w:space="0" w:color="auto"/>
              <w:left w:val="single" w:sz="6" w:space="0" w:color="auto"/>
              <w:bottom w:val="single" w:sz="6" w:space="0" w:color="auto"/>
              <w:right w:val="single" w:sz="6" w:space="0" w:color="auto"/>
            </w:tcBorders>
            <w:shd w:val="clear" w:color="auto" w:fill="FFFFFF" w:themeFill="background1"/>
          </w:tcPr>
          <w:p w14:paraId="0E0257C7" w14:textId="164BA606" w:rsidR="00BE636E" w:rsidRPr="00510CF6" w:rsidRDefault="00BE636E" w:rsidP="0063511C">
            <w:pPr>
              <w:spacing w:before="120" w:line="259" w:lineRule="auto"/>
              <w:ind w:left="144"/>
              <w:rPr>
                <w:rFonts w:cs="Calibri"/>
                <w:color w:val="000000" w:themeColor="text1"/>
              </w:rPr>
            </w:pPr>
            <w:r>
              <w:rPr>
                <w:rFonts w:eastAsia="Times New Roman" w:cs="Calibri"/>
                <w:sz w:val="20"/>
                <w:szCs w:val="20"/>
              </w:rPr>
              <w:t>I</w:t>
            </w:r>
            <w:r w:rsidRPr="009C43D9">
              <w:rPr>
                <w:rFonts w:eastAsia="Times New Roman" w:cs="Calibri"/>
                <w:sz w:val="20"/>
                <w:szCs w:val="20"/>
              </w:rPr>
              <w:t xml:space="preserve">mprove </w:t>
            </w:r>
            <w:r>
              <w:rPr>
                <w:rFonts w:eastAsia="Times New Roman" w:cs="Calibri"/>
                <w:sz w:val="20"/>
                <w:szCs w:val="20"/>
              </w:rPr>
              <w:t xml:space="preserve">data </w:t>
            </w:r>
            <w:r w:rsidRPr="009C43D9">
              <w:rPr>
                <w:rFonts w:eastAsia="Times New Roman" w:cs="Calibri"/>
                <w:sz w:val="20"/>
                <w:szCs w:val="20"/>
              </w:rPr>
              <w:t>collection</w:t>
            </w:r>
            <w:r>
              <w:rPr>
                <w:rFonts w:eastAsia="Times New Roman" w:cs="Calibri"/>
                <w:sz w:val="20"/>
                <w:szCs w:val="20"/>
              </w:rPr>
              <w:t xml:space="preserve"> and </w:t>
            </w:r>
            <w:r w:rsidRPr="009C43D9">
              <w:rPr>
                <w:rFonts w:eastAsia="Times New Roman" w:cs="Calibri"/>
                <w:sz w:val="20"/>
                <w:szCs w:val="20"/>
              </w:rPr>
              <w:t xml:space="preserve">completeness of </w:t>
            </w:r>
            <w:r>
              <w:rPr>
                <w:rFonts w:eastAsia="Times New Roman" w:cs="Calibri"/>
                <w:sz w:val="20"/>
                <w:szCs w:val="20"/>
              </w:rPr>
              <w:t xml:space="preserve">social risk factors (SRF), which include </w:t>
            </w:r>
            <w:r w:rsidRPr="009C43D9">
              <w:rPr>
                <w:rFonts w:eastAsia="Times New Roman" w:cs="Calibri"/>
                <w:sz w:val="20"/>
                <w:szCs w:val="20"/>
              </w:rPr>
              <w:t xml:space="preserve">race, ethnicity, language, disability (RELD) </w:t>
            </w:r>
            <w:r>
              <w:rPr>
                <w:rFonts w:eastAsia="Times New Roman" w:cs="Calibri"/>
                <w:sz w:val="20"/>
                <w:szCs w:val="20"/>
              </w:rPr>
              <w:t xml:space="preserve">and sexual orientation and gender identity (SOGI) </w:t>
            </w:r>
            <w:r w:rsidRPr="009C43D9">
              <w:rPr>
                <w:rFonts w:eastAsia="Times New Roman" w:cs="Calibri"/>
                <w:sz w:val="20"/>
                <w:szCs w:val="20"/>
              </w:rPr>
              <w:t>data</w:t>
            </w:r>
            <w:r>
              <w:rPr>
                <w:rFonts w:eastAsia="Times New Roman" w:cs="Calibri"/>
                <w:sz w:val="20"/>
                <w:szCs w:val="20"/>
              </w:rPr>
              <w:t xml:space="preserve"> </w:t>
            </w:r>
          </w:p>
        </w:tc>
      </w:tr>
      <w:tr w:rsidR="00BE636E" w:rsidRPr="00440207" w14:paraId="1416F349" w14:textId="77777777">
        <w:tc>
          <w:tcPr>
            <w:tcW w:w="812" w:type="dxa"/>
            <w:tcBorders>
              <w:top w:val="single" w:sz="6" w:space="0" w:color="auto"/>
              <w:left w:val="single" w:sz="6" w:space="0" w:color="auto"/>
              <w:bottom w:val="single" w:sz="6" w:space="0" w:color="auto"/>
              <w:right w:val="single" w:sz="6" w:space="0" w:color="auto"/>
            </w:tcBorders>
            <w:shd w:val="clear" w:color="auto" w:fill="FFFFFF" w:themeFill="background1"/>
          </w:tcPr>
          <w:p w14:paraId="6D12AFBC" w14:textId="2B94491D" w:rsidR="00BE636E" w:rsidRDefault="00BE636E" w:rsidP="0063511C">
            <w:pPr>
              <w:spacing w:before="120" w:line="259" w:lineRule="auto"/>
              <w:ind w:left="144"/>
              <w:rPr>
                <w:rFonts w:eastAsia="Times New Roman" w:cs="Calibri"/>
                <w:sz w:val="20"/>
                <w:szCs w:val="20"/>
              </w:rPr>
            </w:pPr>
            <w:r>
              <w:rPr>
                <w:rFonts w:eastAsia="Times New Roman" w:cs="Calibri"/>
                <w:sz w:val="20"/>
                <w:szCs w:val="20"/>
              </w:rPr>
              <w:t>2.2</w:t>
            </w:r>
          </w:p>
        </w:tc>
        <w:tc>
          <w:tcPr>
            <w:tcW w:w="8767" w:type="dxa"/>
            <w:tcBorders>
              <w:top w:val="single" w:sz="6" w:space="0" w:color="auto"/>
              <w:left w:val="single" w:sz="6" w:space="0" w:color="auto"/>
              <w:bottom w:val="single" w:sz="6" w:space="0" w:color="auto"/>
              <w:right w:val="single" w:sz="6" w:space="0" w:color="auto"/>
            </w:tcBorders>
            <w:shd w:val="clear" w:color="auto" w:fill="FFFFFF" w:themeFill="background1"/>
          </w:tcPr>
          <w:p w14:paraId="00ECB636" w14:textId="25A5B4B9" w:rsidR="00BE636E" w:rsidRPr="00440207" w:rsidRDefault="00BE636E" w:rsidP="0063511C">
            <w:pPr>
              <w:spacing w:before="120" w:line="259" w:lineRule="auto"/>
              <w:ind w:left="144"/>
              <w:rPr>
                <w:rFonts w:eastAsia="Times New Roman" w:cs="Calibri"/>
                <w:sz w:val="20"/>
                <w:szCs w:val="20"/>
              </w:rPr>
            </w:pPr>
            <w:r>
              <w:rPr>
                <w:rFonts w:eastAsia="Times New Roman" w:cs="Calibri"/>
                <w:sz w:val="20"/>
                <w:szCs w:val="20"/>
              </w:rPr>
              <w:t>A</w:t>
            </w:r>
            <w:r w:rsidRPr="00480D97">
              <w:rPr>
                <w:rFonts w:eastAsia="Times New Roman" w:cs="Calibri"/>
                <w:sz w:val="20"/>
                <w:szCs w:val="20"/>
              </w:rPr>
              <w:t xml:space="preserve">ssess and prioritize opportunities to </w:t>
            </w:r>
            <w:r>
              <w:rPr>
                <w:rFonts w:eastAsia="Times New Roman" w:cs="Calibri"/>
                <w:sz w:val="20"/>
                <w:szCs w:val="20"/>
              </w:rPr>
              <w:t>reduce</w:t>
            </w:r>
            <w:r w:rsidRPr="00480D97">
              <w:rPr>
                <w:rFonts w:eastAsia="Times New Roman" w:cs="Calibri"/>
                <w:sz w:val="20"/>
                <w:szCs w:val="20"/>
              </w:rPr>
              <w:t xml:space="preserve"> health disparities through stratification</w:t>
            </w:r>
            <w:r>
              <w:rPr>
                <w:rFonts w:eastAsia="Times New Roman" w:cs="Calibri"/>
                <w:sz w:val="20"/>
                <w:szCs w:val="20"/>
              </w:rPr>
              <w:t xml:space="preserve"> of quality measures</w:t>
            </w:r>
            <w:r w:rsidRPr="00480D97">
              <w:rPr>
                <w:rFonts w:eastAsia="Times New Roman" w:cs="Calibri"/>
                <w:sz w:val="20"/>
                <w:szCs w:val="20"/>
              </w:rPr>
              <w:t xml:space="preserve"> by </w:t>
            </w:r>
            <w:r>
              <w:rPr>
                <w:rFonts w:eastAsia="Times New Roman" w:cs="Calibri"/>
                <w:sz w:val="20"/>
                <w:szCs w:val="20"/>
              </w:rPr>
              <w:t>SRFs, and assessment of member health-related social needs</w:t>
            </w:r>
          </w:p>
        </w:tc>
      </w:tr>
      <w:tr w:rsidR="00BE636E" w14:paraId="21C660D5" w14:textId="77777777" w:rsidTr="00BE636E">
        <w:tc>
          <w:tcPr>
            <w:tcW w:w="812" w:type="dxa"/>
            <w:tcBorders>
              <w:top w:val="single" w:sz="6" w:space="0" w:color="auto"/>
              <w:left w:val="single" w:sz="6" w:space="0" w:color="auto"/>
              <w:bottom w:val="single" w:sz="4" w:space="0" w:color="auto"/>
              <w:right w:val="single" w:sz="6" w:space="0" w:color="auto"/>
            </w:tcBorders>
            <w:shd w:val="clear" w:color="auto" w:fill="FFFFFF" w:themeFill="background1"/>
          </w:tcPr>
          <w:p w14:paraId="4F7FFDCE" w14:textId="2B86081B" w:rsidR="00BE636E" w:rsidRDefault="00BE636E" w:rsidP="0063511C">
            <w:pPr>
              <w:spacing w:before="120" w:line="259" w:lineRule="auto"/>
              <w:ind w:left="144"/>
              <w:rPr>
                <w:rFonts w:eastAsia="Times New Roman" w:cs="Calibri"/>
                <w:sz w:val="20"/>
                <w:szCs w:val="20"/>
              </w:rPr>
            </w:pPr>
            <w:r>
              <w:rPr>
                <w:rFonts w:eastAsia="Times New Roman" w:cs="Calibri"/>
                <w:sz w:val="20"/>
                <w:szCs w:val="20"/>
              </w:rPr>
              <w:t>2.3</w:t>
            </w:r>
          </w:p>
        </w:tc>
        <w:tc>
          <w:tcPr>
            <w:tcW w:w="8767" w:type="dxa"/>
            <w:tcBorders>
              <w:top w:val="single" w:sz="6" w:space="0" w:color="auto"/>
              <w:left w:val="single" w:sz="6" w:space="0" w:color="auto"/>
              <w:bottom w:val="single" w:sz="4" w:space="0" w:color="auto"/>
              <w:right w:val="single" w:sz="6" w:space="0" w:color="auto"/>
            </w:tcBorders>
            <w:shd w:val="clear" w:color="auto" w:fill="FFFFFF" w:themeFill="background1"/>
          </w:tcPr>
          <w:p w14:paraId="7C389559" w14:textId="0AEF6508" w:rsidR="00BE636E" w:rsidRDefault="00BE636E" w:rsidP="0063511C">
            <w:pPr>
              <w:spacing w:before="120" w:line="259" w:lineRule="auto"/>
              <w:ind w:left="144"/>
              <w:rPr>
                <w:rFonts w:eastAsia="Times New Roman" w:cs="Calibri"/>
                <w:sz w:val="20"/>
                <w:szCs w:val="20"/>
              </w:rPr>
            </w:pPr>
            <w:r>
              <w:rPr>
                <w:rFonts w:eastAsia="Times New Roman" w:cs="Calibri"/>
                <w:sz w:val="20"/>
                <w:szCs w:val="20"/>
              </w:rPr>
              <w:t>Implement</w:t>
            </w:r>
            <w:r w:rsidRPr="00A310C2">
              <w:rPr>
                <w:rFonts w:eastAsia="Times New Roman" w:cs="Calibri"/>
                <w:sz w:val="20"/>
                <w:szCs w:val="20"/>
              </w:rPr>
              <w:t xml:space="preserve"> </w:t>
            </w:r>
            <w:r>
              <w:rPr>
                <w:rFonts w:eastAsia="Times New Roman" w:cs="Calibri"/>
                <w:sz w:val="20"/>
                <w:szCs w:val="20"/>
              </w:rPr>
              <w:t xml:space="preserve">strategies to </w:t>
            </w:r>
            <w:r w:rsidRPr="00A310C2">
              <w:rPr>
                <w:rFonts w:eastAsia="Times New Roman" w:cs="Calibri"/>
                <w:sz w:val="20"/>
                <w:szCs w:val="20"/>
              </w:rPr>
              <w:t xml:space="preserve">address </w:t>
            </w:r>
            <w:r>
              <w:rPr>
                <w:rFonts w:eastAsia="Times New Roman" w:cs="Calibri"/>
                <w:sz w:val="20"/>
                <w:szCs w:val="20"/>
              </w:rPr>
              <w:t xml:space="preserve">disparities for at-risk populations </w:t>
            </w:r>
            <w:r w:rsidRPr="00A310C2">
              <w:rPr>
                <w:rFonts w:eastAsia="Times New Roman" w:cs="Calibri"/>
                <w:sz w:val="20"/>
                <w:szCs w:val="20"/>
              </w:rPr>
              <w:t>including m</w:t>
            </w:r>
            <w:r>
              <w:rPr>
                <w:rFonts w:eastAsia="Times New Roman" w:cs="Calibri"/>
                <w:sz w:val="20"/>
                <w:szCs w:val="20"/>
              </w:rPr>
              <w:t xml:space="preserve">others and newborns, </w:t>
            </w:r>
            <w:r w:rsidRPr="00A310C2">
              <w:rPr>
                <w:rFonts w:eastAsia="Times New Roman" w:cs="Calibri"/>
                <w:sz w:val="20"/>
                <w:szCs w:val="20"/>
              </w:rPr>
              <w:t>justice-involved individuals</w:t>
            </w:r>
            <w:r>
              <w:rPr>
                <w:rFonts w:eastAsia="Times New Roman" w:cs="Calibri"/>
                <w:sz w:val="20"/>
                <w:szCs w:val="20"/>
              </w:rPr>
              <w:t>, and members with disabilities</w:t>
            </w:r>
          </w:p>
        </w:tc>
      </w:tr>
      <w:tr w:rsidR="00BE636E" w14:paraId="1708ABD7" w14:textId="77777777" w:rsidTr="00BE636E">
        <w:tc>
          <w:tcPr>
            <w:tcW w:w="812" w:type="dxa"/>
            <w:tcBorders>
              <w:top w:val="single" w:sz="4" w:space="0" w:color="auto"/>
              <w:left w:val="single" w:sz="4" w:space="0" w:color="auto"/>
              <w:bottom w:val="single" w:sz="4" w:space="0" w:color="auto"/>
              <w:right w:val="nil"/>
            </w:tcBorders>
            <w:shd w:val="clear" w:color="auto" w:fill="D9E2F3" w:themeFill="accent1" w:themeFillTint="33"/>
          </w:tcPr>
          <w:p w14:paraId="527D9BA0" w14:textId="1D03992F" w:rsidR="00BE636E" w:rsidRDefault="00BE636E" w:rsidP="0063511C">
            <w:pPr>
              <w:spacing w:before="120" w:line="259" w:lineRule="auto"/>
              <w:ind w:left="144"/>
              <w:rPr>
                <w:rFonts w:eastAsia="Times New Roman" w:cs="Calibri"/>
                <w:sz w:val="20"/>
                <w:szCs w:val="20"/>
              </w:rPr>
            </w:pPr>
          </w:p>
        </w:tc>
        <w:tc>
          <w:tcPr>
            <w:tcW w:w="8767" w:type="dxa"/>
            <w:tcBorders>
              <w:top w:val="single" w:sz="4" w:space="0" w:color="auto"/>
              <w:left w:val="nil"/>
              <w:bottom w:val="single" w:sz="4" w:space="0" w:color="auto"/>
              <w:right w:val="single" w:sz="4" w:space="0" w:color="auto"/>
            </w:tcBorders>
            <w:shd w:val="clear" w:color="auto" w:fill="D9E2F3" w:themeFill="accent1" w:themeFillTint="33"/>
          </w:tcPr>
          <w:p w14:paraId="37C83792" w14:textId="7721B031" w:rsidR="00BE636E" w:rsidRDefault="00BE636E" w:rsidP="0063511C">
            <w:pPr>
              <w:spacing w:before="120" w:line="259" w:lineRule="auto"/>
              <w:ind w:left="144"/>
              <w:rPr>
                <w:rFonts w:eastAsia="Times New Roman" w:cs="Calibri"/>
                <w:sz w:val="20"/>
                <w:szCs w:val="20"/>
              </w:rPr>
            </w:pPr>
            <w:r w:rsidRPr="00B86F9F">
              <w:rPr>
                <w:rFonts w:eastAsia="Times New Roman" w:cs="Calibri"/>
                <w:b/>
                <w:bCs/>
                <w:sz w:val="20"/>
                <w:szCs w:val="20"/>
              </w:rPr>
              <w:t xml:space="preserve">Make care more value-based: </w:t>
            </w:r>
            <w:r w:rsidRPr="00B86F9F">
              <w:rPr>
                <w:rFonts w:eastAsia="Times New Roman" w:cs="Calibri"/>
                <w:sz w:val="20"/>
                <w:szCs w:val="20"/>
              </w:rPr>
              <w:t xml:space="preserve">Ensure value-based care for our members by holding providers accountable for cost and </w:t>
            </w:r>
            <w:r>
              <w:rPr>
                <w:rFonts w:eastAsia="Times New Roman" w:cs="Calibri"/>
                <w:sz w:val="20"/>
                <w:szCs w:val="20"/>
              </w:rPr>
              <w:t xml:space="preserve">high </w:t>
            </w:r>
            <w:r w:rsidRPr="00B86F9F">
              <w:rPr>
                <w:rFonts w:eastAsia="Times New Roman" w:cs="Calibri"/>
                <w:sz w:val="20"/>
                <w:szCs w:val="20"/>
              </w:rPr>
              <w:t>quality of patient-centered, equitable care</w:t>
            </w:r>
            <w:r w:rsidRPr="00EF37F8">
              <w:rPr>
                <w:rFonts w:eastAsia="Times New Roman"/>
              </w:rPr>
              <w:t xml:space="preserve"> </w:t>
            </w:r>
          </w:p>
        </w:tc>
      </w:tr>
      <w:tr w:rsidR="00BE636E" w:rsidRPr="00EA041B" w14:paraId="51F195D3" w14:textId="77777777" w:rsidTr="00BE636E">
        <w:tc>
          <w:tcPr>
            <w:tcW w:w="812" w:type="dxa"/>
            <w:tcBorders>
              <w:top w:val="single" w:sz="4" w:space="0" w:color="auto"/>
              <w:left w:val="single" w:sz="6" w:space="0" w:color="auto"/>
              <w:bottom w:val="single" w:sz="6" w:space="0" w:color="auto"/>
              <w:right w:val="single" w:sz="6" w:space="0" w:color="auto"/>
            </w:tcBorders>
            <w:shd w:val="clear" w:color="auto" w:fill="FFFFFF" w:themeFill="background1"/>
          </w:tcPr>
          <w:p w14:paraId="42B51BBD" w14:textId="62714561" w:rsidR="00BE636E" w:rsidRPr="00585870" w:rsidRDefault="00BE636E" w:rsidP="0063511C">
            <w:pPr>
              <w:pStyle w:val="ListParagraph"/>
              <w:numPr>
                <w:ilvl w:val="0"/>
                <w:numId w:val="36"/>
              </w:numPr>
              <w:spacing w:before="120"/>
              <w:jc w:val="center"/>
              <w:textAlignment w:val="baseline"/>
              <w:rPr>
                <w:rFonts w:cs="Calibri"/>
                <w:b/>
                <w:bCs/>
                <w:color w:val="000000" w:themeColor="text1"/>
              </w:rPr>
            </w:pPr>
            <w:r>
              <w:rPr>
                <w:rFonts w:eastAsia="Times New Roman" w:cs="Calibri"/>
                <w:sz w:val="20"/>
                <w:szCs w:val="20"/>
              </w:rPr>
              <w:t>3.1</w:t>
            </w:r>
          </w:p>
        </w:tc>
        <w:tc>
          <w:tcPr>
            <w:tcW w:w="8767" w:type="dxa"/>
            <w:tcBorders>
              <w:top w:val="single" w:sz="4" w:space="0" w:color="auto"/>
              <w:left w:val="single" w:sz="6" w:space="0" w:color="auto"/>
              <w:bottom w:val="single" w:sz="6" w:space="0" w:color="auto"/>
              <w:right w:val="single" w:sz="6" w:space="0" w:color="auto"/>
            </w:tcBorders>
            <w:shd w:val="clear" w:color="auto" w:fill="FFFFFF" w:themeFill="background1"/>
          </w:tcPr>
          <w:p w14:paraId="38F60A30" w14:textId="6D0D587C" w:rsidR="00BE636E" w:rsidRPr="00B86F9F" w:rsidRDefault="00BE636E" w:rsidP="0063511C">
            <w:pPr>
              <w:spacing w:before="120" w:line="259" w:lineRule="auto"/>
              <w:ind w:left="144"/>
              <w:rPr>
                <w:rFonts w:eastAsia="Times New Roman"/>
              </w:rPr>
            </w:pPr>
            <w:r>
              <w:rPr>
                <w:rFonts w:eastAsia="Times New Roman" w:cs="Calibri"/>
                <w:sz w:val="20"/>
                <w:szCs w:val="20"/>
              </w:rPr>
              <w:t>Advance design of value-based care focused on primary care provider participation, behavioral health access, and integration and coordination of care</w:t>
            </w:r>
          </w:p>
        </w:tc>
      </w:tr>
      <w:tr w:rsidR="00BE636E" w14:paraId="5C7C0685" w14:textId="77777777">
        <w:tc>
          <w:tcPr>
            <w:tcW w:w="812" w:type="dxa"/>
            <w:tcBorders>
              <w:top w:val="single" w:sz="6" w:space="0" w:color="auto"/>
              <w:left w:val="single" w:sz="6" w:space="0" w:color="auto"/>
              <w:bottom w:val="single" w:sz="6" w:space="0" w:color="auto"/>
              <w:right w:val="single" w:sz="6" w:space="0" w:color="auto"/>
            </w:tcBorders>
            <w:shd w:val="clear" w:color="auto" w:fill="FFFFFF" w:themeFill="background1"/>
          </w:tcPr>
          <w:p w14:paraId="3C0D96F2" w14:textId="436B0CAD" w:rsidR="00BE636E" w:rsidRDefault="00BE636E" w:rsidP="0063511C">
            <w:pPr>
              <w:spacing w:before="120" w:line="259" w:lineRule="auto"/>
              <w:ind w:left="144"/>
              <w:rPr>
                <w:rFonts w:eastAsia="Times New Roman" w:cs="Calibri"/>
                <w:sz w:val="20"/>
                <w:szCs w:val="20"/>
              </w:rPr>
            </w:pPr>
            <w:r>
              <w:rPr>
                <w:rFonts w:eastAsia="Times New Roman" w:cs="Calibri"/>
                <w:sz w:val="20"/>
                <w:szCs w:val="20"/>
              </w:rPr>
              <w:t>3.2</w:t>
            </w:r>
          </w:p>
        </w:tc>
        <w:tc>
          <w:tcPr>
            <w:tcW w:w="8767" w:type="dxa"/>
            <w:tcBorders>
              <w:top w:val="single" w:sz="6" w:space="0" w:color="auto"/>
              <w:left w:val="single" w:sz="6" w:space="0" w:color="auto"/>
              <w:bottom w:val="single" w:sz="6" w:space="0" w:color="auto"/>
              <w:right w:val="single" w:sz="6" w:space="0" w:color="auto"/>
            </w:tcBorders>
            <w:shd w:val="clear" w:color="auto" w:fill="FFFFFF" w:themeFill="background1"/>
          </w:tcPr>
          <w:p w14:paraId="70648CD7" w14:textId="225904D4" w:rsidR="00BE636E" w:rsidRDefault="00BE636E" w:rsidP="0063511C">
            <w:pPr>
              <w:spacing w:before="120" w:line="259" w:lineRule="auto"/>
              <w:ind w:left="144"/>
              <w:rPr>
                <w:rFonts w:eastAsia="Times New Roman" w:cs="Calibri"/>
                <w:sz w:val="20"/>
                <w:szCs w:val="20"/>
              </w:rPr>
            </w:pPr>
            <w:r>
              <w:rPr>
                <w:rFonts w:eastAsia="Times New Roman" w:cs="Calibri"/>
                <w:sz w:val="20"/>
                <w:szCs w:val="20"/>
              </w:rPr>
              <w:t xml:space="preserve">Develop </w:t>
            </w:r>
            <w:r w:rsidRPr="00557433">
              <w:rPr>
                <w:rFonts w:eastAsia="Times New Roman" w:cs="Calibri"/>
                <w:sz w:val="20"/>
                <w:szCs w:val="20"/>
              </w:rPr>
              <w:t>accountab</w:t>
            </w:r>
            <w:r>
              <w:rPr>
                <w:rFonts w:eastAsia="Times New Roman" w:cs="Calibri"/>
                <w:sz w:val="20"/>
                <w:szCs w:val="20"/>
              </w:rPr>
              <w:t>ility and performance expectations</w:t>
            </w:r>
            <w:r w:rsidRPr="00557433">
              <w:rPr>
                <w:rFonts w:eastAsia="Times New Roman" w:cs="Calibri"/>
                <w:sz w:val="20"/>
                <w:szCs w:val="20"/>
              </w:rPr>
              <w:t xml:space="preserve"> for measuring and closing </w:t>
            </w:r>
            <w:r>
              <w:rPr>
                <w:rFonts w:eastAsia="Times New Roman" w:cs="Calibri"/>
                <w:sz w:val="20"/>
                <w:szCs w:val="20"/>
              </w:rPr>
              <w:t xml:space="preserve">significant gaps on </w:t>
            </w:r>
            <w:r w:rsidRPr="00557433">
              <w:rPr>
                <w:rFonts w:eastAsia="Times New Roman" w:cs="Calibri"/>
                <w:sz w:val="20"/>
                <w:szCs w:val="20"/>
              </w:rPr>
              <w:t>health disparities</w:t>
            </w:r>
          </w:p>
        </w:tc>
      </w:tr>
      <w:tr w:rsidR="00BE636E" w14:paraId="15011DBA" w14:textId="77777777">
        <w:tc>
          <w:tcPr>
            <w:tcW w:w="812" w:type="dxa"/>
            <w:tcBorders>
              <w:top w:val="single" w:sz="6" w:space="0" w:color="auto"/>
              <w:left w:val="single" w:sz="6" w:space="0" w:color="auto"/>
              <w:bottom w:val="single" w:sz="6" w:space="0" w:color="auto"/>
              <w:right w:val="single" w:sz="6" w:space="0" w:color="auto"/>
            </w:tcBorders>
            <w:shd w:val="clear" w:color="auto" w:fill="FFFFFF" w:themeFill="background1"/>
          </w:tcPr>
          <w:p w14:paraId="1D13043F" w14:textId="4553315E" w:rsidR="00BE636E" w:rsidRDefault="00BE636E" w:rsidP="0063511C">
            <w:pPr>
              <w:spacing w:before="120" w:line="259" w:lineRule="auto"/>
              <w:ind w:left="144"/>
              <w:rPr>
                <w:rFonts w:eastAsia="Times New Roman" w:cs="Calibri"/>
                <w:sz w:val="20"/>
                <w:szCs w:val="20"/>
              </w:rPr>
            </w:pPr>
            <w:r>
              <w:rPr>
                <w:rFonts w:eastAsia="Times New Roman" w:cs="Calibri"/>
                <w:sz w:val="20"/>
                <w:szCs w:val="20"/>
              </w:rPr>
              <w:t>3.3</w:t>
            </w:r>
          </w:p>
        </w:tc>
        <w:tc>
          <w:tcPr>
            <w:tcW w:w="8767" w:type="dxa"/>
            <w:tcBorders>
              <w:top w:val="single" w:sz="6" w:space="0" w:color="auto"/>
              <w:left w:val="single" w:sz="6" w:space="0" w:color="auto"/>
              <w:bottom w:val="single" w:sz="6" w:space="0" w:color="auto"/>
              <w:right w:val="single" w:sz="6" w:space="0" w:color="auto"/>
            </w:tcBorders>
            <w:shd w:val="clear" w:color="auto" w:fill="FFFFFF" w:themeFill="background1"/>
          </w:tcPr>
          <w:p w14:paraId="7D9695E3" w14:textId="5E66AB63" w:rsidR="00BE636E" w:rsidRDefault="00BE636E" w:rsidP="0063511C">
            <w:pPr>
              <w:spacing w:before="120" w:line="259" w:lineRule="auto"/>
              <w:ind w:left="144"/>
              <w:rPr>
                <w:rFonts w:eastAsia="Times New Roman" w:cs="Calibri"/>
                <w:sz w:val="20"/>
                <w:szCs w:val="20"/>
              </w:rPr>
            </w:pPr>
            <w:r w:rsidRPr="009C43D9">
              <w:rPr>
                <w:rFonts w:eastAsia="Times New Roman" w:cs="Calibri"/>
                <w:sz w:val="20"/>
                <w:szCs w:val="20"/>
              </w:rPr>
              <w:t>Align or integrate other population, provider, or facility-based programs (e.</w:t>
            </w:r>
            <w:r>
              <w:rPr>
                <w:rFonts w:eastAsia="Times New Roman" w:cs="Calibri"/>
                <w:sz w:val="20"/>
                <w:szCs w:val="20"/>
              </w:rPr>
              <w:t>g.</w:t>
            </w:r>
            <w:r w:rsidRPr="009C43D9">
              <w:rPr>
                <w:rFonts w:eastAsia="Times New Roman" w:cs="Calibri"/>
                <w:sz w:val="20"/>
                <w:szCs w:val="20"/>
              </w:rPr>
              <w:t>, hospital, integrated care programs)</w:t>
            </w:r>
          </w:p>
        </w:tc>
      </w:tr>
      <w:tr w:rsidR="00BE636E" w14:paraId="453EC456" w14:textId="77777777" w:rsidTr="00BE636E">
        <w:tc>
          <w:tcPr>
            <w:tcW w:w="812" w:type="dxa"/>
            <w:tcBorders>
              <w:top w:val="single" w:sz="6" w:space="0" w:color="auto"/>
              <w:left w:val="single" w:sz="6" w:space="0" w:color="auto"/>
              <w:bottom w:val="single" w:sz="4" w:space="0" w:color="auto"/>
              <w:right w:val="single" w:sz="6" w:space="0" w:color="auto"/>
            </w:tcBorders>
            <w:shd w:val="clear" w:color="auto" w:fill="FFFFFF" w:themeFill="background1"/>
          </w:tcPr>
          <w:p w14:paraId="66DE3093" w14:textId="1356E0BF" w:rsidR="00BE636E" w:rsidRDefault="00BE636E" w:rsidP="0063511C">
            <w:pPr>
              <w:spacing w:before="120" w:line="259" w:lineRule="auto"/>
              <w:ind w:left="144"/>
              <w:rPr>
                <w:rFonts w:eastAsia="Times New Roman" w:cs="Calibri"/>
                <w:sz w:val="20"/>
                <w:szCs w:val="20"/>
              </w:rPr>
            </w:pPr>
            <w:r>
              <w:rPr>
                <w:rFonts w:eastAsia="Times New Roman" w:cs="Calibri"/>
                <w:sz w:val="20"/>
                <w:szCs w:val="20"/>
              </w:rPr>
              <w:t>3.4</w:t>
            </w:r>
          </w:p>
        </w:tc>
        <w:tc>
          <w:tcPr>
            <w:tcW w:w="8767" w:type="dxa"/>
            <w:tcBorders>
              <w:top w:val="single" w:sz="6" w:space="0" w:color="auto"/>
              <w:left w:val="single" w:sz="6" w:space="0" w:color="auto"/>
              <w:bottom w:val="single" w:sz="4" w:space="0" w:color="auto"/>
              <w:right w:val="single" w:sz="6" w:space="0" w:color="auto"/>
            </w:tcBorders>
            <w:shd w:val="clear" w:color="auto" w:fill="FFFFFF" w:themeFill="background1"/>
          </w:tcPr>
          <w:p w14:paraId="74FA6698" w14:textId="1184B0D6" w:rsidR="00BE636E" w:rsidRDefault="00BE636E" w:rsidP="0063511C">
            <w:pPr>
              <w:spacing w:before="120" w:line="259" w:lineRule="auto"/>
              <w:ind w:left="144"/>
              <w:rPr>
                <w:rFonts w:eastAsia="Times New Roman" w:cs="Calibri"/>
                <w:sz w:val="20"/>
                <w:szCs w:val="20"/>
              </w:rPr>
            </w:pPr>
            <w:r w:rsidRPr="009C43D9">
              <w:rPr>
                <w:rFonts w:eastAsia="Times New Roman" w:cs="Calibri"/>
                <w:sz w:val="20"/>
                <w:szCs w:val="20"/>
              </w:rPr>
              <w:t>Implement robust quality</w:t>
            </w:r>
            <w:r>
              <w:rPr>
                <w:rFonts w:eastAsia="Times New Roman" w:cs="Calibri"/>
                <w:sz w:val="20"/>
                <w:szCs w:val="20"/>
              </w:rPr>
              <w:t xml:space="preserve"> reporting, </w:t>
            </w:r>
            <w:r w:rsidRPr="009C43D9">
              <w:rPr>
                <w:rFonts w:eastAsia="Times New Roman" w:cs="Calibri"/>
                <w:sz w:val="20"/>
                <w:szCs w:val="20"/>
              </w:rPr>
              <w:t>performance and improvement</w:t>
            </w:r>
            <w:r>
              <w:rPr>
                <w:rFonts w:eastAsia="Times New Roman" w:cs="Calibri"/>
                <w:sz w:val="20"/>
                <w:szCs w:val="20"/>
              </w:rPr>
              <w:t>, and</w:t>
            </w:r>
            <w:r w:rsidRPr="009C43D9">
              <w:rPr>
                <w:rFonts w:eastAsia="Times New Roman" w:cs="Calibri"/>
                <w:sz w:val="20"/>
                <w:szCs w:val="20"/>
              </w:rPr>
              <w:t xml:space="preserve"> evaluation processe</w:t>
            </w:r>
            <w:r>
              <w:rPr>
                <w:rFonts w:eastAsia="Times New Roman" w:cs="Calibri"/>
                <w:sz w:val="20"/>
                <w:szCs w:val="20"/>
              </w:rPr>
              <w:t>s</w:t>
            </w:r>
          </w:p>
        </w:tc>
      </w:tr>
      <w:tr w:rsidR="00BE636E" w:rsidRPr="00AC1ABB" w14:paraId="3D76C25F" w14:textId="77777777" w:rsidTr="00BE636E">
        <w:tc>
          <w:tcPr>
            <w:tcW w:w="812" w:type="dxa"/>
            <w:tcBorders>
              <w:top w:val="single" w:sz="4" w:space="0" w:color="auto"/>
              <w:left w:val="single" w:sz="4" w:space="0" w:color="auto"/>
              <w:bottom w:val="single" w:sz="4" w:space="0" w:color="auto"/>
              <w:right w:val="nil"/>
            </w:tcBorders>
            <w:shd w:val="clear" w:color="auto" w:fill="D9E2F3" w:themeFill="accent1" w:themeFillTint="33"/>
          </w:tcPr>
          <w:p w14:paraId="13FEFF78" w14:textId="2A80AEA0" w:rsidR="00BE636E" w:rsidRDefault="00BE636E" w:rsidP="0063511C">
            <w:pPr>
              <w:spacing w:before="120" w:line="259" w:lineRule="auto"/>
              <w:ind w:left="144"/>
              <w:rPr>
                <w:rFonts w:eastAsia="Times New Roman" w:cs="Calibri"/>
                <w:sz w:val="20"/>
                <w:szCs w:val="20"/>
              </w:rPr>
            </w:pPr>
          </w:p>
        </w:tc>
        <w:tc>
          <w:tcPr>
            <w:tcW w:w="8767" w:type="dxa"/>
            <w:tcBorders>
              <w:top w:val="single" w:sz="4" w:space="0" w:color="auto"/>
              <w:left w:val="nil"/>
              <w:bottom w:val="single" w:sz="4" w:space="0" w:color="auto"/>
              <w:right w:val="single" w:sz="4" w:space="0" w:color="auto"/>
            </w:tcBorders>
            <w:shd w:val="clear" w:color="auto" w:fill="D9E2F3" w:themeFill="accent1" w:themeFillTint="33"/>
          </w:tcPr>
          <w:p w14:paraId="389B6B79" w14:textId="1F40C777" w:rsidR="00BE636E" w:rsidRPr="00AC1ABB" w:rsidRDefault="00BE636E" w:rsidP="0063511C">
            <w:pPr>
              <w:spacing w:before="120" w:line="259" w:lineRule="auto"/>
              <w:ind w:left="144"/>
              <w:rPr>
                <w:rFonts w:eastAsia="Times New Roman" w:cs="Calibri"/>
                <w:sz w:val="20"/>
                <w:szCs w:val="20"/>
              </w:rPr>
            </w:pPr>
            <w:r w:rsidRPr="00510CF6">
              <w:rPr>
                <w:rFonts w:eastAsia="Times New Roman" w:cs="Calibri"/>
                <w:b/>
                <w:bCs/>
                <w:sz w:val="20"/>
                <w:szCs w:val="20"/>
              </w:rPr>
              <w:t>Promote p</w:t>
            </w:r>
            <w:r>
              <w:rPr>
                <w:rFonts w:eastAsia="Times New Roman" w:cs="Calibri"/>
                <w:b/>
                <w:bCs/>
                <w:sz w:val="20"/>
                <w:szCs w:val="20"/>
              </w:rPr>
              <w:t>erson</w:t>
            </w:r>
            <w:r w:rsidRPr="00510CF6">
              <w:rPr>
                <w:rFonts w:eastAsia="Times New Roman" w:cs="Calibri"/>
                <w:b/>
                <w:bCs/>
                <w:sz w:val="20"/>
                <w:szCs w:val="20"/>
              </w:rPr>
              <w:t xml:space="preserve"> and family-centered care:</w:t>
            </w:r>
            <w:r w:rsidRPr="00441233">
              <w:rPr>
                <w:rFonts w:eastAsia="Times New Roman" w:cs="Calibri"/>
                <w:b/>
                <w:sz w:val="20"/>
                <w:szCs w:val="20"/>
              </w:rPr>
              <w:t xml:space="preserve"> </w:t>
            </w:r>
            <w:r w:rsidRPr="00441233">
              <w:rPr>
                <w:rFonts w:eastAsia="Times New Roman" w:cs="Calibri"/>
                <w:sz w:val="20"/>
                <w:szCs w:val="20"/>
              </w:rPr>
              <w:t>Strengthen member and family-centered approaches to care and focus on engaging members in their health</w:t>
            </w:r>
          </w:p>
        </w:tc>
      </w:tr>
      <w:tr w:rsidR="00BE636E" w:rsidRPr="00DB40B6" w14:paraId="1764BF7C" w14:textId="77777777" w:rsidTr="00BE636E">
        <w:trPr>
          <w:trHeight w:val="192"/>
        </w:trPr>
        <w:tc>
          <w:tcPr>
            <w:tcW w:w="812" w:type="dxa"/>
            <w:tcBorders>
              <w:top w:val="single" w:sz="4" w:space="0" w:color="auto"/>
              <w:left w:val="single" w:sz="6" w:space="0" w:color="auto"/>
              <w:bottom w:val="single" w:sz="6" w:space="0" w:color="auto"/>
              <w:right w:val="single" w:sz="6" w:space="0" w:color="auto"/>
            </w:tcBorders>
            <w:shd w:val="clear" w:color="auto" w:fill="FFFFFF" w:themeFill="background1"/>
          </w:tcPr>
          <w:p w14:paraId="100B7FF2" w14:textId="1330F3DA" w:rsidR="00BE636E" w:rsidRPr="00441233" w:rsidRDefault="00BE636E" w:rsidP="0063511C">
            <w:pPr>
              <w:pStyle w:val="ListParagraph"/>
              <w:numPr>
                <w:ilvl w:val="0"/>
                <w:numId w:val="36"/>
              </w:numPr>
              <w:spacing w:before="120"/>
              <w:jc w:val="center"/>
              <w:textAlignment w:val="baseline"/>
              <w:rPr>
                <w:rFonts w:cs="Calibri"/>
                <w:b/>
                <w:color w:val="000000" w:themeColor="text1"/>
                <w:sz w:val="20"/>
                <w:szCs w:val="20"/>
              </w:rPr>
            </w:pPr>
            <w:r>
              <w:rPr>
                <w:rFonts w:eastAsia="Times New Roman" w:cs="Calibri"/>
                <w:sz w:val="20"/>
                <w:szCs w:val="20"/>
              </w:rPr>
              <w:t>4.1</w:t>
            </w:r>
          </w:p>
        </w:tc>
        <w:tc>
          <w:tcPr>
            <w:tcW w:w="8767" w:type="dxa"/>
            <w:tcBorders>
              <w:top w:val="single" w:sz="4" w:space="0" w:color="auto"/>
              <w:left w:val="single" w:sz="6" w:space="0" w:color="auto"/>
              <w:bottom w:val="single" w:sz="6" w:space="0" w:color="auto"/>
              <w:right w:val="single" w:sz="6" w:space="0" w:color="auto"/>
            </w:tcBorders>
            <w:shd w:val="clear" w:color="auto" w:fill="FFFFFF" w:themeFill="background1"/>
          </w:tcPr>
          <w:p w14:paraId="24381AB1" w14:textId="3C81DA15" w:rsidR="00BE636E" w:rsidRPr="00441233" w:rsidRDefault="00BE636E" w:rsidP="0063511C">
            <w:pPr>
              <w:spacing w:before="120" w:line="259" w:lineRule="auto"/>
              <w:ind w:left="144"/>
              <w:rPr>
                <w:rFonts w:eastAsia="Times New Roman" w:cs="Calibri"/>
                <w:b/>
                <w:sz w:val="20"/>
                <w:szCs w:val="20"/>
              </w:rPr>
            </w:pPr>
            <w:r>
              <w:rPr>
                <w:rFonts w:eastAsia="Times New Roman" w:cs="Calibri"/>
                <w:sz w:val="20"/>
                <w:szCs w:val="20"/>
              </w:rPr>
              <w:t>Promote requirements and activities</w:t>
            </w:r>
            <w:r w:rsidRPr="005B7F75">
              <w:rPr>
                <w:rFonts w:eastAsia="Times New Roman" w:cs="Calibri"/>
                <w:sz w:val="20"/>
                <w:szCs w:val="20"/>
              </w:rPr>
              <w:t xml:space="preserve"> that engage </w:t>
            </w:r>
            <w:r>
              <w:rPr>
                <w:rFonts w:eastAsia="Times New Roman" w:cs="Calibri"/>
                <w:sz w:val="20"/>
                <w:szCs w:val="20"/>
              </w:rPr>
              <w:t xml:space="preserve">providers and </w:t>
            </w:r>
            <w:r w:rsidRPr="005B7F75">
              <w:rPr>
                <w:rFonts w:eastAsia="Times New Roman" w:cs="Calibri"/>
                <w:sz w:val="20"/>
                <w:szCs w:val="20"/>
              </w:rPr>
              <w:t>members in</w:t>
            </w:r>
            <w:r>
              <w:rPr>
                <w:rFonts w:eastAsia="Times New Roman" w:cs="Calibri"/>
                <w:sz w:val="20"/>
                <w:szCs w:val="20"/>
              </w:rPr>
              <w:t xml:space="preserve"> their care decisions through</w:t>
            </w:r>
            <w:r w:rsidRPr="005B7F75">
              <w:rPr>
                <w:rFonts w:eastAsia="Times New Roman" w:cs="Calibri"/>
                <w:sz w:val="20"/>
                <w:szCs w:val="20"/>
              </w:rPr>
              <w:t xml:space="preserve"> </w:t>
            </w:r>
            <w:r>
              <w:rPr>
                <w:rFonts w:eastAsia="Times New Roman" w:cs="Calibri"/>
                <w:sz w:val="20"/>
                <w:szCs w:val="20"/>
              </w:rPr>
              <w:t>communications</w:t>
            </w:r>
            <w:r w:rsidRPr="005B7F75">
              <w:rPr>
                <w:rFonts w:eastAsia="Times New Roman" w:cs="Calibri"/>
                <w:sz w:val="20"/>
                <w:szCs w:val="20"/>
              </w:rPr>
              <w:t xml:space="preserve"> that </w:t>
            </w:r>
            <w:r>
              <w:rPr>
                <w:rFonts w:eastAsia="Times New Roman" w:cs="Calibri"/>
                <w:sz w:val="20"/>
                <w:szCs w:val="20"/>
              </w:rPr>
              <w:t>are</w:t>
            </w:r>
            <w:r w:rsidRPr="005B7F75">
              <w:rPr>
                <w:rFonts w:eastAsia="Times New Roman" w:cs="Calibri"/>
                <w:sz w:val="20"/>
                <w:szCs w:val="20"/>
              </w:rPr>
              <w:t xml:space="preserve"> clear, timely, accessible, and culturally and linguistically appropriate </w:t>
            </w:r>
          </w:p>
        </w:tc>
      </w:tr>
      <w:tr w:rsidR="00BE636E" w:rsidRPr="005B7F75" w14:paraId="3DC373D1" w14:textId="77777777">
        <w:trPr>
          <w:trHeight w:val="856"/>
        </w:trPr>
        <w:tc>
          <w:tcPr>
            <w:tcW w:w="812" w:type="dxa"/>
            <w:tcBorders>
              <w:top w:val="single" w:sz="6" w:space="0" w:color="auto"/>
              <w:left w:val="single" w:sz="6" w:space="0" w:color="auto"/>
              <w:bottom w:val="single" w:sz="6" w:space="0" w:color="auto"/>
              <w:right w:val="single" w:sz="6" w:space="0" w:color="auto"/>
            </w:tcBorders>
            <w:shd w:val="clear" w:color="auto" w:fill="FFFFFF" w:themeFill="background1"/>
          </w:tcPr>
          <w:p w14:paraId="0F12C0F5" w14:textId="5507E1C4" w:rsidR="00BE636E" w:rsidRDefault="00BE636E" w:rsidP="0063511C">
            <w:pPr>
              <w:spacing w:before="120" w:line="259" w:lineRule="auto"/>
              <w:ind w:left="144"/>
              <w:rPr>
                <w:rFonts w:eastAsia="Times New Roman" w:cs="Calibri"/>
                <w:sz w:val="20"/>
                <w:szCs w:val="20"/>
              </w:rPr>
            </w:pPr>
            <w:r>
              <w:rPr>
                <w:rFonts w:eastAsia="Times New Roman" w:cs="Calibri"/>
                <w:sz w:val="20"/>
                <w:szCs w:val="20"/>
              </w:rPr>
              <w:lastRenderedPageBreak/>
              <w:t>4.2</w:t>
            </w:r>
          </w:p>
        </w:tc>
        <w:tc>
          <w:tcPr>
            <w:tcW w:w="8767" w:type="dxa"/>
            <w:tcBorders>
              <w:top w:val="single" w:sz="6" w:space="0" w:color="auto"/>
              <w:left w:val="single" w:sz="6" w:space="0" w:color="auto"/>
              <w:bottom w:val="single" w:sz="6" w:space="0" w:color="auto"/>
              <w:right w:val="single" w:sz="6" w:space="0" w:color="auto"/>
            </w:tcBorders>
            <w:shd w:val="clear" w:color="auto" w:fill="FFFFFF" w:themeFill="background1"/>
          </w:tcPr>
          <w:p w14:paraId="5D81205D" w14:textId="3269C72F" w:rsidR="00BE636E" w:rsidRPr="005B7F75" w:rsidRDefault="00BE636E" w:rsidP="0063511C">
            <w:pPr>
              <w:spacing w:before="120" w:line="259" w:lineRule="auto"/>
              <w:ind w:left="144"/>
              <w:rPr>
                <w:rFonts w:eastAsia="Times New Roman" w:cs="Calibri"/>
                <w:sz w:val="20"/>
                <w:szCs w:val="20"/>
              </w:rPr>
            </w:pPr>
            <w:r w:rsidRPr="005B7F75">
              <w:rPr>
                <w:rFonts w:eastAsia="Times New Roman" w:cs="Calibri"/>
                <w:sz w:val="20"/>
                <w:szCs w:val="20"/>
              </w:rPr>
              <w:t>Capture member experience across our populations for members receiving acute care, primary care, behavioral health, and long-term services and supports</w:t>
            </w:r>
          </w:p>
        </w:tc>
      </w:tr>
      <w:tr w:rsidR="00BE636E" w:rsidRPr="005B7F75" w14:paraId="04EDE74E" w14:textId="77777777" w:rsidTr="004B33DA">
        <w:tc>
          <w:tcPr>
            <w:tcW w:w="812" w:type="dxa"/>
            <w:tcBorders>
              <w:top w:val="single" w:sz="6" w:space="0" w:color="auto"/>
              <w:left w:val="single" w:sz="6" w:space="0" w:color="auto"/>
              <w:bottom w:val="single" w:sz="4" w:space="0" w:color="auto"/>
              <w:right w:val="single" w:sz="6" w:space="0" w:color="auto"/>
            </w:tcBorders>
            <w:shd w:val="clear" w:color="auto" w:fill="FFFFFF" w:themeFill="background1"/>
          </w:tcPr>
          <w:p w14:paraId="0E3EDF36" w14:textId="0AFAB887" w:rsidR="00BE636E" w:rsidRDefault="00BE636E" w:rsidP="0063511C">
            <w:pPr>
              <w:spacing w:before="120" w:line="259" w:lineRule="auto"/>
              <w:ind w:left="144"/>
              <w:rPr>
                <w:rFonts w:eastAsia="Times New Roman" w:cs="Calibri"/>
                <w:sz w:val="20"/>
                <w:szCs w:val="20"/>
              </w:rPr>
            </w:pPr>
            <w:r>
              <w:rPr>
                <w:rFonts w:eastAsia="Times New Roman" w:cs="Calibri"/>
                <w:sz w:val="20"/>
                <w:szCs w:val="20"/>
              </w:rPr>
              <w:t>4.3</w:t>
            </w:r>
          </w:p>
        </w:tc>
        <w:tc>
          <w:tcPr>
            <w:tcW w:w="8767" w:type="dxa"/>
            <w:tcBorders>
              <w:top w:val="single" w:sz="6" w:space="0" w:color="auto"/>
              <w:left w:val="single" w:sz="6" w:space="0" w:color="auto"/>
              <w:bottom w:val="single" w:sz="4" w:space="0" w:color="auto"/>
              <w:right w:val="single" w:sz="6" w:space="0" w:color="auto"/>
            </w:tcBorders>
            <w:shd w:val="clear" w:color="auto" w:fill="FFFFFF" w:themeFill="background1"/>
          </w:tcPr>
          <w:p w14:paraId="1D05DCA2" w14:textId="5C2316B5" w:rsidR="00BE636E" w:rsidRPr="005B7F75" w:rsidRDefault="00BE636E" w:rsidP="0063511C">
            <w:pPr>
              <w:spacing w:before="120" w:line="259" w:lineRule="auto"/>
              <w:ind w:left="144"/>
              <w:rPr>
                <w:rFonts w:eastAsia="Times New Roman" w:cs="Calibri"/>
                <w:sz w:val="20"/>
                <w:szCs w:val="20"/>
              </w:rPr>
            </w:pPr>
            <w:r>
              <w:rPr>
                <w:rFonts w:eastAsia="Times New Roman" w:cs="Calibri"/>
                <w:sz w:val="20"/>
                <w:szCs w:val="20"/>
              </w:rPr>
              <w:t xml:space="preserve">Utilize </w:t>
            </w:r>
            <w:r w:rsidRPr="005B7F75">
              <w:rPr>
                <w:rFonts w:eastAsia="Times New Roman" w:cs="Calibri"/>
                <w:sz w:val="20"/>
                <w:szCs w:val="20"/>
              </w:rPr>
              <w:t xml:space="preserve">member engagement processes to systematically receive feedback </w:t>
            </w:r>
            <w:r>
              <w:rPr>
                <w:rFonts w:eastAsia="Times New Roman" w:cs="Calibri"/>
                <w:sz w:val="20"/>
                <w:szCs w:val="20"/>
              </w:rPr>
              <w:t>to</w:t>
            </w:r>
            <w:r w:rsidRPr="005B7F75">
              <w:rPr>
                <w:rFonts w:eastAsia="Times New Roman" w:cs="Calibri"/>
                <w:sz w:val="20"/>
                <w:szCs w:val="20"/>
              </w:rPr>
              <w:t xml:space="preserve"> drive </w:t>
            </w:r>
            <w:r>
              <w:rPr>
                <w:rFonts w:eastAsia="Times New Roman" w:cs="Calibri"/>
                <w:sz w:val="20"/>
                <w:szCs w:val="20"/>
              </w:rPr>
              <w:t>program</w:t>
            </w:r>
            <w:r w:rsidRPr="005B7F75">
              <w:rPr>
                <w:rFonts w:eastAsia="Times New Roman" w:cs="Calibri"/>
                <w:sz w:val="20"/>
                <w:szCs w:val="20"/>
              </w:rPr>
              <w:t xml:space="preserve"> and care improvement</w:t>
            </w:r>
          </w:p>
        </w:tc>
      </w:tr>
      <w:tr w:rsidR="00BE636E" w:rsidRPr="005B7F75" w14:paraId="3CE06DE1" w14:textId="77777777" w:rsidTr="004B33DA">
        <w:tc>
          <w:tcPr>
            <w:tcW w:w="812" w:type="dxa"/>
            <w:tcBorders>
              <w:top w:val="single" w:sz="4" w:space="0" w:color="auto"/>
              <w:left w:val="single" w:sz="4" w:space="0" w:color="auto"/>
              <w:bottom w:val="single" w:sz="4" w:space="0" w:color="auto"/>
              <w:right w:val="nil"/>
            </w:tcBorders>
            <w:shd w:val="clear" w:color="auto" w:fill="D9E2F3" w:themeFill="accent1" w:themeFillTint="33"/>
          </w:tcPr>
          <w:p w14:paraId="35CF5482" w14:textId="492B109E" w:rsidR="00BE636E" w:rsidRDefault="00BE636E" w:rsidP="0063511C">
            <w:pPr>
              <w:spacing w:before="120" w:line="259" w:lineRule="auto"/>
              <w:ind w:left="144"/>
              <w:rPr>
                <w:rFonts w:eastAsia="Times New Roman" w:cs="Calibri"/>
                <w:sz w:val="20"/>
                <w:szCs w:val="20"/>
              </w:rPr>
            </w:pPr>
          </w:p>
        </w:tc>
        <w:tc>
          <w:tcPr>
            <w:tcW w:w="8767" w:type="dxa"/>
            <w:tcBorders>
              <w:top w:val="single" w:sz="4" w:space="0" w:color="auto"/>
              <w:left w:val="nil"/>
              <w:bottom w:val="single" w:sz="4" w:space="0" w:color="auto"/>
              <w:right w:val="single" w:sz="4" w:space="0" w:color="auto"/>
            </w:tcBorders>
            <w:shd w:val="clear" w:color="auto" w:fill="D9E2F3" w:themeFill="accent1" w:themeFillTint="33"/>
          </w:tcPr>
          <w:p w14:paraId="6DE9C967" w14:textId="13A252B4" w:rsidR="00BE636E" w:rsidRPr="005B7F75" w:rsidRDefault="00BE636E" w:rsidP="0063511C">
            <w:pPr>
              <w:spacing w:before="120" w:line="259" w:lineRule="auto"/>
              <w:ind w:left="144"/>
              <w:rPr>
                <w:rFonts w:eastAsia="Times New Roman" w:cs="Calibri"/>
                <w:sz w:val="20"/>
                <w:szCs w:val="20"/>
              </w:rPr>
            </w:pPr>
            <w:r w:rsidRPr="00510CF6">
              <w:rPr>
                <w:rFonts w:eastAsia="Times New Roman" w:cs="Calibri"/>
                <w:b/>
                <w:bCs/>
                <w:sz w:val="20"/>
                <w:szCs w:val="20"/>
              </w:rPr>
              <w:t>Improve care</w:t>
            </w:r>
            <w:r w:rsidRPr="00441233">
              <w:rPr>
                <w:rFonts w:eastAsia="Times New Roman" w:cs="Calibri"/>
                <w:sz w:val="20"/>
                <w:szCs w:val="20"/>
              </w:rPr>
              <w:t xml:space="preserve"> through better integration, communication, and coordination </w:t>
            </w:r>
            <w:r w:rsidRPr="00510CF6">
              <w:rPr>
                <w:rFonts w:eastAsia="Times New Roman" w:cs="Calibri"/>
                <w:sz w:val="20"/>
                <w:szCs w:val="20"/>
              </w:rPr>
              <w:t>across the care continuum and across care teams for our members</w:t>
            </w:r>
          </w:p>
        </w:tc>
      </w:tr>
      <w:tr w:rsidR="00BE636E" w:rsidRPr="00BB59E0" w14:paraId="3A2AF259" w14:textId="77777777" w:rsidTr="004B33DA">
        <w:trPr>
          <w:trHeight w:val="525"/>
        </w:trPr>
        <w:tc>
          <w:tcPr>
            <w:tcW w:w="812" w:type="dxa"/>
            <w:tcBorders>
              <w:top w:val="single" w:sz="4" w:space="0" w:color="auto"/>
              <w:left w:val="single" w:sz="6" w:space="0" w:color="auto"/>
              <w:bottom w:val="single" w:sz="6" w:space="0" w:color="auto"/>
              <w:right w:val="single" w:sz="6" w:space="0" w:color="auto"/>
            </w:tcBorders>
            <w:shd w:val="clear" w:color="auto" w:fill="FFFFFF" w:themeFill="background1"/>
          </w:tcPr>
          <w:p w14:paraId="08E41527" w14:textId="554B754B" w:rsidR="00BE636E" w:rsidRPr="00585870" w:rsidRDefault="00BE636E" w:rsidP="0063511C">
            <w:pPr>
              <w:pStyle w:val="ListParagraph"/>
              <w:numPr>
                <w:ilvl w:val="0"/>
                <w:numId w:val="36"/>
              </w:numPr>
              <w:spacing w:before="120"/>
              <w:jc w:val="center"/>
              <w:textAlignment w:val="baseline"/>
              <w:rPr>
                <w:rFonts w:cs="Calibri"/>
                <w:b/>
                <w:color w:val="000000" w:themeColor="text1"/>
                <w:sz w:val="20"/>
                <w:szCs w:val="20"/>
              </w:rPr>
            </w:pPr>
            <w:r>
              <w:rPr>
                <w:rFonts w:eastAsia="Times New Roman" w:cs="Calibri"/>
                <w:sz w:val="20"/>
                <w:szCs w:val="20"/>
              </w:rPr>
              <w:t xml:space="preserve">5.1  </w:t>
            </w:r>
          </w:p>
        </w:tc>
        <w:tc>
          <w:tcPr>
            <w:tcW w:w="8767" w:type="dxa"/>
            <w:tcBorders>
              <w:top w:val="single" w:sz="4" w:space="0" w:color="auto"/>
              <w:left w:val="single" w:sz="6" w:space="0" w:color="auto"/>
              <w:bottom w:val="single" w:sz="6" w:space="0" w:color="auto"/>
              <w:right w:val="single" w:sz="6" w:space="0" w:color="auto"/>
            </w:tcBorders>
            <w:shd w:val="clear" w:color="auto" w:fill="FFFFFF" w:themeFill="background1"/>
          </w:tcPr>
          <w:p w14:paraId="310C266D" w14:textId="7EB21779" w:rsidR="00BE636E" w:rsidRPr="00441233" w:rsidRDefault="00BE636E" w:rsidP="0063511C">
            <w:pPr>
              <w:spacing w:before="120" w:line="259" w:lineRule="auto"/>
              <w:ind w:left="144"/>
              <w:rPr>
                <w:rFonts w:eastAsia="Times New Roman" w:cs="Calibri"/>
                <w:sz w:val="20"/>
                <w:szCs w:val="20"/>
              </w:rPr>
            </w:pPr>
            <w:r>
              <w:rPr>
                <w:rFonts w:eastAsia="Times New Roman" w:cs="Calibri"/>
                <w:sz w:val="20"/>
                <w:szCs w:val="20"/>
              </w:rPr>
              <w:t xml:space="preserve">Invest in systems and interventions to improve </w:t>
            </w:r>
            <w:r w:rsidRPr="009C43D9">
              <w:rPr>
                <w:rFonts w:eastAsia="Times New Roman" w:cs="Calibri"/>
                <w:sz w:val="20"/>
                <w:szCs w:val="20"/>
              </w:rPr>
              <w:t>verbal</w:t>
            </w:r>
            <w:r>
              <w:rPr>
                <w:rFonts w:eastAsia="Times New Roman" w:cs="Calibri"/>
                <w:sz w:val="20"/>
                <w:szCs w:val="20"/>
              </w:rPr>
              <w:t xml:space="preserve">, </w:t>
            </w:r>
            <w:r w:rsidRPr="009C43D9">
              <w:rPr>
                <w:rFonts w:eastAsia="Times New Roman" w:cs="Calibri"/>
                <w:sz w:val="20"/>
                <w:szCs w:val="20"/>
              </w:rPr>
              <w:t>written</w:t>
            </w:r>
            <w:r>
              <w:rPr>
                <w:rFonts w:eastAsia="Times New Roman" w:cs="Calibri"/>
                <w:sz w:val="20"/>
                <w:szCs w:val="20"/>
              </w:rPr>
              <w:t>, and electronic</w:t>
            </w:r>
            <w:r w:rsidRPr="009C43D9">
              <w:rPr>
                <w:rFonts w:eastAsia="Times New Roman" w:cs="Calibri"/>
                <w:sz w:val="20"/>
                <w:szCs w:val="20"/>
              </w:rPr>
              <w:t xml:space="preserve"> </w:t>
            </w:r>
            <w:proofErr w:type="gramStart"/>
            <w:r w:rsidRPr="009C43D9">
              <w:rPr>
                <w:rFonts w:eastAsia="Times New Roman" w:cs="Calibri"/>
                <w:sz w:val="20"/>
                <w:szCs w:val="20"/>
              </w:rPr>
              <w:t>communication</w:t>
            </w:r>
            <w:r>
              <w:rPr>
                <w:rFonts w:eastAsia="Times New Roman" w:cs="Calibri"/>
                <w:sz w:val="20"/>
                <w:szCs w:val="20"/>
              </w:rPr>
              <w:t>s</w:t>
            </w:r>
            <w:proofErr w:type="gramEnd"/>
            <w:r>
              <w:rPr>
                <w:rFonts w:eastAsia="Times New Roman" w:cs="Calibri"/>
                <w:sz w:val="20"/>
                <w:szCs w:val="20"/>
              </w:rPr>
              <w:t xml:space="preserve"> </w:t>
            </w:r>
            <w:r w:rsidRPr="009C43D9">
              <w:rPr>
                <w:rFonts w:eastAsia="Times New Roman" w:cs="Calibri"/>
                <w:sz w:val="20"/>
                <w:szCs w:val="20"/>
              </w:rPr>
              <w:t>among caregivers to reduce harm</w:t>
            </w:r>
            <w:r>
              <w:rPr>
                <w:rFonts w:eastAsia="Times New Roman" w:cs="Calibri"/>
                <w:sz w:val="20"/>
                <w:szCs w:val="20"/>
              </w:rPr>
              <w:t xml:space="preserve"> or avoidable hospitalizations</w:t>
            </w:r>
            <w:r w:rsidRPr="009C43D9">
              <w:rPr>
                <w:rFonts w:eastAsia="Times New Roman" w:cs="Calibri"/>
                <w:sz w:val="20"/>
                <w:szCs w:val="20"/>
              </w:rPr>
              <w:t xml:space="preserve"> and ensure safe</w:t>
            </w:r>
            <w:r>
              <w:rPr>
                <w:rFonts w:eastAsia="Times New Roman" w:cs="Calibri"/>
                <w:sz w:val="20"/>
                <w:szCs w:val="20"/>
              </w:rPr>
              <w:t xml:space="preserve"> and seamless</w:t>
            </w:r>
            <w:r w:rsidRPr="009C43D9">
              <w:rPr>
                <w:rFonts w:eastAsia="Times New Roman" w:cs="Calibri"/>
                <w:sz w:val="20"/>
                <w:szCs w:val="20"/>
              </w:rPr>
              <w:t xml:space="preserve"> care for members </w:t>
            </w:r>
            <w:r w:rsidRPr="00EA041B">
              <w:rPr>
                <w:rFonts w:eastAsia="Times New Roman" w:cs="Calibri"/>
                <w:sz w:val="20"/>
                <w:szCs w:val="20"/>
              </w:rPr>
              <w:t xml:space="preserve"> </w:t>
            </w:r>
          </w:p>
        </w:tc>
      </w:tr>
      <w:tr w:rsidR="00BE636E" w:rsidRPr="00EA041B" w14:paraId="4A3550C7" w14:textId="77777777">
        <w:tc>
          <w:tcPr>
            <w:tcW w:w="812" w:type="dxa"/>
            <w:tcBorders>
              <w:top w:val="single" w:sz="6" w:space="0" w:color="auto"/>
              <w:left w:val="single" w:sz="6" w:space="0" w:color="auto"/>
              <w:bottom w:val="single" w:sz="6" w:space="0" w:color="auto"/>
              <w:right w:val="single" w:sz="6" w:space="0" w:color="auto"/>
            </w:tcBorders>
            <w:shd w:val="clear" w:color="auto" w:fill="FFFFFF" w:themeFill="background1"/>
          </w:tcPr>
          <w:p w14:paraId="1CA01681" w14:textId="2F520144" w:rsidR="00BE636E" w:rsidRDefault="00BE636E" w:rsidP="0063511C">
            <w:pPr>
              <w:spacing w:before="120" w:line="259" w:lineRule="auto"/>
              <w:ind w:left="144"/>
              <w:rPr>
                <w:rFonts w:eastAsia="Times New Roman" w:cs="Calibri"/>
                <w:sz w:val="20"/>
                <w:szCs w:val="20"/>
              </w:rPr>
            </w:pPr>
            <w:r>
              <w:rPr>
                <w:rFonts w:eastAsia="Times New Roman" w:cs="Calibri"/>
                <w:sz w:val="20"/>
                <w:szCs w:val="20"/>
              </w:rPr>
              <w:t>5.2</w:t>
            </w:r>
          </w:p>
        </w:tc>
        <w:tc>
          <w:tcPr>
            <w:tcW w:w="8767" w:type="dxa"/>
            <w:tcBorders>
              <w:top w:val="single" w:sz="6" w:space="0" w:color="auto"/>
              <w:left w:val="single" w:sz="6" w:space="0" w:color="auto"/>
              <w:bottom w:val="single" w:sz="6" w:space="0" w:color="auto"/>
              <w:right w:val="single" w:sz="6" w:space="0" w:color="auto"/>
            </w:tcBorders>
            <w:shd w:val="clear" w:color="auto" w:fill="FFFFFF" w:themeFill="background1"/>
          </w:tcPr>
          <w:p w14:paraId="448C01FE" w14:textId="4FAEAA92" w:rsidR="00BE636E" w:rsidRPr="00EA041B" w:rsidRDefault="00BE636E" w:rsidP="0063511C">
            <w:pPr>
              <w:spacing w:before="120" w:line="259" w:lineRule="auto"/>
              <w:ind w:left="144"/>
              <w:rPr>
                <w:rFonts w:eastAsia="Times New Roman" w:cs="Calibri"/>
                <w:sz w:val="20"/>
                <w:szCs w:val="20"/>
              </w:rPr>
            </w:pPr>
            <w:r w:rsidRPr="00953779">
              <w:rPr>
                <w:rFonts w:eastAsia="Times New Roman" w:cs="Calibri"/>
                <w:sz w:val="20"/>
                <w:szCs w:val="20"/>
              </w:rPr>
              <w:t xml:space="preserve">Proactively engage </w:t>
            </w:r>
            <w:r>
              <w:rPr>
                <w:rFonts w:eastAsia="Times New Roman" w:cs="Calibri"/>
                <w:sz w:val="20"/>
                <w:szCs w:val="20"/>
              </w:rPr>
              <w:t xml:space="preserve">members with high and rising risk </w:t>
            </w:r>
            <w:r w:rsidRPr="00953779">
              <w:rPr>
                <w:rFonts w:eastAsia="Times New Roman" w:cs="Calibri"/>
                <w:sz w:val="20"/>
                <w:szCs w:val="20"/>
              </w:rPr>
              <w:t>to</w:t>
            </w:r>
            <w:r>
              <w:rPr>
                <w:rFonts w:eastAsia="Times New Roman" w:cs="Calibri"/>
                <w:sz w:val="20"/>
                <w:szCs w:val="20"/>
              </w:rPr>
              <w:t xml:space="preserve"> </w:t>
            </w:r>
            <w:r w:rsidRPr="00953779">
              <w:rPr>
                <w:rFonts w:eastAsia="Times New Roman" w:cs="Calibri"/>
                <w:sz w:val="20"/>
                <w:szCs w:val="20"/>
              </w:rPr>
              <w:t>streamline care coordination and ensure members have an identified single accountable point of contact</w:t>
            </w:r>
          </w:p>
        </w:tc>
      </w:tr>
      <w:tr w:rsidR="00BE636E" w14:paraId="0B21B17A" w14:textId="77777777">
        <w:tc>
          <w:tcPr>
            <w:tcW w:w="812" w:type="dxa"/>
            <w:tcBorders>
              <w:top w:val="single" w:sz="6" w:space="0" w:color="auto"/>
              <w:left w:val="single" w:sz="6" w:space="0" w:color="auto"/>
              <w:bottom w:val="single" w:sz="6" w:space="0" w:color="auto"/>
              <w:right w:val="single" w:sz="6" w:space="0" w:color="auto"/>
            </w:tcBorders>
            <w:shd w:val="clear" w:color="auto" w:fill="FFFFFF" w:themeFill="background1"/>
          </w:tcPr>
          <w:p w14:paraId="7A68C485" w14:textId="7AFEB386" w:rsidR="00BE636E" w:rsidRDefault="00BE636E" w:rsidP="0063511C">
            <w:pPr>
              <w:spacing w:before="120" w:line="259" w:lineRule="auto"/>
              <w:ind w:left="144"/>
              <w:rPr>
                <w:rFonts w:eastAsia="Times New Roman" w:cs="Calibri"/>
                <w:sz w:val="20"/>
                <w:szCs w:val="20"/>
              </w:rPr>
            </w:pPr>
            <w:r>
              <w:rPr>
                <w:rFonts w:eastAsia="Times New Roman" w:cs="Calibri"/>
                <w:sz w:val="20"/>
                <w:szCs w:val="20"/>
              </w:rPr>
              <w:t>5.3</w:t>
            </w:r>
          </w:p>
        </w:tc>
        <w:tc>
          <w:tcPr>
            <w:tcW w:w="8767" w:type="dxa"/>
            <w:tcBorders>
              <w:top w:val="single" w:sz="6" w:space="0" w:color="auto"/>
              <w:left w:val="single" w:sz="6" w:space="0" w:color="auto"/>
              <w:bottom w:val="single" w:sz="6" w:space="0" w:color="auto"/>
              <w:right w:val="single" w:sz="6" w:space="0" w:color="auto"/>
            </w:tcBorders>
            <w:shd w:val="clear" w:color="auto" w:fill="FFFFFF" w:themeFill="background1"/>
          </w:tcPr>
          <w:p w14:paraId="2048278B" w14:textId="07668933" w:rsidR="00BE636E" w:rsidRDefault="00BE636E" w:rsidP="0063511C">
            <w:pPr>
              <w:spacing w:before="120" w:line="259" w:lineRule="auto"/>
              <w:ind w:left="144"/>
              <w:rPr>
                <w:rFonts w:eastAsia="Times New Roman" w:cs="Calibri"/>
                <w:sz w:val="20"/>
                <w:szCs w:val="20"/>
              </w:rPr>
            </w:pPr>
            <w:r w:rsidRPr="361E8982">
              <w:rPr>
                <w:rFonts w:eastAsia="Times New Roman" w:cs="Calibri"/>
                <w:sz w:val="20"/>
                <w:szCs w:val="20"/>
              </w:rPr>
              <w:t>Streamline and centralize behavioral health care to increase timely access and coordination of appropriate care options and reduce mental health and SUD emergencies</w:t>
            </w:r>
          </w:p>
        </w:tc>
      </w:tr>
    </w:tbl>
    <w:p w14:paraId="6DFC61A8" w14:textId="77777777" w:rsidR="000F478C" w:rsidRDefault="000F478C" w:rsidP="000F478C">
      <w:pPr>
        <w:rPr>
          <w:rFonts w:asciiTheme="minorHAnsi" w:eastAsia="Times New Roman" w:hAnsiTheme="minorHAnsi" w:cstheme="minorBidi"/>
        </w:rPr>
      </w:pPr>
    </w:p>
    <w:p w14:paraId="2EFE4E3B" w14:textId="11E9EBAC" w:rsidR="00A51E3B" w:rsidRPr="000F478C" w:rsidRDefault="000F478C" w:rsidP="0550ECD3">
      <w:pPr>
        <w:rPr>
          <w:rFonts w:asciiTheme="minorHAnsi" w:eastAsia="Times New Roman" w:hAnsiTheme="minorHAnsi" w:cstheme="minorBidi"/>
        </w:rPr>
      </w:pPr>
      <w:r w:rsidRPr="0939FE37">
        <w:rPr>
          <w:rFonts w:asciiTheme="minorHAnsi" w:eastAsia="Times New Roman" w:hAnsiTheme="minorHAnsi" w:cstheme="minorBidi"/>
        </w:rPr>
        <w:t xml:space="preserve">To evaluate progress toward meeting </w:t>
      </w:r>
      <w:r w:rsidR="008219AB">
        <w:rPr>
          <w:rFonts w:asciiTheme="minorHAnsi" w:eastAsia="Times New Roman" w:hAnsiTheme="minorHAnsi" w:cstheme="minorBidi"/>
        </w:rPr>
        <w:t>the CQS</w:t>
      </w:r>
      <w:r w:rsidR="6CE6F893" w:rsidRPr="0550ECD3">
        <w:rPr>
          <w:rFonts w:asciiTheme="minorHAnsi" w:eastAsia="Times New Roman" w:hAnsiTheme="minorHAnsi" w:cstheme="minorBidi"/>
        </w:rPr>
        <w:t xml:space="preserve"> goals</w:t>
      </w:r>
      <w:r w:rsidR="008219AB">
        <w:rPr>
          <w:rFonts w:asciiTheme="minorHAnsi" w:eastAsia="Times New Roman" w:hAnsiTheme="minorHAnsi" w:cstheme="minorBidi"/>
        </w:rPr>
        <w:t xml:space="preserve"> and objectives</w:t>
      </w:r>
      <w:r w:rsidR="6CE6F893" w:rsidRPr="0550ECD3">
        <w:rPr>
          <w:rFonts w:asciiTheme="minorHAnsi" w:eastAsia="Times New Roman" w:hAnsiTheme="minorHAnsi" w:cstheme="minorBidi"/>
        </w:rPr>
        <w:t xml:space="preserve">, </w:t>
      </w:r>
      <w:r w:rsidRPr="0939FE37">
        <w:rPr>
          <w:rFonts w:asciiTheme="minorHAnsi" w:eastAsia="Times New Roman" w:hAnsiTheme="minorHAnsi" w:cstheme="minorBidi"/>
        </w:rPr>
        <w:t xml:space="preserve">MassHealth assessed performance </w:t>
      </w:r>
      <w:r w:rsidR="59A70B4B" w:rsidRPr="0550ECD3">
        <w:rPr>
          <w:rFonts w:asciiTheme="minorHAnsi" w:eastAsia="Times New Roman" w:hAnsiTheme="minorHAnsi" w:cstheme="minorBidi"/>
        </w:rPr>
        <w:t xml:space="preserve">using the results </w:t>
      </w:r>
      <w:r w:rsidR="0059031F">
        <w:rPr>
          <w:rFonts w:asciiTheme="minorHAnsi" w:eastAsia="Times New Roman" w:hAnsiTheme="minorHAnsi" w:cstheme="minorBidi"/>
        </w:rPr>
        <w:t>of</w:t>
      </w:r>
      <w:r w:rsidR="59A70B4B" w:rsidRPr="0550ECD3">
        <w:rPr>
          <w:rFonts w:asciiTheme="minorHAnsi" w:eastAsia="Times New Roman" w:hAnsiTheme="minorHAnsi" w:cstheme="minorBidi"/>
        </w:rPr>
        <w:t xml:space="preserve"> measures in </w:t>
      </w:r>
      <w:r w:rsidR="002A58B2" w:rsidRPr="0550ECD3">
        <w:rPr>
          <w:rFonts w:asciiTheme="minorHAnsi" w:eastAsia="Times New Roman" w:hAnsiTheme="minorHAnsi" w:cstheme="minorBidi"/>
        </w:rPr>
        <w:t xml:space="preserve">the </w:t>
      </w:r>
      <w:r w:rsidR="002A58B2" w:rsidRPr="0939FE37">
        <w:rPr>
          <w:rFonts w:asciiTheme="minorHAnsi" w:eastAsia="Times New Roman" w:hAnsiTheme="minorHAnsi" w:cstheme="minorBidi"/>
        </w:rPr>
        <w:t>Core</w:t>
      </w:r>
      <w:r w:rsidRPr="0939FE37">
        <w:rPr>
          <w:rFonts w:asciiTheme="minorHAnsi" w:eastAsia="Times New Roman" w:hAnsiTheme="minorHAnsi" w:cstheme="minorBidi"/>
        </w:rPr>
        <w:t xml:space="preserve"> </w:t>
      </w:r>
      <w:r w:rsidRPr="0550ECD3">
        <w:rPr>
          <w:rFonts w:asciiTheme="minorHAnsi" w:eastAsia="Times New Roman" w:hAnsiTheme="minorHAnsi" w:cstheme="minorBidi"/>
        </w:rPr>
        <w:t>Set</w:t>
      </w:r>
      <w:r w:rsidR="49BC739C" w:rsidRPr="0550ECD3">
        <w:rPr>
          <w:rFonts w:asciiTheme="minorHAnsi" w:eastAsia="Times New Roman" w:hAnsiTheme="minorHAnsi" w:cstheme="minorBidi"/>
        </w:rPr>
        <w:t>s</w:t>
      </w:r>
      <w:r w:rsidRPr="0939FE37">
        <w:rPr>
          <w:rFonts w:asciiTheme="minorHAnsi" w:eastAsia="Times New Roman" w:hAnsiTheme="minorHAnsi" w:cstheme="minorBidi"/>
        </w:rPr>
        <w:t xml:space="preserve"> and </w:t>
      </w:r>
      <w:r w:rsidR="009F51C5">
        <w:rPr>
          <w:rFonts w:asciiTheme="minorHAnsi" w:eastAsia="Times New Roman" w:hAnsiTheme="minorHAnsi" w:cstheme="minorBidi"/>
        </w:rPr>
        <w:t xml:space="preserve">where applicable, </w:t>
      </w:r>
      <w:r w:rsidR="0054347C">
        <w:rPr>
          <w:rFonts w:asciiTheme="minorHAnsi" w:eastAsia="Times New Roman" w:hAnsiTheme="minorHAnsi" w:cstheme="minorBidi"/>
        </w:rPr>
        <w:t xml:space="preserve">other program specific </w:t>
      </w:r>
      <w:r w:rsidR="00EF58B5">
        <w:rPr>
          <w:rFonts w:asciiTheme="minorHAnsi" w:eastAsia="Times New Roman" w:hAnsiTheme="minorHAnsi" w:cstheme="minorBidi"/>
        </w:rPr>
        <w:t>metrics</w:t>
      </w:r>
      <w:r w:rsidR="00EF58B5" w:rsidRPr="0550ECD3">
        <w:rPr>
          <w:rFonts w:asciiTheme="minorHAnsi" w:eastAsia="Times New Roman" w:hAnsiTheme="minorHAnsi" w:cstheme="minorBidi"/>
        </w:rPr>
        <w:t>.</w:t>
      </w:r>
      <w:r w:rsidR="0663880B" w:rsidRPr="0550ECD3">
        <w:rPr>
          <w:rFonts w:asciiTheme="minorHAnsi" w:eastAsia="Times New Roman" w:hAnsiTheme="minorHAnsi" w:cstheme="minorBidi"/>
        </w:rPr>
        <w:t xml:space="preserve"> As noted above,</w:t>
      </w:r>
      <w:r w:rsidR="70C6F3F3" w:rsidRPr="0550ECD3">
        <w:rPr>
          <w:rFonts w:asciiTheme="minorHAnsi" w:eastAsia="Times New Roman" w:hAnsiTheme="minorHAnsi" w:cstheme="minorBidi"/>
        </w:rPr>
        <w:t xml:space="preserve"> if</w:t>
      </w:r>
      <w:r w:rsidR="70C6F3F3">
        <w:t xml:space="preserve"> a quantifiable metric to meaningfully evaluate </w:t>
      </w:r>
      <w:r w:rsidR="00EC67C8">
        <w:t>progress</w:t>
      </w:r>
      <w:r w:rsidR="70C6F3F3">
        <w:t xml:space="preserve"> is not available, </w:t>
      </w:r>
      <w:r w:rsidR="002A58B2">
        <w:t>or MassHealth</w:t>
      </w:r>
      <w:r w:rsidR="70C6F3F3">
        <w:t xml:space="preserve"> is still in the process of </w:t>
      </w:r>
      <w:r w:rsidR="002A58B2">
        <w:t>developing methodology</w:t>
      </w:r>
      <w:r w:rsidR="70C6F3F3">
        <w:t xml:space="preserve"> to assess performance related to that objective, MassHealth </w:t>
      </w:r>
      <w:r w:rsidR="00EF58B5">
        <w:t>provides a</w:t>
      </w:r>
      <w:r w:rsidR="70C6F3F3">
        <w:t xml:space="preserve"> narrative response</w:t>
      </w:r>
    </w:p>
    <w:p w14:paraId="66834850" w14:textId="2A690217" w:rsidR="00951E4B" w:rsidRDefault="000F478C" w:rsidP="0939FE37">
      <w:pPr>
        <w:rPr>
          <w:rFonts w:asciiTheme="minorHAnsi" w:eastAsia="Times New Roman" w:hAnsiTheme="minorHAnsi" w:cstheme="minorBidi"/>
        </w:rPr>
        <w:sectPr w:rsidR="00951E4B" w:rsidSect="00EA6019">
          <w:headerReference w:type="default" r:id="rId15"/>
          <w:footerReference w:type="default" r:id="rId16"/>
          <w:footnotePr>
            <w:numFmt w:val="chicago"/>
            <w:numStart w:val="8"/>
          </w:footnotePr>
          <w:pgSz w:w="12240" w:h="15840"/>
          <w:pgMar w:top="1440" w:right="1440" w:bottom="1440" w:left="1440" w:header="720" w:footer="720" w:gutter="0"/>
          <w:pgNumType w:start="0"/>
          <w:cols w:space="720"/>
          <w:docGrid w:linePitch="360"/>
        </w:sectPr>
      </w:pPr>
      <w:r w:rsidRPr="0939FE37">
        <w:rPr>
          <w:rFonts w:asciiTheme="minorHAnsi" w:eastAsia="Times New Roman" w:hAnsiTheme="minorHAnsi" w:cstheme="minorBidi"/>
        </w:rPr>
        <w:t>Tables 2-6</w:t>
      </w:r>
      <w:r w:rsidR="2F5FDC4C" w:rsidRPr="0550ECD3">
        <w:rPr>
          <w:rFonts w:asciiTheme="minorHAnsi" w:eastAsia="Times New Roman" w:hAnsiTheme="minorHAnsi" w:cstheme="minorBidi"/>
        </w:rPr>
        <w:t xml:space="preserve"> present measure rate</w:t>
      </w:r>
      <w:r w:rsidR="2F0299E1" w:rsidRPr="0550ECD3">
        <w:rPr>
          <w:rFonts w:asciiTheme="minorHAnsi" w:eastAsia="Times New Roman" w:hAnsiTheme="minorHAnsi" w:cstheme="minorBidi"/>
        </w:rPr>
        <w:t xml:space="preserve"> results</w:t>
      </w:r>
      <w:r w:rsidR="00623096">
        <w:rPr>
          <w:rFonts w:asciiTheme="minorHAnsi" w:eastAsia="Times New Roman" w:hAnsiTheme="minorHAnsi" w:cstheme="minorBidi"/>
        </w:rPr>
        <w:t xml:space="preserve"> for each goal and objective</w:t>
      </w:r>
      <w:r w:rsidR="2F0299E1" w:rsidRPr="0550ECD3">
        <w:rPr>
          <w:rFonts w:asciiTheme="minorHAnsi" w:eastAsia="Times New Roman" w:hAnsiTheme="minorHAnsi" w:cstheme="minorBidi"/>
        </w:rPr>
        <w:t>.</w:t>
      </w:r>
      <w:r w:rsidR="2F5FDC4C" w:rsidRPr="0550ECD3">
        <w:rPr>
          <w:rFonts w:asciiTheme="minorHAnsi" w:eastAsia="Times New Roman" w:hAnsiTheme="minorHAnsi" w:cstheme="minorBidi"/>
        </w:rPr>
        <w:t xml:space="preserve"> Narratives on</w:t>
      </w:r>
      <w:r w:rsidR="442C7C03" w:rsidRPr="0550ECD3">
        <w:rPr>
          <w:rFonts w:asciiTheme="minorHAnsi" w:eastAsia="Times New Roman" w:hAnsiTheme="minorHAnsi" w:cstheme="minorBidi"/>
        </w:rPr>
        <w:t xml:space="preserve"> </w:t>
      </w:r>
      <w:r w:rsidR="002A58B2" w:rsidRPr="0550ECD3">
        <w:rPr>
          <w:rFonts w:asciiTheme="minorHAnsi" w:eastAsia="Times New Roman" w:hAnsiTheme="minorHAnsi" w:cstheme="minorBidi"/>
        </w:rPr>
        <w:t>attainment,</w:t>
      </w:r>
      <w:r w:rsidR="442C7C03" w:rsidRPr="0550ECD3">
        <w:rPr>
          <w:rFonts w:asciiTheme="minorHAnsi" w:eastAsia="Times New Roman" w:hAnsiTheme="minorHAnsi" w:cstheme="minorBidi"/>
        </w:rPr>
        <w:t xml:space="preserve"> </w:t>
      </w:r>
      <w:r w:rsidR="008220F5">
        <w:rPr>
          <w:rFonts w:asciiTheme="minorHAnsi" w:eastAsia="Times New Roman" w:hAnsiTheme="minorHAnsi" w:cstheme="minorBidi"/>
        </w:rPr>
        <w:t xml:space="preserve">and </w:t>
      </w:r>
      <w:r w:rsidR="008220F5" w:rsidRPr="0550ECD3">
        <w:rPr>
          <w:rFonts w:asciiTheme="minorHAnsi" w:eastAsia="Times New Roman" w:hAnsiTheme="minorHAnsi" w:cstheme="minorBidi"/>
        </w:rPr>
        <w:t>progress</w:t>
      </w:r>
      <w:r w:rsidR="442C7C03" w:rsidRPr="0550ECD3">
        <w:rPr>
          <w:rFonts w:asciiTheme="minorHAnsi" w:eastAsia="Times New Roman" w:hAnsiTheme="minorHAnsi" w:cstheme="minorBidi"/>
        </w:rPr>
        <w:t xml:space="preserve"> towards attainment </w:t>
      </w:r>
      <w:proofErr w:type="gramStart"/>
      <w:r w:rsidR="442C7C03" w:rsidRPr="0550ECD3">
        <w:rPr>
          <w:rFonts w:asciiTheme="minorHAnsi" w:eastAsia="Times New Roman" w:hAnsiTheme="minorHAnsi" w:cstheme="minorBidi"/>
        </w:rPr>
        <w:t>of,</w:t>
      </w:r>
      <w:proofErr w:type="gramEnd"/>
      <w:r w:rsidR="442C7C03" w:rsidRPr="0550ECD3">
        <w:rPr>
          <w:rFonts w:asciiTheme="minorHAnsi" w:eastAsia="Times New Roman" w:hAnsiTheme="minorHAnsi" w:cstheme="minorBidi"/>
        </w:rPr>
        <w:t xml:space="preserve"> goals follow the rate presentations. </w:t>
      </w:r>
    </w:p>
    <w:p w14:paraId="7460C124" w14:textId="77777777" w:rsidR="00A64611" w:rsidRPr="000F478C" w:rsidRDefault="00A64611" w:rsidP="0939FE37">
      <w:pPr>
        <w:rPr>
          <w:rFonts w:asciiTheme="minorHAnsi" w:eastAsia="Times New Roman" w:hAnsiTheme="minorHAnsi" w:cstheme="minorBidi"/>
        </w:rPr>
      </w:pPr>
    </w:p>
    <w:p w14:paraId="56189952" w14:textId="61D9C309" w:rsidR="004B33DA" w:rsidRPr="004B33DA" w:rsidRDefault="00753CD6" w:rsidP="004B33DA">
      <w:pPr>
        <w:pStyle w:val="Heading3"/>
        <w:spacing w:after="120"/>
        <w:ind w:left="0" w:firstLine="0"/>
        <w:rPr>
          <w:szCs w:val="24"/>
        </w:rPr>
      </w:pPr>
      <w:bookmarkStart w:id="6" w:name="_Toc190440055"/>
      <w:r>
        <w:t>Quality Goal 1</w:t>
      </w:r>
      <w:r w:rsidR="00F35AB3">
        <w:t xml:space="preserve">: </w:t>
      </w:r>
      <w:r w:rsidR="008330C3" w:rsidRPr="002E62FB">
        <w:rPr>
          <w:szCs w:val="24"/>
        </w:rPr>
        <w:t>Promote better care: Promote safe and high-quality care for MassHealth members</w:t>
      </w:r>
      <w:bookmarkEnd w:id="6"/>
    </w:p>
    <w:p w14:paraId="1E24B52A" w14:textId="42C6D634" w:rsidR="00A710FE" w:rsidRDefault="00753CD6" w:rsidP="008330C3">
      <w:pPr>
        <w:spacing w:before="360"/>
        <w:rPr>
          <w:rStyle w:val="SubtleEmphasis"/>
        </w:rPr>
      </w:pPr>
      <w:r w:rsidRPr="009069AE">
        <w:rPr>
          <w:rStyle w:val="SubtleEmphasis"/>
        </w:rPr>
        <w:t xml:space="preserve">Table </w:t>
      </w:r>
      <w:r>
        <w:rPr>
          <w:rStyle w:val="SubtleEmphasis"/>
        </w:rPr>
        <w:t>2</w:t>
      </w:r>
      <w:r w:rsidR="003D165A" w:rsidRPr="009069AE">
        <w:rPr>
          <w:rStyle w:val="SubtleEmphasis"/>
        </w:rPr>
        <w:t>: Quality</w:t>
      </w:r>
      <w:r>
        <w:rPr>
          <w:rStyle w:val="SubtleEmphasis"/>
        </w:rPr>
        <w:t xml:space="preserve"> Goal 1 Measures and Performance</w:t>
      </w:r>
    </w:p>
    <w:p w14:paraId="291754A6" w14:textId="231FAADB" w:rsidR="003D165A" w:rsidRPr="008330C3" w:rsidRDefault="003D165A" w:rsidP="008330C3">
      <w:pPr>
        <w:spacing w:before="360"/>
        <w:rPr>
          <w:b/>
          <w:i/>
          <w:iCs/>
          <w:color w:val="1F497D"/>
        </w:rPr>
      </w:pPr>
      <w:r w:rsidRPr="008330C3">
        <w:rPr>
          <w:b/>
          <w:bCs/>
        </w:rPr>
        <w:t>Objective 1:</w:t>
      </w:r>
      <w:r>
        <w:t xml:space="preserve"> </w:t>
      </w:r>
      <w:r w:rsidRPr="002E62FB">
        <w:t>Focus on timely preventative, primary care services with access to integrated care and community-based services and supports   </w:t>
      </w:r>
    </w:p>
    <w:tbl>
      <w:tblPr>
        <w:tblStyle w:val="TableGrid"/>
        <w:tblW w:w="0" w:type="auto"/>
        <w:tblLayout w:type="fixed"/>
        <w:tblLook w:val="04A0" w:firstRow="1" w:lastRow="0" w:firstColumn="1" w:lastColumn="0" w:noHBand="0" w:noVBand="1"/>
      </w:tblPr>
      <w:tblGrid>
        <w:gridCol w:w="3055"/>
        <w:gridCol w:w="1350"/>
        <w:gridCol w:w="1350"/>
        <w:gridCol w:w="1350"/>
        <w:gridCol w:w="1260"/>
        <w:gridCol w:w="985"/>
      </w:tblGrid>
      <w:tr w:rsidR="00A710FE" w14:paraId="50BA432E" w14:textId="77777777" w:rsidTr="006E1D30">
        <w:tc>
          <w:tcPr>
            <w:tcW w:w="3055" w:type="dxa"/>
          </w:tcPr>
          <w:p w14:paraId="03B0F984" w14:textId="77777777" w:rsidR="00A710FE" w:rsidRDefault="00A710FE" w:rsidP="006E1D30">
            <w:pPr>
              <w:jc w:val="center"/>
            </w:pPr>
            <w:r>
              <w:t>Measure</w:t>
            </w:r>
          </w:p>
        </w:tc>
        <w:tc>
          <w:tcPr>
            <w:tcW w:w="1350" w:type="dxa"/>
          </w:tcPr>
          <w:p w14:paraId="3760F87C" w14:textId="77777777" w:rsidR="00A710FE" w:rsidRDefault="00A710FE" w:rsidP="006E1D30">
            <w:pPr>
              <w:jc w:val="center"/>
            </w:pPr>
            <w:r>
              <w:t>MassHealth MY2020 Rate (Baseline)</w:t>
            </w:r>
          </w:p>
        </w:tc>
        <w:tc>
          <w:tcPr>
            <w:tcW w:w="1350" w:type="dxa"/>
          </w:tcPr>
          <w:p w14:paraId="1E297FBC" w14:textId="77777777" w:rsidR="00A710FE" w:rsidRDefault="00A710FE" w:rsidP="006E1D30">
            <w:pPr>
              <w:jc w:val="center"/>
            </w:pPr>
            <w:r>
              <w:t>MassHealth MY2021 Rate</w:t>
            </w:r>
          </w:p>
        </w:tc>
        <w:tc>
          <w:tcPr>
            <w:tcW w:w="1350" w:type="dxa"/>
          </w:tcPr>
          <w:p w14:paraId="39160073" w14:textId="77777777" w:rsidR="00A710FE" w:rsidRDefault="00A710FE" w:rsidP="006E1D30">
            <w:pPr>
              <w:jc w:val="center"/>
            </w:pPr>
            <w:r>
              <w:t>MassHealth MY2022 Rate</w:t>
            </w:r>
          </w:p>
        </w:tc>
        <w:tc>
          <w:tcPr>
            <w:tcW w:w="1260" w:type="dxa"/>
          </w:tcPr>
          <w:p w14:paraId="1C1C1B9D" w14:textId="77777777" w:rsidR="00A710FE" w:rsidRDefault="00A710FE" w:rsidP="006E1D30">
            <w:pPr>
              <w:jc w:val="center"/>
            </w:pPr>
            <w:r>
              <w:t>National Benchmark MY2022 75th</w:t>
            </w:r>
          </w:p>
        </w:tc>
        <w:tc>
          <w:tcPr>
            <w:tcW w:w="985" w:type="dxa"/>
          </w:tcPr>
          <w:p w14:paraId="7D5C15B9" w14:textId="4F33CC6C" w:rsidR="00A710FE" w:rsidRDefault="00A710FE" w:rsidP="006E1D30">
            <w:pPr>
              <w:jc w:val="center"/>
            </w:pPr>
            <w:r>
              <w:t>Gap to Goal</w:t>
            </w:r>
          </w:p>
        </w:tc>
      </w:tr>
      <w:tr w:rsidR="00A710FE" w14:paraId="16B95904" w14:textId="77777777" w:rsidTr="006E1D30">
        <w:tc>
          <w:tcPr>
            <w:tcW w:w="3055" w:type="dxa"/>
          </w:tcPr>
          <w:p w14:paraId="14B027FC" w14:textId="77777777" w:rsidR="00A710FE" w:rsidRPr="00665478" w:rsidRDefault="00A710FE">
            <w:pPr>
              <w:rPr>
                <w:sz w:val="18"/>
                <w:szCs w:val="18"/>
              </w:rPr>
            </w:pPr>
            <w:r w:rsidRPr="00665478">
              <w:rPr>
                <w:sz w:val="18"/>
                <w:szCs w:val="18"/>
              </w:rPr>
              <w:lastRenderedPageBreak/>
              <w:t>Timeliness of Prenatal Care</w:t>
            </w:r>
          </w:p>
        </w:tc>
        <w:tc>
          <w:tcPr>
            <w:tcW w:w="1350" w:type="dxa"/>
            <w:vAlign w:val="center"/>
          </w:tcPr>
          <w:p w14:paraId="44FAB415" w14:textId="77777777" w:rsidR="00A710FE" w:rsidRPr="00143A86" w:rsidRDefault="00A710FE" w:rsidP="001C0616">
            <w:pPr>
              <w:jc w:val="center"/>
              <w:rPr>
                <w:sz w:val="20"/>
                <w:szCs w:val="20"/>
              </w:rPr>
            </w:pPr>
            <w:r w:rsidRPr="00143A86">
              <w:rPr>
                <w:rFonts w:cs="Calibri"/>
                <w:sz w:val="20"/>
                <w:szCs w:val="20"/>
              </w:rPr>
              <w:t>84.3%</w:t>
            </w:r>
          </w:p>
        </w:tc>
        <w:tc>
          <w:tcPr>
            <w:tcW w:w="1350" w:type="dxa"/>
            <w:vAlign w:val="center"/>
          </w:tcPr>
          <w:p w14:paraId="60DB52AF" w14:textId="77777777" w:rsidR="00A710FE" w:rsidRPr="00143A86" w:rsidRDefault="00A710FE" w:rsidP="001C0616">
            <w:pPr>
              <w:jc w:val="center"/>
              <w:rPr>
                <w:sz w:val="20"/>
                <w:szCs w:val="20"/>
              </w:rPr>
            </w:pPr>
            <w:r w:rsidRPr="00143A86">
              <w:rPr>
                <w:rFonts w:cs="Calibri"/>
                <w:sz w:val="20"/>
                <w:szCs w:val="20"/>
              </w:rPr>
              <w:t>88.6%</w:t>
            </w:r>
          </w:p>
        </w:tc>
        <w:tc>
          <w:tcPr>
            <w:tcW w:w="1350" w:type="dxa"/>
            <w:vAlign w:val="center"/>
          </w:tcPr>
          <w:p w14:paraId="58FFE13C" w14:textId="77777777" w:rsidR="00A710FE" w:rsidRPr="00143A86" w:rsidRDefault="00A710FE" w:rsidP="001C0616">
            <w:pPr>
              <w:jc w:val="center"/>
              <w:rPr>
                <w:sz w:val="20"/>
                <w:szCs w:val="20"/>
              </w:rPr>
            </w:pPr>
            <w:r w:rsidRPr="00143A86">
              <w:rPr>
                <w:rFonts w:cs="Calibri"/>
                <w:sz w:val="20"/>
                <w:szCs w:val="20"/>
              </w:rPr>
              <w:t>89.3%</w:t>
            </w:r>
          </w:p>
        </w:tc>
        <w:tc>
          <w:tcPr>
            <w:tcW w:w="1260" w:type="dxa"/>
            <w:shd w:val="clear" w:color="auto" w:fill="A8D08D" w:themeFill="accent6" w:themeFillTint="99"/>
            <w:vAlign w:val="center"/>
          </w:tcPr>
          <w:p w14:paraId="6B709695" w14:textId="77777777" w:rsidR="00A710FE" w:rsidRPr="00143A86" w:rsidRDefault="00A710FE" w:rsidP="001C0616">
            <w:pPr>
              <w:jc w:val="center"/>
              <w:rPr>
                <w:sz w:val="20"/>
                <w:szCs w:val="20"/>
              </w:rPr>
            </w:pPr>
            <w:r w:rsidRPr="00143A86">
              <w:rPr>
                <w:rFonts w:cs="Calibri"/>
                <w:sz w:val="20"/>
                <w:szCs w:val="20"/>
              </w:rPr>
              <w:t>88.3%</w:t>
            </w:r>
          </w:p>
        </w:tc>
        <w:tc>
          <w:tcPr>
            <w:tcW w:w="985" w:type="dxa"/>
            <w:vAlign w:val="center"/>
          </w:tcPr>
          <w:p w14:paraId="594DBF86" w14:textId="014E8407" w:rsidR="00A710FE" w:rsidRPr="00143A86" w:rsidRDefault="4473F9F1" w:rsidP="09759345">
            <w:pPr>
              <w:jc w:val="center"/>
              <w:rPr>
                <w:rFonts w:cs="Calibri"/>
                <w:color w:val="000000" w:themeColor="text1"/>
                <w:sz w:val="20"/>
                <w:szCs w:val="20"/>
              </w:rPr>
            </w:pPr>
            <w:r w:rsidRPr="00143A86">
              <w:rPr>
                <w:rFonts w:cs="Calibri"/>
                <w:color w:val="000000" w:themeColor="text1"/>
                <w:sz w:val="20"/>
                <w:szCs w:val="20"/>
              </w:rPr>
              <w:t>N/A</w:t>
            </w:r>
            <w:bookmarkStart w:id="7" w:name="_Ref190162024"/>
            <w:r w:rsidR="003C1C86">
              <w:rPr>
                <w:rStyle w:val="FootnoteReference"/>
                <w:color w:val="000000" w:themeColor="text1"/>
                <w:sz w:val="20"/>
                <w:szCs w:val="20"/>
              </w:rPr>
              <w:footnoteReference w:id="3"/>
            </w:r>
            <w:bookmarkEnd w:id="7"/>
          </w:p>
        </w:tc>
      </w:tr>
      <w:tr w:rsidR="00A710FE" w14:paraId="6DDFC5AB" w14:textId="77777777" w:rsidTr="006E1D30">
        <w:trPr>
          <w:trHeight w:val="690"/>
        </w:trPr>
        <w:tc>
          <w:tcPr>
            <w:tcW w:w="3055" w:type="dxa"/>
          </w:tcPr>
          <w:p w14:paraId="5F98A00E" w14:textId="77777777" w:rsidR="00A710FE" w:rsidRPr="00665478" w:rsidRDefault="00A710FE">
            <w:pPr>
              <w:rPr>
                <w:sz w:val="18"/>
                <w:szCs w:val="18"/>
              </w:rPr>
            </w:pPr>
            <w:r w:rsidRPr="00665478">
              <w:rPr>
                <w:sz w:val="18"/>
                <w:szCs w:val="18"/>
              </w:rPr>
              <w:t>Immunization for Adolescents (combo 2)</w:t>
            </w:r>
          </w:p>
        </w:tc>
        <w:tc>
          <w:tcPr>
            <w:tcW w:w="1350" w:type="dxa"/>
            <w:vAlign w:val="center"/>
          </w:tcPr>
          <w:p w14:paraId="45EA0F79" w14:textId="236B43DF" w:rsidR="00A710FE" w:rsidRPr="00143A86" w:rsidRDefault="00A710FE" w:rsidP="001C0616">
            <w:pPr>
              <w:jc w:val="center"/>
              <w:rPr>
                <w:rFonts w:cs="Calibri"/>
                <w:sz w:val="20"/>
                <w:szCs w:val="20"/>
              </w:rPr>
            </w:pPr>
            <w:r w:rsidRPr="00143A86">
              <w:rPr>
                <w:rFonts w:cs="Calibri"/>
                <w:sz w:val="20"/>
                <w:szCs w:val="20"/>
              </w:rPr>
              <w:t>44.0%</w:t>
            </w:r>
          </w:p>
        </w:tc>
        <w:tc>
          <w:tcPr>
            <w:tcW w:w="1350" w:type="dxa"/>
            <w:vAlign w:val="center"/>
          </w:tcPr>
          <w:p w14:paraId="74223BC6" w14:textId="3CE537DB" w:rsidR="00A710FE" w:rsidRPr="00143A86" w:rsidRDefault="00A710FE" w:rsidP="001C0616">
            <w:pPr>
              <w:jc w:val="center"/>
              <w:rPr>
                <w:rFonts w:cs="Calibri"/>
                <w:sz w:val="20"/>
                <w:szCs w:val="20"/>
              </w:rPr>
            </w:pPr>
            <w:r w:rsidRPr="00143A86">
              <w:rPr>
                <w:rFonts w:cs="Calibri"/>
                <w:sz w:val="20"/>
                <w:szCs w:val="20"/>
              </w:rPr>
              <w:t>45.4%</w:t>
            </w:r>
          </w:p>
        </w:tc>
        <w:tc>
          <w:tcPr>
            <w:tcW w:w="1350" w:type="dxa"/>
            <w:vAlign w:val="center"/>
          </w:tcPr>
          <w:p w14:paraId="48EB74B3" w14:textId="7B7D4F1C" w:rsidR="00A710FE" w:rsidRPr="00143A86" w:rsidRDefault="00A710FE" w:rsidP="001C0616">
            <w:pPr>
              <w:jc w:val="center"/>
              <w:rPr>
                <w:rFonts w:cs="Calibri"/>
                <w:sz w:val="20"/>
                <w:szCs w:val="20"/>
              </w:rPr>
            </w:pPr>
            <w:r w:rsidRPr="00143A86">
              <w:rPr>
                <w:rFonts w:cs="Calibri"/>
                <w:sz w:val="20"/>
                <w:szCs w:val="20"/>
              </w:rPr>
              <w:t>48.1%</w:t>
            </w:r>
          </w:p>
        </w:tc>
        <w:tc>
          <w:tcPr>
            <w:tcW w:w="1260" w:type="dxa"/>
            <w:shd w:val="clear" w:color="auto" w:fill="A8D08D" w:themeFill="accent6" w:themeFillTint="99"/>
            <w:vAlign w:val="center"/>
          </w:tcPr>
          <w:p w14:paraId="009B640E" w14:textId="60019DB6" w:rsidR="00A710FE" w:rsidRPr="00143A86" w:rsidRDefault="00A710FE" w:rsidP="001C0616">
            <w:pPr>
              <w:jc w:val="center"/>
              <w:rPr>
                <w:rFonts w:cs="Calibri"/>
                <w:sz w:val="20"/>
                <w:szCs w:val="20"/>
              </w:rPr>
            </w:pPr>
            <w:r w:rsidRPr="00143A86">
              <w:rPr>
                <w:rFonts w:cs="Calibri"/>
                <w:sz w:val="20"/>
                <w:szCs w:val="20"/>
              </w:rPr>
              <w:t>40.9%</w:t>
            </w:r>
          </w:p>
        </w:tc>
        <w:tc>
          <w:tcPr>
            <w:tcW w:w="985" w:type="dxa"/>
            <w:vAlign w:val="center"/>
          </w:tcPr>
          <w:p w14:paraId="645A0E34" w14:textId="6FD58125" w:rsidR="00A710FE" w:rsidRPr="00143A86" w:rsidRDefault="64AF39D1" w:rsidP="09759345">
            <w:pPr>
              <w:jc w:val="center"/>
              <w:rPr>
                <w:rFonts w:cs="Calibri"/>
                <w:color w:val="000000" w:themeColor="text1"/>
                <w:sz w:val="20"/>
                <w:szCs w:val="20"/>
              </w:rPr>
            </w:pPr>
            <w:r w:rsidRPr="00143A86">
              <w:rPr>
                <w:rFonts w:cs="Calibri"/>
                <w:color w:val="000000" w:themeColor="text1"/>
                <w:sz w:val="20"/>
                <w:szCs w:val="20"/>
              </w:rPr>
              <w:t>N/A</w:t>
            </w:r>
            <w:r w:rsidR="00085554">
              <w:fldChar w:fldCharType="begin"/>
            </w:r>
            <w:r w:rsidR="00085554">
              <w:rPr>
                <w:rFonts w:cs="Calibri"/>
                <w:color w:val="000000" w:themeColor="text1"/>
                <w:sz w:val="20"/>
                <w:szCs w:val="20"/>
              </w:rPr>
              <w:instrText xml:space="preserve"> NOTEREF _Ref190162024 \h </w:instrText>
            </w:r>
            <w:r w:rsidR="00085554">
              <w:fldChar w:fldCharType="separate"/>
            </w:r>
            <w:r w:rsidR="000C7657">
              <w:rPr>
                <w:rFonts w:cs="Calibri"/>
                <w:color w:val="000000" w:themeColor="text1"/>
                <w:sz w:val="20"/>
                <w:szCs w:val="20"/>
              </w:rPr>
              <w:t>***</w:t>
            </w:r>
            <w:r w:rsidR="00085554">
              <w:fldChar w:fldCharType="end"/>
            </w:r>
          </w:p>
        </w:tc>
      </w:tr>
      <w:tr w:rsidR="007D7548" w14:paraId="4FCA6AE4" w14:textId="77777777" w:rsidTr="006E1D30">
        <w:tc>
          <w:tcPr>
            <w:tcW w:w="3055" w:type="dxa"/>
          </w:tcPr>
          <w:p w14:paraId="1F1A31C6" w14:textId="0A2985B0" w:rsidR="007D7548" w:rsidRPr="00665478" w:rsidRDefault="00AA640C">
            <w:pPr>
              <w:rPr>
                <w:sz w:val="18"/>
                <w:szCs w:val="18"/>
              </w:rPr>
            </w:pPr>
            <w:r>
              <w:rPr>
                <w:sz w:val="18"/>
                <w:szCs w:val="18"/>
              </w:rPr>
              <w:t>C</w:t>
            </w:r>
            <w:r w:rsidR="00580212">
              <w:rPr>
                <w:sz w:val="18"/>
                <w:szCs w:val="18"/>
              </w:rPr>
              <w:t>hildhood Immunization Status Combo 3</w:t>
            </w:r>
          </w:p>
        </w:tc>
        <w:tc>
          <w:tcPr>
            <w:tcW w:w="1350" w:type="dxa"/>
            <w:vAlign w:val="center"/>
          </w:tcPr>
          <w:p w14:paraId="4AF43CBD" w14:textId="0D64B22B" w:rsidR="007D7548" w:rsidRPr="00143A86" w:rsidRDefault="000F679B" w:rsidP="001C0616">
            <w:pPr>
              <w:jc w:val="center"/>
              <w:rPr>
                <w:rFonts w:cs="Calibri"/>
                <w:sz w:val="20"/>
                <w:szCs w:val="20"/>
              </w:rPr>
            </w:pPr>
            <w:r w:rsidRPr="00143A86">
              <w:rPr>
                <w:rFonts w:cs="Calibri"/>
                <w:sz w:val="20"/>
                <w:szCs w:val="20"/>
              </w:rPr>
              <w:t>75.8%</w:t>
            </w:r>
          </w:p>
        </w:tc>
        <w:tc>
          <w:tcPr>
            <w:tcW w:w="1350" w:type="dxa"/>
            <w:vAlign w:val="center"/>
          </w:tcPr>
          <w:p w14:paraId="16CB0743" w14:textId="56501C55" w:rsidR="007D7548" w:rsidRPr="00143A86" w:rsidRDefault="000F679B" w:rsidP="001C0616">
            <w:pPr>
              <w:jc w:val="center"/>
              <w:rPr>
                <w:rFonts w:cs="Calibri"/>
                <w:sz w:val="20"/>
                <w:szCs w:val="20"/>
              </w:rPr>
            </w:pPr>
            <w:r w:rsidRPr="00143A86">
              <w:rPr>
                <w:rFonts w:cs="Calibri"/>
                <w:sz w:val="20"/>
                <w:szCs w:val="20"/>
              </w:rPr>
              <w:t>74.7%</w:t>
            </w:r>
          </w:p>
        </w:tc>
        <w:tc>
          <w:tcPr>
            <w:tcW w:w="1350" w:type="dxa"/>
            <w:vAlign w:val="center"/>
          </w:tcPr>
          <w:p w14:paraId="05E25EB3" w14:textId="2FD7BDD5" w:rsidR="007D7548" w:rsidRPr="00143A86" w:rsidRDefault="000F679B" w:rsidP="001C0616">
            <w:pPr>
              <w:jc w:val="center"/>
              <w:rPr>
                <w:rFonts w:cs="Calibri"/>
                <w:sz w:val="20"/>
                <w:szCs w:val="20"/>
              </w:rPr>
            </w:pPr>
            <w:r w:rsidRPr="00143A86">
              <w:rPr>
                <w:rFonts w:cs="Calibri"/>
                <w:sz w:val="20"/>
                <w:szCs w:val="20"/>
              </w:rPr>
              <w:t>75.1%</w:t>
            </w:r>
          </w:p>
        </w:tc>
        <w:tc>
          <w:tcPr>
            <w:tcW w:w="1260" w:type="dxa"/>
            <w:shd w:val="clear" w:color="auto" w:fill="A8D08D" w:themeFill="accent6" w:themeFillTint="99"/>
            <w:vAlign w:val="center"/>
          </w:tcPr>
          <w:p w14:paraId="5857A5D5" w14:textId="54F7977A" w:rsidR="007D7548" w:rsidRPr="00143A86" w:rsidRDefault="00D93350" w:rsidP="001C0616">
            <w:pPr>
              <w:jc w:val="center"/>
              <w:rPr>
                <w:rFonts w:cs="Calibri"/>
                <w:sz w:val="20"/>
                <w:szCs w:val="20"/>
              </w:rPr>
            </w:pPr>
            <w:r w:rsidRPr="00143A86">
              <w:rPr>
                <w:rFonts w:cs="Calibri"/>
                <w:sz w:val="20"/>
                <w:szCs w:val="20"/>
              </w:rPr>
              <w:t>68.9%</w:t>
            </w:r>
          </w:p>
        </w:tc>
        <w:tc>
          <w:tcPr>
            <w:tcW w:w="985" w:type="dxa"/>
            <w:vAlign w:val="center"/>
          </w:tcPr>
          <w:p w14:paraId="3581CE0C" w14:textId="5F15B71A" w:rsidR="007D7548" w:rsidRPr="00143A86" w:rsidRDefault="6CC40430" w:rsidP="09759345">
            <w:pPr>
              <w:jc w:val="center"/>
              <w:rPr>
                <w:rFonts w:cs="Calibri"/>
                <w:color w:val="000000" w:themeColor="text1"/>
                <w:sz w:val="20"/>
                <w:szCs w:val="20"/>
              </w:rPr>
            </w:pPr>
            <w:r w:rsidRPr="00143A86">
              <w:rPr>
                <w:rFonts w:cs="Calibri"/>
                <w:color w:val="000000" w:themeColor="text1"/>
                <w:sz w:val="20"/>
                <w:szCs w:val="20"/>
              </w:rPr>
              <w:t>N/A</w:t>
            </w:r>
            <w:r w:rsidR="00D70EB5">
              <w:rPr>
                <w:rFonts w:cs="Calibri"/>
                <w:color w:val="000000" w:themeColor="text1"/>
                <w:sz w:val="20"/>
                <w:szCs w:val="20"/>
              </w:rPr>
              <w:fldChar w:fldCharType="begin"/>
            </w:r>
            <w:r w:rsidR="00D70EB5">
              <w:rPr>
                <w:rFonts w:cs="Calibri"/>
                <w:color w:val="000000" w:themeColor="text1"/>
                <w:sz w:val="20"/>
                <w:szCs w:val="20"/>
              </w:rPr>
              <w:instrText xml:space="preserve"> NOTEREF _Ref190162024 \h </w:instrText>
            </w:r>
            <w:r w:rsidR="00D70EB5">
              <w:rPr>
                <w:rFonts w:cs="Calibri"/>
                <w:color w:val="000000" w:themeColor="text1"/>
                <w:sz w:val="20"/>
                <w:szCs w:val="20"/>
              </w:rPr>
            </w:r>
            <w:r w:rsidR="00D70EB5">
              <w:rPr>
                <w:rFonts w:cs="Calibri"/>
                <w:color w:val="000000" w:themeColor="text1"/>
                <w:sz w:val="20"/>
                <w:szCs w:val="20"/>
              </w:rPr>
              <w:fldChar w:fldCharType="separate"/>
            </w:r>
            <w:r w:rsidR="000C7657">
              <w:rPr>
                <w:rFonts w:cs="Calibri"/>
                <w:color w:val="000000" w:themeColor="text1"/>
                <w:sz w:val="20"/>
                <w:szCs w:val="20"/>
              </w:rPr>
              <w:t>***</w:t>
            </w:r>
            <w:r w:rsidR="00D70EB5">
              <w:rPr>
                <w:rFonts w:cs="Calibri"/>
                <w:color w:val="000000" w:themeColor="text1"/>
                <w:sz w:val="20"/>
                <w:szCs w:val="20"/>
              </w:rPr>
              <w:fldChar w:fldCharType="end"/>
            </w:r>
          </w:p>
        </w:tc>
      </w:tr>
      <w:tr w:rsidR="00580212" w14:paraId="2189B8D2" w14:textId="77777777" w:rsidTr="006E1D30">
        <w:tc>
          <w:tcPr>
            <w:tcW w:w="3055" w:type="dxa"/>
          </w:tcPr>
          <w:p w14:paraId="7B9DCC41" w14:textId="38A77789" w:rsidR="00580212" w:rsidRDefault="00580212">
            <w:pPr>
              <w:rPr>
                <w:sz w:val="18"/>
                <w:szCs w:val="18"/>
              </w:rPr>
            </w:pPr>
            <w:r>
              <w:rPr>
                <w:sz w:val="18"/>
                <w:szCs w:val="18"/>
              </w:rPr>
              <w:t>Childhood Immunization Status Combo 10</w:t>
            </w:r>
          </w:p>
        </w:tc>
        <w:tc>
          <w:tcPr>
            <w:tcW w:w="1350" w:type="dxa"/>
            <w:vAlign w:val="center"/>
          </w:tcPr>
          <w:p w14:paraId="6FB1DE9C" w14:textId="7D05E21D" w:rsidR="00580212" w:rsidRPr="00143A86" w:rsidRDefault="00D93350" w:rsidP="001C0616">
            <w:pPr>
              <w:jc w:val="center"/>
              <w:rPr>
                <w:rFonts w:cs="Calibri"/>
                <w:sz w:val="20"/>
                <w:szCs w:val="20"/>
              </w:rPr>
            </w:pPr>
            <w:r w:rsidRPr="00143A86">
              <w:rPr>
                <w:rFonts w:cs="Calibri"/>
                <w:sz w:val="20"/>
                <w:szCs w:val="20"/>
              </w:rPr>
              <w:t>52.1%</w:t>
            </w:r>
          </w:p>
        </w:tc>
        <w:tc>
          <w:tcPr>
            <w:tcW w:w="1350" w:type="dxa"/>
            <w:vAlign w:val="center"/>
          </w:tcPr>
          <w:p w14:paraId="15B5F066" w14:textId="0F9565D8" w:rsidR="00580212" w:rsidRPr="00143A86" w:rsidRDefault="00D93350" w:rsidP="001C0616">
            <w:pPr>
              <w:jc w:val="center"/>
              <w:rPr>
                <w:rFonts w:cs="Calibri"/>
                <w:sz w:val="20"/>
                <w:szCs w:val="20"/>
              </w:rPr>
            </w:pPr>
            <w:r w:rsidRPr="00143A86">
              <w:rPr>
                <w:rFonts w:cs="Calibri"/>
                <w:sz w:val="20"/>
                <w:szCs w:val="20"/>
              </w:rPr>
              <w:t>52.9%</w:t>
            </w:r>
          </w:p>
        </w:tc>
        <w:tc>
          <w:tcPr>
            <w:tcW w:w="1350" w:type="dxa"/>
            <w:vAlign w:val="center"/>
          </w:tcPr>
          <w:p w14:paraId="7FD437EA" w14:textId="5B190D02" w:rsidR="00580212" w:rsidRPr="00143A86" w:rsidRDefault="00D93350" w:rsidP="001C0616">
            <w:pPr>
              <w:jc w:val="center"/>
              <w:rPr>
                <w:rFonts w:cs="Calibri"/>
                <w:sz w:val="20"/>
                <w:szCs w:val="20"/>
              </w:rPr>
            </w:pPr>
            <w:r w:rsidRPr="00143A86">
              <w:rPr>
                <w:rFonts w:cs="Calibri"/>
                <w:sz w:val="20"/>
                <w:szCs w:val="20"/>
              </w:rPr>
              <w:t>49.2%</w:t>
            </w:r>
          </w:p>
        </w:tc>
        <w:tc>
          <w:tcPr>
            <w:tcW w:w="1260" w:type="dxa"/>
            <w:shd w:val="clear" w:color="auto" w:fill="A8D08D" w:themeFill="accent6" w:themeFillTint="99"/>
            <w:vAlign w:val="center"/>
          </w:tcPr>
          <w:p w14:paraId="0B721B6D" w14:textId="0C3B7341" w:rsidR="00580212" w:rsidRPr="00143A86" w:rsidRDefault="00273233" w:rsidP="001C0616">
            <w:pPr>
              <w:jc w:val="center"/>
              <w:rPr>
                <w:rFonts w:cs="Calibri"/>
                <w:sz w:val="20"/>
                <w:szCs w:val="20"/>
              </w:rPr>
            </w:pPr>
            <w:r w:rsidRPr="00143A86">
              <w:rPr>
                <w:rFonts w:cs="Calibri"/>
                <w:sz w:val="20"/>
                <w:szCs w:val="20"/>
              </w:rPr>
              <w:t>37.6%</w:t>
            </w:r>
          </w:p>
        </w:tc>
        <w:tc>
          <w:tcPr>
            <w:tcW w:w="985" w:type="dxa"/>
            <w:vAlign w:val="center"/>
          </w:tcPr>
          <w:p w14:paraId="3392CB30" w14:textId="2ACD9938" w:rsidR="00580212" w:rsidRPr="00143A86" w:rsidRDefault="5F139294" w:rsidP="09759345">
            <w:pPr>
              <w:jc w:val="center"/>
              <w:rPr>
                <w:rFonts w:cs="Calibri"/>
                <w:color w:val="000000" w:themeColor="text1"/>
                <w:sz w:val="20"/>
                <w:szCs w:val="20"/>
              </w:rPr>
            </w:pPr>
            <w:r w:rsidRPr="00143A86">
              <w:rPr>
                <w:rFonts w:cs="Calibri"/>
                <w:color w:val="000000" w:themeColor="text1"/>
                <w:sz w:val="20"/>
                <w:szCs w:val="20"/>
              </w:rPr>
              <w:t>N/A</w:t>
            </w:r>
            <w:r w:rsidR="00D70EB5">
              <w:rPr>
                <w:rFonts w:cs="Calibri"/>
                <w:color w:val="000000" w:themeColor="text1"/>
                <w:sz w:val="20"/>
                <w:szCs w:val="20"/>
              </w:rPr>
              <w:fldChar w:fldCharType="begin"/>
            </w:r>
            <w:r w:rsidR="00D70EB5">
              <w:rPr>
                <w:rFonts w:cs="Calibri"/>
                <w:color w:val="000000" w:themeColor="text1"/>
                <w:sz w:val="20"/>
                <w:szCs w:val="20"/>
              </w:rPr>
              <w:instrText xml:space="preserve"> NOTEREF _Ref190162024 \h </w:instrText>
            </w:r>
            <w:r w:rsidR="00D70EB5">
              <w:rPr>
                <w:rFonts w:cs="Calibri"/>
                <w:color w:val="000000" w:themeColor="text1"/>
                <w:sz w:val="20"/>
                <w:szCs w:val="20"/>
              </w:rPr>
            </w:r>
            <w:r w:rsidR="00D70EB5">
              <w:rPr>
                <w:rFonts w:cs="Calibri"/>
                <w:color w:val="000000" w:themeColor="text1"/>
                <w:sz w:val="20"/>
                <w:szCs w:val="20"/>
              </w:rPr>
              <w:fldChar w:fldCharType="separate"/>
            </w:r>
            <w:r w:rsidR="000C7657">
              <w:rPr>
                <w:rFonts w:cs="Calibri"/>
                <w:color w:val="000000" w:themeColor="text1"/>
                <w:sz w:val="20"/>
                <w:szCs w:val="20"/>
              </w:rPr>
              <w:t>***</w:t>
            </w:r>
            <w:r w:rsidR="00D70EB5">
              <w:rPr>
                <w:rFonts w:cs="Calibri"/>
                <w:color w:val="000000" w:themeColor="text1"/>
                <w:sz w:val="20"/>
                <w:szCs w:val="20"/>
              </w:rPr>
              <w:fldChar w:fldCharType="end"/>
            </w:r>
          </w:p>
        </w:tc>
      </w:tr>
      <w:tr w:rsidR="00A710FE" w14:paraId="5F27ED0E" w14:textId="77777777" w:rsidTr="006E1D30">
        <w:tc>
          <w:tcPr>
            <w:tcW w:w="3055" w:type="dxa"/>
          </w:tcPr>
          <w:p w14:paraId="3CAF2230" w14:textId="77777777" w:rsidR="00A710FE" w:rsidRPr="00665478" w:rsidRDefault="00A710FE">
            <w:pPr>
              <w:rPr>
                <w:sz w:val="18"/>
                <w:szCs w:val="18"/>
              </w:rPr>
            </w:pPr>
            <w:r w:rsidRPr="00665478">
              <w:rPr>
                <w:sz w:val="18"/>
                <w:szCs w:val="18"/>
              </w:rPr>
              <w:t>Asthma Medication Ratio</w:t>
            </w:r>
          </w:p>
        </w:tc>
        <w:tc>
          <w:tcPr>
            <w:tcW w:w="1350" w:type="dxa"/>
            <w:vAlign w:val="center"/>
          </w:tcPr>
          <w:p w14:paraId="25BF6906" w14:textId="77777777" w:rsidR="00A710FE" w:rsidRPr="00143A86" w:rsidRDefault="00A710FE" w:rsidP="001C0616">
            <w:pPr>
              <w:jc w:val="center"/>
              <w:rPr>
                <w:sz w:val="20"/>
                <w:szCs w:val="20"/>
              </w:rPr>
            </w:pPr>
            <w:r w:rsidRPr="00143A86">
              <w:rPr>
                <w:rFonts w:cs="Calibri"/>
                <w:sz w:val="20"/>
                <w:szCs w:val="20"/>
              </w:rPr>
              <w:t>69.7%</w:t>
            </w:r>
          </w:p>
        </w:tc>
        <w:tc>
          <w:tcPr>
            <w:tcW w:w="1350" w:type="dxa"/>
            <w:vAlign w:val="center"/>
          </w:tcPr>
          <w:p w14:paraId="3B2CE000" w14:textId="77777777" w:rsidR="00A710FE" w:rsidRPr="00143A86" w:rsidRDefault="00A710FE" w:rsidP="001C0616">
            <w:pPr>
              <w:jc w:val="center"/>
              <w:rPr>
                <w:sz w:val="20"/>
                <w:szCs w:val="20"/>
              </w:rPr>
            </w:pPr>
            <w:r w:rsidRPr="00143A86">
              <w:rPr>
                <w:rFonts w:cs="Calibri"/>
                <w:sz w:val="20"/>
                <w:szCs w:val="20"/>
              </w:rPr>
              <w:t>63.7%</w:t>
            </w:r>
          </w:p>
        </w:tc>
        <w:tc>
          <w:tcPr>
            <w:tcW w:w="1350" w:type="dxa"/>
            <w:vAlign w:val="center"/>
          </w:tcPr>
          <w:p w14:paraId="439A2B27" w14:textId="77777777" w:rsidR="00A710FE" w:rsidRPr="00143A86" w:rsidRDefault="00A710FE" w:rsidP="001C0616">
            <w:pPr>
              <w:jc w:val="center"/>
              <w:rPr>
                <w:sz w:val="20"/>
                <w:szCs w:val="20"/>
              </w:rPr>
            </w:pPr>
            <w:r w:rsidRPr="00143A86">
              <w:rPr>
                <w:rFonts w:cs="Calibri"/>
                <w:sz w:val="20"/>
                <w:szCs w:val="20"/>
              </w:rPr>
              <w:t>64.1%</w:t>
            </w:r>
          </w:p>
        </w:tc>
        <w:tc>
          <w:tcPr>
            <w:tcW w:w="1260" w:type="dxa"/>
            <w:vAlign w:val="center"/>
          </w:tcPr>
          <w:p w14:paraId="0C765821" w14:textId="2EEFB54C" w:rsidR="00A710FE" w:rsidRPr="00143A86" w:rsidRDefault="00CA062A" w:rsidP="001C0616">
            <w:pPr>
              <w:jc w:val="center"/>
              <w:rPr>
                <w:sz w:val="20"/>
                <w:szCs w:val="20"/>
              </w:rPr>
            </w:pPr>
            <w:r w:rsidRPr="00143A86">
              <w:rPr>
                <w:sz w:val="20"/>
                <w:szCs w:val="20"/>
              </w:rPr>
              <w:t>70.8%</w:t>
            </w:r>
          </w:p>
        </w:tc>
        <w:tc>
          <w:tcPr>
            <w:tcW w:w="985" w:type="dxa"/>
            <w:vAlign w:val="center"/>
          </w:tcPr>
          <w:p w14:paraId="331F9F1D" w14:textId="66C85C64" w:rsidR="00A710FE" w:rsidRPr="00143A86" w:rsidRDefault="00822AC9" w:rsidP="09759345">
            <w:pPr>
              <w:jc w:val="center"/>
              <w:rPr>
                <w:sz w:val="20"/>
                <w:szCs w:val="20"/>
              </w:rPr>
            </w:pPr>
            <w:r>
              <w:rPr>
                <w:rFonts w:cs="Calibri"/>
                <w:sz w:val="20"/>
                <w:szCs w:val="20"/>
              </w:rPr>
              <w:t>69.8</w:t>
            </w:r>
            <w:r w:rsidR="57FF4D47" w:rsidRPr="00143A86">
              <w:rPr>
                <w:rFonts w:cs="Calibri"/>
                <w:sz w:val="20"/>
                <w:szCs w:val="20"/>
              </w:rPr>
              <w:t>%</w:t>
            </w:r>
          </w:p>
        </w:tc>
      </w:tr>
      <w:tr w:rsidR="00A710FE" w14:paraId="6C05F3C2" w14:textId="77777777" w:rsidTr="006E1D30">
        <w:tc>
          <w:tcPr>
            <w:tcW w:w="3055" w:type="dxa"/>
          </w:tcPr>
          <w:p w14:paraId="5B4D723D" w14:textId="77777777" w:rsidR="00A710FE" w:rsidRPr="00665478" w:rsidRDefault="00A710FE">
            <w:pPr>
              <w:rPr>
                <w:sz w:val="18"/>
                <w:szCs w:val="18"/>
              </w:rPr>
            </w:pPr>
            <w:r w:rsidRPr="00665478">
              <w:rPr>
                <w:sz w:val="18"/>
                <w:szCs w:val="18"/>
              </w:rPr>
              <w:t>Oral Health Evaluation</w:t>
            </w:r>
          </w:p>
        </w:tc>
        <w:tc>
          <w:tcPr>
            <w:tcW w:w="1350" w:type="dxa"/>
            <w:vAlign w:val="center"/>
          </w:tcPr>
          <w:p w14:paraId="45247BC8" w14:textId="77777777" w:rsidR="00A710FE" w:rsidRPr="00143A86" w:rsidRDefault="00A710FE" w:rsidP="001C0616">
            <w:pPr>
              <w:jc w:val="center"/>
              <w:rPr>
                <w:sz w:val="20"/>
                <w:szCs w:val="20"/>
              </w:rPr>
            </w:pPr>
            <w:r w:rsidRPr="00143A86">
              <w:rPr>
                <w:sz w:val="20"/>
                <w:szCs w:val="20"/>
              </w:rPr>
              <w:t>N/A</w:t>
            </w:r>
          </w:p>
        </w:tc>
        <w:tc>
          <w:tcPr>
            <w:tcW w:w="1350" w:type="dxa"/>
            <w:vAlign w:val="center"/>
          </w:tcPr>
          <w:p w14:paraId="23AD82FF" w14:textId="77777777" w:rsidR="00A710FE" w:rsidRPr="00143A86" w:rsidRDefault="00A710FE" w:rsidP="001C0616">
            <w:pPr>
              <w:jc w:val="center"/>
              <w:rPr>
                <w:sz w:val="20"/>
                <w:szCs w:val="20"/>
              </w:rPr>
            </w:pPr>
            <w:r w:rsidRPr="00143A86">
              <w:rPr>
                <w:rFonts w:cs="Calibri"/>
                <w:sz w:val="20"/>
                <w:szCs w:val="20"/>
              </w:rPr>
              <w:t>51.3%</w:t>
            </w:r>
          </w:p>
        </w:tc>
        <w:tc>
          <w:tcPr>
            <w:tcW w:w="1350" w:type="dxa"/>
            <w:vAlign w:val="center"/>
          </w:tcPr>
          <w:p w14:paraId="52873439" w14:textId="77777777" w:rsidR="00A710FE" w:rsidRPr="00143A86" w:rsidRDefault="00A710FE" w:rsidP="001C0616">
            <w:pPr>
              <w:jc w:val="center"/>
              <w:rPr>
                <w:sz w:val="20"/>
                <w:szCs w:val="20"/>
              </w:rPr>
            </w:pPr>
            <w:r w:rsidRPr="00143A86">
              <w:rPr>
                <w:rFonts w:cs="Calibri"/>
                <w:sz w:val="20"/>
                <w:szCs w:val="20"/>
              </w:rPr>
              <w:t>52.5%</w:t>
            </w:r>
          </w:p>
        </w:tc>
        <w:tc>
          <w:tcPr>
            <w:tcW w:w="1260" w:type="dxa"/>
            <w:shd w:val="clear" w:color="auto" w:fill="A8D08D" w:themeFill="accent6" w:themeFillTint="99"/>
            <w:vAlign w:val="center"/>
          </w:tcPr>
          <w:p w14:paraId="27EB4267" w14:textId="0ECA078A" w:rsidR="00A710FE" w:rsidRPr="00143A86" w:rsidRDefault="006E1D30" w:rsidP="001C0616">
            <w:pPr>
              <w:jc w:val="center"/>
              <w:rPr>
                <w:sz w:val="20"/>
                <w:szCs w:val="20"/>
                <w:highlight w:val="yellow"/>
              </w:rPr>
            </w:pPr>
            <w:r>
              <w:rPr>
                <w:sz w:val="20"/>
                <w:szCs w:val="20"/>
              </w:rPr>
              <w:t xml:space="preserve">    </w:t>
            </w:r>
            <w:r w:rsidR="00E150C9" w:rsidRPr="00143A86">
              <w:rPr>
                <w:sz w:val="20"/>
                <w:szCs w:val="20"/>
              </w:rPr>
              <w:t>43.</w:t>
            </w:r>
            <w:r w:rsidR="510656B2" w:rsidRPr="00143A86">
              <w:rPr>
                <w:sz w:val="20"/>
                <w:szCs w:val="20"/>
              </w:rPr>
              <w:t>3</w:t>
            </w:r>
            <w:r w:rsidR="00E150C9" w:rsidRPr="00143A86">
              <w:rPr>
                <w:sz w:val="20"/>
                <w:szCs w:val="20"/>
              </w:rPr>
              <w:t>%</w:t>
            </w:r>
            <w:bookmarkStart w:id="8" w:name="_Ref190162419"/>
            <w:r w:rsidR="003E06D0">
              <w:rPr>
                <w:rStyle w:val="FootnoteReference"/>
                <w:sz w:val="20"/>
                <w:szCs w:val="20"/>
              </w:rPr>
              <w:footnoteReference w:id="4"/>
            </w:r>
            <w:bookmarkEnd w:id="8"/>
          </w:p>
        </w:tc>
        <w:tc>
          <w:tcPr>
            <w:tcW w:w="985" w:type="dxa"/>
            <w:vAlign w:val="center"/>
          </w:tcPr>
          <w:p w14:paraId="075F3F24" w14:textId="2567437D" w:rsidR="00A710FE" w:rsidRPr="00143A86" w:rsidRDefault="62C42BE6" w:rsidP="09759345">
            <w:pPr>
              <w:jc w:val="center"/>
              <w:rPr>
                <w:rFonts w:cs="Calibri"/>
                <w:color w:val="000000" w:themeColor="text1"/>
                <w:sz w:val="20"/>
                <w:szCs w:val="20"/>
              </w:rPr>
            </w:pPr>
            <w:r w:rsidRPr="00143A86">
              <w:rPr>
                <w:rFonts w:cs="Calibri"/>
                <w:color w:val="000000" w:themeColor="text1"/>
                <w:sz w:val="20"/>
                <w:szCs w:val="20"/>
              </w:rPr>
              <w:t>N/A</w:t>
            </w:r>
            <w:r w:rsidR="00D70EB5">
              <w:rPr>
                <w:rFonts w:cs="Calibri"/>
                <w:color w:val="000000" w:themeColor="text1"/>
                <w:sz w:val="20"/>
                <w:szCs w:val="20"/>
              </w:rPr>
              <w:fldChar w:fldCharType="begin"/>
            </w:r>
            <w:r w:rsidR="00D70EB5">
              <w:rPr>
                <w:rFonts w:cs="Calibri"/>
                <w:color w:val="000000" w:themeColor="text1"/>
                <w:sz w:val="20"/>
                <w:szCs w:val="20"/>
              </w:rPr>
              <w:instrText xml:space="preserve"> NOTEREF _Ref190162024 \h </w:instrText>
            </w:r>
            <w:r w:rsidR="00D70EB5">
              <w:rPr>
                <w:rFonts w:cs="Calibri"/>
                <w:color w:val="000000" w:themeColor="text1"/>
                <w:sz w:val="20"/>
                <w:szCs w:val="20"/>
              </w:rPr>
            </w:r>
            <w:r w:rsidR="00D70EB5">
              <w:rPr>
                <w:rFonts w:cs="Calibri"/>
                <w:color w:val="000000" w:themeColor="text1"/>
                <w:sz w:val="20"/>
                <w:szCs w:val="20"/>
              </w:rPr>
              <w:fldChar w:fldCharType="separate"/>
            </w:r>
            <w:r w:rsidR="000C7657">
              <w:rPr>
                <w:rFonts w:cs="Calibri"/>
                <w:color w:val="000000" w:themeColor="text1"/>
                <w:sz w:val="20"/>
                <w:szCs w:val="20"/>
              </w:rPr>
              <w:t>***</w:t>
            </w:r>
            <w:r w:rsidR="00D70EB5">
              <w:rPr>
                <w:rFonts w:cs="Calibri"/>
                <w:color w:val="000000" w:themeColor="text1"/>
                <w:sz w:val="20"/>
                <w:szCs w:val="20"/>
              </w:rPr>
              <w:fldChar w:fldCharType="end"/>
            </w:r>
          </w:p>
        </w:tc>
      </w:tr>
      <w:tr w:rsidR="00A710FE" w14:paraId="267CE7DE" w14:textId="77777777" w:rsidTr="006E1D30">
        <w:tc>
          <w:tcPr>
            <w:tcW w:w="3055" w:type="dxa"/>
          </w:tcPr>
          <w:p w14:paraId="3B6555B5" w14:textId="77777777" w:rsidR="00A710FE" w:rsidRPr="00665478" w:rsidRDefault="00A710FE">
            <w:pPr>
              <w:rPr>
                <w:sz w:val="18"/>
                <w:szCs w:val="18"/>
              </w:rPr>
            </w:pPr>
            <w:r w:rsidRPr="00665478">
              <w:rPr>
                <w:sz w:val="18"/>
                <w:szCs w:val="18"/>
              </w:rPr>
              <w:t>Screening for Depression and Follow-Up</w:t>
            </w:r>
          </w:p>
        </w:tc>
        <w:tc>
          <w:tcPr>
            <w:tcW w:w="1350" w:type="dxa"/>
            <w:vAlign w:val="center"/>
          </w:tcPr>
          <w:p w14:paraId="3995E0E3" w14:textId="77777777" w:rsidR="00A710FE" w:rsidRPr="00143A86" w:rsidRDefault="00A710FE" w:rsidP="001C0616">
            <w:pPr>
              <w:jc w:val="center"/>
              <w:rPr>
                <w:sz w:val="20"/>
                <w:szCs w:val="20"/>
              </w:rPr>
            </w:pPr>
            <w:r w:rsidRPr="00143A86">
              <w:rPr>
                <w:rFonts w:cs="Calibri"/>
                <w:sz w:val="20"/>
                <w:szCs w:val="20"/>
              </w:rPr>
              <w:t>36.4%</w:t>
            </w:r>
          </w:p>
        </w:tc>
        <w:tc>
          <w:tcPr>
            <w:tcW w:w="1350" w:type="dxa"/>
            <w:vAlign w:val="center"/>
          </w:tcPr>
          <w:p w14:paraId="45E14007" w14:textId="77777777" w:rsidR="00A710FE" w:rsidRPr="00143A86" w:rsidRDefault="00A710FE" w:rsidP="001C0616">
            <w:pPr>
              <w:jc w:val="center"/>
              <w:rPr>
                <w:sz w:val="20"/>
                <w:szCs w:val="20"/>
              </w:rPr>
            </w:pPr>
            <w:r w:rsidRPr="00143A86">
              <w:rPr>
                <w:rFonts w:cs="Calibri"/>
                <w:sz w:val="20"/>
                <w:szCs w:val="20"/>
              </w:rPr>
              <w:t>41.1%</w:t>
            </w:r>
          </w:p>
        </w:tc>
        <w:tc>
          <w:tcPr>
            <w:tcW w:w="1350" w:type="dxa"/>
            <w:vAlign w:val="center"/>
          </w:tcPr>
          <w:p w14:paraId="6D622508" w14:textId="77777777" w:rsidR="00A710FE" w:rsidRPr="00143A86" w:rsidRDefault="00A710FE" w:rsidP="001C0616">
            <w:pPr>
              <w:jc w:val="center"/>
              <w:rPr>
                <w:sz w:val="20"/>
                <w:szCs w:val="20"/>
              </w:rPr>
            </w:pPr>
            <w:r w:rsidRPr="00143A86">
              <w:rPr>
                <w:rFonts w:cs="Calibri"/>
                <w:sz w:val="20"/>
                <w:szCs w:val="20"/>
              </w:rPr>
              <w:t>43.0%</w:t>
            </w:r>
          </w:p>
        </w:tc>
        <w:tc>
          <w:tcPr>
            <w:tcW w:w="1260" w:type="dxa"/>
            <w:vAlign w:val="center"/>
          </w:tcPr>
          <w:p w14:paraId="69339199" w14:textId="3BEAB3ED" w:rsidR="00A710FE" w:rsidRPr="00143A86" w:rsidRDefault="001A69C5" w:rsidP="001C0616">
            <w:pPr>
              <w:jc w:val="center"/>
              <w:rPr>
                <w:sz w:val="20"/>
                <w:szCs w:val="20"/>
              </w:rPr>
            </w:pPr>
            <w:r>
              <w:rPr>
                <w:sz w:val="20"/>
                <w:szCs w:val="20"/>
              </w:rPr>
              <w:t xml:space="preserve">   </w:t>
            </w:r>
            <w:r w:rsidR="0002628F" w:rsidRPr="00143A86">
              <w:rPr>
                <w:sz w:val="20"/>
                <w:szCs w:val="20"/>
              </w:rPr>
              <w:t>49.3%</w:t>
            </w:r>
            <w:r w:rsidR="00FC655B">
              <w:rPr>
                <w:sz w:val="20"/>
                <w:szCs w:val="20"/>
              </w:rPr>
              <w:fldChar w:fldCharType="begin"/>
            </w:r>
            <w:r w:rsidR="00FC655B">
              <w:rPr>
                <w:sz w:val="20"/>
                <w:szCs w:val="20"/>
              </w:rPr>
              <w:instrText xml:space="preserve"> NOTEREF _Ref190162419 \h </w:instrText>
            </w:r>
            <w:r w:rsidR="00FC655B">
              <w:rPr>
                <w:sz w:val="20"/>
                <w:szCs w:val="20"/>
              </w:rPr>
            </w:r>
            <w:r w:rsidR="00FC655B">
              <w:rPr>
                <w:sz w:val="20"/>
                <w:szCs w:val="20"/>
              </w:rPr>
              <w:fldChar w:fldCharType="separate"/>
            </w:r>
            <w:r w:rsidR="000C7657">
              <w:rPr>
                <w:sz w:val="20"/>
                <w:szCs w:val="20"/>
              </w:rPr>
              <w:t>†††</w:t>
            </w:r>
            <w:r w:rsidR="00FC655B">
              <w:rPr>
                <w:sz w:val="20"/>
                <w:szCs w:val="20"/>
              </w:rPr>
              <w:fldChar w:fldCharType="end"/>
            </w:r>
          </w:p>
        </w:tc>
        <w:tc>
          <w:tcPr>
            <w:tcW w:w="985" w:type="dxa"/>
            <w:shd w:val="clear" w:color="auto" w:fill="A8D08D" w:themeFill="accent6" w:themeFillTint="99"/>
            <w:vAlign w:val="center"/>
          </w:tcPr>
          <w:p w14:paraId="7A6597C9" w14:textId="6AA493AC" w:rsidR="00A710FE" w:rsidRPr="00143A86" w:rsidRDefault="7F34D996" w:rsidP="647E8AA7">
            <w:pPr>
              <w:jc w:val="center"/>
              <w:rPr>
                <w:rFonts w:cs="Calibri"/>
                <w:sz w:val="20"/>
                <w:szCs w:val="20"/>
              </w:rPr>
            </w:pPr>
            <w:r w:rsidRPr="00143A86">
              <w:rPr>
                <w:rFonts w:cs="Calibri"/>
                <w:sz w:val="20"/>
                <w:szCs w:val="20"/>
              </w:rPr>
              <w:t>37.7%</w:t>
            </w:r>
          </w:p>
        </w:tc>
      </w:tr>
      <w:tr w:rsidR="00A710FE" w14:paraId="267647DF" w14:textId="77777777" w:rsidTr="006E1D30">
        <w:tc>
          <w:tcPr>
            <w:tcW w:w="3055" w:type="dxa"/>
          </w:tcPr>
          <w:p w14:paraId="20D7EE37" w14:textId="77777777" w:rsidR="00A710FE" w:rsidRPr="00665478" w:rsidRDefault="00A710FE">
            <w:pPr>
              <w:rPr>
                <w:sz w:val="18"/>
                <w:szCs w:val="18"/>
              </w:rPr>
            </w:pPr>
            <w:r w:rsidRPr="00665478">
              <w:rPr>
                <w:sz w:val="18"/>
                <w:szCs w:val="18"/>
              </w:rPr>
              <w:t>Influenza Immunization (age</w:t>
            </w:r>
            <w:r>
              <w:rPr>
                <w:sz w:val="18"/>
                <w:szCs w:val="18"/>
              </w:rPr>
              <w:t>s 18-64)</w:t>
            </w:r>
          </w:p>
        </w:tc>
        <w:tc>
          <w:tcPr>
            <w:tcW w:w="1350" w:type="dxa"/>
            <w:vAlign w:val="center"/>
          </w:tcPr>
          <w:p w14:paraId="5799B8D1" w14:textId="01B0EF6A" w:rsidR="00A710FE" w:rsidRPr="00143A86" w:rsidRDefault="00A710FE" w:rsidP="001C0616">
            <w:pPr>
              <w:jc w:val="center"/>
              <w:rPr>
                <w:rFonts w:cs="Calibri"/>
                <w:sz w:val="20"/>
                <w:szCs w:val="20"/>
              </w:rPr>
            </w:pPr>
            <w:r w:rsidRPr="00143A86">
              <w:rPr>
                <w:rFonts w:cs="Calibri"/>
                <w:sz w:val="20"/>
                <w:szCs w:val="20"/>
              </w:rPr>
              <w:t>46.6%</w:t>
            </w:r>
          </w:p>
        </w:tc>
        <w:tc>
          <w:tcPr>
            <w:tcW w:w="1350" w:type="dxa"/>
            <w:vAlign w:val="center"/>
          </w:tcPr>
          <w:p w14:paraId="15F31E70" w14:textId="4218BF78" w:rsidR="00A710FE" w:rsidRPr="00143A86" w:rsidRDefault="00A710FE" w:rsidP="001C0616">
            <w:pPr>
              <w:jc w:val="center"/>
              <w:rPr>
                <w:rFonts w:cs="Calibri"/>
                <w:sz w:val="20"/>
                <w:szCs w:val="20"/>
              </w:rPr>
            </w:pPr>
            <w:r w:rsidRPr="00143A86">
              <w:rPr>
                <w:rFonts w:cs="Calibri"/>
                <w:sz w:val="20"/>
                <w:szCs w:val="20"/>
              </w:rPr>
              <w:t>47.4%</w:t>
            </w:r>
          </w:p>
        </w:tc>
        <w:tc>
          <w:tcPr>
            <w:tcW w:w="1350" w:type="dxa"/>
            <w:vAlign w:val="center"/>
          </w:tcPr>
          <w:p w14:paraId="71114D3A" w14:textId="54661CFA" w:rsidR="00A710FE" w:rsidRPr="00143A86" w:rsidRDefault="00A710FE" w:rsidP="001C0616">
            <w:pPr>
              <w:jc w:val="center"/>
              <w:rPr>
                <w:rFonts w:cs="Calibri"/>
                <w:sz w:val="20"/>
                <w:szCs w:val="20"/>
              </w:rPr>
            </w:pPr>
            <w:r w:rsidRPr="00143A86">
              <w:rPr>
                <w:rFonts w:cs="Calibri"/>
                <w:sz w:val="20"/>
                <w:szCs w:val="20"/>
              </w:rPr>
              <w:t>49.1%</w:t>
            </w:r>
          </w:p>
        </w:tc>
        <w:tc>
          <w:tcPr>
            <w:tcW w:w="1260" w:type="dxa"/>
            <w:shd w:val="clear" w:color="auto" w:fill="A8D08D" w:themeFill="accent6" w:themeFillTint="99"/>
            <w:vAlign w:val="center"/>
          </w:tcPr>
          <w:p w14:paraId="294875A1" w14:textId="78741EA2" w:rsidR="00A710FE" w:rsidRPr="00143A86" w:rsidRDefault="00A710FE" w:rsidP="001C0616">
            <w:pPr>
              <w:jc w:val="center"/>
              <w:rPr>
                <w:rFonts w:cs="Calibri"/>
                <w:sz w:val="20"/>
                <w:szCs w:val="20"/>
              </w:rPr>
            </w:pPr>
            <w:r w:rsidRPr="00143A86">
              <w:rPr>
                <w:rFonts w:cs="Calibri"/>
                <w:sz w:val="20"/>
                <w:szCs w:val="20"/>
              </w:rPr>
              <w:t>46.1%</w:t>
            </w:r>
          </w:p>
        </w:tc>
        <w:tc>
          <w:tcPr>
            <w:tcW w:w="985" w:type="dxa"/>
            <w:vAlign w:val="center"/>
          </w:tcPr>
          <w:p w14:paraId="5BD571A9" w14:textId="04D38155" w:rsidR="00A710FE" w:rsidRPr="00143A86" w:rsidRDefault="12C3412C" w:rsidP="2F20BADC">
            <w:pPr>
              <w:jc w:val="center"/>
              <w:rPr>
                <w:rFonts w:cs="Calibri"/>
                <w:color w:val="000000" w:themeColor="text1"/>
                <w:sz w:val="20"/>
                <w:szCs w:val="20"/>
              </w:rPr>
            </w:pPr>
            <w:r w:rsidRPr="00143A86">
              <w:rPr>
                <w:rFonts w:cs="Calibri"/>
                <w:color w:val="000000" w:themeColor="text1"/>
                <w:sz w:val="20"/>
                <w:szCs w:val="20"/>
              </w:rPr>
              <w:t>N/A</w:t>
            </w:r>
            <w:r w:rsidR="00D70EB5">
              <w:rPr>
                <w:rFonts w:cs="Calibri"/>
                <w:color w:val="000000" w:themeColor="text1"/>
                <w:sz w:val="20"/>
                <w:szCs w:val="20"/>
              </w:rPr>
              <w:fldChar w:fldCharType="begin"/>
            </w:r>
            <w:r w:rsidR="00D70EB5">
              <w:rPr>
                <w:rFonts w:cs="Calibri"/>
                <w:color w:val="000000" w:themeColor="text1"/>
                <w:sz w:val="20"/>
                <w:szCs w:val="20"/>
              </w:rPr>
              <w:instrText xml:space="preserve"> NOTEREF _Ref190162024 \h </w:instrText>
            </w:r>
            <w:r w:rsidR="00D70EB5">
              <w:rPr>
                <w:rFonts w:cs="Calibri"/>
                <w:color w:val="000000" w:themeColor="text1"/>
                <w:sz w:val="20"/>
                <w:szCs w:val="20"/>
              </w:rPr>
            </w:r>
            <w:r w:rsidR="00D70EB5">
              <w:rPr>
                <w:rFonts w:cs="Calibri"/>
                <w:color w:val="000000" w:themeColor="text1"/>
                <w:sz w:val="20"/>
                <w:szCs w:val="20"/>
              </w:rPr>
              <w:fldChar w:fldCharType="separate"/>
            </w:r>
            <w:r w:rsidR="000C7657">
              <w:rPr>
                <w:rFonts w:cs="Calibri"/>
                <w:color w:val="000000" w:themeColor="text1"/>
                <w:sz w:val="20"/>
                <w:szCs w:val="20"/>
              </w:rPr>
              <w:t>***</w:t>
            </w:r>
            <w:r w:rsidR="00D70EB5">
              <w:rPr>
                <w:rFonts w:cs="Calibri"/>
                <w:color w:val="000000" w:themeColor="text1"/>
                <w:sz w:val="20"/>
                <w:szCs w:val="20"/>
              </w:rPr>
              <w:fldChar w:fldCharType="end"/>
            </w:r>
          </w:p>
        </w:tc>
      </w:tr>
    </w:tbl>
    <w:p w14:paraId="1430B74E" w14:textId="23A8B94F" w:rsidR="003D165A" w:rsidRDefault="003D165A">
      <w:r w:rsidRPr="008330C3">
        <w:rPr>
          <w:b/>
          <w:bCs/>
        </w:rPr>
        <w:t>Objective 2:</w:t>
      </w:r>
      <w:r>
        <w:t xml:space="preserve"> </w:t>
      </w:r>
      <w:r w:rsidRPr="00665478">
        <w:t>Promote effective prevention and treatment to address acute and chronic conditions in at-risk populations </w:t>
      </w:r>
    </w:p>
    <w:tbl>
      <w:tblPr>
        <w:tblStyle w:val="TableGrid3"/>
        <w:tblW w:w="0" w:type="auto"/>
        <w:tblLook w:val="04A0" w:firstRow="1" w:lastRow="0" w:firstColumn="1" w:lastColumn="0" w:noHBand="0" w:noVBand="1"/>
      </w:tblPr>
      <w:tblGrid>
        <w:gridCol w:w="2968"/>
        <w:gridCol w:w="1394"/>
        <w:gridCol w:w="1394"/>
        <w:gridCol w:w="1394"/>
        <w:gridCol w:w="1357"/>
        <w:gridCol w:w="843"/>
      </w:tblGrid>
      <w:tr w:rsidR="00950FFE" w14:paraId="37E75D45" w14:textId="77777777" w:rsidTr="0939FE37">
        <w:tc>
          <w:tcPr>
            <w:tcW w:w="2968" w:type="dxa"/>
          </w:tcPr>
          <w:p w14:paraId="75F15F0A" w14:textId="77777777" w:rsidR="00950FFE" w:rsidRDefault="00950FFE" w:rsidP="001A69C5">
            <w:pPr>
              <w:jc w:val="center"/>
            </w:pPr>
            <w:r>
              <w:t>Measure</w:t>
            </w:r>
          </w:p>
        </w:tc>
        <w:tc>
          <w:tcPr>
            <w:tcW w:w="1394" w:type="dxa"/>
          </w:tcPr>
          <w:p w14:paraId="47D7FEB7" w14:textId="77777777" w:rsidR="00950FFE" w:rsidRDefault="00950FFE" w:rsidP="001A69C5">
            <w:pPr>
              <w:jc w:val="center"/>
            </w:pPr>
            <w:r>
              <w:t>MassHealth MY2020 Rate (Baseline)</w:t>
            </w:r>
          </w:p>
        </w:tc>
        <w:tc>
          <w:tcPr>
            <w:tcW w:w="1394" w:type="dxa"/>
          </w:tcPr>
          <w:p w14:paraId="44538487" w14:textId="77777777" w:rsidR="00950FFE" w:rsidRDefault="00950FFE" w:rsidP="001A69C5">
            <w:pPr>
              <w:jc w:val="center"/>
            </w:pPr>
            <w:r>
              <w:t>MassHealth MY2021 Rate</w:t>
            </w:r>
          </w:p>
        </w:tc>
        <w:tc>
          <w:tcPr>
            <w:tcW w:w="1394" w:type="dxa"/>
          </w:tcPr>
          <w:p w14:paraId="531004E9" w14:textId="77777777" w:rsidR="00950FFE" w:rsidRDefault="00950FFE" w:rsidP="001A69C5">
            <w:pPr>
              <w:jc w:val="center"/>
            </w:pPr>
            <w:r>
              <w:t>MassHealth MY2022 Rate</w:t>
            </w:r>
          </w:p>
        </w:tc>
        <w:tc>
          <w:tcPr>
            <w:tcW w:w="1357" w:type="dxa"/>
          </w:tcPr>
          <w:p w14:paraId="28993EA1" w14:textId="77777777" w:rsidR="00950FFE" w:rsidRDefault="00950FFE" w:rsidP="001A69C5">
            <w:pPr>
              <w:jc w:val="center"/>
            </w:pPr>
            <w:r>
              <w:t>National Benchmark MY2022 75th</w:t>
            </w:r>
          </w:p>
        </w:tc>
        <w:tc>
          <w:tcPr>
            <w:tcW w:w="843" w:type="dxa"/>
          </w:tcPr>
          <w:p w14:paraId="1A04741E" w14:textId="77777777" w:rsidR="00950FFE" w:rsidRDefault="00950FFE" w:rsidP="001A69C5">
            <w:pPr>
              <w:jc w:val="center"/>
            </w:pPr>
            <w:r>
              <w:t>Gap to Goal</w:t>
            </w:r>
          </w:p>
        </w:tc>
      </w:tr>
      <w:tr w:rsidR="00950FFE" w14:paraId="5D340834" w14:textId="77777777" w:rsidTr="0939FE37">
        <w:tc>
          <w:tcPr>
            <w:tcW w:w="2968" w:type="dxa"/>
          </w:tcPr>
          <w:p w14:paraId="41F1E6A6" w14:textId="77777777" w:rsidR="00950FFE" w:rsidRPr="0014150C" w:rsidRDefault="00950FFE">
            <w:pPr>
              <w:rPr>
                <w:sz w:val="18"/>
                <w:szCs w:val="18"/>
              </w:rPr>
            </w:pPr>
            <w:r w:rsidRPr="0014150C">
              <w:rPr>
                <w:sz w:val="18"/>
                <w:szCs w:val="18"/>
              </w:rPr>
              <w:t>Controlling High Blood Pressure</w:t>
            </w:r>
          </w:p>
        </w:tc>
        <w:tc>
          <w:tcPr>
            <w:tcW w:w="1394" w:type="dxa"/>
          </w:tcPr>
          <w:p w14:paraId="782A4C30" w14:textId="77777777" w:rsidR="00950FFE" w:rsidRPr="00143A86" w:rsidRDefault="00950FFE" w:rsidP="00C96E06">
            <w:pPr>
              <w:jc w:val="center"/>
              <w:rPr>
                <w:sz w:val="20"/>
                <w:szCs w:val="20"/>
              </w:rPr>
            </w:pPr>
            <w:r w:rsidRPr="00143A86">
              <w:rPr>
                <w:rFonts w:cs="Calibri"/>
                <w:sz w:val="20"/>
                <w:szCs w:val="20"/>
              </w:rPr>
              <w:t>56.8%</w:t>
            </w:r>
          </w:p>
        </w:tc>
        <w:tc>
          <w:tcPr>
            <w:tcW w:w="1394" w:type="dxa"/>
          </w:tcPr>
          <w:p w14:paraId="09B9BE22" w14:textId="77777777" w:rsidR="00950FFE" w:rsidRPr="00143A86" w:rsidRDefault="00950FFE" w:rsidP="00C96E06">
            <w:pPr>
              <w:jc w:val="center"/>
              <w:rPr>
                <w:sz w:val="20"/>
                <w:szCs w:val="20"/>
              </w:rPr>
            </w:pPr>
            <w:r w:rsidRPr="00143A86">
              <w:rPr>
                <w:rFonts w:cs="Calibri"/>
                <w:sz w:val="20"/>
                <w:szCs w:val="20"/>
              </w:rPr>
              <w:t>64.4%</w:t>
            </w:r>
          </w:p>
        </w:tc>
        <w:tc>
          <w:tcPr>
            <w:tcW w:w="1394" w:type="dxa"/>
          </w:tcPr>
          <w:p w14:paraId="35BFD905" w14:textId="77777777" w:rsidR="00950FFE" w:rsidRPr="00143A86" w:rsidRDefault="00950FFE" w:rsidP="00C96E06">
            <w:pPr>
              <w:jc w:val="center"/>
              <w:rPr>
                <w:sz w:val="20"/>
                <w:szCs w:val="20"/>
              </w:rPr>
            </w:pPr>
            <w:r w:rsidRPr="00143A86">
              <w:rPr>
                <w:rFonts w:cs="Calibri"/>
                <w:sz w:val="20"/>
                <w:szCs w:val="20"/>
              </w:rPr>
              <w:t>68.7%</w:t>
            </w:r>
          </w:p>
        </w:tc>
        <w:tc>
          <w:tcPr>
            <w:tcW w:w="1357" w:type="dxa"/>
            <w:shd w:val="clear" w:color="auto" w:fill="A8D08D" w:themeFill="accent6" w:themeFillTint="99"/>
          </w:tcPr>
          <w:p w14:paraId="1BF57746" w14:textId="77777777" w:rsidR="00950FFE" w:rsidRPr="00143A86" w:rsidRDefault="00950FFE" w:rsidP="00C96E06">
            <w:pPr>
              <w:jc w:val="center"/>
              <w:rPr>
                <w:sz w:val="20"/>
                <w:szCs w:val="20"/>
              </w:rPr>
            </w:pPr>
            <w:r w:rsidRPr="00143A86">
              <w:rPr>
                <w:rFonts w:cs="Calibri"/>
                <w:sz w:val="20"/>
                <w:szCs w:val="20"/>
              </w:rPr>
              <w:t>67.3%</w:t>
            </w:r>
          </w:p>
        </w:tc>
        <w:tc>
          <w:tcPr>
            <w:tcW w:w="843" w:type="dxa"/>
          </w:tcPr>
          <w:p w14:paraId="32ED85D5" w14:textId="6AE35B1B" w:rsidR="00950FFE" w:rsidRPr="00143A86" w:rsidRDefault="5236E6A7" w:rsidP="2F20BADC">
            <w:pPr>
              <w:jc w:val="center"/>
              <w:rPr>
                <w:rFonts w:cs="Calibri"/>
                <w:color w:val="000000" w:themeColor="text1"/>
                <w:sz w:val="20"/>
                <w:szCs w:val="20"/>
              </w:rPr>
            </w:pPr>
            <w:r w:rsidRPr="00143A86">
              <w:rPr>
                <w:rFonts w:cs="Calibri"/>
                <w:color w:val="000000" w:themeColor="text1"/>
                <w:sz w:val="20"/>
                <w:szCs w:val="20"/>
              </w:rPr>
              <w:t>N/A</w:t>
            </w:r>
            <w:r w:rsidR="00D70EB5">
              <w:rPr>
                <w:rFonts w:cs="Calibri"/>
                <w:color w:val="000000" w:themeColor="text1"/>
                <w:sz w:val="20"/>
                <w:szCs w:val="20"/>
              </w:rPr>
              <w:fldChar w:fldCharType="begin"/>
            </w:r>
            <w:r w:rsidR="00D70EB5">
              <w:rPr>
                <w:rFonts w:cs="Calibri"/>
                <w:color w:val="000000" w:themeColor="text1"/>
                <w:sz w:val="20"/>
                <w:szCs w:val="20"/>
              </w:rPr>
              <w:instrText xml:space="preserve"> NOTEREF _Ref190162024 \h </w:instrText>
            </w:r>
            <w:r w:rsidR="00D70EB5">
              <w:rPr>
                <w:rFonts w:cs="Calibri"/>
                <w:color w:val="000000" w:themeColor="text1"/>
                <w:sz w:val="20"/>
                <w:szCs w:val="20"/>
              </w:rPr>
            </w:r>
            <w:r w:rsidR="00D70EB5">
              <w:rPr>
                <w:rFonts w:cs="Calibri"/>
                <w:color w:val="000000" w:themeColor="text1"/>
                <w:sz w:val="20"/>
                <w:szCs w:val="20"/>
              </w:rPr>
              <w:fldChar w:fldCharType="separate"/>
            </w:r>
            <w:r w:rsidR="000C7657">
              <w:rPr>
                <w:rFonts w:cs="Calibri"/>
                <w:color w:val="000000" w:themeColor="text1"/>
                <w:sz w:val="20"/>
                <w:szCs w:val="20"/>
              </w:rPr>
              <w:t>***</w:t>
            </w:r>
            <w:r w:rsidR="00D70EB5">
              <w:rPr>
                <w:rFonts w:cs="Calibri"/>
                <w:color w:val="000000" w:themeColor="text1"/>
                <w:sz w:val="20"/>
                <w:szCs w:val="20"/>
              </w:rPr>
              <w:fldChar w:fldCharType="end"/>
            </w:r>
          </w:p>
        </w:tc>
      </w:tr>
      <w:tr w:rsidR="00950FFE" w14:paraId="51A0D740" w14:textId="77777777" w:rsidTr="0939FE37">
        <w:tc>
          <w:tcPr>
            <w:tcW w:w="2968" w:type="dxa"/>
          </w:tcPr>
          <w:p w14:paraId="302BAC33" w14:textId="58B10AF7" w:rsidR="00950FFE" w:rsidRPr="0014150C" w:rsidRDefault="5C39D851">
            <w:pPr>
              <w:rPr>
                <w:sz w:val="18"/>
                <w:szCs w:val="18"/>
              </w:rPr>
            </w:pPr>
            <w:r w:rsidRPr="0939FE37">
              <w:rPr>
                <w:sz w:val="18"/>
                <w:szCs w:val="18"/>
              </w:rPr>
              <w:t>HgbA1c Control for Patients with Diabetes - Poor Control</w:t>
            </w:r>
            <w:r w:rsidR="29BEF46B" w:rsidRPr="0939FE37">
              <w:rPr>
                <w:sz w:val="18"/>
                <w:szCs w:val="18"/>
              </w:rPr>
              <w:t xml:space="preserve"> (</w:t>
            </w:r>
            <w:r w:rsidR="00EF58B5" w:rsidRPr="0939FE37">
              <w:rPr>
                <w:sz w:val="18"/>
                <w:szCs w:val="18"/>
              </w:rPr>
              <w:t>lower score</w:t>
            </w:r>
            <w:r w:rsidR="29BEF46B" w:rsidRPr="0939FE37">
              <w:rPr>
                <w:sz w:val="18"/>
                <w:szCs w:val="18"/>
              </w:rPr>
              <w:t xml:space="preserve"> is better performance)</w:t>
            </w:r>
          </w:p>
        </w:tc>
        <w:tc>
          <w:tcPr>
            <w:tcW w:w="1394" w:type="dxa"/>
            <w:vAlign w:val="center"/>
          </w:tcPr>
          <w:p w14:paraId="1679FD4B" w14:textId="77777777" w:rsidR="00950FFE" w:rsidRPr="00143A86" w:rsidRDefault="00950FFE" w:rsidP="00C96E06">
            <w:pPr>
              <w:jc w:val="center"/>
              <w:rPr>
                <w:rFonts w:cs="Calibri"/>
                <w:sz w:val="20"/>
                <w:szCs w:val="20"/>
              </w:rPr>
            </w:pPr>
            <w:r w:rsidRPr="00143A86">
              <w:rPr>
                <w:rFonts w:cs="Calibri"/>
                <w:sz w:val="20"/>
                <w:szCs w:val="20"/>
              </w:rPr>
              <w:t>43.3%</w:t>
            </w:r>
          </w:p>
        </w:tc>
        <w:tc>
          <w:tcPr>
            <w:tcW w:w="1394" w:type="dxa"/>
            <w:vAlign w:val="center"/>
          </w:tcPr>
          <w:p w14:paraId="60F6D4C6" w14:textId="77777777" w:rsidR="00950FFE" w:rsidRPr="00143A86" w:rsidRDefault="00950FFE" w:rsidP="00C96E06">
            <w:pPr>
              <w:jc w:val="center"/>
              <w:rPr>
                <w:rFonts w:cs="Calibri"/>
                <w:sz w:val="20"/>
                <w:szCs w:val="20"/>
              </w:rPr>
            </w:pPr>
            <w:r w:rsidRPr="00143A86">
              <w:rPr>
                <w:rFonts w:cs="Calibri"/>
                <w:sz w:val="20"/>
                <w:szCs w:val="20"/>
              </w:rPr>
              <w:t>39.1%</w:t>
            </w:r>
          </w:p>
        </w:tc>
        <w:tc>
          <w:tcPr>
            <w:tcW w:w="1394" w:type="dxa"/>
            <w:vAlign w:val="center"/>
          </w:tcPr>
          <w:p w14:paraId="784DA869" w14:textId="77777777" w:rsidR="00950FFE" w:rsidRPr="00143A86" w:rsidRDefault="00950FFE" w:rsidP="00C96E06">
            <w:pPr>
              <w:jc w:val="center"/>
              <w:rPr>
                <w:rFonts w:cs="Calibri"/>
                <w:sz w:val="20"/>
                <w:szCs w:val="20"/>
              </w:rPr>
            </w:pPr>
            <w:r w:rsidRPr="00143A86">
              <w:rPr>
                <w:rFonts w:cs="Calibri"/>
                <w:sz w:val="20"/>
                <w:szCs w:val="20"/>
              </w:rPr>
              <w:t>33.4%</w:t>
            </w:r>
          </w:p>
        </w:tc>
        <w:tc>
          <w:tcPr>
            <w:tcW w:w="1357" w:type="dxa"/>
            <w:vAlign w:val="center"/>
          </w:tcPr>
          <w:p w14:paraId="5642C758" w14:textId="77777777" w:rsidR="00950FFE" w:rsidRPr="00143A86" w:rsidRDefault="00950FFE" w:rsidP="00C96E06">
            <w:pPr>
              <w:jc w:val="center"/>
              <w:rPr>
                <w:rFonts w:cs="Calibri"/>
                <w:sz w:val="20"/>
                <w:szCs w:val="20"/>
              </w:rPr>
            </w:pPr>
            <w:r w:rsidRPr="00143A86">
              <w:rPr>
                <w:rFonts w:cs="Calibri"/>
                <w:sz w:val="20"/>
                <w:szCs w:val="20"/>
              </w:rPr>
              <w:t>33.5%</w:t>
            </w:r>
          </w:p>
        </w:tc>
        <w:tc>
          <w:tcPr>
            <w:tcW w:w="843" w:type="dxa"/>
            <w:vAlign w:val="center"/>
          </w:tcPr>
          <w:p w14:paraId="5AE656E8" w14:textId="20F4F3A7" w:rsidR="00950FFE" w:rsidRPr="00143A86" w:rsidRDefault="41FA4D01" w:rsidP="2F20BADC">
            <w:pPr>
              <w:jc w:val="center"/>
              <w:rPr>
                <w:rFonts w:cs="Calibri"/>
                <w:color w:val="000000" w:themeColor="text1"/>
                <w:sz w:val="20"/>
                <w:szCs w:val="20"/>
              </w:rPr>
            </w:pPr>
            <w:r w:rsidRPr="00143A86">
              <w:rPr>
                <w:rFonts w:cs="Calibri"/>
                <w:color w:val="000000" w:themeColor="text1"/>
                <w:sz w:val="20"/>
                <w:szCs w:val="20"/>
              </w:rPr>
              <w:t>N/A</w:t>
            </w:r>
            <w:r w:rsidR="00D70EB5">
              <w:rPr>
                <w:rFonts w:cs="Calibri"/>
                <w:color w:val="000000" w:themeColor="text1"/>
                <w:sz w:val="20"/>
                <w:szCs w:val="20"/>
              </w:rPr>
              <w:fldChar w:fldCharType="begin"/>
            </w:r>
            <w:r w:rsidR="00D70EB5">
              <w:rPr>
                <w:rFonts w:cs="Calibri"/>
                <w:color w:val="000000" w:themeColor="text1"/>
                <w:sz w:val="20"/>
                <w:szCs w:val="20"/>
              </w:rPr>
              <w:instrText xml:space="preserve"> NOTEREF _Ref190162024 \h </w:instrText>
            </w:r>
            <w:r w:rsidR="00D70EB5">
              <w:rPr>
                <w:rFonts w:cs="Calibri"/>
                <w:color w:val="000000" w:themeColor="text1"/>
                <w:sz w:val="20"/>
                <w:szCs w:val="20"/>
              </w:rPr>
            </w:r>
            <w:r w:rsidR="00D70EB5">
              <w:rPr>
                <w:rFonts w:cs="Calibri"/>
                <w:color w:val="000000" w:themeColor="text1"/>
                <w:sz w:val="20"/>
                <w:szCs w:val="20"/>
              </w:rPr>
              <w:fldChar w:fldCharType="separate"/>
            </w:r>
            <w:r w:rsidR="000C7657">
              <w:rPr>
                <w:rFonts w:cs="Calibri"/>
                <w:color w:val="000000" w:themeColor="text1"/>
                <w:sz w:val="20"/>
                <w:szCs w:val="20"/>
              </w:rPr>
              <w:t>***</w:t>
            </w:r>
            <w:r w:rsidR="00D70EB5">
              <w:rPr>
                <w:rFonts w:cs="Calibri"/>
                <w:color w:val="000000" w:themeColor="text1"/>
                <w:sz w:val="20"/>
                <w:szCs w:val="20"/>
              </w:rPr>
              <w:fldChar w:fldCharType="end"/>
            </w:r>
          </w:p>
        </w:tc>
      </w:tr>
      <w:tr w:rsidR="00950FFE" w14:paraId="2794E4F3" w14:textId="77777777" w:rsidTr="0939FE37">
        <w:tc>
          <w:tcPr>
            <w:tcW w:w="2968" w:type="dxa"/>
          </w:tcPr>
          <w:p w14:paraId="226E8B58" w14:textId="77777777" w:rsidR="00950FFE" w:rsidRPr="0014150C" w:rsidRDefault="00950FFE">
            <w:pPr>
              <w:rPr>
                <w:sz w:val="18"/>
                <w:szCs w:val="18"/>
              </w:rPr>
            </w:pPr>
            <w:r w:rsidRPr="0014150C">
              <w:rPr>
                <w:sz w:val="18"/>
                <w:szCs w:val="18"/>
              </w:rPr>
              <w:t>Metabolic Monitoring for Children and Adolescents on Antipsychotics</w:t>
            </w:r>
          </w:p>
        </w:tc>
        <w:tc>
          <w:tcPr>
            <w:tcW w:w="1394" w:type="dxa"/>
            <w:vAlign w:val="center"/>
          </w:tcPr>
          <w:p w14:paraId="05E46153" w14:textId="77777777" w:rsidR="00950FFE" w:rsidRPr="00143A86" w:rsidRDefault="00950FFE" w:rsidP="00C96E06">
            <w:pPr>
              <w:jc w:val="center"/>
              <w:rPr>
                <w:sz w:val="20"/>
                <w:szCs w:val="20"/>
              </w:rPr>
            </w:pPr>
            <w:r w:rsidRPr="00143A86">
              <w:rPr>
                <w:rFonts w:cs="Calibri"/>
                <w:sz w:val="20"/>
                <w:szCs w:val="20"/>
              </w:rPr>
              <w:t>36.5%</w:t>
            </w:r>
          </w:p>
        </w:tc>
        <w:tc>
          <w:tcPr>
            <w:tcW w:w="1394" w:type="dxa"/>
            <w:vAlign w:val="center"/>
          </w:tcPr>
          <w:p w14:paraId="25766307" w14:textId="77777777" w:rsidR="00950FFE" w:rsidRPr="00143A86" w:rsidRDefault="00950FFE" w:rsidP="00C96E06">
            <w:pPr>
              <w:jc w:val="center"/>
              <w:rPr>
                <w:sz w:val="20"/>
                <w:szCs w:val="20"/>
              </w:rPr>
            </w:pPr>
            <w:r w:rsidRPr="00143A86">
              <w:rPr>
                <w:rFonts w:cs="Calibri"/>
                <w:sz w:val="20"/>
                <w:szCs w:val="20"/>
              </w:rPr>
              <w:t>42.0%</w:t>
            </w:r>
          </w:p>
        </w:tc>
        <w:tc>
          <w:tcPr>
            <w:tcW w:w="1394" w:type="dxa"/>
            <w:vAlign w:val="center"/>
          </w:tcPr>
          <w:p w14:paraId="49C1CE05" w14:textId="77777777" w:rsidR="00950FFE" w:rsidRPr="00143A86" w:rsidRDefault="00950FFE" w:rsidP="00C96E06">
            <w:pPr>
              <w:jc w:val="center"/>
              <w:rPr>
                <w:sz w:val="20"/>
                <w:szCs w:val="20"/>
              </w:rPr>
            </w:pPr>
            <w:r w:rsidRPr="00143A86">
              <w:rPr>
                <w:rFonts w:cs="Calibri"/>
                <w:sz w:val="20"/>
                <w:szCs w:val="20"/>
              </w:rPr>
              <w:t>42.1%</w:t>
            </w:r>
          </w:p>
        </w:tc>
        <w:tc>
          <w:tcPr>
            <w:tcW w:w="1357" w:type="dxa"/>
            <w:shd w:val="clear" w:color="auto" w:fill="A8D08D" w:themeFill="accent6" w:themeFillTint="99"/>
            <w:vAlign w:val="center"/>
          </w:tcPr>
          <w:p w14:paraId="2B0984C9" w14:textId="77777777" w:rsidR="00950FFE" w:rsidRPr="00143A86" w:rsidRDefault="00950FFE" w:rsidP="00C96E06">
            <w:pPr>
              <w:jc w:val="center"/>
              <w:rPr>
                <w:sz w:val="20"/>
                <w:szCs w:val="20"/>
              </w:rPr>
            </w:pPr>
            <w:r w:rsidRPr="00143A86">
              <w:rPr>
                <w:rFonts w:cs="Calibri"/>
                <w:sz w:val="20"/>
                <w:szCs w:val="20"/>
              </w:rPr>
              <w:t>42.0%</w:t>
            </w:r>
          </w:p>
        </w:tc>
        <w:tc>
          <w:tcPr>
            <w:tcW w:w="843" w:type="dxa"/>
            <w:vAlign w:val="center"/>
          </w:tcPr>
          <w:p w14:paraId="2737ED3C" w14:textId="198972AC" w:rsidR="00950FFE" w:rsidRPr="00143A86" w:rsidRDefault="3D6E6412" w:rsidP="2F20BADC">
            <w:pPr>
              <w:jc w:val="center"/>
              <w:rPr>
                <w:rFonts w:cs="Calibri"/>
                <w:color w:val="000000" w:themeColor="text1"/>
                <w:sz w:val="20"/>
                <w:szCs w:val="20"/>
              </w:rPr>
            </w:pPr>
            <w:r w:rsidRPr="00143A86">
              <w:rPr>
                <w:rFonts w:cs="Calibri"/>
                <w:color w:val="000000" w:themeColor="text1"/>
                <w:sz w:val="20"/>
                <w:szCs w:val="20"/>
              </w:rPr>
              <w:t>N/A</w:t>
            </w:r>
            <w:r w:rsidR="00D70EB5">
              <w:rPr>
                <w:rFonts w:cs="Calibri"/>
                <w:color w:val="000000" w:themeColor="text1"/>
                <w:sz w:val="20"/>
                <w:szCs w:val="20"/>
              </w:rPr>
              <w:fldChar w:fldCharType="begin"/>
            </w:r>
            <w:r w:rsidR="00D70EB5">
              <w:rPr>
                <w:rFonts w:cs="Calibri"/>
                <w:color w:val="000000" w:themeColor="text1"/>
                <w:sz w:val="20"/>
                <w:szCs w:val="20"/>
              </w:rPr>
              <w:instrText xml:space="preserve"> NOTEREF _Ref190162024 \h </w:instrText>
            </w:r>
            <w:r w:rsidR="00D70EB5">
              <w:rPr>
                <w:rFonts w:cs="Calibri"/>
                <w:color w:val="000000" w:themeColor="text1"/>
                <w:sz w:val="20"/>
                <w:szCs w:val="20"/>
              </w:rPr>
            </w:r>
            <w:r w:rsidR="00D70EB5">
              <w:rPr>
                <w:rFonts w:cs="Calibri"/>
                <w:color w:val="000000" w:themeColor="text1"/>
                <w:sz w:val="20"/>
                <w:szCs w:val="20"/>
              </w:rPr>
              <w:fldChar w:fldCharType="separate"/>
            </w:r>
            <w:r w:rsidR="000C7657">
              <w:rPr>
                <w:rFonts w:cs="Calibri"/>
                <w:color w:val="000000" w:themeColor="text1"/>
                <w:sz w:val="20"/>
                <w:szCs w:val="20"/>
              </w:rPr>
              <w:t>***</w:t>
            </w:r>
            <w:r w:rsidR="00D70EB5">
              <w:rPr>
                <w:rFonts w:cs="Calibri"/>
                <w:color w:val="000000" w:themeColor="text1"/>
                <w:sz w:val="20"/>
                <w:szCs w:val="20"/>
              </w:rPr>
              <w:fldChar w:fldCharType="end"/>
            </w:r>
          </w:p>
        </w:tc>
      </w:tr>
      <w:tr w:rsidR="00950FFE" w14:paraId="2CA34D21" w14:textId="77777777" w:rsidTr="0939FE37">
        <w:tc>
          <w:tcPr>
            <w:tcW w:w="2968" w:type="dxa"/>
          </w:tcPr>
          <w:p w14:paraId="16200310" w14:textId="77777777" w:rsidR="00950FFE" w:rsidRPr="0014150C" w:rsidRDefault="00950FFE">
            <w:pPr>
              <w:rPr>
                <w:sz w:val="18"/>
                <w:szCs w:val="18"/>
              </w:rPr>
            </w:pPr>
            <w:r w:rsidRPr="0014150C">
              <w:rPr>
                <w:sz w:val="18"/>
                <w:szCs w:val="18"/>
              </w:rPr>
              <w:t>Initiation and Engagement of Alcohol, Opioid, or Other Drug Abuse or Dependence Treatment (Initiation)</w:t>
            </w:r>
          </w:p>
        </w:tc>
        <w:tc>
          <w:tcPr>
            <w:tcW w:w="1394" w:type="dxa"/>
            <w:vAlign w:val="center"/>
          </w:tcPr>
          <w:p w14:paraId="65224CE9" w14:textId="77777777" w:rsidR="00950FFE" w:rsidRPr="00143A86" w:rsidRDefault="00950FFE" w:rsidP="00C96E06">
            <w:pPr>
              <w:jc w:val="center"/>
              <w:rPr>
                <w:sz w:val="20"/>
                <w:szCs w:val="20"/>
              </w:rPr>
            </w:pPr>
            <w:r w:rsidRPr="00143A86">
              <w:rPr>
                <w:rFonts w:cs="Calibri"/>
                <w:sz w:val="20"/>
                <w:szCs w:val="20"/>
              </w:rPr>
              <w:t>48.1%</w:t>
            </w:r>
          </w:p>
        </w:tc>
        <w:tc>
          <w:tcPr>
            <w:tcW w:w="1394" w:type="dxa"/>
            <w:vAlign w:val="center"/>
          </w:tcPr>
          <w:p w14:paraId="6FED6726" w14:textId="77777777" w:rsidR="00950FFE" w:rsidRPr="00143A86" w:rsidRDefault="00950FFE" w:rsidP="00C96E06">
            <w:pPr>
              <w:jc w:val="center"/>
              <w:rPr>
                <w:sz w:val="20"/>
                <w:szCs w:val="20"/>
              </w:rPr>
            </w:pPr>
            <w:r w:rsidRPr="00143A86">
              <w:rPr>
                <w:rFonts w:cs="Calibri"/>
                <w:sz w:val="20"/>
                <w:szCs w:val="20"/>
              </w:rPr>
              <w:t>46.7%</w:t>
            </w:r>
          </w:p>
        </w:tc>
        <w:tc>
          <w:tcPr>
            <w:tcW w:w="1394" w:type="dxa"/>
            <w:vAlign w:val="center"/>
          </w:tcPr>
          <w:p w14:paraId="019B1B36" w14:textId="77777777" w:rsidR="00950FFE" w:rsidRPr="00143A86" w:rsidRDefault="00950FFE" w:rsidP="00C96E06">
            <w:pPr>
              <w:jc w:val="center"/>
              <w:rPr>
                <w:sz w:val="20"/>
                <w:szCs w:val="20"/>
              </w:rPr>
            </w:pPr>
            <w:r w:rsidRPr="00143A86">
              <w:rPr>
                <w:rFonts w:cs="Calibri"/>
                <w:sz w:val="20"/>
                <w:szCs w:val="20"/>
              </w:rPr>
              <w:t>48.3%</w:t>
            </w:r>
          </w:p>
        </w:tc>
        <w:tc>
          <w:tcPr>
            <w:tcW w:w="1357" w:type="dxa"/>
            <w:shd w:val="clear" w:color="auto" w:fill="A8D08D" w:themeFill="accent6" w:themeFillTint="99"/>
            <w:vAlign w:val="center"/>
          </w:tcPr>
          <w:p w14:paraId="366FAA94" w14:textId="77777777" w:rsidR="00950FFE" w:rsidRPr="00143A86" w:rsidRDefault="00950FFE" w:rsidP="00C96E06">
            <w:pPr>
              <w:jc w:val="center"/>
              <w:rPr>
                <w:sz w:val="20"/>
                <w:szCs w:val="20"/>
              </w:rPr>
            </w:pPr>
            <w:r w:rsidRPr="00143A86">
              <w:rPr>
                <w:rFonts w:cs="Calibri"/>
                <w:sz w:val="20"/>
                <w:szCs w:val="20"/>
              </w:rPr>
              <w:t>49.0%</w:t>
            </w:r>
          </w:p>
        </w:tc>
        <w:tc>
          <w:tcPr>
            <w:tcW w:w="843" w:type="dxa"/>
            <w:vAlign w:val="center"/>
          </w:tcPr>
          <w:p w14:paraId="5F002096" w14:textId="00E6A8A8" w:rsidR="2F20BADC" w:rsidRPr="00143A86" w:rsidRDefault="2F20BADC" w:rsidP="2F20BADC">
            <w:pPr>
              <w:jc w:val="center"/>
              <w:rPr>
                <w:sz w:val="20"/>
                <w:szCs w:val="20"/>
              </w:rPr>
            </w:pPr>
          </w:p>
          <w:p w14:paraId="62771C6B" w14:textId="3C6D5F9B" w:rsidR="00950FFE" w:rsidRPr="00143A86" w:rsidRDefault="257CDBF8" w:rsidP="2F20BADC">
            <w:pPr>
              <w:jc w:val="center"/>
              <w:rPr>
                <w:sz w:val="20"/>
                <w:szCs w:val="20"/>
              </w:rPr>
            </w:pPr>
            <w:r w:rsidRPr="00143A86">
              <w:rPr>
                <w:sz w:val="20"/>
                <w:szCs w:val="20"/>
              </w:rPr>
              <w:t>49.0%</w:t>
            </w:r>
          </w:p>
          <w:p w14:paraId="74EFBFF0" w14:textId="66B26183" w:rsidR="00950FFE" w:rsidRPr="00143A86" w:rsidRDefault="00950FFE" w:rsidP="2F20BADC">
            <w:pPr>
              <w:jc w:val="center"/>
              <w:rPr>
                <w:sz w:val="20"/>
                <w:szCs w:val="20"/>
              </w:rPr>
            </w:pPr>
          </w:p>
        </w:tc>
      </w:tr>
      <w:tr w:rsidR="00950FFE" w14:paraId="328E64AE" w14:textId="77777777" w:rsidTr="0939FE37">
        <w:tc>
          <w:tcPr>
            <w:tcW w:w="2968" w:type="dxa"/>
          </w:tcPr>
          <w:p w14:paraId="0FD2B70B" w14:textId="77777777" w:rsidR="00950FFE" w:rsidRPr="0014150C" w:rsidRDefault="00950FFE">
            <w:pPr>
              <w:rPr>
                <w:sz w:val="18"/>
                <w:szCs w:val="18"/>
              </w:rPr>
            </w:pPr>
            <w:r w:rsidRPr="0014150C">
              <w:rPr>
                <w:sz w:val="18"/>
                <w:szCs w:val="18"/>
              </w:rPr>
              <w:t xml:space="preserve">Diabetes Screening for People with Schizophrenia or </w:t>
            </w:r>
            <w:proofErr w:type="gramStart"/>
            <w:r w:rsidRPr="0014150C">
              <w:rPr>
                <w:sz w:val="18"/>
                <w:szCs w:val="18"/>
              </w:rPr>
              <w:t>Bipolar Disorder</w:t>
            </w:r>
            <w:proofErr w:type="gramEnd"/>
            <w:r w:rsidRPr="0014150C">
              <w:rPr>
                <w:sz w:val="18"/>
                <w:szCs w:val="18"/>
              </w:rPr>
              <w:t xml:space="preserve"> who are using Antipsychotic Medications</w:t>
            </w:r>
          </w:p>
        </w:tc>
        <w:tc>
          <w:tcPr>
            <w:tcW w:w="1394" w:type="dxa"/>
            <w:tcBorders>
              <w:bottom w:val="single" w:sz="4" w:space="0" w:color="auto"/>
            </w:tcBorders>
            <w:vAlign w:val="center"/>
          </w:tcPr>
          <w:p w14:paraId="21C4E27C" w14:textId="77777777" w:rsidR="00950FFE" w:rsidRPr="00143A86" w:rsidRDefault="00950FFE" w:rsidP="00C96E06">
            <w:pPr>
              <w:jc w:val="center"/>
              <w:rPr>
                <w:sz w:val="20"/>
                <w:szCs w:val="20"/>
              </w:rPr>
            </w:pPr>
            <w:r w:rsidRPr="00143A86">
              <w:rPr>
                <w:rFonts w:cs="Calibri"/>
                <w:sz w:val="20"/>
                <w:szCs w:val="20"/>
              </w:rPr>
              <w:t>73.2%</w:t>
            </w:r>
          </w:p>
        </w:tc>
        <w:tc>
          <w:tcPr>
            <w:tcW w:w="1394" w:type="dxa"/>
            <w:tcBorders>
              <w:bottom w:val="single" w:sz="4" w:space="0" w:color="auto"/>
            </w:tcBorders>
            <w:vAlign w:val="center"/>
          </w:tcPr>
          <w:p w14:paraId="19317F73" w14:textId="77777777" w:rsidR="00950FFE" w:rsidRPr="00143A86" w:rsidRDefault="00950FFE" w:rsidP="00C96E06">
            <w:pPr>
              <w:jc w:val="center"/>
              <w:rPr>
                <w:sz w:val="20"/>
                <w:szCs w:val="20"/>
              </w:rPr>
            </w:pPr>
            <w:r w:rsidRPr="00143A86">
              <w:rPr>
                <w:rFonts w:cs="Calibri"/>
                <w:sz w:val="20"/>
                <w:szCs w:val="20"/>
              </w:rPr>
              <w:t>77.7%</w:t>
            </w:r>
          </w:p>
        </w:tc>
        <w:tc>
          <w:tcPr>
            <w:tcW w:w="1394" w:type="dxa"/>
            <w:tcBorders>
              <w:bottom w:val="single" w:sz="4" w:space="0" w:color="auto"/>
            </w:tcBorders>
            <w:vAlign w:val="center"/>
          </w:tcPr>
          <w:p w14:paraId="1AF30E6F" w14:textId="77777777" w:rsidR="00950FFE" w:rsidRPr="00143A86" w:rsidRDefault="00950FFE" w:rsidP="00C96E06">
            <w:pPr>
              <w:jc w:val="center"/>
              <w:rPr>
                <w:sz w:val="20"/>
                <w:szCs w:val="20"/>
              </w:rPr>
            </w:pPr>
            <w:r w:rsidRPr="00143A86">
              <w:rPr>
                <w:rFonts w:cs="Calibri"/>
                <w:sz w:val="20"/>
                <w:szCs w:val="20"/>
              </w:rPr>
              <w:t>76.6%</w:t>
            </w:r>
          </w:p>
        </w:tc>
        <w:tc>
          <w:tcPr>
            <w:tcW w:w="1357" w:type="dxa"/>
            <w:vAlign w:val="center"/>
          </w:tcPr>
          <w:p w14:paraId="797D7FE1" w14:textId="77777777" w:rsidR="00950FFE" w:rsidRPr="00143A86" w:rsidRDefault="00950FFE" w:rsidP="00C96E06">
            <w:pPr>
              <w:jc w:val="center"/>
              <w:rPr>
                <w:sz w:val="20"/>
                <w:szCs w:val="20"/>
              </w:rPr>
            </w:pPr>
            <w:r w:rsidRPr="00143A86">
              <w:rPr>
                <w:rFonts w:cs="Calibri"/>
                <w:sz w:val="20"/>
                <w:szCs w:val="20"/>
              </w:rPr>
              <w:t>82.3%</w:t>
            </w:r>
          </w:p>
        </w:tc>
        <w:tc>
          <w:tcPr>
            <w:tcW w:w="843" w:type="dxa"/>
            <w:shd w:val="clear" w:color="auto" w:fill="A8D08D" w:themeFill="accent6" w:themeFillTint="99"/>
            <w:vAlign w:val="center"/>
          </w:tcPr>
          <w:p w14:paraId="5E9FC67C" w14:textId="1B90549F" w:rsidR="00950FFE" w:rsidRPr="00143A86" w:rsidRDefault="2B7F33FD" w:rsidP="2F20BADC">
            <w:pPr>
              <w:jc w:val="center"/>
              <w:rPr>
                <w:sz w:val="20"/>
                <w:szCs w:val="20"/>
              </w:rPr>
            </w:pPr>
            <w:r w:rsidRPr="00143A86">
              <w:rPr>
                <w:rFonts w:cs="Calibri"/>
                <w:sz w:val="20"/>
                <w:szCs w:val="20"/>
              </w:rPr>
              <w:t>74.2%</w:t>
            </w:r>
          </w:p>
        </w:tc>
      </w:tr>
      <w:tr w:rsidR="00950FFE" w14:paraId="3AFDF228" w14:textId="77777777" w:rsidTr="0939FE37">
        <w:tc>
          <w:tcPr>
            <w:tcW w:w="2968" w:type="dxa"/>
          </w:tcPr>
          <w:p w14:paraId="1BB934B0" w14:textId="77777777" w:rsidR="00950FFE" w:rsidRPr="0014150C" w:rsidRDefault="00950FFE">
            <w:pPr>
              <w:rPr>
                <w:sz w:val="18"/>
                <w:szCs w:val="18"/>
              </w:rPr>
            </w:pPr>
            <w:r w:rsidRPr="0014150C">
              <w:rPr>
                <w:sz w:val="18"/>
                <w:szCs w:val="18"/>
              </w:rPr>
              <w:t xml:space="preserve">Antidepressant Medication Management </w:t>
            </w:r>
            <w:r>
              <w:rPr>
                <w:sz w:val="18"/>
                <w:szCs w:val="18"/>
              </w:rPr>
              <w:t xml:space="preserve">(ages 18-64) </w:t>
            </w:r>
            <w:r w:rsidRPr="0014150C">
              <w:rPr>
                <w:sz w:val="18"/>
                <w:szCs w:val="18"/>
              </w:rPr>
              <w:t>(continuation)</w:t>
            </w:r>
          </w:p>
        </w:tc>
        <w:tc>
          <w:tcPr>
            <w:tcW w:w="1394" w:type="dxa"/>
            <w:tcBorders>
              <w:bottom w:val="single" w:sz="4" w:space="0" w:color="auto"/>
            </w:tcBorders>
            <w:vAlign w:val="center"/>
          </w:tcPr>
          <w:p w14:paraId="159FF920" w14:textId="339FBD57" w:rsidR="00950FFE" w:rsidRPr="00143A86" w:rsidRDefault="00950FFE" w:rsidP="00C96E06">
            <w:pPr>
              <w:jc w:val="center"/>
              <w:rPr>
                <w:rFonts w:cs="Calibri"/>
                <w:sz w:val="20"/>
                <w:szCs w:val="20"/>
              </w:rPr>
            </w:pPr>
            <w:r w:rsidRPr="00143A86">
              <w:rPr>
                <w:rFonts w:cs="Calibri"/>
                <w:sz w:val="20"/>
                <w:szCs w:val="20"/>
              </w:rPr>
              <w:t>40.7%</w:t>
            </w:r>
          </w:p>
        </w:tc>
        <w:tc>
          <w:tcPr>
            <w:tcW w:w="1394" w:type="dxa"/>
            <w:tcBorders>
              <w:bottom w:val="single" w:sz="4" w:space="0" w:color="auto"/>
            </w:tcBorders>
            <w:vAlign w:val="center"/>
          </w:tcPr>
          <w:p w14:paraId="6633D56D" w14:textId="52738BEF" w:rsidR="00950FFE" w:rsidRPr="00143A86" w:rsidRDefault="00950FFE" w:rsidP="00C96E06">
            <w:pPr>
              <w:jc w:val="center"/>
              <w:rPr>
                <w:rFonts w:cs="Calibri"/>
                <w:sz w:val="20"/>
                <w:szCs w:val="20"/>
              </w:rPr>
            </w:pPr>
            <w:r w:rsidRPr="00143A86">
              <w:rPr>
                <w:rFonts w:cs="Calibri"/>
                <w:sz w:val="20"/>
                <w:szCs w:val="20"/>
              </w:rPr>
              <w:t>46.1%</w:t>
            </w:r>
          </w:p>
        </w:tc>
        <w:tc>
          <w:tcPr>
            <w:tcW w:w="1394" w:type="dxa"/>
            <w:tcBorders>
              <w:bottom w:val="single" w:sz="4" w:space="0" w:color="auto"/>
            </w:tcBorders>
            <w:vAlign w:val="center"/>
          </w:tcPr>
          <w:p w14:paraId="39261908" w14:textId="067A2609" w:rsidR="00950FFE" w:rsidRPr="00143A86" w:rsidRDefault="00950FFE" w:rsidP="00C96E06">
            <w:pPr>
              <w:jc w:val="center"/>
              <w:rPr>
                <w:rFonts w:cs="Calibri"/>
                <w:sz w:val="20"/>
                <w:szCs w:val="20"/>
              </w:rPr>
            </w:pPr>
            <w:r w:rsidRPr="00143A86">
              <w:rPr>
                <w:rFonts w:cs="Calibri"/>
                <w:sz w:val="20"/>
                <w:szCs w:val="20"/>
              </w:rPr>
              <w:t>47.7%</w:t>
            </w:r>
          </w:p>
        </w:tc>
        <w:tc>
          <w:tcPr>
            <w:tcW w:w="1357" w:type="dxa"/>
            <w:vAlign w:val="center"/>
          </w:tcPr>
          <w:p w14:paraId="291488F6" w14:textId="4074BD7C" w:rsidR="00950FFE" w:rsidRPr="00143A86" w:rsidRDefault="00950FFE" w:rsidP="00C96E06">
            <w:pPr>
              <w:jc w:val="center"/>
              <w:rPr>
                <w:rFonts w:cs="Calibri"/>
                <w:sz w:val="20"/>
                <w:szCs w:val="20"/>
              </w:rPr>
            </w:pPr>
            <w:r w:rsidRPr="00143A86">
              <w:rPr>
                <w:rFonts w:cs="Calibri"/>
                <w:sz w:val="20"/>
                <w:szCs w:val="20"/>
              </w:rPr>
              <w:t>48.5%</w:t>
            </w:r>
          </w:p>
        </w:tc>
        <w:tc>
          <w:tcPr>
            <w:tcW w:w="843" w:type="dxa"/>
            <w:shd w:val="clear" w:color="auto" w:fill="A8D08D" w:themeFill="accent6" w:themeFillTint="99"/>
            <w:vAlign w:val="center"/>
          </w:tcPr>
          <w:p w14:paraId="13D70595" w14:textId="436C6935" w:rsidR="00950FFE" w:rsidRPr="00143A86" w:rsidRDefault="276824F7" w:rsidP="73EC07CC">
            <w:pPr>
              <w:jc w:val="center"/>
              <w:rPr>
                <w:sz w:val="20"/>
                <w:szCs w:val="20"/>
              </w:rPr>
            </w:pPr>
            <w:r w:rsidRPr="00143A86">
              <w:rPr>
                <w:rFonts w:cs="Calibri"/>
                <w:sz w:val="20"/>
                <w:szCs w:val="20"/>
              </w:rPr>
              <w:t>41.7%</w:t>
            </w:r>
          </w:p>
        </w:tc>
      </w:tr>
      <w:tr w:rsidR="00950FFE" w14:paraId="3D13DEF7" w14:textId="77777777" w:rsidTr="0939FE37">
        <w:tc>
          <w:tcPr>
            <w:tcW w:w="2968" w:type="dxa"/>
          </w:tcPr>
          <w:p w14:paraId="3B3FB7E2" w14:textId="77777777" w:rsidR="00950FFE" w:rsidRPr="0014150C" w:rsidRDefault="00950FFE">
            <w:pPr>
              <w:rPr>
                <w:sz w:val="18"/>
                <w:szCs w:val="18"/>
              </w:rPr>
            </w:pPr>
            <w:r w:rsidRPr="0014150C">
              <w:rPr>
                <w:sz w:val="18"/>
                <w:szCs w:val="18"/>
              </w:rPr>
              <w:t xml:space="preserve">Antidepressant Medication Management </w:t>
            </w:r>
            <w:r>
              <w:rPr>
                <w:sz w:val="18"/>
                <w:szCs w:val="18"/>
              </w:rPr>
              <w:t xml:space="preserve">(ages 65+) </w:t>
            </w:r>
            <w:r w:rsidRPr="0014150C">
              <w:rPr>
                <w:sz w:val="18"/>
                <w:szCs w:val="18"/>
              </w:rPr>
              <w:t>(continuation)</w:t>
            </w:r>
          </w:p>
        </w:tc>
        <w:tc>
          <w:tcPr>
            <w:tcW w:w="1394" w:type="dxa"/>
            <w:tcBorders>
              <w:top w:val="single" w:sz="4" w:space="0" w:color="auto"/>
              <w:left w:val="nil"/>
              <w:bottom w:val="single" w:sz="4" w:space="0" w:color="auto"/>
              <w:right w:val="single" w:sz="4" w:space="0" w:color="auto"/>
            </w:tcBorders>
            <w:vAlign w:val="center"/>
          </w:tcPr>
          <w:p w14:paraId="167E1A4B" w14:textId="77777777" w:rsidR="00950FFE" w:rsidRPr="00143A86" w:rsidRDefault="00950FFE" w:rsidP="00C96E06">
            <w:pPr>
              <w:jc w:val="center"/>
              <w:rPr>
                <w:sz w:val="20"/>
                <w:szCs w:val="20"/>
              </w:rPr>
            </w:pPr>
            <w:r w:rsidRPr="00143A86">
              <w:rPr>
                <w:rFonts w:cs="Calibri"/>
                <w:sz w:val="20"/>
                <w:szCs w:val="20"/>
              </w:rPr>
              <w:t>65.1%</w:t>
            </w:r>
          </w:p>
        </w:tc>
        <w:tc>
          <w:tcPr>
            <w:tcW w:w="1394" w:type="dxa"/>
            <w:tcBorders>
              <w:top w:val="single" w:sz="4" w:space="0" w:color="auto"/>
              <w:left w:val="single" w:sz="4" w:space="0" w:color="auto"/>
              <w:bottom w:val="single" w:sz="4" w:space="0" w:color="auto"/>
              <w:right w:val="single" w:sz="4" w:space="0" w:color="auto"/>
            </w:tcBorders>
            <w:vAlign w:val="center"/>
          </w:tcPr>
          <w:p w14:paraId="7EC363C4" w14:textId="77777777" w:rsidR="00950FFE" w:rsidRPr="00143A86" w:rsidRDefault="00950FFE" w:rsidP="00C96E06">
            <w:pPr>
              <w:jc w:val="center"/>
              <w:rPr>
                <w:sz w:val="20"/>
                <w:szCs w:val="20"/>
              </w:rPr>
            </w:pPr>
            <w:r w:rsidRPr="00143A86">
              <w:rPr>
                <w:rFonts w:cs="Calibri"/>
                <w:sz w:val="20"/>
                <w:szCs w:val="20"/>
              </w:rPr>
              <w:t>67.6%</w:t>
            </w:r>
          </w:p>
        </w:tc>
        <w:tc>
          <w:tcPr>
            <w:tcW w:w="1394" w:type="dxa"/>
            <w:tcBorders>
              <w:top w:val="single" w:sz="4" w:space="0" w:color="auto"/>
              <w:left w:val="single" w:sz="4" w:space="0" w:color="auto"/>
              <w:bottom w:val="single" w:sz="4" w:space="0" w:color="auto"/>
              <w:right w:val="nil"/>
            </w:tcBorders>
            <w:vAlign w:val="center"/>
          </w:tcPr>
          <w:p w14:paraId="28D76312" w14:textId="77777777" w:rsidR="00950FFE" w:rsidRPr="00143A86" w:rsidRDefault="00950FFE" w:rsidP="00C96E06">
            <w:pPr>
              <w:jc w:val="center"/>
              <w:rPr>
                <w:sz w:val="20"/>
                <w:szCs w:val="20"/>
              </w:rPr>
            </w:pPr>
            <w:r w:rsidRPr="00143A86">
              <w:rPr>
                <w:rFonts w:cs="Calibri"/>
                <w:sz w:val="20"/>
                <w:szCs w:val="20"/>
              </w:rPr>
              <w:t>75.6%</w:t>
            </w:r>
          </w:p>
        </w:tc>
        <w:tc>
          <w:tcPr>
            <w:tcW w:w="1357" w:type="dxa"/>
            <w:shd w:val="clear" w:color="auto" w:fill="A8D08D" w:themeFill="accent6" w:themeFillTint="99"/>
            <w:vAlign w:val="center"/>
          </w:tcPr>
          <w:p w14:paraId="2DC6140E" w14:textId="75D482C6" w:rsidR="00950FFE" w:rsidRPr="00143A86" w:rsidRDefault="00950FFE" w:rsidP="00C96E06">
            <w:pPr>
              <w:jc w:val="center"/>
              <w:rPr>
                <w:rFonts w:cs="Calibri"/>
                <w:sz w:val="20"/>
                <w:szCs w:val="20"/>
              </w:rPr>
            </w:pPr>
            <w:r w:rsidRPr="00143A86">
              <w:rPr>
                <w:rFonts w:cs="Calibri"/>
                <w:sz w:val="20"/>
                <w:szCs w:val="20"/>
              </w:rPr>
              <w:t>71.2%</w:t>
            </w:r>
          </w:p>
        </w:tc>
        <w:tc>
          <w:tcPr>
            <w:tcW w:w="843" w:type="dxa"/>
            <w:vAlign w:val="center"/>
          </w:tcPr>
          <w:p w14:paraId="22FC1DE7" w14:textId="4383970A" w:rsidR="00950FFE" w:rsidRPr="00143A86" w:rsidRDefault="096AEA8D" w:rsidP="768AE41F">
            <w:pPr>
              <w:jc w:val="center"/>
              <w:rPr>
                <w:rFonts w:cs="Calibri"/>
                <w:color w:val="000000" w:themeColor="text1"/>
                <w:sz w:val="20"/>
                <w:szCs w:val="20"/>
              </w:rPr>
            </w:pPr>
            <w:r w:rsidRPr="00143A86">
              <w:rPr>
                <w:rFonts w:cs="Calibri"/>
                <w:color w:val="000000" w:themeColor="text1"/>
                <w:sz w:val="20"/>
                <w:szCs w:val="20"/>
              </w:rPr>
              <w:t>N/A</w:t>
            </w:r>
            <w:r w:rsidR="00D70EB5">
              <w:rPr>
                <w:rFonts w:cs="Calibri"/>
                <w:color w:val="000000" w:themeColor="text1"/>
                <w:sz w:val="20"/>
                <w:szCs w:val="20"/>
              </w:rPr>
              <w:fldChar w:fldCharType="begin"/>
            </w:r>
            <w:r w:rsidR="00D70EB5">
              <w:rPr>
                <w:rFonts w:cs="Calibri"/>
                <w:color w:val="000000" w:themeColor="text1"/>
                <w:sz w:val="20"/>
                <w:szCs w:val="20"/>
              </w:rPr>
              <w:instrText xml:space="preserve"> NOTEREF _Ref190162024 \h </w:instrText>
            </w:r>
            <w:r w:rsidR="00D70EB5">
              <w:rPr>
                <w:rFonts w:cs="Calibri"/>
                <w:color w:val="000000" w:themeColor="text1"/>
                <w:sz w:val="20"/>
                <w:szCs w:val="20"/>
              </w:rPr>
            </w:r>
            <w:r w:rsidR="00D70EB5">
              <w:rPr>
                <w:rFonts w:cs="Calibri"/>
                <w:color w:val="000000" w:themeColor="text1"/>
                <w:sz w:val="20"/>
                <w:szCs w:val="20"/>
              </w:rPr>
              <w:fldChar w:fldCharType="separate"/>
            </w:r>
            <w:r w:rsidR="000C7657">
              <w:rPr>
                <w:rFonts w:cs="Calibri"/>
                <w:color w:val="000000" w:themeColor="text1"/>
                <w:sz w:val="20"/>
                <w:szCs w:val="20"/>
              </w:rPr>
              <w:t>***</w:t>
            </w:r>
            <w:r w:rsidR="00D70EB5">
              <w:rPr>
                <w:rFonts w:cs="Calibri"/>
                <w:color w:val="000000" w:themeColor="text1"/>
                <w:sz w:val="20"/>
                <w:szCs w:val="20"/>
              </w:rPr>
              <w:fldChar w:fldCharType="end"/>
            </w:r>
          </w:p>
        </w:tc>
      </w:tr>
    </w:tbl>
    <w:p w14:paraId="3A9E24B8" w14:textId="4CB463E7" w:rsidR="00413AC8" w:rsidRDefault="00413AC8">
      <w:r w:rsidRPr="008330C3">
        <w:rPr>
          <w:b/>
          <w:bCs/>
        </w:rPr>
        <w:t>Objective 3:</w:t>
      </w:r>
      <w:r>
        <w:t xml:space="preserve"> </w:t>
      </w:r>
      <w:r w:rsidRPr="0014150C">
        <w:t xml:space="preserve">Strengthen access, </w:t>
      </w:r>
      <w:proofErr w:type="gramStart"/>
      <w:r w:rsidRPr="0014150C">
        <w:t>accommodations</w:t>
      </w:r>
      <w:proofErr w:type="gramEnd"/>
      <w:r w:rsidRPr="0014150C">
        <w:t>, and experience for members with disabilities, including enhanced identification and screening, and improvements to coordinated care </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770F26" w14:paraId="4CC8C0D3" w14:textId="77777777">
        <w:tc>
          <w:tcPr>
            <w:tcW w:w="1558" w:type="dxa"/>
          </w:tcPr>
          <w:p w14:paraId="6976D3FC" w14:textId="77777777" w:rsidR="00770F26" w:rsidRDefault="00770F26" w:rsidP="0044153C">
            <w:pPr>
              <w:jc w:val="center"/>
            </w:pPr>
            <w:r>
              <w:t>Measure</w:t>
            </w:r>
          </w:p>
        </w:tc>
        <w:tc>
          <w:tcPr>
            <w:tcW w:w="1558" w:type="dxa"/>
          </w:tcPr>
          <w:p w14:paraId="0EAF5865" w14:textId="77777777" w:rsidR="00770F26" w:rsidRDefault="00770F26" w:rsidP="0044153C">
            <w:pPr>
              <w:jc w:val="center"/>
            </w:pPr>
            <w:r>
              <w:t>MassHealth MY2020 Rate (Baseline)</w:t>
            </w:r>
          </w:p>
        </w:tc>
        <w:tc>
          <w:tcPr>
            <w:tcW w:w="1558" w:type="dxa"/>
          </w:tcPr>
          <w:p w14:paraId="77DED91B" w14:textId="77777777" w:rsidR="00770F26" w:rsidRDefault="00770F26" w:rsidP="0044153C">
            <w:pPr>
              <w:jc w:val="center"/>
            </w:pPr>
            <w:r>
              <w:t>MassHealth MY2021 Rate</w:t>
            </w:r>
          </w:p>
        </w:tc>
        <w:tc>
          <w:tcPr>
            <w:tcW w:w="1558" w:type="dxa"/>
          </w:tcPr>
          <w:p w14:paraId="3B3BC669" w14:textId="77777777" w:rsidR="00770F26" w:rsidRDefault="00770F26" w:rsidP="0044153C">
            <w:pPr>
              <w:jc w:val="center"/>
            </w:pPr>
            <w:r>
              <w:t>MassHealth MY2022 Rate</w:t>
            </w:r>
          </w:p>
        </w:tc>
        <w:tc>
          <w:tcPr>
            <w:tcW w:w="1559" w:type="dxa"/>
          </w:tcPr>
          <w:p w14:paraId="7F378FAB" w14:textId="77777777" w:rsidR="00770F26" w:rsidRDefault="00770F26" w:rsidP="0044153C">
            <w:pPr>
              <w:jc w:val="center"/>
            </w:pPr>
            <w:r>
              <w:t>National Benchmark MY2022 75th</w:t>
            </w:r>
          </w:p>
        </w:tc>
        <w:tc>
          <w:tcPr>
            <w:tcW w:w="1559" w:type="dxa"/>
          </w:tcPr>
          <w:p w14:paraId="118F980C" w14:textId="77777777" w:rsidR="00770F26" w:rsidRDefault="00770F26" w:rsidP="0044153C">
            <w:pPr>
              <w:jc w:val="center"/>
            </w:pPr>
            <w:r>
              <w:t>Gap to Goal</w:t>
            </w:r>
          </w:p>
        </w:tc>
      </w:tr>
      <w:tr w:rsidR="00770F26" w14:paraId="777B5ABB" w14:textId="77777777" w:rsidTr="768AE41F">
        <w:tc>
          <w:tcPr>
            <w:tcW w:w="1558" w:type="dxa"/>
          </w:tcPr>
          <w:p w14:paraId="4C9A4EE5" w14:textId="605D35C1" w:rsidR="00770F26" w:rsidRPr="00D54FD2" w:rsidRDefault="00770F26">
            <w:pPr>
              <w:rPr>
                <w:sz w:val="18"/>
                <w:szCs w:val="18"/>
              </w:rPr>
            </w:pPr>
            <w:r w:rsidRPr="688EF34F">
              <w:rPr>
                <w:sz w:val="18"/>
                <w:szCs w:val="18"/>
              </w:rPr>
              <w:t>Behavioral</w:t>
            </w:r>
            <w:r w:rsidRPr="00D54FD2">
              <w:rPr>
                <w:sz w:val="18"/>
                <w:szCs w:val="18"/>
              </w:rPr>
              <w:t xml:space="preserve"> Health Community Partner Engagement</w:t>
            </w:r>
          </w:p>
        </w:tc>
        <w:tc>
          <w:tcPr>
            <w:tcW w:w="1558" w:type="dxa"/>
            <w:vAlign w:val="center"/>
          </w:tcPr>
          <w:p w14:paraId="56D184C7" w14:textId="00685753" w:rsidR="00770F26" w:rsidRPr="00143A86" w:rsidRDefault="00C27AAA" w:rsidP="00C96E06">
            <w:pPr>
              <w:jc w:val="center"/>
              <w:rPr>
                <w:sz w:val="20"/>
                <w:szCs w:val="20"/>
              </w:rPr>
            </w:pPr>
            <w:r w:rsidRPr="00143A86">
              <w:rPr>
                <w:sz w:val="20"/>
                <w:szCs w:val="20"/>
              </w:rPr>
              <w:t>10.5%</w:t>
            </w:r>
          </w:p>
        </w:tc>
        <w:tc>
          <w:tcPr>
            <w:tcW w:w="1558" w:type="dxa"/>
            <w:vAlign w:val="center"/>
          </w:tcPr>
          <w:p w14:paraId="3EDF9B1D" w14:textId="25CE19F0" w:rsidR="00770F26" w:rsidRPr="00143A86" w:rsidRDefault="00182C44" w:rsidP="00C96E06">
            <w:pPr>
              <w:jc w:val="center"/>
              <w:rPr>
                <w:sz w:val="20"/>
                <w:szCs w:val="20"/>
              </w:rPr>
            </w:pPr>
            <w:r w:rsidRPr="00143A86">
              <w:rPr>
                <w:sz w:val="20"/>
                <w:szCs w:val="20"/>
              </w:rPr>
              <w:t>11.8%</w:t>
            </w:r>
          </w:p>
        </w:tc>
        <w:tc>
          <w:tcPr>
            <w:tcW w:w="1558" w:type="dxa"/>
            <w:vAlign w:val="center"/>
          </w:tcPr>
          <w:p w14:paraId="234E72B1" w14:textId="0B5B449F" w:rsidR="00770F26" w:rsidRPr="00143A86" w:rsidRDefault="005340FE" w:rsidP="00C96E06">
            <w:pPr>
              <w:jc w:val="center"/>
              <w:rPr>
                <w:sz w:val="20"/>
                <w:szCs w:val="20"/>
              </w:rPr>
            </w:pPr>
            <w:r w:rsidRPr="00143A86">
              <w:rPr>
                <w:sz w:val="20"/>
                <w:szCs w:val="20"/>
              </w:rPr>
              <w:t>10.6%</w:t>
            </w:r>
          </w:p>
        </w:tc>
        <w:tc>
          <w:tcPr>
            <w:tcW w:w="1559" w:type="dxa"/>
            <w:vAlign w:val="center"/>
          </w:tcPr>
          <w:p w14:paraId="1392AAE6" w14:textId="5FA036ED" w:rsidR="00770F26" w:rsidRPr="00143A86" w:rsidRDefault="001A0551" w:rsidP="00C96E06">
            <w:pPr>
              <w:jc w:val="center"/>
              <w:rPr>
                <w:sz w:val="20"/>
                <w:szCs w:val="20"/>
              </w:rPr>
            </w:pPr>
            <w:r w:rsidRPr="00143A86">
              <w:rPr>
                <w:sz w:val="20"/>
                <w:szCs w:val="20"/>
              </w:rPr>
              <w:t>12.2%</w:t>
            </w:r>
            <w:r w:rsidR="00FC655B">
              <w:rPr>
                <w:sz w:val="20"/>
                <w:szCs w:val="20"/>
              </w:rPr>
              <w:fldChar w:fldCharType="begin"/>
            </w:r>
            <w:r w:rsidR="00FC655B">
              <w:rPr>
                <w:sz w:val="20"/>
                <w:szCs w:val="20"/>
              </w:rPr>
              <w:instrText xml:space="preserve"> NOTEREF _Ref190162419 \h </w:instrText>
            </w:r>
            <w:r w:rsidR="00FC655B">
              <w:rPr>
                <w:sz w:val="20"/>
                <w:szCs w:val="20"/>
              </w:rPr>
            </w:r>
            <w:r w:rsidR="00FC655B">
              <w:rPr>
                <w:sz w:val="20"/>
                <w:szCs w:val="20"/>
              </w:rPr>
              <w:fldChar w:fldCharType="separate"/>
            </w:r>
            <w:r w:rsidR="000C7657">
              <w:rPr>
                <w:sz w:val="20"/>
                <w:szCs w:val="20"/>
              </w:rPr>
              <w:t>†††</w:t>
            </w:r>
            <w:r w:rsidR="00FC655B">
              <w:rPr>
                <w:sz w:val="20"/>
                <w:szCs w:val="20"/>
              </w:rPr>
              <w:fldChar w:fldCharType="end"/>
            </w:r>
          </w:p>
        </w:tc>
        <w:tc>
          <w:tcPr>
            <w:tcW w:w="1559" w:type="dxa"/>
            <w:vAlign w:val="center"/>
          </w:tcPr>
          <w:p w14:paraId="7CB2EEAD" w14:textId="759973AC" w:rsidR="00770F26" w:rsidRPr="00143A86" w:rsidRDefault="17B31FC7" w:rsidP="768AE41F">
            <w:pPr>
              <w:jc w:val="center"/>
              <w:rPr>
                <w:sz w:val="20"/>
                <w:szCs w:val="20"/>
              </w:rPr>
            </w:pPr>
            <w:r w:rsidRPr="00143A86">
              <w:rPr>
                <w:sz w:val="20"/>
                <w:szCs w:val="20"/>
              </w:rPr>
              <w:t>11.5%</w:t>
            </w:r>
          </w:p>
        </w:tc>
      </w:tr>
      <w:tr w:rsidR="00770F26" w14:paraId="12BA98EB" w14:textId="77777777" w:rsidTr="768AE41F">
        <w:tc>
          <w:tcPr>
            <w:tcW w:w="1558" w:type="dxa"/>
          </w:tcPr>
          <w:p w14:paraId="5254A9C0" w14:textId="77777777" w:rsidR="00770F26" w:rsidRPr="00D54FD2" w:rsidRDefault="00770F26">
            <w:pPr>
              <w:rPr>
                <w:sz w:val="18"/>
                <w:szCs w:val="18"/>
              </w:rPr>
            </w:pPr>
            <w:r w:rsidRPr="00D54FD2">
              <w:rPr>
                <w:sz w:val="18"/>
                <w:szCs w:val="18"/>
              </w:rPr>
              <w:lastRenderedPageBreak/>
              <w:t>LTSS Community Partner Engagement</w:t>
            </w:r>
          </w:p>
        </w:tc>
        <w:tc>
          <w:tcPr>
            <w:tcW w:w="1558" w:type="dxa"/>
            <w:vAlign w:val="center"/>
          </w:tcPr>
          <w:p w14:paraId="1501014C" w14:textId="0D701DB5" w:rsidR="00770F26" w:rsidRPr="00143A86" w:rsidRDefault="00B41B84" w:rsidP="00C96E06">
            <w:pPr>
              <w:jc w:val="center"/>
              <w:rPr>
                <w:sz w:val="20"/>
                <w:szCs w:val="20"/>
              </w:rPr>
            </w:pPr>
            <w:r w:rsidRPr="00143A86">
              <w:rPr>
                <w:sz w:val="20"/>
                <w:szCs w:val="20"/>
              </w:rPr>
              <w:t>4.9%</w:t>
            </w:r>
          </w:p>
        </w:tc>
        <w:tc>
          <w:tcPr>
            <w:tcW w:w="1558" w:type="dxa"/>
            <w:vAlign w:val="center"/>
          </w:tcPr>
          <w:p w14:paraId="629B6C37" w14:textId="1D2B4A66" w:rsidR="00770F26" w:rsidRPr="00143A86" w:rsidRDefault="006A3DFB" w:rsidP="00C96E06">
            <w:pPr>
              <w:jc w:val="center"/>
              <w:rPr>
                <w:sz w:val="20"/>
                <w:szCs w:val="20"/>
              </w:rPr>
            </w:pPr>
            <w:r w:rsidRPr="00143A86">
              <w:rPr>
                <w:sz w:val="20"/>
                <w:szCs w:val="20"/>
              </w:rPr>
              <w:t>8.</w:t>
            </w:r>
            <w:r w:rsidR="00313CCA" w:rsidRPr="00143A86">
              <w:rPr>
                <w:sz w:val="20"/>
                <w:szCs w:val="20"/>
              </w:rPr>
              <w:t>1</w:t>
            </w:r>
            <w:r w:rsidRPr="00143A86">
              <w:rPr>
                <w:sz w:val="20"/>
                <w:szCs w:val="20"/>
              </w:rPr>
              <w:t>%</w:t>
            </w:r>
          </w:p>
        </w:tc>
        <w:tc>
          <w:tcPr>
            <w:tcW w:w="1558" w:type="dxa"/>
            <w:vAlign w:val="center"/>
          </w:tcPr>
          <w:p w14:paraId="7F936F3D" w14:textId="415128A4" w:rsidR="00770F26" w:rsidRPr="00143A86" w:rsidRDefault="00EC254A" w:rsidP="00C96E06">
            <w:pPr>
              <w:jc w:val="center"/>
              <w:rPr>
                <w:sz w:val="20"/>
                <w:szCs w:val="20"/>
              </w:rPr>
            </w:pPr>
            <w:r w:rsidRPr="00143A86">
              <w:rPr>
                <w:sz w:val="20"/>
                <w:szCs w:val="20"/>
              </w:rPr>
              <w:t>7.5%</w:t>
            </w:r>
          </w:p>
        </w:tc>
        <w:tc>
          <w:tcPr>
            <w:tcW w:w="1559" w:type="dxa"/>
            <w:vAlign w:val="center"/>
          </w:tcPr>
          <w:p w14:paraId="561F81A0" w14:textId="5021F8E5" w:rsidR="00770F26" w:rsidRPr="00143A86" w:rsidRDefault="003D02EF" w:rsidP="00C96E06">
            <w:pPr>
              <w:jc w:val="center"/>
              <w:rPr>
                <w:sz w:val="20"/>
                <w:szCs w:val="20"/>
              </w:rPr>
            </w:pPr>
            <w:r w:rsidRPr="00143A86">
              <w:rPr>
                <w:sz w:val="20"/>
                <w:szCs w:val="20"/>
              </w:rPr>
              <w:t>9.2%</w:t>
            </w:r>
            <w:r w:rsidR="00BF72D4">
              <w:rPr>
                <w:sz w:val="20"/>
                <w:szCs w:val="20"/>
              </w:rPr>
              <w:fldChar w:fldCharType="begin"/>
            </w:r>
            <w:r w:rsidR="00BF72D4">
              <w:rPr>
                <w:sz w:val="20"/>
                <w:szCs w:val="20"/>
              </w:rPr>
              <w:instrText xml:space="preserve"> NOTEREF _Ref190162419 \h </w:instrText>
            </w:r>
            <w:r w:rsidR="00BF72D4">
              <w:rPr>
                <w:sz w:val="20"/>
                <w:szCs w:val="20"/>
              </w:rPr>
            </w:r>
            <w:r w:rsidR="00BF72D4">
              <w:rPr>
                <w:sz w:val="20"/>
                <w:szCs w:val="20"/>
              </w:rPr>
              <w:fldChar w:fldCharType="separate"/>
            </w:r>
            <w:r w:rsidR="000C7657">
              <w:rPr>
                <w:sz w:val="20"/>
                <w:szCs w:val="20"/>
              </w:rPr>
              <w:t>†††</w:t>
            </w:r>
            <w:r w:rsidR="00BF72D4">
              <w:rPr>
                <w:sz w:val="20"/>
                <w:szCs w:val="20"/>
              </w:rPr>
              <w:fldChar w:fldCharType="end"/>
            </w:r>
          </w:p>
        </w:tc>
        <w:tc>
          <w:tcPr>
            <w:tcW w:w="1559" w:type="dxa"/>
            <w:shd w:val="clear" w:color="auto" w:fill="A8D08D" w:themeFill="accent6" w:themeFillTint="99"/>
            <w:vAlign w:val="center"/>
          </w:tcPr>
          <w:p w14:paraId="11BCCABE" w14:textId="62CF753C" w:rsidR="00770F26" w:rsidRPr="00143A86" w:rsidRDefault="705C209E" w:rsidP="768AE41F">
            <w:pPr>
              <w:jc w:val="center"/>
              <w:rPr>
                <w:sz w:val="20"/>
                <w:szCs w:val="20"/>
              </w:rPr>
            </w:pPr>
            <w:r w:rsidRPr="00143A86">
              <w:rPr>
                <w:rFonts w:cs="Calibri"/>
                <w:sz w:val="20"/>
                <w:szCs w:val="20"/>
              </w:rPr>
              <w:t>5.9%</w:t>
            </w:r>
          </w:p>
        </w:tc>
      </w:tr>
      <w:tr w:rsidR="00770F26" w14:paraId="7A06926B" w14:textId="77777777" w:rsidTr="768AE41F">
        <w:tc>
          <w:tcPr>
            <w:tcW w:w="1558" w:type="dxa"/>
          </w:tcPr>
          <w:p w14:paraId="1B892433" w14:textId="66EB496E" w:rsidR="00770F26" w:rsidRPr="00D54FD2" w:rsidRDefault="00770F26">
            <w:pPr>
              <w:rPr>
                <w:sz w:val="18"/>
                <w:szCs w:val="18"/>
              </w:rPr>
            </w:pPr>
            <w:r w:rsidRPr="00D54FD2">
              <w:rPr>
                <w:sz w:val="18"/>
                <w:szCs w:val="18"/>
              </w:rPr>
              <w:t xml:space="preserve">Access to </w:t>
            </w:r>
            <w:r w:rsidR="5BE3951D" w:rsidRPr="6D2FE352">
              <w:rPr>
                <w:sz w:val="18"/>
                <w:szCs w:val="18"/>
              </w:rPr>
              <w:t>LTS</w:t>
            </w:r>
            <w:r w:rsidR="259F9BD5" w:rsidRPr="6D2FE352">
              <w:rPr>
                <w:sz w:val="18"/>
                <w:szCs w:val="18"/>
              </w:rPr>
              <w:t>S</w:t>
            </w:r>
            <w:r w:rsidRPr="00D54FD2">
              <w:rPr>
                <w:sz w:val="18"/>
                <w:szCs w:val="18"/>
              </w:rPr>
              <w:t xml:space="preserve"> Coordinator within 90 days of enrollment </w:t>
            </w:r>
          </w:p>
        </w:tc>
        <w:tc>
          <w:tcPr>
            <w:tcW w:w="1558" w:type="dxa"/>
            <w:vAlign w:val="center"/>
          </w:tcPr>
          <w:p w14:paraId="773E6E2C" w14:textId="08988717" w:rsidR="00770F26" w:rsidRPr="00143A86" w:rsidRDefault="0065313C" w:rsidP="00C96E06">
            <w:pPr>
              <w:jc w:val="center"/>
              <w:rPr>
                <w:sz w:val="20"/>
                <w:szCs w:val="20"/>
              </w:rPr>
            </w:pPr>
            <w:r w:rsidRPr="00143A86">
              <w:rPr>
                <w:sz w:val="20"/>
                <w:szCs w:val="20"/>
              </w:rPr>
              <w:t>99.6%</w:t>
            </w:r>
          </w:p>
        </w:tc>
        <w:tc>
          <w:tcPr>
            <w:tcW w:w="1558" w:type="dxa"/>
            <w:vAlign w:val="center"/>
          </w:tcPr>
          <w:p w14:paraId="31159049" w14:textId="719B506B" w:rsidR="00770F26" w:rsidRPr="00143A86" w:rsidRDefault="008316AE" w:rsidP="00C96E06">
            <w:pPr>
              <w:jc w:val="center"/>
              <w:rPr>
                <w:sz w:val="20"/>
                <w:szCs w:val="20"/>
              </w:rPr>
            </w:pPr>
            <w:r w:rsidRPr="00143A86">
              <w:rPr>
                <w:sz w:val="20"/>
                <w:szCs w:val="20"/>
              </w:rPr>
              <w:t>98.1%</w:t>
            </w:r>
          </w:p>
        </w:tc>
        <w:tc>
          <w:tcPr>
            <w:tcW w:w="1558" w:type="dxa"/>
            <w:vAlign w:val="center"/>
          </w:tcPr>
          <w:p w14:paraId="234D1591" w14:textId="7B918403" w:rsidR="00770F26" w:rsidRPr="00143A86" w:rsidRDefault="00150D6D" w:rsidP="00C96E06">
            <w:pPr>
              <w:jc w:val="center"/>
              <w:rPr>
                <w:sz w:val="20"/>
                <w:szCs w:val="20"/>
              </w:rPr>
            </w:pPr>
            <w:r w:rsidRPr="00143A86">
              <w:rPr>
                <w:sz w:val="20"/>
                <w:szCs w:val="20"/>
              </w:rPr>
              <w:t>68.9%</w:t>
            </w:r>
          </w:p>
        </w:tc>
        <w:tc>
          <w:tcPr>
            <w:tcW w:w="1559" w:type="dxa"/>
            <w:vAlign w:val="center"/>
          </w:tcPr>
          <w:p w14:paraId="5F41155E" w14:textId="017625AB" w:rsidR="00770F26" w:rsidRPr="00143A86" w:rsidRDefault="00150D6D" w:rsidP="00C96E06">
            <w:pPr>
              <w:jc w:val="center"/>
              <w:rPr>
                <w:sz w:val="20"/>
                <w:szCs w:val="20"/>
              </w:rPr>
            </w:pPr>
            <w:r w:rsidRPr="00143A86">
              <w:rPr>
                <w:sz w:val="20"/>
                <w:szCs w:val="20"/>
              </w:rPr>
              <w:t>95</w:t>
            </w:r>
            <w:r w:rsidR="3FC4057C" w:rsidRPr="00143A86">
              <w:rPr>
                <w:sz w:val="20"/>
                <w:szCs w:val="20"/>
              </w:rPr>
              <w:t>.0</w:t>
            </w:r>
            <w:r w:rsidRPr="00143A86">
              <w:rPr>
                <w:sz w:val="20"/>
                <w:szCs w:val="20"/>
              </w:rPr>
              <w:t>%</w:t>
            </w:r>
            <w:r w:rsidR="00BF72D4">
              <w:rPr>
                <w:sz w:val="20"/>
                <w:szCs w:val="20"/>
              </w:rPr>
              <w:fldChar w:fldCharType="begin"/>
            </w:r>
            <w:r w:rsidR="00BF72D4">
              <w:rPr>
                <w:sz w:val="20"/>
                <w:szCs w:val="20"/>
              </w:rPr>
              <w:instrText xml:space="preserve"> NOTEREF _Ref190162419 \h </w:instrText>
            </w:r>
            <w:r w:rsidR="00BF72D4">
              <w:rPr>
                <w:sz w:val="20"/>
                <w:szCs w:val="20"/>
              </w:rPr>
            </w:r>
            <w:r w:rsidR="00BF72D4">
              <w:rPr>
                <w:sz w:val="20"/>
                <w:szCs w:val="20"/>
              </w:rPr>
              <w:fldChar w:fldCharType="separate"/>
            </w:r>
            <w:r w:rsidR="000C7657">
              <w:rPr>
                <w:sz w:val="20"/>
                <w:szCs w:val="20"/>
              </w:rPr>
              <w:t>†††</w:t>
            </w:r>
            <w:r w:rsidR="00BF72D4">
              <w:rPr>
                <w:sz w:val="20"/>
                <w:szCs w:val="20"/>
              </w:rPr>
              <w:fldChar w:fldCharType="end"/>
            </w:r>
          </w:p>
        </w:tc>
        <w:tc>
          <w:tcPr>
            <w:tcW w:w="1559" w:type="dxa"/>
            <w:vAlign w:val="center"/>
          </w:tcPr>
          <w:p w14:paraId="5EDDB21B" w14:textId="24925AF2" w:rsidR="00770F26" w:rsidRPr="00143A86" w:rsidRDefault="006F7611" w:rsidP="768AE41F">
            <w:pPr>
              <w:jc w:val="center"/>
              <w:rPr>
                <w:sz w:val="20"/>
                <w:szCs w:val="20"/>
              </w:rPr>
            </w:pPr>
            <w:r w:rsidRPr="00143A86">
              <w:rPr>
                <w:rFonts w:cs="Calibri"/>
                <w:color w:val="000000" w:themeColor="text1"/>
                <w:sz w:val="20"/>
                <w:szCs w:val="20"/>
              </w:rPr>
              <w:t>N/A</w:t>
            </w:r>
            <w:r w:rsidR="00D70EB5">
              <w:rPr>
                <w:rFonts w:cs="Calibri"/>
                <w:color w:val="000000" w:themeColor="text1"/>
                <w:sz w:val="20"/>
                <w:szCs w:val="20"/>
              </w:rPr>
              <w:fldChar w:fldCharType="begin"/>
            </w:r>
            <w:r w:rsidR="00D70EB5">
              <w:rPr>
                <w:rFonts w:cs="Calibri"/>
                <w:color w:val="000000" w:themeColor="text1"/>
                <w:sz w:val="20"/>
                <w:szCs w:val="20"/>
              </w:rPr>
              <w:instrText xml:space="preserve"> NOTEREF _Ref190162024 \h </w:instrText>
            </w:r>
            <w:r w:rsidR="00D70EB5">
              <w:rPr>
                <w:rFonts w:cs="Calibri"/>
                <w:color w:val="000000" w:themeColor="text1"/>
                <w:sz w:val="20"/>
                <w:szCs w:val="20"/>
              </w:rPr>
            </w:r>
            <w:r w:rsidR="00D70EB5">
              <w:rPr>
                <w:rFonts w:cs="Calibri"/>
                <w:color w:val="000000" w:themeColor="text1"/>
                <w:sz w:val="20"/>
                <w:szCs w:val="20"/>
              </w:rPr>
              <w:fldChar w:fldCharType="separate"/>
            </w:r>
            <w:r w:rsidR="000C7657">
              <w:rPr>
                <w:rFonts w:cs="Calibri"/>
                <w:color w:val="000000" w:themeColor="text1"/>
                <w:sz w:val="20"/>
                <w:szCs w:val="20"/>
              </w:rPr>
              <w:t>***</w:t>
            </w:r>
            <w:r w:rsidR="00D70EB5">
              <w:rPr>
                <w:rFonts w:cs="Calibri"/>
                <w:color w:val="000000" w:themeColor="text1"/>
                <w:sz w:val="20"/>
                <w:szCs w:val="20"/>
              </w:rPr>
              <w:fldChar w:fldCharType="end"/>
            </w:r>
          </w:p>
        </w:tc>
      </w:tr>
      <w:tr w:rsidR="00770F26" w14:paraId="6FA05840" w14:textId="77777777" w:rsidTr="005A08A5">
        <w:tc>
          <w:tcPr>
            <w:tcW w:w="1558" w:type="dxa"/>
          </w:tcPr>
          <w:p w14:paraId="692C0030" w14:textId="39E65033" w:rsidR="00770F26" w:rsidRPr="00D54FD2" w:rsidRDefault="00770F26">
            <w:pPr>
              <w:rPr>
                <w:sz w:val="18"/>
                <w:szCs w:val="18"/>
              </w:rPr>
            </w:pPr>
            <w:r>
              <w:rPr>
                <w:sz w:val="18"/>
                <w:szCs w:val="18"/>
              </w:rPr>
              <w:t>MLTSS-7</w:t>
            </w:r>
          </w:p>
        </w:tc>
        <w:tc>
          <w:tcPr>
            <w:tcW w:w="1558" w:type="dxa"/>
          </w:tcPr>
          <w:p w14:paraId="5810323D" w14:textId="782F88E6" w:rsidR="00770F26" w:rsidRPr="00143A86" w:rsidRDefault="00560AD3" w:rsidP="00C96E06">
            <w:pPr>
              <w:jc w:val="center"/>
              <w:rPr>
                <w:sz w:val="20"/>
                <w:szCs w:val="20"/>
              </w:rPr>
            </w:pPr>
            <w:r w:rsidRPr="00143A86">
              <w:rPr>
                <w:sz w:val="20"/>
                <w:szCs w:val="20"/>
              </w:rPr>
              <w:t>1.71</w:t>
            </w:r>
          </w:p>
        </w:tc>
        <w:tc>
          <w:tcPr>
            <w:tcW w:w="1558" w:type="dxa"/>
          </w:tcPr>
          <w:p w14:paraId="00643138" w14:textId="3F303171" w:rsidR="00770F26" w:rsidRPr="00143A86" w:rsidRDefault="00560AD3" w:rsidP="00C96E06">
            <w:pPr>
              <w:jc w:val="center"/>
              <w:rPr>
                <w:sz w:val="20"/>
                <w:szCs w:val="20"/>
              </w:rPr>
            </w:pPr>
            <w:r w:rsidRPr="00143A86">
              <w:rPr>
                <w:sz w:val="20"/>
                <w:szCs w:val="20"/>
              </w:rPr>
              <w:t>1.84</w:t>
            </w:r>
          </w:p>
        </w:tc>
        <w:tc>
          <w:tcPr>
            <w:tcW w:w="1558" w:type="dxa"/>
          </w:tcPr>
          <w:p w14:paraId="1EC0E9C4" w14:textId="19564275" w:rsidR="00770F26" w:rsidRPr="00143A86" w:rsidRDefault="00C55974" w:rsidP="00C96E06">
            <w:pPr>
              <w:jc w:val="center"/>
              <w:rPr>
                <w:sz w:val="20"/>
                <w:szCs w:val="20"/>
              </w:rPr>
            </w:pPr>
            <w:r w:rsidRPr="00143A86">
              <w:rPr>
                <w:sz w:val="20"/>
                <w:szCs w:val="20"/>
              </w:rPr>
              <w:t>1.78</w:t>
            </w:r>
          </w:p>
        </w:tc>
        <w:tc>
          <w:tcPr>
            <w:tcW w:w="1559" w:type="dxa"/>
            <w:shd w:val="clear" w:color="auto" w:fill="A8D08D" w:themeFill="accent6" w:themeFillTint="99"/>
          </w:tcPr>
          <w:p w14:paraId="69D4D56D" w14:textId="2A72BCDC" w:rsidR="00770F26" w:rsidRPr="00143A86" w:rsidRDefault="00604C26" w:rsidP="00C96E06">
            <w:pPr>
              <w:jc w:val="center"/>
              <w:rPr>
                <w:sz w:val="20"/>
                <w:szCs w:val="20"/>
              </w:rPr>
            </w:pPr>
            <w:r w:rsidRPr="00143A86">
              <w:rPr>
                <w:sz w:val="20"/>
                <w:szCs w:val="20"/>
              </w:rPr>
              <w:t>1.0</w:t>
            </w:r>
            <w:r w:rsidR="00BF72D4">
              <w:rPr>
                <w:sz w:val="20"/>
                <w:szCs w:val="20"/>
              </w:rPr>
              <w:fldChar w:fldCharType="begin"/>
            </w:r>
            <w:r w:rsidR="00BF72D4">
              <w:rPr>
                <w:sz w:val="20"/>
                <w:szCs w:val="20"/>
              </w:rPr>
              <w:instrText xml:space="preserve"> NOTEREF _Ref190162419 \h </w:instrText>
            </w:r>
            <w:r w:rsidR="00BF72D4">
              <w:rPr>
                <w:sz w:val="20"/>
                <w:szCs w:val="20"/>
              </w:rPr>
            </w:r>
            <w:r w:rsidR="00BF72D4">
              <w:rPr>
                <w:sz w:val="20"/>
                <w:szCs w:val="20"/>
              </w:rPr>
              <w:fldChar w:fldCharType="separate"/>
            </w:r>
            <w:r w:rsidR="000C7657">
              <w:rPr>
                <w:sz w:val="20"/>
                <w:szCs w:val="20"/>
              </w:rPr>
              <w:t>†††</w:t>
            </w:r>
            <w:r w:rsidR="00BF72D4">
              <w:rPr>
                <w:sz w:val="20"/>
                <w:szCs w:val="20"/>
              </w:rPr>
              <w:fldChar w:fldCharType="end"/>
            </w:r>
          </w:p>
        </w:tc>
        <w:tc>
          <w:tcPr>
            <w:tcW w:w="1559" w:type="dxa"/>
          </w:tcPr>
          <w:p w14:paraId="250C9AEE" w14:textId="3457F985" w:rsidR="00770F26" w:rsidRPr="00143A86" w:rsidRDefault="78D252AC" w:rsidP="768AE41F">
            <w:pPr>
              <w:jc w:val="center"/>
              <w:rPr>
                <w:rFonts w:cs="Calibri"/>
                <w:color w:val="000000" w:themeColor="text1"/>
                <w:sz w:val="20"/>
                <w:szCs w:val="20"/>
              </w:rPr>
            </w:pPr>
            <w:r w:rsidRPr="00143A86">
              <w:rPr>
                <w:rFonts w:cs="Calibri"/>
                <w:color w:val="000000" w:themeColor="text1"/>
                <w:sz w:val="20"/>
                <w:szCs w:val="20"/>
              </w:rPr>
              <w:t>N/A</w:t>
            </w:r>
            <w:r w:rsidR="00E103D9">
              <w:rPr>
                <w:rFonts w:cs="Calibri"/>
                <w:color w:val="000000" w:themeColor="text1"/>
                <w:sz w:val="20"/>
                <w:szCs w:val="20"/>
              </w:rPr>
              <w:fldChar w:fldCharType="begin"/>
            </w:r>
            <w:r w:rsidR="00E103D9">
              <w:rPr>
                <w:rFonts w:cs="Calibri"/>
                <w:color w:val="000000" w:themeColor="text1"/>
                <w:sz w:val="20"/>
                <w:szCs w:val="20"/>
              </w:rPr>
              <w:instrText xml:space="preserve"> NOTEREF _Ref190162024 \h </w:instrText>
            </w:r>
            <w:r w:rsidR="00E103D9">
              <w:rPr>
                <w:rFonts w:cs="Calibri"/>
                <w:color w:val="000000" w:themeColor="text1"/>
                <w:sz w:val="20"/>
                <w:szCs w:val="20"/>
              </w:rPr>
            </w:r>
            <w:r w:rsidR="00E103D9">
              <w:rPr>
                <w:rFonts w:cs="Calibri"/>
                <w:color w:val="000000" w:themeColor="text1"/>
                <w:sz w:val="20"/>
                <w:szCs w:val="20"/>
              </w:rPr>
              <w:fldChar w:fldCharType="separate"/>
            </w:r>
            <w:r w:rsidR="00E103D9">
              <w:rPr>
                <w:rFonts w:cs="Calibri"/>
                <w:color w:val="000000" w:themeColor="text1"/>
                <w:sz w:val="20"/>
                <w:szCs w:val="20"/>
              </w:rPr>
              <w:t>***</w:t>
            </w:r>
            <w:r w:rsidR="00E103D9">
              <w:rPr>
                <w:rFonts w:cs="Calibri"/>
                <w:color w:val="000000" w:themeColor="text1"/>
                <w:sz w:val="20"/>
                <w:szCs w:val="20"/>
              </w:rPr>
              <w:fldChar w:fldCharType="end"/>
            </w:r>
          </w:p>
        </w:tc>
      </w:tr>
      <w:tr w:rsidR="00770F26" w14:paraId="40E13109" w14:textId="77777777" w:rsidTr="768AE41F">
        <w:tc>
          <w:tcPr>
            <w:tcW w:w="1558" w:type="dxa"/>
          </w:tcPr>
          <w:p w14:paraId="75668D80" w14:textId="13352667" w:rsidR="00770F26" w:rsidRDefault="00770F26">
            <w:pPr>
              <w:rPr>
                <w:sz w:val="18"/>
                <w:szCs w:val="18"/>
              </w:rPr>
            </w:pPr>
            <w:r>
              <w:rPr>
                <w:sz w:val="18"/>
                <w:szCs w:val="18"/>
              </w:rPr>
              <w:t>M</w:t>
            </w:r>
            <w:r w:rsidR="00E4674C">
              <w:rPr>
                <w:sz w:val="18"/>
                <w:szCs w:val="18"/>
              </w:rPr>
              <w:t>A-PDP CAHPS</w:t>
            </w:r>
            <w:r w:rsidR="0069066A">
              <w:rPr>
                <w:sz w:val="18"/>
                <w:szCs w:val="18"/>
              </w:rPr>
              <w:t xml:space="preserve"> Care Coordination</w:t>
            </w:r>
          </w:p>
        </w:tc>
        <w:tc>
          <w:tcPr>
            <w:tcW w:w="1558" w:type="dxa"/>
          </w:tcPr>
          <w:p w14:paraId="7A4F6A3F" w14:textId="6E030C06" w:rsidR="00770F26" w:rsidRPr="00143A86" w:rsidRDefault="00815EF1" w:rsidP="00C96E06">
            <w:pPr>
              <w:jc w:val="center"/>
              <w:rPr>
                <w:sz w:val="20"/>
                <w:szCs w:val="20"/>
              </w:rPr>
            </w:pPr>
            <w:r w:rsidRPr="00143A86">
              <w:rPr>
                <w:sz w:val="20"/>
                <w:szCs w:val="20"/>
              </w:rPr>
              <w:t>N/A</w:t>
            </w:r>
          </w:p>
        </w:tc>
        <w:tc>
          <w:tcPr>
            <w:tcW w:w="1558" w:type="dxa"/>
          </w:tcPr>
          <w:p w14:paraId="0EC2ABA6" w14:textId="7940415F" w:rsidR="00770F26" w:rsidRPr="00143A86" w:rsidRDefault="00D14F42" w:rsidP="00C96E06">
            <w:pPr>
              <w:jc w:val="center"/>
              <w:rPr>
                <w:sz w:val="20"/>
                <w:szCs w:val="20"/>
              </w:rPr>
            </w:pPr>
            <w:r w:rsidRPr="00143A86">
              <w:rPr>
                <w:sz w:val="20"/>
                <w:szCs w:val="20"/>
              </w:rPr>
              <w:t>83</w:t>
            </w:r>
            <w:r w:rsidR="07A8C78C" w:rsidRPr="00143A86">
              <w:rPr>
                <w:sz w:val="20"/>
                <w:szCs w:val="20"/>
              </w:rPr>
              <w:t>.0</w:t>
            </w:r>
            <w:r w:rsidRPr="00143A86">
              <w:rPr>
                <w:sz w:val="20"/>
                <w:szCs w:val="20"/>
              </w:rPr>
              <w:t>%</w:t>
            </w:r>
          </w:p>
          <w:p w14:paraId="53ABF1BD" w14:textId="0F957EAE" w:rsidR="00815EF1" w:rsidRPr="00143A86" w:rsidRDefault="00815EF1" w:rsidP="00C96E06">
            <w:pPr>
              <w:jc w:val="center"/>
              <w:rPr>
                <w:sz w:val="20"/>
                <w:szCs w:val="20"/>
              </w:rPr>
            </w:pPr>
            <w:r w:rsidRPr="00143A86">
              <w:rPr>
                <w:sz w:val="20"/>
                <w:szCs w:val="20"/>
              </w:rPr>
              <w:t>(Baseline)</w:t>
            </w:r>
          </w:p>
        </w:tc>
        <w:tc>
          <w:tcPr>
            <w:tcW w:w="1558" w:type="dxa"/>
          </w:tcPr>
          <w:p w14:paraId="0665CD6F" w14:textId="420F7F74" w:rsidR="00770F26" w:rsidRPr="00143A86" w:rsidRDefault="005B2288" w:rsidP="00C96E06">
            <w:pPr>
              <w:jc w:val="center"/>
              <w:rPr>
                <w:sz w:val="20"/>
                <w:szCs w:val="20"/>
              </w:rPr>
            </w:pPr>
            <w:r w:rsidRPr="00143A86">
              <w:rPr>
                <w:sz w:val="20"/>
                <w:szCs w:val="20"/>
              </w:rPr>
              <w:t>84</w:t>
            </w:r>
            <w:r w:rsidR="4F97DE04" w:rsidRPr="00143A86">
              <w:rPr>
                <w:sz w:val="20"/>
                <w:szCs w:val="20"/>
              </w:rPr>
              <w:t>.0</w:t>
            </w:r>
            <w:r w:rsidRPr="00143A86">
              <w:rPr>
                <w:sz w:val="20"/>
                <w:szCs w:val="20"/>
              </w:rPr>
              <w:t>%</w:t>
            </w:r>
          </w:p>
        </w:tc>
        <w:tc>
          <w:tcPr>
            <w:tcW w:w="1559" w:type="dxa"/>
          </w:tcPr>
          <w:p w14:paraId="0A86D2C6" w14:textId="35BAA0A4" w:rsidR="00770F26" w:rsidRPr="00143A86" w:rsidRDefault="00104EB9" w:rsidP="00C96E06">
            <w:pPr>
              <w:jc w:val="center"/>
              <w:rPr>
                <w:sz w:val="20"/>
                <w:szCs w:val="20"/>
              </w:rPr>
            </w:pPr>
            <w:r w:rsidRPr="00143A86">
              <w:rPr>
                <w:sz w:val="20"/>
                <w:szCs w:val="20"/>
              </w:rPr>
              <w:t>85</w:t>
            </w:r>
            <w:r w:rsidR="77EBF1D9" w:rsidRPr="00143A86">
              <w:rPr>
                <w:sz w:val="20"/>
                <w:szCs w:val="20"/>
              </w:rPr>
              <w:t>.0</w:t>
            </w:r>
            <w:r w:rsidRPr="00143A86">
              <w:rPr>
                <w:sz w:val="20"/>
                <w:szCs w:val="20"/>
              </w:rPr>
              <w:t>%</w:t>
            </w:r>
            <w:r w:rsidR="00BF72D4">
              <w:rPr>
                <w:sz w:val="20"/>
                <w:szCs w:val="20"/>
              </w:rPr>
              <w:fldChar w:fldCharType="begin"/>
            </w:r>
            <w:r w:rsidR="00BF72D4">
              <w:rPr>
                <w:sz w:val="20"/>
                <w:szCs w:val="20"/>
              </w:rPr>
              <w:instrText xml:space="preserve"> NOTEREF _Ref190162419 \h </w:instrText>
            </w:r>
            <w:r w:rsidR="00BF72D4">
              <w:rPr>
                <w:sz w:val="20"/>
                <w:szCs w:val="20"/>
              </w:rPr>
            </w:r>
            <w:r w:rsidR="00BF72D4">
              <w:rPr>
                <w:sz w:val="20"/>
                <w:szCs w:val="20"/>
              </w:rPr>
              <w:fldChar w:fldCharType="separate"/>
            </w:r>
            <w:r w:rsidR="000C7657">
              <w:rPr>
                <w:sz w:val="20"/>
                <w:szCs w:val="20"/>
              </w:rPr>
              <w:t>†††</w:t>
            </w:r>
            <w:r w:rsidR="00BF72D4">
              <w:rPr>
                <w:sz w:val="20"/>
                <w:szCs w:val="20"/>
              </w:rPr>
              <w:fldChar w:fldCharType="end"/>
            </w:r>
          </w:p>
        </w:tc>
        <w:tc>
          <w:tcPr>
            <w:tcW w:w="1559" w:type="dxa"/>
            <w:shd w:val="clear" w:color="auto" w:fill="A8D08D" w:themeFill="accent6" w:themeFillTint="99"/>
          </w:tcPr>
          <w:p w14:paraId="7150B94A" w14:textId="782A5AF4" w:rsidR="00770F26" w:rsidRPr="00143A86" w:rsidRDefault="5C1FB902" w:rsidP="768AE41F">
            <w:pPr>
              <w:jc w:val="center"/>
              <w:rPr>
                <w:sz w:val="20"/>
                <w:szCs w:val="20"/>
              </w:rPr>
            </w:pPr>
            <w:r w:rsidRPr="00143A86">
              <w:rPr>
                <w:rFonts w:cs="Calibri"/>
                <w:sz w:val="20"/>
                <w:szCs w:val="20"/>
              </w:rPr>
              <w:t>84.0%</w:t>
            </w:r>
          </w:p>
        </w:tc>
      </w:tr>
    </w:tbl>
    <w:p w14:paraId="1EA15BA3" w14:textId="77777777" w:rsidR="00753CD6" w:rsidRDefault="00753CD6" w:rsidP="00023129">
      <w:pPr>
        <w:rPr>
          <w:rFonts w:asciiTheme="minorHAnsi" w:hAnsiTheme="minorHAnsi" w:cstheme="minorBidi"/>
        </w:rPr>
      </w:pPr>
    </w:p>
    <w:p w14:paraId="0D34E01D" w14:textId="30436E35" w:rsidR="00753CD6" w:rsidRPr="00943E9D" w:rsidRDefault="00081846" w:rsidP="0939FE37">
      <w:pPr>
        <w:ind w:left="144"/>
        <w:rPr>
          <w:rFonts w:asciiTheme="minorHAnsi" w:hAnsiTheme="minorHAnsi" w:cstheme="minorBidi"/>
        </w:rPr>
      </w:pPr>
      <w:r w:rsidRPr="34E19B13">
        <w:rPr>
          <w:rFonts w:asciiTheme="minorHAnsi" w:hAnsiTheme="minorHAnsi" w:cstheme="minorBidi"/>
        </w:rPr>
        <w:t xml:space="preserve">MassHealth </w:t>
      </w:r>
      <w:r w:rsidR="00BB4290" w:rsidRPr="0939FE37">
        <w:rPr>
          <w:rFonts w:asciiTheme="minorHAnsi" w:hAnsiTheme="minorHAnsi" w:cstheme="minorBidi"/>
        </w:rPr>
        <w:t xml:space="preserve">has </w:t>
      </w:r>
      <w:r w:rsidR="009F647F" w:rsidRPr="0939FE37">
        <w:rPr>
          <w:rFonts w:asciiTheme="minorHAnsi" w:hAnsiTheme="minorHAnsi" w:cstheme="minorBidi"/>
        </w:rPr>
        <w:t>achieved</w:t>
      </w:r>
      <w:r w:rsidR="00BB4290" w:rsidRPr="0939FE37">
        <w:rPr>
          <w:rFonts w:asciiTheme="minorHAnsi" w:hAnsiTheme="minorHAnsi" w:cstheme="minorBidi"/>
        </w:rPr>
        <w:t xml:space="preserve"> Goal 1</w:t>
      </w:r>
      <w:r w:rsidR="00CC0239">
        <w:rPr>
          <w:rFonts w:asciiTheme="minorHAnsi" w:hAnsiTheme="minorHAnsi" w:cstheme="minorBidi"/>
        </w:rPr>
        <w:t xml:space="preserve"> by</w:t>
      </w:r>
      <w:r w:rsidR="00DB5C9B">
        <w:rPr>
          <w:rFonts w:asciiTheme="minorHAnsi" w:hAnsiTheme="minorHAnsi" w:cstheme="minorBidi"/>
        </w:rPr>
        <w:t xml:space="preserve"> </w:t>
      </w:r>
      <w:r w:rsidR="008E44B5">
        <w:rPr>
          <w:rFonts w:asciiTheme="minorHAnsi" w:hAnsiTheme="minorHAnsi" w:cstheme="minorBidi"/>
        </w:rPr>
        <w:t>successfully</w:t>
      </w:r>
      <w:r w:rsidR="005652DE">
        <w:rPr>
          <w:rFonts w:asciiTheme="minorHAnsi" w:hAnsiTheme="minorHAnsi" w:cstheme="minorBidi"/>
        </w:rPr>
        <w:t xml:space="preserve"> </w:t>
      </w:r>
      <w:r w:rsidR="00400922">
        <w:rPr>
          <w:rFonts w:asciiTheme="minorHAnsi" w:hAnsiTheme="minorHAnsi" w:cstheme="minorBidi"/>
        </w:rPr>
        <w:t>completing the three objectives.</w:t>
      </w:r>
      <w:r w:rsidR="00034E68" w:rsidRPr="0939FE37">
        <w:rPr>
          <w:rFonts w:asciiTheme="minorHAnsi" w:hAnsiTheme="minorHAnsi" w:cstheme="minorBidi"/>
        </w:rPr>
        <w:t xml:space="preserve"> </w:t>
      </w:r>
      <w:r w:rsidR="00B5772E">
        <w:rPr>
          <w:rFonts w:asciiTheme="minorHAnsi" w:hAnsiTheme="minorHAnsi" w:cstheme="minorBidi"/>
        </w:rPr>
        <w:t xml:space="preserve">MassHealth </w:t>
      </w:r>
      <w:r w:rsidR="008106BC" w:rsidRPr="0939FE37">
        <w:rPr>
          <w:rFonts w:asciiTheme="minorHAnsi" w:hAnsiTheme="minorHAnsi" w:cstheme="minorBidi"/>
        </w:rPr>
        <w:t>m</w:t>
      </w:r>
      <w:r w:rsidR="0063365E" w:rsidRPr="0939FE37">
        <w:rPr>
          <w:rFonts w:asciiTheme="minorHAnsi" w:hAnsiTheme="minorHAnsi" w:cstheme="minorBidi"/>
        </w:rPr>
        <w:t>e</w:t>
      </w:r>
      <w:r w:rsidR="00B5772E">
        <w:rPr>
          <w:rFonts w:asciiTheme="minorHAnsi" w:hAnsiTheme="minorHAnsi" w:cstheme="minorBidi"/>
        </w:rPr>
        <w:t>t</w:t>
      </w:r>
      <w:r w:rsidR="00DB3B49" w:rsidRPr="0939FE37">
        <w:rPr>
          <w:rFonts w:asciiTheme="minorHAnsi" w:hAnsiTheme="minorHAnsi" w:cstheme="minorBidi"/>
        </w:rPr>
        <w:t xml:space="preserve"> </w:t>
      </w:r>
      <w:r w:rsidR="002E7809" w:rsidRPr="0939FE37">
        <w:rPr>
          <w:rFonts w:asciiTheme="minorHAnsi" w:hAnsiTheme="minorHAnsi" w:cstheme="minorBidi"/>
        </w:rPr>
        <w:t>or surpass</w:t>
      </w:r>
      <w:r w:rsidR="00B5772E">
        <w:rPr>
          <w:rFonts w:asciiTheme="minorHAnsi" w:hAnsiTheme="minorHAnsi" w:cstheme="minorBidi"/>
        </w:rPr>
        <w:t>ed</w:t>
      </w:r>
      <w:r w:rsidR="002E7809" w:rsidRPr="0939FE37">
        <w:rPr>
          <w:rFonts w:asciiTheme="minorHAnsi" w:hAnsiTheme="minorHAnsi" w:cstheme="minorBidi"/>
        </w:rPr>
        <w:t xml:space="preserve"> </w:t>
      </w:r>
      <w:r w:rsidR="00DB3B49" w:rsidRPr="0939FE37">
        <w:rPr>
          <w:rFonts w:asciiTheme="minorHAnsi" w:hAnsiTheme="minorHAnsi" w:cstheme="minorBidi"/>
        </w:rPr>
        <w:t>national benchmark</w:t>
      </w:r>
      <w:r w:rsidRPr="0939FE37">
        <w:rPr>
          <w:rFonts w:asciiTheme="minorHAnsi" w:hAnsiTheme="minorHAnsi" w:cstheme="minorBidi"/>
        </w:rPr>
        <w:t>s</w:t>
      </w:r>
      <w:r w:rsidR="00DB3B49" w:rsidRPr="0939FE37">
        <w:rPr>
          <w:rFonts w:asciiTheme="minorHAnsi" w:hAnsiTheme="minorHAnsi" w:cstheme="minorBidi"/>
        </w:rPr>
        <w:t xml:space="preserve"> (75</w:t>
      </w:r>
      <w:r w:rsidR="00DB3B49" w:rsidRPr="0939FE37">
        <w:rPr>
          <w:rFonts w:asciiTheme="minorHAnsi" w:hAnsiTheme="minorHAnsi" w:cstheme="minorBidi"/>
          <w:vertAlign w:val="superscript"/>
        </w:rPr>
        <w:t>th</w:t>
      </w:r>
      <w:r w:rsidR="00DB3B49" w:rsidRPr="0939FE37">
        <w:rPr>
          <w:rFonts w:asciiTheme="minorHAnsi" w:hAnsiTheme="minorHAnsi" w:cstheme="minorBidi"/>
        </w:rPr>
        <w:t xml:space="preserve"> percentile)</w:t>
      </w:r>
      <w:r w:rsidR="002E7809" w:rsidRPr="0939FE37">
        <w:rPr>
          <w:rFonts w:asciiTheme="minorHAnsi" w:hAnsiTheme="minorHAnsi" w:cstheme="minorBidi"/>
        </w:rPr>
        <w:t xml:space="preserve"> </w:t>
      </w:r>
      <w:r w:rsidR="002B0376" w:rsidRPr="0939FE37">
        <w:rPr>
          <w:rFonts w:asciiTheme="minorHAnsi" w:hAnsiTheme="minorHAnsi" w:cstheme="minorBidi"/>
        </w:rPr>
        <w:t>or the Gap to Goal improvement</w:t>
      </w:r>
      <w:r w:rsidR="004E6523" w:rsidRPr="0939FE37">
        <w:rPr>
          <w:rFonts w:asciiTheme="minorHAnsi" w:hAnsiTheme="minorHAnsi" w:cstheme="minorBidi"/>
        </w:rPr>
        <w:t xml:space="preserve"> </w:t>
      </w:r>
      <w:r w:rsidR="006938C3" w:rsidRPr="0939FE37">
        <w:rPr>
          <w:rFonts w:asciiTheme="minorHAnsi" w:hAnsiTheme="minorHAnsi" w:cstheme="minorBidi"/>
        </w:rPr>
        <w:t>target</w:t>
      </w:r>
      <w:r w:rsidR="001575CC" w:rsidRPr="0939FE37">
        <w:rPr>
          <w:rFonts w:asciiTheme="minorHAnsi" w:hAnsiTheme="minorHAnsi" w:cstheme="minorBidi"/>
        </w:rPr>
        <w:t xml:space="preserve"> </w:t>
      </w:r>
      <w:r w:rsidR="00BA6C7D" w:rsidRPr="0939FE37">
        <w:rPr>
          <w:rFonts w:asciiTheme="minorHAnsi" w:hAnsiTheme="minorHAnsi" w:cstheme="minorBidi"/>
        </w:rPr>
        <w:t xml:space="preserve">for </w:t>
      </w:r>
      <w:r w:rsidR="002B3AD1">
        <w:rPr>
          <w:rFonts w:asciiTheme="minorHAnsi" w:hAnsiTheme="minorHAnsi" w:cstheme="minorBidi"/>
        </w:rPr>
        <w:t>most of the</w:t>
      </w:r>
      <w:r w:rsidR="007C2B44">
        <w:rPr>
          <w:rFonts w:asciiTheme="minorHAnsi" w:hAnsiTheme="minorHAnsi" w:cstheme="minorBidi"/>
        </w:rPr>
        <w:t xml:space="preserve"> measures </w:t>
      </w:r>
      <w:r w:rsidR="00B417E7">
        <w:rPr>
          <w:rFonts w:asciiTheme="minorHAnsi" w:hAnsiTheme="minorHAnsi" w:cstheme="minorBidi"/>
        </w:rPr>
        <w:t>used to assess</w:t>
      </w:r>
      <w:r w:rsidR="007C2B44">
        <w:rPr>
          <w:rFonts w:asciiTheme="minorHAnsi" w:hAnsiTheme="minorHAnsi" w:cstheme="minorBidi"/>
        </w:rPr>
        <w:t xml:space="preserve"> each objective</w:t>
      </w:r>
      <w:r w:rsidR="004E6523" w:rsidRPr="0939FE37">
        <w:rPr>
          <w:rFonts w:asciiTheme="minorHAnsi" w:hAnsiTheme="minorHAnsi" w:cstheme="minorBidi"/>
        </w:rPr>
        <w:t xml:space="preserve">. </w:t>
      </w:r>
      <w:r w:rsidR="009B45E6" w:rsidRPr="0939FE37">
        <w:rPr>
          <w:rFonts w:asciiTheme="minorHAnsi" w:hAnsiTheme="minorHAnsi" w:cstheme="minorBidi"/>
        </w:rPr>
        <w:t xml:space="preserve"> </w:t>
      </w:r>
      <w:r w:rsidR="009F5DD9" w:rsidRPr="34E19B13">
        <w:rPr>
          <w:rFonts w:asciiTheme="minorHAnsi" w:hAnsiTheme="minorHAnsi" w:cstheme="minorBidi"/>
        </w:rPr>
        <w:t xml:space="preserve">Areas </w:t>
      </w:r>
      <w:r w:rsidR="2033067E" w:rsidRPr="34E19B13">
        <w:rPr>
          <w:rFonts w:asciiTheme="minorHAnsi" w:hAnsiTheme="minorHAnsi" w:cstheme="minorBidi"/>
        </w:rPr>
        <w:t>that demonstrate</w:t>
      </w:r>
      <w:r w:rsidR="552B75C2" w:rsidRPr="0939FE37">
        <w:rPr>
          <w:rFonts w:asciiTheme="minorHAnsi" w:hAnsiTheme="minorHAnsi" w:cstheme="minorBidi"/>
        </w:rPr>
        <w:t xml:space="preserve"> strong performance </w:t>
      </w:r>
      <w:r w:rsidR="69EE29B7" w:rsidRPr="0939FE37">
        <w:rPr>
          <w:rFonts w:asciiTheme="minorHAnsi" w:hAnsiTheme="minorHAnsi" w:cstheme="minorBidi"/>
        </w:rPr>
        <w:t>include</w:t>
      </w:r>
      <w:r w:rsidR="2343F2E0" w:rsidRPr="0939FE37">
        <w:rPr>
          <w:rFonts w:asciiTheme="minorHAnsi" w:hAnsiTheme="minorHAnsi" w:cstheme="minorBidi"/>
        </w:rPr>
        <w:t xml:space="preserve"> preventive care for children,</w:t>
      </w:r>
      <w:r w:rsidR="00650BC6" w:rsidRPr="0939FE37">
        <w:rPr>
          <w:rFonts w:asciiTheme="minorHAnsi" w:hAnsiTheme="minorHAnsi" w:cstheme="minorBidi"/>
        </w:rPr>
        <w:t xml:space="preserve"> </w:t>
      </w:r>
      <w:r w:rsidR="2343F2E0" w:rsidRPr="0939FE37">
        <w:rPr>
          <w:rFonts w:asciiTheme="minorHAnsi" w:hAnsiTheme="minorHAnsi" w:cstheme="minorBidi"/>
        </w:rPr>
        <w:t>prenatal care</w:t>
      </w:r>
      <w:r w:rsidR="001F57DF" w:rsidRPr="0939FE37">
        <w:rPr>
          <w:rFonts w:asciiTheme="minorHAnsi" w:hAnsiTheme="minorHAnsi" w:cstheme="minorBidi"/>
        </w:rPr>
        <w:t>,</w:t>
      </w:r>
      <w:r w:rsidR="2343F2E0" w:rsidRPr="0939FE37">
        <w:rPr>
          <w:rFonts w:asciiTheme="minorHAnsi" w:hAnsiTheme="minorHAnsi" w:cstheme="minorBidi"/>
        </w:rPr>
        <w:t xml:space="preserve"> dental evaluation</w:t>
      </w:r>
      <w:r w:rsidR="21DCB252" w:rsidRPr="34E19B13">
        <w:rPr>
          <w:rFonts w:asciiTheme="minorHAnsi" w:hAnsiTheme="minorHAnsi" w:cstheme="minorBidi"/>
        </w:rPr>
        <w:t xml:space="preserve">, and care </w:t>
      </w:r>
      <w:proofErr w:type="gramStart"/>
      <w:r w:rsidR="21DCB252" w:rsidRPr="34E19B13">
        <w:rPr>
          <w:rFonts w:asciiTheme="minorHAnsi" w:hAnsiTheme="minorHAnsi" w:cstheme="minorBidi"/>
        </w:rPr>
        <w:t>of</w:t>
      </w:r>
      <w:proofErr w:type="gramEnd"/>
      <w:r w:rsidR="21DCB252" w:rsidRPr="34E19B13">
        <w:rPr>
          <w:rFonts w:asciiTheme="minorHAnsi" w:hAnsiTheme="minorHAnsi" w:cstheme="minorBidi"/>
        </w:rPr>
        <w:t xml:space="preserve"> acute and chronic conditions.  Of note, MassHealth’s performance exceeded national benchmarks </w:t>
      </w:r>
      <w:r w:rsidR="7480CA44" w:rsidRPr="34E19B13">
        <w:rPr>
          <w:rFonts w:asciiTheme="minorHAnsi" w:hAnsiTheme="minorHAnsi" w:cstheme="minorBidi"/>
        </w:rPr>
        <w:t>or gap to goal targets for all measures of behavioral healt</w:t>
      </w:r>
      <w:r w:rsidR="00DD0E47">
        <w:rPr>
          <w:rFonts w:asciiTheme="minorHAnsi" w:hAnsiTheme="minorHAnsi" w:cstheme="minorBidi"/>
        </w:rPr>
        <w:t>h</w:t>
      </w:r>
      <w:r w:rsidR="7480CA44" w:rsidRPr="34E19B13">
        <w:rPr>
          <w:rFonts w:asciiTheme="minorHAnsi" w:hAnsiTheme="minorHAnsi" w:cstheme="minorBidi"/>
        </w:rPr>
        <w:t>care</w:t>
      </w:r>
      <w:r w:rsidR="2343F2E0" w:rsidRPr="34E19B13">
        <w:rPr>
          <w:rFonts w:asciiTheme="minorHAnsi" w:hAnsiTheme="minorHAnsi" w:cstheme="minorBidi"/>
        </w:rPr>
        <w:t>.</w:t>
      </w:r>
      <w:r w:rsidR="2343F2E0" w:rsidRPr="0939FE37">
        <w:rPr>
          <w:rFonts w:asciiTheme="minorHAnsi" w:hAnsiTheme="minorHAnsi" w:cstheme="minorBidi"/>
        </w:rPr>
        <w:t xml:space="preserve"> </w:t>
      </w:r>
      <w:r w:rsidR="7D856D18" w:rsidRPr="0939FE37">
        <w:rPr>
          <w:rFonts w:asciiTheme="minorHAnsi" w:hAnsiTheme="minorHAnsi" w:cstheme="minorBidi"/>
        </w:rPr>
        <w:t>Opportunities</w:t>
      </w:r>
      <w:r w:rsidR="00572645">
        <w:t xml:space="preserve"> for continued progress include</w:t>
      </w:r>
      <w:r w:rsidR="00BC2732">
        <w:t xml:space="preserve"> s</w:t>
      </w:r>
      <w:r w:rsidR="00637D5D">
        <w:t xml:space="preserve">trengthening </w:t>
      </w:r>
      <w:r w:rsidR="04A68D09">
        <w:t xml:space="preserve">access to and </w:t>
      </w:r>
      <w:r w:rsidR="20810E23">
        <w:t xml:space="preserve">engagement </w:t>
      </w:r>
      <w:r w:rsidR="3759496D">
        <w:t>with</w:t>
      </w:r>
      <w:r w:rsidR="1D8126F9">
        <w:t xml:space="preserve"> coordinated behavioral health and LTSS services</w:t>
      </w:r>
      <w:r w:rsidR="006F424E">
        <w:t xml:space="preserve">. </w:t>
      </w:r>
      <w:r w:rsidR="00A1011F">
        <w:t xml:space="preserve">  </w:t>
      </w:r>
      <w:r w:rsidR="0061753E">
        <w:t xml:space="preserve"> </w:t>
      </w:r>
      <w:r w:rsidR="00650BC6">
        <w:t>   </w:t>
      </w:r>
    </w:p>
    <w:p w14:paraId="0C4B0C16" w14:textId="5AAC3C1D" w:rsidR="00753CD6" w:rsidRDefault="00753CD6" w:rsidP="000A3CF3">
      <w:pPr>
        <w:pStyle w:val="Heading3"/>
        <w:spacing w:after="120"/>
      </w:pPr>
      <w:bookmarkStart w:id="9" w:name="_Toc190440056"/>
      <w:r>
        <w:t>Quality Goal 2</w:t>
      </w:r>
      <w:r w:rsidR="00F35AB3">
        <w:t xml:space="preserve">: </w:t>
      </w:r>
      <w:r w:rsidR="000A3CF3" w:rsidRPr="00D54FD2">
        <w:t>Promote equitable care: Achieve measurable reductions in health and health</w:t>
      </w:r>
      <w:r w:rsidR="00BD76BB">
        <w:t xml:space="preserve"> </w:t>
      </w:r>
      <w:r w:rsidR="000A3CF3" w:rsidRPr="00D54FD2">
        <w:t>care quality inequities related to race, ethnicity, language, disability, sexual orientation, gender identity, and other social risk factors that MassHealth members experience</w:t>
      </w:r>
      <w:bookmarkEnd w:id="9"/>
      <w:r w:rsidR="000A3CF3" w:rsidRPr="00D54FD2">
        <w:t> </w:t>
      </w:r>
    </w:p>
    <w:p w14:paraId="78753077" w14:textId="1C8B1D66" w:rsidR="005B4493" w:rsidRPr="005B4493" w:rsidRDefault="005B4493" w:rsidP="005B4493">
      <w:pPr>
        <w:spacing w:before="360" w:after="0"/>
        <w:rPr>
          <w:b/>
          <w:i/>
          <w:iCs/>
          <w:color w:val="1F497D"/>
        </w:rPr>
      </w:pPr>
      <w:r w:rsidRPr="009069AE">
        <w:rPr>
          <w:rStyle w:val="SubtleEmphasis"/>
        </w:rPr>
        <w:t xml:space="preserve">Table </w:t>
      </w:r>
      <w:r>
        <w:rPr>
          <w:rStyle w:val="SubtleEmphasis"/>
        </w:rPr>
        <w:t>3</w:t>
      </w:r>
      <w:r w:rsidRPr="009069AE">
        <w:rPr>
          <w:rStyle w:val="SubtleEmphasis"/>
        </w:rPr>
        <w:t xml:space="preserve">: </w:t>
      </w:r>
      <w:r>
        <w:rPr>
          <w:rStyle w:val="SubtleEmphasis"/>
        </w:rPr>
        <w:t>Quality Goal 2 Performance</w:t>
      </w:r>
    </w:p>
    <w:tbl>
      <w:tblPr>
        <w:tblStyle w:val="TableGrid4"/>
        <w:tblW w:w="0" w:type="auto"/>
        <w:tblInd w:w="-5" w:type="dxa"/>
        <w:tblLook w:val="04A0" w:firstRow="1" w:lastRow="0" w:firstColumn="1" w:lastColumn="0" w:noHBand="0" w:noVBand="1"/>
      </w:tblPr>
      <w:tblGrid>
        <w:gridCol w:w="9355"/>
      </w:tblGrid>
      <w:tr w:rsidR="006A0F8C" w:rsidRPr="00D54FD2" w14:paraId="14D0A1CA" w14:textId="77777777" w:rsidTr="00515C27">
        <w:tc>
          <w:tcPr>
            <w:tcW w:w="9355" w:type="dxa"/>
          </w:tcPr>
          <w:p w14:paraId="16429EBE" w14:textId="1286E66C" w:rsidR="006A0F8C" w:rsidRPr="006C5CF7" w:rsidRDefault="006A0F8C" w:rsidP="00BC2F64">
            <w:pPr>
              <w:spacing w:after="120"/>
              <w:rPr>
                <w:b/>
                <w:bCs/>
              </w:rPr>
            </w:pPr>
            <w:r w:rsidRPr="007749B5">
              <w:rPr>
                <w:b/>
                <w:bCs/>
              </w:rPr>
              <w:t>Objective 1:</w:t>
            </w:r>
            <w:r>
              <w:t xml:space="preserve"> </w:t>
            </w:r>
            <w:r w:rsidRPr="00D54FD2">
              <w:t>Improve data collection and completeness of social risk factors (SRF), which include race, ethnicity, language, disability (RELD) and sexual orientation and gender identity (SOGI) data</w:t>
            </w:r>
          </w:p>
        </w:tc>
      </w:tr>
      <w:tr w:rsidR="007749B5" w:rsidRPr="00D54FD2" w14:paraId="5FDD49C8" w14:textId="77777777" w:rsidTr="00515C27">
        <w:tc>
          <w:tcPr>
            <w:tcW w:w="9355" w:type="dxa"/>
          </w:tcPr>
          <w:p w14:paraId="63EB95C3" w14:textId="77777777" w:rsidR="007749B5" w:rsidRPr="00D54FD2" w:rsidRDefault="007749B5" w:rsidP="00BC2F64">
            <w:pPr>
              <w:spacing w:after="120"/>
            </w:pPr>
            <w:r w:rsidRPr="006C5CF7">
              <w:rPr>
                <w:b/>
              </w:rPr>
              <w:t>Objective 2:</w:t>
            </w:r>
            <w:r>
              <w:t xml:space="preserve"> </w:t>
            </w:r>
            <w:r w:rsidRPr="00D54FD2">
              <w:t>Assess and prioritize opportunities to reduce health disparities through stratification of quality measures by SRFs, and assessment of member health-related social needs </w:t>
            </w:r>
          </w:p>
        </w:tc>
      </w:tr>
    </w:tbl>
    <w:tbl>
      <w:tblPr>
        <w:tblStyle w:val="TableGrid5"/>
        <w:tblW w:w="0" w:type="auto"/>
        <w:tblInd w:w="-5" w:type="dxa"/>
        <w:tblLook w:val="04A0" w:firstRow="1" w:lastRow="0" w:firstColumn="1" w:lastColumn="0" w:noHBand="0" w:noVBand="1"/>
      </w:tblPr>
      <w:tblGrid>
        <w:gridCol w:w="9355"/>
      </w:tblGrid>
      <w:tr w:rsidR="005826FE" w:rsidRPr="00D54FD2" w14:paraId="658CD55D" w14:textId="77777777" w:rsidTr="0939FE37">
        <w:tc>
          <w:tcPr>
            <w:tcW w:w="9355" w:type="dxa"/>
          </w:tcPr>
          <w:p w14:paraId="49949E61" w14:textId="77777777" w:rsidR="005826FE" w:rsidRPr="00D54FD2" w:rsidRDefault="005826FE" w:rsidP="00BC2F64">
            <w:pPr>
              <w:spacing w:after="120"/>
            </w:pPr>
            <w:r w:rsidRPr="00406EE9">
              <w:rPr>
                <w:b/>
                <w:bCs/>
              </w:rPr>
              <w:t>Objective 3:</w:t>
            </w:r>
            <w:r>
              <w:t xml:space="preserve"> </w:t>
            </w:r>
            <w:r w:rsidRPr="007B1461">
              <w:t>Implement strategies to address disparities for at-risk populations including mothers and newborns, justice-involved individuals, and members with disabilities </w:t>
            </w:r>
          </w:p>
        </w:tc>
      </w:tr>
      <w:tr w:rsidR="005826FE" w14:paraId="10DA07A6" w14:textId="77777777" w:rsidTr="0939FE37">
        <w:tc>
          <w:tcPr>
            <w:tcW w:w="9355" w:type="dxa"/>
          </w:tcPr>
          <w:p w14:paraId="12CF658E" w14:textId="4AE2F03F" w:rsidR="005826FE" w:rsidRPr="004E5F57" w:rsidRDefault="0BEE2F8F" w:rsidP="0044153C">
            <w:pPr>
              <w:spacing w:after="120"/>
              <w:rPr>
                <w:b/>
                <w:bCs/>
              </w:rPr>
            </w:pPr>
            <w:r w:rsidRPr="0939FE37">
              <w:rPr>
                <w:b/>
                <w:bCs/>
              </w:rPr>
              <w:t>Objective</w:t>
            </w:r>
            <w:r w:rsidR="1F1ED125" w:rsidRPr="0939FE37">
              <w:rPr>
                <w:b/>
                <w:bCs/>
              </w:rPr>
              <w:t>s</w:t>
            </w:r>
            <w:r w:rsidRPr="0939FE37">
              <w:rPr>
                <w:b/>
                <w:bCs/>
              </w:rPr>
              <w:t xml:space="preserve"> 1-3</w:t>
            </w:r>
            <w:r w:rsidR="1B7FF301" w:rsidRPr="0939FE37">
              <w:rPr>
                <w:b/>
                <w:bCs/>
              </w:rPr>
              <w:t xml:space="preserve"> </w:t>
            </w:r>
            <w:r w:rsidR="77429745" w:rsidRPr="0939FE37">
              <w:rPr>
                <w:b/>
                <w:bCs/>
              </w:rPr>
              <w:t>Narrative</w:t>
            </w:r>
          </w:p>
          <w:p w14:paraId="6C092474" w14:textId="4DC5AD1D" w:rsidR="00D2693A" w:rsidRPr="004E5F57" w:rsidRDefault="006E21A2" w:rsidP="004D67BA">
            <w:r w:rsidRPr="004E5F57">
              <w:t xml:space="preserve">As part of its continued 1115 waiver, </w:t>
            </w:r>
            <w:r w:rsidR="0093407B" w:rsidRPr="004E5F57">
              <w:t xml:space="preserve">MassHealth </w:t>
            </w:r>
            <w:r w:rsidR="00CA5CA0" w:rsidRPr="004E5F57">
              <w:t>engaged in</w:t>
            </w:r>
            <w:r w:rsidR="00E36886" w:rsidRPr="004E5F57">
              <w:t xml:space="preserve"> developing</w:t>
            </w:r>
            <w:r w:rsidR="00B00FD8" w:rsidRPr="004E5F57">
              <w:t xml:space="preserve"> </w:t>
            </w:r>
            <w:r w:rsidR="00FE09ED" w:rsidRPr="004E5F57">
              <w:t xml:space="preserve">a </w:t>
            </w:r>
            <w:r w:rsidR="001D06F1" w:rsidRPr="004E5F57">
              <w:t>program focused</w:t>
            </w:r>
            <w:r w:rsidR="008F2B71" w:rsidRPr="004E5F57">
              <w:t xml:space="preserve"> on </w:t>
            </w:r>
            <w:r w:rsidR="001F72B6" w:rsidRPr="004E5F57">
              <w:t xml:space="preserve">promoting </w:t>
            </w:r>
            <w:r w:rsidR="00F532D2">
              <w:t xml:space="preserve">high quality </w:t>
            </w:r>
            <w:r w:rsidR="001F72B6" w:rsidRPr="004E5F57">
              <w:t>equitable care</w:t>
            </w:r>
            <w:r w:rsidR="007E519D" w:rsidRPr="004E5F57">
              <w:t xml:space="preserve"> </w:t>
            </w:r>
            <w:r w:rsidR="00872371" w:rsidRPr="004E5F57">
              <w:t xml:space="preserve">for </w:t>
            </w:r>
            <w:r w:rsidR="00F532D2">
              <w:t xml:space="preserve">all </w:t>
            </w:r>
            <w:r w:rsidR="00872371" w:rsidRPr="004E5F57">
              <w:t>its members</w:t>
            </w:r>
            <w:r w:rsidR="751FB4FC">
              <w:t>.  Program</w:t>
            </w:r>
            <w:r w:rsidR="00B91F15" w:rsidRPr="004E5F57">
              <w:t xml:space="preserve"> </w:t>
            </w:r>
            <w:r w:rsidR="00B34725" w:rsidRPr="004E5F57">
              <w:t>implement</w:t>
            </w:r>
            <w:r w:rsidR="00B91F15" w:rsidRPr="004E5F57">
              <w:t>ati</w:t>
            </w:r>
            <w:r w:rsidR="008310A7" w:rsidRPr="004E5F57">
              <w:t xml:space="preserve">on </w:t>
            </w:r>
            <w:r w:rsidR="2B7E5C4F">
              <w:t>began</w:t>
            </w:r>
            <w:r w:rsidR="25367A02">
              <w:t xml:space="preserve"> in </w:t>
            </w:r>
            <w:r w:rsidR="007B36F4" w:rsidRPr="004E5F57">
              <w:t>2023</w:t>
            </w:r>
            <w:r w:rsidR="001E54F0" w:rsidRPr="004E5F57">
              <w:t xml:space="preserve"> </w:t>
            </w:r>
            <w:r w:rsidR="00413A0D">
              <w:t>and will</w:t>
            </w:r>
            <w:r w:rsidR="297CAF82">
              <w:t xml:space="preserve"> run </w:t>
            </w:r>
            <w:r w:rsidR="001E54F0" w:rsidRPr="004E5F57">
              <w:t xml:space="preserve">through </w:t>
            </w:r>
            <w:r w:rsidR="007B36F4" w:rsidRPr="004E5F57">
              <w:t>2027</w:t>
            </w:r>
            <w:r w:rsidR="003C412A" w:rsidRPr="004E5F57">
              <w:t xml:space="preserve">. </w:t>
            </w:r>
            <w:r w:rsidR="00460B9F" w:rsidRPr="004E5F57">
              <w:t xml:space="preserve">Key strategies of the implementation plan </w:t>
            </w:r>
            <w:r w:rsidR="004D67BA" w:rsidRPr="004E5F57">
              <w:t>that</w:t>
            </w:r>
            <w:r w:rsidR="00DE36E2" w:rsidRPr="004E5F57">
              <w:t xml:space="preserve"> support </w:t>
            </w:r>
            <w:r w:rsidR="001C6BF8" w:rsidRPr="004E5F57">
              <w:t xml:space="preserve">Objectives 1-3 </w:t>
            </w:r>
            <w:r w:rsidR="003C412A" w:rsidRPr="004E5F57">
              <w:t>include</w:t>
            </w:r>
            <w:r w:rsidR="004D67BA" w:rsidRPr="004E5F57">
              <w:t xml:space="preserve"> </w:t>
            </w:r>
            <w:r w:rsidR="00D71D7B" w:rsidRPr="004E5F57">
              <w:t xml:space="preserve">working with </w:t>
            </w:r>
            <w:r w:rsidR="005C78A6" w:rsidRPr="004E5F57">
              <w:t>providers</w:t>
            </w:r>
            <w:r w:rsidR="00CF66EB" w:rsidRPr="004E5F57">
              <w:t xml:space="preserve"> and plans</w:t>
            </w:r>
            <w:r w:rsidR="00547109" w:rsidRPr="004E5F57">
              <w:t xml:space="preserve"> (</w:t>
            </w:r>
            <w:r w:rsidR="00CF66EB" w:rsidRPr="004E5F57">
              <w:t>e.g., A</w:t>
            </w:r>
            <w:r w:rsidR="002B4AD8" w:rsidRPr="004E5F57">
              <w:t xml:space="preserve">ccountable </w:t>
            </w:r>
            <w:r w:rsidR="00CF66EB" w:rsidRPr="004E5F57">
              <w:t>C</w:t>
            </w:r>
            <w:r w:rsidR="002B4AD8" w:rsidRPr="004E5F57">
              <w:t xml:space="preserve">are </w:t>
            </w:r>
            <w:r w:rsidR="00CF66EB" w:rsidRPr="004E5F57">
              <w:t>O</w:t>
            </w:r>
            <w:r w:rsidR="002B4AD8" w:rsidRPr="004E5F57">
              <w:t>rganizations</w:t>
            </w:r>
            <w:r w:rsidR="00CF66EB" w:rsidRPr="004E5F57">
              <w:t>,</w:t>
            </w:r>
            <w:r w:rsidR="002B4AD8" w:rsidRPr="004E5F57">
              <w:t xml:space="preserve"> </w:t>
            </w:r>
            <w:r w:rsidR="00547109" w:rsidRPr="004E5F57">
              <w:t>hospital</w:t>
            </w:r>
            <w:r w:rsidR="00CF66EB" w:rsidRPr="004E5F57">
              <w:t>s</w:t>
            </w:r>
            <w:r w:rsidR="00547109" w:rsidRPr="004E5F57">
              <w:t xml:space="preserve">, </w:t>
            </w:r>
            <w:r w:rsidR="00CF66EB" w:rsidRPr="004E5F57">
              <w:t xml:space="preserve">community </w:t>
            </w:r>
            <w:r w:rsidR="00F85A50" w:rsidRPr="004E5F57">
              <w:t>behavioral</w:t>
            </w:r>
            <w:r w:rsidR="00CF66EB" w:rsidRPr="004E5F57">
              <w:t xml:space="preserve"> health centers, </w:t>
            </w:r>
            <w:r w:rsidR="00C85F52" w:rsidRPr="004E5F57">
              <w:t>managed care plans</w:t>
            </w:r>
            <w:r w:rsidR="008024D1" w:rsidRPr="004E5F57">
              <w:t>)</w:t>
            </w:r>
            <w:r w:rsidR="00D71D7B" w:rsidRPr="004E5F57">
              <w:t xml:space="preserve"> </w:t>
            </w:r>
            <w:proofErr w:type="gramStart"/>
            <w:r w:rsidR="00A13A38" w:rsidRPr="004E5F57">
              <w:t>to</w:t>
            </w:r>
            <w:proofErr w:type="gramEnd"/>
            <w:r w:rsidR="00D2693A" w:rsidRPr="004E5F57">
              <w:t>:</w:t>
            </w:r>
            <w:r w:rsidR="00A13A38" w:rsidRPr="004E5F57">
              <w:t xml:space="preserve"> </w:t>
            </w:r>
          </w:p>
          <w:p w14:paraId="266C5420" w14:textId="2E2EA895" w:rsidR="00D2693A" w:rsidRPr="004E5F57" w:rsidRDefault="00D2693A" w:rsidP="00D2693A">
            <w:pPr>
              <w:pStyle w:val="ListParagraph"/>
              <w:numPr>
                <w:ilvl w:val="0"/>
                <w:numId w:val="42"/>
              </w:numPr>
            </w:pPr>
            <w:r w:rsidRPr="004E5F57">
              <w:t>C</w:t>
            </w:r>
            <w:r w:rsidR="00BF66B3" w:rsidRPr="004E5F57">
              <w:t>ollect</w:t>
            </w:r>
            <w:r w:rsidR="00A13A38" w:rsidRPr="004E5F57">
              <w:t xml:space="preserve"> </w:t>
            </w:r>
            <w:r w:rsidR="531BA6A7">
              <w:t>standard</w:t>
            </w:r>
            <w:r w:rsidR="1467AD47">
              <w:t>ized</w:t>
            </w:r>
            <w:r w:rsidR="009D4480" w:rsidRPr="004E5F57">
              <w:t xml:space="preserve">, complete </w:t>
            </w:r>
            <w:r w:rsidR="007325D4" w:rsidRPr="004E5F57">
              <w:t>RELD SOGI data</w:t>
            </w:r>
            <w:r w:rsidR="009D4480" w:rsidRPr="004E5F57">
              <w:t xml:space="preserve"> </w:t>
            </w:r>
            <w:r w:rsidR="009119E7">
              <w:t xml:space="preserve">on </w:t>
            </w:r>
            <w:r w:rsidR="009119E7" w:rsidRPr="004E5F57">
              <w:t>members</w:t>
            </w:r>
          </w:p>
          <w:p w14:paraId="35EAD182" w14:textId="5A02D214" w:rsidR="003D5158" w:rsidRDefault="00D2693A" w:rsidP="00D2693A">
            <w:pPr>
              <w:pStyle w:val="ListParagraph"/>
              <w:numPr>
                <w:ilvl w:val="0"/>
                <w:numId w:val="42"/>
              </w:numPr>
            </w:pPr>
            <w:r w:rsidRPr="004E5F57">
              <w:t>S</w:t>
            </w:r>
            <w:r w:rsidR="00AC7DAF" w:rsidRPr="004E5F57">
              <w:t>tratif</w:t>
            </w:r>
            <w:r w:rsidR="007F3C4A" w:rsidRPr="004E5F57">
              <w:t xml:space="preserve">y </w:t>
            </w:r>
            <w:r w:rsidR="7E90DB78">
              <w:t xml:space="preserve">the rates </w:t>
            </w:r>
            <w:r w:rsidR="1DF99ADA">
              <w:t>of</w:t>
            </w:r>
            <w:r w:rsidR="7E90DB78">
              <w:t xml:space="preserve"> </w:t>
            </w:r>
            <w:r w:rsidR="00AC7DAF" w:rsidRPr="004E5F57">
              <w:t>key quality measures</w:t>
            </w:r>
            <w:r w:rsidR="001D4A6D" w:rsidRPr="004E5F57">
              <w:t xml:space="preserve"> </w:t>
            </w:r>
            <w:r w:rsidR="13E37251">
              <w:t>by RELD</w:t>
            </w:r>
            <w:r w:rsidR="001D4A6D">
              <w:t xml:space="preserve"> </w:t>
            </w:r>
            <w:r w:rsidR="13E37251">
              <w:t xml:space="preserve">SOLGI categories </w:t>
            </w:r>
            <w:r w:rsidR="001D4A6D" w:rsidRPr="004E5F57">
              <w:t xml:space="preserve">to identify </w:t>
            </w:r>
            <w:r w:rsidR="001E079E">
              <w:t>disparities in</w:t>
            </w:r>
            <w:r w:rsidR="2492C81F">
              <w:t xml:space="preserve"> care, </w:t>
            </w:r>
            <w:r w:rsidR="00413A0D">
              <w:t>and opportunities</w:t>
            </w:r>
            <w:r w:rsidR="00AC1E6E" w:rsidRPr="004E5F57">
              <w:t xml:space="preserve"> for</w:t>
            </w:r>
            <w:r w:rsidR="00C15728" w:rsidRPr="004E5F57">
              <w:t xml:space="preserve"> </w:t>
            </w:r>
            <w:r w:rsidR="00FC45EC" w:rsidRPr="004E5F57">
              <w:t xml:space="preserve">closing </w:t>
            </w:r>
            <w:r w:rsidR="3C25E367">
              <w:t xml:space="preserve">those </w:t>
            </w:r>
            <w:r w:rsidR="00EB04B0" w:rsidRPr="004E5F57">
              <w:t>gaps</w:t>
            </w:r>
            <w:r w:rsidR="3019F8D2">
              <w:t xml:space="preserve">. </w:t>
            </w:r>
            <w:r w:rsidR="00582EE4">
              <w:t xml:space="preserve">Key quality measures </w:t>
            </w:r>
            <w:r w:rsidR="00932418">
              <w:t>focus on perinatal health</w:t>
            </w:r>
            <w:r w:rsidR="00A81D64">
              <w:t xml:space="preserve"> (e.g., severe maternal morbi</w:t>
            </w:r>
            <w:r w:rsidR="00E038C2">
              <w:t>dity</w:t>
            </w:r>
            <w:r w:rsidR="00427A97">
              <w:t>, newborn complications</w:t>
            </w:r>
            <w:r w:rsidR="006C35B2">
              <w:t>)</w:t>
            </w:r>
            <w:r w:rsidR="003807A8">
              <w:t>, acute and chronic conditions</w:t>
            </w:r>
            <w:r w:rsidR="00DF1ADF">
              <w:t xml:space="preserve"> (</w:t>
            </w:r>
            <w:r w:rsidR="006C35B2">
              <w:t>e.</w:t>
            </w:r>
            <w:r w:rsidR="007B4FC9">
              <w:t>g</w:t>
            </w:r>
            <w:r w:rsidR="006C35B2">
              <w:t xml:space="preserve">., </w:t>
            </w:r>
            <w:r w:rsidR="00DF1ADF">
              <w:t xml:space="preserve">cardiovascular, </w:t>
            </w:r>
            <w:r w:rsidR="000B4E61">
              <w:t xml:space="preserve">and </w:t>
            </w:r>
            <w:r w:rsidR="00DF1ADF">
              <w:t>diabetes</w:t>
            </w:r>
            <w:r w:rsidR="00C53253">
              <w:t>)</w:t>
            </w:r>
            <w:r w:rsidR="00DF1ADF">
              <w:t xml:space="preserve"> and behavioral health</w:t>
            </w:r>
            <w:r w:rsidR="00CC27DF">
              <w:t xml:space="preserve"> (</w:t>
            </w:r>
            <w:r w:rsidR="00680D82">
              <w:t xml:space="preserve">e.g., </w:t>
            </w:r>
            <w:r w:rsidR="0059093E">
              <w:t>follow</w:t>
            </w:r>
            <w:r w:rsidR="001B1348">
              <w:t xml:space="preserve">-up care </w:t>
            </w:r>
            <w:r w:rsidR="00DC4290">
              <w:t>after</w:t>
            </w:r>
            <w:r w:rsidR="001B1348">
              <w:t xml:space="preserve"> </w:t>
            </w:r>
            <w:r w:rsidR="00DF48AE">
              <w:t>hospit</w:t>
            </w:r>
            <w:r w:rsidR="00FD3610">
              <w:t>alizations and ED visits</w:t>
            </w:r>
            <w:r w:rsidR="00EA64D5">
              <w:t xml:space="preserve"> for members with substance use disorders and with serious mental il</w:t>
            </w:r>
            <w:r w:rsidR="003D1312">
              <w:t>lness)</w:t>
            </w:r>
            <w:r w:rsidR="00FD3610">
              <w:t>.</w:t>
            </w:r>
            <w:r w:rsidR="00575E85">
              <w:t xml:space="preserve"> </w:t>
            </w:r>
            <w:r w:rsidR="3019F8D2">
              <w:t xml:space="preserve">  </w:t>
            </w:r>
            <w:r w:rsidR="00EB04B0" w:rsidRPr="004E5F57">
              <w:t xml:space="preserve"> </w:t>
            </w:r>
            <w:r w:rsidR="00BA49F4" w:rsidRPr="004E5F57">
              <w:t xml:space="preserve"> </w:t>
            </w:r>
          </w:p>
          <w:p w14:paraId="18A038DE" w14:textId="749895AA" w:rsidR="00881F81" w:rsidRPr="004E5F57" w:rsidRDefault="004A0DBA" w:rsidP="00D2693A">
            <w:pPr>
              <w:pStyle w:val="ListParagraph"/>
              <w:numPr>
                <w:ilvl w:val="0"/>
                <w:numId w:val="42"/>
              </w:numPr>
            </w:pPr>
            <w:r>
              <w:t xml:space="preserve">Conduct </w:t>
            </w:r>
            <w:r w:rsidR="00BA49F4" w:rsidRPr="004E5F57">
              <w:t xml:space="preserve">health-related social needs screening </w:t>
            </w:r>
            <w:r w:rsidR="009119E7" w:rsidRPr="004E5F57">
              <w:t>in inpatient</w:t>
            </w:r>
            <w:r w:rsidR="00BA49F4" w:rsidRPr="004E5F57">
              <w:t xml:space="preserve"> and outpatient </w:t>
            </w:r>
            <w:r w:rsidR="00BA49F4">
              <w:t>setti</w:t>
            </w:r>
            <w:r w:rsidR="4A22A233">
              <w:t>ngs</w:t>
            </w:r>
            <w:r w:rsidR="00BA49F4" w:rsidRPr="004E5F57">
              <w:t xml:space="preserve"> to </w:t>
            </w:r>
            <w:r w:rsidR="1E97D802">
              <w:t xml:space="preserve">allow for </w:t>
            </w:r>
            <w:r w:rsidR="00BA49F4">
              <w:t>identif</w:t>
            </w:r>
            <w:r w:rsidR="61A002BA">
              <w:t>ication of</w:t>
            </w:r>
            <w:r w:rsidR="00BA49F4" w:rsidRPr="004E5F57">
              <w:t xml:space="preserve"> </w:t>
            </w:r>
            <w:r w:rsidR="00167464" w:rsidRPr="004E5F57">
              <w:t xml:space="preserve">member needs at the point of service. </w:t>
            </w:r>
          </w:p>
          <w:p w14:paraId="4DDFB4D2" w14:textId="2CB55D51" w:rsidR="00E032D7" w:rsidRPr="004E5F57" w:rsidRDefault="00881F81" w:rsidP="00D2693A">
            <w:pPr>
              <w:pStyle w:val="ListParagraph"/>
              <w:numPr>
                <w:ilvl w:val="0"/>
                <w:numId w:val="42"/>
              </w:numPr>
            </w:pPr>
            <w:r w:rsidRPr="004E5F57">
              <w:t>I</w:t>
            </w:r>
            <w:r w:rsidR="00E93DF7" w:rsidRPr="004E5F57">
              <w:t xml:space="preserve">dentify </w:t>
            </w:r>
            <w:r w:rsidR="5D59A2B0">
              <w:t xml:space="preserve">the need for </w:t>
            </w:r>
            <w:proofErr w:type="gramStart"/>
            <w:r w:rsidR="5D59A2B0">
              <w:t>accommodations</w:t>
            </w:r>
            <w:proofErr w:type="gramEnd"/>
            <w:r w:rsidR="00E93DF7">
              <w:t xml:space="preserve"> </w:t>
            </w:r>
            <w:r w:rsidR="00E93DF7" w:rsidRPr="004E5F57">
              <w:t xml:space="preserve">and ensure </w:t>
            </w:r>
            <w:r w:rsidR="4979F306">
              <w:t xml:space="preserve">that those </w:t>
            </w:r>
            <w:r w:rsidR="00E93DF7" w:rsidRPr="004E5F57">
              <w:t xml:space="preserve">accommodations are </w:t>
            </w:r>
            <w:r w:rsidR="2A6E9BD1">
              <w:t xml:space="preserve">provided </w:t>
            </w:r>
            <w:r w:rsidR="00E93DF7" w:rsidRPr="004E5F57">
              <w:t xml:space="preserve"> </w:t>
            </w:r>
            <w:r w:rsidR="1F5663E7">
              <w:t xml:space="preserve"> in </w:t>
            </w:r>
            <w:proofErr w:type="gramStart"/>
            <w:r w:rsidR="1F5663E7">
              <w:t>delivering</w:t>
            </w:r>
            <w:proofErr w:type="gramEnd"/>
            <w:r w:rsidR="1F5663E7">
              <w:t xml:space="preserve"> care </w:t>
            </w:r>
            <w:r w:rsidR="00E93DF7" w:rsidRPr="004E5F57">
              <w:t>to members with disabilit</w:t>
            </w:r>
            <w:r w:rsidRPr="004E5F57">
              <w:t>ies.</w:t>
            </w:r>
          </w:p>
          <w:p w14:paraId="255EB2FE" w14:textId="77777777" w:rsidR="00E032D7" w:rsidRPr="004E5F57" w:rsidRDefault="00E032D7" w:rsidP="00BF372B"/>
          <w:p w14:paraId="66E240BA" w14:textId="081861E9" w:rsidR="00BF372B" w:rsidRPr="00BF372B" w:rsidRDefault="4DA2E70A" w:rsidP="00BC2F64">
            <w:pPr>
              <w:spacing w:after="120"/>
              <w:rPr>
                <w:sz w:val="24"/>
                <w:szCs w:val="24"/>
              </w:rPr>
            </w:pPr>
            <w:r>
              <w:t>T</w:t>
            </w:r>
            <w:r w:rsidR="4120E19B">
              <w:t xml:space="preserve">o further </w:t>
            </w:r>
            <w:r w:rsidR="66699846">
              <w:t>promot</w:t>
            </w:r>
            <w:r w:rsidR="2F71046C">
              <w:t>e</w:t>
            </w:r>
            <w:r w:rsidR="66699846">
              <w:t xml:space="preserve"> </w:t>
            </w:r>
            <w:r w:rsidR="09C418A9">
              <w:t xml:space="preserve">health equity </w:t>
            </w:r>
            <w:r w:rsidR="6E2958ED">
              <w:t xml:space="preserve">for </w:t>
            </w:r>
            <w:r w:rsidR="09C418A9">
              <w:t>the</w:t>
            </w:r>
            <w:r w:rsidR="3D836103">
              <w:t xml:space="preserve"> maternal </w:t>
            </w:r>
            <w:r w:rsidR="434BCBB0">
              <w:t xml:space="preserve">population, </w:t>
            </w:r>
            <w:r w:rsidR="6058E7E1">
              <w:t xml:space="preserve">a doula program </w:t>
            </w:r>
            <w:r w:rsidR="712603A9">
              <w:t xml:space="preserve">was developed for </w:t>
            </w:r>
            <w:r w:rsidR="4721B866">
              <w:t xml:space="preserve">late </w:t>
            </w:r>
            <w:r w:rsidR="712603A9">
              <w:t>2023 implementation</w:t>
            </w:r>
            <w:r w:rsidR="4721B866">
              <w:t>,</w:t>
            </w:r>
            <w:r w:rsidR="15308316">
              <w:t xml:space="preserve"> </w:t>
            </w:r>
            <w:r w:rsidR="28B59E12">
              <w:t xml:space="preserve">thereby </w:t>
            </w:r>
            <w:r w:rsidR="52AC2E28">
              <w:t>expand</w:t>
            </w:r>
            <w:r w:rsidR="15308316">
              <w:t xml:space="preserve">ing </w:t>
            </w:r>
            <w:r w:rsidR="60CAF16A">
              <w:t xml:space="preserve">member </w:t>
            </w:r>
            <w:r w:rsidR="52AC2E28">
              <w:t xml:space="preserve">access to </w:t>
            </w:r>
            <w:proofErr w:type="gramStart"/>
            <w:r w:rsidR="24A00674">
              <w:t>d</w:t>
            </w:r>
            <w:r w:rsidR="52AC2E28">
              <w:t>oula</w:t>
            </w:r>
            <w:r w:rsidR="60CAF16A">
              <w:t>s</w:t>
            </w:r>
            <w:proofErr w:type="gramEnd"/>
            <w:r w:rsidR="60CAF16A">
              <w:t xml:space="preserve">. </w:t>
            </w:r>
            <w:r w:rsidR="5F1037C9">
              <w:t>For the justice involved population</w:t>
            </w:r>
            <w:r w:rsidR="6F142753">
              <w:t xml:space="preserve">, </w:t>
            </w:r>
            <w:r w:rsidR="0E1B8A20">
              <w:t xml:space="preserve">partnerships </w:t>
            </w:r>
            <w:r w:rsidR="531D6882">
              <w:t xml:space="preserve">have been </w:t>
            </w:r>
            <w:proofErr w:type="gramStart"/>
            <w:r w:rsidR="531D6882">
              <w:t>developed</w:t>
            </w:r>
            <w:proofErr w:type="gramEnd"/>
            <w:r w:rsidR="531D6882">
              <w:t xml:space="preserve"> </w:t>
            </w:r>
            <w:r w:rsidR="726E3BEA">
              <w:t xml:space="preserve">and </w:t>
            </w:r>
            <w:r w:rsidR="052F369F">
              <w:t xml:space="preserve">progress has been made </w:t>
            </w:r>
            <w:r w:rsidR="35222F3C">
              <w:t xml:space="preserve">to </w:t>
            </w:r>
            <w:r w:rsidR="00555249">
              <w:t>ensure coverage</w:t>
            </w:r>
            <w:r w:rsidR="6D71FAFA">
              <w:t xml:space="preserve">, access </w:t>
            </w:r>
            <w:r w:rsidR="00B45A93">
              <w:t>to, and</w:t>
            </w:r>
            <w:r w:rsidR="6EC7FB44">
              <w:t xml:space="preserve"> continuity </w:t>
            </w:r>
            <w:r w:rsidR="0A3D959B">
              <w:t xml:space="preserve">of </w:t>
            </w:r>
            <w:r w:rsidR="6EC7FB44">
              <w:t>care</w:t>
            </w:r>
            <w:r w:rsidR="6F142753">
              <w:t xml:space="preserve"> </w:t>
            </w:r>
            <w:r w:rsidR="3CFCFEB0">
              <w:t>for</w:t>
            </w:r>
            <w:r w:rsidR="6F142753">
              <w:t xml:space="preserve"> the population </w:t>
            </w:r>
            <w:r w:rsidR="001E079E">
              <w:t>in transition</w:t>
            </w:r>
            <w:r w:rsidR="6F142753">
              <w:t xml:space="preserve"> from</w:t>
            </w:r>
            <w:r w:rsidR="02DAAEC0">
              <w:t xml:space="preserve"> correctional faci</w:t>
            </w:r>
            <w:r w:rsidR="48CEC310">
              <w:t>lities</w:t>
            </w:r>
            <w:r w:rsidR="02DAAEC0">
              <w:t xml:space="preserve"> </w:t>
            </w:r>
            <w:r w:rsidR="00413A0D">
              <w:t>to the</w:t>
            </w:r>
            <w:r w:rsidR="6F142753">
              <w:t xml:space="preserve"> community</w:t>
            </w:r>
            <w:r w:rsidR="35027292">
              <w:t xml:space="preserve"> </w:t>
            </w:r>
            <w:r w:rsidR="358A8552">
              <w:t>setting</w:t>
            </w:r>
            <w:r w:rsidR="7265E92F">
              <w:t>.</w:t>
            </w:r>
            <w:r w:rsidR="382C1BCB">
              <w:t xml:space="preserve"> In 2024</w:t>
            </w:r>
            <w:r w:rsidR="1E516EC0">
              <w:t xml:space="preserve">, </w:t>
            </w:r>
            <w:r w:rsidR="5DF95793">
              <w:t>MassHealth rece</w:t>
            </w:r>
            <w:r w:rsidR="792B9079">
              <w:t xml:space="preserve">ived federal approval to enroll </w:t>
            </w:r>
            <w:r w:rsidR="00F63EC3">
              <w:t xml:space="preserve">incarcerated </w:t>
            </w:r>
            <w:r w:rsidR="792B9079">
              <w:t>individuals</w:t>
            </w:r>
            <w:r w:rsidR="5C547AE6">
              <w:t xml:space="preserve"> </w:t>
            </w:r>
            <w:r w:rsidR="6D5763CF">
              <w:t xml:space="preserve">in MassHealth </w:t>
            </w:r>
            <w:r w:rsidR="5C547AE6">
              <w:t>90-</w:t>
            </w:r>
            <w:proofErr w:type="gramStart"/>
            <w:r w:rsidR="5C547AE6">
              <w:t>days</w:t>
            </w:r>
            <w:proofErr w:type="gramEnd"/>
            <w:r w:rsidR="5C547AE6">
              <w:t xml:space="preserve"> pre-release</w:t>
            </w:r>
            <w:r w:rsidR="4EAB7121">
              <w:t>, thus ensuring no gaps in access to coverage</w:t>
            </w:r>
            <w:r w:rsidR="5DEDC50C">
              <w:t>.</w:t>
            </w:r>
            <w:r w:rsidR="274D7302" w:rsidRPr="0939FE37">
              <w:rPr>
                <w:sz w:val="24"/>
                <w:szCs w:val="24"/>
              </w:rPr>
              <w:t xml:space="preserve"> </w:t>
            </w:r>
          </w:p>
        </w:tc>
      </w:tr>
    </w:tbl>
    <w:p w14:paraId="50C86ABE" w14:textId="77777777" w:rsidR="00BF4E83" w:rsidRDefault="00BF4E83" w:rsidP="00753CD6">
      <w:pPr>
        <w:pStyle w:val="Default"/>
        <w:rPr>
          <w:rFonts w:asciiTheme="minorHAnsi" w:hAnsiTheme="minorHAnsi" w:cstheme="minorBidi"/>
          <w:sz w:val="22"/>
          <w:szCs w:val="22"/>
        </w:rPr>
      </w:pPr>
    </w:p>
    <w:p w14:paraId="489A890D" w14:textId="4DE19395" w:rsidR="00753CD6" w:rsidRPr="006207CB" w:rsidRDefault="005B4493" w:rsidP="002978C9">
      <w:pPr>
        <w:pStyle w:val="Default"/>
        <w:spacing w:line="259" w:lineRule="auto"/>
        <w:rPr>
          <w:rFonts w:asciiTheme="minorHAnsi" w:hAnsiTheme="minorHAnsi" w:cstheme="minorBidi"/>
          <w:sz w:val="22"/>
          <w:szCs w:val="22"/>
        </w:rPr>
      </w:pPr>
      <w:r w:rsidRPr="0939FE37">
        <w:rPr>
          <w:rFonts w:asciiTheme="minorHAnsi" w:hAnsiTheme="minorHAnsi" w:cstheme="minorBidi"/>
          <w:sz w:val="22"/>
          <w:szCs w:val="22"/>
        </w:rPr>
        <w:t>MassHealth</w:t>
      </w:r>
      <w:r w:rsidR="003B298E" w:rsidRPr="0939FE37">
        <w:rPr>
          <w:rFonts w:asciiTheme="minorHAnsi" w:hAnsiTheme="minorHAnsi" w:cstheme="minorBidi"/>
          <w:sz w:val="22"/>
          <w:szCs w:val="22"/>
        </w:rPr>
        <w:t xml:space="preserve"> </w:t>
      </w:r>
      <w:r w:rsidR="00DC51C0" w:rsidRPr="0939FE37">
        <w:rPr>
          <w:rFonts w:asciiTheme="minorHAnsi" w:hAnsiTheme="minorHAnsi" w:cstheme="minorBidi"/>
          <w:sz w:val="22"/>
          <w:szCs w:val="22"/>
        </w:rPr>
        <w:t>is</w:t>
      </w:r>
      <w:r w:rsidR="00AB6B85" w:rsidRPr="0939FE37">
        <w:rPr>
          <w:rFonts w:asciiTheme="minorHAnsi" w:hAnsiTheme="minorHAnsi" w:cstheme="minorBidi"/>
          <w:sz w:val="22"/>
          <w:szCs w:val="22"/>
        </w:rPr>
        <w:t xml:space="preserve"> on track</w:t>
      </w:r>
      <w:r w:rsidR="00CF735F" w:rsidRPr="0939FE37">
        <w:rPr>
          <w:rFonts w:asciiTheme="minorHAnsi" w:hAnsiTheme="minorHAnsi" w:cstheme="minorBidi"/>
          <w:sz w:val="22"/>
          <w:szCs w:val="22"/>
        </w:rPr>
        <w:t xml:space="preserve"> to </w:t>
      </w:r>
      <w:r w:rsidR="00473E21" w:rsidRPr="0939FE37">
        <w:rPr>
          <w:rFonts w:asciiTheme="minorHAnsi" w:hAnsiTheme="minorHAnsi" w:cstheme="minorBidi"/>
          <w:sz w:val="22"/>
          <w:szCs w:val="22"/>
        </w:rPr>
        <w:t>achieve</w:t>
      </w:r>
      <w:r w:rsidR="00CF735F" w:rsidRPr="0939FE37">
        <w:rPr>
          <w:rFonts w:asciiTheme="minorHAnsi" w:hAnsiTheme="minorHAnsi" w:cstheme="minorBidi"/>
          <w:sz w:val="22"/>
          <w:szCs w:val="22"/>
        </w:rPr>
        <w:t xml:space="preserve"> Goal 2</w:t>
      </w:r>
      <w:r w:rsidR="00AB6B85" w:rsidRPr="0939FE37">
        <w:rPr>
          <w:rFonts w:asciiTheme="minorHAnsi" w:hAnsiTheme="minorHAnsi" w:cstheme="minorBidi"/>
          <w:sz w:val="22"/>
          <w:szCs w:val="22"/>
        </w:rPr>
        <w:t xml:space="preserve">, making strong </w:t>
      </w:r>
      <w:r w:rsidR="00DC51C0" w:rsidRPr="0939FE37">
        <w:rPr>
          <w:rFonts w:asciiTheme="minorHAnsi" w:hAnsiTheme="minorHAnsi" w:cstheme="minorBidi"/>
          <w:sz w:val="22"/>
          <w:szCs w:val="22"/>
        </w:rPr>
        <w:t xml:space="preserve">progress </w:t>
      </w:r>
      <w:r w:rsidR="006A54A1" w:rsidRPr="0939FE37">
        <w:rPr>
          <w:rFonts w:asciiTheme="minorHAnsi" w:hAnsiTheme="minorHAnsi" w:cstheme="minorBidi"/>
          <w:sz w:val="22"/>
          <w:szCs w:val="22"/>
        </w:rPr>
        <w:t>toward p</w:t>
      </w:r>
      <w:r w:rsidR="00F039B1" w:rsidRPr="0939FE37">
        <w:rPr>
          <w:rFonts w:asciiTheme="minorHAnsi" w:hAnsiTheme="minorHAnsi" w:cstheme="minorBidi"/>
          <w:sz w:val="22"/>
          <w:szCs w:val="22"/>
        </w:rPr>
        <w:t>romot</w:t>
      </w:r>
      <w:r w:rsidR="006A54A1" w:rsidRPr="0939FE37">
        <w:rPr>
          <w:rFonts w:asciiTheme="minorHAnsi" w:hAnsiTheme="minorHAnsi" w:cstheme="minorBidi"/>
          <w:sz w:val="22"/>
          <w:szCs w:val="22"/>
        </w:rPr>
        <w:t>ing</w:t>
      </w:r>
      <w:r w:rsidR="00F039B1" w:rsidRPr="0939FE37">
        <w:rPr>
          <w:rFonts w:asciiTheme="minorHAnsi" w:hAnsiTheme="minorHAnsi" w:cstheme="minorBidi"/>
          <w:sz w:val="22"/>
          <w:szCs w:val="22"/>
        </w:rPr>
        <w:t xml:space="preserve"> equitable care</w:t>
      </w:r>
      <w:r w:rsidR="006A54A1" w:rsidRPr="0939FE37">
        <w:rPr>
          <w:rFonts w:asciiTheme="minorHAnsi" w:hAnsiTheme="minorHAnsi" w:cstheme="minorBidi"/>
          <w:sz w:val="22"/>
          <w:szCs w:val="22"/>
        </w:rPr>
        <w:t>.</w:t>
      </w:r>
      <w:r w:rsidR="00F11761" w:rsidRPr="0939FE37">
        <w:rPr>
          <w:rFonts w:asciiTheme="minorHAnsi" w:hAnsiTheme="minorHAnsi" w:cstheme="minorBidi"/>
          <w:sz w:val="22"/>
          <w:szCs w:val="22"/>
        </w:rPr>
        <w:t xml:space="preserve"> </w:t>
      </w:r>
      <w:r w:rsidR="00892A05" w:rsidRPr="0939FE37">
        <w:rPr>
          <w:rFonts w:asciiTheme="minorHAnsi" w:hAnsiTheme="minorHAnsi" w:cstheme="minorBidi"/>
          <w:sz w:val="22"/>
          <w:szCs w:val="22"/>
        </w:rPr>
        <w:t xml:space="preserve">MassHealth completed </w:t>
      </w:r>
      <w:r w:rsidR="00794215" w:rsidRPr="0939FE37">
        <w:rPr>
          <w:rFonts w:asciiTheme="minorHAnsi" w:hAnsiTheme="minorHAnsi" w:cstheme="minorBidi"/>
          <w:sz w:val="22"/>
          <w:szCs w:val="22"/>
        </w:rPr>
        <w:t xml:space="preserve">planning </w:t>
      </w:r>
      <w:r w:rsidR="00413A0D" w:rsidRPr="0939FE37">
        <w:rPr>
          <w:rFonts w:asciiTheme="minorHAnsi" w:hAnsiTheme="minorHAnsi" w:cstheme="minorBidi"/>
          <w:sz w:val="22"/>
          <w:szCs w:val="22"/>
        </w:rPr>
        <w:t xml:space="preserve">and </w:t>
      </w:r>
      <w:r w:rsidR="00413A0D" w:rsidRPr="35F40B54">
        <w:rPr>
          <w:rFonts w:asciiTheme="minorHAnsi" w:hAnsiTheme="minorHAnsi" w:cstheme="minorBidi"/>
          <w:sz w:val="22"/>
          <w:szCs w:val="22"/>
        </w:rPr>
        <w:t>initiated</w:t>
      </w:r>
      <w:r w:rsidR="009EFDD7" w:rsidRPr="35F40B54">
        <w:rPr>
          <w:rFonts w:asciiTheme="minorHAnsi" w:hAnsiTheme="minorHAnsi" w:cstheme="minorBidi"/>
          <w:sz w:val="22"/>
          <w:szCs w:val="22"/>
        </w:rPr>
        <w:t xml:space="preserve"> </w:t>
      </w:r>
      <w:r w:rsidR="00892A05" w:rsidRPr="0939FE37">
        <w:rPr>
          <w:rFonts w:asciiTheme="minorHAnsi" w:hAnsiTheme="minorHAnsi" w:cstheme="minorBidi"/>
          <w:sz w:val="22"/>
          <w:szCs w:val="22"/>
        </w:rPr>
        <w:t>provider</w:t>
      </w:r>
      <w:r w:rsidR="0075185A" w:rsidRPr="0939FE37">
        <w:rPr>
          <w:rFonts w:asciiTheme="minorHAnsi" w:hAnsiTheme="minorHAnsi" w:cstheme="minorBidi"/>
          <w:sz w:val="22"/>
          <w:szCs w:val="22"/>
        </w:rPr>
        <w:t>/</w:t>
      </w:r>
      <w:r w:rsidR="00A47CBB" w:rsidRPr="0939FE37">
        <w:rPr>
          <w:rFonts w:asciiTheme="minorHAnsi" w:hAnsiTheme="minorHAnsi" w:cstheme="minorBidi"/>
          <w:sz w:val="22"/>
          <w:szCs w:val="22"/>
        </w:rPr>
        <w:t xml:space="preserve">managed care </w:t>
      </w:r>
      <w:r w:rsidR="00892A05" w:rsidRPr="0939FE37">
        <w:rPr>
          <w:rFonts w:asciiTheme="minorHAnsi" w:hAnsiTheme="minorHAnsi" w:cstheme="minorBidi"/>
          <w:sz w:val="22"/>
          <w:szCs w:val="22"/>
        </w:rPr>
        <w:t xml:space="preserve">plan </w:t>
      </w:r>
      <w:r w:rsidR="007D767E" w:rsidRPr="0939FE37">
        <w:rPr>
          <w:rFonts w:asciiTheme="minorHAnsi" w:hAnsiTheme="minorHAnsi" w:cstheme="minorBidi"/>
          <w:sz w:val="22"/>
          <w:szCs w:val="22"/>
        </w:rPr>
        <w:t xml:space="preserve">engagement </w:t>
      </w:r>
      <w:r w:rsidR="00413A0D" w:rsidRPr="0939FE37">
        <w:rPr>
          <w:rFonts w:asciiTheme="minorHAnsi" w:hAnsiTheme="minorHAnsi" w:cstheme="minorBidi"/>
          <w:sz w:val="22"/>
          <w:szCs w:val="22"/>
        </w:rPr>
        <w:t xml:space="preserve">activities </w:t>
      </w:r>
      <w:r w:rsidR="00F63EC3" w:rsidRPr="0939FE37">
        <w:rPr>
          <w:rFonts w:asciiTheme="minorHAnsi" w:hAnsiTheme="minorHAnsi" w:cstheme="minorBidi"/>
          <w:sz w:val="22"/>
          <w:szCs w:val="22"/>
        </w:rPr>
        <w:t>to</w:t>
      </w:r>
      <w:r w:rsidR="4F42D41C" w:rsidRPr="35F40B54">
        <w:rPr>
          <w:rFonts w:asciiTheme="minorHAnsi" w:hAnsiTheme="minorHAnsi" w:cstheme="minorBidi"/>
          <w:sz w:val="22"/>
          <w:szCs w:val="22"/>
        </w:rPr>
        <w:t xml:space="preserve"> begin </w:t>
      </w:r>
      <w:r w:rsidR="00883F79" w:rsidRPr="0939FE37">
        <w:rPr>
          <w:rFonts w:asciiTheme="minorHAnsi" w:hAnsiTheme="minorHAnsi" w:cstheme="minorBidi"/>
          <w:sz w:val="22"/>
          <w:szCs w:val="22"/>
        </w:rPr>
        <w:t>HQEIP program</w:t>
      </w:r>
      <w:r w:rsidR="006A54A1" w:rsidRPr="0939FE37">
        <w:rPr>
          <w:rFonts w:asciiTheme="minorHAnsi" w:hAnsiTheme="minorHAnsi" w:cstheme="minorBidi"/>
          <w:sz w:val="22"/>
          <w:szCs w:val="22"/>
        </w:rPr>
        <w:t xml:space="preserve"> </w:t>
      </w:r>
      <w:r w:rsidR="00413A0D" w:rsidRPr="0939FE37">
        <w:rPr>
          <w:rFonts w:asciiTheme="minorHAnsi" w:hAnsiTheme="minorHAnsi" w:cstheme="minorBidi"/>
          <w:sz w:val="22"/>
          <w:szCs w:val="22"/>
        </w:rPr>
        <w:t>implementation in</w:t>
      </w:r>
      <w:r w:rsidR="00EB6716" w:rsidRPr="0939FE37">
        <w:rPr>
          <w:rFonts w:asciiTheme="minorHAnsi" w:hAnsiTheme="minorHAnsi" w:cstheme="minorBidi"/>
          <w:sz w:val="22"/>
          <w:szCs w:val="22"/>
        </w:rPr>
        <w:t xml:space="preserve"> 2023</w:t>
      </w:r>
      <w:r w:rsidR="00FD09FE" w:rsidRPr="0939FE37">
        <w:rPr>
          <w:rFonts w:asciiTheme="minorHAnsi" w:hAnsiTheme="minorHAnsi" w:cstheme="minorBidi"/>
          <w:sz w:val="22"/>
          <w:szCs w:val="22"/>
        </w:rPr>
        <w:t>.</w:t>
      </w:r>
      <w:r w:rsidR="00190B18" w:rsidRPr="0939FE37">
        <w:rPr>
          <w:rFonts w:asciiTheme="minorHAnsi" w:hAnsiTheme="minorHAnsi" w:cstheme="minorBidi"/>
          <w:sz w:val="22"/>
          <w:szCs w:val="22"/>
        </w:rPr>
        <w:t xml:space="preserve"> </w:t>
      </w:r>
      <w:r w:rsidR="00413A0D" w:rsidRPr="0939FE37">
        <w:rPr>
          <w:rFonts w:asciiTheme="minorHAnsi" w:hAnsiTheme="minorHAnsi" w:cstheme="minorBidi"/>
          <w:sz w:val="22"/>
          <w:szCs w:val="22"/>
        </w:rPr>
        <w:t xml:space="preserve">MassHealth </w:t>
      </w:r>
      <w:r w:rsidR="00413A0D" w:rsidRPr="35F40B54">
        <w:rPr>
          <w:rFonts w:asciiTheme="minorHAnsi" w:hAnsiTheme="minorHAnsi" w:cstheme="minorBidi"/>
          <w:sz w:val="22"/>
          <w:szCs w:val="22"/>
        </w:rPr>
        <w:t>developed</w:t>
      </w:r>
      <w:r w:rsidR="5D8D6F29" w:rsidRPr="35F40B54">
        <w:rPr>
          <w:rFonts w:asciiTheme="minorHAnsi" w:hAnsiTheme="minorHAnsi" w:cstheme="minorBidi"/>
          <w:sz w:val="22"/>
          <w:szCs w:val="22"/>
        </w:rPr>
        <w:t xml:space="preserve"> </w:t>
      </w:r>
      <w:r w:rsidR="00740F1D" w:rsidRPr="0939FE37">
        <w:rPr>
          <w:rFonts w:asciiTheme="minorHAnsi" w:hAnsiTheme="minorHAnsi" w:cstheme="minorBidi"/>
          <w:sz w:val="22"/>
          <w:szCs w:val="22"/>
        </w:rPr>
        <w:t>data</w:t>
      </w:r>
      <w:r w:rsidR="00190B18" w:rsidRPr="0939FE37">
        <w:rPr>
          <w:rFonts w:asciiTheme="minorHAnsi" w:hAnsiTheme="minorHAnsi" w:cstheme="minorBidi"/>
          <w:sz w:val="22"/>
          <w:szCs w:val="22"/>
        </w:rPr>
        <w:t xml:space="preserve"> </w:t>
      </w:r>
      <w:r w:rsidR="00D64E80" w:rsidRPr="0939FE37">
        <w:rPr>
          <w:rFonts w:asciiTheme="minorHAnsi" w:hAnsiTheme="minorHAnsi" w:cstheme="minorBidi"/>
          <w:sz w:val="22"/>
          <w:szCs w:val="22"/>
        </w:rPr>
        <w:t>s</w:t>
      </w:r>
      <w:r w:rsidR="007332A6" w:rsidRPr="0939FE37">
        <w:rPr>
          <w:rFonts w:asciiTheme="minorHAnsi" w:hAnsiTheme="minorHAnsi" w:cstheme="minorBidi"/>
          <w:sz w:val="22"/>
          <w:szCs w:val="22"/>
        </w:rPr>
        <w:t>tandard</w:t>
      </w:r>
      <w:r w:rsidR="00D64E80" w:rsidRPr="0939FE37">
        <w:rPr>
          <w:rFonts w:asciiTheme="minorHAnsi" w:hAnsiTheme="minorHAnsi" w:cstheme="minorBidi"/>
          <w:sz w:val="22"/>
          <w:szCs w:val="22"/>
        </w:rPr>
        <w:t>s and</w:t>
      </w:r>
      <w:r w:rsidR="007332A6" w:rsidRPr="0939FE37">
        <w:rPr>
          <w:rFonts w:asciiTheme="minorHAnsi" w:hAnsiTheme="minorHAnsi" w:cstheme="minorBidi"/>
          <w:sz w:val="22"/>
          <w:szCs w:val="22"/>
        </w:rPr>
        <w:t xml:space="preserve"> </w:t>
      </w:r>
      <w:r w:rsidR="00740F1D" w:rsidRPr="0939FE37">
        <w:rPr>
          <w:rFonts w:asciiTheme="minorHAnsi" w:hAnsiTheme="minorHAnsi" w:cstheme="minorBidi"/>
          <w:sz w:val="22"/>
          <w:szCs w:val="22"/>
        </w:rPr>
        <w:t>commenced</w:t>
      </w:r>
      <w:r w:rsidR="00A1683E" w:rsidRPr="0939FE37">
        <w:rPr>
          <w:rFonts w:asciiTheme="minorHAnsi" w:hAnsiTheme="minorHAnsi" w:cstheme="minorBidi"/>
          <w:sz w:val="22"/>
          <w:szCs w:val="22"/>
        </w:rPr>
        <w:t xml:space="preserve"> </w:t>
      </w:r>
      <w:r w:rsidR="007942AD" w:rsidRPr="0939FE37">
        <w:rPr>
          <w:rFonts w:asciiTheme="minorHAnsi" w:hAnsiTheme="minorHAnsi" w:cstheme="minorBidi"/>
          <w:sz w:val="22"/>
          <w:szCs w:val="22"/>
        </w:rPr>
        <w:t>collectio</w:t>
      </w:r>
      <w:r w:rsidR="007332A6" w:rsidRPr="0939FE37">
        <w:rPr>
          <w:rFonts w:asciiTheme="minorHAnsi" w:hAnsiTheme="minorHAnsi" w:cstheme="minorBidi"/>
          <w:sz w:val="22"/>
          <w:szCs w:val="22"/>
        </w:rPr>
        <w:t>n</w:t>
      </w:r>
      <w:r w:rsidR="00726136" w:rsidRPr="0939FE37">
        <w:rPr>
          <w:rFonts w:asciiTheme="minorHAnsi" w:hAnsiTheme="minorHAnsi" w:cstheme="minorBidi"/>
          <w:sz w:val="22"/>
          <w:szCs w:val="22"/>
        </w:rPr>
        <w:t xml:space="preserve"> o</w:t>
      </w:r>
      <w:r w:rsidR="00D64E80" w:rsidRPr="0939FE37">
        <w:rPr>
          <w:rFonts w:asciiTheme="minorHAnsi" w:hAnsiTheme="minorHAnsi" w:cstheme="minorBidi"/>
          <w:sz w:val="22"/>
          <w:szCs w:val="22"/>
        </w:rPr>
        <w:t>f</w:t>
      </w:r>
      <w:r w:rsidR="00726136" w:rsidRPr="0939FE37">
        <w:rPr>
          <w:rFonts w:asciiTheme="minorHAnsi" w:hAnsiTheme="minorHAnsi" w:cstheme="minorBidi"/>
          <w:sz w:val="22"/>
          <w:szCs w:val="22"/>
        </w:rPr>
        <w:t xml:space="preserve"> SRF data</w:t>
      </w:r>
      <w:r w:rsidR="004857CF">
        <w:rPr>
          <w:rFonts w:asciiTheme="minorHAnsi" w:hAnsiTheme="minorHAnsi" w:cstheme="minorBidi"/>
          <w:sz w:val="22"/>
          <w:szCs w:val="22"/>
        </w:rPr>
        <w:t>.</w:t>
      </w:r>
      <w:r w:rsidR="00726136" w:rsidRPr="0939FE37">
        <w:rPr>
          <w:rFonts w:asciiTheme="minorHAnsi" w:hAnsiTheme="minorHAnsi" w:cstheme="minorBidi"/>
          <w:sz w:val="22"/>
          <w:szCs w:val="22"/>
        </w:rPr>
        <w:t xml:space="preserve"> </w:t>
      </w:r>
      <w:r w:rsidR="00C00D89">
        <w:rPr>
          <w:rFonts w:asciiTheme="minorHAnsi" w:hAnsiTheme="minorHAnsi" w:cstheme="minorBidi"/>
          <w:sz w:val="22"/>
          <w:szCs w:val="22"/>
        </w:rPr>
        <w:t>Standardizing data collection</w:t>
      </w:r>
      <w:r w:rsidR="00CB14F1">
        <w:rPr>
          <w:rFonts w:asciiTheme="minorHAnsi" w:hAnsiTheme="minorHAnsi" w:cstheme="minorBidi"/>
          <w:sz w:val="22"/>
          <w:szCs w:val="22"/>
        </w:rPr>
        <w:t xml:space="preserve"> will</w:t>
      </w:r>
      <w:r w:rsidR="007F3F9D">
        <w:rPr>
          <w:rFonts w:asciiTheme="minorHAnsi" w:hAnsiTheme="minorHAnsi" w:cstheme="minorBidi"/>
          <w:sz w:val="22"/>
          <w:szCs w:val="22"/>
        </w:rPr>
        <w:t xml:space="preserve"> </w:t>
      </w:r>
      <w:r w:rsidR="00873B72">
        <w:rPr>
          <w:rFonts w:asciiTheme="minorHAnsi" w:hAnsiTheme="minorHAnsi" w:cstheme="minorBidi"/>
          <w:sz w:val="22"/>
          <w:szCs w:val="22"/>
        </w:rPr>
        <w:t xml:space="preserve">result in higher quality data, </w:t>
      </w:r>
      <w:r w:rsidR="0013013D" w:rsidRPr="0939FE37">
        <w:rPr>
          <w:rFonts w:asciiTheme="minorHAnsi" w:hAnsiTheme="minorHAnsi" w:cstheme="minorBidi"/>
          <w:sz w:val="22"/>
          <w:szCs w:val="22"/>
        </w:rPr>
        <w:t>which</w:t>
      </w:r>
      <w:r w:rsidR="00F867DF" w:rsidRPr="0939FE37">
        <w:rPr>
          <w:rFonts w:asciiTheme="minorHAnsi" w:hAnsiTheme="minorHAnsi" w:cstheme="minorBidi"/>
          <w:sz w:val="22"/>
          <w:szCs w:val="22"/>
        </w:rPr>
        <w:t xml:space="preserve"> </w:t>
      </w:r>
      <w:r w:rsidR="00413A0D" w:rsidRPr="0939FE37">
        <w:rPr>
          <w:rFonts w:asciiTheme="minorHAnsi" w:hAnsiTheme="minorHAnsi" w:cstheme="minorBidi"/>
          <w:sz w:val="22"/>
          <w:szCs w:val="22"/>
        </w:rPr>
        <w:t xml:space="preserve">will </w:t>
      </w:r>
      <w:r w:rsidR="00413A0D" w:rsidRPr="35F40B54">
        <w:rPr>
          <w:rFonts w:asciiTheme="minorHAnsi" w:hAnsiTheme="minorHAnsi" w:cstheme="minorBidi"/>
          <w:sz w:val="22"/>
          <w:szCs w:val="22"/>
        </w:rPr>
        <w:t>then</w:t>
      </w:r>
      <w:r w:rsidR="1CDA3088" w:rsidRPr="35F40B54">
        <w:rPr>
          <w:rFonts w:asciiTheme="minorHAnsi" w:hAnsiTheme="minorHAnsi" w:cstheme="minorBidi"/>
          <w:sz w:val="22"/>
          <w:szCs w:val="22"/>
        </w:rPr>
        <w:t xml:space="preserve"> </w:t>
      </w:r>
      <w:r w:rsidR="00AF310A" w:rsidRPr="0939FE37">
        <w:rPr>
          <w:rFonts w:asciiTheme="minorHAnsi" w:hAnsiTheme="minorHAnsi" w:cstheme="minorBidi"/>
          <w:sz w:val="22"/>
          <w:szCs w:val="22"/>
        </w:rPr>
        <w:t>be used to stratify</w:t>
      </w:r>
      <w:r w:rsidR="007332A6" w:rsidRPr="0939FE37">
        <w:rPr>
          <w:rFonts w:asciiTheme="minorHAnsi" w:hAnsiTheme="minorHAnsi" w:cstheme="minorBidi"/>
          <w:sz w:val="22"/>
          <w:szCs w:val="22"/>
        </w:rPr>
        <w:t xml:space="preserve"> </w:t>
      </w:r>
      <w:r w:rsidR="00A87854" w:rsidRPr="0939FE37">
        <w:rPr>
          <w:rFonts w:asciiTheme="minorHAnsi" w:hAnsiTheme="minorHAnsi" w:cstheme="minorBidi"/>
          <w:sz w:val="22"/>
          <w:szCs w:val="22"/>
        </w:rPr>
        <w:t xml:space="preserve">quality </w:t>
      </w:r>
      <w:r w:rsidR="007332A6" w:rsidRPr="0939FE37">
        <w:rPr>
          <w:rFonts w:asciiTheme="minorHAnsi" w:hAnsiTheme="minorHAnsi" w:cstheme="minorBidi"/>
          <w:sz w:val="22"/>
          <w:szCs w:val="22"/>
        </w:rPr>
        <w:t>measures</w:t>
      </w:r>
      <w:r w:rsidR="007942AD" w:rsidRPr="0939FE37">
        <w:rPr>
          <w:rFonts w:asciiTheme="minorHAnsi" w:hAnsiTheme="minorHAnsi" w:cstheme="minorBidi"/>
          <w:sz w:val="22"/>
          <w:szCs w:val="22"/>
        </w:rPr>
        <w:t xml:space="preserve"> </w:t>
      </w:r>
      <w:r w:rsidR="00A87854" w:rsidRPr="0939FE37">
        <w:rPr>
          <w:rFonts w:asciiTheme="minorHAnsi" w:hAnsiTheme="minorHAnsi" w:cstheme="minorBidi"/>
          <w:sz w:val="22"/>
          <w:szCs w:val="22"/>
        </w:rPr>
        <w:t xml:space="preserve">and </w:t>
      </w:r>
      <w:r w:rsidR="1535A7F0" w:rsidRPr="35F40B54">
        <w:rPr>
          <w:rFonts w:asciiTheme="minorHAnsi" w:hAnsiTheme="minorHAnsi" w:cstheme="minorBidi"/>
          <w:sz w:val="22"/>
          <w:szCs w:val="22"/>
        </w:rPr>
        <w:t xml:space="preserve">better </w:t>
      </w:r>
      <w:r w:rsidR="733F5AC8" w:rsidRPr="35F40B54">
        <w:rPr>
          <w:rFonts w:asciiTheme="minorHAnsi" w:hAnsiTheme="minorHAnsi" w:cstheme="minorBidi"/>
          <w:sz w:val="22"/>
          <w:szCs w:val="22"/>
        </w:rPr>
        <w:t>e</w:t>
      </w:r>
      <w:r w:rsidR="4284B81C" w:rsidRPr="35F40B54">
        <w:rPr>
          <w:rFonts w:asciiTheme="minorHAnsi" w:hAnsiTheme="minorHAnsi" w:cstheme="minorBidi"/>
          <w:sz w:val="22"/>
          <w:szCs w:val="22"/>
        </w:rPr>
        <w:t>n</w:t>
      </w:r>
      <w:r w:rsidR="733F5AC8" w:rsidRPr="35F40B54">
        <w:rPr>
          <w:rFonts w:asciiTheme="minorHAnsi" w:hAnsiTheme="minorHAnsi" w:cstheme="minorBidi"/>
          <w:sz w:val="22"/>
          <w:szCs w:val="22"/>
        </w:rPr>
        <w:t xml:space="preserve">able identification </w:t>
      </w:r>
      <w:r w:rsidR="00413A0D" w:rsidRPr="35F40B54">
        <w:rPr>
          <w:rFonts w:asciiTheme="minorHAnsi" w:hAnsiTheme="minorHAnsi" w:cstheme="minorBidi"/>
          <w:sz w:val="22"/>
          <w:szCs w:val="22"/>
        </w:rPr>
        <w:t xml:space="preserve">of </w:t>
      </w:r>
      <w:r w:rsidR="00413A0D" w:rsidRPr="0939FE37">
        <w:rPr>
          <w:rFonts w:asciiTheme="minorHAnsi" w:hAnsiTheme="minorHAnsi" w:cstheme="minorBidi"/>
          <w:sz w:val="22"/>
          <w:szCs w:val="22"/>
        </w:rPr>
        <w:t>opportunities</w:t>
      </w:r>
      <w:r w:rsidR="00A87854" w:rsidRPr="0939FE37">
        <w:rPr>
          <w:rFonts w:asciiTheme="minorHAnsi" w:hAnsiTheme="minorHAnsi" w:cstheme="minorBidi"/>
          <w:sz w:val="22"/>
          <w:szCs w:val="22"/>
        </w:rPr>
        <w:t xml:space="preserve"> to address disparities </w:t>
      </w:r>
      <w:r w:rsidR="676BBF11" w:rsidRPr="35F40B54">
        <w:rPr>
          <w:rFonts w:asciiTheme="minorHAnsi" w:hAnsiTheme="minorHAnsi" w:cstheme="minorBidi"/>
          <w:sz w:val="22"/>
          <w:szCs w:val="22"/>
        </w:rPr>
        <w:t xml:space="preserve">in </w:t>
      </w:r>
      <w:r w:rsidR="669F4D51" w:rsidRPr="35F40B54">
        <w:rPr>
          <w:rFonts w:asciiTheme="minorHAnsi" w:hAnsiTheme="minorHAnsi" w:cstheme="minorBidi"/>
          <w:sz w:val="22"/>
          <w:szCs w:val="22"/>
        </w:rPr>
        <w:t xml:space="preserve">the future.  </w:t>
      </w:r>
      <w:r w:rsidR="00D04144" w:rsidRPr="0939FE37">
        <w:rPr>
          <w:rFonts w:asciiTheme="minorHAnsi" w:hAnsiTheme="minorHAnsi" w:cstheme="minorBidi"/>
          <w:sz w:val="22"/>
          <w:szCs w:val="22"/>
        </w:rPr>
        <w:t>D</w:t>
      </w:r>
      <w:r w:rsidR="00B479F7" w:rsidRPr="0939FE37">
        <w:rPr>
          <w:rFonts w:asciiTheme="minorHAnsi" w:hAnsiTheme="minorHAnsi" w:cstheme="minorBidi"/>
          <w:sz w:val="22"/>
          <w:szCs w:val="22"/>
        </w:rPr>
        <w:t>oula</w:t>
      </w:r>
      <w:r w:rsidR="00D04144" w:rsidRPr="0939FE37">
        <w:rPr>
          <w:rFonts w:asciiTheme="minorHAnsi" w:hAnsiTheme="minorHAnsi" w:cstheme="minorBidi"/>
          <w:sz w:val="22"/>
          <w:szCs w:val="22"/>
        </w:rPr>
        <w:t xml:space="preserve"> coverage and </w:t>
      </w:r>
      <w:r w:rsidR="00247785" w:rsidRPr="0939FE37">
        <w:rPr>
          <w:rFonts w:asciiTheme="minorHAnsi" w:hAnsiTheme="minorHAnsi" w:cstheme="minorBidi"/>
          <w:sz w:val="22"/>
          <w:szCs w:val="22"/>
        </w:rPr>
        <w:t xml:space="preserve">pre-release </w:t>
      </w:r>
      <w:r w:rsidR="00A7306E" w:rsidRPr="0939FE37">
        <w:rPr>
          <w:rFonts w:asciiTheme="minorHAnsi" w:hAnsiTheme="minorHAnsi" w:cstheme="minorBidi"/>
          <w:sz w:val="22"/>
          <w:szCs w:val="22"/>
        </w:rPr>
        <w:t>enrollment of the justice involved population ha</w:t>
      </w:r>
      <w:r w:rsidR="244CD085" w:rsidRPr="0939FE37">
        <w:rPr>
          <w:rFonts w:asciiTheme="minorHAnsi" w:hAnsiTheme="minorHAnsi" w:cstheme="minorBidi"/>
          <w:sz w:val="22"/>
          <w:szCs w:val="22"/>
        </w:rPr>
        <w:t>ve</w:t>
      </w:r>
      <w:r w:rsidR="00A7306E" w:rsidRPr="0939FE37">
        <w:rPr>
          <w:rFonts w:asciiTheme="minorHAnsi" w:hAnsiTheme="minorHAnsi" w:cstheme="minorBidi"/>
          <w:sz w:val="22"/>
          <w:szCs w:val="22"/>
        </w:rPr>
        <w:t xml:space="preserve"> been implemented to </w:t>
      </w:r>
      <w:r w:rsidR="009231C4" w:rsidRPr="0939FE37">
        <w:rPr>
          <w:rFonts w:asciiTheme="minorHAnsi" w:hAnsiTheme="minorHAnsi" w:cstheme="minorBidi"/>
          <w:sz w:val="22"/>
          <w:szCs w:val="22"/>
        </w:rPr>
        <w:t xml:space="preserve">support </w:t>
      </w:r>
      <w:r w:rsidR="00170329" w:rsidRPr="0939FE37">
        <w:rPr>
          <w:rFonts w:asciiTheme="minorHAnsi" w:hAnsiTheme="minorHAnsi" w:cstheme="minorBidi"/>
          <w:sz w:val="22"/>
          <w:szCs w:val="22"/>
        </w:rPr>
        <w:t>increase</w:t>
      </w:r>
      <w:r w:rsidR="009231C4" w:rsidRPr="0939FE37">
        <w:rPr>
          <w:rFonts w:asciiTheme="minorHAnsi" w:hAnsiTheme="minorHAnsi" w:cstheme="minorBidi"/>
          <w:sz w:val="22"/>
          <w:szCs w:val="22"/>
        </w:rPr>
        <w:t>d</w:t>
      </w:r>
      <w:r w:rsidR="00170329" w:rsidRPr="0939FE37">
        <w:rPr>
          <w:rFonts w:asciiTheme="minorHAnsi" w:hAnsiTheme="minorHAnsi" w:cstheme="minorBidi"/>
          <w:sz w:val="22"/>
          <w:szCs w:val="22"/>
        </w:rPr>
        <w:t xml:space="preserve"> access</w:t>
      </w:r>
      <w:r w:rsidR="00973A8F" w:rsidRPr="0939FE37">
        <w:rPr>
          <w:rFonts w:asciiTheme="minorHAnsi" w:hAnsiTheme="minorHAnsi" w:cstheme="minorBidi"/>
          <w:sz w:val="22"/>
          <w:szCs w:val="22"/>
        </w:rPr>
        <w:t xml:space="preserve"> and continuity of care for</w:t>
      </w:r>
      <w:r w:rsidR="00170329" w:rsidRPr="0939FE37">
        <w:rPr>
          <w:rFonts w:asciiTheme="minorHAnsi" w:hAnsiTheme="minorHAnsi" w:cstheme="minorBidi"/>
          <w:sz w:val="22"/>
          <w:szCs w:val="22"/>
        </w:rPr>
        <w:t xml:space="preserve"> these populations.</w:t>
      </w:r>
      <w:r w:rsidR="000B5391" w:rsidRPr="0939FE37">
        <w:rPr>
          <w:rFonts w:asciiTheme="minorHAnsi" w:hAnsiTheme="minorHAnsi" w:cstheme="minorBidi"/>
          <w:sz w:val="22"/>
          <w:szCs w:val="22"/>
        </w:rPr>
        <w:t xml:space="preserve"> </w:t>
      </w:r>
    </w:p>
    <w:p w14:paraId="1BF5D5FD" w14:textId="47D16C74" w:rsidR="00753CD6" w:rsidRPr="00730D03" w:rsidRDefault="00753CD6" w:rsidP="00730D03">
      <w:pPr>
        <w:pStyle w:val="Heading3"/>
        <w:spacing w:after="120"/>
        <w:ind w:left="0" w:firstLine="0"/>
        <w:rPr>
          <w:sz w:val="28"/>
          <w:szCs w:val="28"/>
          <w:u w:val="single"/>
        </w:rPr>
      </w:pPr>
      <w:bookmarkStart w:id="10" w:name="_Toc190440057"/>
      <w:r w:rsidRPr="55A1C9B5">
        <w:rPr>
          <w:sz w:val="22"/>
        </w:rPr>
        <w:t>Quality Goal 3</w:t>
      </w:r>
      <w:r w:rsidR="00A1469A" w:rsidRPr="55A1C9B5">
        <w:rPr>
          <w:sz w:val="22"/>
        </w:rPr>
        <w:t>:</w:t>
      </w:r>
      <w:r w:rsidR="00A1469A" w:rsidRPr="55A1C9B5">
        <w:rPr>
          <w:sz w:val="28"/>
          <w:szCs w:val="28"/>
        </w:rPr>
        <w:t xml:space="preserve"> </w:t>
      </w:r>
      <w:r w:rsidR="00E061F2" w:rsidRPr="008F74F4">
        <w:t>Make care more value-based: Ensure value-based care for our members by holding providers accountable for cost and high quality of patient-centered, equitable care</w:t>
      </w:r>
      <w:bookmarkEnd w:id="10"/>
      <w:r w:rsidR="00E061F2" w:rsidRPr="008F74F4">
        <w:t>  </w:t>
      </w:r>
    </w:p>
    <w:p w14:paraId="1312BCE9" w14:textId="5FFDFD54" w:rsidR="00753CD6" w:rsidRDefault="00753CD6" w:rsidP="00730D03">
      <w:pPr>
        <w:spacing w:before="360"/>
        <w:rPr>
          <w:rStyle w:val="SubtleEmphasis"/>
        </w:rPr>
      </w:pPr>
      <w:r w:rsidRPr="009069AE">
        <w:rPr>
          <w:rStyle w:val="SubtleEmphasis"/>
        </w:rPr>
        <w:t xml:space="preserve">Table </w:t>
      </w:r>
      <w:r>
        <w:rPr>
          <w:rStyle w:val="SubtleEmphasis"/>
        </w:rPr>
        <w:t>4</w:t>
      </w:r>
      <w:r w:rsidR="00413AC8" w:rsidRPr="009069AE">
        <w:rPr>
          <w:rStyle w:val="SubtleEmphasis"/>
        </w:rPr>
        <w:t>: Quality</w:t>
      </w:r>
      <w:r>
        <w:rPr>
          <w:rStyle w:val="SubtleEmphasis"/>
        </w:rPr>
        <w:t xml:space="preserve"> Goal 3 Measures and Performance</w:t>
      </w:r>
    </w:p>
    <w:p w14:paraId="22E7A829" w14:textId="2C2AE624" w:rsidR="00672F2F" w:rsidRDefault="00672F2F" w:rsidP="00730D03">
      <w:pPr>
        <w:spacing w:before="360"/>
        <w:rPr>
          <w:rStyle w:val="SubtleEmphasis"/>
        </w:rPr>
      </w:pPr>
      <w:r w:rsidRPr="00EF2FD4">
        <w:rPr>
          <w:b/>
          <w:bCs/>
        </w:rPr>
        <w:t>Objective 1:</w:t>
      </w:r>
      <w:r>
        <w:t xml:space="preserve"> </w:t>
      </w:r>
      <w:r w:rsidRPr="00DA4ECC">
        <w:t>Advance design of value-based care focused on primary care provider participation, behavioral health access, and integration and coordination of care </w:t>
      </w:r>
    </w:p>
    <w:tbl>
      <w:tblPr>
        <w:tblStyle w:val="TableGrid"/>
        <w:tblW w:w="9445" w:type="dxa"/>
        <w:tblInd w:w="-95" w:type="dxa"/>
        <w:tblLayout w:type="fixed"/>
        <w:tblLook w:val="04A0" w:firstRow="1" w:lastRow="0" w:firstColumn="1" w:lastColumn="0" w:noHBand="0" w:noVBand="1"/>
      </w:tblPr>
      <w:tblGrid>
        <w:gridCol w:w="3060"/>
        <w:gridCol w:w="1350"/>
        <w:gridCol w:w="1350"/>
        <w:gridCol w:w="1350"/>
        <w:gridCol w:w="1440"/>
        <w:gridCol w:w="895"/>
      </w:tblGrid>
      <w:tr w:rsidR="00360234" w14:paraId="446BA417" w14:textId="77777777" w:rsidTr="00413AC8">
        <w:tc>
          <w:tcPr>
            <w:tcW w:w="3060" w:type="dxa"/>
          </w:tcPr>
          <w:p w14:paraId="76E8101F" w14:textId="77777777" w:rsidR="00360234" w:rsidRDefault="00360234">
            <w:pPr>
              <w:rPr>
                <w:b/>
                <w:bCs/>
                <w:sz w:val="24"/>
                <w:szCs w:val="24"/>
              </w:rPr>
            </w:pPr>
            <w:r>
              <w:t>Measure</w:t>
            </w:r>
          </w:p>
        </w:tc>
        <w:tc>
          <w:tcPr>
            <w:tcW w:w="1350" w:type="dxa"/>
          </w:tcPr>
          <w:p w14:paraId="3FBF7038" w14:textId="77777777" w:rsidR="00360234" w:rsidRDefault="00360234" w:rsidP="009C6AE9">
            <w:pPr>
              <w:jc w:val="center"/>
              <w:rPr>
                <w:b/>
                <w:bCs/>
                <w:sz w:val="24"/>
                <w:szCs w:val="24"/>
              </w:rPr>
            </w:pPr>
            <w:r>
              <w:t>MassHealth MY2020 Rate (Baseline)</w:t>
            </w:r>
          </w:p>
        </w:tc>
        <w:tc>
          <w:tcPr>
            <w:tcW w:w="1350" w:type="dxa"/>
          </w:tcPr>
          <w:p w14:paraId="2E40F108" w14:textId="77777777" w:rsidR="00360234" w:rsidRDefault="00360234" w:rsidP="009C6AE9">
            <w:pPr>
              <w:jc w:val="center"/>
              <w:rPr>
                <w:b/>
                <w:bCs/>
                <w:sz w:val="24"/>
                <w:szCs w:val="24"/>
              </w:rPr>
            </w:pPr>
            <w:r>
              <w:t>MassHealth MY2021 Rate</w:t>
            </w:r>
          </w:p>
        </w:tc>
        <w:tc>
          <w:tcPr>
            <w:tcW w:w="1350" w:type="dxa"/>
          </w:tcPr>
          <w:p w14:paraId="0C6B8DD6" w14:textId="77777777" w:rsidR="00360234" w:rsidRDefault="00360234" w:rsidP="009C6AE9">
            <w:pPr>
              <w:jc w:val="center"/>
              <w:rPr>
                <w:b/>
                <w:bCs/>
                <w:sz w:val="24"/>
                <w:szCs w:val="24"/>
              </w:rPr>
            </w:pPr>
            <w:r>
              <w:t>MassHealth MY2022 Rate</w:t>
            </w:r>
          </w:p>
        </w:tc>
        <w:tc>
          <w:tcPr>
            <w:tcW w:w="1440" w:type="dxa"/>
          </w:tcPr>
          <w:p w14:paraId="152CFAA0" w14:textId="77777777" w:rsidR="00360234" w:rsidRDefault="00360234" w:rsidP="009C6AE9">
            <w:pPr>
              <w:jc w:val="center"/>
              <w:rPr>
                <w:b/>
                <w:bCs/>
                <w:sz w:val="24"/>
                <w:szCs w:val="24"/>
              </w:rPr>
            </w:pPr>
            <w:r>
              <w:t>National Benchmark MY2022 75th</w:t>
            </w:r>
          </w:p>
        </w:tc>
        <w:tc>
          <w:tcPr>
            <w:tcW w:w="895" w:type="dxa"/>
          </w:tcPr>
          <w:p w14:paraId="79978238" w14:textId="77777777" w:rsidR="00360234" w:rsidRDefault="00360234" w:rsidP="009C6AE9">
            <w:pPr>
              <w:jc w:val="center"/>
              <w:rPr>
                <w:b/>
                <w:bCs/>
                <w:sz w:val="24"/>
                <w:szCs w:val="24"/>
              </w:rPr>
            </w:pPr>
            <w:r>
              <w:t>Gap to Goal</w:t>
            </w:r>
          </w:p>
        </w:tc>
      </w:tr>
      <w:tr w:rsidR="00360234" w14:paraId="0C50FF3B" w14:textId="77777777" w:rsidTr="00413AC8">
        <w:tc>
          <w:tcPr>
            <w:tcW w:w="3060" w:type="dxa"/>
          </w:tcPr>
          <w:p w14:paraId="7082E909" w14:textId="77777777" w:rsidR="00360234" w:rsidRPr="002320F0" w:rsidRDefault="00360234">
            <w:pPr>
              <w:rPr>
                <w:sz w:val="18"/>
                <w:szCs w:val="18"/>
              </w:rPr>
            </w:pPr>
            <w:r w:rsidRPr="00256AD1">
              <w:rPr>
                <w:sz w:val="18"/>
                <w:szCs w:val="18"/>
              </w:rPr>
              <w:t>Timeliness of Prenatal Care</w:t>
            </w:r>
            <w:r w:rsidRPr="00256AD1">
              <w:rPr>
                <w:rFonts w:ascii="Arial" w:hAnsi="Arial" w:cs="Arial"/>
                <w:sz w:val="18"/>
                <w:szCs w:val="18"/>
              </w:rPr>
              <w:t> </w:t>
            </w:r>
            <w:r w:rsidRPr="00256AD1">
              <w:rPr>
                <w:rFonts w:ascii="Aptos" w:hAnsi="Aptos" w:cs="Aptos"/>
                <w:sz w:val="18"/>
                <w:szCs w:val="18"/>
              </w:rPr>
              <w:t> </w:t>
            </w:r>
          </w:p>
        </w:tc>
        <w:tc>
          <w:tcPr>
            <w:tcW w:w="1350" w:type="dxa"/>
          </w:tcPr>
          <w:p w14:paraId="6932E093" w14:textId="77777777" w:rsidR="00360234" w:rsidRPr="00143A86" w:rsidRDefault="00360234" w:rsidP="00C96E06">
            <w:pPr>
              <w:jc w:val="center"/>
              <w:rPr>
                <w:sz w:val="20"/>
                <w:szCs w:val="20"/>
              </w:rPr>
            </w:pPr>
            <w:r w:rsidRPr="00143A86">
              <w:rPr>
                <w:rFonts w:cs="Calibri"/>
                <w:sz w:val="20"/>
                <w:szCs w:val="20"/>
              </w:rPr>
              <w:t>84.3%</w:t>
            </w:r>
          </w:p>
        </w:tc>
        <w:tc>
          <w:tcPr>
            <w:tcW w:w="1350" w:type="dxa"/>
          </w:tcPr>
          <w:p w14:paraId="5FDE4D3A" w14:textId="77777777" w:rsidR="00360234" w:rsidRPr="00143A86" w:rsidRDefault="00360234" w:rsidP="00C96E06">
            <w:pPr>
              <w:jc w:val="center"/>
              <w:rPr>
                <w:sz w:val="20"/>
                <w:szCs w:val="20"/>
              </w:rPr>
            </w:pPr>
            <w:r w:rsidRPr="00143A86">
              <w:rPr>
                <w:rFonts w:cs="Calibri"/>
                <w:sz w:val="20"/>
                <w:szCs w:val="20"/>
              </w:rPr>
              <w:t>88.6%</w:t>
            </w:r>
          </w:p>
        </w:tc>
        <w:tc>
          <w:tcPr>
            <w:tcW w:w="1350" w:type="dxa"/>
          </w:tcPr>
          <w:p w14:paraId="6E45A480" w14:textId="77777777" w:rsidR="00360234" w:rsidRPr="00143A86" w:rsidRDefault="00360234" w:rsidP="00C96E06">
            <w:pPr>
              <w:jc w:val="center"/>
              <w:rPr>
                <w:sz w:val="20"/>
                <w:szCs w:val="20"/>
              </w:rPr>
            </w:pPr>
            <w:r w:rsidRPr="00143A86">
              <w:rPr>
                <w:rFonts w:cs="Calibri"/>
                <w:sz w:val="20"/>
                <w:szCs w:val="20"/>
              </w:rPr>
              <w:t>89.3%</w:t>
            </w:r>
          </w:p>
        </w:tc>
        <w:tc>
          <w:tcPr>
            <w:tcW w:w="1440" w:type="dxa"/>
            <w:shd w:val="clear" w:color="auto" w:fill="A8D08D" w:themeFill="accent6" w:themeFillTint="99"/>
          </w:tcPr>
          <w:p w14:paraId="00C4BB10" w14:textId="77777777" w:rsidR="00360234" w:rsidRPr="00143A86" w:rsidRDefault="00360234" w:rsidP="00C96E06">
            <w:pPr>
              <w:jc w:val="center"/>
              <w:rPr>
                <w:sz w:val="20"/>
                <w:szCs w:val="20"/>
              </w:rPr>
            </w:pPr>
            <w:r w:rsidRPr="00143A86">
              <w:rPr>
                <w:rFonts w:cs="Calibri"/>
                <w:sz w:val="20"/>
                <w:szCs w:val="20"/>
              </w:rPr>
              <w:t>88.3%</w:t>
            </w:r>
          </w:p>
        </w:tc>
        <w:tc>
          <w:tcPr>
            <w:tcW w:w="895" w:type="dxa"/>
          </w:tcPr>
          <w:p w14:paraId="16491255" w14:textId="5AAE1485" w:rsidR="00360234" w:rsidRPr="00143A86" w:rsidRDefault="00311911" w:rsidP="003C22DB">
            <w:pPr>
              <w:jc w:val="center"/>
              <w:rPr>
                <w:b/>
                <w:sz w:val="20"/>
                <w:szCs w:val="20"/>
              </w:rPr>
            </w:pPr>
            <w:r w:rsidRPr="00143A86">
              <w:rPr>
                <w:sz w:val="20"/>
                <w:szCs w:val="20"/>
              </w:rPr>
              <w:t>N/A</w:t>
            </w:r>
            <w:r w:rsidR="003E06D0">
              <w:rPr>
                <w:sz w:val="20"/>
                <w:szCs w:val="20"/>
              </w:rPr>
              <w:fldChar w:fldCharType="begin"/>
            </w:r>
            <w:r w:rsidR="003E06D0">
              <w:rPr>
                <w:sz w:val="20"/>
                <w:szCs w:val="20"/>
              </w:rPr>
              <w:instrText xml:space="preserve"> NOTEREF _Ref190162024 \h </w:instrText>
            </w:r>
            <w:r w:rsidR="003E06D0">
              <w:rPr>
                <w:sz w:val="20"/>
                <w:szCs w:val="20"/>
              </w:rPr>
            </w:r>
            <w:r w:rsidR="003E06D0">
              <w:rPr>
                <w:sz w:val="20"/>
                <w:szCs w:val="20"/>
              </w:rPr>
              <w:fldChar w:fldCharType="separate"/>
            </w:r>
            <w:r w:rsidR="000C7657">
              <w:rPr>
                <w:sz w:val="20"/>
                <w:szCs w:val="20"/>
              </w:rPr>
              <w:t>***</w:t>
            </w:r>
            <w:r w:rsidR="003E06D0">
              <w:rPr>
                <w:sz w:val="20"/>
                <w:szCs w:val="20"/>
              </w:rPr>
              <w:fldChar w:fldCharType="end"/>
            </w:r>
          </w:p>
        </w:tc>
      </w:tr>
      <w:tr w:rsidR="00360234" w14:paraId="37E913AF" w14:textId="77777777" w:rsidTr="00413AC8">
        <w:tc>
          <w:tcPr>
            <w:tcW w:w="3060" w:type="dxa"/>
          </w:tcPr>
          <w:p w14:paraId="1A5C29D4" w14:textId="77777777" w:rsidR="00360234" w:rsidRDefault="00360234">
            <w:pPr>
              <w:rPr>
                <w:sz w:val="18"/>
                <w:szCs w:val="18"/>
              </w:rPr>
            </w:pPr>
            <w:r>
              <w:rPr>
                <w:sz w:val="18"/>
                <w:szCs w:val="18"/>
              </w:rPr>
              <w:t>Controlling High Blood Pressure</w:t>
            </w:r>
          </w:p>
        </w:tc>
        <w:tc>
          <w:tcPr>
            <w:tcW w:w="1350" w:type="dxa"/>
          </w:tcPr>
          <w:p w14:paraId="5CBD6C5D" w14:textId="77777777" w:rsidR="00360234" w:rsidRPr="00143A86" w:rsidRDefault="00360234" w:rsidP="00C96E06">
            <w:pPr>
              <w:jc w:val="center"/>
              <w:rPr>
                <w:sz w:val="20"/>
                <w:szCs w:val="20"/>
              </w:rPr>
            </w:pPr>
            <w:r w:rsidRPr="00143A86">
              <w:rPr>
                <w:rFonts w:cs="Calibri"/>
                <w:sz w:val="20"/>
                <w:szCs w:val="20"/>
              </w:rPr>
              <w:t>56.8%</w:t>
            </w:r>
          </w:p>
        </w:tc>
        <w:tc>
          <w:tcPr>
            <w:tcW w:w="1350" w:type="dxa"/>
          </w:tcPr>
          <w:p w14:paraId="69F312C6" w14:textId="77777777" w:rsidR="00360234" w:rsidRPr="00143A86" w:rsidRDefault="00360234" w:rsidP="00C96E06">
            <w:pPr>
              <w:jc w:val="center"/>
              <w:rPr>
                <w:sz w:val="20"/>
                <w:szCs w:val="20"/>
              </w:rPr>
            </w:pPr>
            <w:r w:rsidRPr="00143A86">
              <w:rPr>
                <w:rFonts w:cs="Calibri"/>
                <w:sz w:val="20"/>
                <w:szCs w:val="20"/>
              </w:rPr>
              <w:t>64.4%</w:t>
            </w:r>
          </w:p>
        </w:tc>
        <w:tc>
          <w:tcPr>
            <w:tcW w:w="1350" w:type="dxa"/>
          </w:tcPr>
          <w:p w14:paraId="2D241624" w14:textId="77777777" w:rsidR="00360234" w:rsidRPr="00143A86" w:rsidRDefault="00360234" w:rsidP="00C96E06">
            <w:pPr>
              <w:jc w:val="center"/>
              <w:rPr>
                <w:sz w:val="20"/>
                <w:szCs w:val="20"/>
              </w:rPr>
            </w:pPr>
            <w:r w:rsidRPr="00143A86">
              <w:rPr>
                <w:rFonts w:cs="Calibri"/>
                <w:sz w:val="20"/>
                <w:szCs w:val="20"/>
              </w:rPr>
              <w:t>68.7%</w:t>
            </w:r>
          </w:p>
        </w:tc>
        <w:tc>
          <w:tcPr>
            <w:tcW w:w="1440" w:type="dxa"/>
            <w:shd w:val="clear" w:color="auto" w:fill="A8D08D" w:themeFill="accent6" w:themeFillTint="99"/>
          </w:tcPr>
          <w:p w14:paraId="5C721F3E" w14:textId="77777777" w:rsidR="00360234" w:rsidRPr="00143A86" w:rsidRDefault="00360234" w:rsidP="00C96E06">
            <w:pPr>
              <w:jc w:val="center"/>
              <w:rPr>
                <w:sz w:val="20"/>
                <w:szCs w:val="20"/>
              </w:rPr>
            </w:pPr>
            <w:r w:rsidRPr="00143A86">
              <w:rPr>
                <w:rFonts w:cs="Calibri"/>
                <w:sz w:val="20"/>
                <w:szCs w:val="20"/>
              </w:rPr>
              <w:t>67.3%</w:t>
            </w:r>
          </w:p>
        </w:tc>
        <w:tc>
          <w:tcPr>
            <w:tcW w:w="895" w:type="dxa"/>
          </w:tcPr>
          <w:p w14:paraId="21258842" w14:textId="794DB2FB" w:rsidR="00360234" w:rsidRPr="00143A86" w:rsidRDefault="00311911" w:rsidP="003C22DB">
            <w:pPr>
              <w:jc w:val="center"/>
              <w:rPr>
                <w:b/>
                <w:sz w:val="20"/>
                <w:szCs w:val="20"/>
              </w:rPr>
            </w:pPr>
            <w:r w:rsidRPr="00143A86">
              <w:rPr>
                <w:sz w:val="20"/>
                <w:szCs w:val="20"/>
              </w:rPr>
              <w:t>N/A</w:t>
            </w:r>
            <w:r w:rsidR="003E06D0">
              <w:rPr>
                <w:sz w:val="20"/>
                <w:szCs w:val="20"/>
              </w:rPr>
              <w:fldChar w:fldCharType="begin"/>
            </w:r>
            <w:r w:rsidR="003E06D0">
              <w:rPr>
                <w:sz w:val="20"/>
                <w:szCs w:val="20"/>
              </w:rPr>
              <w:instrText xml:space="preserve"> NOTEREF _Ref190162024 \h </w:instrText>
            </w:r>
            <w:r w:rsidR="003E06D0">
              <w:rPr>
                <w:sz w:val="20"/>
                <w:szCs w:val="20"/>
              </w:rPr>
            </w:r>
            <w:r w:rsidR="003E06D0">
              <w:rPr>
                <w:sz w:val="20"/>
                <w:szCs w:val="20"/>
              </w:rPr>
              <w:fldChar w:fldCharType="separate"/>
            </w:r>
            <w:r w:rsidR="000C7657">
              <w:rPr>
                <w:sz w:val="20"/>
                <w:szCs w:val="20"/>
              </w:rPr>
              <w:t>***</w:t>
            </w:r>
            <w:r w:rsidR="003E06D0">
              <w:rPr>
                <w:sz w:val="20"/>
                <w:szCs w:val="20"/>
              </w:rPr>
              <w:fldChar w:fldCharType="end"/>
            </w:r>
          </w:p>
        </w:tc>
      </w:tr>
      <w:tr w:rsidR="00360234" w14:paraId="3DB0B90D" w14:textId="77777777" w:rsidTr="00413AC8">
        <w:tc>
          <w:tcPr>
            <w:tcW w:w="3060" w:type="dxa"/>
          </w:tcPr>
          <w:p w14:paraId="03A4F3E6" w14:textId="77777777" w:rsidR="00360234" w:rsidRDefault="00360234">
            <w:pPr>
              <w:rPr>
                <w:sz w:val="18"/>
                <w:szCs w:val="18"/>
              </w:rPr>
            </w:pPr>
            <w:r w:rsidRPr="0037284E">
              <w:rPr>
                <w:sz w:val="18"/>
                <w:szCs w:val="18"/>
              </w:rPr>
              <w:t>HgbA1c Control for Patients with Diabetes - Poor Control</w:t>
            </w:r>
          </w:p>
        </w:tc>
        <w:tc>
          <w:tcPr>
            <w:tcW w:w="1350" w:type="dxa"/>
          </w:tcPr>
          <w:p w14:paraId="6A2D716E" w14:textId="77777777" w:rsidR="00360234" w:rsidRPr="00143A86" w:rsidRDefault="00360234" w:rsidP="00C96E06">
            <w:pPr>
              <w:jc w:val="center"/>
              <w:rPr>
                <w:rFonts w:cs="Calibri"/>
                <w:sz w:val="20"/>
                <w:szCs w:val="20"/>
              </w:rPr>
            </w:pPr>
            <w:r w:rsidRPr="00143A86">
              <w:rPr>
                <w:rFonts w:cs="Calibri"/>
                <w:sz w:val="20"/>
                <w:szCs w:val="20"/>
              </w:rPr>
              <w:t>43.3%</w:t>
            </w:r>
          </w:p>
        </w:tc>
        <w:tc>
          <w:tcPr>
            <w:tcW w:w="1350" w:type="dxa"/>
          </w:tcPr>
          <w:p w14:paraId="6C656F9C" w14:textId="77777777" w:rsidR="00360234" w:rsidRPr="00143A86" w:rsidRDefault="00360234" w:rsidP="00C96E06">
            <w:pPr>
              <w:jc w:val="center"/>
              <w:rPr>
                <w:rFonts w:cs="Calibri"/>
                <w:sz w:val="20"/>
                <w:szCs w:val="20"/>
              </w:rPr>
            </w:pPr>
            <w:r w:rsidRPr="00143A86">
              <w:rPr>
                <w:rFonts w:cs="Calibri"/>
                <w:sz w:val="20"/>
                <w:szCs w:val="20"/>
              </w:rPr>
              <w:t>39.1%</w:t>
            </w:r>
          </w:p>
        </w:tc>
        <w:tc>
          <w:tcPr>
            <w:tcW w:w="1350" w:type="dxa"/>
          </w:tcPr>
          <w:p w14:paraId="0A77AE09" w14:textId="77777777" w:rsidR="00360234" w:rsidRPr="00143A86" w:rsidRDefault="00360234" w:rsidP="00C96E06">
            <w:pPr>
              <w:jc w:val="center"/>
              <w:rPr>
                <w:rFonts w:cs="Calibri"/>
                <w:sz w:val="20"/>
                <w:szCs w:val="20"/>
              </w:rPr>
            </w:pPr>
            <w:r w:rsidRPr="00143A86">
              <w:rPr>
                <w:rFonts w:cs="Calibri"/>
                <w:sz w:val="20"/>
                <w:szCs w:val="20"/>
              </w:rPr>
              <w:t>33.4%</w:t>
            </w:r>
          </w:p>
        </w:tc>
        <w:tc>
          <w:tcPr>
            <w:tcW w:w="1440" w:type="dxa"/>
            <w:shd w:val="clear" w:color="auto" w:fill="A8D08D" w:themeFill="accent6" w:themeFillTint="99"/>
          </w:tcPr>
          <w:p w14:paraId="2C5C3436" w14:textId="77777777" w:rsidR="00360234" w:rsidRPr="00143A86" w:rsidRDefault="00360234" w:rsidP="00C96E06">
            <w:pPr>
              <w:jc w:val="center"/>
              <w:rPr>
                <w:rFonts w:cs="Calibri"/>
                <w:sz w:val="20"/>
                <w:szCs w:val="20"/>
              </w:rPr>
            </w:pPr>
            <w:r w:rsidRPr="00143A86">
              <w:rPr>
                <w:rFonts w:cs="Calibri"/>
                <w:sz w:val="20"/>
                <w:szCs w:val="20"/>
              </w:rPr>
              <w:t>33.5%</w:t>
            </w:r>
          </w:p>
        </w:tc>
        <w:tc>
          <w:tcPr>
            <w:tcW w:w="895" w:type="dxa"/>
          </w:tcPr>
          <w:p w14:paraId="684BC425" w14:textId="6873CFEB" w:rsidR="00360234" w:rsidRPr="00143A86" w:rsidRDefault="00FE777B" w:rsidP="003C22DB">
            <w:pPr>
              <w:jc w:val="center"/>
              <w:rPr>
                <w:b/>
                <w:sz w:val="20"/>
                <w:szCs w:val="20"/>
              </w:rPr>
            </w:pPr>
            <w:r w:rsidRPr="00143A86">
              <w:rPr>
                <w:sz w:val="20"/>
                <w:szCs w:val="20"/>
              </w:rPr>
              <w:t>N/A</w:t>
            </w:r>
            <w:r w:rsidR="003E06D0">
              <w:rPr>
                <w:sz w:val="20"/>
                <w:szCs w:val="20"/>
              </w:rPr>
              <w:fldChar w:fldCharType="begin"/>
            </w:r>
            <w:r w:rsidR="003E06D0">
              <w:rPr>
                <w:sz w:val="20"/>
                <w:szCs w:val="20"/>
              </w:rPr>
              <w:instrText xml:space="preserve"> NOTEREF _Ref190162024 \h </w:instrText>
            </w:r>
            <w:r w:rsidR="003E06D0">
              <w:rPr>
                <w:sz w:val="20"/>
                <w:szCs w:val="20"/>
              </w:rPr>
            </w:r>
            <w:r w:rsidR="003E06D0">
              <w:rPr>
                <w:sz w:val="20"/>
                <w:szCs w:val="20"/>
              </w:rPr>
              <w:fldChar w:fldCharType="separate"/>
            </w:r>
            <w:r w:rsidR="000C7657">
              <w:rPr>
                <w:sz w:val="20"/>
                <w:szCs w:val="20"/>
              </w:rPr>
              <w:t>***</w:t>
            </w:r>
            <w:r w:rsidR="003E06D0">
              <w:rPr>
                <w:sz w:val="20"/>
                <w:szCs w:val="20"/>
              </w:rPr>
              <w:fldChar w:fldCharType="end"/>
            </w:r>
          </w:p>
        </w:tc>
      </w:tr>
      <w:tr w:rsidR="00360234" w14:paraId="66B05FB5" w14:textId="77777777" w:rsidTr="00413AC8">
        <w:tc>
          <w:tcPr>
            <w:tcW w:w="3060" w:type="dxa"/>
          </w:tcPr>
          <w:p w14:paraId="3FB7F9FF" w14:textId="77777777" w:rsidR="00360234" w:rsidRPr="006F52DA" w:rsidRDefault="00360234">
            <w:pPr>
              <w:rPr>
                <w:sz w:val="18"/>
                <w:szCs w:val="18"/>
              </w:rPr>
            </w:pPr>
            <w:r>
              <w:rPr>
                <w:sz w:val="18"/>
                <w:szCs w:val="18"/>
              </w:rPr>
              <w:t>Asthma Medication Ratio</w:t>
            </w:r>
          </w:p>
        </w:tc>
        <w:tc>
          <w:tcPr>
            <w:tcW w:w="1350" w:type="dxa"/>
          </w:tcPr>
          <w:p w14:paraId="0FFE700D" w14:textId="77777777" w:rsidR="00360234" w:rsidRPr="00143A86" w:rsidRDefault="00360234" w:rsidP="00C96E06">
            <w:pPr>
              <w:jc w:val="center"/>
              <w:rPr>
                <w:sz w:val="20"/>
                <w:szCs w:val="20"/>
              </w:rPr>
            </w:pPr>
            <w:r w:rsidRPr="00143A86">
              <w:rPr>
                <w:rFonts w:cs="Calibri"/>
                <w:sz w:val="20"/>
                <w:szCs w:val="20"/>
              </w:rPr>
              <w:t>69.7%</w:t>
            </w:r>
          </w:p>
        </w:tc>
        <w:tc>
          <w:tcPr>
            <w:tcW w:w="1350" w:type="dxa"/>
          </w:tcPr>
          <w:p w14:paraId="2F1D4FFB" w14:textId="77777777" w:rsidR="00360234" w:rsidRPr="00143A86" w:rsidRDefault="00360234" w:rsidP="00C96E06">
            <w:pPr>
              <w:jc w:val="center"/>
              <w:rPr>
                <w:sz w:val="20"/>
                <w:szCs w:val="20"/>
              </w:rPr>
            </w:pPr>
            <w:r w:rsidRPr="00143A86">
              <w:rPr>
                <w:rFonts w:cs="Calibri"/>
                <w:sz w:val="20"/>
                <w:szCs w:val="20"/>
              </w:rPr>
              <w:t>63.7%</w:t>
            </w:r>
          </w:p>
        </w:tc>
        <w:tc>
          <w:tcPr>
            <w:tcW w:w="1350" w:type="dxa"/>
          </w:tcPr>
          <w:p w14:paraId="12921EF0" w14:textId="77777777" w:rsidR="00360234" w:rsidRPr="00143A86" w:rsidRDefault="00360234" w:rsidP="00C96E06">
            <w:pPr>
              <w:jc w:val="center"/>
              <w:rPr>
                <w:sz w:val="20"/>
                <w:szCs w:val="20"/>
              </w:rPr>
            </w:pPr>
            <w:r w:rsidRPr="00143A86">
              <w:rPr>
                <w:rFonts w:cs="Calibri"/>
                <w:sz w:val="20"/>
                <w:szCs w:val="20"/>
              </w:rPr>
              <w:t>64.1%</w:t>
            </w:r>
          </w:p>
        </w:tc>
        <w:tc>
          <w:tcPr>
            <w:tcW w:w="1440" w:type="dxa"/>
          </w:tcPr>
          <w:p w14:paraId="0AB98CFF" w14:textId="3F60230A" w:rsidR="00360234" w:rsidRPr="00143A86" w:rsidRDefault="00847383" w:rsidP="00C96E06">
            <w:pPr>
              <w:jc w:val="center"/>
              <w:rPr>
                <w:b/>
                <w:sz w:val="20"/>
                <w:szCs w:val="20"/>
              </w:rPr>
            </w:pPr>
            <w:r w:rsidRPr="00143A86">
              <w:rPr>
                <w:sz w:val="20"/>
                <w:szCs w:val="20"/>
              </w:rPr>
              <w:t>70.8%</w:t>
            </w:r>
          </w:p>
        </w:tc>
        <w:tc>
          <w:tcPr>
            <w:tcW w:w="895" w:type="dxa"/>
          </w:tcPr>
          <w:p w14:paraId="0B62C1C5" w14:textId="1F250BAA" w:rsidR="00360234" w:rsidRPr="00143A86" w:rsidRDefault="001F7561" w:rsidP="003C22DB">
            <w:pPr>
              <w:jc w:val="center"/>
              <w:rPr>
                <w:rFonts w:eastAsia="Times New Roman" w:cs="Calibri"/>
                <w:color w:val="000000"/>
                <w:sz w:val="20"/>
                <w:szCs w:val="20"/>
              </w:rPr>
            </w:pPr>
            <w:r w:rsidRPr="00143A86">
              <w:rPr>
                <w:rFonts w:cs="Calibri"/>
                <w:color w:val="000000"/>
                <w:sz w:val="20"/>
                <w:szCs w:val="20"/>
              </w:rPr>
              <w:t>70.7%</w:t>
            </w:r>
          </w:p>
        </w:tc>
      </w:tr>
      <w:tr w:rsidR="00360234" w14:paraId="4C5AC463" w14:textId="77777777" w:rsidTr="00413AC8">
        <w:tc>
          <w:tcPr>
            <w:tcW w:w="3060" w:type="dxa"/>
          </w:tcPr>
          <w:p w14:paraId="175484FD" w14:textId="77777777" w:rsidR="00360234" w:rsidRPr="00BC74B8" w:rsidRDefault="00360234">
            <w:pPr>
              <w:rPr>
                <w:sz w:val="18"/>
                <w:szCs w:val="18"/>
              </w:rPr>
            </w:pPr>
            <w:r w:rsidRPr="00CA1805">
              <w:rPr>
                <w:sz w:val="18"/>
                <w:szCs w:val="18"/>
              </w:rPr>
              <w:t>Screening for Depression and Follow-Up</w:t>
            </w:r>
            <w:r w:rsidRPr="00CA1805">
              <w:rPr>
                <w:rFonts w:ascii="Arial" w:hAnsi="Arial" w:cs="Arial"/>
                <w:sz w:val="18"/>
                <w:szCs w:val="18"/>
              </w:rPr>
              <w:t> </w:t>
            </w:r>
            <w:r w:rsidRPr="00CA1805">
              <w:rPr>
                <w:sz w:val="18"/>
                <w:szCs w:val="18"/>
              </w:rPr>
              <w:t>Plan</w:t>
            </w:r>
          </w:p>
        </w:tc>
        <w:tc>
          <w:tcPr>
            <w:tcW w:w="1350" w:type="dxa"/>
          </w:tcPr>
          <w:p w14:paraId="207E9669" w14:textId="77777777" w:rsidR="00360234" w:rsidRPr="00143A86" w:rsidRDefault="00360234" w:rsidP="00C96E06">
            <w:pPr>
              <w:jc w:val="center"/>
              <w:rPr>
                <w:sz w:val="20"/>
                <w:szCs w:val="20"/>
              </w:rPr>
            </w:pPr>
            <w:r w:rsidRPr="00143A86">
              <w:rPr>
                <w:rFonts w:cs="Calibri"/>
                <w:sz w:val="20"/>
                <w:szCs w:val="20"/>
              </w:rPr>
              <w:t>36.4%</w:t>
            </w:r>
          </w:p>
        </w:tc>
        <w:tc>
          <w:tcPr>
            <w:tcW w:w="1350" w:type="dxa"/>
          </w:tcPr>
          <w:p w14:paraId="335CEBF9" w14:textId="77777777" w:rsidR="00360234" w:rsidRPr="00143A86" w:rsidRDefault="00360234" w:rsidP="00C96E06">
            <w:pPr>
              <w:jc w:val="center"/>
              <w:rPr>
                <w:sz w:val="20"/>
                <w:szCs w:val="20"/>
              </w:rPr>
            </w:pPr>
            <w:r w:rsidRPr="00143A86">
              <w:rPr>
                <w:rFonts w:cs="Calibri"/>
                <w:sz w:val="20"/>
                <w:szCs w:val="20"/>
              </w:rPr>
              <w:t>41.1%</w:t>
            </w:r>
          </w:p>
        </w:tc>
        <w:tc>
          <w:tcPr>
            <w:tcW w:w="1350" w:type="dxa"/>
          </w:tcPr>
          <w:p w14:paraId="0ED58148" w14:textId="77777777" w:rsidR="00360234" w:rsidRPr="00143A86" w:rsidRDefault="00360234" w:rsidP="00C96E06">
            <w:pPr>
              <w:jc w:val="center"/>
              <w:rPr>
                <w:sz w:val="20"/>
                <w:szCs w:val="20"/>
              </w:rPr>
            </w:pPr>
            <w:r w:rsidRPr="00143A86">
              <w:rPr>
                <w:rFonts w:cs="Calibri"/>
                <w:sz w:val="20"/>
                <w:szCs w:val="20"/>
              </w:rPr>
              <w:t>43.0%</w:t>
            </w:r>
          </w:p>
        </w:tc>
        <w:tc>
          <w:tcPr>
            <w:tcW w:w="1440" w:type="dxa"/>
          </w:tcPr>
          <w:p w14:paraId="2FCD681F" w14:textId="16078CCB" w:rsidR="00360234" w:rsidRPr="00143A86" w:rsidRDefault="00E34302" w:rsidP="00C96E06">
            <w:pPr>
              <w:jc w:val="center"/>
              <w:rPr>
                <w:sz w:val="20"/>
                <w:szCs w:val="20"/>
              </w:rPr>
            </w:pPr>
            <w:r w:rsidRPr="00143A86">
              <w:rPr>
                <w:sz w:val="20"/>
                <w:szCs w:val="20"/>
              </w:rPr>
              <w:t>49.3%</w:t>
            </w:r>
            <w:r w:rsidR="00BF72D4">
              <w:rPr>
                <w:sz w:val="20"/>
                <w:szCs w:val="20"/>
              </w:rPr>
              <w:fldChar w:fldCharType="begin"/>
            </w:r>
            <w:r w:rsidR="00BF72D4">
              <w:rPr>
                <w:sz w:val="20"/>
                <w:szCs w:val="20"/>
              </w:rPr>
              <w:instrText xml:space="preserve"> NOTEREF _Ref190162419 \h </w:instrText>
            </w:r>
            <w:r w:rsidR="00BF72D4">
              <w:rPr>
                <w:sz w:val="20"/>
                <w:szCs w:val="20"/>
              </w:rPr>
            </w:r>
            <w:r w:rsidR="00BF72D4">
              <w:rPr>
                <w:sz w:val="20"/>
                <w:szCs w:val="20"/>
              </w:rPr>
              <w:fldChar w:fldCharType="separate"/>
            </w:r>
            <w:r w:rsidR="000C7657">
              <w:rPr>
                <w:sz w:val="20"/>
                <w:szCs w:val="20"/>
              </w:rPr>
              <w:t>†††</w:t>
            </w:r>
            <w:r w:rsidR="00BF72D4">
              <w:rPr>
                <w:sz w:val="20"/>
                <w:szCs w:val="20"/>
              </w:rPr>
              <w:fldChar w:fldCharType="end"/>
            </w:r>
          </w:p>
        </w:tc>
        <w:tc>
          <w:tcPr>
            <w:tcW w:w="895" w:type="dxa"/>
            <w:shd w:val="clear" w:color="auto" w:fill="A8D08D" w:themeFill="accent6" w:themeFillTint="99"/>
          </w:tcPr>
          <w:p w14:paraId="7620333E" w14:textId="7653936A" w:rsidR="00360234" w:rsidRPr="00143A86" w:rsidRDefault="3E882273">
            <w:pPr>
              <w:rPr>
                <w:sz w:val="20"/>
                <w:szCs w:val="20"/>
              </w:rPr>
            </w:pPr>
            <w:r w:rsidRPr="00143A86">
              <w:rPr>
                <w:sz w:val="20"/>
                <w:szCs w:val="20"/>
              </w:rPr>
              <w:t>37.3%</w:t>
            </w:r>
          </w:p>
        </w:tc>
      </w:tr>
      <w:tr w:rsidR="00360234" w14:paraId="71D9FF28" w14:textId="77777777" w:rsidTr="00413AC8">
        <w:tc>
          <w:tcPr>
            <w:tcW w:w="3060" w:type="dxa"/>
          </w:tcPr>
          <w:p w14:paraId="512CF556" w14:textId="60DB2B98" w:rsidR="00360234" w:rsidRPr="00CA1805" w:rsidRDefault="00360234">
            <w:pPr>
              <w:rPr>
                <w:sz w:val="18"/>
                <w:szCs w:val="18"/>
              </w:rPr>
            </w:pPr>
            <w:r w:rsidRPr="00663EC1">
              <w:rPr>
                <w:sz w:val="18"/>
                <w:szCs w:val="18"/>
              </w:rPr>
              <w:t>Plan All-Cause Readmission (18-64 years</w:t>
            </w:r>
            <w:r w:rsidR="002D2B0A">
              <w:rPr>
                <w:sz w:val="18"/>
                <w:szCs w:val="18"/>
              </w:rPr>
              <w:t>, lower score is better performance</w:t>
            </w:r>
            <w:r w:rsidRPr="00663EC1">
              <w:rPr>
                <w:sz w:val="18"/>
                <w:szCs w:val="18"/>
              </w:rPr>
              <w:t>)</w:t>
            </w:r>
            <w:r w:rsidRPr="00663EC1">
              <w:rPr>
                <w:rFonts w:ascii="Arial" w:hAnsi="Arial" w:cs="Arial"/>
                <w:sz w:val="18"/>
                <w:szCs w:val="18"/>
              </w:rPr>
              <w:t> </w:t>
            </w:r>
            <w:r w:rsidRPr="00663EC1">
              <w:rPr>
                <w:rFonts w:ascii="Aptos" w:hAnsi="Aptos" w:cs="Aptos"/>
                <w:sz w:val="18"/>
                <w:szCs w:val="18"/>
              </w:rPr>
              <w:t> </w:t>
            </w:r>
          </w:p>
        </w:tc>
        <w:tc>
          <w:tcPr>
            <w:tcW w:w="1350" w:type="dxa"/>
          </w:tcPr>
          <w:p w14:paraId="44CCC93F" w14:textId="77777777" w:rsidR="00360234" w:rsidRPr="00143A86" w:rsidRDefault="00360234" w:rsidP="00C96E06">
            <w:pPr>
              <w:jc w:val="center"/>
              <w:rPr>
                <w:b/>
                <w:sz w:val="20"/>
                <w:szCs w:val="20"/>
              </w:rPr>
            </w:pPr>
            <w:r w:rsidRPr="00143A86">
              <w:rPr>
                <w:rFonts w:cs="Calibri"/>
                <w:sz w:val="20"/>
                <w:szCs w:val="20"/>
              </w:rPr>
              <w:t>1.1461</w:t>
            </w:r>
          </w:p>
        </w:tc>
        <w:tc>
          <w:tcPr>
            <w:tcW w:w="1350" w:type="dxa"/>
          </w:tcPr>
          <w:p w14:paraId="7F514A07" w14:textId="77777777" w:rsidR="00360234" w:rsidRPr="00143A86" w:rsidRDefault="00360234" w:rsidP="00C96E06">
            <w:pPr>
              <w:jc w:val="center"/>
              <w:rPr>
                <w:b/>
                <w:sz w:val="20"/>
                <w:szCs w:val="20"/>
              </w:rPr>
            </w:pPr>
            <w:r w:rsidRPr="00143A86">
              <w:rPr>
                <w:rFonts w:cs="Calibri"/>
                <w:sz w:val="20"/>
                <w:szCs w:val="20"/>
              </w:rPr>
              <w:t>1.1803</w:t>
            </w:r>
          </w:p>
        </w:tc>
        <w:tc>
          <w:tcPr>
            <w:tcW w:w="1350" w:type="dxa"/>
          </w:tcPr>
          <w:p w14:paraId="6C91EE12" w14:textId="77777777" w:rsidR="00360234" w:rsidRPr="00143A86" w:rsidRDefault="00360234" w:rsidP="00C96E06">
            <w:pPr>
              <w:jc w:val="center"/>
              <w:rPr>
                <w:b/>
                <w:sz w:val="20"/>
                <w:szCs w:val="20"/>
              </w:rPr>
            </w:pPr>
            <w:r w:rsidRPr="00143A86">
              <w:rPr>
                <w:rFonts w:cs="Calibri"/>
                <w:sz w:val="20"/>
                <w:szCs w:val="20"/>
              </w:rPr>
              <w:t>1.1750</w:t>
            </w:r>
          </w:p>
        </w:tc>
        <w:tc>
          <w:tcPr>
            <w:tcW w:w="1440" w:type="dxa"/>
          </w:tcPr>
          <w:p w14:paraId="35670860" w14:textId="77777777" w:rsidR="00360234" w:rsidRPr="00143A86" w:rsidRDefault="00360234" w:rsidP="00C96E06">
            <w:pPr>
              <w:jc w:val="center"/>
              <w:rPr>
                <w:b/>
                <w:sz w:val="20"/>
                <w:szCs w:val="20"/>
              </w:rPr>
            </w:pPr>
            <w:r w:rsidRPr="00143A86">
              <w:rPr>
                <w:rFonts w:cs="Calibri"/>
                <w:sz w:val="20"/>
                <w:szCs w:val="20"/>
              </w:rPr>
              <w:t>0.8982</w:t>
            </w:r>
          </w:p>
        </w:tc>
        <w:tc>
          <w:tcPr>
            <w:tcW w:w="895" w:type="dxa"/>
          </w:tcPr>
          <w:p w14:paraId="4CB90AA3" w14:textId="2739F713" w:rsidR="00360234" w:rsidRPr="00143A86" w:rsidRDefault="00B76635" w:rsidP="003C22DB">
            <w:pPr>
              <w:jc w:val="center"/>
              <w:rPr>
                <w:rFonts w:eastAsia="Times New Roman" w:cs="Calibri"/>
                <w:sz w:val="20"/>
                <w:szCs w:val="20"/>
              </w:rPr>
            </w:pPr>
            <w:r w:rsidRPr="00143A86">
              <w:rPr>
                <w:rFonts w:cs="Calibri"/>
                <w:sz w:val="20"/>
                <w:szCs w:val="20"/>
              </w:rPr>
              <w:t>1.1361</w:t>
            </w:r>
          </w:p>
        </w:tc>
      </w:tr>
      <w:tr w:rsidR="00360234" w14:paraId="2AB9B4BF" w14:textId="77777777" w:rsidTr="00413AC8">
        <w:tc>
          <w:tcPr>
            <w:tcW w:w="3060" w:type="dxa"/>
          </w:tcPr>
          <w:p w14:paraId="531E899B" w14:textId="305BD18F" w:rsidR="00360234" w:rsidRPr="00663EC1" w:rsidRDefault="00360234">
            <w:pPr>
              <w:rPr>
                <w:sz w:val="18"/>
                <w:szCs w:val="18"/>
              </w:rPr>
            </w:pPr>
            <w:r w:rsidRPr="3E464C40">
              <w:rPr>
                <w:sz w:val="18"/>
                <w:szCs w:val="18"/>
              </w:rPr>
              <w:t>Plan All-Cause Readmissions (ages 65+</w:t>
            </w:r>
            <w:r w:rsidR="002564CD">
              <w:rPr>
                <w:sz w:val="18"/>
                <w:szCs w:val="18"/>
              </w:rPr>
              <w:t>, lower score is better performance</w:t>
            </w:r>
            <w:r w:rsidRPr="3E464C40">
              <w:rPr>
                <w:sz w:val="18"/>
                <w:szCs w:val="18"/>
              </w:rPr>
              <w:t>)</w:t>
            </w:r>
          </w:p>
        </w:tc>
        <w:tc>
          <w:tcPr>
            <w:tcW w:w="1350" w:type="dxa"/>
            <w:vAlign w:val="center"/>
          </w:tcPr>
          <w:p w14:paraId="5591E4B0" w14:textId="77777777" w:rsidR="00360234" w:rsidRPr="00143A86" w:rsidRDefault="00360234" w:rsidP="00C96E06">
            <w:pPr>
              <w:jc w:val="center"/>
              <w:rPr>
                <w:rFonts w:cs="Calibri"/>
                <w:color w:val="000000" w:themeColor="text1"/>
                <w:sz w:val="20"/>
                <w:szCs w:val="20"/>
              </w:rPr>
            </w:pPr>
            <w:r w:rsidRPr="00143A86">
              <w:rPr>
                <w:rFonts w:cs="Calibri"/>
                <w:color w:val="000000" w:themeColor="text1"/>
                <w:sz w:val="20"/>
                <w:szCs w:val="20"/>
              </w:rPr>
              <w:t>1.1493</w:t>
            </w:r>
          </w:p>
        </w:tc>
        <w:tc>
          <w:tcPr>
            <w:tcW w:w="1350" w:type="dxa"/>
            <w:vAlign w:val="center"/>
          </w:tcPr>
          <w:p w14:paraId="58FF048F" w14:textId="77777777" w:rsidR="00360234" w:rsidRPr="00143A86" w:rsidRDefault="00360234" w:rsidP="00C96E06">
            <w:pPr>
              <w:jc w:val="center"/>
              <w:rPr>
                <w:rFonts w:cs="Calibri"/>
                <w:color w:val="000000" w:themeColor="text1"/>
                <w:sz w:val="20"/>
                <w:szCs w:val="20"/>
              </w:rPr>
            </w:pPr>
            <w:r w:rsidRPr="00143A86">
              <w:rPr>
                <w:rFonts w:cs="Calibri"/>
                <w:color w:val="000000" w:themeColor="text1"/>
                <w:sz w:val="20"/>
                <w:szCs w:val="20"/>
              </w:rPr>
              <w:t>1.1558</w:t>
            </w:r>
          </w:p>
        </w:tc>
        <w:tc>
          <w:tcPr>
            <w:tcW w:w="1350" w:type="dxa"/>
            <w:vAlign w:val="center"/>
          </w:tcPr>
          <w:p w14:paraId="4A5ECCDF" w14:textId="77777777" w:rsidR="00360234" w:rsidRPr="00143A86" w:rsidRDefault="00360234" w:rsidP="00C96E06">
            <w:pPr>
              <w:jc w:val="center"/>
              <w:rPr>
                <w:rFonts w:cs="Calibri"/>
                <w:color w:val="000000" w:themeColor="text1"/>
                <w:sz w:val="20"/>
                <w:szCs w:val="20"/>
              </w:rPr>
            </w:pPr>
            <w:r w:rsidRPr="00143A86">
              <w:rPr>
                <w:rFonts w:cs="Calibri"/>
                <w:color w:val="000000" w:themeColor="text1"/>
                <w:sz w:val="20"/>
                <w:szCs w:val="20"/>
              </w:rPr>
              <w:t>1.2467</w:t>
            </w:r>
          </w:p>
        </w:tc>
        <w:tc>
          <w:tcPr>
            <w:tcW w:w="1440" w:type="dxa"/>
          </w:tcPr>
          <w:p w14:paraId="6F466F8B" w14:textId="4D83219B" w:rsidR="00360234" w:rsidRPr="00143A86" w:rsidRDefault="00360234" w:rsidP="00C96E06">
            <w:pPr>
              <w:jc w:val="center"/>
              <w:rPr>
                <w:rFonts w:cs="Calibri"/>
                <w:color w:val="000000" w:themeColor="text1"/>
                <w:sz w:val="20"/>
                <w:szCs w:val="20"/>
              </w:rPr>
            </w:pPr>
            <w:r w:rsidRPr="00143A86">
              <w:rPr>
                <w:rFonts w:cs="Calibri"/>
                <w:color w:val="000000" w:themeColor="text1"/>
                <w:sz w:val="20"/>
                <w:szCs w:val="20"/>
              </w:rPr>
              <w:t>0.9199</w:t>
            </w:r>
          </w:p>
        </w:tc>
        <w:tc>
          <w:tcPr>
            <w:tcW w:w="895" w:type="dxa"/>
          </w:tcPr>
          <w:p w14:paraId="7C3224C6" w14:textId="5B139EF4" w:rsidR="00360234" w:rsidRPr="00143A86" w:rsidRDefault="003B6C0C" w:rsidP="003B6C0C">
            <w:pPr>
              <w:jc w:val="center"/>
              <w:rPr>
                <w:rFonts w:eastAsia="Times New Roman" w:cs="Calibri"/>
                <w:sz w:val="20"/>
                <w:szCs w:val="20"/>
              </w:rPr>
            </w:pPr>
            <w:r w:rsidRPr="00143A86">
              <w:rPr>
                <w:rFonts w:cs="Calibri"/>
                <w:sz w:val="20"/>
                <w:szCs w:val="20"/>
              </w:rPr>
              <w:t>1.1393</w:t>
            </w:r>
          </w:p>
        </w:tc>
      </w:tr>
    </w:tbl>
    <w:p w14:paraId="7F77D23F" w14:textId="19556D0B" w:rsidR="00413AC8" w:rsidRDefault="00413AC8">
      <w:r w:rsidRPr="00EF2FD4">
        <w:rPr>
          <w:b/>
          <w:bCs/>
        </w:rPr>
        <w:t>Objective 2:</w:t>
      </w:r>
      <w:r>
        <w:t xml:space="preserve"> </w:t>
      </w:r>
      <w:r w:rsidRPr="00BF095A">
        <w:t>Develop accountability and performance expectations for measuring and closing significant gaps in health disparities</w:t>
      </w:r>
    </w:p>
    <w:tbl>
      <w:tblPr>
        <w:tblStyle w:val="TableGrid6"/>
        <w:tblW w:w="0" w:type="auto"/>
        <w:tblInd w:w="-113" w:type="dxa"/>
        <w:tblLook w:val="04A0" w:firstRow="1" w:lastRow="0" w:firstColumn="1" w:lastColumn="0" w:noHBand="0" w:noVBand="1"/>
      </w:tblPr>
      <w:tblGrid>
        <w:gridCol w:w="9463"/>
      </w:tblGrid>
      <w:tr w:rsidR="00413AC8" w:rsidRPr="00D54FD2" w14:paraId="1042FA16" w14:textId="77777777" w:rsidTr="0939FE37">
        <w:tc>
          <w:tcPr>
            <w:tcW w:w="9463" w:type="dxa"/>
          </w:tcPr>
          <w:p w14:paraId="1E71D69D" w14:textId="7109AF3C" w:rsidR="00413AC8" w:rsidRPr="00D54FD2" w:rsidRDefault="00413AC8" w:rsidP="00BC2F64">
            <w:pPr>
              <w:spacing w:after="120"/>
            </w:pPr>
          </w:p>
        </w:tc>
      </w:tr>
      <w:tr w:rsidR="00F12FE4" w:rsidRPr="007B0F77" w14:paraId="10661270" w14:textId="77777777" w:rsidTr="0939FE37">
        <w:tc>
          <w:tcPr>
            <w:tcW w:w="9463" w:type="dxa"/>
          </w:tcPr>
          <w:p w14:paraId="5FD5B108" w14:textId="1ED319F0" w:rsidR="00CD4CD0" w:rsidRDefault="00F12FE4">
            <w:pPr>
              <w:rPr>
                <w:b/>
                <w:bCs/>
              </w:rPr>
            </w:pPr>
            <w:r w:rsidRPr="007B0F77">
              <w:rPr>
                <w:b/>
                <w:bCs/>
              </w:rPr>
              <w:t>N</w:t>
            </w:r>
            <w:r>
              <w:rPr>
                <w:b/>
                <w:bCs/>
              </w:rPr>
              <w:t>arrative</w:t>
            </w:r>
          </w:p>
          <w:p w14:paraId="2CD34A9B" w14:textId="1B9474FB" w:rsidR="003848BB" w:rsidRDefault="7A404B3E">
            <w:r>
              <w:t xml:space="preserve">A key component </w:t>
            </w:r>
            <w:r w:rsidR="62E310DB">
              <w:t xml:space="preserve">of </w:t>
            </w:r>
            <w:r w:rsidR="16398FF4">
              <w:t xml:space="preserve">MassHealth’s </w:t>
            </w:r>
            <w:r w:rsidR="223B6DEC">
              <w:t>health quality and equity incentive program (HQEIP)</w:t>
            </w:r>
            <w:r w:rsidR="7999FA64">
              <w:t>,</w:t>
            </w:r>
            <w:r w:rsidR="22E01A26">
              <w:t xml:space="preserve"> </w:t>
            </w:r>
            <w:r w:rsidR="4C2DF0AD">
              <w:t xml:space="preserve">is developing accountability with </w:t>
            </w:r>
            <w:r w:rsidR="0844707A">
              <w:t xml:space="preserve">plans and providers </w:t>
            </w:r>
            <w:r w:rsidR="7C10E996">
              <w:t>through performance expectations</w:t>
            </w:r>
            <w:r w:rsidR="271C90CF">
              <w:t xml:space="preserve"> (goals for improvement)</w:t>
            </w:r>
            <w:r w:rsidR="7C10E996">
              <w:t xml:space="preserve"> </w:t>
            </w:r>
            <w:r w:rsidR="00763133">
              <w:t xml:space="preserve">and </w:t>
            </w:r>
            <w:r w:rsidR="00763133">
              <w:lastRenderedPageBreak/>
              <w:t>performance</w:t>
            </w:r>
            <w:r w:rsidR="7C10E996">
              <w:t xml:space="preserve"> </w:t>
            </w:r>
            <w:r w:rsidR="00413A0D">
              <w:t>assessment focused</w:t>
            </w:r>
            <w:r w:rsidR="75E66E28">
              <w:t xml:space="preserve"> on measuring and closing gaps on health disparities a</w:t>
            </w:r>
            <w:r w:rsidR="3AED5D2D">
              <w:t>t</w:t>
            </w:r>
            <w:r w:rsidR="75E66E28">
              <w:t xml:space="preserve"> a statewide and individual entity</w:t>
            </w:r>
            <w:r w:rsidR="69B59724">
              <w:t xml:space="preserve"> level</w:t>
            </w:r>
            <w:r w:rsidR="75E66E28">
              <w:t xml:space="preserve"> (e.g., hospitals, plans, ACOs, CBHCs).  Th</w:t>
            </w:r>
            <w:r w:rsidR="00763133">
              <w:t>r</w:t>
            </w:r>
            <w:r w:rsidR="75E66E28">
              <w:t>ough the stratification of</w:t>
            </w:r>
            <w:r w:rsidR="1243055D">
              <w:t xml:space="preserve"> </w:t>
            </w:r>
            <w:r w:rsidR="072B9FBF">
              <w:t>quality measure</w:t>
            </w:r>
            <w:r w:rsidR="00763133">
              <w:t>,</w:t>
            </w:r>
            <w:r w:rsidR="2C9E7CCB">
              <w:t xml:space="preserve"> performance of sub-</w:t>
            </w:r>
            <w:r w:rsidR="00A02A90">
              <w:t>populations</w:t>
            </w:r>
            <w:r w:rsidR="00540ACE">
              <w:t xml:space="preserve"> </w:t>
            </w:r>
            <w:r w:rsidR="00336CFB">
              <w:t>is</w:t>
            </w:r>
            <w:r w:rsidR="00540ACE">
              <w:t xml:space="preserve"> </w:t>
            </w:r>
            <w:r w:rsidR="00763133">
              <w:t>analyzed to</w:t>
            </w:r>
            <w:r w:rsidR="00254791">
              <w:t xml:space="preserve"> </w:t>
            </w:r>
            <w:r w:rsidR="00413AC8">
              <w:t>identify</w:t>
            </w:r>
            <w:r w:rsidR="29CBAE07">
              <w:t xml:space="preserve"> opportunities </w:t>
            </w:r>
            <w:r w:rsidR="36888A34">
              <w:t>and incentives</w:t>
            </w:r>
            <w:r w:rsidR="072B9FBF">
              <w:t xml:space="preserve"> </w:t>
            </w:r>
            <w:r w:rsidR="240B3247">
              <w:t xml:space="preserve">to advance performance in disparities </w:t>
            </w:r>
            <w:r w:rsidR="223B6DEC">
              <w:t>reductions</w:t>
            </w:r>
            <w:r w:rsidR="2BA80D76">
              <w:t>.</w:t>
            </w:r>
          </w:p>
          <w:p w14:paraId="68A3219B" w14:textId="77777777" w:rsidR="005939C8" w:rsidRPr="006852D0" w:rsidRDefault="005939C8">
            <w:pPr>
              <w:rPr>
                <w:b/>
                <w:bCs/>
              </w:rPr>
            </w:pPr>
          </w:p>
          <w:p w14:paraId="6BD41E34" w14:textId="29586F1E" w:rsidR="008607E9" w:rsidRDefault="00A52E4A" w:rsidP="008607E9">
            <w:r w:rsidRPr="006852D0">
              <w:t>Strateg</w:t>
            </w:r>
            <w:r w:rsidR="006E5C36" w:rsidRPr="006852D0">
              <w:t xml:space="preserve">ies to support closing gaps </w:t>
            </w:r>
            <w:r w:rsidR="00753A9A" w:rsidRPr="006852D0">
              <w:t>include</w:t>
            </w:r>
            <w:r w:rsidR="008607E9" w:rsidRPr="006852D0">
              <w:t xml:space="preserve"> implementation of interventions through performance improvement pro</w:t>
            </w:r>
            <w:r w:rsidR="00753A9A" w:rsidRPr="006852D0">
              <w:t>jects</w:t>
            </w:r>
            <w:r w:rsidR="008607E9" w:rsidRPr="006852D0">
              <w:t xml:space="preserve"> (PIPs</w:t>
            </w:r>
            <w:r w:rsidR="6AC21144">
              <w:t>)</w:t>
            </w:r>
            <w:r w:rsidR="00D522FB" w:rsidRPr="006852D0">
              <w:t xml:space="preserve"> </w:t>
            </w:r>
            <w:r w:rsidR="00392934" w:rsidRPr="006852D0">
              <w:t>The c</w:t>
            </w:r>
            <w:r w:rsidR="006E5C36" w:rsidRPr="006852D0">
              <w:t xml:space="preserve">urrent </w:t>
            </w:r>
            <w:r w:rsidR="008607E9" w:rsidRPr="006852D0">
              <w:t>focus o</w:t>
            </w:r>
            <w:r w:rsidR="00392934" w:rsidRPr="006852D0">
              <w:t>f</w:t>
            </w:r>
            <w:r w:rsidR="008607E9" w:rsidRPr="006852D0">
              <w:t xml:space="preserve"> the </w:t>
            </w:r>
            <w:r w:rsidR="006E5C36" w:rsidRPr="006852D0">
              <w:t xml:space="preserve">PIPs </w:t>
            </w:r>
            <w:r w:rsidR="00030DB4" w:rsidRPr="006852D0">
              <w:t>is</w:t>
            </w:r>
            <w:r w:rsidR="006E5C36" w:rsidRPr="006852D0">
              <w:t xml:space="preserve"> </w:t>
            </w:r>
            <w:r w:rsidR="0007348A" w:rsidRPr="006852D0">
              <w:t xml:space="preserve">to  </w:t>
            </w:r>
            <w:r w:rsidR="663727FC">
              <w:t xml:space="preserve">identify and </w:t>
            </w:r>
            <w:r w:rsidR="0007348A" w:rsidRPr="006852D0">
              <w:t xml:space="preserve">address potential disparities within </w:t>
            </w:r>
            <w:r w:rsidR="00070E9B" w:rsidRPr="006852D0">
              <w:t xml:space="preserve">the </w:t>
            </w:r>
            <w:r w:rsidR="008607E9" w:rsidRPr="006852D0">
              <w:t>maternal population (e.g., prenatal and p</w:t>
            </w:r>
            <w:r w:rsidR="00030DB4" w:rsidRPr="006852D0">
              <w:t>os</w:t>
            </w:r>
            <w:r w:rsidR="008607E9" w:rsidRPr="006852D0">
              <w:t>t-partum care, severe maternal morbidity)</w:t>
            </w:r>
            <w:r w:rsidR="00070E9B" w:rsidRPr="006852D0">
              <w:t xml:space="preserve">, </w:t>
            </w:r>
            <w:r w:rsidR="007B317F" w:rsidRPr="006852D0">
              <w:t>acute and chronic conditions (e.g., hypertension and diabetes)</w:t>
            </w:r>
            <w:r w:rsidR="00720893" w:rsidRPr="006852D0">
              <w:t xml:space="preserve"> and </w:t>
            </w:r>
            <w:r w:rsidR="008369E1" w:rsidRPr="006852D0">
              <w:t>follow-up/</w:t>
            </w:r>
            <w:r w:rsidR="00720893" w:rsidRPr="006852D0">
              <w:t>co</w:t>
            </w:r>
            <w:r w:rsidR="006720B2" w:rsidRPr="006852D0">
              <w:t xml:space="preserve">ntinuity of care between the inpatient and outpatient </w:t>
            </w:r>
            <w:r w:rsidR="005A75EA" w:rsidRPr="006852D0">
              <w:t xml:space="preserve">care settings (e.g., hospitals, </w:t>
            </w:r>
            <w:r w:rsidR="00ED21DB" w:rsidRPr="006852D0">
              <w:t>primary care and c</w:t>
            </w:r>
            <w:r w:rsidR="005F21D0" w:rsidRPr="006852D0">
              <w:t>ommunity behavioral health centers).</w:t>
            </w:r>
            <w:r w:rsidR="056740C4">
              <w:t xml:space="preserve"> Further, </w:t>
            </w:r>
            <w:r w:rsidR="1A4B38F3">
              <w:t>t</w:t>
            </w:r>
            <w:r w:rsidR="056740C4">
              <w:t xml:space="preserve">he HQEIP PIPs also have a shared accountability component through which ACOs and hospitals who have </w:t>
            </w:r>
            <w:r w:rsidR="00413AC8">
              <w:t>overlapping</w:t>
            </w:r>
            <w:r w:rsidR="056740C4">
              <w:t xml:space="preserve"> patient populations partner together to work toward a shared equity goal.</w:t>
            </w:r>
          </w:p>
          <w:p w14:paraId="7480E88B" w14:textId="77777777" w:rsidR="007F50F0" w:rsidRPr="007B0F77" w:rsidRDefault="007F50F0">
            <w:pPr>
              <w:rPr>
                <w:b/>
                <w:bCs/>
              </w:rPr>
            </w:pPr>
          </w:p>
        </w:tc>
      </w:tr>
    </w:tbl>
    <w:p w14:paraId="6A3BFACF" w14:textId="198580EE" w:rsidR="00413AC8" w:rsidRDefault="00413AC8">
      <w:r w:rsidRPr="00052416">
        <w:rPr>
          <w:b/>
          <w:bCs/>
        </w:rPr>
        <w:lastRenderedPageBreak/>
        <w:t>Objective 3:</w:t>
      </w:r>
      <w:r>
        <w:t xml:space="preserve"> </w:t>
      </w:r>
      <w:r w:rsidRPr="00F40F16">
        <w:t>Align or integrate other population</w:t>
      </w:r>
      <w:r>
        <w:t>s</w:t>
      </w:r>
      <w:r w:rsidRPr="00F40F16">
        <w:t>, provider, or facility-based programs (e.g., hospital, integrated care programs) </w:t>
      </w:r>
    </w:p>
    <w:tbl>
      <w:tblPr>
        <w:tblStyle w:val="TableGrid6"/>
        <w:tblW w:w="0" w:type="auto"/>
        <w:tblInd w:w="-113" w:type="dxa"/>
        <w:tblLook w:val="04A0" w:firstRow="1" w:lastRow="0" w:firstColumn="1" w:lastColumn="0" w:noHBand="0" w:noVBand="1"/>
      </w:tblPr>
      <w:tblGrid>
        <w:gridCol w:w="9463"/>
      </w:tblGrid>
      <w:tr w:rsidR="00291722" w:rsidRPr="007B0F77" w14:paraId="2DC0DAF3" w14:textId="77777777" w:rsidTr="0939FE37">
        <w:tc>
          <w:tcPr>
            <w:tcW w:w="9463" w:type="dxa"/>
          </w:tcPr>
          <w:p w14:paraId="57621A62" w14:textId="77777777" w:rsidR="00524271" w:rsidRDefault="00524271">
            <w:pPr>
              <w:rPr>
                <w:b/>
                <w:bCs/>
              </w:rPr>
            </w:pPr>
          </w:p>
          <w:p w14:paraId="422A85C7" w14:textId="37B5E013" w:rsidR="00291722" w:rsidRDefault="00291722">
            <w:pPr>
              <w:rPr>
                <w:b/>
                <w:bCs/>
              </w:rPr>
            </w:pPr>
            <w:r w:rsidRPr="007B0F77">
              <w:rPr>
                <w:b/>
                <w:bCs/>
              </w:rPr>
              <w:t>N</w:t>
            </w:r>
            <w:r>
              <w:rPr>
                <w:b/>
                <w:bCs/>
              </w:rPr>
              <w:t>arrative</w:t>
            </w:r>
          </w:p>
          <w:p w14:paraId="12F2768D" w14:textId="0E44A902" w:rsidR="002953DA" w:rsidRDefault="0030459E">
            <w:r>
              <w:t xml:space="preserve">Annually, </w:t>
            </w:r>
            <w:r w:rsidR="00333609">
              <w:t>MassHealth</w:t>
            </w:r>
            <w:r>
              <w:t xml:space="preserve"> revisits its</w:t>
            </w:r>
            <w:r w:rsidR="00333609">
              <w:t xml:space="preserve"> quality goals and </w:t>
            </w:r>
            <w:r w:rsidR="004972ED">
              <w:t>priorities</w:t>
            </w:r>
            <w:r>
              <w:t xml:space="preserve"> which</w:t>
            </w:r>
            <w:r w:rsidR="00333609">
              <w:t xml:space="preserve"> include</w:t>
            </w:r>
            <w:r>
              <w:t>s</w:t>
            </w:r>
            <w:r w:rsidR="00333609">
              <w:t xml:space="preserve"> </w:t>
            </w:r>
            <w:r w:rsidR="0027752C">
              <w:t>an assessment of the current quality measures</w:t>
            </w:r>
            <w:r w:rsidR="00FB156B">
              <w:t xml:space="preserve"> and </w:t>
            </w:r>
            <w:r w:rsidR="004111BE">
              <w:t xml:space="preserve">their </w:t>
            </w:r>
            <w:r w:rsidR="00FB156B">
              <w:t xml:space="preserve">performance across </w:t>
            </w:r>
            <w:r w:rsidR="006D266D">
              <w:t>value-based and non</w:t>
            </w:r>
            <w:r w:rsidR="00CC0E8F">
              <w:t>-</w:t>
            </w:r>
            <w:r w:rsidR="006D266D">
              <w:t>value</w:t>
            </w:r>
            <w:r w:rsidR="003C76A6">
              <w:t>-</w:t>
            </w:r>
            <w:r w:rsidR="006D266D">
              <w:t>based</w:t>
            </w:r>
            <w:r w:rsidR="00202C5D">
              <w:t xml:space="preserve"> </w:t>
            </w:r>
            <w:r w:rsidR="001B4FED">
              <w:t xml:space="preserve">programs and </w:t>
            </w:r>
            <w:r w:rsidR="228C2C18">
              <w:t xml:space="preserve">across </w:t>
            </w:r>
            <w:r w:rsidR="001B4FED">
              <w:t>popula</w:t>
            </w:r>
            <w:r w:rsidR="00073C26">
              <w:t>tions.</w:t>
            </w:r>
            <w:r w:rsidR="008044A8">
              <w:t xml:space="preserve"> </w:t>
            </w:r>
            <w:r w:rsidR="001931E2">
              <w:t xml:space="preserve">During </w:t>
            </w:r>
            <w:r w:rsidR="240DB103">
              <w:t>the period of</w:t>
            </w:r>
            <w:r w:rsidR="001931E2">
              <w:t xml:space="preserve"> 202</w:t>
            </w:r>
            <w:r w:rsidR="00292B03">
              <w:t>3</w:t>
            </w:r>
            <w:r w:rsidR="00F4368D">
              <w:t>-202</w:t>
            </w:r>
            <w:r w:rsidR="00292B03">
              <w:t>4</w:t>
            </w:r>
            <w:r w:rsidR="00F4368D">
              <w:t xml:space="preserve">, </w:t>
            </w:r>
            <w:r w:rsidR="000276A1">
              <w:t xml:space="preserve">MassHealth embarked on </w:t>
            </w:r>
            <w:r w:rsidR="00F4368D">
              <w:t xml:space="preserve">a process </w:t>
            </w:r>
            <w:r w:rsidR="000276A1">
              <w:t>to focus</w:t>
            </w:r>
            <w:r w:rsidR="00E726A9">
              <w:t xml:space="preserve"> on quality</w:t>
            </w:r>
            <w:r w:rsidR="00AA6C6F">
              <w:t xml:space="preserve"> priorities</w:t>
            </w:r>
            <w:r w:rsidR="00E726A9">
              <w:t xml:space="preserve"> which</w:t>
            </w:r>
            <w:r w:rsidR="00AA6C6F">
              <w:t xml:space="preserve"> </w:t>
            </w:r>
            <w:r w:rsidR="00FF1072">
              <w:t xml:space="preserve">resulted in </w:t>
            </w:r>
            <w:r w:rsidR="00BC3BA3">
              <w:t xml:space="preserve">increased </w:t>
            </w:r>
            <w:r w:rsidR="00FF1072">
              <w:t>alignment o</w:t>
            </w:r>
            <w:r w:rsidR="00EC1964">
              <w:t xml:space="preserve">f performance measures </w:t>
            </w:r>
            <w:r w:rsidR="00E85838">
              <w:t xml:space="preserve">across </w:t>
            </w:r>
            <w:r w:rsidR="006301C4">
              <w:t xml:space="preserve">programs and </w:t>
            </w:r>
            <w:r w:rsidR="00E85838">
              <w:t>settings</w:t>
            </w:r>
            <w:r w:rsidR="000723A6">
              <w:t xml:space="preserve">. Where alignment was not </w:t>
            </w:r>
            <w:r w:rsidR="00292710">
              <w:t xml:space="preserve">feasible, MassHealth </w:t>
            </w:r>
            <w:r w:rsidR="00AC0B4E">
              <w:t>identified</w:t>
            </w:r>
            <w:r w:rsidR="00292710">
              <w:t xml:space="preserve"> </w:t>
            </w:r>
            <w:r w:rsidR="007D2933">
              <w:t>compl</w:t>
            </w:r>
            <w:r w:rsidR="6CDCD0EC">
              <w:t>e</w:t>
            </w:r>
            <w:r w:rsidR="007D2933">
              <w:t xml:space="preserve">mentary measures </w:t>
            </w:r>
            <w:r w:rsidR="00AC0B4E">
              <w:t xml:space="preserve">that </w:t>
            </w:r>
            <w:r w:rsidR="00551988">
              <w:t xml:space="preserve">support key priorities or </w:t>
            </w:r>
            <w:r w:rsidR="009009A6">
              <w:t xml:space="preserve">unique </w:t>
            </w:r>
            <w:r w:rsidR="009A03E8">
              <w:t>program populations</w:t>
            </w:r>
            <w:r w:rsidR="00AC0B4E">
              <w:t xml:space="preserve"> </w:t>
            </w:r>
            <w:r w:rsidR="6144FB66">
              <w:t xml:space="preserve">and still </w:t>
            </w:r>
            <w:r w:rsidR="00413A0D">
              <w:t>maintained consistency</w:t>
            </w:r>
            <w:r w:rsidR="00AC0B4E">
              <w:t xml:space="preserve"> across programs.</w:t>
            </w:r>
          </w:p>
          <w:p w14:paraId="65D3E0CE" w14:textId="77777777" w:rsidR="002953DA" w:rsidRDefault="002953DA"/>
          <w:p w14:paraId="64AA7006" w14:textId="01A4D9BC" w:rsidR="00E83934" w:rsidRDefault="00E83934">
            <w:r>
              <w:t>Examples</w:t>
            </w:r>
            <w:r w:rsidR="00AE57A3">
              <w:t xml:space="preserve"> of alignment achieved</w:t>
            </w:r>
            <w:r>
              <w:t>:</w:t>
            </w:r>
          </w:p>
          <w:p w14:paraId="294D181A" w14:textId="3401EA2F" w:rsidR="008E2F4E" w:rsidRDefault="00E83934" w:rsidP="00E83934">
            <w:pPr>
              <w:pStyle w:val="ListParagraph"/>
              <w:numPr>
                <w:ilvl w:val="0"/>
                <w:numId w:val="40"/>
              </w:numPr>
            </w:pPr>
            <w:r>
              <w:t xml:space="preserve">Reduction in </w:t>
            </w:r>
            <w:r w:rsidR="00443340">
              <w:t xml:space="preserve">the number of </w:t>
            </w:r>
            <w:r>
              <w:t>performance measure</w:t>
            </w:r>
            <w:r w:rsidR="00443340">
              <w:t>s in</w:t>
            </w:r>
            <w:r w:rsidR="00DD02F1">
              <w:t xml:space="preserve"> </w:t>
            </w:r>
            <w:r w:rsidR="00443340">
              <w:t>program</w:t>
            </w:r>
            <w:r w:rsidR="00793DD9">
              <w:t xml:space="preserve"> specific</w:t>
            </w:r>
            <w:r w:rsidR="00443340">
              <w:t xml:space="preserve"> measure slates</w:t>
            </w:r>
            <w:r w:rsidR="00915208">
              <w:t xml:space="preserve"> in </w:t>
            </w:r>
            <w:r w:rsidR="00567FD3">
              <w:t>value-based contracts</w:t>
            </w:r>
            <w:r w:rsidR="00443340">
              <w:t xml:space="preserve"> reflecting </w:t>
            </w:r>
            <w:r w:rsidR="00742077">
              <w:t xml:space="preserve">updated and </w:t>
            </w:r>
            <w:r w:rsidR="00443340">
              <w:t>more focused priorities</w:t>
            </w:r>
            <w:r w:rsidR="00141A5B">
              <w:t>.</w:t>
            </w:r>
          </w:p>
          <w:p w14:paraId="5222F69E" w14:textId="5F428225" w:rsidR="00DD02F1" w:rsidRDefault="0006078F" w:rsidP="00E83934">
            <w:pPr>
              <w:pStyle w:val="ListParagraph"/>
              <w:numPr>
                <w:ilvl w:val="0"/>
                <w:numId w:val="40"/>
              </w:numPr>
            </w:pPr>
            <w:r>
              <w:t>Predominant u</w:t>
            </w:r>
            <w:r w:rsidR="008E2F4E">
              <w:t>se of standard measures</w:t>
            </w:r>
            <w:r>
              <w:t xml:space="preserve"> (</w:t>
            </w:r>
            <w:r w:rsidR="002B1347">
              <w:t xml:space="preserve">with </w:t>
            </w:r>
            <w:r>
              <w:t>few exceptions</w:t>
            </w:r>
            <w:r w:rsidR="002B1347">
              <w:t xml:space="preserve"> for unique populations</w:t>
            </w:r>
            <w:r>
              <w:t>)</w:t>
            </w:r>
            <w:r w:rsidR="008E2F4E">
              <w:t>, applicable and comparable across populations</w:t>
            </w:r>
            <w:r w:rsidR="00F073A1">
              <w:t>, i</w:t>
            </w:r>
            <w:r w:rsidR="00303716">
              <w:t xml:space="preserve">ncluding increased adoption of </w:t>
            </w:r>
            <w:r w:rsidR="00512C77">
              <w:t xml:space="preserve">CMS </w:t>
            </w:r>
            <w:r w:rsidR="00303716">
              <w:t>core measures</w:t>
            </w:r>
            <w:r w:rsidR="46B7329B">
              <w:t>.</w:t>
            </w:r>
          </w:p>
          <w:p w14:paraId="5D44A6D3" w14:textId="5B36ECC4" w:rsidR="00FB156B" w:rsidRPr="007320D2" w:rsidRDefault="00DD02F1" w:rsidP="00BC2F64">
            <w:pPr>
              <w:pStyle w:val="ListParagraph"/>
              <w:numPr>
                <w:ilvl w:val="0"/>
                <w:numId w:val="40"/>
              </w:numPr>
              <w:spacing w:after="120"/>
            </w:pPr>
            <w:r>
              <w:t xml:space="preserve">Aligned statewide </w:t>
            </w:r>
            <w:r w:rsidR="00230641">
              <w:t>and</w:t>
            </w:r>
            <w:r>
              <w:t xml:space="preserve"> program goals for </w:t>
            </w:r>
            <w:r w:rsidR="000233C8">
              <w:t>integration</w:t>
            </w:r>
            <w:r w:rsidR="00B37B62">
              <w:t xml:space="preserve"> (shared accountability)</w:t>
            </w:r>
            <w:r w:rsidR="000233C8">
              <w:t xml:space="preserve"> and </w:t>
            </w:r>
            <w:r w:rsidR="003264A8">
              <w:t xml:space="preserve">quality </w:t>
            </w:r>
            <w:r>
              <w:t>improvement</w:t>
            </w:r>
            <w:r w:rsidR="00C06667">
              <w:t xml:space="preserve"> </w:t>
            </w:r>
            <w:r w:rsidR="008C2501">
              <w:t>in value-based contracts</w:t>
            </w:r>
            <w:r w:rsidR="00F3179D">
              <w:t xml:space="preserve"> across settings </w:t>
            </w:r>
            <w:r w:rsidR="00AF09E4">
              <w:t>with</w:t>
            </w:r>
            <w:r w:rsidR="00230641">
              <w:t xml:space="preserve"> </w:t>
            </w:r>
            <w:r w:rsidR="3D778C76">
              <w:t xml:space="preserve">a </w:t>
            </w:r>
            <w:r w:rsidR="00230641">
              <w:t>focus on priority populations</w:t>
            </w:r>
            <w:r w:rsidR="00C43495">
              <w:t xml:space="preserve"> and condition areas</w:t>
            </w:r>
            <w:r w:rsidR="001324B2">
              <w:t xml:space="preserve"> (e.g., maternal health, </w:t>
            </w:r>
            <w:r w:rsidR="002B4E7B">
              <w:t xml:space="preserve">acute and chronic conditions, </w:t>
            </w:r>
            <w:r w:rsidR="00E32FCC">
              <w:t>coordination of</w:t>
            </w:r>
            <w:r w:rsidR="00031A07">
              <w:t xml:space="preserve"> care</w:t>
            </w:r>
            <w:r w:rsidR="00C43495">
              <w:t>, behavioral health</w:t>
            </w:r>
            <w:r w:rsidR="00031A07">
              <w:t>)</w:t>
            </w:r>
            <w:r w:rsidR="009D7638">
              <w:t xml:space="preserve"> and </w:t>
            </w:r>
            <w:r w:rsidR="000C17A6">
              <w:t xml:space="preserve">aligned </w:t>
            </w:r>
            <w:r w:rsidR="009D7638">
              <w:t>measure</w:t>
            </w:r>
            <w:r w:rsidR="000C17A6">
              <w:t>s and approaches toward performance assessment</w:t>
            </w:r>
            <w:r w:rsidR="00F3179D">
              <w:t>.</w:t>
            </w:r>
          </w:p>
        </w:tc>
      </w:tr>
    </w:tbl>
    <w:p w14:paraId="18718AAE" w14:textId="10D3AEE4" w:rsidR="00413AC8" w:rsidRDefault="00413AC8">
      <w:r w:rsidRPr="001A1CE9">
        <w:rPr>
          <w:b/>
          <w:bCs/>
        </w:rPr>
        <w:t>Objective 4:</w:t>
      </w:r>
      <w:r>
        <w:t xml:space="preserve"> </w:t>
      </w:r>
      <w:r w:rsidRPr="001361E7">
        <w:t>Implement robust quality reporting, performance and improvement, and evaluation processes</w:t>
      </w:r>
    </w:p>
    <w:tbl>
      <w:tblPr>
        <w:tblStyle w:val="TableGrid7"/>
        <w:tblW w:w="0" w:type="auto"/>
        <w:tblInd w:w="-95" w:type="dxa"/>
        <w:tblLook w:val="04A0" w:firstRow="1" w:lastRow="0" w:firstColumn="1" w:lastColumn="0" w:noHBand="0" w:noVBand="1"/>
      </w:tblPr>
      <w:tblGrid>
        <w:gridCol w:w="3269"/>
        <w:gridCol w:w="1349"/>
        <w:gridCol w:w="1348"/>
        <w:gridCol w:w="1348"/>
        <w:gridCol w:w="1301"/>
        <w:gridCol w:w="830"/>
      </w:tblGrid>
      <w:tr w:rsidR="0015506B" w14:paraId="4BC88C0B" w14:textId="77777777" w:rsidTr="000D30CA">
        <w:tc>
          <w:tcPr>
            <w:tcW w:w="3269" w:type="dxa"/>
          </w:tcPr>
          <w:p w14:paraId="5903F80E" w14:textId="77777777" w:rsidR="0015506B" w:rsidRDefault="0015506B">
            <w:pPr>
              <w:rPr>
                <w:b/>
                <w:bCs/>
                <w:sz w:val="24"/>
                <w:szCs w:val="24"/>
              </w:rPr>
            </w:pPr>
            <w:r>
              <w:t>Measure</w:t>
            </w:r>
          </w:p>
        </w:tc>
        <w:tc>
          <w:tcPr>
            <w:tcW w:w="1349" w:type="dxa"/>
          </w:tcPr>
          <w:p w14:paraId="085024DB" w14:textId="77777777" w:rsidR="0015506B" w:rsidRDefault="0015506B" w:rsidP="000438A1">
            <w:pPr>
              <w:jc w:val="center"/>
              <w:rPr>
                <w:b/>
                <w:bCs/>
                <w:sz w:val="24"/>
                <w:szCs w:val="24"/>
              </w:rPr>
            </w:pPr>
            <w:r>
              <w:t>MassHealth MY2020 Rate (Baseline)</w:t>
            </w:r>
          </w:p>
        </w:tc>
        <w:tc>
          <w:tcPr>
            <w:tcW w:w="1348" w:type="dxa"/>
          </w:tcPr>
          <w:p w14:paraId="05A28B07" w14:textId="77777777" w:rsidR="0015506B" w:rsidRDefault="0015506B" w:rsidP="000438A1">
            <w:pPr>
              <w:jc w:val="center"/>
              <w:rPr>
                <w:b/>
                <w:bCs/>
                <w:sz w:val="24"/>
                <w:szCs w:val="24"/>
              </w:rPr>
            </w:pPr>
            <w:r>
              <w:t>MassHealth MY2021 Rate</w:t>
            </w:r>
          </w:p>
        </w:tc>
        <w:tc>
          <w:tcPr>
            <w:tcW w:w="1348" w:type="dxa"/>
          </w:tcPr>
          <w:p w14:paraId="47BC3820" w14:textId="77777777" w:rsidR="0015506B" w:rsidRDefault="0015506B" w:rsidP="000438A1">
            <w:pPr>
              <w:jc w:val="center"/>
              <w:rPr>
                <w:b/>
                <w:bCs/>
                <w:sz w:val="24"/>
                <w:szCs w:val="24"/>
              </w:rPr>
            </w:pPr>
            <w:r>
              <w:t>MassHealth MY2022 Rate</w:t>
            </w:r>
          </w:p>
        </w:tc>
        <w:tc>
          <w:tcPr>
            <w:tcW w:w="1301" w:type="dxa"/>
          </w:tcPr>
          <w:p w14:paraId="1AC20064" w14:textId="77777777" w:rsidR="0015506B" w:rsidRDefault="0015506B" w:rsidP="000438A1">
            <w:pPr>
              <w:jc w:val="center"/>
              <w:rPr>
                <w:b/>
                <w:bCs/>
                <w:sz w:val="24"/>
                <w:szCs w:val="24"/>
              </w:rPr>
            </w:pPr>
            <w:r>
              <w:t>National Benchmark MY2022 75th</w:t>
            </w:r>
          </w:p>
        </w:tc>
        <w:tc>
          <w:tcPr>
            <w:tcW w:w="830" w:type="dxa"/>
          </w:tcPr>
          <w:p w14:paraId="1F95AADC" w14:textId="77777777" w:rsidR="0015506B" w:rsidRDefault="0015506B" w:rsidP="000438A1">
            <w:pPr>
              <w:jc w:val="center"/>
              <w:rPr>
                <w:b/>
                <w:bCs/>
                <w:sz w:val="24"/>
                <w:szCs w:val="24"/>
              </w:rPr>
            </w:pPr>
            <w:r>
              <w:t>Gap to Goal</w:t>
            </w:r>
          </w:p>
        </w:tc>
      </w:tr>
      <w:tr w:rsidR="0015506B" w14:paraId="602EE652" w14:textId="77777777" w:rsidTr="000D30CA">
        <w:tc>
          <w:tcPr>
            <w:tcW w:w="3269" w:type="dxa"/>
          </w:tcPr>
          <w:p w14:paraId="67B15ED5" w14:textId="77777777" w:rsidR="0015506B" w:rsidRPr="002320F0" w:rsidRDefault="0015506B">
            <w:pPr>
              <w:rPr>
                <w:sz w:val="18"/>
                <w:szCs w:val="18"/>
              </w:rPr>
            </w:pPr>
            <w:r w:rsidRPr="006A41E2">
              <w:rPr>
                <w:sz w:val="18"/>
                <w:szCs w:val="18"/>
              </w:rPr>
              <w:t>Timeliness of Prenatal Care</w:t>
            </w:r>
            <w:r w:rsidRPr="006A41E2">
              <w:rPr>
                <w:rFonts w:ascii="Arial" w:hAnsi="Arial" w:cs="Arial"/>
                <w:sz w:val="18"/>
                <w:szCs w:val="18"/>
              </w:rPr>
              <w:t> </w:t>
            </w:r>
            <w:r w:rsidRPr="006A41E2">
              <w:rPr>
                <w:rFonts w:ascii="Aptos" w:hAnsi="Aptos" w:cs="Aptos"/>
                <w:sz w:val="18"/>
                <w:szCs w:val="18"/>
              </w:rPr>
              <w:t> </w:t>
            </w:r>
          </w:p>
        </w:tc>
        <w:tc>
          <w:tcPr>
            <w:tcW w:w="1349" w:type="dxa"/>
          </w:tcPr>
          <w:p w14:paraId="1A8FED3E" w14:textId="77777777" w:rsidR="0015506B" w:rsidRPr="00143A86" w:rsidRDefault="0015506B" w:rsidP="004919CD">
            <w:pPr>
              <w:jc w:val="center"/>
              <w:rPr>
                <w:sz w:val="20"/>
                <w:szCs w:val="20"/>
              </w:rPr>
            </w:pPr>
            <w:r w:rsidRPr="00143A86">
              <w:rPr>
                <w:rFonts w:cs="Calibri"/>
                <w:sz w:val="20"/>
                <w:szCs w:val="20"/>
              </w:rPr>
              <w:t>84.3%</w:t>
            </w:r>
          </w:p>
        </w:tc>
        <w:tc>
          <w:tcPr>
            <w:tcW w:w="1348" w:type="dxa"/>
          </w:tcPr>
          <w:p w14:paraId="1E8D3187" w14:textId="77777777" w:rsidR="0015506B" w:rsidRPr="00143A86" w:rsidRDefault="0015506B" w:rsidP="004919CD">
            <w:pPr>
              <w:jc w:val="center"/>
              <w:rPr>
                <w:sz w:val="20"/>
                <w:szCs w:val="20"/>
              </w:rPr>
            </w:pPr>
            <w:r w:rsidRPr="00143A86">
              <w:rPr>
                <w:rFonts w:cs="Calibri"/>
                <w:sz w:val="20"/>
                <w:szCs w:val="20"/>
              </w:rPr>
              <w:t>88.6%</w:t>
            </w:r>
          </w:p>
        </w:tc>
        <w:tc>
          <w:tcPr>
            <w:tcW w:w="1348" w:type="dxa"/>
          </w:tcPr>
          <w:p w14:paraId="29B1BEE4" w14:textId="77777777" w:rsidR="0015506B" w:rsidRPr="00143A86" w:rsidRDefault="0015506B" w:rsidP="004919CD">
            <w:pPr>
              <w:jc w:val="center"/>
              <w:rPr>
                <w:sz w:val="20"/>
                <w:szCs w:val="20"/>
              </w:rPr>
            </w:pPr>
            <w:r w:rsidRPr="00143A86">
              <w:rPr>
                <w:rFonts w:cs="Calibri"/>
                <w:sz w:val="20"/>
                <w:szCs w:val="20"/>
              </w:rPr>
              <w:t>89.3%</w:t>
            </w:r>
          </w:p>
        </w:tc>
        <w:tc>
          <w:tcPr>
            <w:tcW w:w="1301" w:type="dxa"/>
            <w:shd w:val="clear" w:color="auto" w:fill="A8D08D" w:themeFill="accent6" w:themeFillTint="99"/>
          </w:tcPr>
          <w:p w14:paraId="22F5092C" w14:textId="77777777" w:rsidR="0015506B" w:rsidRPr="00143A86" w:rsidRDefault="0015506B" w:rsidP="004919CD">
            <w:pPr>
              <w:jc w:val="center"/>
              <w:rPr>
                <w:sz w:val="20"/>
                <w:szCs w:val="20"/>
              </w:rPr>
            </w:pPr>
            <w:r w:rsidRPr="00143A86">
              <w:rPr>
                <w:rFonts w:cs="Calibri"/>
                <w:sz w:val="20"/>
                <w:szCs w:val="20"/>
              </w:rPr>
              <w:t>88.3%</w:t>
            </w:r>
          </w:p>
        </w:tc>
        <w:tc>
          <w:tcPr>
            <w:tcW w:w="830" w:type="dxa"/>
          </w:tcPr>
          <w:p w14:paraId="2D6D9662" w14:textId="36B03CB1" w:rsidR="0015506B" w:rsidRPr="00143A86" w:rsidRDefault="009851AF">
            <w:pPr>
              <w:rPr>
                <w:b/>
                <w:sz w:val="20"/>
                <w:szCs w:val="20"/>
              </w:rPr>
            </w:pPr>
            <w:r w:rsidRPr="00143A86">
              <w:rPr>
                <w:sz w:val="20"/>
                <w:szCs w:val="20"/>
              </w:rPr>
              <w:t>N/A</w:t>
            </w:r>
            <w:r w:rsidR="003E06D0">
              <w:rPr>
                <w:sz w:val="20"/>
                <w:szCs w:val="20"/>
              </w:rPr>
              <w:fldChar w:fldCharType="begin"/>
            </w:r>
            <w:r w:rsidR="003E06D0">
              <w:rPr>
                <w:sz w:val="20"/>
                <w:szCs w:val="20"/>
              </w:rPr>
              <w:instrText xml:space="preserve"> NOTEREF _Ref190162024 \h </w:instrText>
            </w:r>
            <w:r w:rsidR="003E06D0">
              <w:rPr>
                <w:sz w:val="20"/>
                <w:szCs w:val="20"/>
              </w:rPr>
            </w:r>
            <w:r w:rsidR="003E06D0">
              <w:rPr>
                <w:sz w:val="20"/>
                <w:szCs w:val="20"/>
              </w:rPr>
              <w:fldChar w:fldCharType="separate"/>
            </w:r>
            <w:r w:rsidR="000C7657">
              <w:rPr>
                <w:sz w:val="20"/>
                <w:szCs w:val="20"/>
              </w:rPr>
              <w:t>***</w:t>
            </w:r>
            <w:r w:rsidR="003E06D0">
              <w:rPr>
                <w:sz w:val="20"/>
                <w:szCs w:val="20"/>
              </w:rPr>
              <w:fldChar w:fldCharType="end"/>
            </w:r>
          </w:p>
        </w:tc>
      </w:tr>
      <w:tr w:rsidR="0015506B" w14:paraId="7157971D" w14:textId="77777777" w:rsidTr="000D30CA">
        <w:tc>
          <w:tcPr>
            <w:tcW w:w="3269" w:type="dxa"/>
          </w:tcPr>
          <w:p w14:paraId="0246C4E4" w14:textId="77777777" w:rsidR="0015506B" w:rsidRDefault="0015506B">
            <w:pPr>
              <w:rPr>
                <w:sz w:val="18"/>
                <w:szCs w:val="18"/>
              </w:rPr>
            </w:pPr>
            <w:r>
              <w:rPr>
                <w:sz w:val="18"/>
                <w:szCs w:val="18"/>
              </w:rPr>
              <w:t>Controlling High Blood Pressure</w:t>
            </w:r>
          </w:p>
        </w:tc>
        <w:tc>
          <w:tcPr>
            <w:tcW w:w="1349" w:type="dxa"/>
          </w:tcPr>
          <w:p w14:paraId="6FFBFDEC" w14:textId="77777777" w:rsidR="0015506B" w:rsidRPr="00143A86" w:rsidRDefault="0015506B" w:rsidP="004919CD">
            <w:pPr>
              <w:jc w:val="center"/>
              <w:rPr>
                <w:sz w:val="20"/>
                <w:szCs w:val="20"/>
              </w:rPr>
            </w:pPr>
            <w:r w:rsidRPr="00143A86">
              <w:rPr>
                <w:rFonts w:cs="Calibri"/>
                <w:sz w:val="20"/>
                <w:szCs w:val="20"/>
              </w:rPr>
              <w:t>56.8%</w:t>
            </w:r>
          </w:p>
        </w:tc>
        <w:tc>
          <w:tcPr>
            <w:tcW w:w="1348" w:type="dxa"/>
          </w:tcPr>
          <w:p w14:paraId="31492F30" w14:textId="77777777" w:rsidR="0015506B" w:rsidRPr="00143A86" w:rsidRDefault="0015506B" w:rsidP="004919CD">
            <w:pPr>
              <w:jc w:val="center"/>
              <w:rPr>
                <w:sz w:val="20"/>
                <w:szCs w:val="20"/>
              </w:rPr>
            </w:pPr>
            <w:r w:rsidRPr="00143A86">
              <w:rPr>
                <w:rFonts w:cs="Calibri"/>
                <w:sz w:val="20"/>
                <w:szCs w:val="20"/>
              </w:rPr>
              <w:t>64.4%</w:t>
            </w:r>
          </w:p>
        </w:tc>
        <w:tc>
          <w:tcPr>
            <w:tcW w:w="1348" w:type="dxa"/>
          </w:tcPr>
          <w:p w14:paraId="5FA416EF" w14:textId="77777777" w:rsidR="0015506B" w:rsidRPr="00143A86" w:rsidRDefault="0015506B" w:rsidP="004919CD">
            <w:pPr>
              <w:jc w:val="center"/>
              <w:rPr>
                <w:sz w:val="20"/>
                <w:szCs w:val="20"/>
              </w:rPr>
            </w:pPr>
            <w:r w:rsidRPr="00143A86">
              <w:rPr>
                <w:rFonts w:cs="Calibri"/>
                <w:sz w:val="20"/>
                <w:szCs w:val="20"/>
              </w:rPr>
              <w:t>68.7%</w:t>
            </w:r>
          </w:p>
        </w:tc>
        <w:tc>
          <w:tcPr>
            <w:tcW w:w="1301" w:type="dxa"/>
            <w:shd w:val="clear" w:color="auto" w:fill="A8D08D" w:themeFill="accent6" w:themeFillTint="99"/>
          </w:tcPr>
          <w:p w14:paraId="3510A824" w14:textId="77777777" w:rsidR="0015506B" w:rsidRPr="00143A86" w:rsidRDefault="0015506B" w:rsidP="004919CD">
            <w:pPr>
              <w:jc w:val="center"/>
              <w:rPr>
                <w:sz w:val="20"/>
                <w:szCs w:val="20"/>
              </w:rPr>
            </w:pPr>
            <w:r w:rsidRPr="00143A86">
              <w:rPr>
                <w:rFonts w:cs="Calibri"/>
                <w:sz w:val="20"/>
                <w:szCs w:val="20"/>
              </w:rPr>
              <w:t>67.3%</w:t>
            </w:r>
          </w:p>
        </w:tc>
        <w:tc>
          <w:tcPr>
            <w:tcW w:w="830" w:type="dxa"/>
          </w:tcPr>
          <w:p w14:paraId="5B0F3455" w14:textId="227EC4EA" w:rsidR="0015506B" w:rsidRPr="00143A86" w:rsidRDefault="009851AF">
            <w:pPr>
              <w:rPr>
                <w:b/>
                <w:sz w:val="20"/>
                <w:szCs w:val="20"/>
              </w:rPr>
            </w:pPr>
            <w:r w:rsidRPr="00143A86">
              <w:rPr>
                <w:sz w:val="20"/>
                <w:szCs w:val="20"/>
              </w:rPr>
              <w:t>N/A</w:t>
            </w:r>
            <w:r w:rsidR="003E06D0">
              <w:rPr>
                <w:sz w:val="20"/>
                <w:szCs w:val="20"/>
              </w:rPr>
              <w:fldChar w:fldCharType="begin"/>
            </w:r>
            <w:r w:rsidR="003E06D0">
              <w:rPr>
                <w:sz w:val="20"/>
                <w:szCs w:val="20"/>
              </w:rPr>
              <w:instrText xml:space="preserve"> NOTEREF _Ref190162024 \h </w:instrText>
            </w:r>
            <w:r w:rsidR="003E06D0">
              <w:rPr>
                <w:sz w:val="20"/>
                <w:szCs w:val="20"/>
              </w:rPr>
            </w:r>
            <w:r w:rsidR="003E06D0">
              <w:rPr>
                <w:sz w:val="20"/>
                <w:szCs w:val="20"/>
              </w:rPr>
              <w:fldChar w:fldCharType="separate"/>
            </w:r>
            <w:r w:rsidR="000C7657">
              <w:rPr>
                <w:sz w:val="20"/>
                <w:szCs w:val="20"/>
              </w:rPr>
              <w:t>***</w:t>
            </w:r>
            <w:r w:rsidR="003E06D0">
              <w:rPr>
                <w:sz w:val="20"/>
                <w:szCs w:val="20"/>
              </w:rPr>
              <w:fldChar w:fldCharType="end"/>
            </w:r>
          </w:p>
        </w:tc>
      </w:tr>
      <w:tr w:rsidR="0015506B" w14:paraId="61974B43" w14:textId="77777777" w:rsidTr="000D30CA">
        <w:tc>
          <w:tcPr>
            <w:tcW w:w="3269" w:type="dxa"/>
          </w:tcPr>
          <w:p w14:paraId="484D2580" w14:textId="35284EEC" w:rsidR="0015506B" w:rsidRPr="00625AFE" w:rsidRDefault="0015506B">
            <w:pPr>
              <w:rPr>
                <w:sz w:val="18"/>
                <w:szCs w:val="18"/>
              </w:rPr>
            </w:pPr>
            <w:r w:rsidRPr="00E32348">
              <w:rPr>
                <w:sz w:val="18"/>
                <w:szCs w:val="18"/>
              </w:rPr>
              <w:t>Follow-Up Care for Children Prescribed ADHD Medication (</w:t>
            </w:r>
            <w:r w:rsidR="00EB54BF">
              <w:rPr>
                <w:sz w:val="18"/>
                <w:szCs w:val="18"/>
              </w:rPr>
              <w:t>I</w:t>
            </w:r>
            <w:r w:rsidR="009851AF" w:rsidRPr="00E32348">
              <w:rPr>
                <w:sz w:val="18"/>
                <w:szCs w:val="18"/>
              </w:rPr>
              <w:t>nitiation</w:t>
            </w:r>
            <w:r w:rsidRPr="00E32348">
              <w:rPr>
                <w:sz w:val="18"/>
                <w:szCs w:val="18"/>
              </w:rPr>
              <w:t>) </w:t>
            </w:r>
          </w:p>
        </w:tc>
        <w:tc>
          <w:tcPr>
            <w:tcW w:w="1349" w:type="dxa"/>
          </w:tcPr>
          <w:p w14:paraId="52A483FA" w14:textId="77777777" w:rsidR="0015506B" w:rsidRPr="00143A86" w:rsidRDefault="0015506B" w:rsidP="004919CD">
            <w:pPr>
              <w:jc w:val="center"/>
              <w:rPr>
                <w:sz w:val="20"/>
                <w:szCs w:val="20"/>
              </w:rPr>
            </w:pPr>
            <w:r w:rsidRPr="00143A86">
              <w:rPr>
                <w:rFonts w:cs="Calibri"/>
                <w:sz w:val="20"/>
                <w:szCs w:val="20"/>
              </w:rPr>
              <w:t>45.7%</w:t>
            </w:r>
          </w:p>
        </w:tc>
        <w:tc>
          <w:tcPr>
            <w:tcW w:w="1348" w:type="dxa"/>
          </w:tcPr>
          <w:p w14:paraId="0C67FDEB" w14:textId="77777777" w:rsidR="0015506B" w:rsidRPr="00143A86" w:rsidRDefault="0015506B" w:rsidP="004919CD">
            <w:pPr>
              <w:jc w:val="center"/>
              <w:rPr>
                <w:sz w:val="20"/>
                <w:szCs w:val="20"/>
              </w:rPr>
            </w:pPr>
            <w:r w:rsidRPr="00143A86">
              <w:rPr>
                <w:rFonts w:cs="Calibri"/>
                <w:sz w:val="20"/>
                <w:szCs w:val="20"/>
              </w:rPr>
              <w:t>44.5%</w:t>
            </w:r>
          </w:p>
        </w:tc>
        <w:tc>
          <w:tcPr>
            <w:tcW w:w="1348" w:type="dxa"/>
          </w:tcPr>
          <w:p w14:paraId="0C84C9A9" w14:textId="77777777" w:rsidR="0015506B" w:rsidRPr="00143A86" w:rsidRDefault="0015506B" w:rsidP="004919CD">
            <w:pPr>
              <w:jc w:val="center"/>
              <w:rPr>
                <w:sz w:val="20"/>
                <w:szCs w:val="20"/>
              </w:rPr>
            </w:pPr>
            <w:r w:rsidRPr="00143A86">
              <w:rPr>
                <w:rFonts w:cs="Calibri"/>
                <w:sz w:val="20"/>
                <w:szCs w:val="20"/>
              </w:rPr>
              <w:t>46.4%</w:t>
            </w:r>
          </w:p>
        </w:tc>
        <w:tc>
          <w:tcPr>
            <w:tcW w:w="1301" w:type="dxa"/>
          </w:tcPr>
          <w:p w14:paraId="5D390F17" w14:textId="77777777" w:rsidR="0015506B" w:rsidRPr="00143A86" w:rsidRDefault="0015506B" w:rsidP="004919CD">
            <w:pPr>
              <w:jc w:val="center"/>
              <w:rPr>
                <w:sz w:val="20"/>
                <w:szCs w:val="20"/>
              </w:rPr>
            </w:pPr>
            <w:r w:rsidRPr="00143A86">
              <w:rPr>
                <w:rFonts w:cs="Calibri"/>
                <w:sz w:val="20"/>
                <w:szCs w:val="20"/>
              </w:rPr>
              <w:t>48.1%</w:t>
            </w:r>
          </w:p>
        </w:tc>
        <w:tc>
          <w:tcPr>
            <w:tcW w:w="830" w:type="dxa"/>
          </w:tcPr>
          <w:p w14:paraId="7104D61F" w14:textId="35F904D0" w:rsidR="0015506B" w:rsidRPr="00143A86" w:rsidRDefault="00EB54BF">
            <w:pPr>
              <w:rPr>
                <w:rFonts w:eastAsia="Times New Roman" w:cs="Calibri"/>
                <w:sz w:val="20"/>
                <w:szCs w:val="20"/>
              </w:rPr>
            </w:pPr>
            <w:r w:rsidRPr="00143A86">
              <w:rPr>
                <w:rFonts w:cs="Calibri"/>
                <w:sz w:val="20"/>
                <w:szCs w:val="20"/>
              </w:rPr>
              <w:t>46.7%</w:t>
            </w:r>
          </w:p>
        </w:tc>
      </w:tr>
      <w:tr w:rsidR="0015506B" w14:paraId="28C5E102" w14:textId="77777777" w:rsidTr="000D30CA">
        <w:tc>
          <w:tcPr>
            <w:tcW w:w="3269" w:type="dxa"/>
          </w:tcPr>
          <w:p w14:paraId="042F27AE" w14:textId="51D2EBAE" w:rsidR="0015506B" w:rsidRPr="00625AFE" w:rsidRDefault="0015506B">
            <w:pPr>
              <w:rPr>
                <w:sz w:val="18"/>
                <w:szCs w:val="18"/>
              </w:rPr>
            </w:pPr>
            <w:r w:rsidRPr="00E32348">
              <w:rPr>
                <w:sz w:val="18"/>
                <w:szCs w:val="18"/>
              </w:rPr>
              <w:t>Follow-Up Care for Children Prescribed ADHD Medication (</w:t>
            </w:r>
            <w:r w:rsidR="00EB54BF">
              <w:rPr>
                <w:sz w:val="18"/>
                <w:szCs w:val="18"/>
              </w:rPr>
              <w:t>C</w:t>
            </w:r>
            <w:r w:rsidR="009851AF" w:rsidRPr="00E32348">
              <w:rPr>
                <w:sz w:val="18"/>
                <w:szCs w:val="18"/>
              </w:rPr>
              <w:t>ontinuation</w:t>
            </w:r>
            <w:r w:rsidRPr="00E32348">
              <w:rPr>
                <w:sz w:val="18"/>
                <w:szCs w:val="18"/>
              </w:rPr>
              <w:t>) </w:t>
            </w:r>
          </w:p>
        </w:tc>
        <w:tc>
          <w:tcPr>
            <w:tcW w:w="1349" w:type="dxa"/>
          </w:tcPr>
          <w:p w14:paraId="2011E5A0" w14:textId="77777777" w:rsidR="0015506B" w:rsidRPr="00143A86" w:rsidRDefault="0015506B" w:rsidP="004919CD">
            <w:pPr>
              <w:jc w:val="center"/>
              <w:rPr>
                <w:sz w:val="20"/>
                <w:szCs w:val="20"/>
              </w:rPr>
            </w:pPr>
            <w:r w:rsidRPr="00143A86">
              <w:rPr>
                <w:rFonts w:cs="Calibri"/>
                <w:sz w:val="20"/>
                <w:szCs w:val="20"/>
              </w:rPr>
              <w:t>54.8%</w:t>
            </w:r>
          </w:p>
        </w:tc>
        <w:tc>
          <w:tcPr>
            <w:tcW w:w="1348" w:type="dxa"/>
          </w:tcPr>
          <w:p w14:paraId="69A2F36E" w14:textId="77777777" w:rsidR="0015506B" w:rsidRPr="00143A86" w:rsidRDefault="0015506B" w:rsidP="004919CD">
            <w:pPr>
              <w:jc w:val="center"/>
              <w:rPr>
                <w:sz w:val="20"/>
                <w:szCs w:val="20"/>
              </w:rPr>
            </w:pPr>
            <w:r w:rsidRPr="00143A86">
              <w:rPr>
                <w:rFonts w:cs="Calibri"/>
                <w:sz w:val="20"/>
                <w:szCs w:val="20"/>
              </w:rPr>
              <w:t>54.7%</w:t>
            </w:r>
          </w:p>
        </w:tc>
        <w:tc>
          <w:tcPr>
            <w:tcW w:w="1348" w:type="dxa"/>
          </w:tcPr>
          <w:p w14:paraId="2B61A7AB" w14:textId="77777777" w:rsidR="0015506B" w:rsidRPr="00143A86" w:rsidRDefault="0015506B" w:rsidP="004919CD">
            <w:pPr>
              <w:jc w:val="center"/>
              <w:rPr>
                <w:sz w:val="20"/>
                <w:szCs w:val="20"/>
              </w:rPr>
            </w:pPr>
            <w:r w:rsidRPr="00143A86">
              <w:rPr>
                <w:rFonts w:cs="Calibri"/>
                <w:sz w:val="20"/>
                <w:szCs w:val="20"/>
              </w:rPr>
              <w:t>54.4%</w:t>
            </w:r>
          </w:p>
        </w:tc>
        <w:tc>
          <w:tcPr>
            <w:tcW w:w="1301" w:type="dxa"/>
          </w:tcPr>
          <w:p w14:paraId="5C6A0364" w14:textId="77777777" w:rsidR="0015506B" w:rsidRPr="00143A86" w:rsidRDefault="0015506B" w:rsidP="004919CD">
            <w:pPr>
              <w:jc w:val="center"/>
              <w:rPr>
                <w:sz w:val="20"/>
                <w:szCs w:val="20"/>
              </w:rPr>
            </w:pPr>
            <w:r w:rsidRPr="00143A86">
              <w:rPr>
                <w:rFonts w:cs="Calibri"/>
                <w:sz w:val="20"/>
                <w:szCs w:val="20"/>
              </w:rPr>
              <w:t>59.8%</w:t>
            </w:r>
          </w:p>
        </w:tc>
        <w:tc>
          <w:tcPr>
            <w:tcW w:w="830" w:type="dxa"/>
          </w:tcPr>
          <w:p w14:paraId="6A10FCFA" w14:textId="749B4464" w:rsidR="0015506B" w:rsidRPr="00143A86" w:rsidRDefault="00990E1F">
            <w:pPr>
              <w:rPr>
                <w:rFonts w:eastAsia="Times New Roman" w:cs="Calibri"/>
                <w:sz w:val="20"/>
                <w:szCs w:val="20"/>
              </w:rPr>
            </w:pPr>
            <w:r w:rsidRPr="00143A86">
              <w:rPr>
                <w:rFonts w:cs="Calibri"/>
                <w:sz w:val="20"/>
                <w:szCs w:val="20"/>
              </w:rPr>
              <w:t>55.8%</w:t>
            </w:r>
          </w:p>
        </w:tc>
      </w:tr>
      <w:tr w:rsidR="0015506B" w14:paraId="28509BD0" w14:textId="77777777" w:rsidTr="000D30CA">
        <w:tc>
          <w:tcPr>
            <w:tcW w:w="3269" w:type="dxa"/>
          </w:tcPr>
          <w:p w14:paraId="4A55C991" w14:textId="49BDB286" w:rsidR="0015506B" w:rsidRPr="00625AFE" w:rsidRDefault="329B7DCF">
            <w:pPr>
              <w:rPr>
                <w:sz w:val="18"/>
                <w:szCs w:val="18"/>
              </w:rPr>
            </w:pPr>
            <w:r w:rsidRPr="647A647B">
              <w:rPr>
                <w:sz w:val="18"/>
                <w:szCs w:val="18"/>
              </w:rPr>
              <w:lastRenderedPageBreak/>
              <w:t>Follow-Up Care for Children Prescribed ADHD Medication</w:t>
            </w:r>
          </w:p>
        </w:tc>
        <w:tc>
          <w:tcPr>
            <w:tcW w:w="1349" w:type="dxa"/>
          </w:tcPr>
          <w:p w14:paraId="58229039" w14:textId="77777777" w:rsidR="0015506B" w:rsidRPr="00143A86" w:rsidRDefault="0015506B" w:rsidP="004919CD">
            <w:pPr>
              <w:jc w:val="center"/>
              <w:rPr>
                <w:sz w:val="20"/>
                <w:szCs w:val="20"/>
              </w:rPr>
            </w:pPr>
            <w:r w:rsidRPr="00143A86">
              <w:rPr>
                <w:rFonts w:cs="Calibri"/>
                <w:sz w:val="20"/>
                <w:szCs w:val="20"/>
              </w:rPr>
              <w:t>73.2%</w:t>
            </w:r>
          </w:p>
        </w:tc>
        <w:tc>
          <w:tcPr>
            <w:tcW w:w="1348" w:type="dxa"/>
          </w:tcPr>
          <w:p w14:paraId="4103BEA9" w14:textId="77777777" w:rsidR="0015506B" w:rsidRPr="00143A86" w:rsidRDefault="0015506B" w:rsidP="004919CD">
            <w:pPr>
              <w:jc w:val="center"/>
              <w:rPr>
                <w:sz w:val="20"/>
                <w:szCs w:val="20"/>
              </w:rPr>
            </w:pPr>
            <w:r w:rsidRPr="00143A86">
              <w:rPr>
                <w:rFonts w:cs="Calibri"/>
                <w:sz w:val="20"/>
                <w:szCs w:val="20"/>
              </w:rPr>
              <w:t>77.7%</w:t>
            </w:r>
          </w:p>
        </w:tc>
        <w:tc>
          <w:tcPr>
            <w:tcW w:w="1348" w:type="dxa"/>
          </w:tcPr>
          <w:p w14:paraId="47B63F12" w14:textId="77777777" w:rsidR="0015506B" w:rsidRPr="00143A86" w:rsidRDefault="0015506B" w:rsidP="004919CD">
            <w:pPr>
              <w:jc w:val="center"/>
              <w:rPr>
                <w:sz w:val="20"/>
                <w:szCs w:val="20"/>
              </w:rPr>
            </w:pPr>
            <w:r w:rsidRPr="00143A86">
              <w:rPr>
                <w:rFonts w:cs="Calibri"/>
                <w:sz w:val="20"/>
                <w:szCs w:val="20"/>
              </w:rPr>
              <w:t>76.6%</w:t>
            </w:r>
          </w:p>
        </w:tc>
        <w:tc>
          <w:tcPr>
            <w:tcW w:w="1301" w:type="dxa"/>
          </w:tcPr>
          <w:p w14:paraId="359E8209" w14:textId="77777777" w:rsidR="0015506B" w:rsidRPr="00143A86" w:rsidRDefault="0015506B" w:rsidP="004919CD">
            <w:pPr>
              <w:jc w:val="center"/>
              <w:rPr>
                <w:sz w:val="20"/>
                <w:szCs w:val="20"/>
              </w:rPr>
            </w:pPr>
            <w:r w:rsidRPr="00143A86">
              <w:rPr>
                <w:rFonts w:cs="Calibri"/>
                <w:sz w:val="20"/>
                <w:szCs w:val="20"/>
              </w:rPr>
              <w:t>82.3%</w:t>
            </w:r>
          </w:p>
        </w:tc>
        <w:tc>
          <w:tcPr>
            <w:tcW w:w="830" w:type="dxa"/>
            <w:shd w:val="clear" w:color="auto" w:fill="A8D08D" w:themeFill="accent6" w:themeFillTint="99"/>
          </w:tcPr>
          <w:p w14:paraId="1CEF6DB6" w14:textId="08EFB368" w:rsidR="0015506B" w:rsidRPr="00143A86" w:rsidRDefault="00303B80">
            <w:pPr>
              <w:rPr>
                <w:b/>
                <w:sz w:val="20"/>
                <w:szCs w:val="20"/>
              </w:rPr>
            </w:pPr>
            <w:r w:rsidRPr="00143A86">
              <w:rPr>
                <w:rFonts w:cs="Calibri"/>
                <w:sz w:val="20"/>
                <w:szCs w:val="20"/>
              </w:rPr>
              <w:t>74.2%</w:t>
            </w:r>
          </w:p>
        </w:tc>
      </w:tr>
      <w:tr w:rsidR="0015506B" w14:paraId="6448ED8B" w14:textId="77777777" w:rsidTr="000D30CA">
        <w:trPr>
          <w:trHeight w:val="300"/>
        </w:trPr>
        <w:tc>
          <w:tcPr>
            <w:tcW w:w="3269" w:type="dxa"/>
          </w:tcPr>
          <w:p w14:paraId="377632FC" w14:textId="77777777" w:rsidR="0015506B" w:rsidRDefault="0015506B">
            <w:pPr>
              <w:rPr>
                <w:sz w:val="18"/>
                <w:szCs w:val="18"/>
              </w:rPr>
            </w:pPr>
            <w:r w:rsidRPr="3E464C40">
              <w:rPr>
                <w:sz w:val="18"/>
                <w:szCs w:val="18"/>
              </w:rPr>
              <w:t>Influenza Immunization (ages 18-64)</w:t>
            </w:r>
          </w:p>
        </w:tc>
        <w:tc>
          <w:tcPr>
            <w:tcW w:w="1349" w:type="dxa"/>
          </w:tcPr>
          <w:p w14:paraId="4C8EBEC5" w14:textId="77777777" w:rsidR="0015506B" w:rsidRPr="00143A86" w:rsidRDefault="0015506B" w:rsidP="004919CD">
            <w:pPr>
              <w:jc w:val="center"/>
              <w:rPr>
                <w:rFonts w:cs="Calibri"/>
                <w:sz w:val="20"/>
                <w:szCs w:val="20"/>
              </w:rPr>
            </w:pPr>
            <w:r w:rsidRPr="00143A86">
              <w:rPr>
                <w:rFonts w:cs="Calibri"/>
                <w:sz w:val="20"/>
                <w:szCs w:val="20"/>
              </w:rPr>
              <w:t>46.6%</w:t>
            </w:r>
          </w:p>
          <w:p w14:paraId="1B396183" w14:textId="77777777" w:rsidR="0015506B" w:rsidRPr="00143A86" w:rsidRDefault="0015506B" w:rsidP="004919CD">
            <w:pPr>
              <w:jc w:val="center"/>
              <w:rPr>
                <w:sz w:val="20"/>
                <w:szCs w:val="20"/>
              </w:rPr>
            </w:pPr>
          </w:p>
        </w:tc>
        <w:tc>
          <w:tcPr>
            <w:tcW w:w="1348" w:type="dxa"/>
          </w:tcPr>
          <w:p w14:paraId="035E9F2F" w14:textId="77777777" w:rsidR="0015506B" w:rsidRPr="00143A86" w:rsidRDefault="0015506B" w:rsidP="004919CD">
            <w:pPr>
              <w:jc w:val="center"/>
              <w:rPr>
                <w:rFonts w:cs="Calibri"/>
                <w:sz w:val="20"/>
                <w:szCs w:val="20"/>
              </w:rPr>
            </w:pPr>
            <w:r w:rsidRPr="00143A86">
              <w:rPr>
                <w:rFonts w:cs="Calibri"/>
                <w:sz w:val="20"/>
                <w:szCs w:val="20"/>
              </w:rPr>
              <w:t>47.4%</w:t>
            </w:r>
          </w:p>
          <w:p w14:paraId="600D7137" w14:textId="77777777" w:rsidR="0015506B" w:rsidRPr="00143A86" w:rsidRDefault="0015506B" w:rsidP="004919CD">
            <w:pPr>
              <w:jc w:val="center"/>
              <w:rPr>
                <w:sz w:val="20"/>
                <w:szCs w:val="20"/>
              </w:rPr>
            </w:pPr>
          </w:p>
        </w:tc>
        <w:tc>
          <w:tcPr>
            <w:tcW w:w="1348" w:type="dxa"/>
          </w:tcPr>
          <w:p w14:paraId="7EBD2C16" w14:textId="77777777" w:rsidR="0015506B" w:rsidRPr="00143A86" w:rsidRDefault="0015506B" w:rsidP="004919CD">
            <w:pPr>
              <w:jc w:val="center"/>
              <w:rPr>
                <w:rFonts w:cs="Calibri"/>
                <w:sz w:val="20"/>
                <w:szCs w:val="20"/>
              </w:rPr>
            </w:pPr>
            <w:r w:rsidRPr="00143A86">
              <w:rPr>
                <w:rFonts w:cs="Calibri"/>
                <w:sz w:val="20"/>
                <w:szCs w:val="20"/>
              </w:rPr>
              <w:t>49.1%</w:t>
            </w:r>
          </w:p>
          <w:p w14:paraId="3A51316B" w14:textId="77777777" w:rsidR="0015506B" w:rsidRPr="00143A86" w:rsidRDefault="0015506B" w:rsidP="004919CD">
            <w:pPr>
              <w:jc w:val="center"/>
              <w:rPr>
                <w:sz w:val="20"/>
                <w:szCs w:val="20"/>
              </w:rPr>
            </w:pPr>
          </w:p>
        </w:tc>
        <w:tc>
          <w:tcPr>
            <w:tcW w:w="1301" w:type="dxa"/>
            <w:shd w:val="clear" w:color="auto" w:fill="A8D08D" w:themeFill="accent6" w:themeFillTint="99"/>
          </w:tcPr>
          <w:p w14:paraId="57E19F3A" w14:textId="77777777" w:rsidR="0015506B" w:rsidRPr="00143A86" w:rsidRDefault="0015506B" w:rsidP="004919CD">
            <w:pPr>
              <w:jc w:val="center"/>
              <w:rPr>
                <w:rFonts w:cs="Calibri"/>
                <w:sz w:val="20"/>
                <w:szCs w:val="20"/>
              </w:rPr>
            </w:pPr>
            <w:r w:rsidRPr="00143A86">
              <w:rPr>
                <w:rFonts w:cs="Calibri"/>
                <w:sz w:val="20"/>
                <w:szCs w:val="20"/>
              </w:rPr>
              <w:t>46.1%</w:t>
            </w:r>
          </w:p>
          <w:p w14:paraId="05A6473F" w14:textId="77777777" w:rsidR="0015506B" w:rsidRPr="00143A86" w:rsidRDefault="0015506B" w:rsidP="004919CD">
            <w:pPr>
              <w:jc w:val="center"/>
              <w:rPr>
                <w:sz w:val="20"/>
                <w:szCs w:val="20"/>
              </w:rPr>
            </w:pPr>
          </w:p>
        </w:tc>
        <w:tc>
          <w:tcPr>
            <w:tcW w:w="830" w:type="dxa"/>
          </w:tcPr>
          <w:p w14:paraId="5707E0D3" w14:textId="7DA4BDFF" w:rsidR="0015506B" w:rsidRPr="00143A86" w:rsidRDefault="00B258FC" w:rsidP="00B258FC">
            <w:pPr>
              <w:jc w:val="center"/>
              <w:rPr>
                <w:b/>
                <w:sz w:val="20"/>
                <w:szCs w:val="20"/>
              </w:rPr>
            </w:pPr>
            <w:r w:rsidRPr="00143A86">
              <w:rPr>
                <w:sz w:val="20"/>
                <w:szCs w:val="20"/>
              </w:rPr>
              <w:t>N/A</w:t>
            </w:r>
            <w:r w:rsidR="003E06D0">
              <w:rPr>
                <w:sz w:val="20"/>
                <w:szCs w:val="20"/>
              </w:rPr>
              <w:fldChar w:fldCharType="begin"/>
            </w:r>
            <w:r w:rsidR="003E06D0">
              <w:rPr>
                <w:sz w:val="20"/>
                <w:szCs w:val="20"/>
              </w:rPr>
              <w:instrText xml:space="preserve"> NOTEREF _Ref190162024 \h </w:instrText>
            </w:r>
            <w:r w:rsidR="003E06D0">
              <w:rPr>
                <w:sz w:val="20"/>
                <w:szCs w:val="20"/>
              </w:rPr>
            </w:r>
            <w:r w:rsidR="003E06D0">
              <w:rPr>
                <w:sz w:val="20"/>
                <w:szCs w:val="20"/>
              </w:rPr>
              <w:fldChar w:fldCharType="separate"/>
            </w:r>
            <w:r w:rsidR="000C7657">
              <w:rPr>
                <w:sz w:val="20"/>
                <w:szCs w:val="20"/>
              </w:rPr>
              <w:t>***</w:t>
            </w:r>
            <w:r w:rsidR="003E06D0">
              <w:rPr>
                <w:sz w:val="20"/>
                <w:szCs w:val="20"/>
              </w:rPr>
              <w:fldChar w:fldCharType="end"/>
            </w:r>
          </w:p>
        </w:tc>
      </w:tr>
    </w:tbl>
    <w:p w14:paraId="746A3448" w14:textId="58F40821" w:rsidR="00B15AF2" w:rsidRPr="00B15AF2" w:rsidRDefault="000D30CA" w:rsidP="00BC2F64">
      <w:pPr>
        <w:spacing w:before="120"/>
      </w:pPr>
      <w:r w:rsidRPr="00E95F8C">
        <w:t xml:space="preserve">MassHealth has made strong progress towards meeting Goal 3, meeting or surpassing national benchmarks (75th percentile) or the Gap to Goal improvement target for </w:t>
      </w:r>
      <w:r w:rsidR="007E6FCD">
        <w:t>most</w:t>
      </w:r>
      <w:r w:rsidRPr="00E95F8C">
        <w:t xml:space="preserve"> of the measures used to assess this goal.  Objective 2 has been achieved with the development and implementation of MassHealth’s health quality and equity incentive program (HQEIP), which has established accountability and performance expectations associated with addressing and closing the disparity gaps in the quality of care.  Objective 3 has been achieved in establishing more aligned and focused measure slates for the start of new programs (e.g., ACO, hospital programs) and core measure reporting for 2023. </w:t>
      </w:r>
    </w:p>
    <w:p w14:paraId="093909C2" w14:textId="52E48BC1" w:rsidR="00753CD6" w:rsidRPr="00373513" w:rsidRDefault="00373513" w:rsidP="00753798">
      <w:pPr>
        <w:pStyle w:val="Heading3"/>
        <w:spacing w:after="120"/>
        <w:ind w:left="0" w:firstLine="0"/>
        <w:rPr>
          <w:rFonts w:asciiTheme="minorHAnsi" w:hAnsiTheme="minorHAnsi" w:cstheme="minorHAnsi"/>
          <w:color w:val="auto"/>
          <w:szCs w:val="24"/>
        </w:rPr>
      </w:pPr>
      <w:bookmarkStart w:id="11" w:name="_Toc190440058"/>
      <w:r>
        <w:rPr>
          <w:rFonts w:asciiTheme="minorHAnsi" w:hAnsiTheme="minorHAnsi" w:cstheme="minorHAnsi"/>
          <w:szCs w:val="24"/>
        </w:rPr>
        <w:t>Quality Goal 4: P</w:t>
      </w:r>
      <w:r w:rsidR="00B46828" w:rsidRPr="00373513">
        <w:rPr>
          <w:rFonts w:asciiTheme="minorHAnsi" w:hAnsiTheme="minorHAnsi" w:cstheme="minorHAnsi"/>
          <w:szCs w:val="24"/>
        </w:rPr>
        <w:t>romote person and family-centered care: Strengthen member and family-centered approaches to care and focus on engaging members in their health</w:t>
      </w:r>
      <w:bookmarkEnd w:id="11"/>
    </w:p>
    <w:p w14:paraId="6CDFEC8F" w14:textId="0727D4B4" w:rsidR="00753CD6" w:rsidRDefault="00753CD6" w:rsidP="00753CD6">
      <w:pPr>
        <w:spacing w:before="360"/>
        <w:rPr>
          <w:rStyle w:val="SubtleEmphasis"/>
        </w:rPr>
      </w:pPr>
      <w:r w:rsidRPr="009069AE">
        <w:rPr>
          <w:rStyle w:val="SubtleEmphasis"/>
        </w:rPr>
        <w:t xml:space="preserve">Table </w:t>
      </w:r>
      <w:r>
        <w:rPr>
          <w:rStyle w:val="SubtleEmphasis"/>
        </w:rPr>
        <w:t>5</w:t>
      </w:r>
      <w:r w:rsidR="00413AC8" w:rsidRPr="009069AE">
        <w:rPr>
          <w:rStyle w:val="SubtleEmphasis"/>
        </w:rPr>
        <w:t>: Quality</w:t>
      </w:r>
      <w:r>
        <w:rPr>
          <w:rStyle w:val="SubtleEmphasis"/>
        </w:rPr>
        <w:t xml:space="preserve"> Goal 4 Measures and Performance</w:t>
      </w:r>
    </w:p>
    <w:p w14:paraId="2F8B9EDC" w14:textId="1BA397C7" w:rsidR="00413AC8" w:rsidRPr="001A019B" w:rsidRDefault="00413AC8" w:rsidP="00753CD6">
      <w:pPr>
        <w:spacing w:before="360"/>
        <w:rPr>
          <w:b/>
          <w:i/>
          <w:iCs/>
          <w:color w:val="1F497D"/>
        </w:rPr>
      </w:pPr>
      <w:r w:rsidRPr="00052416">
        <w:rPr>
          <w:b/>
          <w:bCs/>
        </w:rPr>
        <w:t>Objective 1:</w:t>
      </w:r>
      <w:r>
        <w:t xml:space="preserve"> </w:t>
      </w:r>
      <w:r w:rsidRPr="00F91F49">
        <w:t>Promote requirements and activities that engage providers and members in their care decisions through communications that are clear, timely, accessible, and culturally and linguistically appropriate</w:t>
      </w:r>
    </w:p>
    <w:tbl>
      <w:tblPr>
        <w:tblStyle w:val="TableGrid"/>
        <w:tblW w:w="9350" w:type="dxa"/>
        <w:tblLook w:val="04A0" w:firstRow="1" w:lastRow="0" w:firstColumn="1" w:lastColumn="0" w:noHBand="0" w:noVBand="1"/>
      </w:tblPr>
      <w:tblGrid>
        <w:gridCol w:w="1545"/>
        <w:gridCol w:w="1571"/>
        <w:gridCol w:w="1558"/>
        <w:gridCol w:w="1558"/>
        <w:gridCol w:w="1559"/>
        <w:gridCol w:w="1559"/>
      </w:tblGrid>
      <w:tr w:rsidR="001026D5" w14:paraId="2EB1EB04" w14:textId="77777777" w:rsidTr="42747359">
        <w:tc>
          <w:tcPr>
            <w:tcW w:w="1545" w:type="dxa"/>
          </w:tcPr>
          <w:p w14:paraId="37519D74" w14:textId="77777777" w:rsidR="001026D5" w:rsidRDefault="001026D5">
            <w:pPr>
              <w:rPr>
                <w:b/>
                <w:bCs/>
                <w:sz w:val="24"/>
                <w:szCs w:val="24"/>
              </w:rPr>
            </w:pPr>
            <w:r>
              <w:t>Measure</w:t>
            </w:r>
          </w:p>
        </w:tc>
        <w:tc>
          <w:tcPr>
            <w:tcW w:w="1571" w:type="dxa"/>
          </w:tcPr>
          <w:p w14:paraId="51124A13" w14:textId="77777777" w:rsidR="001026D5" w:rsidRDefault="001026D5" w:rsidP="000438A1">
            <w:pPr>
              <w:jc w:val="center"/>
              <w:rPr>
                <w:b/>
                <w:bCs/>
                <w:sz w:val="24"/>
                <w:szCs w:val="24"/>
              </w:rPr>
            </w:pPr>
            <w:r>
              <w:t>MassHealth MY2020 Rate (Baseline)</w:t>
            </w:r>
          </w:p>
        </w:tc>
        <w:tc>
          <w:tcPr>
            <w:tcW w:w="1558" w:type="dxa"/>
          </w:tcPr>
          <w:p w14:paraId="45B09A10" w14:textId="77777777" w:rsidR="001026D5" w:rsidRDefault="001026D5" w:rsidP="000438A1">
            <w:pPr>
              <w:jc w:val="center"/>
              <w:rPr>
                <w:b/>
                <w:bCs/>
                <w:sz w:val="24"/>
                <w:szCs w:val="24"/>
              </w:rPr>
            </w:pPr>
            <w:r>
              <w:t>MassHealth MY2021 Rate</w:t>
            </w:r>
          </w:p>
        </w:tc>
        <w:tc>
          <w:tcPr>
            <w:tcW w:w="1558" w:type="dxa"/>
          </w:tcPr>
          <w:p w14:paraId="23132584" w14:textId="77777777" w:rsidR="001026D5" w:rsidRDefault="001026D5" w:rsidP="000438A1">
            <w:pPr>
              <w:jc w:val="center"/>
              <w:rPr>
                <w:b/>
                <w:bCs/>
                <w:sz w:val="24"/>
                <w:szCs w:val="24"/>
              </w:rPr>
            </w:pPr>
            <w:r>
              <w:t>MassHealth MY2022 Rate</w:t>
            </w:r>
          </w:p>
        </w:tc>
        <w:tc>
          <w:tcPr>
            <w:tcW w:w="1559" w:type="dxa"/>
          </w:tcPr>
          <w:p w14:paraId="3092FA4B" w14:textId="77777777" w:rsidR="001026D5" w:rsidRDefault="001026D5" w:rsidP="000438A1">
            <w:pPr>
              <w:jc w:val="center"/>
              <w:rPr>
                <w:b/>
                <w:bCs/>
                <w:sz w:val="24"/>
                <w:szCs w:val="24"/>
              </w:rPr>
            </w:pPr>
            <w:r>
              <w:t>National Benchmark MY2022 75th</w:t>
            </w:r>
          </w:p>
        </w:tc>
        <w:tc>
          <w:tcPr>
            <w:tcW w:w="1559" w:type="dxa"/>
          </w:tcPr>
          <w:p w14:paraId="1198D1B6" w14:textId="77777777" w:rsidR="001026D5" w:rsidRDefault="001026D5" w:rsidP="000438A1">
            <w:pPr>
              <w:jc w:val="center"/>
              <w:rPr>
                <w:b/>
                <w:bCs/>
                <w:sz w:val="24"/>
                <w:szCs w:val="24"/>
              </w:rPr>
            </w:pPr>
            <w:r>
              <w:t>Gap to Goal</w:t>
            </w:r>
          </w:p>
        </w:tc>
      </w:tr>
      <w:tr w:rsidR="001026D5" w14:paraId="3A363E40" w14:textId="77777777" w:rsidTr="002E7B47">
        <w:tc>
          <w:tcPr>
            <w:tcW w:w="1545" w:type="dxa"/>
          </w:tcPr>
          <w:p w14:paraId="16BE0018" w14:textId="77777777" w:rsidR="001026D5" w:rsidRDefault="001026D5">
            <w:pPr>
              <w:rPr>
                <w:sz w:val="18"/>
                <w:szCs w:val="18"/>
              </w:rPr>
            </w:pPr>
            <w:r>
              <w:rPr>
                <w:sz w:val="18"/>
                <w:szCs w:val="18"/>
              </w:rPr>
              <w:t>CAHPS how well doctors communicate</w:t>
            </w:r>
          </w:p>
        </w:tc>
        <w:tc>
          <w:tcPr>
            <w:tcW w:w="1571" w:type="dxa"/>
            <w:tcBorders>
              <w:top w:val="single" w:sz="4" w:space="0" w:color="auto"/>
              <w:left w:val="single" w:sz="4" w:space="0" w:color="auto"/>
              <w:bottom w:val="single" w:sz="4" w:space="0" w:color="auto"/>
              <w:right w:val="single" w:sz="4" w:space="0" w:color="auto"/>
            </w:tcBorders>
            <w:vAlign w:val="center"/>
          </w:tcPr>
          <w:p w14:paraId="12164CF2" w14:textId="366C771E" w:rsidR="001026D5" w:rsidRPr="00143A86" w:rsidRDefault="00B3620A" w:rsidP="004919CD">
            <w:pPr>
              <w:jc w:val="center"/>
              <w:rPr>
                <w:rFonts w:cs="Calibri"/>
                <w:color w:val="5B9BD5" w:themeColor="accent5"/>
                <w:sz w:val="20"/>
                <w:szCs w:val="20"/>
              </w:rPr>
            </w:pPr>
            <w:r w:rsidRPr="00143A86">
              <w:rPr>
                <w:rFonts w:cs="Calibri"/>
                <w:sz w:val="20"/>
                <w:szCs w:val="20"/>
              </w:rPr>
              <w:t>91.5%</w:t>
            </w:r>
          </w:p>
        </w:tc>
        <w:tc>
          <w:tcPr>
            <w:tcW w:w="1558" w:type="dxa"/>
            <w:tcBorders>
              <w:top w:val="single" w:sz="4" w:space="0" w:color="auto"/>
              <w:left w:val="single" w:sz="4" w:space="0" w:color="auto"/>
              <w:bottom w:val="single" w:sz="4" w:space="0" w:color="auto"/>
              <w:right w:val="nil"/>
            </w:tcBorders>
            <w:vAlign w:val="center"/>
          </w:tcPr>
          <w:p w14:paraId="7C92AA8A" w14:textId="6A3F4D8B" w:rsidR="001026D5" w:rsidRPr="00143A86" w:rsidRDefault="000A620B" w:rsidP="004919CD">
            <w:pPr>
              <w:jc w:val="center"/>
              <w:rPr>
                <w:rFonts w:cs="Calibri"/>
                <w:sz w:val="20"/>
                <w:szCs w:val="20"/>
              </w:rPr>
            </w:pPr>
            <w:r w:rsidRPr="00143A86">
              <w:rPr>
                <w:rFonts w:cs="Calibri"/>
                <w:sz w:val="20"/>
                <w:szCs w:val="20"/>
              </w:rPr>
              <w:t>91.7%</w:t>
            </w:r>
          </w:p>
        </w:tc>
        <w:tc>
          <w:tcPr>
            <w:tcW w:w="1558" w:type="dxa"/>
            <w:tcBorders>
              <w:top w:val="single" w:sz="4" w:space="0" w:color="auto"/>
              <w:left w:val="single" w:sz="4" w:space="0" w:color="auto"/>
              <w:bottom w:val="single" w:sz="4" w:space="0" w:color="auto"/>
              <w:right w:val="nil"/>
            </w:tcBorders>
            <w:vAlign w:val="center"/>
          </w:tcPr>
          <w:p w14:paraId="21A56D0A" w14:textId="4F75B0A9" w:rsidR="001026D5" w:rsidRPr="00143A86" w:rsidRDefault="000A620B" w:rsidP="004919CD">
            <w:pPr>
              <w:jc w:val="center"/>
              <w:rPr>
                <w:rFonts w:cs="Calibri"/>
                <w:sz w:val="20"/>
                <w:szCs w:val="20"/>
              </w:rPr>
            </w:pPr>
            <w:r w:rsidRPr="00143A86">
              <w:rPr>
                <w:rFonts w:cs="Calibri"/>
                <w:sz w:val="20"/>
                <w:szCs w:val="20"/>
              </w:rPr>
              <w:t>94</w:t>
            </w:r>
            <w:r w:rsidR="00363610" w:rsidRPr="00143A86">
              <w:rPr>
                <w:rFonts w:cs="Calibri"/>
                <w:sz w:val="20"/>
                <w:szCs w:val="20"/>
              </w:rPr>
              <w:t>.0</w:t>
            </w:r>
            <w:r w:rsidRPr="00143A86">
              <w:rPr>
                <w:rFonts w:cs="Calibri"/>
                <w:sz w:val="20"/>
                <w:szCs w:val="20"/>
              </w:rPr>
              <w:t>%</w:t>
            </w:r>
          </w:p>
        </w:tc>
        <w:tc>
          <w:tcPr>
            <w:tcW w:w="1559" w:type="dxa"/>
            <w:shd w:val="clear" w:color="auto" w:fill="A8D08D" w:themeFill="accent6" w:themeFillTint="99"/>
          </w:tcPr>
          <w:p w14:paraId="6254EAAD" w14:textId="39275666" w:rsidR="001026D5" w:rsidRPr="00143A86" w:rsidRDefault="000A620B" w:rsidP="004919CD">
            <w:pPr>
              <w:jc w:val="center"/>
              <w:rPr>
                <w:sz w:val="20"/>
                <w:szCs w:val="20"/>
              </w:rPr>
            </w:pPr>
            <w:r w:rsidRPr="00143A86">
              <w:rPr>
                <w:sz w:val="20"/>
                <w:szCs w:val="20"/>
              </w:rPr>
              <w:t>94</w:t>
            </w:r>
            <w:r w:rsidR="00363610" w:rsidRPr="00143A86">
              <w:rPr>
                <w:sz w:val="20"/>
                <w:szCs w:val="20"/>
              </w:rPr>
              <w:t>.0</w:t>
            </w:r>
            <w:r w:rsidRPr="00143A86">
              <w:rPr>
                <w:sz w:val="20"/>
                <w:szCs w:val="20"/>
              </w:rPr>
              <w:t>%</w:t>
            </w:r>
          </w:p>
        </w:tc>
        <w:tc>
          <w:tcPr>
            <w:tcW w:w="1559" w:type="dxa"/>
          </w:tcPr>
          <w:p w14:paraId="6EBBEB14" w14:textId="5E991944" w:rsidR="001026D5" w:rsidRPr="00143A86" w:rsidRDefault="00213725" w:rsidP="00F978C6">
            <w:pPr>
              <w:jc w:val="center"/>
              <w:rPr>
                <w:b/>
                <w:sz w:val="20"/>
                <w:szCs w:val="20"/>
              </w:rPr>
            </w:pPr>
            <w:r w:rsidRPr="00143A86">
              <w:rPr>
                <w:sz w:val="20"/>
                <w:szCs w:val="20"/>
              </w:rPr>
              <w:t>N/A</w:t>
            </w:r>
            <w:r w:rsidR="003E06D0">
              <w:rPr>
                <w:sz w:val="20"/>
                <w:szCs w:val="20"/>
              </w:rPr>
              <w:fldChar w:fldCharType="begin"/>
            </w:r>
            <w:r w:rsidR="003E06D0">
              <w:rPr>
                <w:sz w:val="20"/>
                <w:szCs w:val="20"/>
              </w:rPr>
              <w:instrText xml:space="preserve"> NOTEREF _Ref190162024 \h </w:instrText>
            </w:r>
            <w:r w:rsidR="003E06D0">
              <w:rPr>
                <w:sz w:val="20"/>
                <w:szCs w:val="20"/>
              </w:rPr>
            </w:r>
            <w:r w:rsidR="003E06D0">
              <w:rPr>
                <w:sz w:val="20"/>
                <w:szCs w:val="20"/>
              </w:rPr>
              <w:fldChar w:fldCharType="separate"/>
            </w:r>
            <w:r w:rsidR="000C7657">
              <w:rPr>
                <w:sz w:val="20"/>
                <w:szCs w:val="20"/>
              </w:rPr>
              <w:t>***</w:t>
            </w:r>
            <w:r w:rsidR="003E06D0">
              <w:rPr>
                <w:sz w:val="20"/>
                <w:szCs w:val="20"/>
              </w:rPr>
              <w:fldChar w:fldCharType="end"/>
            </w:r>
          </w:p>
        </w:tc>
      </w:tr>
      <w:tr w:rsidR="001026D5" w14:paraId="424D4078" w14:textId="77777777" w:rsidTr="505AF1D8">
        <w:tc>
          <w:tcPr>
            <w:tcW w:w="1545" w:type="dxa"/>
          </w:tcPr>
          <w:p w14:paraId="4DFEEAF3" w14:textId="77777777" w:rsidR="001026D5" w:rsidRDefault="001026D5">
            <w:pPr>
              <w:rPr>
                <w:sz w:val="18"/>
                <w:szCs w:val="18"/>
              </w:rPr>
            </w:pPr>
            <w:r>
              <w:rPr>
                <w:sz w:val="18"/>
                <w:szCs w:val="18"/>
              </w:rPr>
              <w:t>CAHPS customer service</w:t>
            </w:r>
          </w:p>
        </w:tc>
        <w:tc>
          <w:tcPr>
            <w:tcW w:w="1571" w:type="dxa"/>
            <w:tcBorders>
              <w:top w:val="single" w:sz="4" w:space="0" w:color="auto"/>
              <w:left w:val="single" w:sz="4" w:space="0" w:color="auto"/>
              <w:bottom w:val="single" w:sz="4" w:space="0" w:color="auto"/>
              <w:right w:val="single" w:sz="4" w:space="0" w:color="auto"/>
            </w:tcBorders>
            <w:vAlign w:val="center"/>
          </w:tcPr>
          <w:p w14:paraId="478853FA" w14:textId="2249D8BC" w:rsidR="001026D5" w:rsidRPr="00143A86" w:rsidRDefault="000A620B" w:rsidP="004919CD">
            <w:pPr>
              <w:jc w:val="center"/>
              <w:rPr>
                <w:rFonts w:cs="Calibri"/>
                <w:color w:val="5B9BD5" w:themeColor="accent5"/>
                <w:sz w:val="20"/>
                <w:szCs w:val="20"/>
              </w:rPr>
            </w:pPr>
            <w:r w:rsidRPr="00143A86">
              <w:rPr>
                <w:rFonts w:cs="Calibri"/>
                <w:sz w:val="20"/>
                <w:szCs w:val="20"/>
              </w:rPr>
              <w:t>89.0%</w:t>
            </w:r>
          </w:p>
        </w:tc>
        <w:tc>
          <w:tcPr>
            <w:tcW w:w="1558" w:type="dxa"/>
            <w:tcBorders>
              <w:top w:val="single" w:sz="4" w:space="0" w:color="auto"/>
              <w:left w:val="single" w:sz="4" w:space="0" w:color="auto"/>
              <w:bottom w:val="single" w:sz="4" w:space="0" w:color="auto"/>
              <w:right w:val="nil"/>
            </w:tcBorders>
            <w:vAlign w:val="center"/>
          </w:tcPr>
          <w:p w14:paraId="540A86A5" w14:textId="4F81E982" w:rsidR="001026D5" w:rsidRPr="00143A86" w:rsidRDefault="00350DFD" w:rsidP="004919CD">
            <w:pPr>
              <w:jc w:val="center"/>
              <w:rPr>
                <w:rFonts w:cs="Calibri"/>
                <w:sz w:val="20"/>
                <w:szCs w:val="20"/>
              </w:rPr>
            </w:pPr>
            <w:r w:rsidRPr="00143A86">
              <w:rPr>
                <w:rFonts w:cs="Calibri"/>
                <w:sz w:val="20"/>
                <w:szCs w:val="20"/>
              </w:rPr>
              <w:t>87.6%</w:t>
            </w:r>
          </w:p>
        </w:tc>
        <w:tc>
          <w:tcPr>
            <w:tcW w:w="1558" w:type="dxa"/>
            <w:tcBorders>
              <w:top w:val="single" w:sz="4" w:space="0" w:color="auto"/>
              <w:left w:val="single" w:sz="4" w:space="0" w:color="auto"/>
              <w:bottom w:val="single" w:sz="4" w:space="0" w:color="auto"/>
              <w:right w:val="nil"/>
            </w:tcBorders>
            <w:vAlign w:val="center"/>
          </w:tcPr>
          <w:p w14:paraId="32DC4634" w14:textId="6C938629" w:rsidR="001026D5" w:rsidRPr="00143A86" w:rsidRDefault="00350DFD" w:rsidP="004919CD">
            <w:pPr>
              <w:jc w:val="center"/>
              <w:rPr>
                <w:rFonts w:cs="Calibri"/>
                <w:sz w:val="20"/>
                <w:szCs w:val="20"/>
              </w:rPr>
            </w:pPr>
            <w:r w:rsidRPr="00143A86">
              <w:rPr>
                <w:rFonts w:cs="Calibri"/>
                <w:sz w:val="20"/>
                <w:szCs w:val="20"/>
              </w:rPr>
              <w:t>90.7%</w:t>
            </w:r>
          </w:p>
        </w:tc>
        <w:tc>
          <w:tcPr>
            <w:tcW w:w="1559" w:type="dxa"/>
          </w:tcPr>
          <w:p w14:paraId="477DFFB3" w14:textId="49D1A055" w:rsidR="001026D5" w:rsidRPr="00143A86" w:rsidRDefault="00350DFD" w:rsidP="004919CD">
            <w:pPr>
              <w:jc w:val="center"/>
              <w:rPr>
                <w:sz w:val="20"/>
                <w:szCs w:val="20"/>
              </w:rPr>
            </w:pPr>
            <w:r w:rsidRPr="00143A86">
              <w:rPr>
                <w:sz w:val="20"/>
                <w:szCs w:val="20"/>
              </w:rPr>
              <w:t>91.1%</w:t>
            </w:r>
          </w:p>
        </w:tc>
        <w:tc>
          <w:tcPr>
            <w:tcW w:w="1559" w:type="dxa"/>
            <w:shd w:val="clear" w:color="auto" w:fill="A8D08D" w:themeFill="accent6" w:themeFillTint="99"/>
          </w:tcPr>
          <w:p w14:paraId="47C74274" w14:textId="3DC86F07" w:rsidR="001026D5" w:rsidRPr="00143A86" w:rsidRDefault="00F978C6" w:rsidP="00F978C6">
            <w:pPr>
              <w:jc w:val="center"/>
              <w:rPr>
                <w:rFonts w:eastAsia="Times New Roman" w:cs="Calibri"/>
                <w:sz w:val="20"/>
                <w:szCs w:val="20"/>
              </w:rPr>
            </w:pPr>
            <w:r w:rsidRPr="00143A86">
              <w:rPr>
                <w:rFonts w:cs="Calibri"/>
                <w:sz w:val="20"/>
                <w:szCs w:val="20"/>
              </w:rPr>
              <w:t>90.0%</w:t>
            </w:r>
          </w:p>
        </w:tc>
      </w:tr>
      <w:tr w:rsidR="001026D5" w14:paraId="5B00A14E" w14:textId="77777777" w:rsidTr="42747359">
        <w:tc>
          <w:tcPr>
            <w:tcW w:w="1545" w:type="dxa"/>
          </w:tcPr>
          <w:p w14:paraId="28AF1DC0" w14:textId="714FC6E1" w:rsidR="001026D5" w:rsidRDefault="001026D5">
            <w:pPr>
              <w:rPr>
                <w:sz w:val="18"/>
                <w:szCs w:val="18"/>
              </w:rPr>
            </w:pPr>
            <w:r>
              <w:rPr>
                <w:sz w:val="18"/>
                <w:szCs w:val="18"/>
              </w:rPr>
              <w:t>Integrated care CAHPS</w:t>
            </w:r>
            <w:r w:rsidR="006D24D8">
              <w:rPr>
                <w:sz w:val="18"/>
                <w:szCs w:val="18"/>
              </w:rPr>
              <w:t>: Getting Needed Care</w:t>
            </w:r>
            <w:r>
              <w:rPr>
                <w:sz w:val="18"/>
                <w:szCs w:val="18"/>
              </w:rPr>
              <w:t xml:space="preserve"> </w:t>
            </w:r>
          </w:p>
        </w:tc>
        <w:tc>
          <w:tcPr>
            <w:tcW w:w="1571" w:type="dxa"/>
            <w:tcBorders>
              <w:top w:val="single" w:sz="4" w:space="0" w:color="auto"/>
              <w:left w:val="single" w:sz="4" w:space="0" w:color="auto"/>
              <w:bottom w:val="single" w:sz="4" w:space="0" w:color="auto"/>
              <w:right w:val="single" w:sz="4" w:space="0" w:color="auto"/>
            </w:tcBorders>
            <w:vAlign w:val="center"/>
          </w:tcPr>
          <w:p w14:paraId="611526A4" w14:textId="149FE388" w:rsidR="001026D5" w:rsidRPr="00143A86" w:rsidRDefault="00952B67" w:rsidP="004919CD">
            <w:pPr>
              <w:jc w:val="center"/>
              <w:rPr>
                <w:rFonts w:cs="Calibri"/>
                <w:color w:val="5B9BD5" w:themeColor="accent5"/>
                <w:sz w:val="20"/>
                <w:szCs w:val="20"/>
              </w:rPr>
            </w:pPr>
            <w:r w:rsidRPr="00143A86">
              <w:rPr>
                <w:rFonts w:cs="Calibri"/>
                <w:sz w:val="20"/>
                <w:szCs w:val="20"/>
              </w:rPr>
              <w:t>80%</w:t>
            </w:r>
          </w:p>
        </w:tc>
        <w:tc>
          <w:tcPr>
            <w:tcW w:w="1558" w:type="dxa"/>
            <w:tcBorders>
              <w:top w:val="single" w:sz="4" w:space="0" w:color="auto"/>
              <w:left w:val="single" w:sz="4" w:space="0" w:color="auto"/>
              <w:bottom w:val="single" w:sz="4" w:space="0" w:color="auto"/>
              <w:right w:val="nil"/>
            </w:tcBorders>
            <w:vAlign w:val="center"/>
          </w:tcPr>
          <w:p w14:paraId="03783DE5" w14:textId="5B1402BD" w:rsidR="001026D5" w:rsidRPr="00143A86" w:rsidRDefault="0083407E" w:rsidP="004919CD">
            <w:pPr>
              <w:jc w:val="center"/>
              <w:rPr>
                <w:rFonts w:cs="Calibri"/>
                <w:color w:val="5B9BD5" w:themeColor="accent5"/>
                <w:sz w:val="20"/>
                <w:szCs w:val="20"/>
              </w:rPr>
            </w:pPr>
            <w:r w:rsidRPr="00143A86">
              <w:rPr>
                <w:rFonts w:cs="Calibri"/>
                <w:sz w:val="20"/>
                <w:szCs w:val="20"/>
              </w:rPr>
              <w:t>79%</w:t>
            </w:r>
          </w:p>
        </w:tc>
        <w:tc>
          <w:tcPr>
            <w:tcW w:w="1558" w:type="dxa"/>
            <w:tcBorders>
              <w:top w:val="single" w:sz="4" w:space="0" w:color="auto"/>
              <w:left w:val="single" w:sz="4" w:space="0" w:color="auto"/>
              <w:bottom w:val="single" w:sz="4" w:space="0" w:color="auto"/>
              <w:right w:val="nil"/>
            </w:tcBorders>
            <w:vAlign w:val="center"/>
          </w:tcPr>
          <w:p w14:paraId="36EB2547" w14:textId="7EAD62F3" w:rsidR="001026D5" w:rsidRPr="00143A86" w:rsidRDefault="00276E68" w:rsidP="004919CD">
            <w:pPr>
              <w:jc w:val="center"/>
              <w:rPr>
                <w:rFonts w:cs="Calibri"/>
                <w:sz w:val="20"/>
                <w:szCs w:val="20"/>
              </w:rPr>
            </w:pPr>
            <w:r w:rsidRPr="00143A86">
              <w:rPr>
                <w:rFonts w:cs="Calibri"/>
                <w:sz w:val="20"/>
                <w:szCs w:val="20"/>
              </w:rPr>
              <w:t>78%</w:t>
            </w:r>
          </w:p>
        </w:tc>
        <w:tc>
          <w:tcPr>
            <w:tcW w:w="1559" w:type="dxa"/>
          </w:tcPr>
          <w:p w14:paraId="7601D946" w14:textId="556BE939" w:rsidR="001026D5" w:rsidRPr="00143A86" w:rsidRDefault="00276E68" w:rsidP="004919CD">
            <w:pPr>
              <w:jc w:val="center"/>
              <w:rPr>
                <w:sz w:val="20"/>
                <w:szCs w:val="20"/>
              </w:rPr>
            </w:pPr>
            <w:r w:rsidRPr="00143A86">
              <w:rPr>
                <w:sz w:val="20"/>
                <w:szCs w:val="20"/>
              </w:rPr>
              <w:t>80%</w:t>
            </w:r>
            <w:r w:rsidR="00BF72D4">
              <w:rPr>
                <w:sz w:val="20"/>
                <w:szCs w:val="20"/>
              </w:rPr>
              <w:fldChar w:fldCharType="begin"/>
            </w:r>
            <w:r w:rsidR="00BF72D4">
              <w:rPr>
                <w:sz w:val="20"/>
                <w:szCs w:val="20"/>
              </w:rPr>
              <w:instrText xml:space="preserve"> NOTEREF _Ref190162419 \h </w:instrText>
            </w:r>
            <w:r w:rsidR="00BF72D4">
              <w:rPr>
                <w:sz w:val="20"/>
                <w:szCs w:val="20"/>
              </w:rPr>
            </w:r>
            <w:r w:rsidR="00BF72D4">
              <w:rPr>
                <w:sz w:val="20"/>
                <w:szCs w:val="20"/>
              </w:rPr>
              <w:fldChar w:fldCharType="separate"/>
            </w:r>
            <w:r w:rsidR="000C7657">
              <w:rPr>
                <w:sz w:val="20"/>
                <w:szCs w:val="20"/>
              </w:rPr>
              <w:t>†††</w:t>
            </w:r>
            <w:r w:rsidR="00BF72D4">
              <w:rPr>
                <w:sz w:val="20"/>
                <w:szCs w:val="20"/>
              </w:rPr>
              <w:fldChar w:fldCharType="end"/>
            </w:r>
          </w:p>
        </w:tc>
        <w:tc>
          <w:tcPr>
            <w:tcW w:w="1559" w:type="dxa"/>
          </w:tcPr>
          <w:p w14:paraId="3FF95362" w14:textId="5B9D874E" w:rsidR="001026D5" w:rsidRPr="00143A86" w:rsidRDefault="008803DA" w:rsidP="00952B67">
            <w:pPr>
              <w:jc w:val="center"/>
              <w:rPr>
                <w:sz w:val="20"/>
                <w:szCs w:val="20"/>
              </w:rPr>
            </w:pPr>
            <w:r w:rsidRPr="00143A86">
              <w:rPr>
                <w:sz w:val="20"/>
                <w:szCs w:val="20"/>
              </w:rPr>
              <w:t>N/A*</w:t>
            </w:r>
          </w:p>
        </w:tc>
      </w:tr>
    </w:tbl>
    <w:p w14:paraId="43C7C84F" w14:textId="5F1B0F6C" w:rsidR="00413AC8" w:rsidRDefault="00413AC8">
      <w:r w:rsidRPr="00052416">
        <w:rPr>
          <w:b/>
          <w:bCs/>
        </w:rPr>
        <w:t>Objective 2:</w:t>
      </w:r>
      <w:r>
        <w:t xml:space="preserve"> </w:t>
      </w:r>
      <w:r w:rsidRPr="00D85075">
        <w:t xml:space="preserve">Capture member experience across our populations for members receiving acute care, primary care, behavioral health, and long-term services and </w:t>
      </w:r>
      <w:proofErr w:type="gramStart"/>
      <w:r w:rsidRPr="00D85075">
        <w:t>supports</w:t>
      </w:r>
      <w:proofErr w:type="gramEnd"/>
    </w:p>
    <w:tbl>
      <w:tblPr>
        <w:tblStyle w:val="TableGrid8"/>
        <w:tblW w:w="0" w:type="auto"/>
        <w:tblLook w:val="04A0" w:firstRow="1" w:lastRow="0" w:firstColumn="1" w:lastColumn="0" w:noHBand="0" w:noVBand="1"/>
      </w:tblPr>
      <w:tblGrid>
        <w:gridCol w:w="1548"/>
        <w:gridCol w:w="1957"/>
        <w:gridCol w:w="1799"/>
        <w:gridCol w:w="1463"/>
        <w:gridCol w:w="1441"/>
        <w:gridCol w:w="1142"/>
      </w:tblGrid>
      <w:tr w:rsidR="00FC0D18" w14:paraId="7741B0E6" w14:textId="77777777" w:rsidTr="003F5C9B">
        <w:tc>
          <w:tcPr>
            <w:tcW w:w="1548" w:type="dxa"/>
          </w:tcPr>
          <w:p w14:paraId="2656091F" w14:textId="77777777" w:rsidR="00FC0D18" w:rsidRDefault="00FC0D18">
            <w:pPr>
              <w:rPr>
                <w:b/>
                <w:bCs/>
                <w:sz w:val="24"/>
                <w:szCs w:val="24"/>
              </w:rPr>
            </w:pPr>
            <w:r>
              <w:t>Measure</w:t>
            </w:r>
          </w:p>
        </w:tc>
        <w:tc>
          <w:tcPr>
            <w:tcW w:w="1957" w:type="dxa"/>
          </w:tcPr>
          <w:p w14:paraId="4DA8AF45" w14:textId="77777777" w:rsidR="00FC0D18" w:rsidRDefault="00FC0D18" w:rsidP="00BC2F64">
            <w:pPr>
              <w:jc w:val="center"/>
              <w:rPr>
                <w:b/>
                <w:bCs/>
                <w:sz w:val="24"/>
                <w:szCs w:val="24"/>
              </w:rPr>
            </w:pPr>
            <w:r>
              <w:t>MassHealth MY2020 Rate (Baseline)</w:t>
            </w:r>
          </w:p>
        </w:tc>
        <w:tc>
          <w:tcPr>
            <w:tcW w:w="1799" w:type="dxa"/>
          </w:tcPr>
          <w:p w14:paraId="5B58CF12" w14:textId="77777777" w:rsidR="00FC0D18" w:rsidRDefault="00FC0D18" w:rsidP="00BC2F64">
            <w:pPr>
              <w:jc w:val="center"/>
              <w:rPr>
                <w:b/>
                <w:bCs/>
                <w:sz w:val="24"/>
                <w:szCs w:val="24"/>
              </w:rPr>
            </w:pPr>
            <w:r>
              <w:t>MassHealth MY2021 Rate</w:t>
            </w:r>
          </w:p>
        </w:tc>
        <w:tc>
          <w:tcPr>
            <w:tcW w:w="1463" w:type="dxa"/>
          </w:tcPr>
          <w:p w14:paraId="790CB9AE" w14:textId="77777777" w:rsidR="00FC0D18" w:rsidRDefault="00FC0D18" w:rsidP="00BC2F64">
            <w:pPr>
              <w:jc w:val="center"/>
              <w:rPr>
                <w:b/>
                <w:bCs/>
                <w:sz w:val="24"/>
                <w:szCs w:val="24"/>
              </w:rPr>
            </w:pPr>
            <w:r>
              <w:t>MassHealth MY2022 Rate</w:t>
            </w:r>
          </w:p>
        </w:tc>
        <w:tc>
          <w:tcPr>
            <w:tcW w:w="1441" w:type="dxa"/>
          </w:tcPr>
          <w:p w14:paraId="783C47BC" w14:textId="77777777" w:rsidR="00FC0D18" w:rsidRDefault="00FC0D18" w:rsidP="00BC2F64">
            <w:pPr>
              <w:jc w:val="center"/>
              <w:rPr>
                <w:b/>
                <w:bCs/>
                <w:sz w:val="24"/>
                <w:szCs w:val="24"/>
              </w:rPr>
            </w:pPr>
            <w:r>
              <w:t>National Benchmark MY2022 75th</w:t>
            </w:r>
          </w:p>
        </w:tc>
        <w:tc>
          <w:tcPr>
            <w:tcW w:w="1142" w:type="dxa"/>
          </w:tcPr>
          <w:p w14:paraId="3B98FD7E" w14:textId="77777777" w:rsidR="00FC0D18" w:rsidRDefault="00FC0D18" w:rsidP="00BC2F64">
            <w:pPr>
              <w:jc w:val="center"/>
              <w:rPr>
                <w:b/>
                <w:bCs/>
                <w:sz w:val="24"/>
                <w:szCs w:val="24"/>
              </w:rPr>
            </w:pPr>
            <w:r>
              <w:t>Gap to Goal</w:t>
            </w:r>
          </w:p>
        </w:tc>
      </w:tr>
      <w:tr w:rsidR="00FC0D18" w14:paraId="050F0EE5" w14:textId="77777777" w:rsidTr="003F5C9B">
        <w:tc>
          <w:tcPr>
            <w:tcW w:w="1548" w:type="dxa"/>
          </w:tcPr>
          <w:p w14:paraId="2E2C5780" w14:textId="77777777" w:rsidR="00FC0D18" w:rsidRPr="002320F0" w:rsidRDefault="00FC0D18">
            <w:pPr>
              <w:rPr>
                <w:sz w:val="18"/>
                <w:szCs w:val="18"/>
              </w:rPr>
            </w:pPr>
            <w:r>
              <w:rPr>
                <w:sz w:val="18"/>
                <w:szCs w:val="18"/>
              </w:rPr>
              <w:t>Willingness to Recommend- CG-CAHPS</w:t>
            </w:r>
          </w:p>
        </w:tc>
        <w:tc>
          <w:tcPr>
            <w:tcW w:w="1957" w:type="dxa"/>
          </w:tcPr>
          <w:p w14:paraId="76258B5C" w14:textId="7C3D3652" w:rsidR="00FC0D18" w:rsidRPr="00143A86" w:rsidRDefault="00F26846" w:rsidP="004919CD">
            <w:pPr>
              <w:jc w:val="center"/>
              <w:rPr>
                <w:sz w:val="20"/>
                <w:szCs w:val="20"/>
              </w:rPr>
            </w:pPr>
            <w:r w:rsidRPr="00143A86">
              <w:rPr>
                <w:sz w:val="20"/>
                <w:szCs w:val="20"/>
              </w:rPr>
              <w:t>85.2</w:t>
            </w:r>
            <w:r w:rsidR="000D7736" w:rsidRPr="00143A86">
              <w:rPr>
                <w:sz w:val="20"/>
                <w:szCs w:val="20"/>
              </w:rPr>
              <w:t>%</w:t>
            </w:r>
          </w:p>
        </w:tc>
        <w:tc>
          <w:tcPr>
            <w:tcW w:w="1799" w:type="dxa"/>
          </w:tcPr>
          <w:p w14:paraId="19603BAA" w14:textId="6F13B892" w:rsidR="00FC0D18" w:rsidRPr="00143A86" w:rsidRDefault="00F26846" w:rsidP="004919CD">
            <w:pPr>
              <w:jc w:val="center"/>
              <w:rPr>
                <w:sz w:val="20"/>
                <w:szCs w:val="20"/>
              </w:rPr>
            </w:pPr>
            <w:r w:rsidRPr="00143A86">
              <w:rPr>
                <w:sz w:val="20"/>
                <w:szCs w:val="20"/>
              </w:rPr>
              <w:t>85.3%</w:t>
            </w:r>
          </w:p>
        </w:tc>
        <w:tc>
          <w:tcPr>
            <w:tcW w:w="1463" w:type="dxa"/>
          </w:tcPr>
          <w:p w14:paraId="1BDDAA53" w14:textId="2AE604DC" w:rsidR="00FC0D18" w:rsidRPr="00143A86" w:rsidRDefault="00F26846" w:rsidP="004919CD">
            <w:pPr>
              <w:jc w:val="center"/>
              <w:rPr>
                <w:sz w:val="20"/>
                <w:szCs w:val="20"/>
              </w:rPr>
            </w:pPr>
            <w:r w:rsidRPr="00143A86">
              <w:rPr>
                <w:sz w:val="20"/>
                <w:szCs w:val="20"/>
              </w:rPr>
              <w:t>84.5%</w:t>
            </w:r>
          </w:p>
        </w:tc>
        <w:tc>
          <w:tcPr>
            <w:tcW w:w="1441" w:type="dxa"/>
          </w:tcPr>
          <w:p w14:paraId="21DBE328" w14:textId="351BD366" w:rsidR="00FC0D18" w:rsidRPr="00143A86" w:rsidRDefault="00BC56E7" w:rsidP="004919CD">
            <w:pPr>
              <w:jc w:val="center"/>
              <w:rPr>
                <w:sz w:val="20"/>
                <w:szCs w:val="20"/>
              </w:rPr>
            </w:pPr>
            <w:r w:rsidRPr="00143A86">
              <w:rPr>
                <w:sz w:val="20"/>
                <w:szCs w:val="20"/>
              </w:rPr>
              <w:t>92.0%</w:t>
            </w:r>
            <w:r w:rsidR="00BF72D4">
              <w:rPr>
                <w:sz w:val="20"/>
                <w:szCs w:val="20"/>
              </w:rPr>
              <w:fldChar w:fldCharType="begin"/>
            </w:r>
            <w:r w:rsidR="00BF72D4">
              <w:rPr>
                <w:sz w:val="20"/>
                <w:szCs w:val="20"/>
              </w:rPr>
              <w:instrText xml:space="preserve"> NOTEREF _Ref190162419 \h </w:instrText>
            </w:r>
            <w:r w:rsidR="00BF72D4">
              <w:rPr>
                <w:sz w:val="20"/>
                <w:szCs w:val="20"/>
              </w:rPr>
            </w:r>
            <w:r w:rsidR="00BF72D4">
              <w:rPr>
                <w:sz w:val="20"/>
                <w:szCs w:val="20"/>
              </w:rPr>
              <w:fldChar w:fldCharType="separate"/>
            </w:r>
            <w:r w:rsidR="000C7657">
              <w:rPr>
                <w:sz w:val="20"/>
                <w:szCs w:val="20"/>
              </w:rPr>
              <w:t>†††</w:t>
            </w:r>
            <w:r w:rsidR="00BF72D4">
              <w:rPr>
                <w:sz w:val="20"/>
                <w:szCs w:val="20"/>
              </w:rPr>
              <w:fldChar w:fldCharType="end"/>
            </w:r>
          </w:p>
        </w:tc>
        <w:tc>
          <w:tcPr>
            <w:tcW w:w="1142" w:type="dxa"/>
          </w:tcPr>
          <w:p w14:paraId="6E2FFA4B" w14:textId="77777777" w:rsidR="00E46FC1" w:rsidRPr="00143A86" w:rsidRDefault="00E46FC1" w:rsidP="00E46FC1">
            <w:pPr>
              <w:jc w:val="center"/>
              <w:rPr>
                <w:rFonts w:eastAsia="Times New Roman" w:cs="Calibri"/>
                <w:sz w:val="20"/>
                <w:szCs w:val="20"/>
              </w:rPr>
            </w:pPr>
            <w:r w:rsidRPr="00143A86">
              <w:rPr>
                <w:rFonts w:cs="Calibri"/>
                <w:sz w:val="20"/>
                <w:szCs w:val="20"/>
              </w:rPr>
              <w:t>86.2%</w:t>
            </w:r>
          </w:p>
          <w:p w14:paraId="0BA6476E" w14:textId="77777777" w:rsidR="00FC0D18" w:rsidRPr="00143A86" w:rsidRDefault="00FC0D18">
            <w:pPr>
              <w:rPr>
                <w:b/>
                <w:sz w:val="20"/>
                <w:szCs w:val="20"/>
              </w:rPr>
            </w:pPr>
          </w:p>
        </w:tc>
      </w:tr>
      <w:tr w:rsidR="00FC0D18" w14:paraId="4BFA1B9C" w14:textId="77777777" w:rsidTr="003F5C9B">
        <w:tc>
          <w:tcPr>
            <w:tcW w:w="1548" w:type="dxa"/>
          </w:tcPr>
          <w:p w14:paraId="2DBB290E" w14:textId="77777777" w:rsidR="00FC0D18" w:rsidRPr="002320F0" w:rsidRDefault="00FC0D18">
            <w:pPr>
              <w:rPr>
                <w:sz w:val="18"/>
                <w:szCs w:val="18"/>
              </w:rPr>
            </w:pPr>
            <w:r>
              <w:rPr>
                <w:sz w:val="18"/>
                <w:szCs w:val="18"/>
              </w:rPr>
              <w:t>Communication- CG-CAHPS</w:t>
            </w:r>
          </w:p>
        </w:tc>
        <w:tc>
          <w:tcPr>
            <w:tcW w:w="1957" w:type="dxa"/>
          </w:tcPr>
          <w:p w14:paraId="0022CAF7" w14:textId="22F18F4C" w:rsidR="00FC0D18" w:rsidRPr="00143A86" w:rsidRDefault="006905B6" w:rsidP="004919CD">
            <w:pPr>
              <w:jc w:val="center"/>
              <w:rPr>
                <w:sz w:val="20"/>
                <w:szCs w:val="20"/>
              </w:rPr>
            </w:pPr>
            <w:r w:rsidRPr="00143A86">
              <w:rPr>
                <w:sz w:val="20"/>
                <w:szCs w:val="20"/>
              </w:rPr>
              <w:t>87.1%</w:t>
            </w:r>
          </w:p>
        </w:tc>
        <w:tc>
          <w:tcPr>
            <w:tcW w:w="1799" w:type="dxa"/>
          </w:tcPr>
          <w:p w14:paraId="51D12724" w14:textId="02C7142C" w:rsidR="00FC0D18" w:rsidRPr="00143A86" w:rsidRDefault="006905B6" w:rsidP="004919CD">
            <w:pPr>
              <w:jc w:val="center"/>
              <w:rPr>
                <w:sz w:val="20"/>
                <w:szCs w:val="20"/>
              </w:rPr>
            </w:pPr>
            <w:r w:rsidRPr="00143A86">
              <w:rPr>
                <w:sz w:val="20"/>
                <w:szCs w:val="20"/>
              </w:rPr>
              <w:t>87.6%</w:t>
            </w:r>
          </w:p>
        </w:tc>
        <w:tc>
          <w:tcPr>
            <w:tcW w:w="1463" w:type="dxa"/>
          </w:tcPr>
          <w:p w14:paraId="5FD77FDF" w14:textId="75F2867F" w:rsidR="00FC0D18" w:rsidRPr="00143A86" w:rsidRDefault="006905B6" w:rsidP="004919CD">
            <w:pPr>
              <w:jc w:val="center"/>
              <w:rPr>
                <w:sz w:val="20"/>
                <w:szCs w:val="20"/>
              </w:rPr>
            </w:pPr>
            <w:r w:rsidRPr="00143A86">
              <w:rPr>
                <w:sz w:val="20"/>
                <w:szCs w:val="20"/>
              </w:rPr>
              <w:t>86.9%</w:t>
            </w:r>
          </w:p>
        </w:tc>
        <w:tc>
          <w:tcPr>
            <w:tcW w:w="1441" w:type="dxa"/>
          </w:tcPr>
          <w:p w14:paraId="69517689" w14:textId="4BD6CA94" w:rsidR="00FC0D18" w:rsidRPr="00143A86" w:rsidRDefault="006905B6" w:rsidP="004919CD">
            <w:pPr>
              <w:jc w:val="center"/>
              <w:rPr>
                <w:sz w:val="20"/>
                <w:szCs w:val="20"/>
              </w:rPr>
            </w:pPr>
            <w:r w:rsidRPr="00143A86">
              <w:rPr>
                <w:sz w:val="20"/>
                <w:szCs w:val="20"/>
              </w:rPr>
              <w:t>92.0%</w:t>
            </w:r>
            <w:r w:rsidR="00BF72D4">
              <w:rPr>
                <w:sz w:val="20"/>
                <w:szCs w:val="20"/>
              </w:rPr>
              <w:fldChar w:fldCharType="begin"/>
            </w:r>
            <w:r w:rsidR="00BF72D4">
              <w:rPr>
                <w:sz w:val="20"/>
                <w:szCs w:val="20"/>
              </w:rPr>
              <w:instrText xml:space="preserve"> NOTEREF _Ref190162419 \h </w:instrText>
            </w:r>
            <w:r w:rsidR="00BF72D4">
              <w:rPr>
                <w:sz w:val="20"/>
                <w:szCs w:val="20"/>
              </w:rPr>
            </w:r>
            <w:r w:rsidR="00BF72D4">
              <w:rPr>
                <w:sz w:val="20"/>
                <w:szCs w:val="20"/>
              </w:rPr>
              <w:fldChar w:fldCharType="separate"/>
            </w:r>
            <w:r w:rsidR="000C7657">
              <w:rPr>
                <w:sz w:val="20"/>
                <w:szCs w:val="20"/>
              </w:rPr>
              <w:t>†††</w:t>
            </w:r>
            <w:r w:rsidR="00BF72D4">
              <w:rPr>
                <w:sz w:val="20"/>
                <w:szCs w:val="20"/>
              </w:rPr>
              <w:fldChar w:fldCharType="end"/>
            </w:r>
          </w:p>
        </w:tc>
        <w:tc>
          <w:tcPr>
            <w:tcW w:w="1142" w:type="dxa"/>
          </w:tcPr>
          <w:p w14:paraId="753D4E84" w14:textId="2CFEFED0" w:rsidR="00FC0D18" w:rsidRPr="00143A86" w:rsidRDefault="00453FA9" w:rsidP="00453FA9">
            <w:pPr>
              <w:jc w:val="center"/>
              <w:rPr>
                <w:rFonts w:eastAsia="Times New Roman" w:cs="Calibri"/>
                <w:sz w:val="20"/>
                <w:szCs w:val="20"/>
              </w:rPr>
            </w:pPr>
            <w:r w:rsidRPr="00143A86">
              <w:rPr>
                <w:rFonts w:cs="Calibri"/>
                <w:sz w:val="20"/>
                <w:szCs w:val="20"/>
              </w:rPr>
              <w:t>88.1%</w:t>
            </w:r>
          </w:p>
        </w:tc>
      </w:tr>
      <w:tr w:rsidR="00FC0D18" w14:paraId="204F9B64" w14:textId="77777777" w:rsidTr="003F5C9B">
        <w:tc>
          <w:tcPr>
            <w:tcW w:w="1548" w:type="dxa"/>
          </w:tcPr>
          <w:p w14:paraId="5501FAAD" w14:textId="77777777" w:rsidR="00FC0D18" w:rsidRPr="002320F0" w:rsidRDefault="00FC0D18">
            <w:pPr>
              <w:rPr>
                <w:sz w:val="18"/>
                <w:szCs w:val="18"/>
              </w:rPr>
            </w:pPr>
            <w:r>
              <w:rPr>
                <w:sz w:val="18"/>
                <w:szCs w:val="18"/>
              </w:rPr>
              <w:t>Integration of Care-CG-CAHPS</w:t>
            </w:r>
          </w:p>
        </w:tc>
        <w:tc>
          <w:tcPr>
            <w:tcW w:w="1957" w:type="dxa"/>
          </w:tcPr>
          <w:p w14:paraId="47FA91DE" w14:textId="765594E4" w:rsidR="00FC0D18" w:rsidRPr="00143A86" w:rsidRDefault="00041D42" w:rsidP="004919CD">
            <w:pPr>
              <w:jc w:val="center"/>
              <w:rPr>
                <w:sz w:val="20"/>
                <w:szCs w:val="20"/>
              </w:rPr>
            </w:pPr>
            <w:r w:rsidRPr="00143A86">
              <w:rPr>
                <w:sz w:val="20"/>
                <w:szCs w:val="20"/>
              </w:rPr>
              <w:t>78.1%</w:t>
            </w:r>
          </w:p>
        </w:tc>
        <w:tc>
          <w:tcPr>
            <w:tcW w:w="1799" w:type="dxa"/>
          </w:tcPr>
          <w:p w14:paraId="72BAD560" w14:textId="10F00BA4" w:rsidR="00FC0D18" w:rsidRPr="00143A86" w:rsidRDefault="00041D42" w:rsidP="004919CD">
            <w:pPr>
              <w:jc w:val="center"/>
              <w:rPr>
                <w:sz w:val="20"/>
                <w:szCs w:val="20"/>
              </w:rPr>
            </w:pPr>
            <w:r w:rsidRPr="00143A86">
              <w:rPr>
                <w:sz w:val="20"/>
                <w:szCs w:val="20"/>
              </w:rPr>
              <w:t>78.6%</w:t>
            </w:r>
          </w:p>
        </w:tc>
        <w:tc>
          <w:tcPr>
            <w:tcW w:w="1463" w:type="dxa"/>
          </w:tcPr>
          <w:p w14:paraId="0498BB04" w14:textId="718C0FD4" w:rsidR="00FC0D18" w:rsidRPr="00143A86" w:rsidRDefault="00041D42" w:rsidP="004919CD">
            <w:pPr>
              <w:jc w:val="center"/>
              <w:rPr>
                <w:sz w:val="20"/>
                <w:szCs w:val="20"/>
              </w:rPr>
            </w:pPr>
            <w:r w:rsidRPr="00143A86">
              <w:rPr>
                <w:sz w:val="20"/>
                <w:szCs w:val="20"/>
              </w:rPr>
              <w:t>78.1%</w:t>
            </w:r>
          </w:p>
        </w:tc>
        <w:tc>
          <w:tcPr>
            <w:tcW w:w="1441" w:type="dxa"/>
          </w:tcPr>
          <w:p w14:paraId="724B34BC" w14:textId="001580D2" w:rsidR="00FC0D18" w:rsidRPr="00143A86" w:rsidRDefault="00995ADB" w:rsidP="004919CD">
            <w:pPr>
              <w:jc w:val="center"/>
              <w:rPr>
                <w:sz w:val="20"/>
                <w:szCs w:val="20"/>
              </w:rPr>
            </w:pPr>
            <w:r w:rsidRPr="00143A86">
              <w:rPr>
                <w:sz w:val="20"/>
                <w:szCs w:val="20"/>
              </w:rPr>
              <w:t>85.0%</w:t>
            </w:r>
            <w:r w:rsidR="00BF72D4">
              <w:rPr>
                <w:sz w:val="20"/>
                <w:szCs w:val="20"/>
              </w:rPr>
              <w:fldChar w:fldCharType="begin"/>
            </w:r>
            <w:r w:rsidR="00BF72D4">
              <w:rPr>
                <w:sz w:val="20"/>
                <w:szCs w:val="20"/>
              </w:rPr>
              <w:instrText xml:space="preserve"> NOTEREF _Ref190162419 \h </w:instrText>
            </w:r>
            <w:r w:rsidR="00BF72D4">
              <w:rPr>
                <w:sz w:val="20"/>
                <w:szCs w:val="20"/>
              </w:rPr>
            </w:r>
            <w:r w:rsidR="00BF72D4">
              <w:rPr>
                <w:sz w:val="20"/>
                <w:szCs w:val="20"/>
              </w:rPr>
              <w:fldChar w:fldCharType="separate"/>
            </w:r>
            <w:r w:rsidR="000C7657">
              <w:rPr>
                <w:sz w:val="20"/>
                <w:szCs w:val="20"/>
              </w:rPr>
              <w:t>†††</w:t>
            </w:r>
            <w:r w:rsidR="00BF72D4">
              <w:rPr>
                <w:sz w:val="20"/>
                <w:szCs w:val="20"/>
              </w:rPr>
              <w:fldChar w:fldCharType="end"/>
            </w:r>
          </w:p>
        </w:tc>
        <w:tc>
          <w:tcPr>
            <w:tcW w:w="1142" w:type="dxa"/>
          </w:tcPr>
          <w:p w14:paraId="4A32F78C" w14:textId="2C59DE8E" w:rsidR="00FC0D18" w:rsidRPr="00143A86" w:rsidRDefault="009160C0" w:rsidP="009160C0">
            <w:pPr>
              <w:jc w:val="center"/>
              <w:rPr>
                <w:rFonts w:eastAsia="Times New Roman" w:cs="Calibri"/>
                <w:sz w:val="20"/>
                <w:szCs w:val="20"/>
              </w:rPr>
            </w:pPr>
            <w:r w:rsidRPr="00143A86">
              <w:rPr>
                <w:rFonts w:cs="Calibri"/>
                <w:sz w:val="20"/>
                <w:szCs w:val="20"/>
              </w:rPr>
              <w:t>79.1%</w:t>
            </w:r>
          </w:p>
        </w:tc>
      </w:tr>
      <w:tr w:rsidR="00FC0D18" w14:paraId="3E22FE22" w14:textId="77777777" w:rsidTr="003F5C9B">
        <w:tc>
          <w:tcPr>
            <w:tcW w:w="1548" w:type="dxa"/>
          </w:tcPr>
          <w:p w14:paraId="29090387" w14:textId="77777777" w:rsidR="00FC0D18" w:rsidRPr="002320F0" w:rsidRDefault="00FC0D18">
            <w:pPr>
              <w:rPr>
                <w:sz w:val="18"/>
                <w:szCs w:val="18"/>
              </w:rPr>
            </w:pPr>
            <w:r>
              <w:rPr>
                <w:sz w:val="18"/>
                <w:szCs w:val="18"/>
              </w:rPr>
              <w:t>Knowledge of Patient- CG-CAHPS</w:t>
            </w:r>
          </w:p>
        </w:tc>
        <w:tc>
          <w:tcPr>
            <w:tcW w:w="1957" w:type="dxa"/>
          </w:tcPr>
          <w:p w14:paraId="59D90E5C" w14:textId="508F3C64" w:rsidR="00FC0D18" w:rsidRPr="00143A86" w:rsidRDefault="00995ADB" w:rsidP="004919CD">
            <w:pPr>
              <w:jc w:val="center"/>
              <w:rPr>
                <w:sz w:val="20"/>
                <w:szCs w:val="20"/>
              </w:rPr>
            </w:pPr>
            <w:r w:rsidRPr="00143A86">
              <w:rPr>
                <w:sz w:val="20"/>
                <w:szCs w:val="20"/>
              </w:rPr>
              <w:t>81.6%</w:t>
            </w:r>
          </w:p>
        </w:tc>
        <w:tc>
          <w:tcPr>
            <w:tcW w:w="1799" w:type="dxa"/>
          </w:tcPr>
          <w:p w14:paraId="7708C1BA" w14:textId="5863E8DE" w:rsidR="00FC0D18" w:rsidRPr="00143A86" w:rsidRDefault="00995ADB" w:rsidP="004919CD">
            <w:pPr>
              <w:jc w:val="center"/>
              <w:rPr>
                <w:sz w:val="20"/>
                <w:szCs w:val="20"/>
              </w:rPr>
            </w:pPr>
            <w:r w:rsidRPr="00143A86">
              <w:rPr>
                <w:sz w:val="20"/>
                <w:szCs w:val="20"/>
              </w:rPr>
              <w:t>82.0%</w:t>
            </w:r>
          </w:p>
        </w:tc>
        <w:tc>
          <w:tcPr>
            <w:tcW w:w="1463" w:type="dxa"/>
          </w:tcPr>
          <w:p w14:paraId="25FCE266" w14:textId="718D19F1" w:rsidR="00FC0D18" w:rsidRPr="00143A86" w:rsidRDefault="00995ADB" w:rsidP="004919CD">
            <w:pPr>
              <w:jc w:val="center"/>
              <w:rPr>
                <w:sz w:val="20"/>
                <w:szCs w:val="20"/>
              </w:rPr>
            </w:pPr>
            <w:r w:rsidRPr="00143A86">
              <w:rPr>
                <w:sz w:val="20"/>
                <w:szCs w:val="20"/>
              </w:rPr>
              <w:t>81.5%</w:t>
            </w:r>
          </w:p>
        </w:tc>
        <w:tc>
          <w:tcPr>
            <w:tcW w:w="1441" w:type="dxa"/>
          </w:tcPr>
          <w:p w14:paraId="71863732" w14:textId="76728CF9" w:rsidR="00FC0D18" w:rsidRPr="00143A86" w:rsidRDefault="00DA487F" w:rsidP="004919CD">
            <w:pPr>
              <w:jc w:val="center"/>
              <w:rPr>
                <w:sz w:val="20"/>
                <w:szCs w:val="20"/>
              </w:rPr>
            </w:pPr>
            <w:r w:rsidRPr="00143A86">
              <w:rPr>
                <w:sz w:val="20"/>
                <w:szCs w:val="20"/>
              </w:rPr>
              <w:t>85.0%</w:t>
            </w:r>
            <w:r w:rsidR="00BF72D4">
              <w:rPr>
                <w:sz w:val="20"/>
                <w:szCs w:val="20"/>
              </w:rPr>
              <w:fldChar w:fldCharType="begin"/>
            </w:r>
            <w:r w:rsidR="00BF72D4">
              <w:rPr>
                <w:sz w:val="20"/>
                <w:szCs w:val="20"/>
              </w:rPr>
              <w:instrText xml:space="preserve"> NOTEREF _Ref190162419 \h </w:instrText>
            </w:r>
            <w:r w:rsidR="00BF72D4">
              <w:rPr>
                <w:sz w:val="20"/>
                <w:szCs w:val="20"/>
              </w:rPr>
            </w:r>
            <w:r w:rsidR="00BF72D4">
              <w:rPr>
                <w:sz w:val="20"/>
                <w:szCs w:val="20"/>
              </w:rPr>
              <w:fldChar w:fldCharType="separate"/>
            </w:r>
            <w:r w:rsidR="000C7657">
              <w:rPr>
                <w:sz w:val="20"/>
                <w:szCs w:val="20"/>
              </w:rPr>
              <w:t>†††</w:t>
            </w:r>
            <w:r w:rsidR="00BF72D4">
              <w:rPr>
                <w:sz w:val="20"/>
                <w:szCs w:val="20"/>
              </w:rPr>
              <w:fldChar w:fldCharType="end"/>
            </w:r>
          </w:p>
        </w:tc>
        <w:tc>
          <w:tcPr>
            <w:tcW w:w="1142" w:type="dxa"/>
          </w:tcPr>
          <w:p w14:paraId="450078B1" w14:textId="021E3CA3" w:rsidR="00FC0D18" w:rsidRPr="00143A86" w:rsidRDefault="00A323D7" w:rsidP="00A323D7">
            <w:pPr>
              <w:jc w:val="center"/>
              <w:rPr>
                <w:rFonts w:eastAsia="Times New Roman" w:cs="Calibri"/>
                <w:sz w:val="20"/>
                <w:szCs w:val="20"/>
              </w:rPr>
            </w:pPr>
            <w:r w:rsidRPr="00143A86">
              <w:rPr>
                <w:rFonts w:cs="Calibri"/>
                <w:sz w:val="20"/>
                <w:szCs w:val="20"/>
              </w:rPr>
              <w:t>82.6%</w:t>
            </w:r>
          </w:p>
        </w:tc>
      </w:tr>
      <w:tr w:rsidR="00FC0D18" w14:paraId="57ED9D46" w14:textId="77777777" w:rsidTr="00A919BC">
        <w:tc>
          <w:tcPr>
            <w:tcW w:w="1548" w:type="dxa"/>
          </w:tcPr>
          <w:p w14:paraId="594B46D9" w14:textId="5CD9D65F" w:rsidR="00FC0D18" w:rsidRDefault="00FC0D18">
            <w:pPr>
              <w:rPr>
                <w:sz w:val="18"/>
                <w:szCs w:val="18"/>
              </w:rPr>
            </w:pPr>
            <w:r w:rsidRPr="00A152AE">
              <w:rPr>
                <w:sz w:val="18"/>
                <w:szCs w:val="18"/>
              </w:rPr>
              <w:t>Medicare Advantage Prescription Drug Plan CAHPS</w:t>
            </w:r>
            <w:r w:rsidR="007D48C6">
              <w:rPr>
                <w:sz w:val="18"/>
                <w:szCs w:val="18"/>
              </w:rPr>
              <w:t>:</w:t>
            </w:r>
          </w:p>
          <w:p w14:paraId="33AE9B4D" w14:textId="34FDFF40" w:rsidR="003927F8" w:rsidRDefault="00241360">
            <w:pPr>
              <w:rPr>
                <w:sz w:val="18"/>
                <w:szCs w:val="18"/>
              </w:rPr>
            </w:pPr>
            <w:r>
              <w:rPr>
                <w:sz w:val="18"/>
                <w:szCs w:val="18"/>
              </w:rPr>
              <w:lastRenderedPageBreak/>
              <w:t>Rating of health plan</w:t>
            </w:r>
          </w:p>
        </w:tc>
        <w:tc>
          <w:tcPr>
            <w:tcW w:w="1957" w:type="dxa"/>
          </w:tcPr>
          <w:p w14:paraId="4C88A16E" w14:textId="594941CC" w:rsidR="00FC0D18" w:rsidRPr="00143A86" w:rsidRDefault="00465D1F" w:rsidP="004919CD">
            <w:pPr>
              <w:jc w:val="center"/>
              <w:rPr>
                <w:sz w:val="20"/>
                <w:szCs w:val="20"/>
              </w:rPr>
            </w:pPr>
            <w:r w:rsidRPr="00143A86">
              <w:rPr>
                <w:sz w:val="20"/>
                <w:szCs w:val="20"/>
              </w:rPr>
              <w:lastRenderedPageBreak/>
              <w:t>89%</w:t>
            </w:r>
          </w:p>
        </w:tc>
        <w:tc>
          <w:tcPr>
            <w:tcW w:w="1799" w:type="dxa"/>
          </w:tcPr>
          <w:p w14:paraId="30A5C53D" w14:textId="54EF9F35" w:rsidR="00FC0D18" w:rsidRPr="00143A86" w:rsidRDefault="00E87FD7" w:rsidP="004919CD">
            <w:pPr>
              <w:jc w:val="center"/>
              <w:rPr>
                <w:sz w:val="20"/>
                <w:szCs w:val="20"/>
              </w:rPr>
            </w:pPr>
            <w:r w:rsidRPr="00143A86">
              <w:rPr>
                <w:sz w:val="20"/>
                <w:szCs w:val="20"/>
              </w:rPr>
              <w:t>85%</w:t>
            </w:r>
          </w:p>
        </w:tc>
        <w:tc>
          <w:tcPr>
            <w:tcW w:w="1463" w:type="dxa"/>
          </w:tcPr>
          <w:p w14:paraId="628C8B8D" w14:textId="29F07F02" w:rsidR="00FC0D18" w:rsidRPr="00143A86" w:rsidRDefault="00DC5381" w:rsidP="004919CD">
            <w:pPr>
              <w:jc w:val="center"/>
              <w:rPr>
                <w:sz w:val="20"/>
                <w:szCs w:val="20"/>
              </w:rPr>
            </w:pPr>
            <w:r w:rsidRPr="00143A86">
              <w:rPr>
                <w:sz w:val="20"/>
                <w:szCs w:val="20"/>
              </w:rPr>
              <w:t>89%</w:t>
            </w:r>
          </w:p>
        </w:tc>
        <w:tc>
          <w:tcPr>
            <w:tcW w:w="1441" w:type="dxa"/>
            <w:shd w:val="clear" w:color="auto" w:fill="A8D08D" w:themeFill="accent6" w:themeFillTint="99"/>
          </w:tcPr>
          <w:p w14:paraId="44D28A9F" w14:textId="76CD616A" w:rsidR="00FC0D18" w:rsidRPr="00143A86" w:rsidRDefault="00C81AE4" w:rsidP="004919CD">
            <w:pPr>
              <w:jc w:val="center"/>
              <w:rPr>
                <w:sz w:val="20"/>
                <w:szCs w:val="20"/>
              </w:rPr>
            </w:pPr>
            <w:r w:rsidRPr="00143A86">
              <w:rPr>
                <w:sz w:val="20"/>
                <w:szCs w:val="20"/>
              </w:rPr>
              <w:t>8</w:t>
            </w:r>
            <w:r w:rsidR="00DC5381" w:rsidRPr="00143A86">
              <w:rPr>
                <w:sz w:val="20"/>
                <w:szCs w:val="20"/>
              </w:rPr>
              <w:t>3</w:t>
            </w:r>
            <w:r w:rsidRPr="00143A86">
              <w:rPr>
                <w:sz w:val="20"/>
                <w:szCs w:val="20"/>
              </w:rPr>
              <w:t>%</w:t>
            </w:r>
            <w:r w:rsidR="00BF72D4">
              <w:rPr>
                <w:sz w:val="20"/>
                <w:szCs w:val="20"/>
              </w:rPr>
              <w:fldChar w:fldCharType="begin"/>
            </w:r>
            <w:r w:rsidR="00BF72D4">
              <w:rPr>
                <w:sz w:val="20"/>
                <w:szCs w:val="20"/>
              </w:rPr>
              <w:instrText xml:space="preserve"> NOTEREF _Ref190162419 \h </w:instrText>
            </w:r>
            <w:r w:rsidR="00BF72D4">
              <w:rPr>
                <w:sz w:val="20"/>
                <w:szCs w:val="20"/>
              </w:rPr>
            </w:r>
            <w:r w:rsidR="00BF72D4">
              <w:rPr>
                <w:sz w:val="20"/>
                <w:szCs w:val="20"/>
              </w:rPr>
              <w:fldChar w:fldCharType="separate"/>
            </w:r>
            <w:r w:rsidR="000C7657">
              <w:rPr>
                <w:sz w:val="20"/>
                <w:szCs w:val="20"/>
              </w:rPr>
              <w:t>†††</w:t>
            </w:r>
            <w:r w:rsidR="00BF72D4">
              <w:rPr>
                <w:sz w:val="20"/>
                <w:szCs w:val="20"/>
              </w:rPr>
              <w:fldChar w:fldCharType="end"/>
            </w:r>
          </w:p>
        </w:tc>
        <w:tc>
          <w:tcPr>
            <w:tcW w:w="1142" w:type="dxa"/>
          </w:tcPr>
          <w:p w14:paraId="5C1CCCE7" w14:textId="05A2F459" w:rsidR="00FC0D18" w:rsidRPr="00143A86" w:rsidRDefault="00A919BC" w:rsidP="00A919BC">
            <w:pPr>
              <w:jc w:val="center"/>
              <w:rPr>
                <w:sz w:val="20"/>
                <w:szCs w:val="20"/>
              </w:rPr>
            </w:pPr>
            <w:r w:rsidRPr="00143A86">
              <w:rPr>
                <w:sz w:val="20"/>
                <w:szCs w:val="20"/>
              </w:rPr>
              <w:t>N/A</w:t>
            </w:r>
            <w:r w:rsidR="003E06D0">
              <w:rPr>
                <w:sz w:val="20"/>
                <w:szCs w:val="20"/>
              </w:rPr>
              <w:fldChar w:fldCharType="begin"/>
            </w:r>
            <w:r w:rsidR="003E06D0">
              <w:rPr>
                <w:sz w:val="20"/>
                <w:szCs w:val="20"/>
              </w:rPr>
              <w:instrText xml:space="preserve"> NOTEREF _Ref190162024 \h </w:instrText>
            </w:r>
            <w:r w:rsidR="003E06D0">
              <w:rPr>
                <w:sz w:val="20"/>
                <w:szCs w:val="20"/>
              </w:rPr>
            </w:r>
            <w:r w:rsidR="003E06D0">
              <w:rPr>
                <w:sz w:val="20"/>
                <w:szCs w:val="20"/>
              </w:rPr>
              <w:fldChar w:fldCharType="separate"/>
            </w:r>
            <w:r w:rsidR="000C7657">
              <w:rPr>
                <w:sz w:val="20"/>
                <w:szCs w:val="20"/>
              </w:rPr>
              <w:t>***</w:t>
            </w:r>
            <w:r w:rsidR="003E06D0">
              <w:rPr>
                <w:sz w:val="20"/>
                <w:szCs w:val="20"/>
              </w:rPr>
              <w:fldChar w:fldCharType="end"/>
            </w:r>
          </w:p>
        </w:tc>
      </w:tr>
      <w:tr w:rsidR="007D48C6" w14:paraId="275424D3" w14:textId="77777777" w:rsidTr="00605149">
        <w:tc>
          <w:tcPr>
            <w:tcW w:w="1548" w:type="dxa"/>
          </w:tcPr>
          <w:p w14:paraId="5E83CE4A" w14:textId="77777777" w:rsidR="007D48C6" w:rsidRDefault="007D48C6" w:rsidP="007D48C6">
            <w:pPr>
              <w:rPr>
                <w:sz w:val="18"/>
                <w:szCs w:val="18"/>
              </w:rPr>
            </w:pPr>
            <w:r w:rsidRPr="00A152AE">
              <w:rPr>
                <w:sz w:val="18"/>
                <w:szCs w:val="18"/>
              </w:rPr>
              <w:t>Medicare Advantage Prescription Drug Plan CAHPS</w:t>
            </w:r>
            <w:r>
              <w:rPr>
                <w:sz w:val="18"/>
                <w:szCs w:val="18"/>
              </w:rPr>
              <w:t>:</w:t>
            </w:r>
          </w:p>
          <w:p w14:paraId="71CDA33D" w14:textId="6D1E1A5F" w:rsidR="007D48C6" w:rsidRPr="00A152AE" w:rsidRDefault="007D48C6" w:rsidP="007D48C6">
            <w:pPr>
              <w:rPr>
                <w:sz w:val="18"/>
                <w:szCs w:val="18"/>
              </w:rPr>
            </w:pPr>
            <w:r>
              <w:rPr>
                <w:sz w:val="18"/>
                <w:szCs w:val="18"/>
              </w:rPr>
              <w:t>Care coordination</w:t>
            </w:r>
          </w:p>
        </w:tc>
        <w:tc>
          <w:tcPr>
            <w:tcW w:w="1957" w:type="dxa"/>
          </w:tcPr>
          <w:p w14:paraId="78FC52AB" w14:textId="16FA2F15" w:rsidR="007D48C6" w:rsidRPr="00143A86" w:rsidRDefault="005F476D" w:rsidP="005F476D">
            <w:pPr>
              <w:jc w:val="center"/>
              <w:rPr>
                <w:sz w:val="20"/>
                <w:szCs w:val="20"/>
              </w:rPr>
            </w:pPr>
            <w:r w:rsidRPr="00143A86">
              <w:rPr>
                <w:sz w:val="20"/>
                <w:szCs w:val="20"/>
              </w:rPr>
              <w:t>N/A</w:t>
            </w:r>
          </w:p>
        </w:tc>
        <w:tc>
          <w:tcPr>
            <w:tcW w:w="1799" w:type="dxa"/>
          </w:tcPr>
          <w:p w14:paraId="7640C19A" w14:textId="77777777" w:rsidR="007D48C6" w:rsidRPr="00143A86" w:rsidRDefault="00391937" w:rsidP="007D48C6">
            <w:pPr>
              <w:jc w:val="center"/>
              <w:rPr>
                <w:sz w:val="20"/>
                <w:szCs w:val="20"/>
              </w:rPr>
            </w:pPr>
            <w:r w:rsidRPr="00143A86">
              <w:rPr>
                <w:sz w:val="20"/>
                <w:szCs w:val="20"/>
              </w:rPr>
              <w:t>83%</w:t>
            </w:r>
          </w:p>
          <w:p w14:paraId="02FC5F8A" w14:textId="2704C8A1" w:rsidR="00A532DB" w:rsidRPr="00143A86" w:rsidRDefault="00A532DB" w:rsidP="007D48C6">
            <w:pPr>
              <w:jc w:val="center"/>
              <w:rPr>
                <w:sz w:val="20"/>
                <w:szCs w:val="20"/>
              </w:rPr>
            </w:pPr>
            <w:r w:rsidRPr="00143A86">
              <w:rPr>
                <w:sz w:val="20"/>
                <w:szCs w:val="20"/>
              </w:rPr>
              <w:t>(Baseline)</w:t>
            </w:r>
          </w:p>
        </w:tc>
        <w:tc>
          <w:tcPr>
            <w:tcW w:w="1463" w:type="dxa"/>
          </w:tcPr>
          <w:p w14:paraId="26E9D686" w14:textId="25E4E223" w:rsidR="007D48C6" w:rsidRPr="00143A86" w:rsidRDefault="007674F5" w:rsidP="007D48C6">
            <w:pPr>
              <w:jc w:val="center"/>
              <w:rPr>
                <w:sz w:val="20"/>
                <w:szCs w:val="20"/>
              </w:rPr>
            </w:pPr>
            <w:r w:rsidRPr="00143A86">
              <w:rPr>
                <w:sz w:val="20"/>
                <w:szCs w:val="20"/>
              </w:rPr>
              <w:t>84%</w:t>
            </w:r>
          </w:p>
        </w:tc>
        <w:tc>
          <w:tcPr>
            <w:tcW w:w="1441" w:type="dxa"/>
          </w:tcPr>
          <w:p w14:paraId="73D79EA8" w14:textId="1751D848" w:rsidR="007D48C6" w:rsidRPr="00143A86" w:rsidRDefault="007674F5" w:rsidP="007D48C6">
            <w:pPr>
              <w:jc w:val="center"/>
              <w:rPr>
                <w:sz w:val="20"/>
                <w:szCs w:val="20"/>
              </w:rPr>
            </w:pPr>
            <w:r w:rsidRPr="00143A86">
              <w:rPr>
                <w:sz w:val="20"/>
                <w:szCs w:val="20"/>
              </w:rPr>
              <w:t>85%</w:t>
            </w:r>
            <w:r w:rsidR="00BF72D4">
              <w:rPr>
                <w:sz w:val="20"/>
                <w:szCs w:val="20"/>
              </w:rPr>
              <w:fldChar w:fldCharType="begin"/>
            </w:r>
            <w:r w:rsidR="00BF72D4">
              <w:rPr>
                <w:sz w:val="20"/>
                <w:szCs w:val="20"/>
              </w:rPr>
              <w:instrText xml:space="preserve"> NOTEREF _Ref190162419 \h </w:instrText>
            </w:r>
            <w:r w:rsidR="00BF72D4">
              <w:rPr>
                <w:sz w:val="20"/>
                <w:szCs w:val="20"/>
              </w:rPr>
            </w:r>
            <w:r w:rsidR="00BF72D4">
              <w:rPr>
                <w:sz w:val="20"/>
                <w:szCs w:val="20"/>
              </w:rPr>
              <w:fldChar w:fldCharType="separate"/>
            </w:r>
            <w:r w:rsidR="000C7657">
              <w:rPr>
                <w:sz w:val="20"/>
                <w:szCs w:val="20"/>
              </w:rPr>
              <w:t>†††</w:t>
            </w:r>
            <w:r w:rsidR="00BF72D4">
              <w:rPr>
                <w:sz w:val="20"/>
                <w:szCs w:val="20"/>
              </w:rPr>
              <w:fldChar w:fldCharType="end"/>
            </w:r>
          </w:p>
        </w:tc>
        <w:tc>
          <w:tcPr>
            <w:tcW w:w="1142" w:type="dxa"/>
            <w:shd w:val="clear" w:color="auto" w:fill="A8D08D" w:themeFill="accent6" w:themeFillTint="99"/>
          </w:tcPr>
          <w:p w14:paraId="31EE8AEB" w14:textId="2D569F06" w:rsidR="007D48C6" w:rsidRPr="00143A86" w:rsidRDefault="00605149" w:rsidP="00A532DB">
            <w:pPr>
              <w:jc w:val="center"/>
              <w:rPr>
                <w:sz w:val="20"/>
                <w:szCs w:val="20"/>
              </w:rPr>
            </w:pPr>
            <w:r w:rsidRPr="00143A86">
              <w:rPr>
                <w:sz w:val="20"/>
                <w:szCs w:val="20"/>
              </w:rPr>
              <w:t>83.2%</w:t>
            </w:r>
          </w:p>
        </w:tc>
      </w:tr>
      <w:tr w:rsidR="007D48C6" w14:paraId="587C949B" w14:textId="77777777" w:rsidTr="00A919BC">
        <w:tc>
          <w:tcPr>
            <w:tcW w:w="1548" w:type="dxa"/>
          </w:tcPr>
          <w:p w14:paraId="3707B923" w14:textId="77777777" w:rsidR="007D48C6" w:rsidRDefault="007D48C6" w:rsidP="007D48C6">
            <w:pPr>
              <w:rPr>
                <w:sz w:val="18"/>
                <w:szCs w:val="18"/>
              </w:rPr>
            </w:pPr>
            <w:r w:rsidRPr="00A152AE">
              <w:rPr>
                <w:sz w:val="18"/>
                <w:szCs w:val="18"/>
              </w:rPr>
              <w:t>Medicare Advantage Prescription Drug Plan CAHPS</w:t>
            </w:r>
            <w:r>
              <w:rPr>
                <w:sz w:val="18"/>
                <w:szCs w:val="18"/>
              </w:rPr>
              <w:t>:</w:t>
            </w:r>
          </w:p>
          <w:p w14:paraId="2468944B" w14:textId="74DC8A94" w:rsidR="007D48C6" w:rsidRPr="00A152AE" w:rsidRDefault="007D48C6" w:rsidP="007D48C6">
            <w:pPr>
              <w:rPr>
                <w:sz w:val="18"/>
                <w:szCs w:val="18"/>
              </w:rPr>
            </w:pPr>
            <w:r>
              <w:rPr>
                <w:sz w:val="18"/>
                <w:szCs w:val="18"/>
              </w:rPr>
              <w:t>Customer service</w:t>
            </w:r>
          </w:p>
        </w:tc>
        <w:tc>
          <w:tcPr>
            <w:tcW w:w="1957" w:type="dxa"/>
          </w:tcPr>
          <w:p w14:paraId="5B0DB7B8" w14:textId="1AD151FB" w:rsidR="007D48C6" w:rsidRPr="00143A86" w:rsidRDefault="005F476D" w:rsidP="007D48C6">
            <w:pPr>
              <w:jc w:val="center"/>
              <w:rPr>
                <w:sz w:val="20"/>
                <w:szCs w:val="20"/>
              </w:rPr>
            </w:pPr>
            <w:r w:rsidRPr="00143A86">
              <w:rPr>
                <w:sz w:val="20"/>
                <w:szCs w:val="20"/>
              </w:rPr>
              <w:t>91</w:t>
            </w:r>
            <w:r w:rsidR="009A67FC" w:rsidRPr="00143A86">
              <w:rPr>
                <w:sz w:val="20"/>
                <w:szCs w:val="20"/>
              </w:rPr>
              <w:t>%</w:t>
            </w:r>
          </w:p>
        </w:tc>
        <w:tc>
          <w:tcPr>
            <w:tcW w:w="1799" w:type="dxa"/>
          </w:tcPr>
          <w:p w14:paraId="384DE9B5" w14:textId="78E5CD11" w:rsidR="007D48C6" w:rsidRPr="00143A86" w:rsidRDefault="00391937" w:rsidP="007D48C6">
            <w:pPr>
              <w:jc w:val="center"/>
              <w:rPr>
                <w:sz w:val="20"/>
                <w:szCs w:val="20"/>
              </w:rPr>
            </w:pPr>
            <w:r w:rsidRPr="00143A86">
              <w:rPr>
                <w:sz w:val="20"/>
                <w:szCs w:val="20"/>
              </w:rPr>
              <w:t>90%</w:t>
            </w:r>
          </w:p>
        </w:tc>
        <w:tc>
          <w:tcPr>
            <w:tcW w:w="1463" w:type="dxa"/>
          </w:tcPr>
          <w:p w14:paraId="200B92C2" w14:textId="0D304D85" w:rsidR="007D48C6" w:rsidRPr="00143A86" w:rsidRDefault="007674F5" w:rsidP="007D48C6">
            <w:pPr>
              <w:jc w:val="center"/>
              <w:rPr>
                <w:sz w:val="20"/>
                <w:szCs w:val="20"/>
              </w:rPr>
            </w:pPr>
            <w:r w:rsidRPr="00143A86">
              <w:rPr>
                <w:sz w:val="20"/>
                <w:szCs w:val="20"/>
              </w:rPr>
              <w:t>90%</w:t>
            </w:r>
          </w:p>
        </w:tc>
        <w:tc>
          <w:tcPr>
            <w:tcW w:w="1441" w:type="dxa"/>
            <w:shd w:val="clear" w:color="auto" w:fill="A8D08D" w:themeFill="accent6" w:themeFillTint="99"/>
          </w:tcPr>
          <w:p w14:paraId="7709D352" w14:textId="52CAFB76" w:rsidR="007D48C6" w:rsidRPr="00143A86" w:rsidRDefault="007674F5" w:rsidP="007D48C6">
            <w:pPr>
              <w:jc w:val="center"/>
              <w:rPr>
                <w:sz w:val="20"/>
                <w:szCs w:val="20"/>
              </w:rPr>
            </w:pPr>
            <w:r w:rsidRPr="00143A86">
              <w:rPr>
                <w:sz w:val="20"/>
                <w:szCs w:val="20"/>
              </w:rPr>
              <w:t>87%</w:t>
            </w:r>
            <w:r w:rsidR="00BF72D4">
              <w:rPr>
                <w:sz w:val="20"/>
                <w:szCs w:val="20"/>
              </w:rPr>
              <w:fldChar w:fldCharType="begin"/>
            </w:r>
            <w:r w:rsidR="00BF72D4">
              <w:rPr>
                <w:sz w:val="20"/>
                <w:szCs w:val="20"/>
              </w:rPr>
              <w:instrText xml:space="preserve"> NOTEREF _Ref190162419 \h </w:instrText>
            </w:r>
            <w:r w:rsidR="00BF72D4">
              <w:rPr>
                <w:sz w:val="20"/>
                <w:szCs w:val="20"/>
              </w:rPr>
            </w:r>
            <w:r w:rsidR="00BF72D4">
              <w:rPr>
                <w:sz w:val="20"/>
                <w:szCs w:val="20"/>
              </w:rPr>
              <w:fldChar w:fldCharType="separate"/>
            </w:r>
            <w:r w:rsidR="000C7657">
              <w:rPr>
                <w:sz w:val="20"/>
                <w:szCs w:val="20"/>
              </w:rPr>
              <w:t>†††</w:t>
            </w:r>
            <w:r w:rsidR="00BF72D4">
              <w:rPr>
                <w:sz w:val="20"/>
                <w:szCs w:val="20"/>
              </w:rPr>
              <w:fldChar w:fldCharType="end"/>
            </w:r>
          </w:p>
        </w:tc>
        <w:tc>
          <w:tcPr>
            <w:tcW w:w="1142" w:type="dxa"/>
          </w:tcPr>
          <w:p w14:paraId="4EFCEF7E" w14:textId="228FE4BA" w:rsidR="007D48C6" w:rsidRPr="00143A86" w:rsidRDefault="00A919BC" w:rsidP="00A919BC">
            <w:pPr>
              <w:jc w:val="center"/>
              <w:rPr>
                <w:sz w:val="20"/>
                <w:szCs w:val="20"/>
              </w:rPr>
            </w:pPr>
            <w:r w:rsidRPr="00143A86">
              <w:rPr>
                <w:sz w:val="20"/>
                <w:szCs w:val="20"/>
              </w:rPr>
              <w:t>N/A</w:t>
            </w:r>
            <w:r w:rsidR="003E06D0">
              <w:rPr>
                <w:sz w:val="20"/>
                <w:szCs w:val="20"/>
              </w:rPr>
              <w:fldChar w:fldCharType="begin"/>
            </w:r>
            <w:r w:rsidR="003E06D0">
              <w:rPr>
                <w:sz w:val="20"/>
                <w:szCs w:val="20"/>
              </w:rPr>
              <w:instrText xml:space="preserve"> NOTEREF _Ref190162024 \h </w:instrText>
            </w:r>
            <w:r w:rsidR="003E06D0">
              <w:rPr>
                <w:sz w:val="20"/>
                <w:szCs w:val="20"/>
              </w:rPr>
            </w:r>
            <w:r w:rsidR="003E06D0">
              <w:rPr>
                <w:sz w:val="20"/>
                <w:szCs w:val="20"/>
              </w:rPr>
              <w:fldChar w:fldCharType="separate"/>
            </w:r>
            <w:r w:rsidR="000C7657">
              <w:rPr>
                <w:sz w:val="20"/>
                <w:szCs w:val="20"/>
              </w:rPr>
              <w:t>***</w:t>
            </w:r>
            <w:r w:rsidR="003E06D0">
              <w:rPr>
                <w:sz w:val="20"/>
                <w:szCs w:val="20"/>
              </w:rPr>
              <w:fldChar w:fldCharType="end"/>
            </w:r>
          </w:p>
        </w:tc>
      </w:tr>
    </w:tbl>
    <w:p w14:paraId="247D8155" w14:textId="62AAB40A" w:rsidR="00413AC8" w:rsidRDefault="00413AC8">
      <w:r w:rsidRPr="00052416">
        <w:rPr>
          <w:b/>
          <w:bCs/>
        </w:rPr>
        <w:t>Objective 3:</w:t>
      </w:r>
      <w:r>
        <w:t xml:space="preserve"> </w:t>
      </w:r>
      <w:r w:rsidRPr="005B5D92">
        <w:t>Utilize member engagement processes to systematically receive feedback to drive program and care improvement</w:t>
      </w:r>
      <w:r>
        <w:t>.</w:t>
      </w:r>
      <w:r w:rsidRPr="005B5D92">
        <w:t> </w:t>
      </w:r>
    </w:p>
    <w:tbl>
      <w:tblPr>
        <w:tblStyle w:val="TableGrid9"/>
        <w:tblW w:w="0" w:type="auto"/>
        <w:tblInd w:w="-5" w:type="dxa"/>
        <w:tblLook w:val="04A0" w:firstRow="1" w:lastRow="0" w:firstColumn="1" w:lastColumn="0" w:noHBand="0" w:noVBand="1"/>
      </w:tblPr>
      <w:tblGrid>
        <w:gridCol w:w="9355"/>
      </w:tblGrid>
      <w:tr w:rsidR="00E77344" w:rsidRPr="007B0F77" w14:paraId="54998481" w14:textId="77777777" w:rsidTr="0046655D">
        <w:tc>
          <w:tcPr>
            <w:tcW w:w="9355" w:type="dxa"/>
          </w:tcPr>
          <w:p w14:paraId="035BC626" w14:textId="77777777" w:rsidR="00E77344" w:rsidRDefault="00E77344">
            <w:pPr>
              <w:rPr>
                <w:b/>
                <w:bCs/>
              </w:rPr>
            </w:pPr>
            <w:r w:rsidRPr="007B0F77">
              <w:rPr>
                <w:b/>
                <w:bCs/>
              </w:rPr>
              <w:t>N</w:t>
            </w:r>
            <w:r>
              <w:rPr>
                <w:b/>
                <w:bCs/>
              </w:rPr>
              <w:t>arrative Response</w:t>
            </w:r>
          </w:p>
          <w:p w14:paraId="39678D03" w14:textId="504A8C1A" w:rsidR="00E77344" w:rsidRPr="00EB52B8" w:rsidRDefault="005A32BB" w:rsidP="00BC2F64">
            <w:pPr>
              <w:spacing w:after="120"/>
            </w:pPr>
            <w:r w:rsidRPr="008B228B">
              <w:t>Mass</w:t>
            </w:r>
            <w:r w:rsidR="00073FEE" w:rsidRPr="008B228B">
              <w:t>H</w:t>
            </w:r>
            <w:r w:rsidRPr="008B228B">
              <w:t>ealth</w:t>
            </w:r>
            <w:r w:rsidR="00073FEE" w:rsidRPr="008B228B">
              <w:t xml:space="preserve"> </w:t>
            </w:r>
            <w:r w:rsidRPr="008B228B">
              <w:t>engage</w:t>
            </w:r>
            <w:r w:rsidR="001A7985">
              <w:t>d</w:t>
            </w:r>
            <w:r w:rsidRPr="008B228B">
              <w:t xml:space="preserve"> members </w:t>
            </w:r>
            <w:r w:rsidR="00352DF0" w:rsidRPr="008B228B">
              <w:t>through internal and external processes</w:t>
            </w:r>
            <w:r w:rsidR="00812C71">
              <w:t xml:space="preserve"> to help </w:t>
            </w:r>
            <w:r w:rsidR="00774FBA">
              <w:t xml:space="preserve">drive </w:t>
            </w:r>
            <w:r w:rsidR="315F21A9">
              <w:t xml:space="preserve">improvements in </w:t>
            </w:r>
            <w:r w:rsidR="729201BF">
              <w:t>program</w:t>
            </w:r>
            <w:r w:rsidR="064F651E">
              <w:t>s</w:t>
            </w:r>
            <w:r w:rsidR="729201BF">
              <w:t xml:space="preserve"> </w:t>
            </w:r>
            <w:r w:rsidR="00774FBA">
              <w:t xml:space="preserve">and care. </w:t>
            </w:r>
            <w:r w:rsidR="00E93D1B">
              <w:t>M</w:t>
            </w:r>
            <w:r w:rsidR="00993293" w:rsidRPr="008B228B">
              <w:t>ember-focused council</w:t>
            </w:r>
            <w:r w:rsidR="00A165CA" w:rsidRPr="008B228B">
              <w:t>s</w:t>
            </w:r>
            <w:r w:rsidR="00EC63DF" w:rsidRPr="008B228B">
              <w:t xml:space="preserve"> (e.g., One Care Implementation Council</w:t>
            </w:r>
            <w:r w:rsidR="00744189">
              <w:t>, MassHealth Member Advisory Committee</w:t>
            </w:r>
            <w:r w:rsidR="00F47DE9">
              <w:t>) have</w:t>
            </w:r>
            <w:r w:rsidR="00824101">
              <w:t xml:space="preserve"> </w:t>
            </w:r>
            <w:r w:rsidR="004B1E2F" w:rsidRPr="008B228B">
              <w:t>met on a schedule</w:t>
            </w:r>
            <w:r w:rsidR="00F47DE9">
              <w:t>d</w:t>
            </w:r>
            <w:r w:rsidR="004B1E2F" w:rsidRPr="008B228B">
              <w:t xml:space="preserve"> cadence</w:t>
            </w:r>
            <w:r w:rsidR="00567F2A">
              <w:t xml:space="preserve">.  MassHealth also is invited to meet periodically with </w:t>
            </w:r>
            <w:r w:rsidR="00431E20">
              <w:t xml:space="preserve">disability advocates </w:t>
            </w:r>
            <w:r w:rsidR="00FD45BF">
              <w:t>and with eligibility advocates</w:t>
            </w:r>
            <w:r w:rsidR="00D5705D">
              <w:t>.</w:t>
            </w:r>
            <w:r w:rsidR="002F2F41">
              <w:t xml:space="preserve">  T</w:t>
            </w:r>
            <w:r w:rsidR="002953EA">
              <w:t xml:space="preserve">hrough these processes, </w:t>
            </w:r>
            <w:r w:rsidR="00F26F7B">
              <w:t>groups discuss</w:t>
            </w:r>
            <w:r w:rsidR="00BD7917">
              <w:t xml:space="preserve"> </w:t>
            </w:r>
            <w:r w:rsidR="0056707F" w:rsidRPr="008B228B">
              <w:t>a range of topics</w:t>
            </w:r>
            <w:r w:rsidR="3C1DB9B4">
              <w:t xml:space="preserve"> </w:t>
            </w:r>
            <w:r w:rsidR="0056707F" w:rsidRPr="008B228B">
              <w:t xml:space="preserve">to drive </w:t>
            </w:r>
            <w:r w:rsidR="00EE5C6E">
              <w:t xml:space="preserve">annual </w:t>
            </w:r>
            <w:r w:rsidR="0056707F" w:rsidRPr="008B228B">
              <w:t>program</w:t>
            </w:r>
            <w:r w:rsidR="00EE5C6E">
              <w:t xml:space="preserve"> development</w:t>
            </w:r>
            <w:r w:rsidR="008D52BA">
              <w:t>,</w:t>
            </w:r>
            <w:r w:rsidDel="5648C638">
              <w:t xml:space="preserve"> </w:t>
            </w:r>
            <w:r w:rsidR="5648C638">
              <w:t>implementation</w:t>
            </w:r>
            <w:r w:rsidR="3C1DB9B4">
              <w:t xml:space="preserve"> and </w:t>
            </w:r>
            <w:r w:rsidR="004142A1">
              <w:t>quality</w:t>
            </w:r>
            <w:r w:rsidR="0056707F" w:rsidRPr="008B228B">
              <w:t xml:space="preserve"> improvement. Topics have include</w:t>
            </w:r>
            <w:r w:rsidR="008B228B" w:rsidRPr="008B228B">
              <w:t>d</w:t>
            </w:r>
            <w:r w:rsidR="008B228B">
              <w:t xml:space="preserve"> </w:t>
            </w:r>
            <w:r w:rsidR="009C003F">
              <w:t>understand</w:t>
            </w:r>
            <w:r w:rsidR="00824101">
              <w:t>ing</w:t>
            </w:r>
            <w:r w:rsidR="009C003F">
              <w:t xml:space="preserve"> the </w:t>
            </w:r>
            <w:r w:rsidR="00367F33">
              <w:t xml:space="preserve">health care </w:t>
            </w:r>
            <w:r w:rsidR="00931D2F">
              <w:t xml:space="preserve">needs </w:t>
            </w:r>
            <w:r w:rsidR="00466CEF">
              <w:t>and challenges</w:t>
            </w:r>
            <w:r w:rsidR="009C003F">
              <w:t xml:space="preserve"> </w:t>
            </w:r>
            <w:r w:rsidR="0002185B">
              <w:t>of</w:t>
            </w:r>
            <w:r w:rsidR="00AE249F">
              <w:t xml:space="preserve"> the population</w:t>
            </w:r>
            <w:r w:rsidR="00984A70">
              <w:t xml:space="preserve">, </w:t>
            </w:r>
            <w:r w:rsidR="00CF5C5C">
              <w:t xml:space="preserve">quality improvement </w:t>
            </w:r>
            <w:r w:rsidR="00252678">
              <w:t xml:space="preserve">and experience of care </w:t>
            </w:r>
            <w:r w:rsidR="00CF5C5C">
              <w:t>priorities, iden</w:t>
            </w:r>
            <w:r w:rsidR="00252678">
              <w:t xml:space="preserve">tification of </w:t>
            </w:r>
            <w:r w:rsidR="00414C83">
              <w:t xml:space="preserve">key quality </w:t>
            </w:r>
            <w:r w:rsidR="008B228B">
              <w:t>measures for specifi</w:t>
            </w:r>
            <w:r w:rsidR="00252678">
              <w:t>c</w:t>
            </w:r>
            <w:r w:rsidR="008B228B">
              <w:t xml:space="preserve"> prog</w:t>
            </w:r>
            <w:r w:rsidR="00252678">
              <w:t>r</w:t>
            </w:r>
            <w:r w:rsidR="008B228B">
              <w:t>ams</w:t>
            </w:r>
            <w:r w:rsidR="00414C83">
              <w:t xml:space="preserve"> for monitoring and accountability</w:t>
            </w:r>
            <w:r w:rsidR="008B228B">
              <w:t xml:space="preserve">, </w:t>
            </w:r>
            <w:r w:rsidR="008246BF">
              <w:t xml:space="preserve">and </w:t>
            </w:r>
            <w:r w:rsidR="0056707F" w:rsidRPr="008B228B">
              <w:t xml:space="preserve">review of </w:t>
            </w:r>
            <w:r w:rsidR="008B228B" w:rsidRPr="008B228B">
              <w:t>quality</w:t>
            </w:r>
            <w:r w:rsidR="00BC5CF1">
              <w:t xml:space="preserve"> </w:t>
            </w:r>
            <w:r w:rsidR="008B228B" w:rsidRPr="008B228B">
              <w:t>performance</w:t>
            </w:r>
            <w:r w:rsidR="00BC5CF1">
              <w:t xml:space="preserve"> and </w:t>
            </w:r>
            <w:r w:rsidR="00334F34">
              <w:t xml:space="preserve">actionability </w:t>
            </w:r>
            <w:r w:rsidR="008246BF">
              <w:t>f</w:t>
            </w:r>
            <w:r w:rsidR="00334F34">
              <w:t xml:space="preserve">or </w:t>
            </w:r>
            <w:r w:rsidR="001A384F">
              <w:t>next steps to improve care.</w:t>
            </w:r>
            <w:r w:rsidR="00352DF0" w:rsidRPr="008B228B">
              <w:t xml:space="preserve"> </w:t>
            </w:r>
            <w:r w:rsidR="000B2A3D">
              <w:t xml:space="preserve">MassHealth also requires its contracted plans and hospitals to engage members through consumer advisory </w:t>
            </w:r>
            <w:r w:rsidR="00C324DD">
              <w:t xml:space="preserve">and patient family advisory councils to enable additional </w:t>
            </w:r>
            <w:r w:rsidR="00EB52B8">
              <w:t>share</w:t>
            </w:r>
            <w:r w:rsidR="00875824">
              <w:t>d</w:t>
            </w:r>
            <w:r w:rsidR="00EB52B8">
              <w:t xml:space="preserve"> </w:t>
            </w:r>
            <w:r w:rsidR="00C324DD">
              <w:t>feedback and input</w:t>
            </w:r>
            <w:r w:rsidR="00EB52B8">
              <w:t xml:space="preserve"> from members. </w:t>
            </w:r>
            <w:r w:rsidR="00C324DD">
              <w:t xml:space="preserve"> </w:t>
            </w:r>
          </w:p>
        </w:tc>
      </w:tr>
    </w:tbl>
    <w:p w14:paraId="30A88354" w14:textId="77777777" w:rsidR="000438A1" w:rsidRDefault="000438A1" w:rsidP="00932EA9">
      <w:pPr>
        <w:rPr>
          <w:rFonts w:asciiTheme="minorHAnsi" w:hAnsiTheme="minorHAnsi" w:cstheme="minorBidi"/>
        </w:rPr>
      </w:pPr>
    </w:p>
    <w:p w14:paraId="7F3A06E8" w14:textId="1104FE23" w:rsidR="00932EA9" w:rsidRDefault="00870907" w:rsidP="00932EA9">
      <w:pPr>
        <w:rPr>
          <w:rFonts w:asciiTheme="minorHAnsi" w:hAnsiTheme="minorHAnsi" w:cstheme="minorBidi"/>
        </w:rPr>
      </w:pPr>
      <w:r>
        <w:rPr>
          <w:rFonts w:asciiTheme="minorHAnsi" w:hAnsiTheme="minorHAnsi" w:cstheme="minorBidi"/>
        </w:rPr>
        <w:t xml:space="preserve">Performance on </w:t>
      </w:r>
      <w:r w:rsidR="00245DF6">
        <w:rPr>
          <w:rFonts w:asciiTheme="minorHAnsi" w:hAnsiTheme="minorHAnsi" w:cstheme="minorBidi"/>
        </w:rPr>
        <w:t xml:space="preserve">Goal </w:t>
      </w:r>
      <w:r w:rsidR="00C8125D">
        <w:rPr>
          <w:rFonts w:asciiTheme="minorHAnsi" w:hAnsiTheme="minorHAnsi" w:cstheme="minorBidi"/>
        </w:rPr>
        <w:t>4</w:t>
      </w:r>
      <w:r>
        <w:rPr>
          <w:rFonts w:asciiTheme="minorHAnsi" w:hAnsiTheme="minorHAnsi" w:cstheme="minorBidi"/>
        </w:rPr>
        <w:t xml:space="preserve"> </w:t>
      </w:r>
      <w:r w:rsidR="00324E72">
        <w:rPr>
          <w:rFonts w:asciiTheme="minorHAnsi" w:hAnsiTheme="minorHAnsi" w:cstheme="minorBidi"/>
        </w:rPr>
        <w:t xml:space="preserve">has stabilized </w:t>
      </w:r>
      <w:r w:rsidR="00B73317">
        <w:rPr>
          <w:rFonts w:asciiTheme="minorHAnsi" w:hAnsiTheme="minorHAnsi" w:cstheme="minorBidi"/>
        </w:rPr>
        <w:t>with</w:t>
      </w:r>
      <w:r w:rsidR="00497DF6">
        <w:rPr>
          <w:rFonts w:asciiTheme="minorHAnsi" w:hAnsiTheme="minorHAnsi" w:cstheme="minorBidi"/>
        </w:rPr>
        <w:t xml:space="preserve"> </w:t>
      </w:r>
      <w:r w:rsidR="00DD0F58">
        <w:rPr>
          <w:rFonts w:asciiTheme="minorHAnsi" w:hAnsiTheme="minorHAnsi" w:cstheme="minorBidi"/>
        </w:rPr>
        <w:t>performance</w:t>
      </w:r>
      <w:r w:rsidR="00497DF6">
        <w:rPr>
          <w:rFonts w:asciiTheme="minorHAnsi" w:hAnsiTheme="minorHAnsi" w:cstheme="minorBidi"/>
        </w:rPr>
        <w:t xml:space="preserve"> beginning to </w:t>
      </w:r>
      <w:r w:rsidR="00DD0F58">
        <w:rPr>
          <w:rFonts w:asciiTheme="minorHAnsi" w:hAnsiTheme="minorHAnsi" w:cstheme="minorBidi"/>
        </w:rPr>
        <w:t>trend</w:t>
      </w:r>
      <w:r w:rsidR="00497DF6">
        <w:rPr>
          <w:rFonts w:asciiTheme="minorHAnsi" w:hAnsiTheme="minorHAnsi" w:cstheme="minorBidi"/>
        </w:rPr>
        <w:t xml:space="preserve"> </w:t>
      </w:r>
      <w:r w:rsidR="00DD0F58">
        <w:rPr>
          <w:rFonts w:asciiTheme="minorHAnsi" w:hAnsiTheme="minorHAnsi" w:cstheme="minorBidi"/>
        </w:rPr>
        <w:t>upward</w:t>
      </w:r>
      <w:r w:rsidR="00245DF6">
        <w:rPr>
          <w:rFonts w:asciiTheme="minorHAnsi" w:hAnsiTheme="minorHAnsi" w:cstheme="minorBidi"/>
        </w:rPr>
        <w:t xml:space="preserve">. </w:t>
      </w:r>
      <w:r w:rsidR="00245DF6" w:rsidRPr="21CA7F43">
        <w:rPr>
          <w:rFonts w:asciiTheme="minorHAnsi" w:hAnsiTheme="minorHAnsi" w:cstheme="minorBidi"/>
        </w:rPr>
        <w:t xml:space="preserve">For Goal </w:t>
      </w:r>
      <w:r w:rsidR="00C8125D">
        <w:rPr>
          <w:rFonts w:asciiTheme="minorHAnsi" w:hAnsiTheme="minorHAnsi" w:cstheme="minorBidi"/>
        </w:rPr>
        <w:t>4</w:t>
      </w:r>
      <w:r w:rsidR="00245DF6" w:rsidRPr="21CA7F43">
        <w:rPr>
          <w:rFonts w:asciiTheme="minorHAnsi" w:hAnsiTheme="minorHAnsi" w:cstheme="minorBidi"/>
        </w:rPr>
        <w:t>, MassHealt</w:t>
      </w:r>
      <w:r w:rsidR="00245DF6">
        <w:rPr>
          <w:rFonts w:asciiTheme="minorHAnsi" w:hAnsiTheme="minorHAnsi" w:cstheme="minorBidi"/>
        </w:rPr>
        <w:t xml:space="preserve">h </w:t>
      </w:r>
      <w:r w:rsidR="00FB044B">
        <w:rPr>
          <w:rFonts w:asciiTheme="minorHAnsi" w:hAnsiTheme="minorHAnsi" w:cstheme="minorBidi"/>
        </w:rPr>
        <w:t>has made strong progress</w:t>
      </w:r>
      <w:r w:rsidR="00486591">
        <w:rPr>
          <w:rFonts w:asciiTheme="minorHAnsi" w:hAnsiTheme="minorHAnsi" w:cstheme="minorBidi"/>
        </w:rPr>
        <w:t xml:space="preserve"> </w:t>
      </w:r>
      <w:r w:rsidR="009A6F44">
        <w:rPr>
          <w:rFonts w:asciiTheme="minorHAnsi" w:hAnsiTheme="minorHAnsi" w:cstheme="minorBidi"/>
        </w:rPr>
        <w:t xml:space="preserve">in achieving the associated objectives. </w:t>
      </w:r>
      <w:r w:rsidR="001A3D8A">
        <w:rPr>
          <w:rFonts w:asciiTheme="minorHAnsi" w:hAnsiTheme="minorHAnsi" w:cstheme="minorBidi"/>
        </w:rPr>
        <w:t xml:space="preserve">MassHealth </w:t>
      </w:r>
      <w:r w:rsidR="00245DF6">
        <w:rPr>
          <w:rFonts w:asciiTheme="minorHAnsi" w:hAnsiTheme="minorHAnsi" w:cstheme="minorBidi"/>
        </w:rPr>
        <w:t>met or surpassed national benchmarks (75</w:t>
      </w:r>
      <w:r w:rsidR="00245DF6" w:rsidRPr="00DB3B49">
        <w:rPr>
          <w:rFonts w:asciiTheme="minorHAnsi" w:hAnsiTheme="minorHAnsi" w:cstheme="minorBidi"/>
          <w:vertAlign w:val="superscript"/>
        </w:rPr>
        <w:t>th</w:t>
      </w:r>
      <w:r w:rsidR="00245DF6">
        <w:rPr>
          <w:rFonts w:asciiTheme="minorHAnsi" w:hAnsiTheme="minorHAnsi" w:cstheme="minorBidi"/>
        </w:rPr>
        <w:t xml:space="preserve"> percentile) or met the Gap to Goal improvement target </w:t>
      </w:r>
      <w:r w:rsidR="001D368F">
        <w:rPr>
          <w:rFonts w:asciiTheme="minorHAnsi" w:hAnsiTheme="minorHAnsi" w:cstheme="minorBidi"/>
        </w:rPr>
        <w:t xml:space="preserve">for </w:t>
      </w:r>
      <w:r w:rsidR="00A414F7">
        <w:rPr>
          <w:rFonts w:asciiTheme="minorHAnsi" w:hAnsiTheme="minorHAnsi" w:cstheme="minorBidi"/>
        </w:rPr>
        <w:t>approximately half of the</w:t>
      </w:r>
      <w:r w:rsidR="000E23AE">
        <w:rPr>
          <w:rFonts w:asciiTheme="minorHAnsi" w:hAnsiTheme="minorHAnsi" w:cstheme="minorBidi"/>
        </w:rPr>
        <w:t xml:space="preserve"> </w:t>
      </w:r>
      <w:r w:rsidR="00245DF6">
        <w:rPr>
          <w:rFonts w:asciiTheme="minorHAnsi" w:hAnsiTheme="minorHAnsi" w:cstheme="minorBidi"/>
        </w:rPr>
        <w:t>measures used to assess this goal.</w:t>
      </w:r>
      <w:r w:rsidR="00FB6DBF">
        <w:rPr>
          <w:rFonts w:asciiTheme="minorHAnsi" w:hAnsiTheme="minorHAnsi" w:cstheme="minorBidi"/>
        </w:rPr>
        <w:t xml:space="preserve"> </w:t>
      </w:r>
      <w:r w:rsidR="00F50978">
        <w:rPr>
          <w:rFonts w:asciiTheme="minorHAnsi" w:hAnsiTheme="minorHAnsi" w:cstheme="minorBidi"/>
        </w:rPr>
        <w:t xml:space="preserve">The impact of COVID where there were </w:t>
      </w:r>
      <w:r w:rsidR="00BF2120">
        <w:rPr>
          <w:rFonts w:asciiTheme="minorHAnsi" w:hAnsiTheme="minorHAnsi" w:cstheme="minorBidi"/>
        </w:rPr>
        <w:t xml:space="preserve">real </w:t>
      </w:r>
      <w:r w:rsidR="00F50978">
        <w:rPr>
          <w:rFonts w:asciiTheme="minorHAnsi" w:hAnsiTheme="minorHAnsi" w:cstheme="minorBidi"/>
        </w:rPr>
        <w:t xml:space="preserve">barriers </w:t>
      </w:r>
      <w:r w:rsidR="00BF2120">
        <w:rPr>
          <w:rFonts w:asciiTheme="minorHAnsi" w:hAnsiTheme="minorHAnsi" w:cstheme="minorBidi"/>
        </w:rPr>
        <w:t>with</w:t>
      </w:r>
      <w:r w:rsidR="00F50978">
        <w:rPr>
          <w:rFonts w:asciiTheme="minorHAnsi" w:hAnsiTheme="minorHAnsi" w:cstheme="minorBidi"/>
        </w:rPr>
        <w:t xml:space="preserve"> members accessing routine in-person care w</w:t>
      </w:r>
      <w:r w:rsidR="002D19D3">
        <w:rPr>
          <w:rFonts w:asciiTheme="minorHAnsi" w:hAnsiTheme="minorHAnsi" w:cstheme="minorBidi"/>
        </w:rPr>
        <w:t>as</w:t>
      </w:r>
      <w:r w:rsidR="00F50978">
        <w:rPr>
          <w:rFonts w:asciiTheme="minorHAnsi" w:hAnsiTheme="minorHAnsi" w:cstheme="minorBidi"/>
        </w:rPr>
        <w:t xml:space="preserve"> a</w:t>
      </w:r>
      <w:r w:rsidR="00AA2F30">
        <w:rPr>
          <w:rFonts w:asciiTheme="minorHAnsi" w:hAnsiTheme="minorHAnsi" w:cstheme="minorBidi"/>
        </w:rPr>
        <w:t xml:space="preserve"> clear</w:t>
      </w:r>
      <w:r w:rsidR="00BF2120">
        <w:rPr>
          <w:rFonts w:asciiTheme="minorHAnsi" w:hAnsiTheme="minorHAnsi" w:cstheme="minorBidi"/>
        </w:rPr>
        <w:t xml:space="preserve"> </w:t>
      </w:r>
      <w:r w:rsidR="00F50978">
        <w:rPr>
          <w:rFonts w:asciiTheme="minorHAnsi" w:hAnsiTheme="minorHAnsi" w:cstheme="minorBidi"/>
        </w:rPr>
        <w:t>factor in lower than benchmark performance and improvement</w:t>
      </w:r>
      <w:r w:rsidR="00246157">
        <w:rPr>
          <w:rFonts w:asciiTheme="minorHAnsi" w:hAnsiTheme="minorHAnsi" w:cstheme="minorBidi"/>
        </w:rPr>
        <w:t>s</w:t>
      </w:r>
      <w:r w:rsidR="00F50978">
        <w:rPr>
          <w:rFonts w:asciiTheme="minorHAnsi" w:hAnsiTheme="minorHAnsi" w:cstheme="minorBidi"/>
        </w:rPr>
        <w:t>.</w:t>
      </w:r>
      <w:r w:rsidR="00BF2120">
        <w:rPr>
          <w:rFonts w:asciiTheme="minorHAnsi" w:hAnsiTheme="minorHAnsi" w:cstheme="minorBidi"/>
        </w:rPr>
        <w:t xml:space="preserve"> </w:t>
      </w:r>
      <w:r w:rsidR="00A3121C">
        <w:rPr>
          <w:rFonts w:asciiTheme="minorHAnsi" w:hAnsiTheme="minorHAnsi" w:cstheme="minorBidi"/>
        </w:rPr>
        <w:t xml:space="preserve">Benchmarks </w:t>
      </w:r>
      <w:r w:rsidR="00811B67">
        <w:rPr>
          <w:rFonts w:asciiTheme="minorHAnsi" w:hAnsiTheme="minorHAnsi" w:cstheme="minorBidi"/>
        </w:rPr>
        <w:t xml:space="preserve">used for </w:t>
      </w:r>
      <w:r w:rsidR="00202514">
        <w:rPr>
          <w:rFonts w:asciiTheme="minorHAnsi" w:hAnsiTheme="minorHAnsi" w:cstheme="minorBidi"/>
        </w:rPr>
        <w:t xml:space="preserve">program specific </w:t>
      </w:r>
      <w:r w:rsidR="00811B67">
        <w:rPr>
          <w:rFonts w:asciiTheme="minorHAnsi" w:hAnsiTheme="minorHAnsi" w:cstheme="minorBidi"/>
        </w:rPr>
        <w:t xml:space="preserve">measures </w:t>
      </w:r>
      <w:r w:rsidR="00D22D79">
        <w:rPr>
          <w:rFonts w:asciiTheme="minorHAnsi" w:hAnsiTheme="minorHAnsi" w:cstheme="minorBidi"/>
        </w:rPr>
        <w:t>(absent of national benchmarks)</w:t>
      </w:r>
      <w:r w:rsidR="00AD11CE">
        <w:rPr>
          <w:rFonts w:asciiTheme="minorHAnsi" w:hAnsiTheme="minorHAnsi" w:cstheme="minorBidi"/>
        </w:rPr>
        <w:t xml:space="preserve"> </w:t>
      </w:r>
      <w:r w:rsidR="008A64B4">
        <w:rPr>
          <w:rFonts w:asciiTheme="minorHAnsi" w:hAnsiTheme="minorHAnsi" w:cstheme="minorBidi"/>
        </w:rPr>
        <w:t>were es</w:t>
      </w:r>
      <w:r w:rsidR="00A034A9">
        <w:rPr>
          <w:rFonts w:asciiTheme="minorHAnsi" w:hAnsiTheme="minorHAnsi" w:cstheme="minorBidi"/>
        </w:rPr>
        <w:t xml:space="preserve">tablished </w:t>
      </w:r>
      <w:r w:rsidR="005B406B">
        <w:rPr>
          <w:rFonts w:asciiTheme="minorHAnsi" w:hAnsiTheme="minorHAnsi" w:cstheme="minorBidi"/>
        </w:rPr>
        <w:t xml:space="preserve">based on historical performance </w:t>
      </w:r>
      <w:r w:rsidR="004F4FC7">
        <w:rPr>
          <w:rFonts w:asciiTheme="minorHAnsi" w:hAnsiTheme="minorHAnsi" w:cstheme="minorBidi"/>
        </w:rPr>
        <w:t xml:space="preserve">prior to </w:t>
      </w:r>
      <w:r w:rsidR="005B406B">
        <w:rPr>
          <w:rFonts w:asciiTheme="minorHAnsi" w:hAnsiTheme="minorHAnsi" w:cstheme="minorBidi"/>
        </w:rPr>
        <w:t xml:space="preserve">the </w:t>
      </w:r>
      <w:r w:rsidR="00B22E20">
        <w:rPr>
          <w:rFonts w:asciiTheme="minorHAnsi" w:hAnsiTheme="minorHAnsi" w:cstheme="minorBidi"/>
        </w:rPr>
        <w:t>public health emergency</w:t>
      </w:r>
      <w:r w:rsidR="0019615C">
        <w:rPr>
          <w:rFonts w:asciiTheme="minorHAnsi" w:hAnsiTheme="minorHAnsi" w:cstheme="minorBidi"/>
        </w:rPr>
        <w:t xml:space="preserve"> (COVID</w:t>
      </w:r>
      <w:r w:rsidR="001F3394">
        <w:rPr>
          <w:rFonts w:asciiTheme="minorHAnsi" w:hAnsiTheme="minorHAnsi" w:cstheme="minorBidi"/>
        </w:rPr>
        <w:t>)</w:t>
      </w:r>
      <w:r w:rsidR="000449C4">
        <w:rPr>
          <w:rFonts w:asciiTheme="minorHAnsi" w:hAnsiTheme="minorHAnsi" w:cstheme="minorBidi"/>
        </w:rPr>
        <w:t xml:space="preserve"> and were challeng</w:t>
      </w:r>
      <w:r w:rsidR="00B423FA">
        <w:rPr>
          <w:rFonts w:asciiTheme="minorHAnsi" w:hAnsiTheme="minorHAnsi" w:cstheme="minorBidi"/>
        </w:rPr>
        <w:t>ing</w:t>
      </w:r>
      <w:r w:rsidR="000449C4">
        <w:rPr>
          <w:rFonts w:asciiTheme="minorHAnsi" w:hAnsiTheme="minorHAnsi" w:cstheme="minorBidi"/>
        </w:rPr>
        <w:t xml:space="preserve"> to achieve.</w:t>
      </w:r>
      <w:r w:rsidR="000D19D5">
        <w:rPr>
          <w:rFonts w:asciiTheme="minorHAnsi" w:hAnsiTheme="minorHAnsi" w:cstheme="minorBidi"/>
        </w:rPr>
        <w:t xml:space="preserve"> Post PH</w:t>
      </w:r>
      <w:r w:rsidR="00133BD2">
        <w:rPr>
          <w:rFonts w:asciiTheme="minorHAnsi" w:hAnsiTheme="minorHAnsi" w:cstheme="minorBidi"/>
        </w:rPr>
        <w:t>E, t</w:t>
      </w:r>
      <w:r w:rsidR="002E4BBC">
        <w:rPr>
          <w:rFonts w:asciiTheme="minorHAnsi" w:hAnsiTheme="minorHAnsi" w:cstheme="minorBidi"/>
        </w:rPr>
        <w:t>he goal for stable and gradual improvement</w:t>
      </w:r>
      <w:r w:rsidR="00E12146">
        <w:rPr>
          <w:rFonts w:asciiTheme="minorHAnsi" w:hAnsiTheme="minorHAnsi" w:cstheme="minorBidi"/>
        </w:rPr>
        <w:t xml:space="preserve"> </w:t>
      </w:r>
      <w:r w:rsidR="00B65188">
        <w:rPr>
          <w:rFonts w:asciiTheme="minorHAnsi" w:hAnsiTheme="minorHAnsi" w:cstheme="minorBidi"/>
        </w:rPr>
        <w:t xml:space="preserve">is expected with </w:t>
      </w:r>
      <w:r w:rsidR="00133BD2">
        <w:rPr>
          <w:rFonts w:asciiTheme="minorHAnsi" w:hAnsiTheme="minorHAnsi" w:cstheme="minorBidi"/>
        </w:rPr>
        <w:t xml:space="preserve">a </w:t>
      </w:r>
      <w:r w:rsidR="00CE73F3">
        <w:rPr>
          <w:rFonts w:asciiTheme="minorHAnsi" w:hAnsiTheme="minorHAnsi" w:cstheme="minorBidi"/>
        </w:rPr>
        <w:t>return to</w:t>
      </w:r>
      <w:r w:rsidR="006E6A44">
        <w:rPr>
          <w:rFonts w:asciiTheme="minorHAnsi" w:hAnsiTheme="minorHAnsi" w:cstheme="minorBidi"/>
        </w:rPr>
        <w:t xml:space="preserve"> accessible </w:t>
      </w:r>
      <w:r w:rsidR="00CA042C">
        <w:rPr>
          <w:rFonts w:asciiTheme="minorHAnsi" w:hAnsiTheme="minorHAnsi" w:cstheme="minorBidi"/>
        </w:rPr>
        <w:t xml:space="preserve">face-to-face </w:t>
      </w:r>
      <w:r w:rsidR="00E12146">
        <w:rPr>
          <w:rFonts w:asciiTheme="minorHAnsi" w:hAnsiTheme="minorHAnsi" w:cstheme="minorBidi"/>
        </w:rPr>
        <w:t xml:space="preserve">member </w:t>
      </w:r>
      <w:r w:rsidR="00C77818">
        <w:rPr>
          <w:rFonts w:asciiTheme="minorHAnsi" w:hAnsiTheme="minorHAnsi" w:cstheme="minorBidi"/>
        </w:rPr>
        <w:t>care</w:t>
      </w:r>
      <w:r w:rsidR="00422222">
        <w:rPr>
          <w:rFonts w:asciiTheme="minorHAnsi" w:hAnsiTheme="minorHAnsi" w:cstheme="minorBidi"/>
        </w:rPr>
        <w:t xml:space="preserve">, </w:t>
      </w:r>
      <w:r w:rsidR="0C167927" w:rsidRPr="3DFCCDE3">
        <w:rPr>
          <w:rFonts w:asciiTheme="minorHAnsi" w:hAnsiTheme="minorHAnsi" w:cstheme="minorBidi"/>
        </w:rPr>
        <w:t xml:space="preserve">and with fewer </w:t>
      </w:r>
      <w:r w:rsidR="00422222">
        <w:rPr>
          <w:rFonts w:asciiTheme="minorHAnsi" w:hAnsiTheme="minorHAnsi" w:cstheme="minorBidi"/>
        </w:rPr>
        <w:t>provider resources focused on PHE. Member engagement processes a</w:t>
      </w:r>
      <w:r w:rsidR="00BB0F41">
        <w:rPr>
          <w:rFonts w:asciiTheme="minorHAnsi" w:hAnsiTheme="minorHAnsi" w:cstheme="minorBidi"/>
        </w:rPr>
        <w:t xml:space="preserve">lso </w:t>
      </w:r>
      <w:r w:rsidR="00547B79">
        <w:rPr>
          <w:rFonts w:asciiTheme="minorHAnsi" w:hAnsiTheme="minorHAnsi" w:cstheme="minorBidi"/>
        </w:rPr>
        <w:t xml:space="preserve">were impacted by PHE </w:t>
      </w:r>
      <w:r w:rsidR="00336041">
        <w:rPr>
          <w:rFonts w:asciiTheme="minorHAnsi" w:hAnsiTheme="minorHAnsi" w:cstheme="minorBidi"/>
        </w:rPr>
        <w:t xml:space="preserve">where there was </w:t>
      </w:r>
      <w:r w:rsidR="004D3BED">
        <w:rPr>
          <w:rFonts w:asciiTheme="minorHAnsi" w:hAnsiTheme="minorHAnsi" w:cstheme="minorBidi"/>
        </w:rPr>
        <w:t xml:space="preserve">a pause </w:t>
      </w:r>
      <w:r w:rsidR="00777FB5">
        <w:rPr>
          <w:rFonts w:asciiTheme="minorHAnsi" w:hAnsiTheme="minorHAnsi" w:cstheme="minorBidi"/>
        </w:rPr>
        <w:t xml:space="preserve">in </w:t>
      </w:r>
      <w:r w:rsidR="00941AC3">
        <w:rPr>
          <w:rFonts w:asciiTheme="minorHAnsi" w:hAnsiTheme="minorHAnsi" w:cstheme="minorBidi"/>
        </w:rPr>
        <w:t xml:space="preserve">engagement processes, with </w:t>
      </w:r>
      <w:r w:rsidR="00336041">
        <w:rPr>
          <w:rFonts w:asciiTheme="minorHAnsi" w:hAnsiTheme="minorHAnsi" w:cstheme="minorBidi"/>
        </w:rPr>
        <w:t xml:space="preserve">limited ability to engage with members and </w:t>
      </w:r>
      <w:r w:rsidR="00016D2F">
        <w:rPr>
          <w:rFonts w:asciiTheme="minorHAnsi" w:hAnsiTheme="minorHAnsi" w:cstheme="minorBidi"/>
        </w:rPr>
        <w:t xml:space="preserve">slow </w:t>
      </w:r>
      <w:r w:rsidR="00547B79">
        <w:rPr>
          <w:rFonts w:asciiTheme="minorHAnsi" w:hAnsiTheme="minorHAnsi" w:cstheme="minorBidi"/>
        </w:rPr>
        <w:t xml:space="preserve">recovery </w:t>
      </w:r>
      <w:r w:rsidR="006E165F">
        <w:rPr>
          <w:rFonts w:asciiTheme="minorHAnsi" w:hAnsiTheme="minorHAnsi" w:cstheme="minorBidi"/>
        </w:rPr>
        <w:t>or new</w:t>
      </w:r>
      <w:r w:rsidR="008F2882">
        <w:rPr>
          <w:rFonts w:asciiTheme="minorHAnsi" w:hAnsiTheme="minorHAnsi" w:cstheme="minorBidi"/>
        </w:rPr>
        <w:t xml:space="preserve"> processes </w:t>
      </w:r>
      <w:r w:rsidR="004D3BED">
        <w:rPr>
          <w:rFonts w:asciiTheme="minorHAnsi" w:hAnsiTheme="minorHAnsi" w:cstheme="minorBidi"/>
        </w:rPr>
        <w:t xml:space="preserve">(e.g., use </w:t>
      </w:r>
      <w:r w:rsidR="00547B79">
        <w:rPr>
          <w:rFonts w:asciiTheme="minorHAnsi" w:hAnsiTheme="minorHAnsi" w:cstheme="minorBidi"/>
        </w:rPr>
        <w:t>of remote</w:t>
      </w:r>
      <w:r w:rsidR="008125B8">
        <w:rPr>
          <w:rFonts w:asciiTheme="minorHAnsi" w:hAnsiTheme="minorHAnsi" w:cstheme="minorBidi"/>
        </w:rPr>
        <w:t xml:space="preserve"> meeting</w:t>
      </w:r>
      <w:r w:rsidR="00547B79">
        <w:rPr>
          <w:rFonts w:asciiTheme="minorHAnsi" w:hAnsiTheme="minorHAnsi" w:cstheme="minorBidi"/>
        </w:rPr>
        <w:t>s</w:t>
      </w:r>
      <w:r w:rsidR="004D3BED">
        <w:rPr>
          <w:rFonts w:asciiTheme="minorHAnsi" w:hAnsiTheme="minorHAnsi" w:cstheme="minorBidi"/>
        </w:rPr>
        <w:t>)</w:t>
      </w:r>
      <w:r w:rsidR="00547B79">
        <w:rPr>
          <w:rFonts w:asciiTheme="minorHAnsi" w:hAnsiTheme="minorHAnsi" w:cstheme="minorBidi"/>
        </w:rPr>
        <w:t>.</w:t>
      </w:r>
      <w:r w:rsidR="008125B8">
        <w:rPr>
          <w:rFonts w:asciiTheme="minorHAnsi" w:hAnsiTheme="minorHAnsi" w:cstheme="minorBidi"/>
        </w:rPr>
        <w:t xml:space="preserve"> </w:t>
      </w:r>
      <w:r w:rsidR="00C77818">
        <w:rPr>
          <w:rFonts w:asciiTheme="minorHAnsi" w:hAnsiTheme="minorHAnsi" w:cstheme="minorBidi"/>
        </w:rPr>
        <w:t xml:space="preserve"> </w:t>
      </w:r>
      <w:r w:rsidR="00EE4611">
        <w:rPr>
          <w:rFonts w:asciiTheme="minorHAnsi" w:hAnsiTheme="minorHAnsi" w:cstheme="minorBidi"/>
        </w:rPr>
        <w:t xml:space="preserve"> </w:t>
      </w:r>
      <w:r w:rsidR="000449C4">
        <w:rPr>
          <w:rFonts w:asciiTheme="minorHAnsi" w:hAnsiTheme="minorHAnsi" w:cstheme="minorBidi"/>
        </w:rPr>
        <w:t xml:space="preserve">  </w:t>
      </w:r>
      <w:r w:rsidR="002879E7">
        <w:rPr>
          <w:rFonts w:asciiTheme="minorHAnsi" w:hAnsiTheme="minorHAnsi" w:cstheme="minorBidi"/>
        </w:rPr>
        <w:t xml:space="preserve"> </w:t>
      </w:r>
      <w:r w:rsidR="00B52B78">
        <w:rPr>
          <w:rFonts w:asciiTheme="minorHAnsi" w:hAnsiTheme="minorHAnsi" w:cstheme="minorBidi"/>
        </w:rPr>
        <w:t xml:space="preserve"> </w:t>
      </w:r>
    </w:p>
    <w:p w14:paraId="25A32469" w14:textId="23A577F6" w:rsidR="00F36CF3" w:rsidRPr="001B250F" w:rsidRDefault="00753CD6" w:rsidP="001B250F">
      <w:pPr>
        <w:pStyle w:val="Heading3"/>
        <w:spacing w:after="120"/>
      </w:pPr>
      <w:bookmarkStart w:id="12" w:name="_Toc190440059"/>
      <w:r>
        <w:t>Quality Goal 5</w:t>
      </w:r>
      <w:r w:rsidR="001B250F" w:rsidRPr="00602289">
        <w:t>: Improve care through better integration, communication, and coordination across the care continuum and across care teams for our members</w:t>
      </w:r>
      <w:bookmarkEnd w:id="12"/>
      <w:r w:rsidR="001B250F" w:rsidRPr="00602289">
        <w:t> </w:t>
      </w:r>
    </w:p>
    <w:p w14:paraId="2B9F1CCE" w14:textId="09872C1C" w:rsidR="00753CD6" w:rsidRDefault="00753CD6" w:rsidP="00F36CF3">
      <w:pPr>
        <w:rPr>
          <w:rStyle w:val="SubtleEmphasis"/>
        </w:rPr>
      </w:pPr>
      <w:r w:rsidRPr="009069AE">
        <w:rPr>
          <w:rStyle w:val="SubtleEmphasis"/>
        </w:rPr>
        <w:t xml:space="preserve">Table </w:t>
      </w:r>
      <w:r>
        <w:rPr>
          <w:rStyle w:val="SubtleEmphasis"/>
        </w:rPr>
        <w:t>6</w:t>
      </w:r>
      <w:r w:rsidR="00413AC8" w:rsidRPr="009069AE">
        <w:rPr>
          <w:rStyle w:val="SubtleEmphasis"/>
        </w:rPr>
        <w:t>: Quality</w:t>
      </w:r>
      <w:r>
        <w:rPr>
          <w:rStyle w:val="SubtleEmphasis"/>
        </w:rPr>
        <w:t xml:space="preserve"> Goal 5 Measures and Performance</w:t>
      </w:r>
    </w:p>
    <w:p w14:paraId="790F65DC" w14:textId="0F31D16D" w:rsidR="00413AC8" w:rsidRPr="00F36CF3" w:rsidRDefault="00413AC8" w:rsidP="00F36CF3">
      <w:pPr>
        <w:rPr>
          <w:rFonts w:asciiTheme="minorHAnsi" w:eastAsia="Times New Roman" w:hAnsiTheme="minorHAnsi" w:cstheme="minorHAnsi"/>
          <w:color w:val="000000"/>
        </w:rPr>
      </w:pPr>
      <w:r w:rsidRPr="00E7026A">
        <w:rPr>
          <w:b/>
          <w:bCs/>
        </w:rPr>
        <w:t>Objective 1:</w:t>
      </w:r>
      <w:r>
        <w:t xml:space="preserve"> </w:t>
      </w:r>
      <w:r w:rsidRPr="00B66BD7">
        <w:t xml:space="preserve">Invest in systems and interventions to improve verbal, written, and electronic </w:t>
      </w:r>
      <w:proofErr w:type="gramStart"/>
      <w:r w:rsidRPr="00B66BD7">
        <w:t>communications</w:t>
      </w:r>
      <w:proofErr w:type="gramEnd"/>
      <w:r w:rsidRPr="00B66BD7">
        <w:t xml:space="preserve"> among caregivers to reduce harm or avoidable hospitalizations and ensure safe and seamless care for members</w:t>
      </w:r>
    </w:p>
    <w:tbl>
      <w:tblPr>
        <w:tblStyle w:val="TableGrid"/>
        <w:tblW w:w="0" w:type="auto"/>
        <w:tblLook w:val="04A0" w:firstRow="1" w:lastRow="0" w:firstColumn="1" w:lastColumn="0" w:noHBand="0" w:noVBand="1"/>
      </w:tblPr>
      <w:tblGrid>
        <w:gridCol w:w="3223"/>
        <w:gridCol w:w="1350"/>
        <w:gridCol w:w="1350"/>
        <w:gridCol w:w="1350"/>
        <w:gridCol w:w="1303"/>
        <w:gridCol w:w="774"/>
      </w:tblGrid>
      <w:tr w:rsidR="00253355" w14:paraId="3B3ECCFF" w14:textId="77777777" w:rsidTr="00112A85">
        <w:tc>
          <w:tcPr>
            <w:tcW w:w="3223" w:type="dxa"/>
          </w:tcPr>
          <w:p w14:paraId="4DDC93A8" w14:textId="77777777" w:rsidR="00253355" w:rsidRDefault="00253355" w:rsidP="00BC2F64">
            <w:pPr>
              <w:jc w:val="center"/>
              <w:rPr>
                <w:b/>
                <w:bCs/>
                <w:sz w:val="24"/>
                <w:szCs w:val="24"/>
              </w:rPr>
            </w:pPr>
            <w:r>
              <w:lastRenderedPageBreak/>
              <w:t>Measure</w:t>
            </w:r>
          </w:p>
        </w:tc>
        <w:tc>
          <w:tcPr>
            <w:tcW w:w="1350" w:type="dxa"/>
          </w:tcPr>
          <w:p w14:paraId="22197D75" w14:textId="77777777" w:rsidR="00253355" w:rsidRDefault="00253355" w:rsidP="00BC2F64">
            <w:pPr>
              <w:jc w:val="center"/>
              <w:rPr>
                <w:b/>
                <w:bCs/>
                <w:sz w:val="24"/>
                <w:szCs w:val="24"/>
              </w:rPr>
            </w:pPr>
            <w:r>
              <w:t>MassHealth MY2020 Rate (Baseline)</w:t>
            </w:r>
          </w:p>
        </w:tc>
        <w:tc>
          <w:tcPr>
            <w:tcW w:w="1350" w:type="dxa"/>
          </w:tcPr>
          <w:p w14:paraId="46EEBAC9" w14:textId="77777777" w:rsidR="00253355" w:rsidRDefault="00253355" w:rsidP="00BC2F64">
            <w:pPr>
              <w:jc w:val="center"/>
              <w:rPr>
                <w:b/>
                <w:bCs/>
                <w:sz w:val="24"/>
                <w:szCs w:val="24"/>
              </w:rPr>
            </w:pPr>
            <w:r>
              <w:t>MassHealth MY2021 Rate</w:t>
            </w:r>
          </w:p>
        </w:tc>
        <w:tc>
          <w:tcPr>
            <w:tcW w:w="1350" w:type="dxa"/>
          </w:tcPr>
          <w:p w14:paraId="4F807D39" w14:textId="77777777" w:rsidR="00253355" w:rsidRDefault="00253355" w:rsidP="00BC2F64">
            <w:pPr>
              <w:jc w:val="center"/>
              <w:rPr>
                <w:b/>
                <w:bCs/>
                <w:sz w:val="24"/>
                <w:szCs w:val="24"/>
              </w:rPr>
            </w:pPr>
            <w:r>
              <w:t>MassHealth MY2022 Rate</w:t>
            </w:r>
          </w:p>
        </w:tc>
        <w:tc>
          <w:tcPr>
            <w:tcW w:w="1303" w:type="dxa"/>
          </w:tcPr>
          <w:p w14:paraId="0F50C322" w14:textId="77777777" w:rsidR="00253355" w:rsidRDefault="00253355" w:rsidP="00BC2F64">
            <w:pPr>
              <w:jc w:val="center"/>
              <w:rPr>
                <w:b/>
                <w:bCs/>
                <w:sz w:val="24"/>
                <w:szCs w:val="24"/>
              </w:rPr>
            </w:pPr>
            <w:r>
              <w:t>National Benchmark MY2022 75th</w:t>
            </w:r>
          </w:p>
        </w:tc>
        <w:tc>
          <w:tcPr>
            <w:tcW w:w="774" w:type="dxa"/>
          </w:tcPr>
          <w:p w14:paraId="285AB782" w14:textId="77777777" w:rsidR="00253355" w:rsidRDefault="00253355" w:rsidP="00BC2F64">
            <w:pPr>
              <w:jc w:val="center"/>
              <w:rPr>
                <w:b/>
                <w:bCs/>
                <w:sz w:val="24"/>
                <w:szCs w:val="24"/>
              </w:rPr>
            </w:pPr>
            <w:r>
              <w:t>Gap to Goal</w:t>
            </w:r>
          </w:p>
        </w:tc>
      </w:tr>
      <w:tr w:rsidR="00253355" w14:paraId="5449CBF4" w14:textId="77777777" w:rsidTr="00112A85">
        <w:tc>
          <w:tcPr>
            <w:tcW w:w="3223" w:type="dxa"/>
          </w:tcPr>
          <w:p w14:paraId="734B1326" w14:textId="4367D590" w:rsidR="00253355" w:rsidRDefault="00253355">
            <w:pPr>
              <w:rPr>
                <w:sz w:val="18"/>
                <w:szCs w:val="18"/>
              </w:rPr>
            </w:pPr>
            <w:r w:rsidRPr="0055058A">
              <w:rPr>
                <w:sz w:val="18"/>
                <w:szCs w:val="18"/>
              </w:rPr>
              <w:t>Screening for Depression and Follow-</w:t>
            </w:r>
            <w:r w:rsidR="5C52A257" w:rsidRPr="3DFCCDE3">
              <w:rPr>
                <w:sz w:val="18"/>
                <w:szCs w:val="18"/>
              </w:rPr>
              <w:t>Up</w:t>
            </w:r>
            <w:r w:rsidR="5C52A257" w:rsidRPr="3DFCCDE3">
              <w:rPr>
                <w:rFonts w:ascii="Arial" w:hAnsi="Arial" w:cs="Arial"/>
                <w:sz w:val="18"/>
                <w:szCs w:val="18"/>
              </w:rPr>
              <w:t> </w:t>
            </w:r>
            <w:r w:rsidR="5C52A257" w:rsidRPr="3DFCCDE3">
              <w:rPr>
                <w:sz w:val="18"/>
                <w:szCs w:val="18"/>
              </w:rPr>
              <w:t>Pla</w:t>
            </w:r>
            <w:r w:rsidR="62A0992A" w:rsidRPr="3DFCCDE3">
              <w:rPr>
                <w:sz w:val="18"/>
                <w:szCs w:val="18"/>
              </w:rPr>
              <w:t>n</w:t>
            </w:r>
          </w:p>
        </w:tc>
        <w:tc>
          <w:tcPr>
            <w:tcW w:w="1350" w:type="dxa"/>
          </w:tcPr>
          <w:p w14:paraId="222A81B5" w14:textId="77777777" w:rsidR="00253355" w:rsidRPr="00143A86" w:rsidRDefault="00253355" w:rsidP="004919CD">
            <w:pPr>
              <w:jc w:val="center"/>
              <w:rPr>
                <w:sz w:val="20"/>
                <w:szCs w:val="20"/>
              </w:rPr>
            </w:pPr>
            <w:r w:rsidRPr="00143A86">
              <w:rPr>
                <w:rFonts w:cs="Calibri"/>
                <w:sz w:val="20"/>
                <w:szCs w:val="20"/>
              </w:rPr>
              <w:t>36.4%</w:t>
            </w:r>
          </w:p>
        </w:tc>
        <w:tc>
          <w:tcPr>
            <w:tcW w:w="1350" w:type="dxa"/>
          </w:tcPr>
          <w:p w14:paraId="53BEBB9E" w14:textId="77777777" w:rsidR="00253355" w:rsidRPr="00143A86" w:rsidRDefault="00253355" w:rsidP="004919CD">
            <w:pPr>
              <w:jc w:val="center"/>
              <w:rPr>
                <w:sz w:val="20"/>
                <w:szCs w:val="20"/>
              </w:rPr>
            </w:pPr>
            <w:r w:rsidRPr="00143A86">
              <w:rPr>
                <w:rFonts w:cs="Calibri"/>
                <w:sz w:val="20"/>
                <w:szCs w:val="20"/>
              </w:rPr>
              <w:t>41.1%</w:t>
            </w:r>
          </w:p>
        </w:tc>
        <w:tc>
          <w:tcPr>
            <w:tcW w:w="1350" w:type="dxa"/>
          </w:tcPr>
          <w:p w14:paraId="57308572" w14:textId="77777777" w:rsidR="00253355" w:rsidRPr="00143A86" w:rsidRDefault="00253355" w:rsidP="004919CD">
            <w:pPr>
              <w:jc w:val="center"/>
              <w:rPr>
                <w:sz w:val="20"/>
                <w:szCs w:val="20"/>
              </w:rPr>
            </w:pPr>
            <w:r w:rsidRPr="00143A86">
              <w:rPr>
                <w:rFonts w:cs="Calibri"/>
                <w:sz w:val="20"/>
                <w:szCs w:val="20"/>
              </w:rPr>
              <w:t>43.0%</w:t>
            </w:r>
          </w:p>
        </w:tc>
        <w:tc>
          <w:tcPr>
            <w:tcW w:w="1303" w:type="dxa"/>
          </w:tcPr>
          <w:p w14:paraId="7B7C5993" w14:textId="78FA6862" w:rsidR="00253355" w:rsidRPr="00143A86" w:rsidRDefault="00E34302" w:rsidP="004919CD">
            <w:pPr>
              <w:jc w:val="center"/>
              <w:rPr>
                <w:sz w:val="20"/>
                <w:szCs w:val="20"/>
              </w:rPr>
            </w:pPr>
            <w:r w:rsidRPr="00143A86">
              <w:rPr>
                <w:sz w:val="20"/>
                <w:szCs w:val="20"/>
              </w:rPr>
              <w:t>49.</w:t>
            </w:r>
            <w:r w:rsidR="00036AC1" w:rsidRPr="00143A86">
              <w:rPr>
                <w:sz w:val="20"/>
                <w:szCs w:val="20"/>
              </w:rPr>
              <w:t>3</w:t>
            </w:r>
            <w:r w:rsidRPr="00143A86">
              <w:rPr>
                <w:sz w:val="20"/>
                <w:szCs w:val="20"/>
              </w:rPr>
              <w:t>%</w:t>
            </w:r>
            <w:r w:rsidR="00BF72D4">
              <w:rPr>
                <w:sz w:val="20"/>
                <w:szCs w:val="20"/>
              </w:rPr>
              <w:fldChar w:fldCharType="begin"/>
            </w:r>
            <w:r w:rsidR="00BF72D4">
              <w:rPr>
                <w:sz w:val="20"/>
                <w:szCs w:val="20"/>
              </w:rPr>
              <w:instrText xml:space="preserve"> NOTEREF _Ref190162419 \h </w:instrText>
            </w:r>
            <w:r w:rsidR="00BF72D4">
              <w:rPr>
                <w:sz w:val="20"/>
                <w:szCs w:val="20"/>
              </w:rPr>
            </w:r>
            <w:r w:rsidR="00BF72D4">
              <w:rPr>
                <w:sz w:val="20"/>
                <w:szCs w:val="20"/>
              </w:rPr>
              <w:fldChar w:fldCharType="separate"/>
            </w:r>
            <w:r w:rsidR="000C7657">
              <w:rPr>
                <w:sz w:val="20"/>
                <w:szCs w:val="20"/>
              </w:rPr>
              <w:t>†††</w:t>
            </w:r>
            <w:r w:rsidR="00BF72D4">
              <w:rPr>
                <w:sz w:val="20"/>
                <w:szCs w:val="20"/>
              </w:rPr>
              <w:fldChar w:fldCharType="end"/>
            </w:r>
          </w:p>
        </w:tc>
        <w:tc>
          <w:tcPr>
            <w:tcW w:w="774" w:type="dxa"/>
            <w:shd w:val="clear" w:color="auto" w:fill="A8D08D" w:themeFill="accent6" w:themeFillTint="99"/>
          </w:tcPr>
          <w:p w14:paraId="6C856392" w14:textId="67BF296A" w:rsidR="00253355" w:rsidRPr="00143A86" w:rsidRDefault="00C95998" w:rsidP="0078731A">
            <w:pPr>
              <w:jc w:val="center"/>
              <w:rPr>
                <w:b/>
                <w:sz w:val="20"/>
                <w:szCs w:val="20"/>
              </w:rPr>
            </w:pPr>
            <w:r w:rsidRPr="00143A86">
              <w:rPr>
                <w:rFonts w:cs="Calibri"/>
                <w:sz w:val="20"/>
                <w:szCs w:val="20"/>
              </w:rPr>
              <w:t>37</w:t>
            </w:r>
            <w:r w:rsidR="00036AC1" w:rsidRPr="00143A86">
              <w:rPr>
                <w:rFonts w:cs="Calibri"/>
                <w:sz w:val="20"/>
                <w:szCs w:val="20"/>
              </w:rPr>
              <w:t>.</w:t>
            </w:r>
            <w:r w:rsidRPr="00143A86">
              <w:rPr>
                <w:rFonts w:cs="Calibri"/>
                <w:sz w:val="20"/>
                <w:szCs w:val="20"/>
              </w:rPr>
              <w:t>3</w:t>
            </w:r>
            <w:r w:rsidR="00036AC1" w:rsidRPr="00143A86">
              <w:rPr>
                <w:rFonts w:cs="Calibri"/>
                <w:sz w:val="20"/>
                <w:szCs w:val="20"/>
              </w:rPr>
              <w:t>%</w:t>
            </w:r>
          </w:p>
        </w:tc>
      </w:tr>
      <w:tr w:rsidR="00253355" w14:paraId="0310558A" w14:textId="77777777" w:rsidTr="00112A85">
        <w:tc>
          <w:tcPr>
            <w:tcW w:w="3223" w:type="dxa"/>
          </w:tcPr>
          <w:p w14:paraId="2E22297B" w14:textId="5A3E8D8E" w:rsidR="00253355" w:rsidRPr="0055058A" w:rsidRDefault="00253355">
            <w:pPr>
              <w:rPr>
                <w:sz w:val="18"/>
                <w:szCs w:val="18"/>
              </w:rPr>
            </w:pPr>
            <w:r w:rsidRPr="00A255CF">
              <w:rPr>
                <w:sz w:val="18"/>
                <w:szCs w:val="18"/>
              </w:rPr>
              <w:t>Follow-Up Care for Children Prescribed ADHD Medication (</w:t>
            </w:r>
            <w:r w:rsidR="495D95E4" w:rsidRPr="128BFB49">
              <w:rPr>
                <w:sz w:val="18"/>
                <w:szCs w:val="18"/>
              </w:rPr>
              <w:t>I</w:t>
            </w:r>
            <w:r w:rsidR="00036AC1" w:rsidRPr="128BFB49">
              <w:rPr>
                <w:sz w:val="18"/>
                <w:szCs w:val="18"/>
              </w:rPr>
              <w:t>nitiation</w:t>
            </w:r>
            <w:r w:rsidRPr="00A255CF">
              <w:rPr>
                <w:sz w:val="18"/>
                <w:szCs w:val="18"/>
              </w:rPr>
              <w:t>) </w:t>
            </w:r>
          </w:p>
        </w:tc>
        <w:tc>
          <w:tcPr>
            <w:tcW w:w="1350" w:type="dxa"/>
          </w:tcPr>
          <w:p w14:paraId="6F9E255A" w14:textId="77777777" w:rsidR="00253355" w:rsidRPr="00143A86" w:rsidRDefault="00253355" w:rsidP="004919CD">
            <w:pPr>
              <w:jc w:val="center"/>
              <w:rPr>
                <w:sz w:val="20"/>
                <w:szCs w:val="20"/>
              </w:rPr>
            </w:pPr>
            <w:r w:rsidRPr="00143A86">
              <w:rPr>
                <w:rFonts w:cs="Calibri"/>
                <w:sz w:val="20"/>
                <w:szCs w:val="20"/>
              </w:rPr>
              <w:t>45.7%</w:t>
            </w:r>
          </w:p>
        </w:tc>
        <w:tc>
          <w:tcPr>
            <w:tcW w:w="1350" w:type="dxa"/>
          </w:tcPr>
          <w:p w14:paraId="210BED73" w14:textId="77777777" w:rsidR="00253355" w:rsidRPr="00143A86" w:rsidRDefault="00253355" w:rsidP="004919CD">
            <w:pPr>
              <w:jc w:val="center"/>
              <w:rPr>
                <w:sz w:val="20"/>
                <w:szCs w:val="20"/>
              </w:rPr>
            </w:pPr>
            <w:r w:rsidRPr="00143A86">
              <w:rPr>
                <w:rFonts w:cs="Calibri"/>
                <w:sz w:val="20"/>
                <w:szCs w:val="20"/>
              </w:rPr>
              <w:t>44.5%</w:t>
            </w:r>
          </w:p>
        </w:tc>
        <w:tc>
          <w:tcPr>
            <w:tcW w:w="1350" w:type="dxa"/>
          </w:tcPr>
          <w:p w14:paraId="61A12313" w14:textId="77777777" w:rsidR="00253355" w:rsidRPr="00143A86" w:rsidRDefault="00253355" w:rsidP="004919CD">
            <w:pPr>
              <w:jc w:val="center"/>
              <w:rPr>
                <w:sz w:val="20"/>
                <w:szCs w:val="20"/>
              </w:rPr>
            </w:pPr>
            <w:r w:rsidRPr="00143A86">
              <w:rPr>
                <w:rFonts w:cs="Calibri"/>
                <w:sz w:val="20"/>
                <w:szCs w:val="20"/>
              </w:rPr>
              <w:t>46.4%</w:t>
            </w:r>
          </w:p>
        </w:tc>
        <w:tc>
          <w:tcPr>
            <w:tcW w:w="1303" w:type="dxa"/>
          </w:tcPr>
          <w:p w14:paraId="7DCB88FC" w14:textId="77777777" w:rsidR="00253355" w:rsidRPr="00143A86" w:rsidRDefault="00253355" w:rsidP="004919CD">
            <w:pPr>
              <w:jc w:val="center"/>
              <w:rPr>
                <w:sz w:val="20"/>
                <w:szCs w:val="20"/>
              </w:rPr>
            </w:pPr>
            <w:r w:rsidRPr="00143A86">
              <w:rPr>
                <w:rFonts w:cs="Calibri"/>
                <w:sz w:val="20"/>
                <w:szCs w:val="20"/>
              </w:rPr>
              <w:t>48.1%</w:t>
            </w:r>
          </w:p>
        </w:tc>
        <w:tc>
          <w:tcPr>
            <w:tcW w:w="774" w:type="dxa"/>
          </w:tcPr>
          <w:p w14:paraId="65F18748" w14:textId="35F904D0" w:rsidR="00036AC1" w:rsidRPr="00143A86" w:rsidRDefault="5A3ACFE2" w:rsidP="0078731A">
            <w:pPr>
              <w:jc w:val="center"/>
              <w:rPr>
                <w:rFonts w:eastAsia="Times New Roman" w:cs="Calibri"/>
                <w:sz w:val="20"/>
                <w:szCs w:val="20"/>
              </w:rPr>
            </w:pPr>
            <w:r w:rsidRPr="00143A86">
              <w:rPr>
                <w:rFonts w:cs="Calibri"/>
                <w:sz w:val="20"/>
                <w:szCs w:val="20"/>
              </w:rPr>
              <w:t>46.7%</w:t>
            </w:r>
          </w:p>
          <w:p w14:paraId="045319C5" w14:textId="3EA448CF" w:rsidR="00253355" w:rsidRPr="00143A86" w:rsidRDefault="00253355">
            <w:pPr>
              <w:rPr>
                <w:b/>
                <w:sz w:val="20"/>
                <w:szCs w:val="20"/>
              </w:rPr>
            </w:pPr>
          </w:p>
        </w:tc>
      </w:tr>
      <w:tr w:rsidR="00253355" w14:paraId="2FDDCBE7" w14:textId="77777777" w:rsidTr="00112A85">
        <w:tc>
          <w:tcPr>
            <w:tcW w:w="3223" w:type="dxa"/>
          </w:tcPr>
          <w:p w14:paraId="24AE40BD" w14:textId="01981168" w:rsidR="00253355" w:rsidRPr="0055058A" w:rsidRDefault="00253355">
            <w:pPr>
              <w:rPr>
                <w:sz w:val="18"/>
                <w:szCs w:val="18"/>
              </w:rPr>
            </w:pPr>
            <w:r w:rsidRPr="00A255CF">
              <w:rPr>
                <w:sz w:val="18"/>
                <w:szCs w:val="18"/>
              </w:rPr>
              <w:t>Follow-Up Care for Children Prescribed ADHD Medication (</w:t>
            </w:r>
            <w:r w:rsidR="66CB860C" w:rsidRPr="128BFB49">
              <w:rPr>
                <w:sz w:val="18"/>
                <w:szCs w:val="18"/>
              </w:rPr>
              <w:t>C</w:t>
            </w:r>
            <w:r w:rsidR="00036AC1" w:rsidRPr="128BFB49">
              <w:rPr>
                <w:sz w:val="18"/>
                <w:szCs w:val="18"/>
              </w:rPr>
              <w:t>ontinuation</w:t>
            </w:r>
            <w:r w:rsidRPr="00A255CF">
              <w:rPr>
                <w:sz w:val="18"/>
                <w:szCs w:val="18"/>
              </w:rPr>
              <w:t>) </w:t>
            </w:r>
          </w:p>
        </w:tc>
        <w:tc>
          <w:tcPr>
            <w:tcW w:w="1350" w:type="dxa"/>
          </w:tcPr>
          <w:p w14:paraId="4BF64F94" w14:textId="77777777" w:rsidR="00253355" w:rsidRPr="00143A86" w:rsidRDefault="00253355" w:rsidP="004919CD">
            <w:pPr>
              <w:jc w:val="center"/>
              <w:rPr>
                <w:sz w:val="20"/>
                <w:szCs w:val="20"/>
              </w:rPr>
            </w:pPr>
            <w:r w:rsidRPr="00143A86">
              <w:rPr>
                <w:rFonts w:cs="Calibri"/>
                <w:sz w:val="20"/>
                <w:szCs w:val="20"/>
              </w:rPr>
              <w:t>54.8%</w:t>
            </w:r>
          </w:p>
        </w:tc>
        <w:tc>
          <w:tcPr>
            <w:tcW w:w="1350" w:type="dxa"/>
          </w:tcPr>
          <w:p w14:paraId="4357C518" w14:textId="77777777" w:rsidR="00253355" w:rsidRPr="00143A86" w:rsidRDefault="00253355" w:rsidP="004919CD">
            <w:pPr>
              <w:jc w:val="center"/>
              <w:rPr>
                <w:sz w:val="20"/>
                <w:szCs w:val="20"/>
              </w:rPr>
            </w:pPr>
            <w:r w:rsidRPr="00143A86">
              <w:rPr>
                <w:rFonts w:cs="Calibri"/>
                <w:sz w:val="20"/>
                <w:szCs w:val="20"/>
              </w:rPr>
              <w:t>54.7%</w:t>
            </w:r>
          </w:p>
        </w:tc>
        <w:tc>
          <w:tcPr>
            <w:tcW w:w="1350" w:type="dxa"/>
          </w:tcPr>
          <w:p w14:paraId="19310BE1" w14:textId="77777777" w:rsidR="00253355" w:rsidRPr="00143A86" w:rsidRDefault="00253355" w:rsidP="004919CD">
            <w:pPr>
              <w:jc w:val="center"/>
              <w:rPr>
                <w:sz w:val="20"/>
                <w:szCs w:val="20"/>
              </w:rPr>
            </w:pPr>
            <w:r w:rsidRPr="00143A86">
              <w:rPr>
                <w:rFonts w:cs="Calibri"/>
                <w:sz w:val="20"/>
                <w:szCs w:val="20"/>
              </w:rPr>
              <w:t>54.4%</w:t>
            </w:r>
          </w:p>
        </w:tc>
        <w:tc>
          <w:tcPr>
            <w:tcW w:w="1303" w:type="dxa"/>
          </w:tcPr>
          <w:p w14:paraId="09A16845" w14:textId="77777777" w:rsidR="00253355" w:rsidRPr="00143A86" w:rsidRDefault="00253355" w:rsidP="004919CD">
            <w:pPr>
              <w:jc w:val="center"/>
              <w:rPr>
                <w:sz w:val="20"/>
                <w:szCs w:val="20"/>
              </w:rPr>
            </w:pPr>
            <w:r w:rsidRPr="00143A86">
              <w:rPr>
                <w:rFonts w:cs="Calibri"/>
                <w:sz w:val="20"/>
                <w:szCs w:val="20"/>
              </w:rPr>
              <w:t>59.8%</w:t>
            </w:r>
          </w:p>
        </w:tc>
        <w:tc>
          <w:tcPr>
            <w:tcW w:w="774" w:type="dxa"/>
          </w:tcPr>
          <w:p w14:paraId="1029D505" w14:textId="40226A03" w:rsidR="00253355" w:rsidRPr="00143A86" w:rsidRDefault="009801FF" w:rsidP="0078731A">
            <w:pPr>
              <w:jc w:val="center"/>
              <w:rPr>
                <w:b/>
                <w:sz w:val="20"/>
                <w:szCs w:val="20"/>
              </w:rPr>
            </w:pPr>
            <w:r w:rsidRPr="00143A86">
              <w:rPr>
                <w:rFonts w:cs="Calibri"/>
                <w:sz w:val="20"/>
                <w:szCs w:val="20"/>
              </w:rPr>
              <w:t>55.8%</w:t>
            </w:r>
          </w:p>
        </w:tc>
      </w:tr>
      <w:tr w:rsidR="00253355" w14:paraId="13EAEC8B" w14:textId="77777777" w:rsidTr="00112A85">
        <w:tc>
          <w:tcPr>
            <w:tcW w:w="3223" w:type="dxa"/>
          </w:tcPr>
          <w:p w14:paraId="6AE42166" w14:textId="77777777" w:rsidR="00253355" w:rsidRPr="0055058A" w:rsidRDefault="00253355">
            <w:pPr>
              <w:rPr>
                <w:sz w:val="18"/>
                <w:szCs w:val="18"/>
              </w:rPr>
            </w:pPr>
            <w:r w:rsidRPr="00A255CF">
              <w:rPr>
                <w:sz w:val="18"/>
                <w:szCs w:val="18"/>
              </w:rPr>
              <w:t>Diabetes Screening for People with Schizophrenia or Bipolar Disorder who are using Antipsychotic Medications </w:t>
            </w:r>
          </w:p>
        </w:tc>
        <w:tc>
          <w:tcPr>
            <w:tcW w:w="1350" w:type="dxa"/>
          </w:tcPr>
          <w:p w14:paraId="4CE24701" w14:textId="77777777" w:rsidR="00253355" w:rsidRPr="00143A86" w:rsidRDefault="00253355" w:rsidP="004919CD">
            <w:pPr>
              <w:jc w:val="center"/>
              <w:rPr>
                <w:sz w:val="20"/>
                <w:szCs w:val="20"/>
              </w:rPr>
            </w:pPr>
            <w:r w:rsidRPr="00143A86">
              <w:rPr>
                <w:rFonts w:cs="Calibri"/>
                <w:sz w:val="20"/>
                <w:szCs w:val="20"/>
              </w:rPr>
              <w:t>73.2%</w:t>
            </w:r>
          </w:p>
        </w:tc>
        <w:tc>
          <w:tcPr>
            <w:tcW w:w="1350" w:type="dxa"/>
          </w:tcPr>
          <w:p w14:paraId="1FCAE26F" w14:textId="77777777" w:rsidR="00253355" w:rsidRPr="00143A86" w:rsidRDefault="00253355" w:rsidP="004919CD">
            <w:pPr>
              <w:jc w:val="center"/>
              <w:rPr>
                <w:sz w:val="20"/>
                <w:szCs w:val="20"/>
              </w:rPr>
            </w:pPr>
            <w:r w:rsidRPr="00143A86">
              <w:rPr>
                <w:rFonts w:cs="Calibri"/>
                <w:sz w:val="20"/>
                <w:szCs w:val="20"/>
              </w:rPr>
              <w:t>77.7%</w:t>
            </w:r>
          </w:p>
        </w:tc>
        <w:tc>
          <w:tcPr>
            <w:tcW w:w="1350" w:type="dxa"/>
          </w:tcPr>
          <w:p w14:paraId="455D7379" w14:textId="77777777" w:rsidR="00253355" w:rsidRPr="00143A86" w:rsidRDefault="00253355" w:rsidP="004919CD">
            <w:pPr>
              <w:jc w:val="center"/>
              <w:rPr>
                <w:sz w:val="20"/>
                <w:szCs w:val="20"/>
              </w:rPr>
            </w:pPr>
            <w:r w:rsidRPr="00143A86">
              <w:rPr>
                <w:rFonts w:cs="Calibri"/>
                <w:sz w:val="20"/>
                <w:szCs w:val="20"/>
              </w:rPr>
              <w:t>76.6%</w:t>
            </w:r>
          </w:p>
        </w:tc>
        <w:tc>
          <w:tcPr>
            <w:tcW w:w="1303" w:type="dxa"/>
          </w:tcPr>
          <w:p w14:paraId="2D23B6CF" w14:textId="77777777" w:rsidR="00253355" w:rsidRPr="00143A86" w:rsidRDefault="00253355" w:rsidP="004919CD">
            <w:pPr>
              <w:jc w:val="center"/>
              <w:rPr>
                <w:sz w:val="20"/>
                <w:szCs w:val="20"/>
              </w:rPr>
            </w:pPr>
            <w:r w:rsidRPr="00143A86">
              <w:rPr>
                <w:rFonts w:cs="Calibri"/>
                <w:sz w:val="20"/>
                <w:szCs w:val="20"/>
              </w:rPr>
              <w:t>82.3%</w:t>
            </w:r>
          </w:p>
        </w:tc>
        <w:tc>
          <w:tcPr>
            <w:tcW w:w="774" w:type="dxa"/>
            <w:shd w:val="clear" w:color="auto" w:fill="A8D08D" w:themeFill="accent6" w:themeFillTint="99"/>
          </w:tcPr>
          <w:p w14:paraId="4E28F279" w14:textId="0364719B" w:rsidR="00253355" w:rsidRPr="00143A86" w:rsidRDefault="000763A4" w:rsidP="0078731A">
            <w:pPr>
              <w:jc w:val="center"/>
              <w:rPr>
                <w:b/>
                <w:sz w:val="20"/>
                <w:szCs w:val="20"/>
              </w:rPr>
            </w:pPr>
            <w:r w:rsidRPr="00143A86">
              <w:rPr>
                <w:rFonts w:cs="Calibri"/>
                <w:sz w:val="20"/>
                <w:szCs w:val="20"/>
              </w:rPr>
              <w:t>74.2%</w:t>
            </w:r>
          </w:p>
        </w:tc>
      </w:tr>
      <w:tr w:rsidR="00253355" w14:paraId="6EA1C638" w14:textId="77777777" w:rsidTr="00112A85">
        <w:tc>
          <w:tcPr>
            <w:tcW w:w="3223" w:type="dxa"/>
          </w:tcPr>
          <w:p w14:paraId="36814925" w14:textId="77777777" w:rsidR="00253355" w:rsidRPr="00987DE5" w:rsidRDefault="00253355">
            <w:pPr>
              <w:rPr>
                <w:sz w:val="18"/>
                <w:szCs w:val="18"/>
              </w:rPr>
            </w:pPr>
            <w:r w:rsidRPr="00663EC1">
              <w:rPr>
                <w:sz w:val="18"/>
                <w:szCs w:val="18"/>
              </w:rPr>
              <w:t>Plan All-Cause Readmission (18-64 years)</w:t>
            </w:r>
            <w:r w:rsidRPr="00663EC1">
              <w:rPr>
                <w:rFonts w:ascii="Arial" w:hAnsi="Arial" w:cs="Arial"/>
                <w:sz w:val="18"/>
                <w:szCs w:val="18"/>
              </w:rPr>
              <w:t> </w:t>
            </w:r>
            <w:r w:rsidRPr="00663EC1">
              <w:rPr>
                <w:rFonts w:ascii="Aptos" w:hAnsi="Aptos" w:cs="Aptos"/>
                <w:sz w:val="18"/>
                <w:szCs w:val="18"/>
              </w:rPr>
              <w:t> </w:t>
            </w:r>
          </w:p>
        </w:tc>
        <w:tc>
          <w:tcPr>
            <w:tcW w:w="1350" w:type="dxa"/>
          </w:tcPr>
          <w:p w14:paraId="18DFD035" w14:textId="77777777" w:rsidR="00253355" w:rsidRPr="00143A86" w:rsidRDefault="00253355" w:rsidP="004919CD">
            <w:pPr>
              <w:jc w:val="center"/>
              <w:rPr>
                <w:sz w:val="20"/>
                <w:szCs w:val="20"/>
              </w:rPr>
            </w:pPr>
            <w:r w:rsidRPr="00143A86">
              <w:rPr>
                <w:rFonts w:cs="Calibri"/>
                <w:sz w:val="20"/>
                <w:szCs w:val="20"/>
              </w:rPr>
              <w:t>1.1461</w:t>
            </w:r>
          </w:p>
        </w:tc>
        <w:tc>
          <w:tcPr>
            <w:tcW w:w="1350" w:type="dxa"/>
          </w:tcPr>
          <w:p w14:paraId="5D434AD5" w14:textId="77777777" w:rsidR="00253355" w:rsidRPr="00143A86" w:rsidRDefault="00253355" w:rsidP="004919CD">
            <w:pPr>
              <w:jc w:val="center"/>
              <w:rPr>
                <w:sz w:val="20"/>
                <w:szCs w:val="20"/>
              </w:rPr>
            </w:pPr>
            <w:r w:rsidRPr="00143A86">
              <w:rPr>
                <w:rFonts w:cs="Calibri"/>
                <w:sz w:val="20"/>
                <w:szCs w:val="20"/>
              </w:rPr>
              <w:t>1.1803</w:t>
            </w:r>
          </w:p>
        </w:tc>
        <w:tc>
          <w:tcPr>
            <w:tcW w:w="1350" w:type="dxa"/>
          </w:tcPr>
          <w:p w14:paraId="799AB573" w14:textId="77777777" w:rsidR="00253355" w:rsidRPr="00143A86" w:rsidRDefault="00253355" w:rsidP="004919CD">
            <w:pPr>
              <w:jc w:val="center"/>
              <w:rPr>
                <w:sz w:val="20"/>
                <w:szCs w:val="20"/>
              </w:rPr>
            </w:pPr>
            <w:r w:rsidRPr="00143A86">
              <w:rPr>
                <w:rFonts w:cs="Calibri"/>
                <w:sz w:val="20"/>
                <w:szCs w:val="20"/>
              </w:rPr>
              <w:t>1.1750</w:t>
            </w:r>
          </w:p>
        </w:tc>
        <w:tc>
          <w:tcPr>
            <w:tcW w:w="1303" w:type="dxa"/>
          </w:tcPr>
          <w:p w14:paraId="3F300872" w14:textId="77777777" w:rsidR="00253355" w:rsidRPr="00143A86" w:rsidRDefault="00253355" w:rsidP="004919CD">
            <w:pPr>
              <w:jc w:val="center"/>
              <w:rPr>
                <w:sz w:val="20"/>
                <w:szCs w:val="20"/>
              </w:rPr>
            </w:pPr>
            <w:r w:rsidRPr="00143A86">
              <w:rPr>
                <w:rFonts w:cs="Calibri"/>
                <w:sz w:val="20"/>
                <w:szCs w:val="20"/>
              </w:rPr>
              <w:t>0.8982</w:t>
            </w:r>
          </w:p>
        </w:tc>
        <w:tc>
          <w:tcPr>
            <w:tcW w:w="774" w:type="dxa"/>
          </w:tcPr>
          <w:p w14:paraId="30C0C712" w14:textId="00445105" w:rsidR="00253355" w:rsidRPr="00143A86" w:rsidRDefault="006C21C3" w:rsidP="0078731A">
            <w:pPr>
              <w:jc w:val="center"/>
              <w:rPr>
                <w:b/>
                <w:sz w:val="20"/>
                <w:szCs w:val="20"/>
              </w:rPr>
            </w:pPr>
            <w:r w:rsidRPr="00143A86">
              <w:rPr>
                <w:rFonts w:cs="Calibri"/>
                <w:sz w:val="20"/>
                <w:szCs w:val="20"/>
              </w:rPr>
              <w:t>1.1361</w:t>
            </w:r>
          </w:p>
        </w:tc>
      </w:tr>
      <w:tr w:rsidR="00253355" w14:paraId="5F4140E1" w14:textId="77777777" w:rsidTr="00112A85">
        <w:trPr>
          <w:trHeight w:val="300"/>
        </w:trPr>
        <w:tc>
          <w:tcPr>
            <w:tcW w:w="3223" w:type="dxa"/>
          </w:tcPr>
          <w:p w14:paraId="4F3E3386" w14:textId="77777777" w:rsidR="00253355" w:rsidRDefault="00253355">
            <w:pPr>
              <w:rPr>
                <w:sz w:val="18"/>
                <w:szCs w:val="18"/>
              </w:rPr>
            </w:pPr>
            <w:r w:rsidRPr="3E464C40">
              <w:rPr>
                <w:sz w:val="18"/>
                <w:szCs w:val="18"/>
              </w:rPr>
              <w:t>Plan All-Cause Readmissions (ages 65+)</w:t>
            </w:r>
          </w:p>
        </w:tc>
        <w:tc>
          <w:tcPr>
            <w:tcW w:w="1350" w:type="dxa"/>
            <w:vAlign w:val="center"/>
          </w:tcPr>
          <w:p w14:paraId="204B8C26" w14:textId="77777777" w:rsidR="00253355" w:rsidRPr="00143A86" w:rsidRDefault="00253355" w:rsidP="004919CD">
            <w:pPr>
              <w:jc w:val="center"/>
              <w:rPr>
                <w:rFonts w:cs="Calibri"/>
                <w:color w:val="000000" w:themeColor="text1"/>
                <w:sz w:val="20"/>
                <w:szCs w:val="20"/>
              </w:rPr>
            </w:pPr>
            <w:r w:rsidRPr="00143A86">
              <w:rPr>
                <w:rFonts w:cs="Calibri"/>
                <w:color w:val="000000" w:themeColor="text1"/>
                <w:sz w:val="20"/>
                <w:szCs w:val="20"/>
              </w:rPr>
              <w:t>1.1493</w:t>
            </w:r>
          </w:p>
        </w:tc>
        <w:tc>
          <w:tcPr>
            <w:tcW w:w="1350" w:type="dxa"/>
            <w:vAlign w:val="center"/>
          </w:tcPr>
          <w:p w14:paraId="0D4C59EF" w14:textId="77777777" w:rsidR="00253355" w:rsidRPr="00143A86" w:rsidRDefault="00253355" w:rsidP="004919CD">
            <w:pPr>
              <w:jc w:val="center"/>
              <w:rPr>
                <w:rFonts w:cs="Calibri"/>
                <w:color w:val="000000" w:themeColor="text1"/>
                <w:sz w:val="20"/>
                <w:szCs w:val="20"/>
              </w:rPr>
            </w:pPr>
            <w:r w:rsidRPr="00143A86">
              <w:rPr>
                <w:rFonts w:cs="Calibri"/>
                <w:color w:val="000000" w:themeColor="text1"/>
                <w:sz w:val="20"/>
                <w:szCs w:val="20"/>
              </w:rPr>
              <w:t>1.1558</w:t>
            </w:r>
          </w:p>
        </w:tc>
        <w:tc>
          <w:tcPr>
            <w:tcW w:w="1350" w:type="dxa"/>
            <w:vAlign w:val="center"/>
          </w:tcPr>
          <w:p w14:paraId="4522EE48" w14:textId="77777777" w:rsidR="00253355" w:rsidRPr="00143A86" w:rsidRDefault="00253355" w:rsidP="004919CD">
            <w:pPr>
              <w:jc w:val="center"/>
              <w:rPr>
                <w:rFonts w:cs="Calibri"/>
                <w:color w:val="000000" w:themeColor="text1"/>
                <w:sz w:val="20"/>
                <w:szCs w:val="20"/>
              </w:rPr>
            </w:pPr>
            <w:r w:rsidRPr="00143A86">
              <w:rPr>
                <w:rFonts w:cs="Calibri"/>
                <w:color w:val="000000" w:themeColor="text1"/>
                <w:sz w:val="20"/>
                <w:szCs w:val="20"/>
              </w:rPr>
              <w:t>1.2467</w:t>
            </w:r>
          </w:p>
        </w:tc>
        <w:tc>
          <w:tcPr>
            <w:tcW w:w="1303" w:type="dxa"/>
          </w:tcPr>
          <w:p w14:paraId="681C0C6E" w14:textId="77777777" w:rsidR="00253355" w:rsidRPr="00143A86" w:rsidRDefault="00253355" w:rsidP="004919CD">
            <w:pPr>
              <w:jc w:val="center"/>
              <w:rPr>
                <w:rFonts w:cs="Calibri"/>
                <w:color w:val="000000" w:themeColor="text1"/>
                <w:sz w:val="20"/>
                <w:szCs w:val="20"/>
              </w:rPr>
            </w:pPr>
            <w:r w:rsidRPr="00143A86">
              <w:rPr>
                <w:rFonts w:cs="Calibri"/>
                <w:color w:val="000000" w:themeColor="text1"/>
                <w:sz w:val="20"/>
                <w:szCs w:val="20"/>
              </w:rPr>
              <w:t>0.9199</w:t>
            </w:r>
          </w:p>
          <w:p w14:paraId="1715D4B8" w14:textId="77777777" w:rsidR="00253355" w:rsidRPr="00143A86" w:rsidRDefault="00253355" w:rsidP="004919CD">
            <w:pPr>
              <w:jc w:val="center"/>
              <w:rPr>
                <w:rFonts w:cs="Calibri"/>
                <w:color w:val="000000" w:themeColor="text1"/>
                <w:sz w:val="20"/>
                <w:szCs w:val="20"/>
              </w:rPr>
            </w:pPr>
          </w:p>
        </w:tc>
        <w:tc>
          <w:tcPr>
            <w:tcW w:w="774" w:type="dxa"/>
          </w:tcPr>
          <w:p w14:paraId="3B8E5AE1" w14:textId="11618036" w:rsidR="00253355" w:rsidRPr="00143A86" w:rsidRDefault="006C21C3" w:rsidP="0078731A">
            <w:pPr>
              <w:jc w:val="center"/>
              <w:rPr>
                <w:b/>
                <w:sz w:val="20"/>
                <w:szCs w:val="20"/>
              </w:rPr>
            </w:pPr>
            <w:r w:rsidRPr="00143A86">
              <w:rPr>
                <w:rFonts w:cs="Calibri"/>
                <w:sz w:val="20"/>
                <w:szCs w:val="20"/>
              </w:rPr>
              <w:t>1.1393</w:t>
            </w:r>
          </w:p>
        </w:tc>
      </w:tr>
    </w:tbl>
    <w:p w14:paraId="2DBFAD5A" w14:textId="720CB356" w:rsidR="005A2BEC" w:rsidRDefault="005A2BEC">
      <w:r w:rsidRPr="00E7026A">
        <w:rPr>
          <w:b/>
          <w:bCs/>
        </w:rPr>
        <w:t>Objective 2:</w:t>
      </w:r>
      <w:r>
        <w:t xml:space="preserve"> </w:t>
      </w:r>
      <w:r w:rsidRPr="00F227CF">
        <w:t>Proactively engage members with high and rising risk to streamline care coordination and ensure members have an identified single accountable point of contact </w:t>
      </w:r>
    </w:p>
    <w:tbl>
      <w:tblPr>
        <w:tblStyle w:val="TableGrid10"/>
        <w:tblW w:w="0" w:type="auto"/>
        <w:tblLook w:val="04A0" w:firstRow="1" w:lastRow="0" w:firstColumn="1" w:lastColumn="0" w:noHBand="0" w:noVBand="1"/>
      </w:tblPr>
      <w:tblGrid>
        <w:gridCol w:w="3171"/>
        <w:gridCol w:w="1349"/>
        <w:gridCol w:w="1349"/>
        <w:gridCol w:w="1349"/>
        <w:gridCol w:w="1302"/>
        <w:gridCol w:w="830"/>
      </w:tblGrid>
      <w:tr w:rsidR="002534E8" w14:paraId="45056CAF" w14:textId="77777777" w:rsidTr="00112A85">
        <w:tc>
          <w:tcPr>
            <w:tcW w:w="3171" w:type="dxa"/>
          </w:tcPr>
          <w:p w14:paraId="08A0161C" w14:textId="77777777" w:rsidR="002534E8" w:rsidRDefault="002534E8" w:rsidP="00BC2F64">
            <w:pPr>
              <w:jc w:val="center"/>
              <w:rPr>
                <w:b/>
                <w:bCs/>
                <w:sz w:val="24"/>
                <w:szCs w:val="24"/>
              </w:rPr>
            </w:pPr>
            <w:r>
              <w:t>Measure</w:t>
            </w:r>
          </w:p>
        </w:tc>
        <w:tc>
          <w:tcPr>
            <w:tcW w:w="1349" w:type="dxa"/>
          </w:tcPr>
          <w:p w14:paraId="007CEA65" w14:textId="77777777" w:rsidR="002534E8" w:rsidRDefault="002534E8" w:rsidP="00BC2F64">
            <w:pPr>
              <w:jc w:val="center"/>
              <w:rPr>
                <w:b/>
                <w:bCs/>
                <w:sz w:val="24"/>
                <w:szCs w:val="24"/>
              </w:rPr>
            </w:pPr>
            <w:r>
              <w:t>MassHealth MY2020 Rate (Baseline)</w:t>
            </w:r>
          </w:p>
        </w:tc>
        <w:tc>
          <w:tcPr>
            <w:tcW w:w="1349" w:type="dxa"/>
          </w:tcPr>
          <w:p w14:paraId="5338DD56" w14:textId="77777777" w:rsidR="002534E8" w:rsidRDefault="002534E8" w:rsidP="00BC2F64">
            <w:pPr>
              <w:jc w:val="center"/>
              <w:rPr>
                <w:b/>
                <w:bCs/>
                <w:sz w:val="24"/>
                <w:szCs w:val="24"/>
              </w:rPr>
            </w:pPr>
            <w:r>
              <w:t>MassHealth MY2021 Rate</w:t>
            </w:r>
          </w:p>
        </w:tc>
        <w:tc>
          <w:tcPr>
            <w:tcW w:w="1349" w:type="dxa"/>
          </w:tcPr>
          <w:p w14:paraId="4790125F" w14:textId="77777777" w:rsidR="002534E8" w:rsidRDefault="002534E8" w:rsidP="00BC2F64">
            <w:pPr>
              <w:jc w:val="center"/>
              <w:rPr>
                <w:b/>
                <w:bCs/>
                <w:sz w:val="24"/>
                <w:szCs w:val="24"/>
              </w:rPr>
            </w:pPr>
            <w:r>
              <w:t>MassHealth MY2022 Rate</w:t>
            </w:r>
          </w:p>
        </w:tc>
        <w:tc>
          <w:tcPr>
            <w:tcW w:w="1302" w:type="dxa"/>
          </w:tcPr>
          <w:p w14:paraId="7D1D9B8D" w14:textId="77777777" w:rsidR="002534E8" w:rsidRDefault="002534E8" w:rsidP="00BC2F64">
            <w:pPr>
              <w:jc w:val="center"/>
              <w:rPr>
                <w:b/>
                <w:bCs/>
                <w:sz w:val="24"/>
                <w:szCs w:val="24"/>
              </w:rPr>
            </w:pPr>
            <w:r>
              <w:t>National Benchmark MY2022 75th</w:t>
            </w:r>
          </w:p>
        </w:tc>
        <w:tc>
          <w:tcPr>
            <w:tcW w:w="830" w:type="dxa"/>
          </w:tcPr>
          <w:p w14:paraId="73E576A4" w14:textId="77777777" w:rsidR="002534E8" w:rsidRDefault="002534E8" w:rsidP="00BC2F64">
            <w:pPr>
              <w:jc w:val="center"/>
              <w:rPr>
                <w:b/>
                <w:bCs/>
                <w:sz w:val="24"/>
                <w:szCs w:val="24"/>
              </w:rPr>
            </w:pPr>
            <w:r>
              <w:t>Gap to Goal</w:t>
            </w:r>
          </w:p>
        </w:tc>
      </w:tr>
      <w:tr w:rsidR="002534E8" w14:paraId="35ABBAEF" w14:textId="77777777" w:rsidTr="00112A85">
        <w:tc>
          <w:tcPr>
            <w:tcW w:w="3171" w:type="dxa"/>
          </w:tcPr>
          <w:p w14:paraId="7C276032" w14:textId="77777777" w:rsidR="002534E8" w:rsidRPr="002320F0" w:rsidRDefault="002534E8">
            <w:pPr>
              <w:rPr>
                <w:sz w:val="18"/>
                <w:szCs w:val="18"/>
              </w:rPr>
            </w:pPr>
            <w:r w:rsidRPr="002E46B9">
              <w:rPr>
                <w:sz w:val="18"/>
                <w:szCs w:val="18"/>
              </w:rPr>
              <w:t>Metabolic Monitoring for Children and Adolescents on Antipsychotics </w:t>
            </w:r>
          </w:p>
        </w:tc>
        <w:tc>
          <w:tcPr>
            <w:tcW w:w="1349" w:type="dxa"/>
          </w:tcPr>
          <w:p w14:paraId="0DA24A37" w14:textId="77777777" w:rsidR="002534E8" w:rsidRPr="00143A86" w:rsidRDefault="002534E8" w:rsidP="004919CD">
            <w:pPr>
              <w:jc w:val="center"/>
              <w:rPr>
                <w:sz w:val="20"/>
                <w:szCs w:val="20"/>
              </w:rPr>
            </w:pPr>
            <w:r w:rsidRPr="00143A86">
              <w:rPr>
                <w:rFonts w:cs="Calibri"/>
                <w:sz w:val="20"/>
                <w:szCs w:val="20"/>
              </w:rPr>
              <w:t>36.5%</w:t>
            </w:r>
          </w:p>
        </w:tc>
        <w:tc>
          <w:tcPr>
            <w:tcW w:w="1349" w:type="dxa"/>
          </w:tcPr>
          <w:p w14:paraId="2605D0C3" w14:textId="77777777" w:rsidR="002534E8" w:rsidRPr="00143A86" w:rsidRDefault="002534E8" w:rsidP="004919CD">
            <w:pPr>
              <w:jc w:val="center"/>
              <w:rPr>
                <w:sz w:val="20"/>
                <w:szCs w:val="20"/>
              </w:rPr>
            </w:pPr>
            <w:r w:rsidRPr="00143A86">
              <w:rPr>
                <w:rFonts w:cs="Calibri"/>
                <w:sz w:val="20"/>
                <w:szCs w:val="20"/>
              </w:rPr>
              <w:t>42.0%</w:t>
            </w:r>
          </w:p>
        </w:tc>
        <w:tc>
          <w:tcPr>
            <w:tcW w:w="1349" w:type="dxa"/>
          </w:tcPr>
          <w:p w14:paraId="482685D5" w14:textId="77777777" w:rsidR="002534E8" w:rsidRPr="00143A86" w:rsidRDefault="002534E8" w:rsidP="004919CD">
            <w:pPr>
              <w:jc w:val="center"/>
              <w:rPr>
                <w:sz w:val="20"/>
                <w:szCs w:val="20"/>
              </w:rPr>
            </w:pPr>
            <w:r w:rsidRPr="00143A86">
              <w:rPr>
                <w:rFonts w:cs="Calibri"/>
                <w:sz w:val="20"/>
                <w:szCs w:val="20"/>
              </w:rPr>
              <w:t>42.1%</w:t>
            </w:r>
          </w:p>
        </w:tc>
        <w:tc>
          <w:tcPr>
            <w:tcW w:w="1302" w:type="dxa"/>
            <w:shd w:val="clear" w:color="auto" w:fill="A8D08D" w:themeFill="accent6" w:themeFillTint="99"/>
          </w:tcPr>
          <w:p w14:paraId="08E910AD" w14:textId="77777777" w:rsidR="002534E8" w:rsidRPr="00143A86" w:rsidRDefault="002534E8" w:rsidP="004919CD">
            <w:pPr>
              <w:jc w:val="center"/>
              <w:rPr>
                <w:sz w:val="20"/>
                <w:szCs w:val="20"/>
              </w:rPr>
            </w:pPr>
            <w:r w:rsidRPr="00143A86">
              <w:rPr>
                <w:rFonts w:cs="Calibri"/>
                <w:sz w:val="20"/>
                <w:szCs w:val="20"/>
              </w:rPr>
              <w:t>42.0%</w:t>
            </w:r>
          </w:p>
        </w:tc>
        <w:tc>
          <w:tcPr>
            <w:tcW w:w="830" w:type="dxa"/>
          </w:tcPr>
          <w:p w14:paraId="70317D95" w14:textId="00703001" w:rsidR="002534E8" w:rsidRPr="00143A86" w:rsidRDefault="0078731A" w:rsidP="0078731A">
            <w:pPr>
              <w:jc w:val="center"/>
              <w:rPr>
                <w:sz w:val="20"/>
                <w:szCs w:val="20"/>
              </w:rPr>
            </w:pPr>
            <w:r w:rsidRPr="00143A86">
              <w:rPr>
                <w:sz w:val="20"/>
                <w:szCs w:val="20"/>
              </w:rPr>
              <w:t>N/A</w:t>
            </w:r>
            <w:r w:rsidR="003E06D0">
              <w:rPr>
                <w:sz w:val="20"/>
                <w:szCs w:val="20"/>
              </w:rPr>
              <w:fldChar w:fldCharType="begin"/>
            </w:r>
            <w:r w:rsidR="003E06D0">
              <w:rPr>
                <w:sz w:val="20"/>
                <w:szCs w:val="20"/>
              </w:rPr>
              <w:instrText xml:space="preserve"> NOTEREF _Ref190162024 \h </w:instrText>
            </w:r>
            <w:r w:rsidR="003E06D0">
              <w:rPr>
                <w:sz w:val="20"/>
                <w:szCs w:val="20"/>
              </w:rPr>
            </w:r>
            <w:r w:rsidR="003E06D0">
              <w:rPr>
                <w:sz w:val="20"/>
                <w:szCs w:val="20"/>
              </w:rPr>
              <w:fldChar w:fldCharType="separate"/>
            </w:r>
            <w:r w:rsidR="000C7657">
              <w:rPr>
                <w:sz w:val="20"/>
                <w:szCs w:val="20"/>
              </w:rPr>
              <w:t>***</w:t>
            </w:r>
            <w:r w:rsidR="003E06D0">
              <w:rPr>
                <w:sz w:val="20"/>
                <w:szCs w:val="20"/>
              </w:rPr>
              <w:fldChar w:fldCharType="end"/>
            </w:r>
          </w:p>
        </w:tc>
      </w:tr>
      <w:tr w:rsidR="002534E8" w14:paraId="21131325" w14:textId="77777777" w:rsidTr="00112A85">
        <w:tc>
          <w:tcPr>
            <w:tcW w:w="3171" w:type="dxa"/>
          </w:tcPr>
          <w:p w14:paraId="182F3BC4" w14:textId="304D1CE2" w:rsidR="002534E8" w:rsidRPr="00A37D3F" w:rsidRDefault="002534E8">
            <w:pPr>
              <w:rPr>
                <w:sz w:val="18"/>
                <w:szCs w:val="18"/>
              </w:rPr>
            </w:pPr>
            <w:r w:rsidRPr="00F76F77">
              <w:rPr>
                <w:sz w:val="18"/>
                <w:szCs w:val="18"/>
              </w:rPr>
              <w:t>Follow-Up Care for Children Prescribed ADHD Medication (</w:t>
            </w:r>
            <w:r w:rsidR="0078731A">
              <w:rPr>
                <w:sz w:val="18"/>
                <w:szCs w:val="18"/>
              </w:rPr>
              <w:t>I</w:t>
            </w:r>
            <w:r w:rsidRPr="00F76F77">
              <w:rPr>
                <w:sz w:val="18"/>
                <w:szCs w:val="18"/>
              </w:rPr>
              <w:t>nitiation) </w:t>
            </w:r>
          </w:p>
        </w:tc>
        <w:tc>
          <w:tcPr>
            <w:tcW w:w="1349" w:type="dxa"/>
          </w:tcPr>
          <w:p w14:paraId="671498FB" w14:textId="77777777" w:rsidR="002534E8" w:rsidRPr="00143A86" w:rsidRDefault="002534E8" w:rsidP="004919CD">
            <w:pPr>
              <w:jc w:val="center"/>
              <w:rPr>
                <w:sz w:val="20"/>
                <w:szCs w:val="20"/>
              </w:rPr>
            </w:pPr>
            <w:r w:rsidRPr="00143A86">
              <w:rPr>
                <w:rFonts w:cs="Calibri"/>
                <w:sz w:val="20"/>
                <w:szCs w:val="20"/>
              </w:rPr>
              <w:t>45.7%</w:t>
            </w:r>
          </w:p>
        </w:tc>
        <w:tc>
          <w:tcPr>
            <w:tcW w:w="1349" w:type="dxa"/>
          </w:tcPr>
          <w:p w14:paraId="1C3DB9AA" w14:textId="77777777" w:rsidR="002534E8" w:rsidRPr="00143A86" w:rsidRDefault="002534E8" w:rsidP="004919CD">
            <w:pPr>
              <w:jc w:val="center"/>
              <w:rPr>
                <w:sz w:val="20"/>
                <w:szCs w:val="20"/>
              </w:rPr>
            </w:pPr>
            <w:r w:rsidRPr="00143A86">
              <w:rPr>
                <w:rFonts w:cs="Calibri"/>
                <w:sz w:val="20"/>
                <w:szCs w:val="20"/>
              </w:rPr>
              <w:t>44.5%</w:t>
            </w:r>
          </w:p>
        </w:tc>
        <w:tc>
          <w:tcPr>
            <w:tcW w:w="1349" w:type="dxa"/>
          </w:tcPr>
          <w:p w14:paraId="0708787E" w14:textId="77777777" w:rsidR="002534E8" w:rsidRPr="00143A86" w:rsidRDefault="002534E8" w:rsidP="004919CD">
            <w:pPr>
              <w:jc w:val="center"/>
              <w:rPr>
                <w:sz w:val="20"/>
                <w:szCs w:val="20"/>
              </w:rPr>
            </w:pPr>
            <w:r w:rsidRPr="00143A86">
              <w:rPr>
                <w:rFonts w:cs="Calibri"/>
                <w:sz w:val="20"/>
                <w:szCs w:val="20"/>
              </w:rPr>
              <w:t>46.4%</w:t>
            </w:r>
          </w:p>
        </w:tc>
        <w:tc>
          <w:tcPr>
            <w:tcW w:w="1302" w:type="dxa"/>
          </w:tcPr>
          <w:p w14:paraId="6B03230E" w14:textId="77777777" w:rsidR="002534E8" w:rsidRPr="00143A86" w:rsidRDefault="002534E8" w:rsidP="004919CD">
            <w:pPr>
              <w:jc w:val="center"/>
              <w:rPr>
                <w:sz w:val="20"/>
                <w:szCs w:val="20"/>
              </w:rPr>
            </w:pPr>
            <w:r w:rsidRPr="00143A86">
              <w:rPr>
                <w:rFonts w:cs="Calibri"/>
                <w:sz w:val="20"/>
                <w:szCs w:val="20"/>
              </w:rPr>
              <w:t>48.1%</w:t>
            </w:r>
          </w:p>
        </w:tc>
        <w:tc>
          <w:tcPr>
            <w:tcW w:w="830" w:type="dxa"/>
          </w:tcPr>
          <w:p w14:paraId="7264D382" w14:textId="0279405B" w:rsidR="002534E8" w:rsidRPr="00143A86" w:rsidRDefault="00BF7F23" w:rsidP="00BF7F23">
            <w:pPr>
              <w:jc w:val="center"/>
              <w:rPr>
                <w:rFonts w:eastAsia="Times New Roman" w:cs="Calibri"/>
                <w:sz w:val="20"/>
                <w:szCs w:val="20"/>
              </w:rPr>
            </w:pPr>
            <w:r w:rsidRPr="00143A86">
              <w:rPr>
                <w:rFonts w:cs="Calibri"/>
                <w:sz w:val="20"/>
                <w:szCs w:val="20"/>
              </w:rPr>
              <w:t>46.7%</w:t>
            </w:r>
          </w:p>
        </w:tc>
      </w:tr>
      <w:tr w:rsidR="002534E8" w14:paraId="04FA9503" w14:textId="77777777" w:rsidTr="00112A85">
        <w:tc>
          <w:tcPr>
            <w:tcW w:w="3171" w:type="dxa"/>
          </w:tcPr>
          <w:p w14:paraId="73D24216" w14:textId="279EB0D4" w:rsidR="002534E8" w:rsidRPr="00A37D3F" w:rsidRDefault="002534E8">
            <w:pPr>
              <w:rPr>
                <w:sz w:val="18"/>
                <w:szCs w:val="18"/>
              </w:rPr>
            </w:pPr>
            <w:r w:rsidRPr="003100FA">
              <w:rPr>
                <w:sz w:val="18"/>
                <w:szCs w:val="18"/>
              </w:rPr>
              <w:t>Follow-Up Care for Children Prescribed ADHD Medication (</w:t>
            </w:r>
            <w:r w:rsidR="00BF7F23">
              <w:rPr>
                <w:sz w:val="18"/>
                <w:szCs w:val="18"/>
              </w:rPr>
              <w:t>C</w:t>
            </w:r>
            <w:r w:rsidR="00BF7F23" w:rsidRPr="003100FA">
              <w:rPr>
                <w:sz w:val="18"/>
                <w:szCs w:val="18"/>
              </w:rPr>
              <w:t>ontinuation</w:t>
            </w:r>
            <w:r w:rsidRPr="003100FA">
              <w:rPr>
                <w:sz w:val="18"/>
                <w:szCs w:val="18"/>
              </w:rPr>
              <w:t>) </w:t>
            </w:r>
          </w:p>
        </w:tc>
        <w:tc>
          <w:tcPr>
            <w:tcW w:w="1349" w:type="dxa"/>
          </w:tcPr>
          <w:p w14:paraId="643E496A" w14:textId="77777777" w:rsidR="002534E8" w:rsidRPr="00143A86" w:rsidRDefault="002534E8" w:rsidP="004919CD">
            <w:pPr>
              <w:jc w:val="center"/>
              <w:rPr>
                <w:sz w:val="20"/>
                <w:szCs w:val="20"/>
              </w:rPr>
            </w:pPr>
            <w:r w:rsidRPr="00143A86">
              <w:rPr>
                <w:rFonts w:cs="Calibri"/>
                <w:sz w:val="20"/>
                <w:szCs w:val="20"/>
              </w:rPr>
              <w:t>54.8%</w:t>
            </w:r>
          </w:p>
        </w:tc>
        <w:tc>
          <w:tcPr>
            <w:tcW w:w="1349" w:type="dxa"/>
          </w:tcPr>
          <w:p w14:paraId="4493586D" w14:textId="77777777" w:rsidR="002534E8" w:rsidRPr="00143A86" w:rsidRDefault="002534E8" w:rsidP="004919CD">
            <w:pPr>
              <w:jc w:val="center"/>
              <w:rPr>
                <w:sz w:val="20"/>
                <w:szCs w:val="20"/>
              </w:rPr>
            </w:pPr>
            <w:r w:rsidRPr="00143A86">
              <w:rPr>
                <w:rFonts w:cs="Calibri"/>
                <w:sz w:val="20"/>
                <w:szCs w:val="20"/>
              </w:rPr>
              <w:t>54.7%</w:t>
            </w:r>
          </w:p>
        </w:tc>
        <w:tc>
          <w:tcPr>
            <w:tcW w:w="1349" w:type="dxa"/>
          </w:tcPr>
          <w:p w14:paraId="63B41D2B" w14:textId="77777777" w:rsidR="002534E8" w:rsidRPr="00143A86" w:rsidRDefault="002534E8" w:rsidP="004919CD">
            <w:pPr>
              <w:jc w:val="center"/>
              <w:rPr>
                <w:sz w:val="20"/>
                <w:szCs w:val="20"/>
              </w:rPr>
            </w:pPr>
            <w:r w:rsidRPr="00143A86">
              <w:rPr>
                <w:rFonts w:cs="Calibri"/>
                <w:sz w:val="20"/>
                <w:szCs w:val="20"/>
              </w:rPr>
              <w:t>54.4%</w:t>
            </w:r>
          </w:p>
        </w:tc>
        <w:tc>
          <w:tcPr>
            <w:tcW w:w="1302" w:type="dxa"/>
          </w:tcPr>
          <w:p w14:paraId="0FCFF715" w14:textId="77777777" w:rsidR="002534E8" w:rsidRPr="00143A86" w:rsidRDefault="002534E8" w:rsidP="004919CD">
            <w:pPr>
              <w:jc w:val="center"/>
              <w:rPr>
                <w:sz w:val="20"/>
                <w:szCs w:val="20"/>
              </w:rPr>
            </w:pPr>
            <w:r w:rsidRPr="00143A86">
              <w:rPr>
                <w:rFonts w:cs="Calibri"/>
                <w:sz w:val="20"/>
                <w:szCs w:val="20"/>
              </w:rPr>
              <w:t>59.8%</w:t>
            </w:r>
          </w:p>
        </w:tc>
        <w:tc>
          <w:tcPr>
            <w:tcW w:w="830" w:type="dxa"/>
          </w:tcPr>
          <w:p w14:paraId="384688CB" w14:textId="0E1C607E" w:rsidR="002534E8" w:rsidRPr="00143A86" w:rsidRDefault="00BF7F23" w:rsidP="00BF7F23">
            <w:pPr>
              <w:jc w:val="center"/>
              <w:rPr>
                <w:b/>
                <w:sz w:val="20"/>
                <w:szCs w:val="20"/>
              </w:rPr>
            </w:pPr>
            <w:r w:rsidRPr="00143A86">
              <w:rPr>
                <w:rFonts w:cs="Calibri"/>
                <w:sz w:val="20"/>
                <w:szCs w:val="20"/>
              </w:rPr>
              <w:t>55.8%</w:t>
            </w:r>
          </w:p>
        </w:tc>
      </w:tr>
      <w:tr w:rsidR="002534E8" w14:paraId="42FC25EF" w14:textId="77777777" w:rsidTr="00112A85">
        <w:tc>
          <w:tcPr>
            <w:tcW w:w="3171" w:type="dxa"/>
          </w:tcPr>
          <w:p w14:paraId="1C334F96" w14:textId="77777777" w:rsidR="002534E8" w:rsidRPr="00A37D3F" w:rsidRDefault="002534E8">
            <w:pPr>
              <w:rPr>
                <w:sz w:val="18"/>
                <w:szCs w:val="18"/>
              </w:rPr>
            </w:pPr>
            <w:r w:rsidRPr="003100FA">
              <w:rPr>
                <w:sz w:val="18"/>
                <w:szCs w:val="18"/>
              </w:rPr>
              <w:t xml:space="preserve">Diabetes Screening for People with Schizophrenia or </w:t>
            </w:r>
            <w:proofErr w:type="gramStart"/>
            <w:r w:rsidRPr="003100FA">
              <w:rPr>
                <w:sz w:val="18"/>
                <w:szCs w:val="18"/>
              </w:rPr>
              <w:t>Bipolar Disorder</w:t>
            </w:r>
            <w:proofErr w:type="gramEnd"/>
            <w:r w:rsidRPr="003100FA">
              <w:rPr>
                <w:sz w:val="18"/>
                <w:szCs w:val="18"/>
              </w:rPr>
              <w:t xml:space="preserve"> who are using Antipsychotic Medications </w:t>
            </w:r>
          </w:p>
        </w:tc>
        <w:tc>
          <w:tcPr>
            <w:tcW w:w="1349" w:type="dxa"/>
          </w:tcPr>
          <w:p w14:paraId="7780E982" w14:textId="77777777" w:rsidR="002534E8" w:rsidRPr="00143A86" w:rsidRDefault="002534E8" w:rsidP="004919CD">
            <w:pPr>
              <w:jc w:val="center"/>
              <w:rPr>
                <w:sz w:val="20"/>
                <w:szCs w:val="20"/>
              </w:rPr>
            </w:pPr>
            <w:r w:rsidRPr="00143A86">
              <w:rPr>
                <w:rFonts w:cs="Calibri"/>
                <w:sz w:val="20"/>
                <w:szCs w:val="20"/>
              </w:rPr>
              <w:t>73.2%</w:t>
            </w:r>
          </w:p>
        </w:tc>
        <w:tc>
          <w:tcPr>
            <w:tcW w:w="1349" w:type="dxa"/>
          </w:tcPr>
          <w:p w14:paraId="278B0D06" w14:textId="77777777" w:rsidR="002534E8" w:rsidRPr="00143A86" w:rsidRDefault="002534E8" w:rsidP="004919CD">
            <w:pPr>
              <w:jc w:val="center"/>
              <w:rPr>
                <w:sz w:val="20"/>
                <w:szCs w:val="20"/>
              </w:rPr>
            </w:pPr>
            <w:r w:rsidRPr="00143A86">
              <w:rPr>
                <w:rFonts w:cs="Calibri"/>
                <w:sz w:val="20"/>
                <w:szCs w:val="20"/>
              </w:rPr>
              <w:t>77.7%</w:t>
            </w:r>
          </w:p>
        </w:tc>
        <w:tc>
          <w:tcPr>
            <w:tcW w:w="1349" w:type="dxa"/>
          </w:tcPr>
          <w:p w14:paraId="1C7F6F21" w14:textId="77777777" w:rsidR="002534E8" w:rsidRPr="00143A86" w:rsidRDefault="002534E8" w:rsidP="004919CD">
            <w:pPr>
              <w:jc w:val="center"/>
              <w:rPr>
                <w:sz w:val="20"/>
                <w:szCs w:val="20"/>
              </w:rPr>
            </w:pPr>
            <w:r w:rsidRPr="00143A86">
              <w:rPr>
                <w:rFonts w:cs="Calibri"/>
                <w:sz w:val="20"/>
                <w:szCs w:val="20"/>
              </w:rPr>
              <w:t>76.6%</w:t>
            </w:r>
          </w:p>
        </w:tc>
        <w:tc>
          <w:tcPr>
            <w:tcW w:w="1302" w:type="dxa"/>
          </w:tcPr>
          <w:p w14:paraId="5FD7178F" w14:textId="77777777" w:rsidR="002534E8" w:rsidRPr="00143A86" w:rsidRDefault="002534E8" w:rsidP="004919CD">
            <w:pPr>
              <w:jc w:val="center"/>
              <w:rPr>
                <w:sz w:val="20"/>
                <w:szCs w:val="20"/>
              </w:rPr>
            </w:pPr>
            <w:r w:rsidRPr="00143A86">
              <w:rPr>
                <w:rFonts w:cs="Calibri"/>
                <w:sz w:val="20"/>
                <w:szCs w:val="20"/>
              </w:rPr>
              <w:t>82.3%</w:t>
            </w:r>
          </w:p>
        </w:tc>
        <w:tc>
          <w:tcPr>
            <w:tcW w:w="830" w:type="dxa"/>
            <w:shd w:val="clear" w:color="auto" w:fill="A8D08D" w:themeFill="accent6" w:themeFillTint="99"/>
          </w:tcPr>
          <w:p w14:paraId="59AFA93B" w14:textId="7299D210" w:rsidR="002534E8" w:rsidRPr="00143A86" w:rsidRDefault="000C169A">
            <w:pPr>
              <w:rPr>
                <w:sz w:val="20"/>
                <w:szCs w:val="20"/>
              </w:rPr>
            </w:pPr>
            <w:r w:rsidRPr="00143A86">
              <w:rPr>
                <w:sz w:val="20"/>
                <w:szCs w:val="20"/>
              </w:rPr>
              <w:t>74.2%</w:t>
            </w:r>
          </w:p>
        </w:tc>
      </w:tr>
      <w:tr w:rsidR="002534E8" w14:paraId="5D8D7231" w14:textId="77777777" w:rsidTr="00112A85">
        <w:tc>
          <w:tcPr>
            <w:tcW w:w="3171" w:type="dxa"/>
          </w:tcPr>
          <w:p w14:paraId="5E481212" w14:textId="7226724C" w:rsidR="002534E8" w:rsidRPr="003100FA" w:rsidRDefault="002534E8">
            <w:pPr>
              <w:rPr>
                <w:sz w:val="18"/>
                <w:szCs w:val="18"/>
              </w:rPr>
            </w:pPr>
            <w:r w:rsidRPr="56A96AB1">
              <w:rPr>
                <w:sz w:val="18"/>
                <w:szCs w:val="18"/>
              </w:rPr>
              <w:t xml:space="preserve">Antidepressant Medication Management </w:t>
            </w:r>
            <w:r>
              <w:rPr>
                <w:sz w:val="18"/>
                <w:szCs w:val="18"/>
              </w:rPr>
              <w:t>(</w:t>
            </w:r>
            <w:r w:rsidR="008A6A7C">
              <w:rPr>
                <w:sz w:val="18"/>
                <w:szCs w:val="18"/>
              </w:rPr>
              <w:t>Acute, A</w:t>
            </w:r>
            <w:r w:rsidR="00BF7F23">
              <w:rPr>
                <w:sz w:val="18"/>
                <w:szCs w:val="18"/>
              </w:rPr>
              <w:t>ges</w:t>
            </w:r>
            <w:r>
              <w:rPr>
                <w:sz w:val="18"/>
                <w:szCs w:val="18"/>
              </w:rPr>
              <w:t xml:space="preserve"> 18-64)</w:t>
            </w:r>
          </w:p>
        </w:tc>
        <w:tc>
          <w:tcPr>
            <w:tcW w:w="1349" w:type="dxa"/>
            <w:vAlign w:val="bottom"/>
          </w:tcPr>
          <w:p w14:paraId="0DEA2AFD" w14:textId="77777777" w:rsidR="002534E8" w:rsidRPr="00143A86" w:rsidRDefault="002534E8" w:rsidP="004919CD">
            <w:pPr>
              <w:jc w:val="center"/>
              <w:rPr>
                <w:b/>
                <w:sz w:val="20"/>
                <w:szCs w:val="20"/>
              </w:rPr>
            </w:pPr>
            <w:r w:rsidRPr="00143A86">
              <w:rPr>
                <w:rFonts w:cs="Calibri"/>
                <w:sz w:val="20"/>
                <w:szCs w:val="20"/>
              </w:rPr>
              <w:t>54.8%</w:t>
            </w:r>
          </w:p>
        </w:tc>
        <w:tc>
          <w:tcPr>
            <w:tcW w:w="1349" w:type="dxa"/>
            <w:vAlign w:val="bottom"/>
          </w:tcPr>
          <w:p w14:paraId="6B7FD558" w14:textId="77777777" w:rsidR="002534E8" w:rsidRPr="00143A86" w:rsidRDefault="002534E8" w:rsidP="004919CD">
            <w:pPr>
              <w:jc w:val="center"/>
              <w:rPr>
                <w:b/>
                <w:sz w:val="20"/>
                <w:szCs w:val="20"/>
              </w:rPr>
            </w:pPr>
            <w:r w:rsidRPr="00143A86">
              <w:rPr>
                <w:rFonts w:cs="Calibri"/>
                <w:sz w:val="20"/>
                <w:szCs w:val="20"/>
              </w:rPr>
              <w:t>62.0%</w:t>
            </w:r>
          </w:p>
        </w:tc>
        <w:tc>
          <w:tcPr>
            <w:tcW w:w="1349" w:type="dxa"/>
            <w:vAlign w:val="bottom"/>
          </w:tcPr>
          <w:p w14:paraId="22287BF8" w14:textId="77777777" w:rsidR="002534E8" w:rsidRPr="00143A86" w:rsidRDefault="002534E8" w:rsidP="004919CD">
            <w:pPr>
              <w:jc w:val="center"/>
              <w:rPr>
                <w:b/>
                <w:sz w:val="20"/>
                <w:szCs w:val="20"/>
              </w:rPr>
            </w:pPr>
            <w:r w:rsidRPr="00143A86">
              <w:rPr>
                <w:rFonts w:cs="Calibri"/>
                <w:sz w:val="20"/>
                <w:szCs w:val="20"/>
              </w:rPr>
              <w:t>64.7%</w:t>
            </w:r>
          </w:p>
        </w:tc>
        <w:tc>
          <w:tcPr>
            <w:tcW w:w="1302" w:type="dxa"/>
          </w:tcPr>
          <w:p w14:paraId="5ED8F55D" w14:textId="1F5286B9" w:rsidR="002534E8" w:rsidRPr="00143A86" w:rsidRDefault="002534E8" w:rsidP="004919CD">
            <w:pPr>
              <w:jc w:val="center"/>
              <w:rPr>
                <w:rFonts w:cs="Calibri"/>
                <w:sz w:val="20"/>
                <w:szCs w:val="20"/>
              </w:rPr>
            </w:pPr>
            <w:r w:rsidRPr="00143A86">
              <w:rPr>
                <w:rFonts w:cs="Calibri"/>
                <w:sz w:val="20"/>
                <w:szCs w:val="20"/>
              </w:rPr>
              <w:t>66.1%</w:t>
            </w:r>
          </w:p>
        </w:tc>
        <w:tc>
          <w:tcPr>
            <w:tcW w:w="830" w:type="dxa"/>
            <w:shd w:val="clear" w:color="auto" w:fill="A8D08D" w:themeFill="accent6" w:themeFillTint="99"/>
          </w:tcPr>
          <w:p w14:paraId="4449C814" w14:textId="2B06DBF5" w:rsidR="002534E8" w:rsidRPr="00143A86" w:rsidRDefault="00F2286D">
            <w:pPr>
              <w:rPr>
                <w:rFonts w:eastAsia="Times New Roman" w:cs="Calibri"/>
                <w:sz w:val="20"/>
                <w:szCs w:val="20"/>
              </w:rPr>
            </w:pPr>
            <w:r w:rsidRPr="00143A86">
              <w:rPr>
                <w:rFonts w:cs="Calibri"/>
                <w:sz w:val="20"/>
                <w:szCs w:val="20"/>
              </w:rPr>
              <w:t>55.9%</w:t>
            </w:r>
          </w:p>
        </w:tc>
      </w:tr>
      <w:tr w:rsidR="002534E8" w14:paraId="38B3B963" w14:textId="77777777" w:rsidTr="00112A85">
        <w:tc>
          <w:tcPr>
            <w:tcW w:w="3171" w:type="dxa"/>
          </w:tcPr>
          <w:p w14:paraId="1662B438" w14:textId="3216383D" w:rsidR="002534E8" w:rsidRPr="003100FA" w:rsidRDefault="002534E8">
            <w:pPr>
              <w:rPr>
                <w:sz w:val="18"/>
                <w:szCs w:val="18"/>
              </w:rPr>
            </w:pPr>
            <w:r w:rsidRPr="56A96AB1">
              <w:rPr>
                <w:sz w:val="18"/>
                <w:szCs w:val="18"/>
              </w:rPr>
              <w:t xml:space="preserve">Antidepressant Medication Management </w:t>
            </w:r>
            <w:r>
              <w:rPr>
                <w:sz w:val="18"/>
                <w:szCs w:val="18"/>
              </w:rPr>
              <w:t>(</w:t>
            </w:r>
            <w:r w:rsidR="008A6A7C">
              <w:rPr>
                <w:sz w:val="18"/>
                <w:szCs w:val="18"/>
              </w:rPr>
              <w:t>Acute, A</w:t>
            </w:r>
            <w:r w:rsidR="00BF7F23">
              <w:rPr>
                <w:sz w:val="18"/>
                <w:szCs w:val="18"/>
              </w:rPr>
              <w:t>ges</w:t>
            </w:r>
            <w:r>
              <w:rPr>
                <w:sz w:val="18"/>
                <w:szCs w:val="18"/>
              </w:rPr>
              <w:t xml:space="preserve"> 65+) </w:t>
            </w:r>
          </w:p>
        </w:tc>
        <w:tc>
          <w:tcPr>
            <w:tcW w:w="1349" w:type="dxa"/>
            <w:vAlign w:val="bottom"/>
          </w:tcPr>
          <w:p w14:paraId="63A889D4" w14:textId="77777777" w:rsidR="002534E8" w:rsidRPr="00143A86" w:rsidRDefault="002534E8" w:rsidP="004919CD">
            <w:pPr>
              <w:jc w:val="center"/>
              <w:rPr>
                <w:b/>
                <w:sz w:val="20"/>
                <w:szCs w:val="20"/>
              </w:rPr>
            </w:pPr>
            <w:r w:rsidRPr="00143A86">
              <w:rPr>
                <w:rFonts w:cs="Calibri"/>
                <w:sz w:val="20"/>
                <w:szCs w:val="20"/>
              </w:rPr>
              <w:t>78.9%</w:t>
            </w:r>
          </w:p>
        </w:tc>
        <w:tc>
          <w:tcPr>
            <w:tcW w:w="1349" w:type="dxa"/>
            <w:vAlign w:val="bottom"/>
          </w:tcPr>
          <w:p w14:paraId="53BC80C7" w14:textId="77777777" w:rsidR="002534E8" w:rsidRPr="00143A86" w:rsidRDefault="002534E8" w:rsidP="004919CD">
            <w:pPr>
              <w:jc w:val="center"/>
              <w:rPr>
                <w:b/>
                <w:sz w:val="20"/>
                <w:szCs w:val="20"/>
              </w:rPr>
            </w:pPr>
            <w:r w:rsidRPr="00143A86">
              <w:rPr>
                <w:rFonts w:cs="Calibri"/>
                <w:sz w:val="20"/>
                <w:szCs w:val="20"/>
              </w:rPr>
              <w:t>79.7%</w:t>
            </w:r>
          </w:p>
        </w:tc>
        <w:tc>
          <w:tcPr>
            <w:tcW w:w="1349" w:type="dxa"/>
            <w:vAlign w:val="bottom"/>
          </w:tcPr>
          <w:p w14:paraId="01A52851" w14:textId="77777777" w:rsidR="002534E8" w:rsidRPr="00143A86" w:rsidRDefault="002534E8" w:rsidP="004919CD">
            <w:pPr>
              <w:jc w:val="center"/>
              <w:rPr>
                <w:b/>
                <w:sz w:val="20"/>
                <w:szCs w:val="20"/>
              </w:rPr>
            </w:pPr>
            <w:r w:rsidRPr="00143A86">
              <w:rPr>
                <w:rFonts w:cs="Calibri"/>
                <w:sz w:val="20"/>
                <w:szCs w:val="20"/>
              </w:rPr>
              <w:t>85.4%</w:t>
            </w:r>
          </w:p>
        </w:tc>
        <w:tc>
          <w:tcPr>
            <w:tcW w:w="1302" w:type="dxa"/>
            <w:shd w:val="clear" w:color="auto" w:fill="A8D08D" w:themeFill="accent6" w:themeFillTint="99"/>
          </w:tcPr>
          <w:p w14:paraId="38084C9F" w14:textId="77777777" w:rsidR="002534E8" w:rsidRPr="00143A86" w:rsidRDefault="002534E8" w:rsidP="004919CD">
            <w:pPr>
              <w:jc w:val="center"/>
              <w:rPr>
                <w:b/>
                <w:sz w:val="20"/>
                <w:szCs w:val="20"/>
              </w:rPr>
            </w:pPr>
            <w:r w:rsidRPr="00143A86">
              <w:rPr>
                <w:sz w:val="20"/>
                <w:szCs w:val="20"/>
              </w:rPr>
              <w:t>85.1%</w:t>
            </w:r>
          </w:p>
        </w:tc>
        <w:tc>
          <w:tcPr>
            <w:tcW w:w="830" w:type="dxa"/>
          </w:tcPr>
          <w:p w14:paraId="31703526" w14:textId="4FEA4D6E" w:rsidR="002534E8" w:rsidRPr="00143A86" w:rsidRDefault="00587E0F" w:rsidP="00587E0F">
            <w:pPr>
              <w:jc w:val="center"/>
              <w:rPr>
                <w:sz w:val="20"/>
                <w:szCs w:val="20"/>
              </w:rPr>
            </w:pPr>
            <w:r w:rsidRPr="00143A86">
              <w:rPr>
                <w:sz w:val="20"/>
                <w:szCs w:val="20"/>
              </w:rPr>
              <w:t>N/A</w:t>
            </w:r>
            <w:r w:rsidR="003E06D0">
              <w:rPr>
                <w:sz w:val="20"/>
                <w:szCs w:val="20"/>
              </w:rPr>
              <w:fldChar w:fldCharType="begin"/>
            </w:r>
            <w:r w:rsidR="003E06D0">
              <w:rPr>
                <w:sz w:val="20"/>
                <w:szCs w:val="20"/>
              </w:rPr>
              <w:instrText xml:space="preserve"> NOTEREF _Ref190162024 \h </w:instrText>
            </w:r>
            <w:r w:rsidR="003E06D0">
              <w:rPr>
                <w:sz w:val="20"/>
                <w:szCs w:val="20"/>
              </w:rPr>
            </w:r>
            <w:r w:rsidR="003E06D0">
              <w:rPr>
                <w:sz w:val="20"/>
                <w:szCs w:val="20"/>
              </w:rPr>
              <w:fldChar w:fldCharType="separate"/>
            </w:r>
            <w:r w:rsidR="000C7657">
              <w:rPr>
                <w:sz w:val="20"/>
                <w:szCs w:val="20"/>
              </w:rPr>
              <w:t>***</w:t>
            </w:r>
            <w:r w:rsidR="003E06D0">
              <w:rPr>
                <w:sz w:val="20"/>
                <w:szCs w:val="20"/>
              </w:rPr>
              <w:fldChar w:fldCharType="end"/>
            </w:r>
          </w:p>
        </w:tc>
      </w:tr>
    </w:tbl>
    <w:p w14:paraId="01172B44" w14:textId="52E54A84" w:rsidR="005A2BEC" w:rsidRDefault="005A2BEC">
      <w:r w:rsidRPr="00E7026A">
        <w:rPr>
          <w:b/>
          <w:bCs/>
        </w:rPr>
        <w:t>Objective 3:</w:t>
      </w:r>
      <w:r>
        <w:t xml:space="preserve"> </w:t>
      </w:r>
      <w:r w:rsidRPr="005973E5">
        <w:t>Streamline and centralize behavioral health care to increase timely access and coordination of appropriate care options and reduce mental health and SUD emergencies</w:t>
      </w:r>
    </w:p>
    <w:tbl>
      <w:tblPr>
        <w:tblStyle w:val="TableGrid11"/>
        <w:tblW w:w="0" w:type="auto"/>
        <w:tblLook w:val="04A0" w:firstRow="1" w:lastRow="0" w:firstColumn="1" w:lastColumn="0" w:noHBand="0" w:noVBand="1"/>
      </w:tblPr>
      <w:tblGrid>
        <w:gridCol w:w="2901"/>
        <w:gridCol w:w="1402"/>
        <w:gridCol w:w="1402"/>
        <w:gridCol w:w="1402"/>
        <w:gridCol w:w="1366"/>
        <w:gridCol w:w="877"/>
      </w:tblGrid>
      <w:tr w:rsidR="00922F07" w14:paraId="52B83F50" w14:textId="77777777">
        <w:tc>
          <w:tcPr>
            <w:tcW w:w="2901" w:type="dxa"/>
          </w:tcPr>
          <w:p w14:paraId="171410BE" w14:textId="77777777" w:rsidR="00922F07" w:rsidRDefault="00922F07" w:rsidP="00BC2F64">
            <w:pPr>
              <w:jc w:val="center"/>
              <w:rPr>
                <w:b/>
                <w:bCs/>
                <w:sz w:val="24"/>
                <w:szCs w:val="24"/>
              </w:rPr>
            </w:pPr>
            <w:r>
              <w:t>Measure</w:t>
            </w:r>
          </w:p>
        </w:tc>
        <w:tc>
          <w:tcPr>
            <w:tcW w:w="1402" w:type="dxa"/>
          </w:tcPr>
          <w:p w14:paraId="77D313F3" w14:textId="77777777" w:rsidR="00922F07" w:rsidRDefault="00922F07" w:rsidP="00BC2F64">
            <w:pPr>
              <w:jc w:val="center"/>
              <w:rPr>
                <w:b/>
                <w:bCs/>
                <w:sz w:val="24"/>
                <w:szCs w:val="24"/>
              </w:rPr>
            </w:pPr>
            <w:r>
              <w:t>MassHealth MY2020 Rate (Baseline)</w:t>
            </w:r>
          </w:p>
        </w:tc>
        <w:tc>
          <w:tcPr>
            <w:tcW w:w="1402" w:type="dxa"/>
          </w:tcPr>
          <w:p w14:paraId="77B143B1" w14:textId="77777777" w:rsidR="00922F07" w:rsidRDefault="00922F07" w:rsidP="00BC2F64">
            <w:pPr>
              <w:jc w:val="center"/>
              <w:rPr>
                <w:b/>
                <w:bCs/>
                <w:sz w:val="24"/>
                <w:szCs w:val="24"/>
              </w:rPr>
            </w:pPr>
            <w:r>
              <w:t>MassHealth MY2021 Rate</w:t>
            </w:r>
          </w:p>
        </w:tc>
        <w:tc>
          <w:tcPr>
            <w:tcW w:w="1402" w:type="dxa"/>
          </w:tcPr>
          <w:p w14:paraId="667EC539" w14:textId="77777777" w:rsidR="00922F07" w:rsidRDefault="00922F07" w:rsidP="00BC2F64">
            <w:pPr>
              <w:jc w:val="center"/>
              <w:rPr>
                <w:b/>
                <w:bCs/>
                <w:sz w:val="24"/>
                <w:szCs w:val="24"/>
              </w:rPr>
            </w:pPr>
            <w:r>
              <w:t>MassHealth MY2022 Rate</w:t>
            </w:r>
          </w:p>
        </w:tc>
        <w:tc>
          <w:tcPr>
            <w:tcW w:w="1366" w:type="dxa"/>
          </w:tcPr>
          <w:p w14:paraId="28611983" w14:textId="77777777" w:rsidR="00922F07" w:rsidRDefault="00922F07" w:rsidP="00BC2F64">
            <w:pPr>
              <w:jc w:val="center"/>
              <w:rPr>
                <w:b/>
                <w:bCs/>
                <w:sz w:val="24"/>
                <w:szCs w:val="24"/>
              </w:rPr>
            </w:pPr>
            <w:r>
              <w:t>National Benchmark MY2022 75th</w:t>
            </w:r>
          </w:p>
        </w:tc>
        <w:tc>
          <w:tcPr>
            <w:tcW w:w="877" w:type="dxa"/>
          </w:tcPr>
          <w:p w14:paraId="301C8F75" w14:textId="77777777" w:rsidR="00922F07" w:rsidRDefault="00922F07" w:rsidP="00BC2F64">
            <w:pPr>
              <w:jc w:val="center"/>
              <w:rPr>
                <w:b/>
                <w:bCs/>
                <w:sz w:val="24"/>
                <w:szCs w:val="24"/>
              </w:rPr>
            </w:pPr>
            <w:r>
              <w:t>Gap to Goal</w:t>
            </w:r>
          </w:p>
        </w:tc>
      </w:tr>
      <w:tr w:rsidR="00922F07" w14:paraId="4FA5656C" w14:textId="77777777">
        <w:tc>
          <w:tcPr>
            <w:tcW w:w="2901" w:type="dxa"/>
          </w:tcPr>
          <w:p w14:paraId="0161C8AB" w14:textId="77777777" w:rsidR="00922F07" w:rsidRDefault="00922F07">
            <w:pPr>
              <w:rPr>
                <w:sz w:val="18"/>
                <w:szCs w:val="18"/>
              </w:rPr>
            </w:pPr>
            <w:r w:rsidRPr="008A7DA7">
              <w:rPr>
                <w:sz w:val="18"/>
                <w:szCs w:val="18"/>
              </w:rPr>
              <w:t>Initiation and Engagement of Alcohol, Opioid, or Other Drug Abuse or Dependence Treatment (Initiation) </w:t>
            </w:r>
          </w:p>
        </w:tc>
        <w:tc>
          <w:tcPr>
            <w:tcW w:w="1402" w:type="dxa"/>
          </w:tcPr>
          <w:p w14:paraId="1F5BEB1D" w14:textId="77777777" w:rsidR="00922F07" w:rsidRPr="00683EA4" w:rsidRDefault="00922F07" w:rsidP="004919CD">
            <w:pPr>
              <w:jc w:val="center"/>
              <w:rPr>
                <w:sz w:val="20"/>
                <w:szCs w:val="20"/>
              </w:rPr>
            </w:pPr>
            <w:r w:rsidRPr="00683EA4">
              <w:rPr>
                <w:rFonts w:cs="Calibri"/>
                <w:sz w:val="20"/>
                <w:szCs w:val="20"/>
              </w:rPr>
              <w:t>48.1%</w:t>
            </w:r>
          </w:p>
        </w:tc>
        <w:tc>
          <w:tcPr>
            <w:tcW w:w="1402" w:type="dxa"/>
          </w:tcPr>
          <w:p w14:paraId="24578AB5" w14:textId="77777777" w:rsidR="00922F07" w:rsidRPr="00683EA4" w:rsidRDefault="00922F07" w:rsidP="004919CD">
            <w:pPr>
              <w:jc w:val="center"/>
              <w:rPr>
                <w:sz w:val="20"/>
                <w:szCs w:val="20"/>
              </w:rPr>
            </w:pPr>
            <w:r w:rsidRPr="00683EA4">
              <w:rPr>
                <w:rFonts w:cs="Calibri"/>
                <w:sz w:val="20"/>
                <w:szCs w:val="20"/>
              </w:rPr>
              <w:t>46.7%</w:t>
            </w:r>
          </w:p>
        </w:tc>
        <w:tc>
          <w:tcPr>
            <w:tcW w:w="1402" w:type="dxa"/>
          </w:tcPr>
          <w:p w14:paraId="4D71188F" w14:textId="77777777" w:rsidR="00922F07" w:rsidRPr="00683EA4" w:rsidRDefault="00922F07" w:rsidP="004919CD">
            <w:pPr>
              <w:jc w:val="center"/>
              <w:rPr>
                <w:sz w:val="20"/>
                <w:szCs w:val="20"/>
              </w:rPr>
            </w:pPr>
            <w:r w:rsidRPr="00683EA4">
              <w:rPr>
                <w:rFonts w:cs="Calibri"/>
                <w:sz w:val="20"/>
                <w:szCs w:val="20"/>
              </w:rPr>
              <w:t>48.3%</w:t>
            </w:r>
          </w:p>
        </w:tc>
        <w:tc>
          <w:tcPr>
            <w:tcW w:w="1366" w:type="dxa"/>
          </w:tcPr>
          <w:p w14:paraId="06C7FD22" w14:textId="77777777" w:rsidR="00922F07" w:rsidRPr="00683EA4" w:rsidRDefault="00922F07" w:rsidP="004919CD">
            <w:pPr>
              <w:jc w:val="center"/>
              <w:rPr>
                <w:sz w:val="20"/>
                <w:szCs w:val="20"/>
              </w:rPr>
            </w:pPr>
            <w:r w:rsidRPr="00683EA4">
              <w:rPr>
                <w:rFonts w:cs="Calibri"/>
                <w:sz w:val="20"/>
                <w:szCs w:val="20"/>
              </w:rPr>
              <w:t>49.0%</w:t>
            </w:r>
          </w:p>
        </w:tc>
        <w:tc>
          <w:tcPr>
            <w:tcW w:w="877" w:type="dxa"/>
          </w:tcPr>
          <w:p w14:paraId="4146AE9C" w14:textId="31647B98" w:rsidR="00922F07" w:rsidRPr="00683EA4" w:rsidRDefault="001C2DE7" w:rsidP="001C2DE7">
            <w:pPr>
              <w:jc w:val="center"/>
              <w:rPr>
                <w:sz w:val="20"/>
                <w:szCs w:val="20"/>
              </w:rPr>
            </w:pPr>
            <w:r w:rsidRPr="00683EA4">
              <w:rPr>
                <w:sz w:val="20"/>
                <w:szCs w:val="20"/>
              </w:rPr>
              <w:t>49.0%</w:t>
            </w:r>
          </w:p>
        </w:tc>
      </w:tr>
      <w:tr w:rsidR="00922F07" w14:paraId="47B09C59" w14:textId="77777777">
        <w:tc>
          <w:tcPr>
            <w:tcW w:w="2901" w:type="dxa"/>
          </w:tcPr>
          <w:p w14:paraId="1730B668" w14:textId="77777777" w:rsidR="00922F07" w:rsidRPr="008A7DA7" w:rsidRDefault="00922F07">
            <w:pPr>
              <w:rPr>
                <w:sz w:val="18"/>
                <w:szCs w:val="18"/>
              </w:rPr>
            </w:pPr>
            <w:r w:rsidRPr="00A37D3F">
              <w:rPr>
                <w:sz w:val="18"/>
                <w:szCs w:val="18"/>
              </w:rPr>
              <w:t>Initiation and Engagement of Alcohol, Opioid, or Other Drug Abuse or Dependence Treatment (Engagement) </w:t>
            </w:r>
          </w:p>
        </w:tc>
        <w:tc>
          <w:tcPr>
            <w:tcW w:w="1402" w:type="dxa"/>
          </w:tcPr>
          <w:p w14:paraId="42D262E9" w14:textId="77777777" w:rsidR="00922F07" w:rsidRPr="00683EA4" w:rsidRDefault="00922F07" w:rsidP="004919CD">
            <w:pPr>
              <w:jc w:val="center"/>
              <w:rPr>
                <w:sz w:val="20"/>
                <w:szCs w:val="20"/>
              </w:rPr>
            </w:pPr>
            <w:r w:rsidRPr="00683EA4">
              <w:rPr>
                <w:rFonts w:cs="Calibri"/>
                <w:sz w:val="20"/>
                <w:szCs w:val="20"/>
              </w:rPr>
              <w:t>17.5%</w:t>
            </w:r>
          </w:p>
        </w:tc>
        <w:tc>
          <w:tcPr>
            <w:tcW w:w="1402" w:type="dxa"/>
          </w:tcPr>
          <w:p w14:paraId="1C296827" w14:textId="77777777" w:rsidR="00922F07" w:rsidRPr="00683EA4" w:rsidRDefault="00922F07" w:rsidP="004919CD">
            <w:pPr>
              <w:jc w:val="center"/>
              <w:rPr>
                <w:sz w:val="20"/>
                <w:szCs w:val="20"/>
              </w:rPr>
            </w:pPr>
            <w:r w:rsidRPr="00683EA4">
              <w:rPr>
                <w:rFonts w:cs="Calibri"/>
                <w:sz w:val="20"/>
                <w:szCs w:val="20"/>
              </w:rPr>
              <w:t>16.7%</w:t>
            </w:r>
          </w:p>
        </w:tc>
        <w:tc>
          <w:tcPr>
            <w:tcW w:w="1402" w:type="dxa"/>
          </w:tcPr>
          <w:p w14:paraId="7B8D5C08" w14:textId="77777777" w:rsidR="00922F07" w:rsidRPr="00683EA4" w:rsidRDefault="00922F07" w:rsidP="004919CD">
            <w:pPr>
              <w:jc w:val="center"/>
              <w:rPr>
                <w:sz w:val="20"/>
                <w:szCs w:val="20"/>
              </w:rPr>
            </w:pPr>
            <w:r w:rsidRPr="00683EA4">
              <w:rPr>
                <w:rFonts w:cs="Calibri"/>
                <w:sz w:val="20"/>
                <w:szCs w:val="20"/>
              </w:rPr>
              <w:t>18.3%</w:t>
            </w:r>
          </w:p>
        </w:tc>
        <w:tc>
          <w:tcPr>
            <w:tcW w:w="1366" w:type="dxa"/>
          </w:tcPr>
          <w:p w14:paraId="7910A420" w14:textId="77777777" w:rsidR="00922F07" w:rsidRPr="00683EA4" w:rsidRDefault="00922F07" w:rsidP="004919CD">
            <w:pPr>
              <w:jc w:val="center"/>
              <w:rPr>
                <w:sz w:val="20"/>
                <w:szCs w:val="20"/>
              </w:rPr>
            </w:pPr>
            <w:r w:rsidRPr="00683EA4">
              <w:rPr>
                <w:rFonts w:cs="Calibri"/>
                <w:sz w:val="20"/>
                <w:szCs w:val="20"/>
              </w:rPr>
              <w:t>18.8%</w:t>
            </w:r>
          </w:p>
        </w:tc>
        <w:tc>
          <w:tcPr>
            <w:tcW w:w="877" w:type="dxa"/>
          </w:tcPr>
          <w:p w14:paraId="0E755E55" w14:textId="24DB4431" w:rsidR="00922F07" w:rsidRPr="00683EA4" w:rsidRDefault="00F81B3A" w:rsidP="00F81B3A">
            <w:pPr>
              <w:jc w:val="center"/>
              <w:rPr>
                <w:rFonts w:cs="Calibri"/>
                <w:sz w:val="20"/>
                <w:szCs w:val="20"/>
              </w:rPr>
            </w:pPr>
            <w:r w:rsidRPr="00683EA4">
              <w:rPr>
                <w:rFonts w:cs="Calibri"/>
                <w:sz w:val="20"/>
                <w:szCs w:val="20"/>
              </w:rPr>
              <w:t>18.5%</w:t>
            </w:r>
          </w:p>
        </w:tc>
      </w:tr>
      <w:tr w:rsidR="00B76EDE" w14:paraId="6B0F5728" w14:textId="77777777" w:rsidTr="005905D9">
        <w:tc>
          <w:tcPr>
            <w:tcW w:w="2901" w:type="dxa"/>
          </w:tcPr>
          <w:p w14:paraId="66A4E100" w14:textId="496BD80A" w:rsidR="00B76EDE" w:rsidRPr="3E464C40" w:rsidRDefault="00531250">
            <w:pPr>
              <w:rPr>
                <w:sz w:val="18"/>
                <w:szCs w:val="18"/>
              </w:rPr>
            </w:pPr>
            <w:r>
              <w:rPr>
                <w:sz w:val="18"/>
                <w:szCs w:val="18"/>
              </w:rPr>
              <w:t>Follow</w:t>
            </w:r>
            <w:r w:rsidR="00914ECC">
              <w:rPr>
                <w:sz w:val="18"/>
                <w:szCs w:val="18"/>
              </w:rPr>
              <w:t>-</w:t>
            </w:r>
            <w:r>
              <w:rPr>
                <w:sz w:val="18"/>
                <w:szCs w:val="18"/>
              </w:rPr>
              <w:t xml:space="preserve">Up </w:t>
            </w:r>
            <w:r w:rsidR="009E398B">
              <w:rPr>
                <w:sz w:val="18"/>
                <w:szCs w:val="18"/>
              </w:rPr>
              <w:t>A</w:t>
            </w:r>
            <w:r>
              <w:rPr>
                <w:sz w:val="18"/>
                <w:szCs w:val="18"/>
              </w:rPr>
              <w:t>fter</w:t>
            </w:r>
            <w:r w:rsidR="009E398B">
              <w:rPr>
                <w:sz w:val="18"/>
                <w:szCs w:val="18"/>
              </w:rPr>
              <w:t xml:space="preserve"> Emergency Department Visit</w:t>
            </w:r>
            <w:r w:rsidR="00BC569E">
              <w:rPr>
                <w:sz w:val="18"/>
                <w:szCs w:val="18"/>
              </w:rPr>
              <w:t xml:space="preserve"> for Alcohol and </w:t>
            </w:r>
            <w:r w:rsidR="00875A90">
              <w:rPr>
                <w:sz w:val="18"/>
                <w:szCs w:val="18"/>
              </w:rPr>
              <w:lastRenderedPageBreak/>
              <w:t xml:space="preserve">Other Drug Abuse or </w:t>
            </w:r>
            <w:r w:rsidR="00AD01AE">
              <w:rPr>
                <w:sz w:val="18"/>
                <w:szCs w:val="18"/>
              </w:rPr>
              <w:t xml:space="preserve">Dependence </w:t>
            </w:r>
            <w:r w:rsidR="00683C40">
              <w:rPr>
                <w:sz w:val="18"/>
                <w:szCs w:val="18"/>
              </w:rPr>
              <w:t>(7-day)</w:t>
            </w:r>
            <w:r>
              <w:rPr>
                <w:sz w:val="18"/>
                <w:szCs w:val="18"/>
              </w:rPr>
              <w:t xml:space="preserve"> </w:t>
            </w:r>
          </w:p>
        </w:tc>
        <w:tc>
          <w:tcPr>
            <w:tcW w:w="1402" w:type="dxa"/>
            <w:vAlign w:val="center"/>
          </w:tcPr>
          <w:p w14:paraId="5E58B52F" w14:textId="465E1376" w:rsidR="00B76EDE" w:rsidRPr="00683EA4" w:rsidRDefault="001B0F2B" w:rsidP="004919CD">
            <w:pPr>
              <w:jc w:val="center"/>
              <w:rPr>
                <w:rFonts w:cs="Calibri"/>
                <w:color w:val="000000" w:themeColor="text1"/>
                <w:sz w:val="20"/>
                <w:szCs w:val="20"/>
              </w:rPr>
            </w:pPr>
            <w:r w:rsidRPr="00683EA4">
              <w:rPr>
                <w:rFonts w:cs="Calibri"/>
                <w:color w:val="000000" w:themeColor="text1"/>
                <w:sz w:val="20"/>
                <w:szCs w:val="20"/>
              </w:rPr>
              <w:lastRenderedPageBreak/>
              <w:t>22.9%</w:t>
            </w:r>
          </w:p>
        </w:tc>
        <w:tc>
          <w:tcPr>
            <w:tcW w:w="1402" w:type="dxa"/>
            <w:vAlign w:val="center"/>
          </w:tcPr>
          <w:p w14:paraId="0C2BB367" w14:textId="1C6D99C8" w:rsidR="00B76EDE" w:rsidRPr="00683EA4" w:rsidRDefault="002062E8" w:rsidP="004919CD">
            <w:pPr>
              <w:jc w:val="center"/>
              <w:rPr>
                <w:rFonts w:cs="Calibri"/>
                <w:color w:val="000000" w:themeColor="text1"/>
                <w:sz w:val="20"/>
                <w:szCs w:val="20"/>
              </w:rPr>
            </w:pPr>
            <w:r w:rsidRPr="00683EA4">
              <w:rPr>
                <w:rFonts w:cs="Calibri"/>
                <w:color w:val="000000" w:themeColor="text1"/>
                <w:sz w:val="20"/>
                <w:szCs w:val="20"/>
              </w:rPr>
              <w:t>21.3%</w:t>
            </w:r>
          </w:p>
        </w:tc>
        <w:tc>
          <w:tcPr>
            <w:tcW w:w="1402" w:type="dxa"/>
            <w:vAlign w:val="center"/>
          </w:tcPr>
          <w:p w14:paraId="038E3C68" w14:textId="22CB5E05" w:rsidR="00B76EDE" w:rsidRPr="00683EA4" w:rsidRDefault="0000724A" w:rsidP="004919CD">
            <w:pPr>
              <w:jc w:val="center"/>
              <w:rPr>
                <w:rFonts w:cs="Calibri"/>
                <w:color w:val="000000" w:themeColor="text1"/>
                <w:sz w:val="20"/>
                <w:szCs w:val="20"/>
              </w:rPr>
            </w:pPr>
            <w:r w:rsidRPr="00683EA4">
              <w:rPr>
                <w:rFonts w:cs="Calibri"/>
                <w:color w:val="000000" w:themeColor="text1"/>
                <w:sz w:val="20"/>
                <w:szCs w:val="20"/>
              </w:rPr>
              <w:t>43.1%</w:t>
            </w:r>
          </w:p>
        </w:tc>
        <w:tc>
          <w:tcPr>
            <w:tcW w:w="1366" w:type="dxa"/>
            <w:shd w:val="clear" w:color="auto" w:fill="A8D08D" w:themeFill="accent6" w:themeFillTint="99"/>
          </w:tcPr>
          <w:p w14:paraId="3F446A1B" w14:textId="77777777" w:rsidR="00B76EDE" w:rsidRPr="00683EA4" w:rsidRDefault="00B76EDE" w:rsidP="004919CD">
            <w:pPr>
              <w:jc w:val="center"/>
              <w:rPr>
                <w:rFonts w:cs="Calibri"/>
                <w:color w:val="000000" w:themeColor="text1"/>
                <w:sz w:val="20"/>
                <w:szCs w:val="20"/>
              </w:rPr>
            </w:pPr>
          </w:p>
          <w:p w14:paraId="02B007EC" w14:textId="43FC30DE" w:rsidR="003C456B" w:rsidRPr="00683EA4" w:rsidRDefault="003C456B" w:rsidP="003C456B">
            <w:pPr>
              <w:jc w:val="center"/>
              <w:rPr>
                <w:rFonts w:cs="Calibri"/>
                <w:sz w:val="20"/>
                <w:szCs w:val="20"/>
              </w:rPr>
            </w:pPr>
            <w:r w:rsidRPr="00683EA4">
              <w:rPr>
                <w:rFonts w:cs="Calibri"/>
                <w:sz w:val="20"/>
                <w:szCs w:val="20"/>
              </w:rPr>
              <w:t>30.3%</w:t>
            </w:r>
          </w:p>
        </w:tc>
        <w:tc>
          <w:tcPr>
            <w:tcW w:w="877" w:type="dxa"/>
          </w:tcPr>
          <w:p w14:paraId="362CADAB" w14:textId="7AD0F0B2" w:rsidR="00B76EDE" w:rsidRPr="00683EA4" w:rsidRDefault="00CB0459" w:rsidP="00F92AA5">
            <w:pPr>
              <w:jc w:val="center"/>
              <w:rPr>
                <w:rFonts w:cs="Calibri"/>
                <w:sz w:val="20"/>
                <w:szCs w:val="20"/>
              </w:rPr>
            </w:pPr>
            <w:r w:rsidRPr="00683EA4">
              <w:rPr>
                <w:rFonts w:cs="Calibri"/>
                <w:sz w:val="20"/>
                <w:szCs w:val="20"/>
              </w:rPr>
              <w:t>N/A</w:t>
            </w:r>
            <w:r w:rsidR="003E06D0">
              <w:rPr>
                <w:rFonts w:cs="Calibri"/>
                <w:sz w:val="20"/>
                <w:szCs w:val="20"/>
              </w:rPr>
              <w:fldChar w:fldCharType="begin"/>
            </w:r>
            <w:r w:rsidR="003E06D0">
              <w:rPr>
                <w:rFonts w:cs="Calibri"/>
                <w:sz w:val="20"/>
                <w:szCs w:val="20"/>
              </w:rPr>
              <w:instrText xml:space="preserve"> NOTEREF _Ref190162024 \h </w:instrText>
            </w:r>
            <w:r w:rsidR="003E06D0">
              <w:rPr>
                <w:rFonts w:cs="Calibri"/>
                <w:sz w:val="20"/>
                <w:szCs w:val="20"/>
              </w:rPr>
            </w:r>
            <w:r w:rsidR="003E06D0">
              <w:rPr>
                <w:rFonts w:cs="Calibri"/>
                <w:sz w:val="20"/>
                <w:szCs w:val="20"/>
              </w:rPr>
              <w:fldChar w:fldCharType="separate"/>
            </w:r>
            <w:r w:rsidR="000C7657">
              <w:rPr>
                <w:rFonts w:cs="Calibri"/>
                <w:sz w:val="20"/>
                <w:szCs w:val="20"/>
              </w:rPr>
              <w:t>***</w:t>
            </w:r>
            <w:r w:rsidR="003E06D0">
              <w:rPr>
                <w:rFonts w:cs="Calibri"/>
                <w:sz w:val="20"/>
                <w:szCs w:val="20"/>
              </w:rPr>
              <w:fldChar w:fldCharType="end"/>
            </w:r>
          </w:p>
        </w:tc>
      </w:tr>
      <w:tr w:rsidR="00B76EDE" w14:paraId="35AFC67B" w14:textId="77777777" w:rsidTr="005905D9">
        <w:tc>
          <w:tcPr>
            <w:tcW w:w="2901" w:type="dxa"/>
          </w:tcPr>
          <w:p w14:paraId="621E108D" w14:textId="3AED5BF8" w:rsidR="00B76EDE" w:rsidRPr="3E464C40" w:rsidRDefault="00AA5541">
            <w:pPr>
              <w:rPr>
                <w:sz w:val="18"/>
                <w:szCs w:val="18"/>
              </w:rPr>
            </w:pPr>
            <w:r>
              <w:rPr>
                <w:sz w:val="18"/>
                <w:szCs w:val="18"/>
              </w:rPr>
              <w:t xml:space="preserve">Follow-Up After Hospitalization for Mental </w:t>
            </w:r>
            <w:r w:rsidR="00BA1A3D">
              <w:rPr>
                <w:sz w:val="18"/>
                <w:szCs w:val="18"/>
              </w:rPr>
              <w:t>Illness (7-day)</w:t>
            </w:r>
          </w:p>
        </w:tc>
        <w:tc>
          <w:tcPr>
            <w:tcW w:w="1402" w:type="dxa"/>
            <w:vAlign w:val="center"/>
          </w:tcPr>
          <w:p w14:paraId="366DE849" w14:textId="72DCDD3B" w:rsidR="00B76EDE" w:rsidRPr="00683EA4" w:rsidRDefault="00610E14" w:rsidP="004919CD">
            <w:pPr>
              <w:jc w:val="center"/>
              <w:rPr>
                <w:rFonts w:cs="Calibri"/>
                <w:color w:val="000000" w:themeColor="text1"/>
                <w:sz w:val="20"/>
                <w:szCs w:val="20"/>
              </w:rPr>
            </w:pPr>
            <w:r w:rsidRPr="00683EA4">
              <w:rPr>
                <w:rFonts w:cs="Calibri"/>
                <w:color w:val="000000" w:themeColor="text1"/>
                <w:sz w:val="20"/>
                <w:szCs w:val="20"/>
              </w:rPr>
              <w:t>45.8%</w:t>
            </w:r>
          </w:p>
        </w:tc>
        <w:tc>
          <w:tcPr>
            <w:tcW w:w="1402" w:type="dxa"/>
            <w:vAlign w:val="center"/>
          </w:tcPr>
          <w:p w14:paraId="31751B0D" w14:textId="4BC60B53" w:rsidR="00B76EDE" w:rsidRPr="00683EA4" w:rsidRDefault="001D3722" w:rsidP="004919CD">
            <w:pPr>
              <w:jc w:val="center"/>
              <w:rPr>
                <w:rFonts w:cs="Calibri"/>
                <w:color w:val="000000" w:themeColor="text1"/>
                <w:sz w:val="20"/>
                <w:szCs w:val="20"/>
              </w:rPr>
            </w:pPr>
            <w:r w:rsidRPr="00683EA4">
              <w:rPr>
                <w:rFonts w:cs="Calibri"/>
                <w:color w:val="000000" w:themeColor="text1"/>
                <w:sz w:val="20"/>
                <w:szCs w:val="20"/>
              </w:rPr>
              <w:t>43.3%</w:t>
            </w:r>
          </w:p>
        </w:tc>
        <w:tc>
          <w:tcPr>
            <w:tcW w:w="1402" w:type="dxa"/>
            <w:vAlign w:val="center"/>
          </w:tcPr>
          <w:p w14:paraId="749B9617" w14:textId="637C5804" w:rsidR="00B76EDE" w:rsidRPr="00683EA4" w:rsidRDefault="00A177EB" w:rsidP="004919CD">
            <w:pPr>
              <w:jc w:val="center"/>
              <w:rPr>
                <w:rFonts w:cs="Calibri"/>
                <w:color w:val="000000" w:themeColor="text1"/>
                <w:sz w:val="20"/>
                <w:szCs w:val="20"/>
              </w:rPr>
            </w:pPr>
            <w:r w:rsidRPr="00683EA4">
              <w:rPr>
                <w:rFonts w:cs="Calibri"/>
                <w:color w:val="000000" w:themeColor="text1"/>
                <w:sz w:val="20"/>
                <w:szCs w:val="20"/>
              </w:rPr>
              <w:t>40.3%</w:t>
            </w:r>
          </w:p>
        </w:tc>
        <w:tc>
          <w:tcPr>
            <w:tcW w:w="1366" w:type="dxa"/>
            <w:shd w:val="clear" w:color="auto" w:fill="A8D08D" w:themeFill="accent6" w:themeFillTint="99"/>
          </w:tcPr>
          <w:p w14:paraId="0FD9DE6E" w14:textId="14AE9B73" w:rsidR="00B76EDE" w:rsidRPr="00683EA4" w:rsidRDefault="00A62ADB" w:rsidP="004919CD">
            <w:pPr>
              <w:jc w:val="center"/>
              <w:rPr>
                <w:rFonts w:cs="Calibri"/>
                <w:color w:val="000000" w:themeColor="text1"/>
                <w:sz w:val="20"/>
                <w:szCs w:val="20"/>
              </w:rPr>
            </w:pPr>
            <w:r w:rsidRPr="00683EA4">
              <w:rPr>
                <w:rFonts w:cs="Calibri"/>
                <w:color w:val="000000" w:themeColor="text1"/>
                <w:sz w:val="20"/>
                <w:szCs w:val="20"/>
              </w:rPr>
              <w:t>39.5%</w:t>
            </w:r>
          </w:p>
        </w:tc>
        <w:tc>
          <w:tcPr>
            <w:tcW w:w="877" w:type="dxa"/>
          </w:tcPr>
          <w:p w14:paraId="3436CEFE" w14:textId="19DAD3BA" w:rsidR="00B76EDE" w:rsidRPr="00683EA4" w:rsidRDefault="00CB0459" w:rsidP="00F92AA5">
            <w:pPr>
              <w:jc w:val="center"/>
              <w:rPr>
                <w:rFonts w:cs="Calibri"/>
                <w:sz w:val="20"/>
                <w:szCs w:val="20"/>
              </w:rPr>
            </w:pPr>
            <w:r w:rsidRPr="00683EA4">
              <w:rPr>
                <w:rFonts w:cs="Calibri"/>
                <w:sz w:val="20"/>
                <w:szCs w:val="20"/>
              </w:rPr>
              <w:t>N/A</w:t>
            </w:r>
            <w:r w:rsidR="003E06D0">
              <w:rPr>
                <w:rFonts w:cs="Calibri"/>
                <w:sz w:val="20"/>
                <w:szCs w:val="20"/>
              </w:rPr>
              <w:fldChar w:fldCharType="begin"/>
            </w:r>
            <w:r w:rsidR="003E06D0">
              <w:rPr>
                <w:rFonts w:cs="Calibri"/>
                <w:sz w:val="20"/>
                <w:szCs w:val="20"/>
              </w:rPr>
              <w:instrText xml:space="preserve"> NOTEREF _Ref190162024 \h </w:instrText>
            </w:r>
            <w:r w:rsidR="003E06D0">
              <w:rPr>
                <w:rFonts w:cs="Calibri"/>
                <w:sz w:val="20"/>
                <w:szCs w:val="20"/>
              </w:rPr>
            </w:r>
            <w:r w:rsidR="003E06D0">
              <w:rPr>
                <w:rFonts w:cs="Calibri"/>
                <w:sz w:val="20"/>
                <w:szCs w:val="20"/>
              </w:rPr>
              <w:fldChar w:fldCharType="separate"/>
            </w:r>
            <w:r w:rsidR="000C7657">
              <w:rPr>
                <w:rFonts w:cs="Calibri"/>
                <w:sz w:val="20"/>
                <w:szCs w:val="20"/>
              </w:rPr>
              <w:t>***</w:t>
            </w:r>
            <w:r w:rsidR="003E06D0">
              <w:rPr>
                <w:rFonts w:cs="Calibri"/>
                <w:sz w:val="20"/>
                <w:szCs w:val="20"/>
              </w:rPr>
              <w:fldChar w:fldCharType="end"/>
            </w:r>
          </w:p>
        </w:tc>
      </w:tr>
      <w:tr w:rsidR="00795F56" w14:paraId="65764B7F" w14:textId="77777777" w:rsidTr="005905D9">
        <w:tc>
          <w:tcPr>
            <w:tcW w:w="2901" w:type="dxa"/>
          </w:tcPr>
          <w:p w14:paraId="6A1ACDA1" w14:textId="4DC14C61" w:rsidR="00795F56" w:rsidRPr="3E464C40" w:rsidRDefault="008830E3">
            <w:pPr>
              <w:rPr>
                <w:sz w:val="18"/>
                <w:szCs w:val="18"/>
              </w:rPr>
            </w:pPr>
            <w:r>
              <w:rPr>
                <w:sz w:val="18"/>
                <w:szCs w:val="18"/>
              </w:rPr>
              <w:t xml:space="preserve">Follow-Up </w:t>
            </w:r>
            <w:r w:rsidR="004B707F">
              <w:rPr>
                <w:sz w:val="18"/>
                <w:szCs w:val="18"/>
              </w:rPr>
              <w:t>After Emergency</w:t>
            </w:r>
            <w:r w:rsidR="005E731B">
              <w:rPr>
                <w:sz w:val="18"/>
                <w:szCs w:val="18"/>
              </w:rPr>
              <w:t xml:space="preserve"> Department Visit for Mental Illness </w:t>
            </w:r>
            <w:r w:rsidR="006C5810">
              <w:rPr>
                <w:sz w:val="18"/>
                <w:szCs w:val="18"/>
              </w:rPr>
              <w:t>(7-day)</w:t>
            </w:r>
          </w:p>
        </w:tc>
        <w:tc>
          <w:tcPr>
            <w:tcW w:w="1402" w:type="dxa"/>
            <w:vAlign w:val="center"/>
          </w:tcPr>
          <w:p w14:paraId="214F7F05" w14:textId="51FF7641" w:rsidR="00795F56" w:rsidRPr="00683EA4" w:rsidRDefault="008E29C5" w:rsidP="004919CD">
            <w:pPr>
              <w:jc w:val="center"/>
              <w:rPr>
                <w:rFonts w:cs="Calibri"/>
                <w:color w:val="000000" w:themeColor="text1"/>
                <w:sz w:val="20"/>
                <w:szCs w:val="20"/>
              </w:rPr>
            </w:pPr>
            <w:r w:rsidRPr="00683EA4">
              <w:rPr>
                <w:rFonts w:cs="Calibri"/>
                <w:color w:val="000000" w:themeColor="text1"/>
                <w:sz w:val="20"/>
                <w:szCs w:val="20"/>
              </w:rPr>
              <w:t>73.5%</w:t>
            </w:r>
          </w:p>
        </w:tc>
        <w:tc>
          <w:tcPr>
            <w:tcW w:w="1402" w:type="dxa"/>
            <w:vAlign w:val="center"/>
          </w:tcPr>
          <w:p w14:paraId="01C89B04" w14:textId="673133B9" w:rsidR="00795F56" w:rsidRPr="00683EA4" w:rsidRDefault="00CF663A" w:rsidP="004919CD">
            <w:pPr>
              <w:jc w:val="center"/>
              <w:rPr>
                <w:rFonts w:cs="Calibri"/>
                <w:color w:val="000000" w:themeColor="text1"/>
                <w:sz w:val="20"/>
                <w:szCs w:val="20"/>
              </w:rPr>
            </w:pPr>
            <w:r w:rsidRPr="00683EA4">
              <w:rPr>
                <w:rFonts w:cs="Calibri"/>
                <w:color w:val="000000" w:themeColor="text1"/>
                <w:sz w:val="20"/>
                <w:szCs w:val="20"/>
              </w:rPr>
              <w:t>74.5%</w:t>
            </w:r>
          </w:p>
        </w:tc>
        <w:tc>
          <w:tcPr>
            <w:tcW w:w="1402" w:type="dxa"/>
            <w:vAlign w:val="center"/>
          </w:tcPr>
          <w:p w14:paraId="07EFA4C6" w14:textId="470D99C5" w:rsidR="00795F56" w:rsidRPr="00683EA4" w:rsidRDefault="009B6756" w:rsidP="004919CD">
            <w:pPr>
              <w:jc w:val="center"/>
              <w:rPr>
                <w:rFonts w:cs="Calibri"/>
                <w:color w:val="000000" w:themeColor="text1"/>
                <w:sz w:val="20"/>
                <w:szCs w:val="20"/>
              </w:rPr>
            </w:pPr>
            <w:r w:rsidRPr="00683EA4">
              <w:rPr>
                <w:rFonts w:cs="Calibri"/>
                <w:color w:val="000000" w:themeColor="text1"/>
                <w:sz w:val="20"/>
                <w:szCs w:val="20"/>
              </w:rPr>
              <w:t>72.9%</w:t>
            </w:r>
          </w:p>
        </w:tc>
        <w:tc>
          <w:tcPr>
            <w:tcW w:w="1366" w:type="dxa"/>
            <w:shd w:val="clear" w:color="auto" w:fill="A8D08D" w:themeFill="accent6" w:themeFillTint="99"/>
          </w:tcPr>
          <w:p w14:paraId="664FD6DC" w14:textId="7A9FDB86" w:rsidR="00795F56" w:rsidRPr="00683EA4" w:rsidRDefault="00FA7F93" w:rsidP="004919CD">
            <w:pPr>
              <w:jc w:val="center"/>
              <w:rPr>
                <w:rFonts w:cs="Calibri"/>
                <w:color w:val="000000" w:themeColor="text1"/>
                <w:sz w:val="20"/>
                <w:szCs w:val="20"/>
              </w:rPr>
            </w:pPr>
            <w:r w:rsidRPr="00683EA4">
              <w:rPr>
                <w:rFonts w:cs="Calibri"/>
                <w:color w:val="000000" w:themeColor="text1"/>
                <w:sz w:val="20"/>
                <w:szCs w:val="20"/>
              </w:rPr>
              <w:t>45.1%</w:t>
            </w:r>
          </w:p>
          <w:p w14:paraId="0F90FBE1" w14:textId="00B1F855" w:rsidR="00FA7F93" w:rsidRPr="00683EA4" w:rsidRDefault="00FA7F93" w:rsidP="00FA7F93">
            <w:pPr>
              <w:jc w:val="center"/>
              <w:rPr>
                <w:rFonts w:cs="Calibri"/>
                <w:sz w:val="20"/>
                <w:szCs w:val="20"/>
              </w:rPr>
            </w:pPr>
          </w:p>
        </w:tc>
        <w:tc>
          <w:tcPr>
            <w:tcW w:w="877" w:type="dxa"/>
          </w:tcPr>
          <w:p w14:paraId="481B96D5" w14:textId="49736AA8" w:rsidR="00795F56" w:rsidRPr="00683EA4" w:rsidRDefault="00CB0459" w:rsidP="00F92AA5">
            <w:pPr>
              <w:jc w:val="center"/>
              <w:rPr>
                <w:rFonts w:cs="Calibri"/>
                <w:sz w:val="20"/>
                <w:szCs w:val="20"/>
              </w:rPr>
            </w:pPr>
            <w:r w:rsidRPr="00683EA4">
              <w:rPr>
                <w:rFonts w:cs="Calibri"/>
                <w:sz w:val="20"/>
                <w:szCs w:val="20"/>
              </w:rPr>
              <w:t>N/A</w:t>
            </w:r>
            <w:r w:rsidR="003E06D0">
              <w:rPr>
                <w:rFonts w:cs="Calibri"/>
                <w:sz w:val="20"/>
                <w:szCs w:val="20"/>
              </w:rPr>
              <w:fldChar w:fldCharType="begin"/>
            </w:r>
            <w:r w:rsidR="003E06D0">
              <w:rPr>
                <w:rFonts w:cs="Calibri"/>
                <w:sz w:val="20"/>
                <w:szCs w:val="20"/>
              </w:rPr>
              <w:instrText xml:space="preserve"> NOTEREF _Ref190162024 \h </w:instrText>
            </w:r>
            <w:r w:rsidR="003E06D0">
              <w:rPr>
                <w:rFonts w:cs="Calibri"/>
                <w:sz w:val="20"/>
                <w:szCs w:val="20"/>
              </w:rPr>
            </w:r>
            <w:r w:rsidR="003E06D0">
              <w:rPr>
                <w:rFonts w:cs="Calibri"/>
                <w:sz w:val="20"/>
                <w:szCs w:val="20"/>
              </w:rPr>
              <w:fldChar w:fldCharType="separate"/>
            </w:r>
            <w:r w:rsidR="000C7657">
              <w:rPr>
                <w:rFonts w:cs="Calibri"/>
                <w:sz w:val="20"/>
                <w:szCs w:val="20"/>
              </w:rPr>
              <w:t>***</w:t>
            </w:r>
            <w:r w:rsidR="003E06D0">
              <w:rPr>
                <w:rFonts w:cs="Calibri"/>
                <w:sz w:val="20"/>
                <w:szCs w:val="20"/>
              </w:rPr>
              <w:fldChar w:fldCharType="end"/>
            </w:r>
          </w:p>
        </w:tc>
      </w:tr>
    </w:tbl>
    <w:p w14:paraId="1220C655" w14:textId="77777777" w:rsidR="00753CD6" w:rsidRDefault="00753CD6" w:rsidP="00753CD6">
      <w:pPr>
        <w:pStyle w:val="Default"/>
        <w:rPr>
          <w:rFonts w:asciiTheme="minorHAnsi" w:eastAsia="Times New Roman" w:hAnsiTheme="minorHAnsi" w:cstheme="minorHAnsi"/>
          <w:sz w:val="22"/>
          <w:szCs w:val="22"/>
        </w:rPr>
      </w:pPr>
    </w:p>
    <w:p w14:paraId="6448FEDD" w14:textId="07962FA7" w:rsidR="00753CD6" w:rsidRDefault="00FE54ED" w:rsidP="00753CD6">
      <w:pPr>
        <w:pStyle w:val="Default"/>
        <w:rPr>
          <w:rFonts w:ascii="Calibri" w:hAnsi="Calibri" w:cs="Calibri"/>
          <w:sz w:val="22"/>
          <w:szCs w:val="22"/>
        </w:rPr>
      </w:pPr>
      <w:r w:rsidRPr="00E567AB">
        <w:rPr>
          <w:rFonts w:ascii="Calibri" w:eastAsia="Times New Roman" w:hAnsi="Calibri" w:cs="Calibri"/>
          <w:sz w:val="22"/>
          <w:szCs w:val="22"/>
        </w:rPr>
        <w:t>MassHealth</w:t>
      </w:r>
      <w:r w:rsidR="00E567AB" w:rsidRPr="00E567AB">
        <w:rPr>
          <w:rFonts w:ascii="Calibri" w:eastAsia="Times New Roman" w:hAnsi="Calibri" w:cs="Calibri"/>
          <w:sz w:val="22"/>
          <w:szCs w:val="22"/>
        </w:rPr>
        <w:t xml:space="preserve"> made significant progress </w:t>
      </w:r>
      <w:r w:rsidR="4DF2DE00" w:rsidRPr="3DFCCDE3">
        <w:rPr>
          <w:rFonts w:ascii="Calibri" w:eastAsia="Times New Roman" w:hAnsi="Calibri" w:cs="Calibri"/>
          <w:sz w:val="22"/>
          <w:szCs w:val="22"/>
        </w:rPr>
        <w:t xml:space="preserve">towards </w:t>
      </w:r>
      <w:r w:rsidR="00E567AB" w:rsidRPr="00E567AB">
        <w:rPr>
          <w:rFonts w:ascii="Calibri" w:eastAsia="Times New Roman" w:hAnsi="Calibri" w:cs="Calibri"/>
          <w:sz w:val="22"/>
          <w:szCs w:val="22"/>
        </w:rPr>
        <w:t>achieving Goal 5</w:t>
      </w:r>
      <w:r w:rsidR="009D6A3F">
        <w:rPr>
          <w:rFonts w:ascii="Calibri" w:eastAsia="Times New Roman" w:hAnsi="Calibri" w:cs="Calibri"/>
          <w:sz w:val="22"/>
          <w:szCs w:val="22"/>
        </w:rPr>
        <w:t xml:space="preserve"> </w:t>
      </w:r>
      <w:r w:rsidR="00A87232">
        <w:rPr>
          <w:rFonts w:ascii="Calibri" w:eastAsia="Times New Roman" w:hAnsi="Calibri" w:cs="Calibri"/>
          <w:sz w:val="22"/>
          <w:szCs w:val="22"/>
        </w:rPr>
        <w:t xml:space="preserve">by </w:t>
      </w:r>
      <w:r w:rsidR="00454FF8">
        <w:rPr>
          <w:rFonts w:ascii="Calibri" w:eastAsia="Times New Roman" w:hAnsi="Calibri" w:cs="Calibri"/>
          <w:sz w:val="22"/>
          <w:szCs w:val="22"/>
        </w:rPr>
        <w:t xml:space="preserve">accomplishing </w:t>
      </w:r>
      <w:r w:rsidR="006D67B3">
        <w:rPr>
          <w:rFonts w:ascii="Calibri" w:eastAsia="Times New Roman" w:hAnsi="Calibri" w:cs="Calibri"/>
          <w:sz w:val="22"/>
          <w:szCs w:val="22"/>
        </w:rPr>
        <w:t xml:space="preserve">a majority of </w:t>
      </w:r>
      <w:r w:rsidR="00B31317">
        <w:rPr>
          <w:rFonts w:ascii="Calibri" w:eastAsia="Times New Roman" w:hAnsi="Calibri" w:cs="Calibri"/>
          <w:sz w:val="22"/>
          <w:szCs w:val="22"/>
        </w:rPr>
        <w:t xml:space="preserve">the </w:t>
      </w:r>
      <w:r w:rsidR="006D67B3">
        <w:rPr>
          <w:rFonts w:ascii="Calibri" w:eastAsia="Times New Roman" w:hAnsi="Calibri" w:cs="Calibri"/>
          <w:sz w:val="22"/>
          <w:szCs w:val="22"/>
        </w:rPr>
        <w:t>objectives</w:t>
      </w:r>
      <w:r w:rsidR="00E567AB" w:rsidRPr="00E567AB">
        <w:rPr>
          <w:rFonts w:ascii="Calibri" w:eastAsia="Times New Roman" w:hAnsi="Calibri" w:cs="Calibri"/>
          <w:sz w:val="22"/>
          <w:szCs w:val="22"/>
        </w:rPr>
        <w:t>.</w:t>
      </w:r>
      <w:r w:rsidR="00E567AB" w:rsidRPr="3DFCCDE3">
        <w:rPr>
          <w:rFonts w:asciiTheme="minorHAnsi" w:eastAsia="Times New Roman" w:hAnsiTheme="minorHAnsi" w:cstheme="minorBidi"/>
          <w:sz w:val="22"/>
          <w:szCs w:val="22"/>
        </w:rPr>
        <w:t xml:space="preserve"> </w:t>
      </w:r>
      <w:r w:rsidR="00E567AB" w:rsidRPr="00E567AB">
        <w:rPr>
          <w:rFonts w:ascii="Calibri" w:hAnsi="Calibri" w:cs="Calibri"/>
          <w:sz w:val="22"/>
          <w:szCs w:val="22"/>
        </w:rPr>
        <w:t>MassHealth met or surpassed national benchmarks (75</w:t>
      </w:r>
      <w:r w:rsidR="00E567AB" w:rsidRPr="00E567AB">
        <w:rPr>
          <w:rFonts w:ascii="Calibri" w:hAnsi="Calibri" w:cs="Calibri"/>
          <w:sz w:val="22"/>
          <w:szCs w:val="22"/>
          <w:vertAlign w:val="superscript"/>
        </w:rPr>
        <w:t>th</w:t>
      </w:r>
      <w:r w:rsidR="00E567AB" w:rsidRPr="00E567AB">
        <w:rPr>
          <w:rFonts w:ascii="Calibri" w:hAnsi="Calibri" w:cs="Calibri"/>
          <w:sz w:val="22"/>
          <w:szCs w:val="22"/>
        </w:rPr>
        <w:t xml:space="preserve"> percentile) or met the Gap to Goal improvement target for</w:t>
      </w:r>
      <w:r w:rsidR="002D2774">
        <w:rPr>
          <w:rFonts w:ascii="Calibri" w:hAnsi="Calibri" w:cs="Calibri"/>
          <w:sz w:val="22"/>
          <w:szCs w:val="22"/>
        </w:rPr>
        <w:t xml:space="preserve"> </w:t>
      </w:r>
      <w:r w:rsidR="00B85490">
        <w:rPr>
          <w:rFonts w:ascii="Calibri" w:hAnsi="Calibri" w:cs="Calibri"/>
          <w:sz w:val="22"/>
          <w:szCs w:val="22"/>
        </w:rPr>
        <w:t xml:space="preserve">more than 50% of </w:t>
      </w:r>
      <w:r w:rsidR="00E567AB" w:rsidRPr="00E567AB">
        <w:rPr>
          <w:rFonts w:ascii="Calibri" w:hAnsi="Calibri" w:cs="Calibri"/>
          <w:sz w:val="22"/>
          <w:szCs w:val="22"/>
        </w:rPr>
        <w:t xml:space="preserve">measures used to assess this goal. </w:t>
      </w:r>
      <w:r w:rsidR="00E567AB">
        <w:rPr>
          <w:rFonts w:ascii="Calibri" w:hAnsi="Calibri" w:cs="Calibri"/>
          <w:sz w:val="22"/>
          <w:szCs w:val="22"/>
        </w:rPr>
        <w:t>The area</w:t>
      </w:r>
      <w:r w:rsidR="006728F8">
        <w:rPr>
          <w:rFonts w:ascii="Calibri" w:hAnsi="Calibri" w:cs="Calibri"/>
          <w:sz w:val="22"/>
          <w:szCs w:val="22"/>
        </w:rPr>
        <w:t>s</w:t>
      </w:r>
      <w:r w:rsidR="00E567AB">
        <w:rPr>
          <w:rFonts w:ascii="Calibri" w:hAnsi="Calibri" w:cs="Calibri"/>
          <w:sz w:val="22"/>
          <w:szCs w:val="22"/>
        </w:rPr>
        <w:t xml:space="preserve"> with the strongest performance </w:t>
      </w:r>
      <w:r w:rsidR="006728F8">
        <w:rPr>
          <w:rFonts w:ascii="Calibri" w:hAnsi="Calibri" w:cs="Calibri"/>
          <w:sz w:val="22"/>
          <w:szCs w:val="22"/>
        </w:rPr>
        <w:t>fell within</w:t>
      </w:r>
      <w:r w:rsidR="00310961">
        <w:rPr>
          <w:rFonts w:ascii="Calibri" w:hAnsi="Calibri" w:cs="Calibri"/>
          <w:sz w:val="22"/>
          <w:szCs w:val="22"/>
        </w:rPr>
        <w:t xml:space="preserve"> the behavioral health </w:t>
      </w:r>
      <w:r w:rsidR="0540C1A3" w:rsidRPr="3DFCCDE3">
        <w:rPr>
          <w:rFonts w:ascii="Calibri" w:hAnsi="Calibri" w:cs="Calibri"/>
          <w:sz w:val="22"/>
          <w:szCs w:val="22"/>
        </w:rPr>
        <w:t xml:space="preserve">domain </w:t>
      </w:r>
      <w:r w:rsidR="00E13F5E">
        <w:rPr>
          <w:rFonts w:ascii="Calibri" w:hAnsi="Calibri" w:cs="Calibri"/>
          <w:sz w:val="22"/>
          <w:szCs w:val="22"/>
        </w:rPr>
        <w:t xml:space="preserve">and </w:t>
      </w:r>
      <w:r w:rsidR="002045D1">
        <w:rPr>
          <w:rFonts w:ascii="Calibri" w:hAnsi="Calibri" w:cs="Calibri"/>
          <w:sz w:val="22"/>
          <w:szCs w:val="22"/>
        </w:rPr>
        <w:t>specifically</w:t>
      </w:r>
      <w:r w:rsidR="00E13F5E">
        <w:rPr>
          <w:rFonts w:ascii="Calibri" w:hAnsi="Calibri" w:cs="Calibri"/>
          <w:sz w:val="22"/>
          <w:szCs w:val="22"/>
        </w:rPr>
        <w:t xml:space="preserve"> included</w:t>
      </w:r>
      <w:r w:rsidR="002045D1">
        <w:rPr>
          <w:rFonts w:ascii="Calibri" w:hAnsi="Calibri" w:cs="Calibri"/>
          <w:sz w:val="22"/>
          <w:szCs w:val="22"/>
        </w:rPr>
        <w:t>,</w:t>
      </w:r>
      <w:r w:rsidR="00310961">
        <w:rPr>
          <w:rFonts w:ascii="Calibri" w:hAnsi="Calibri" w:cs="Calibri"/>
          <w:sz w:val="22"/>
          <w:szCs w:val="22"/>
        </w:rPr>
        <w:t xml:space="preserve"> </w:t>
      </w:r>
      <w:r w:rsidR="002045D1">
        <w:rPr>
          <w:rFonts w:ascii="Calibri" w:hAnsi="Calibri" w:cs="Calibri"/>
          <w:sz w:val="22"/>
          <w:szCs w:val="22"/>
        </w:rPr>
        <w:t>follow-up care, chronic disease management among those with mental health diagnoses, and depression</w:t>
      </w:r>
      <w:r w:rsidR="00000BCB">
        <w:rPr>
          <w:rFonts w:ascii="Calibri" w:hAnsi="Calibri" w:cs="Calibri"/>
          <w:sz w:val="22"/>
          <w:szCs w:val="22"/>
        </w:rPr>
        <w:t xml:space="preserve"> management.</w:t>
      </w:r>
      <w:r w:rsidR="002045D1">
        <w:rPr>
          <w:rFonts w:ascii="Calibri" w:hAnsi="Calibri" w:cs="Calibri"/>
          <w:sz w:val="22"/>
          <w:szCs w:val="22"/>
        </w:rPr>
        <w:t xml:space="preserve"> </w:t>
      </w:r>
      <w:r w:rsidR="00E567AB" w:rsidRPr="00E567AB">
        <w:rPr>
          <w:rFonts w:ascii="Calibri" w:hAnsi="Calibri" w:cs="Calibri"/>
          <w:sz w:val="22"/>
          <w:szCs w:val="22"/>
        </w:rPr>
        <w:t xml:space="preserve">Opportunities for continued progress include strengthening </w:t>
      </w:r>
      <w:r w:rsidR="007600E6">
        <w:rPr>
          <w:rFonts w:ascii="Calibri" w:hAnsi="Calibri" w:cs="Calibri"/>
          <w:sz w:val="22"/>
          <w:szCs w:val="22"/>
        </w:rPr>
        <w:t>initiation and engagement of alcohol, opioid, or other drug abuse</w:t>
      </w:r>
      <w:r w:rsidR="00683B59">
        <w:rPr>
          <w:rFonts w:ascii="Calibri" w:hAnsi="Calibri" w:cs="Calibri"/>
          <w:sz w:val="22"/>
          <w:szCs w:val="22"/>
        </w:rPr>
        <w:t xml:space="preserve"> or dependence treatment, plan</w:t>
      </w:r>
      <w:r w:rsidR="00E9470A">
        <w:rPr>
          <w:rFonts w:ascii="Calibri" w:hAnsi="Calibri" w:cs="Calibri"/>
          <w:sz w:val="22"/>
          <w:szCs w:val="22"/>
        </w:rPr>
        <w:t xml:space="preserve"> </w:t>
      </w:r>
      <w:r w:rsidR="00683B59">
        <w:rPr>
          <w:rFonts w:ascii="Calibri" w:hAnsi="Calibri" w:cs="Calibri"/>
          <w:sz w:val="22"/>
          <w:szCs w:val="22"/>
        </w:rPr>
        <w:t>all</w:t>
      </w:r>
      <w:r w:rsidR="00E9470A">
        <w:rPr>
          <w:rFonts w:ascii="Calibri" w:hAnsi="Calibri" w:cs="Calibri"/>
          <w:sz w:val="22"/>
          <w:szCs w:val="22"/>
        </w:rPr>
        <w:t>-</w:t>
      </w:r>
      <w:r w:rsidR="00683B59">
        <w:rPr>
          <w:rFonts w:ascii="Calibri" w:hAnsi="Calibri" w:cs="Calibri"/>
          <w:sz w:val="22"/>
          <w:szCs w:val="22"/>
        </w:rPr>
        <w:t xml:space="preserve">cause readmission, and </w:t>
      </w:r>
      <w:r w:rsidR="00E9470A">
        <w:rPr>
          <w:rFonts w:ascii="Calibri" w:hAnsi="Calibri" w:cs="Calibri"/>
          <w:sz w:val="22"/>
          <w:szCs w:val="22"/>
        </w:rPr>
        <w:t xml:space="preserve">follow up care for </w:t>
      </w:r>
      <w:r w:rsidR="00683B59">
        <w:rPr>
          <w:rFonts w:ascii="Calibri" w:hAnsi="Calibri" w:cs="Calibri"/>
          <w:sz w:val="22"/>
          <w:szCs w:val="22"/>
        </w:rPr>
        <w:t xml:space="preserve">children </w:t>
      </w:r>
      <w:r w:rsidR="00E9470A">
        <w:rPr>
          <w:rFonts w:ascii="Calibri" w:hAnsi="Calibri" w:cs="Calibri"/>
          <w:sz w:val="22"/>
          <w:szCs w:val="22"/>
        </w:rPr>
        <w:t>prescribed</w:t>
      </w:r>
      <w:r w:rsidR="00683B59">
        <w:rPr>
          <w:rFonts w:ascii="Calibri" w:hAnsi="Calibri" w:cs="Calibri"/>
          <w:sz w:val="22"/>
          <w:szCs w:val="22"/>
        </w:rPr>
        <w:t xml:space="preserve"> ADHD</w:t>
      </w:r>
      <w:r w:rsidR="00E9470A">
        <w:rPr>
          <w:rFonts w:ascii="Calibri" w:hAnsi="Calibri" w:cs="Calibri"/>
          <w:sz w:val="22"/>
          <w:szCs w:val="22"/>
        </w:rPr>
        <w:t xml:space="preserve"> medication</w:t>
      </w:r>
      <w:r w:rsidR="00E567AB" w:rsidRPr="00E567AB">
        <w:rPr>
          <w:rFonts w:ascii="Calibri" w:hAnsi="Calibri" w:cs="Calibri"/>
          <w:sz w:val="22"/>
          <w:szCs w:val="22"/>
        </w:rPr>
        <w:t>.</w:t>
      </w:r>
    </w:p>
    <w:p w14:paraId="46BEDFDE" w14:textId="77777777" w:rsidR="00E45DC0" w:rsidRDefault="00E45DC0" w:rsidP="00753CD6">
      <w:pPr>
        <w:pStyle w:val="Default"/>
        <w:rPr>
          <w:rFonts w:ascii="Calibri" w:hAnsi="Calibri" w:cs="Calibri"/>
          <w:sz w:val="22"/>
          <w:szCs w:val="22"/>
        </w:rPr>
        <w:sectPr w:rsidR="00E45DC0" w:rsidSect="009D10D5">
          <w:footnotePr>
            <w:numFmt w:val="chicago"/>
            <w:numStart w:val="8"/>
          </w:footnotePr>
          <w:type w:val="continuous"/>
          <w:pgSz w:w="12240" w:h="15840"/>
          <w:pgMar w:top="1440" w:right="1440" w:bottom="1440" w:left="1440" w:header="720" w:footer="720" w:gutter="0"/>
          <w:cols w:space="720"/>
          <w:docGrid w:linePitch="360"/>
        </w:sectPr>
      </w:pPr>
    </w:p>
    <w:p w14:paraId="07444D8F" w14:textId="77777777" w:rsidR="00B33A7F" w:rsidRPr="00E567AB" w:rsidRDefault="00B33A7F" w:rsidP="00753CD6">
      <w:pPr>
        <w:pStyle w:val="Default"/>
        <w:rPr>
          <w:rFonts w:ascii="Calibri" w:hAnsi="Calibri" w:cs="Calibri"/>
          <w:sz w:val="22"/>
          <w:szCs w:val="22"/>
        </w:rPr>
      </w:pPr>
    </w:p>
    <w:p w14:paraId="2D650FA7" w14:textId="33D190CA" w:rsidR="002170E8" w:rsidRPr="009F6638" w:rsidRDefault="00753CD6" w:rsidP="00753CD6">
      <w:pPr>
        <w:pStyle w:val="Heading2"/>
        <w:spacing w:after="120"/>
      </w:pPr>
      <w:bookmarkStart w:id="13" w:name="_Toc190440060"/>
      <w:r>
        <w:t>CMS Child and Adult Core Set Performance</w:t>
      </w:r>
      <w:bookmarkEnd w:id="13"/>
    </w:p>
    <w:p w14:paraId="6D6C7BE8" w14:textId="7E169E52" w:rsidR="009736AB" w:rsidRDefault="009736AB" w:rsidP="009736AB">
      <w:r>
        <w:t xml:space="preserve">Below are summaries of MassHealth’s reporting on the 2023 Adult and Child Core Measure Sets and an indication of how MassHealth’s rates compare to those reported by other states. Measures in the 2023 Core Measure Sets generally report on services delivered in CY2022. </w:t>
      </w:r>
      <w:r w:rsidRPr="00DB177C">
        <w:t>Measure</w:t>
      </w:r>
      <w:r w:rsidR="0089263D">
        <w:t>s</w:t>
      </w:r>
      <w:r w:rsidRPr="00DB177C">
        <w:t xml:space="preserve"> are included in the </w:t>
      </w:r>
      <w:r w:rsidR="0B295E17">
        <w:t xml:space="preserve">table below </w:t>
      </w:r>
      <w:r w:rsidRPr="00DB177C">
        <w:t>only for measures which meet CMS’ standards for data quality and on which at least 25 states reported</w:t>
      </w:r>
      <w:r w:rsidR="00DB177C">
        <w:t>.</w:t>
      </w:r>
    </w:p>
    <w:p w14:paraId="75DA6505" w14:textId="77777777" w:rsidR="009736AB" w:rsidRPr="00B5578E" w:rsidRDefault="009736AB" w:rsidP="009736AB">
      <w:pPr>
        <w:rPr>
          <w:b/>
          <w:bCs/>
        </w:rPr>
      </w:pPr>
      <w:r w:rsidRPr="00B5578E">
        <w:rPr>
          <w:b/>
          <w:bCs/>
        </w:rPr>
        <w:t xml:space="preserve">CHILD CORE </w:t>
      </w:r>
      <w:r>
        <w:rPr>
          <w:b/>
          <w:bCs/>
        </w:rPr>
        <w:t xml:space="preserve">2023 </w:t>
      </w:r>
      <w:r w:rsidRPr="00B5578E">
        <w:rPr>
          <w:b/>
          <w:bCs/>
        </w:rPr>
        <w:t>MEASURE SET</w:t>
      </w:r>
    </w:p>
    <w:p w14:paraId="3E070CF2" w14:textId="77777777" w:rsidR="001C0496" w:rsidRDefault="009736AB" w:rsidP="009736AB">
      <w:r>
        <w:t>Mass</w:t>
      </w:r>
      <w:r w:rsidR="00DB177C">
        <w:t>Health</w:t>
      </w:r>
      <w:r>
        <w:t xml:space="preserve"> reported all 27 measures in the 2023 Child Core Measure set (note, this number includes measures calculated by CMS from other data sources). </w:t>
      </w:r>
    </w:p>
    <w:p w14:paraId="180FB027" w14:textId="44C4A307" w:rsidR="009736AB" w:rsidRDefault="009736AB" w:rsidP="009736AB">
      <w:r>
        <w:t xml:space="preserve">Rates for 26 measures </w:t>
      </w:r>
      <w:r w:rsidR="39499737">
        <w:t>met the criteria for being reported by CMS across all states</w:t>
      </w:r>
      <w:r w:rsidR="001C0496">
        <w:t>.</w:t>
      </w:r>
      <w:r w:rsidR="39499737">
        <w:t xml:space="preserve"> </w:t>
      </w:r>
      <w:r w:rsidR="46BEF50C">
        <w:t>In December 2024, CMS issued a chart pack that indicated</w:t>
      </w:r>
      <w:r>
        <w:t xml:space="preserve"> into which quartile a state’s rate </w:t>
      </w:r>
      <w:r w:rsidR="031DAB50">
        <w:t>for any measures</w:t>
      </w:r>
      <w:r>
        <w:t xml:space="preserve"> fell, as compared with the rate from all other states that reported on th</w:t>
      </w:r>
      <w:r w:rsidR="54723286">
        <w:t>at</w:t>
      </w:r>
      <w:r w:rsidR="0044759B">
        <w:t xml:space="preserve"> </w:t>
      </w:r>
      <w:r>
        <w:t xml:space="preserve">measure.  </w:t>
      </w:r>
    </w:p>
    <w:p w14:paraId="2CE5998B" w14:textId="142FF917" w:rsidR="009736AB" w:rsidRDefault="009736AB" w:rsidP="009736AB">
      <w:r>
        <w:t xml:space="preserve">In the </w:t>
      </w:r>
      <w:r w:rsidR="00C507BD">
        <w:t>table below</w:t>
      </w:r>
      <w:r>
        <w:t>, measures where M</w:t>
      </w:r>
      <w:r w:rsidR="00C507BD">
        <w:t>assHealth</w:t>
      </w:r>
      <w:r>
        <w:t xml:space="preserve"> rates fall into the bottom two quartiles are highlighted in red.</w:t>
      </w:r>
    </w:p>
    <w:p w14:paraId="5AEA1844" w14:textId="6CC34324" w:rsidR="003B4E99" w:rsidRDefault="006C5AB4" w:rsidP="009736AB">
      <w:r w:rsidRPr="009069AE">
        <w:rPr>
          <w:rStyle w:val="SubtleEmphasis"/>
        </w:rPr>
        <w:t xml:space="preserve">Table </w:t>
      </w:r>
      <w:r>
        <w:rPr>
          <w:rStyle w:val="SubtleEmphasis"/>
        </w:rPr>
        <w:t xml:space="preserve">7: </w:t>
      </w:r>
      <w:r w:rsidR="007B12F7">
        <w:rPr>
          <w:rStyle w:val="SubtleEmphasis"/>
        </w:rPr>
        <w:t xml:space="preserve">MassHealth </w:t>
      </w:r>
      <w:r>
        <w:rPr>
          <w:rStyle w:val="SubtleEmphasis"/>
        </w:rPr>
        <w:t xml:space="preserve">Child Core Measure </w:t>
      </w:r>
      <w:r w:rsidR="00033036">
        <w:rPr>
          <w:rStyle w:val="SubtleEmphasis"/>
        </w:rPr>
        <w:t>Set Percentile Ranking</w:t>
      </w:r>
      <w:r w:rsidR="00146BC7">
        <w:t xml:space="preserve"> </w:t>
      </w:r>
    </w:p>
    <w:tbl>
      <w:tblPr>
        <w:tblStyle w:val="TableGrid"/>
        <w:tblW w:w="5051" w:type="pct"/>
        <w:tblLook w:val="04A0" w:firstRow="1" w:lastRow="0" w:firstColumn="1" w:lastColumn="0" w:noHBand="0" w:noVBand="1"/>
      </w:tblPr>
      <w:tblGrid>
        <w:gridCol w:w="7647"/>
        <w:gridCol w:w="1798"/>
      </w:tblGrid>
      <w:tr w:rsidR="009549C2" w14:paraId="48318EBA" w14:textId="47158975" w:rsidTr="00BC2F64">
        <w:tc>
          <w:tcPr>
            <w:tcW w:w="4048" w:type="pct"/>
          </w:tcPr>
          <w:p w14:paraId="7F402702" w14:textId="77777777" w:rsidR="009549C2" w:rsidRPr="005B399A" w:rsidRDefault="009549C2" w:rsidP="00BC2F64">
            <w:pPr>
              <w:jc w:val="center"/>
              <w:rPr>
                <w:b/>
                <w:bCs/>
              </w:rPr>
            </w:pPr>
            <w:r w:rsidRPr="005B399A">
              <w:rPr>
                <w:b/>
                <w:bCs/>
              </w:rPr>
              <w:t>Measure Name</w:t>
            </w:r>
          </w:p>
        </w:tc>
        <w:tc>
          <w:tcPr>
            <w:tcW w:w="952" w:type="pct"/>
          </w:tcPr>
          <w:p w14:paraId="5B257CCC" w14:textId="6B0F9C67" w:rsidR="009549C2" w:rsidRPr="005B399A" w:rsidRDefault="009549C2" w:rsidP="00BC2F64">
            <w:pPr>
              <w:jc w:val="center"/>
              <w:rPr>
                <w:b/>
                <w:bCs/>
              </w:rPr>
            </w:pPr>
            <w:r w:rsidRPr="005B399A">
              <w:rPr>
                <w:b/>
                <w:bCs/>
              </w:rPr>
              <w:t>MA Quartile 202</w:t>
            </w:r>
            <w:r>
              <w:rPr>
                <w:b/>
                <w:bCs/>
              </w:rPr>
              <w:t>3</w:t>
            </w:r>
            <w:r w:rsidRPr="3DFCCDE3">
              <w:rPr>
                <w:b/>
                <w:bCs/>
              </w:rPr>
              <w:t xml:space="preserve"> Core Set</w:t>
            </w:r>
          </w:p>
        </w:tc>
      </w:tr>
      <w:tr w:rsidR="009549C2" w14:paraId="10C2A8FE" w14:textId="2244F1B7" w:rsidTr="00BC2F64">
        <w:tc>
          <w:tcPr>
            <w:tcW w:w="4048" w:type="pct"/>
          </w:tcPr>
          <w:p w14:paraId="303D4FA3" w14:textId="0EB27667" w:rsidR="009549C2" w:rsidRDefault="009549C2">
            <w:r>
              <w:t xml:space="preserve">Well-Child Visits in the First 30 months of Life – both sub measures </w:t>
            </w:r>
          </w:p>
        </w:tc>
        <w:tc>
          <w:tcPr>
            <w:tcW w:w="952" w:type="pct"/>
          </w:tcPr>
          <w:p w14:paraId="3B24E06E" w14:textId="77777777" w:rsidR="009549C2" w:rsidRDefault="009549C2" w:rsidP="00BC2F64">
            <w:pPr>
              <w:jc w:val="center"/>
            </w:pPr>
            <w:r>
              <w:t>1</w:t>
            </w:r>
          </w:p>
        </w:tc>
      </w:tr>
      <w:tr w:rsidR="009549C2" w14:paraId="08005DEF" w14:textId="2CE6E15E" w:rsidTr="00BC2F64">
        <w:tc>
          <w:tcPr>
            <w:tcW w:w="4048" w:type="pct"/>
          </w:tcPr>
          <w:p w14:paraId="16D9C143" w14:textId="4EA1D9EB" w:rsidR="009549C2" w:rsidRDefault="009549C2">
            <w:r>
              <w:t>Child and Adolescent Well-Care Visits – all sub measures</w:t>
            </w:r>
          </w:p>
        </w:tc>
        <w:tc>
          <w:tcPr>
            <w:tcW w:w="952" w:type="pct"/>
          </w:tcPr>
          <w:p w14:paraId="3AD7E887" w14:textId="77777777" w:rsidR="009549C2" w:rsidRDefault="009549C2" w:rsidP="00BC2F64">
            <w:pPr>
              <w:jc w:val="center"/>
            </w:pPr>
            <w:r>
              <w:t>1</w:t>
            </w:r>
          </w:p>
        </w:tc>
      </w:tr>
      <w:tr w:rsidR="009549C2" w14:paraId="1B31FEDB" w14:textId="31E3E5D5" w:rsidTr="00BC2F64">
        <w:tc>
          <w:tcPr>
            <w:tcW w:w="4048" w:type="pct"/>
          </w:tcPr>
          <w:p w14:paraId="112059F7" w14:textId="77777777" w:rsidR="009549C2" w:rsidRDefault="009549C2">
            <w:r>
              <w:t>Childhood Immunization Status – MMR, Flu, Combination 3 and Combination 10</w:t>
            </w:r>
          </w:p>
        </w:tc>
        <w:tc>
          <w:tcPr>
            <w:tcW w:w="952" w:type="pct"/>
          </w:tcPr>
          <w:p w14:paraId="21281ECA" w14:textId="77777777" w:rsidR="009549C2" w:rsidRDefault="009549C2" w:rsidP="00BC2F64">
            <w:pPr>
              <w:jc w:val="center"/>
            </w:pPr>
            <w:r>
              <w:t>1</w:t>
            </w:r>
          </w:p>
        </w:tc>
      </w:tr>
      <w:tr w:rsidR="009549C2" w14:paraId="53E03C7A" w14:textId="05BD1603" w:rsidTr="00BC2F64">
        <w:tc>
          <w:tcPr>
            <w:tcW w:w="4048" w:type="pct"/>
          </w:tcPr>
          <w:p w14:paraId="680AD85F" w14:textId="77777777" w:rsidR="009549C2" w:rsidRDefault="009549C2">
            <w:r>
              <w:t>Immunizations for Adolescents – HPV, Combination 1</w:t>
            </w:r>
          </w:p>
        </w:tc>
        <w:tc>
          <w:tcPr>
            <w:tcW w:w="952" w:type="pct"/>
          </w:tcPr>
          <w:p w14:paraId="031B92ED" w14:textId="77777777" w:rsidR="009549C2" w:rsidRDefault="009549C2" w:rsidP="00BC2F64">
            <w:pPr>
              <w:jc w:val="center"/>
            </w:pPr>
            <w:r>
              <w:t>1</w:t>
            </w:r>
          </w:p>
        </w:tc>
      </w:tr>
      <w:tr w:rsidR="009549C2" w14:paraId="401F85FB" w14:textId="6589D893" w:rsidTr="00BC2F64">
        <w:tc>
          <w:tcPr>
            <w:tcW w:w="4048" w:type="pct"/>
          </w:tcPr>
          <w:p w14:paraId="5C7CFEDF" w14:textId="77777777" w:rsidR="009549C2" w:rsidRDefault="009549C2">
            <w:r>
              <w:t>Developmental Screening in the First Three Years of Life</w:t>
            </w:r>
          </w:p>
        </w:tc>
        <w:tc>
          <w:tcPr>
            <w:tcW w:w="952" w:type="pct"/>
          </w:tcPr>
          <w:p w14:paraId="424A86BB" w14:textId="77777777" w:rsidR="009549C2" w:rsidRDefault="009549C2" w:rsidP="00BC2F64">
            <w:pPr>
              <w:jc w:val="center"/>
            </w:pPr>
            <w:r>
              <w:t>1</w:t>
            </w:r>
          </w:p>
        </w:tc>
      </w:tr>
      <w:tr w:rsidR="009549C2" w14:paraId="08BF1B62" w14:textId="633D5E9B" w:rsidTr="00BC2F64">
        <w:tc>
          <w:tcPr>
            <w:tcW w:w="4048" w:type="pct"/>
          </w:tcPr>
          <w:p w14:paraId="1463C40E" w14:textId="77777777" w:rsidR="009549C2" w:rsidRDefault="009549C2">
            <w:r>
              <w:t>Chlamydia Screening in Women Ages 16 to 20</w:t>
            </w:r>
          </w:p>
        </w:tc>
        <w:tc>
          <w:tcPr>
            <w:tcW w:w="952" w:type="pct"/>
          </w:tcPr>
          <w:p w14:paraId="526506B4" w14:textId="77777777" w:rsidR="009549C2" w:rsidRDefault="009549C2" w:rsidP="00BC2F64">
            <w:pPr>
              <w:jc w:val="center"/>
            </w:pPr>
            <w:r>
              <w:t>1</w:t>
            </w:r>
          </w:p>
        </w:tc>
      </w:tr>
      <w:tr w:rsidR="009549C2" w14:paraId="0188B086" w14:textId="75851AEE" w:rsidTr="00BC2F64">
        <w:tc>
          <w:tcPr>
            <w:tcW w:w="4048" w:type="pct"/>
          </w:tcPr>
          <w:p w14:paraId="268A38F9" w14:textId="0C175E74" w:rsidR="009549C2" w:rsidRDefault="009549C2">
            <w:r>
              <w:t>Weight Assessment and Counseling for Nutrition and Physical Activity for Children and Adolescents – all sub measures</w:t>
            </w:r>
          </w:p>
        </w:tc>
        <w:tc>
          <w:tcPr>
            <w:tcW w:w="952" w:type="pct"/>
          </w:tcPr>
          <w:p w14:paraId="1FB86F0B" w14:textId="77777777" w:rsidR="009549C2" w:rsidRDefault="009549C2" w:rsidP="00BC2F64">
            <w:pPr>
              <w:jc w:val="center"/>
            </w:pPr>
            <w:r>
              <w:t>1</w:t>
            </w:r>
          </w:p>
        </w:tc>
      </w:tr>
      <w:tr w:rsidR="009549C2" w14:paraId="2A6B1887" w14:textId="5F5AD932" w:rsidTr="00BC2F64">
        <w:tc>
          <w:tcPr>
            <w:tcW w:w="4048" w:type="pct"/>
          </w:tcPr>
          <w:p w14:paraId="73E8A8A4" w14:textId="77777777" w:rsidR="009549C2" w:rsidRDefault="009549C2">
            <w:r>
              <w:t>Prenatal and Postpartum Care: Timeliness of Prenatal Care</w:t>
            </w:r>
          </w:p>
        </w:tc>
        <w:tc>
          <w:tcPr>
            <w:tcW w:w="952" w:type="pct"/>
          </w:tcPr>
          <w:p w14:paraId="3F9AA2FA" w14:textId="77777777" w:rsidR="009549C2" w:rsidRDefault="009549C2" w:rsidP="00BC2F64">
            <w:pPr>
              <w:jc w:val="center"/>
            </w:pPr>
            <w:r>
              <w:t>1</w:t>
            </w:r>
          </w:p>
        </w:tc>
      </w:tr>
      <w:tr w:rsidR="009549C2" w14:paraId="5AC047D5" w14:textId="4F3BEA28" w:rsidTr="00BC2F64">
        <w:tc>
          <w:tcPr>
            <w:tcW w:w="4048" w:type="pct"/>
          </w:tcPr>
          <w:p w14:paraId="6998C65C" w14:textId="39C26899" w:rsidR="009549C2" w:rsidRDefault="009549C2">
            <w:r>
              <w:lastRenderedPageBreak/>
              <w:t>Live Births Weighing Less than 2500 Grams (Measure calculated by CMS using other data sources)</w:t>
            </w:r>
          </w:p>
        </w:tc>
        <w:tc>
          <w:tcPr>
            <w:tcW w:w="952" w:type="pct"/>
          </w:tcPr>
          <w:p w14:paraId="24FEB707" w14:textId="77777777" w:rsidR="009549C2" w:rsidRDefault="009549C2" w:rsidP="00BC2F64">
            <w:pPr>
              <w:jc w:val="center"/>
            </w:pPr>
            <w:r>
              <w:t>2</w:t>
            </w:r>
          </w:p>
        </w:tc>
      </w:tr>
      <w:tr w:rsidR="009549C2" w14:paraId="5F22DD5F" w14:textId="58DDD1DF" w:rsidTr="00BC2F64">
        <w:tc>
          <w:tcPr>
            <w:tcW w:w="4048" w:type="pct"/>
          </w:tcPr>
          <w:p w14:paraId="1D908A60" w14:textId="77777777" w:rsidR="009549C2" w:rsidRPr="00112A85" w:rsidRDefault="009549C2">
            <w:pPr>
              <w:rPr>
                <w:color w:val="ED0000"/>
              </w:rPr>
            </w:pPr>
            <w:r w:rsidRPr="00112A85">
              <w:rPr>
                <w:color w:val="ED0000"/>
              </w:rPr>
              <w:t>Low-Risk Cesarean Delivery (Measure calculated by CMS using other data sources)</w:t>
            </w:r>
          </w:p>
        </w:tc>
        <w:tc>
          <w:tcPr>
            <w:tcW w:w="952" w:type="pct"/>
          </w:tcPr>
          <w:p w14:paraId="4D19501A" w14:textId="77777777" w:rsidR="009549C2" w:rsidRDefault="009549C2" w:rsidP="00BC2F64">
            <w:pPr>
              <w:jc w:val="center"/>
            </w:pPr>
            <w:r>
              <w:t>3</w:t>
            </w:r>
          </w:p>
        </w:tc>
      </w:tr>
      <w:tr w:rsidR="009549C2" w14:paraId="10E411AB" w14:textId="70C1324E" w:rsidTr="00BC2F64">
        <w:trPr>
          <w:trHeight w:val="269"/>
        </w:trPr>
        <w:tc>
          <w:tcPr>
            <w:tcW w:w="4048" w:type="pct"/>
          </w:tcPr>
          <w:p w14:paraId="15023626" w14:textId="7B34A0BD" w:rsidR="009549C2" w:rsidRDefault="009549C2" w:rsidP="0036305A">
            <w:r>
              <w:t xml:space="preserve">Contraceptive Care – Postpartum Women Ages 15-20 </w:t>
            </w:r>
          </w:p>
        </w:tc>
        <w:tc>
          <w:tcPr>
            <w:tcW w:w="952" w:type="pct"/>
            <w:shd w:val="clear" w:color="auto" w:fill="E7E6E6" w:themeFill="background2"/>
          </w:tcPr>
          <w:p w14:paraId="3EB3D06C" w14:textId="2FA757CA" w:rsidR="009549C2" w:rsidRDefault="000346AC" w:rsidP="00112A85">
            <w:pPr>
              <w:jc w:val="center"/>
            </w:pPr>
            <w:r>
              <w:t>N/A</w:t>
            </w:r>
          </w:p>
        </w:tc>
      </w:tr>
      <w:tr w:rsidR="009549C2" w14:paraId="5AC5B2F0" w14:textId="3585ACA0" w:rsidTr="00BC2F64">
        <w:tc>
          <w:tcPr>
            <w:tcW w:w="4048" w:type="pct"/>
          </w:tcPr>
          <w:p w14:paraId="18869A00" w14:textId="518163E1" w:rsidR="009549C2" w:rsidRDefault="000C6017" w:rsidP="000C6017">
            <w:pPr>
              <w:pStyle w:val="ListParagraph"/>
              <w:numPr>
                <w:ilvl w:val="0"/>
                <w:numId w:val="43"/>
              </w:numPr>
            </w:pPr>
            <w:r>
              <w:t>Most/Moderately Effective Methods - 3- and 60-days PP</w:t>
            </w:r>
          </w:p>
        </w:tc>
        <w:tc>
          <w:tcPr>
            <w:tcW w:w="952" w:type="pct"/>
          </w:tcPr>
          <w:p w14:paraId="7ECEB369" w14:textId="77777777" w:rsidR="009549C2" w:rsidRDefault="009549C2" w:rsidP="00BC2F64">
            <w:pPr>
              <w:jc w:val="center"/>
            </w:pPr>
            <w:r>
              <w:t>1</w:t>
            </w:r>
          </w:p>
        </w:tc>
      </w:tr>
      <w:tr w:rsidR="005A63BB" w14:paraId="78B9F814" w14:textId="01412007" w:rsidTr="00BC2F64">
        <w:tc>
          <w:tcPr>
            <w:tcW w:w="4048" w:type="pct"/>
          </w:tcPr>
          <w:p w14:paraId="6D6E7B53" w14:textId="7B75C1F4" w:rsidR="009549C2" w:rsidRDefault="000C6017" w:rsidP="009736AB">
            <w:pPr>
              <w:pStyle w:val="ListParagraph"/>
              <w:numPr>
                <w:ilvl w:val="0"/>
                <w:numId w:val="43"/>
              </w:numPr>
            </w:pPr>
            <w:r>
              <w:t>LARC Methods – 3- and 60-days PP</w:t>
            </w:r>
          </w:p>
        </w:tc>
        <w:tc>
          <w:tcPr>
            <w:tcW w:w="952" w:type="pct"/>
            <w:tcBorders>
              <w:bottom w:val="single" w:sz="4" w:space="0" w:color="auto"/>
            </w:tcBorders>
          </w:tcPr>
          <w:p w14:paraId="427E0CB3" w14:textId="77777777" w:rsidR="009549C2" w:rsidRDefault="009549C2" w:rsidP="00BC2F64">
            <w:pPr>
              <w:jc w:val="center"/>
            </w:pPr>
            <w:r>
              <w:t>1</w:t>
            </w:r>
          </w:p>
        </w:tc>
      </w:tr>
      <w:tr w:rsidR="002F5B28" w14:paraId="74573F37" w14:textId="5FB75598" w:rsidTr="00BC2F64">
        <w:trPr>
          <w:trHeight w:val="269"/>
        </w:trPr>
        <w:tc>
          <w:tcPr>
            <w:tcW w:w="4048" w:type="pct"/>
            <w:tcBorders>
              <w:right w:val="single" w:sz="4" w:space="0" w:color="auto"/>
            </w:tcBorders>
          </w:tcPr>
          <w:p w14:paraId="5CF66A42" w14:textId="7391F027" w:rsidR="002F5B28" w:rsidRDefault="002F5B28" w:rsidP="0036305A">
            <w:r w:rsidRPr="009A29DE">
              <w:t xml:space="preserve">Contraceptive Care – All Women Ages 15-20 </w:t>
            </w:r>
          </w:p>
        </w:tc>
        <w:tc>
          <w:tcPr>
            <w:tcW w:w="952" w:type="pct"/>
            <w:tcBorders>
              <w:top w:val="single" w:sz="4" w:space="0" w:color="auto"/>
              <w:left w:val="single" w:sz="4" w:space="0" w:color="auto"/>
              <w:bottom w:val="single" w:sz="4" w:space="0" w:color="auto"/>
              <w:right w:val="single" w:sz="4" w:space="0" w:color="auto"/>
            </w:tcBorders>
            <w:shd w:val="clear" w:color="auto" w:fill="E7E6E6" w:themeFill="background2"/>
          </w:tcPr>
          <w:p w14:paraId="175B9997" w14:textId="4CF0B0EC" w:rsidR="002F5B28" w:rsidRPr="009A29DE" w:rsidRDefault="002F5B28" w:rsidP="00112A85">
            <w:pPr>
              <w:jc w:val="center"/>
            </w:pPr>
            <w:r>
              <w:t>N/A</w:t>
            </w:r>
          </w:p>
        </w:tc>
      </w:tr>
      <w:tr w:rsidR="002F5B28" w14:paraId="10A300CE" w14:textId="5605AFCF" w:rsidTr="00731751">
        <w:tc>
          <w:tcPr>
            <w:tcW w:w="4048" w:type="pct"/>
            <w:tcBorders>
              <w:right w:val="single" w:sz="4" w:space="0" w:color="auto"/>
            </w:tcBorders>
          </w:tcPr>
          <w:p w14:paraId="522107A2" w14:textId="776923F9" w:rsidR="002F5B28" w:rsidRDefault="002F5B28" w:rsidP="002F5B28">
            <w:pPr>
              <w:pStyle w:val="ListParagraph"/>
              <w:numPr>
                <w:ilvl w:val="0"/>
                <w:numId w:val="43"/>
              </w:numPr>
            </w:pPr>
            <w:r w:rsidRPr="004965A8">
              <w:t>Most/Moderately Effective Methods</w:t>
            </w:r>
          </w:p>
        </w:tc>
        <w:tc>
          <w:tcPr>
            <w:tcW w:w="952" w:type="pct"/>
            <w:tcBorders>
              <w:top w:val="single" w:sz="4" w:space="0" w:color="auto"/>
              <w:left w:val="single" w:sz="4" w:space="0" w:color="auto"/>
            </w:tcBorders>
          </w:tcPr>
          <w:p w14:paraId="582EA5FF" w14:textId="77777777" w:rsidR="002F5B28" w:rsidRDefault="002F5B28" w:rsidP="00BC2F64">
            <w:pPr>
              <w:jc w:val="center"/>
            </w:pPr>
            <w:r>
              <w:t>1</w:t>
            </w:r>
          </w:p>
        </w:tc>
      </w:tr>
      <w:tr w:rsidR="002F5B28" w14:paraId="5462C128" w14:textId="5F838B47" w:rsidTr="00731751">
        <w:tc>
          <w:tcPr>
            <w:tcW w:w="4048" w:type="pct"/>
            <w:tcBorders>
              <w:right w:val="single" w:sz="4" w:space="0" w:color="auto"/>
            </w:tcBorders>
          </w:tcPr>
          <w:p w14:paraId="58629828" w14:textId="0DABBCD7" w:rsidR="002F5B28" w:rsidRDefault="002F5B28" w:rsidP="009736AB">
            <w:pPr>
              <w:pStyle w:val="ListParagraph"/>
              <w:numPr>
                <w:ilvl w:val="0"/>
                <w:numId w:val="43"/>
              </w:numPr>
            </w:pPr>
            <w:r w:rsidRPr="004965A8">
              <w:t>LARC</w:t>
            </w:r>
          </w:p>
        </w:tc>
        <w:tc>
          <w:tcPr>
            <w:tcW w:w="952" w:type="pct"/>
            <w:tcBorders>
              <w:left w:val="single" w:sz="4" w:space="0" w:color="auto"/>
            </w:tcBorders>
          </w:tcPr>
          <w:p w14:paraId="59740EA5" w14:textId="77777777" w:rsidR="002F5B28" w:rsidRDefault="002F5B28" w:rsidP="00BC2F64">
            <w:pPr>
              <w:jc w:val="center"/>
            </w:pPr>
            <w:r>
              <w:t>2</w:t>
            </w:r>
          </w:p>
        </w:tc>
      </w:tr>
      <w:tr w:rsidR="009549C2" w14:paraId="2839BDFA" w14:textId="267613B0" w:rsidTr="00BC2F64">
        <w:trPr>
          <w:trHeight w:val="269"/>
        </w:trPr>
        <w:tc>
          <w:tcPr>
            <w:tcW w:w="4048" w:type="pct"/>
          </w:tcPr>
          <w:p w14:paraId="65988BD8" w14:textId="64C4A9C5" w:rsidR="009549C2" w:rsidRPr="0036305A" w:rsidRDefault="009549C2" w:rsidP="0036305A">
            <w:pPr>
              <w:rPr>
                <w:color w:val="ED0000"/>
              </w:rPr>
            </w:pPr>
            <w:r w:rsidRPr="00112A85">
              <w:rPr>
                <w:color w:val="ED0000"/>
              </w:rPr>
              <w:t xml:space="preserve">Asthma Medication Ratio </w:t>
            </w:r>
          </w:p>
        </w:tc>
        <w:tc>
          <w:tcPr>
            <w:tcW w:w="952" w:type="pct"/>
            <w:shd w:val="clear" w:color="auto" w:fill="E7E6E6" w:themeFill="background2"/>
          </w:tcPr>
          <w:p w14:paraId="1ADE1C95" w14:textId="3E042489" w:rsidR="009549C2" w:rsidRPr="007E273D" w:rsidRDefault="000346AC" w:rsidP="00112A85">
            <w:pPr>
              <w:jc w:val="center"/>
              <w:rPr>
                <w:color w:val="FF0000"/>
              </w:rPr>
            </w:pPr>
            <w:r>
              <w:t>N/A</w:t>
            </w:r>
          </w:p>
        </w:tc>
      </w:tr>
      <w:tr w:rsidR="009549C2" w14:paraId="26286A31" w14:textId="200E0580" w:rsidTr="00BC2F64">
        <w:tc>
          <w:tcPr>
            <w:tcW w:w="4048" w:type="pct"/>
          </w:tcPr>
          <w:p w14:paraId="4A39F7DC" w14:textId="69836ED2" w:rsidR="009549C2" w:rsidRPr="00112A85" w:rsidRDefault="0035551E" w:rsidP="00DD2BDD">
            <w:pPr>
              <w:pStyle w:val="ListParagraph"/>
              <w:numPr>
                <w:ilvl w:val="0"/>
                <w:numId w:val="43"/>
              </w:numPr>
              <w:rPr>
                <w:color w:val="ED0000"/>
              </w:rPr>
            </w:pPr>
            <w:r w:rsidRPr="00DD0C0E">
              <w:rPr>
                <w:color w:val="ED0000"/>
              </w:rPr>
              <w:t>Ages 5-11</w:t>
            </w:r>
          </w:p>
        </w:tc>
        <w:tc>
          <w:tcPr>
            <w:tcW w:w="952" w:type="pct"/>
          </w:tcPr>
          <w:p w14:paraId="2CE69D2C" w14:textId="77777777" w:rsidR="009549C2" w:rsidRDefault="009549C2" w:rsidP="00BC2F64">
            <w:pPr>
              <w:jc w:val="center"/>
            </w:pPr>
            <w:r>
              <w:t>4</w:t>
            </w:r>
          </w:p>
        </w:tc>
      </w:tr>
      <w:tr w:rsidR="009549C2" w14:paraId="78A7ECC7" w14:textId="24C2C34C" w:rsidTr="00BC2F64">
        <w:tc>
          <w:tcPr>
            <w:tcW w:w="4048" w:type="pct"/>
          </w:tcPr>
          <w:p w14:paraId="777E9F08" w14:textId="2CCE4041" w:rsidR="009549C2" w:rsidRDefault="0035551E" w:rsidP="009736AB">
            <w:pPr>
              <w:pStyle w:val="ListParagraph"/>
              <w:numPr>
                <w:ilvl w:val="0"/>
                <w:numId w:val="43"/>
              </w:numPr>
            </w:pPr>
            <w:r w:rsidRPr="00DD0C0E">
              <w:rPr>
                <w:color w:val="ED0000"/>
              </w:rPr>
              <w:t>Ages 12-18</w:t>
            </w:r>
          </w:p>
        </w:tc>
        <w:tc>
          <w:tcPr>
            <w:tcW w:w="952" w:type="pct"/>
          </w:tcPr>
          <w:p w14:paraId="4FA7EFD0" w14:textId="77777777" w:rsidR="009549C2" w:rsidRDefault="009549C2" w:rsidP="00BC2F64">
            <w:pPr>
              <w:jc w:val="center"/>
            </w:pPr>
            <w:r>
              <w:t>4</w:t>
            </w:r>
          </w:p>
        </w:tc>
      </w:tr>
      <w:tr w:rsidR="009549C2" w14:paraId="0484E482" w14:textId="53198E21" w:rsidTr="00BC2F64">
        <w:tc>
          <w:tcPr>
            <w:tcW w:w="4048" w:type="pct"/>
          </w:tcPr>
          <w:p w14:paraId="5D3395E9" w14:textId="77777777" w:rsidR="009549C2" w:rsidRDefault="009549C2">
            <w:r>
              <w:t>Avoidance of Antibiotic Treatment for Acute Bronchitis/Bronchiolitis Ages 3 months to 17 years</w:t>
            </w:r>
          </w:p>
        </w:tc>
        <w:tc>
          <w:tcPr>
            <w:tcW w:w="952" w:type="pct"/>
          </w:tcPr>
          <w:p w14:paraId="1F0B0328" w14:textId="77777777" w:rsidR="009549C2" w:rsidRDefault="009549C2" w:rsidP="00BC2F64">
            <w:pPr>
              <w:jc w:val="center"/>
            </w:pPr>
            <w:r>
              <w:t>1</w:t>
            </w:r>
          </w:p>
        </w:tc>
      </w:tr>
      <w:tr w:rsidR="009549C2" w14:paraId="28DBB30E" w14:textId="6F3F6416" w:rsidTr="00BC2F64">
        <w:tc>
          <w:tcPr>
            <w:tcW w:w="4048" w:type="pct"/>
          </w:tcPr>
          <w:p w14:paraId="793F13EF" w14:textId="77777777" w:rsidR="009549C2" w:rsidRDefault="009549C2">
            <w:r>
              <w:t xml:space="preserve">Ambulatory Care:  ED Visits  </w:t>
            </w:r>
          </w:p>
        </w:tc>
        <w:tc>
          <w:tcPr>
            <w:tcW w:w="952" w:type="pct"/>
          </w:tcPr>
          <w:p w14:paraId="03ECA752" w14:textId="77777777" w:rsidR="009549C2" w:rsidRDefault="009549C2" w:rsidP="00BC2F64">
            <w:pPr>
              <w:jc w:val="center"/>
            </w:pPr>
            <w:r>
              <w:t>2</w:t>
            </w:r>
          </w:p>
        </w:tc>
      </w:tr>
      <w:tr w:rsidR="009549C2" w14:paraId="78E5C220" w14:textId="36C74E65" w:rsidTr="00BC2F64">
        <w:tc>
          <w:tcPr>
            <w:tcW w:w="4048" w:type="pct"/>
          </w:tcPr>
          <w:p w14:paraId="0F70F7C1" w14:textId="77777777" w:rsidR="009549C2" w:rsidRDefault="009549C2">
            <w:r>
              <w:t>Follow-up After Emergency Department Visit for Substance Use - 7 and 30 days</w:t>
            </w:r>
          </w:p>
        </w:tc>
        <w:tc>
          <w:tcPr>
            <w:tcW w:w="952" w:type="pct"/>
          </w:tcPr>
          <w:p w14:paraId="7BDD6E84" w14:textId="77777777" w:rsidR="009549C2" w:rsidRDefault="009549C2" w:rsidP="00BC2F64">
            <w:pPr>
              <w:jc w:val="center"/>
            </w:pPr>
            <w:r>
              <w:t>1</w:t>
            </w:r>
          </w:p>
        </w:tc>
      </w:tr>
      <w:tr w:rsidR="009549C2" w14:paraId="7900ACFF" w14:textId="32C794A8" w:rsidTr="00BC2F64">
        <w:tc>
          <w:tcPr>
            <w:tcW w:w="4048" w:type="pct"/>
          </w:tcPr>
          <w:p w14:paraId="21552F5A" w14:textId="37A83825" w:rsidR="009549C2" w:rsidRDefault="009549C2">
            <w:r>
              <w:t>Follow-up After Emergency Department Visit for Mental Illness – 7 and 30 days</w:t>
            </w:r>
          </w:p>
        </w:tc>
        <w:tc>
          <w:tcPr>
            <w:tcW w:w="952" w:type="pct"/>
          </w:tcPr>
          <w:p w14:paraId="5C064E8F" w14:textId="77777777" w:rsidR="009549C2" w:rsidRDefault="009549C2" w:rsidP="00BC2F64">
            <w:pPr>
              <w:jc w:val="center"/>
            </w:pPr>
            <w:r>
              <w:t>1</w:t>
            </w:r>
          </w:p>
        </w:tc>
      </w:tr>
      <w:tr w:rsidR="009549C2" w14:paraId="517A9994" w14:textId="149B0D5D" w:rsidTr="00BC2F64">
        <w:tc>
          <w:tcPr>
            <w:tcW w:w="4048" w:type="pct"/>
          </w:tcPr>
          <w:p w14:paraId="29F9A5CE" w14:textId="77777777" w:rsidR="009549C2" w:rsidRDefault="009549C2">
            <w:r>
              <w:t>Follow-up After Hospitalization for Mental Illness – 7 and 30 days</w:t>
            </w:r>
          </w:p>
        </w:tc>
        <w:tc>
          <w:tcPr>
            <w:tcW w:w="952" w:type="pct"/>
          </w:tcPr>
          <w:p w14:paraId="695A8A5A" w14:textId="77777777" w:rsidR="009549C2" w:rsidRDefault="009549C2" w:rsidP="00BC2F64">
            <w:pPr>
              <w:jc w:val="center"/>
            </w:pPr>
            <w:r>
              <w:t>1</w:t>
            </w:r>
          </w:p>
        </w:tc>
      </w:tr>
      <w:tr w:rsidR="009549C2" w14:paraId="0F1DC7B3" w14:textId="05105777" w:rsidTr="00BC2F64">
        <w:tc>
          <w:tcPr>
            <w:tcW w:w="4048" w:type="pct"/>
          </w:tcPr>
          <w:p w14:paraId="67629868" w14:textId="7F565D63" w:rsidR="009549C2" w:rsidRDefault="009549C2">
            <w:r>
              <w:t>Follow-up Care for Children Prescribed ADHD Medication – Initiation and Continuation sub measures</w:t>
            </w:r>
          </w:p>
        </w:tc>
        <w:tc>
          <w:tcPr>
            <w:tcW w:w="952" w:type="pct"/>
          </w:tcPr>
          <w:p w14:paraId="4C7DBF39" w14:textId="77777777" w:rsidR="009549C2" w:rsidRDefault="009549C2" w:rsidP="00BC2F64">
            <w:pPr>
              <w:jc w:val="center"/>
            </w:pPr>
            <w:r>
              <w:t>2</w:t>
            </w:r>
          </w:p>
        </w:tc>
      </w:tr>
      <w:tr w:rsidR="009549C2" w14:paraId="74A421BD" w14:textId="15765140" w:rsidTr="00BC2F64">
        <w:tc>
          <w:tcPr>
            <w:tcW w:w="4048" w:type="pct"/>
          </w:tcPr>
          <w:p w14:paraId="0482D747" w14:textId="77777777" w:rsidR="009549C2" w:rsidRDefault="009549C2">
            <w:r>
              <w:t>Use of First-Line Psychosocial Care for Children and Adolescents on Antipsychotics</w:t>
            </w:r>
          </w:p>
        </w:tc>
        <w:tc>
          <w:tcPr>
            <w:tcW w:w="952" w:type="pct"/>
          </w:tcPr>
          <w:p w14:paraId="2A896994" w14:textId="77777777" w:rsidR="009549C2" w:rsidRDefault="009549C2" w:rsidP="00BC2F64">
            <w:pPr>
              <w:jc w:val="center"/>
            </w:pPr>
            <w:r>
              <w:t>1</w:t>
            </w:r>
          </w:p>
        </w:tc>
      </w:tr>
      <w:tr w:rsidR="009549C2" w14:paraId="09C5A51A" w14:textId="2DFD2B87" w:rsidTr="00BC2F64">
        <w:tc>
          <w:tcPr>
            <w:tcW w:w="4048" w:type="pct"/>
          </w:tcPr>
          <w:p w14:paraId="57AF3ABB" w14:textId="70F71C6E" w:rsidR="009549C2" w:rsidRDefault="009549C2">
            <w:r>
              <w:t>Metabolic Monitoring for Children and Adolescents on Antipsychotics – Total and separate glucose and cholesterol sub measures</w:t>
            </w:r>
          </w:p>
        </w:tc>
        <w:tc>
          <w:tcPr>
            <w:tcW w:w="952" w:type="pct"/>
          </w:tcPr>
          <w:p w14:paraId="786D0780" w14:textId="77777777" w:rsidR="009549C2" w:rsidRDefault="009549C2" w:rsidP="00BC2F64">
            <w:pPr>
              <w:jc w:val="center"/>
            </w:pPr>
            <w:r>
              <w:t>1</w:t>
            </w:r>
          </w:p>
        </w:tc>
      </w:tr>
      <w:tr w:rsidR="009549C2" w14:paraId="74805481" w14:textId="31ACE03F" w:rsidTr="00BC2F64">
        <w:tc>
          <w:tcPr>
            <w:tcW w:w="4048" w:type="pct"/>
          </w:tcPr>
          <w:p w14:paraId="7E5B83A0" w14:textId="77777777" w:rsidR="009549C2" w:rsidRDefault="009549C2">
            <w:r>
              <w:t>Oral Evaluation, Dental Services</w:t>
            </w:r>
          </w:p>
        </w:tc>
        <w:tc>
          <w:tcPr>
            <w:tcW w:w="952" w:type="pct"/>
          </w:tcPr>
          <w:p w14:paraId="17D57F46" w14:textId="77777777" w:rsidR="009549C2" w:rsidRDefault="009549C2" w:rsidP="00BC2F64">
            <w:pPr>
              <w:jc w:val="center"/>
            </w:pPr>
            <w:r>
              <w:t>1</w:t>
            </w:r>
          </w:p>
        </w:tc>
      </w:tr>
      <w:tr w:rsidR="009549C2" w14:paraId="00DC6093" w14:textId="66901520" w:rsidTr="00BC2F64">
        <w:tc>
          <w:tcPr>
            <w:tcW w:w="4048" w:type="pct"/>
          </w:tcPr>
          <w:p w14:paraId="7A36BBEA" w14:textId="77777777" w:rsidR="009549C2" w:rsidRDefault="009549C2">
            <w:r>
              <w:t>Topical Fluoride for Children</w:t>
            </w:r>
          </w:p>
        </w:tc>
        <w:tc>
          <w:tcPr>
            <w:tcW w:w="952" w:type="pct"/>
          </w:tcPr>
          <w:p w14:paraId="20D4054F" w14:textId="77777777" w:rsidR="009549C2" w:rsidRDefault="009549C2" w:rsidP="00BC2F64">
            <w:pPr>
              <w:jc w:val="center"/>
            </w:pPr>
            <w:r>
              <w:t>1</w:t>
            </w:r>
          </w:p>
        </w:tc>
      </w:tr>
      <w:tr w:rsidR="009549C2" w14:paraId="3143C595" w14:textId="0786D0C3" w:rsidTr="00BC2F64">
        <w:tc>
          <w:tcPr>
            <w:tcW w:w="4048" w:type="pct"/>
          </w:tcPr>
          <w:p w14:paraId="217195B6" w14:textId="77777777" w:rsidR="009549C2" w:rsidRDefault="009549C2">
            <w:r>
              <w:t xml:space="preserve">Sealant Receipt on Permanent First Molars – all 4 </w:t>
            </w:r>
          </w:p>
        </w:tc>
        <w:tc>
          <w:tcPr>
            <w:tcW w:w="952" w:type="pct"/>
          </w:tcPr>
          <w:p w14:paraId="1D892456" w14:textId="77777777" w:rsidR="009549C2" w:rsidRDefault="009549C2" w:rsidP="00BC2F64">
            <w:pPr>
              <w:jc w:val="center"/>
            </w:pPr>
            <w:r>
              <w:t>1</w:t>
            </w:r>
          </w:p>
        </w:tc>
      </w:tr>
      <w:tr w:rsidR="009549C2" w14:paraId="1F027EA6" w14:textId="08D9BDB7" w:rsidTr="00BC2F64">
        <w:trPr>
          <w:trHeight w:val="332"/>
        </w:trPr>
        <w:tc>
          <w:tcPr>
            <w:tcW w:w="4048" w:type="pct"/>
          </w:tcPr>
          <w:p w14:paraId="5CEEEA68" w14:textId="7F6CDF9F" w:rsidR="009549C2" w:rsidRDefault="009549C2" w:rsidP="0036305A">
            <w:r>
              <w:t xml:space="preserve">CAHPS 5.1H Child Version </w:t>
            </w:r>
          </w:p>
        </w:tc>
        <w:tc>
          <w:tcPr>
            <w:tcW w:w="952" w:type="pct"/>
            <w:shd w:val="clear" w:color="auto" w:fill="E7E6E6" w:themeFill="background2"/>
          </w:tcPr>
          <w:p w14:paraId="54A37D15" w14:textId="74B4D795" w:rsidR="009549C2" w:rsidRDefault="000346AC" w:rsidP="00BC2F64">
            <w:pPr>
              <w:jc w:val="center"/>
            </w:pPr>
            <w:r>
              <w:t>N/A</w:t>
            </w:r>
          </w:p>
        </w:tc>
      </w:tr>
      <w:tr w:rsidR="009549C2" w14:paraId="5DFBC1F6" w14:textId="6D8056EC" w:rsidTr="00BC2F64">
        <w:trPr>
          <w:trHeight w:val="332"/>
        </w:trPr>
        <w:tc>
          <w:tcPr>
            <w:tcW w:w="4048" w:type="pct"/>
          </w:tcPr>
          <w:p w14:paraId="3DC16EFC" w14:textId="38C59CF8" w:rsidR="009549C2" w:rsidRPr="00112A85" w:rsidRDefault="001E36D6" w:rsidP="00112A85">
            <w:pPr>
              <w:pStyle w:val="ListParagraph"/>
              <w:numPr>
                <w:ilvl w:val="0"/>
                <w:numId w:val="43"/>
              </w:numPr>
              <w:rPr>
                <w:color w:val="ED0000"/>
              </w:rPr>
            </w:pPr>
            <w:r w:rsidRPr="00DD0C0E">
              <w:rPr>
                <w:color w:val="ED0000"/>
              </w:rPr>
              <w:t>Percent of children always getting needed care</w:t>
            </w:r>
          </w:p>
        </w:tc>
        <w:tc>
          <w:tcPr>
            <w:tcW w:w="952" w:type="pct"/>
          </w:tcPr>
          <w:p w14:paraId="40CB9ABB" w14:textId="77777777" w:rsidR="009549C2" w:rsidRDefault="009549C2" w:rsidP="00BC2F64">
            <w:pPr>
              <w:jc w:val="center"/>
            </w:pPr>
            <w:r>
              <w:t>3</w:t>
            </w:r>
          </w:p>
        </w:tc>
      </w:tr>
      <w:tr w:rsidR="009549C2" w14:paraId="5E46E9AF" w14:textId="0AF62C49" w:rsidTr="00BC2F64">
        <w:trPr>
          <w:trHeight w:val="332"/>
        </w:trPr>
        <w:tc>
          <w:tcPr>
            <w:tcW w:w="4048" w:type="pct"/>
          </w:tcPr>
          <w:p w14:paraId="1E4CE5E4" w14:textId="440E28DF" w:rsidR="009549C2" w:rsidRPr="00112A85" w:rsidRDefault="001E36D6" w:rsidP="00112A85">
            <w:pPr>
              <w:pStyle w:val="ListParagraph"/>
              <w:numPr>
                <w:ilvl w:val="0"/>
                <w:numId w:val="43"/>
              </w:numPr>
              <w:rPr>
                <w:color w:val="ED0000"/>
              </w:rPr>
            </w:pPr>
            <w:r w:rsidRPr="00DD0C0E">
              <w:rPr>
                <w:color w:val="ED0000"/>
              </w:rPr>
              <w:t>Percent of children who always got care quickly</w:t>
            </w:r>
          </w:p>
        </w:tc>
        <w:tc>
          <w:tcPr>
            <w:tcW w:w="952" w:type="pct"/>
          </w:tcPr>
          <w:p w14:paraId="071C2869" w14:textId="77777777" w:rsidR="009549C2" w:rsidRDefault="009549C2" w:rsidP="00BC2F64">
            <w:pPr>
              <w:jc w:val="center"/>
            </w:pPr>
            <w:r>
              <w:t>4</w:t>
            </w:r>
          </w:p>
        </w:tc>
      </w:tr>
      <w:tr w:rsidR="009549C2" w14:paraId="459F03FE" w14:textId="037783F5" w:rsidTr="00BC2F64">
        <w:trPr>
          <w:trHeight w:val="332"/>
        </w:trPr>
        <w:tc>
          <w:tcPr>
            <w:tcW w:w="4048" w:type="pct"/>
          </w:tcPr>
          <w:p w14:paraId="617FB87D" w14:textId="7C756607" w:rsidR="009549C2" w:rsidRPr="00112A85" w:rsidRDefault="001E36D6" w:rsidP="00112A85">
            <w:pPr>
              <w:pStyle w:val="ListParagraph"/>
              <w:numPr>
                <w:ilvl w:val="0"/>
                <w:numId w:val="43"/>
              </w:numPr>
              <w:rPr>
                <w:color w:val="ED0000"/>
              </w:rPr>
            </w:pPr>
            <w:r w:rsidRPr="00DD0C0E">
              <w:rPr>
                <w:color w:val="ED0000"/>
              </w:rPr>
              <w:t xml:space="preserve">Percent of children whose </w:t>
            </w:r>
            <w:proofErr w:type="gramStart"/>
            <w:r w:rsidRPr="00DD0C0E">
              <w:rPr>
                <w:color w:val="ED0000"/>
              </w:rPr>
              <w:t>doctor</w:t>
            </w:r>
            <w:proofErr w:type="gramEnd"/>
            <w:r w:rsidRPr="00DD0C0E">
              <w:rPr>
                <w:color w:val="ED0000"/>
              </w:rPr>
              <w:t xml:space="preserve"> always communicated well</w:t>
            </w:r>
          </w:p>
        </w:tc>
        <w:tc>
          <w:tcPr>
            <w:tcW w:w="952" w:type="pct"/>
          </w:tcPr>
          <w:p w14:paraId="7BD56C0C" w14:textId="77777777" w:rsidR="009549C2" w:rsidRDefault="009549C2" w:rsidP="00BC2F64">
            <w:pPr>
              <w:jc w:val="center"/>
            </w:pPr>
            <w:r>
              <w:t>3</w:t>
            </w:r>
          </w:p>
        </w:tc>
      </w:tr>
      <w:tr w:rsidR="009549C2" w14:paraId="53069DD3" w14:textId="53AE6B4D" w:rsidTr="00BC2F64">
        <w:trPr>
          <w:trHeight w:val="285"/>
        </w:trPr>
        <w:tc>
          <w:tcPr>
            <w:tcW w:w="4048" w:type="pct"/>
          </w:tcPr>
          <w:p w14:paraId="0068F607" w14:textId="0653687C" w:rsidR="009549C2" w:rsidRPr="00112A85" w:rsidRDefault="001E36D6" w:rsidP="00112A85">
            <w:pPr>
              <w:pStyle w:val="ListParagraph"/>
              <w:numPr>
                <w:ilvl w:val="0"/>
                <w:numId w:val="43"/>
              </w:numPr>
              <w:rPr>
                <w:color w:val="ED0000"/>
              </w:rPr>
            </w:pPr>
            <w:proofErr w:type="gramStart"/>
            <w:r w:rsidRPr="00DD0C0E">
              <w:rPr>
                <w:color w:val="ED0000"/>
              </w:rPr>
              <w:t>Percent</w:t>
            </w:r>
            <w:proofErr w:type="gramEnd"/>
            <w:r w:rsidRPr="00DD0C0E">
              <w:rPr>
                <w:color w:val="ED0000"/>
              </w:rPr>
              <w:t xml:space="preserve"> of children whose health plan’s customer service always gave helpful information and </w:t>
            </w:r>
            <w:proofErr w:type="gramStart"/>
            <w:r w:rsidRPr="00DD0C0E">
              <w:rPr>
                <w:color w:val="ED0000"/>
              </w:rPr>
              <w:t>was</w:t>
            </w:r>
            <w:proofErr w:type="gramEnd"/>
            <w:r w:rsidRPr="00DD0C0E">
              <w:rPr>
                <w:color w:val="ED0000"/>
              </w:rPr>
              <w:t xml:space="preserve"> courteous and respectful</w:t>
            </w:r>
          </w:p>
        </w:tc>
        <w:tc>
          <w:tcPr>
            <w:tcW w:w="952" w:type="pct"/>
          </w:tcPr>
          <w:p w14:paraId="55B31A59" w14:textId="77777777" w:rsidR="009549C2" w:rsidRDefault="009549C2" w:rsidP="00BC2F64">
            <w:pPr>
              <w:jc w:val="center"/>
            </w:pPr>
            <w:r>
              <w:t>4</w:t>
            </w:r>
          </w:p>
        </w:tc>
      </w:tr>
      <w:tr w:rsidR="009549C2" w14:paraId="53CA05B5" w14:textId="71F543AC" w:rsidTr="00BC2F64">
        <w:trPr>
          <w:trHeight w:val="280"/>
        </w:trPr>
        <w:tc>
          <w:tcPr>
            <w:tcW w:w="4048" w:type="pct"/>
          </w:tcPr>
          <w:p w14:paraId="3FE1998B" w14:textId="39A00888" w:rsidR="009549C2" w:rsidRDefault="001E36D6" w:rsidP="00112A85">
            <w:pPr>
              <w:pStyle w:val="ListParagraph"/>
              <w:numPr>
                <w:ilvl w:val="0"/>
                <w:numId w:val="43"/>
              </w:numPr>
            </w:pPr>
            <w:r>
              <w:t>Percent of children whose personal doctor was rated 9 or 10</w:t>
            </w:r>
          </w:p>
        </w:tc>
        <w:tc>
          <w:tcPr>
            <w:tcW w:w="952" w:type="pct"/>
          </w:tcPr>
          <w:p w14:paraId="4CCC46EE" w14:textId="77777777" w:rsidR="009549C2" w:rsidRDefault="009549C2" w:rsidP="00BC2F64">
            <w:pPr>
              <w:jc w:val="center"/>
            </w:pPr>
            <w:r>
              <w:t>2</w:t>
            </w:r>
          </w:p>
        </w:tc>
      </w:tr>
      <w:tr w:rsidR="009549C2" w14:paraId="6617439E" w14:textId="20DB6B19" w:rsidTr="00BC2F64">
        <w:trPr>
          <w:trHeight w:val="280"/>
        </w:trPr>
        <w:tc>
          <w:tcPr>
            <w:tcW w:w="4048" w:type="pct"/>
          </w:tcPr>
          <w:p w14:paraId="0849C427" w14:textId="7177CF12" w:rsidR="009549C2" w:rsidRPr="00112A85" w:rsidRDefault="001E36D6" w:rsidP="00112A85">
            <w:pPr>
              <w:pStyle w:val="ListParagraph"/>
              <w:numPr>
                <w:ilvl w:val="0"/>
                <w:numId w:val="43"/>
              </w:numPr>
              <w:rPr>
                <w:color w:val="ED0000"/>
              </w:rPr>
            </w:pPr>
            <w:r w:rsidRPr="00DD0C0E">
              <w:rPr>
                <w:color w:val="ED0000"/>
              </w:rPr>
              <w:t>Percent of children whose specialist was rated 9 or 10</w:t>
            </w:r>
          </w:p>
        </w:tc>
        <w:tc>
          <w:tcPr>
            <w:tcW w:w="952" w:type="pct"/>
          </w:tcPr>
          <w:p w14:paraId="10F6C604" w14:textId="77777777" w:rsidR="009549C2" w:rsidRDefault="009549C2" w:rsidP="00BC2F64">
            <w:pPr>
              <w:jc w:val="center"/>
            </w:pPr>
            <w:r>
              <w:t>4</w:t>
            </w:r>
          </w:p>
        </w:tc>
      </w:tr>
      <w:tr w:rsidR="009549C2" w14:paraId="3369A9C5" w14:textId="0F6F648A" w:rsidTr="00BC2F64">
        <w:trPr>
          <w:trHeight w:val="280"/>
        </w:trPr>
        <w:tc>
          <w:tcPr>
            <w:tcW w:w="4048" w:type="pct"/>
          </w:tcPr>
          <w:p w14:paraId="2589FF22" w14:textId="492BDFA8" w:rsidR="009549C2" w:rsidRPr="00112A85" w:rsidRDefault="001E36D6" w:rsidP="00112A85">
            <w:pPr>
              <w:pStyle w:val="ListParagraph"/>
              <w:numPr>
                <w:ilvl w:val="0"/>
                <w:numId w:val="43"/>
              </w:numPr>
              <w:rPr>
                <w:color w:val="ED0000"/>
              </w:rPr>
            </w:pPr>
            <w:r w:rsidRPr="00DD0C0E">
              <w:rPr>
                <w:color w:val="ED0000"/>
              </w:rPr>
              <w:t>Percent of children whose health care was rated 9 or 10</w:t>
            </w:r>
          </w:p>
        </w:tc>
        <w:tc>
          <w:tcPr>
            <w:tcW w:w="952" w:type="pct"/>
          </w:tcPr>
          <w:p w14:paraId="3A0D830F" w14:textId="77777777" w:rsidR="009549C2" w:rsidRDefault="009549C2" w:rsidP="00BC2F64">
            <w:pPr>
              <w:jc w:val="center"/>
            </w:pPr>
            <w:r>
              <w:t>3</w:t>
            </w:r>
          </w:p>
        </w:tc>
      </w:tr>
      <w:tr w:rsidR="005A63BB" w14:paraId="0F063B8F" w14:textId="3D43B40A" w:rsidTr="00BC2F64">
        <w:trPr>
          <w:trHeight w:val="280"/>
        </w:trPr>
        <w:tc>
          <w:tcPr>
            <w:tcW w:w="4048" w:type="pct"/>
          </w:tcPr>
          <w:p w14:paraId="77A2C3CE" w14:textId="17DD5815" w:rsidR="005A63BB" w:rsidRDefault="001E36D6" w:rsidP="00112A85">
            <w:pPr>
              <w:pStyle w:val="ListParagraph"/>
              <w:numPr>
                <w:ilvl w:val="0"/>
                <w:numId w:val="43"/>
              </w:numPr>
            </w:pPr>
            <w:bookmarkStart w:id="14" w:name="_Hlk185858245"/>
            <w:r w:rsidRPr="00112A85">
              <w:rPr>
                <w:color w:val="ED0000"/>
              </w:rPr>
              <w:t>Percent of children whose health plan was rated 9 or 10</w:t>
            </w:r>
          </w:p>
        </w:tc>
        <w:tc>
          <w:tcPr>
            <w:tcW w:w="952" w:type="pct"/>
          </w:tcPr>
          <w:p w14:paraId="3A3E9C7D" w14:textId="77777777" w:rsidR="005A63BB" w:rsidRDefault="005A63BB" w:rsidP="00BC2F64">
            <w:pPr>
              <w:jc w:val="center"/>
            </w:pPr>
            <w:r>
              <w:t>4</w:t>
            </w:r>
          </w:p>
        </w:tc>
      </w:tr>
      <w:bookmarkEnd w:id="14"/>
    </w:tbl>
    <w:p w14:paraId="7D278FBF" w14:textId="77777777" w:rsidR="009736AB" w:rsidRDefault="009736AB" w:rsidP="009736AB">
      <w:pPr>
        <w:rPr>
          <w:b/>
          <w:bCs/>
        </w:rPr>
      </w:pPr>
    </w:p>
    <w:p w14:paraId="71C2986E" w14:textId="77777777" w:rsidR="009736AB" w:rsidRPr="00FD3FBC" w:rsidRDefault="009736AB" w:rsidP="009736AB">
      <w:pPr>
        <w:rPr>
          <w:b/>
          <w:bCs/>
        </w:rPr>
      </w:pPr>
      <w:r w:rsidRPr="00FD3FBC">
        <w:rPr>
          <w:b/>
          <w:bCs/>
        </w:rPr>
        <w:t xml:space="preserve">ADULT CORE </w:t>
      </w:r>
      <w:r>
        <w:rPr>
          <w:b/>
          <w:bCs/>
        </w:rPr>
        <w:t xml:space="preserve">2023 </w:t>
      </w:r>
      <w:r w:rsidRPr="00FD3FBC">
        <w:rPr>
          <w:b/>
          <w:bCs/>
        </w:rPr>
        <w:t>MEASURE SET</w:t>
      </w:r>
    </w:p>
    <w:p w14:paraId="38F343DA" w14:textId="19F3A3DB" w:rsidR="009736AB" w:rsidRDefault="009736AB" w:rsidP="009736AB">
      <w:r>
        <w:t>Mass</w:t>
      </w:r>
      <w:r w:rsidR="00EE481F">
        <w:t>Health</w:t>
      </w:r>
      <w:r>
        <w:t xml:space="preserve"> reported 30 of the 34 measures in the 2023 Adult Core Measure set.  Rates for 30 measures </w:t>
      </w:r>
      <w:r w:rsidR="1B0058CE">
        <w:t xml:space="preserve">met the criteria for being reported by CMS across all states.  </w:t>
      </w:r>
      <w:r w:rsidR="78482067">
        <w:t>In December 2024, CMS issued a chart pack that indicates</w:t>
      </w:r>
      <w:r>
        <w:t xml:space="preserve"> into which quartile a state’s rate fell, as compared with the rate from all other states that reported on the measure.  </w:t>
      </w:r>
    </w:p>
    <w:p w14:paraId="677ECA20" w14:textId="22C87D84" w:rsidR="009736AB" w:rsidRDefault="009736AB" w:rsidP="009736AB">
      <w:r>
        <w:t xml:space="preserve">In the </w:t>
      </w:r>
      <w:r w:rsidR="00E16FF9">
        <w:t>table below</w:t>
      </w:r>
      <w:r>
        <w:t>, measures where M</w:t>
      </w:r>
      <w:r w:rsidR="00E16FF9">
        <w:t>assHealth</w:t>
      </w:r>
      <w:r>
        <w:t xml:space="preserve"> rates fall into the bottom two quartiles are highlighted in red.</w:t>
      </w:r>
    </w:p>
    <w:p w14:paraId="78C8F136" w14:textId="77777777" w:rsidR="005A63BB" w:rsidRDefault="005A63BB" w:rsidP="009736AB">
      <w:pPr>
        <w:rPr>
          <w:rStyle w:val="SubtleEmphasis"/>
        </w:rPr>
      </w:pPr>
    </w:p>
    <w:p w14:paraId="073A0419" w14:textId="77777777" w:rsidR="005A63BB" w:rsidRDefault="005A63BB" w:rsidP="009736AB">
      <w:pPr>
        <w:rPr>
          <w:rStyle w:val="SubtleEmphasis"/>
        </w:rPr>
      </w:pPr>
    </w:p>
    <w:p w14:paraId="5E77406F" w14:textId="0D72C69C" w:rsidR="003B4E99" w:rsidRDefault="00033036" w:rsidP="009736AB">
      <w:r w:rsidRPr="009069AE">
        <w:rPr>
          <w:rStyle w:val="SubtleEmphasis"/>
        </w:rPr>
        <w:t xml:space="preserve">Table </w:t>
      </w:r>
      <w:r>
        <w:rPr>
          <w:rStyle w:val="SubtleEmphasis"/>
        </w:rPr>
        <w:t>8</w:t>
      </w:r>
      <w:r w:rsidRPr="009069AE">
        <w:rPr>
          <w:rStyle w:val="SubtleEmphasis"/>
        </w:rPr>
        <w:t>: </w:t>
      </w:r>
      <w:r w:rsidR="007B12F7">
        <w:rPr>
          <w:rStyle w:val="SubtleEmphasis"/>
        </w:rPr>
        <w:t>MassHealth Adult Core Measure Set Percentile Rankings</w:t>
      </w:r>
      <w:r w:rsidRPr="009069AE">
        <w:rPr>
          <w:rStyle w:val="SubtleEmphasis"/>
        </w:rPr>
        <w:t xml:space="preserve"> </w:t>
      </w:r>
    </w:p>
    <w:tbl>
      <w:tblPr>
        <w:tblStyle w:val="TableGrid"/>
        <w:tblW w:w="5000" w:type="pct"/>
        <w:tblInd w:w="-113" w:type="dxa"/>
        <w:tblLook w:val="04A0" w:firstRow="1" w:lastRow="0" w:firstColumn="1" w:lastColumn="0" w:noHBand="0" w:noVBand="1"/>
      </w:tblPr>
      <w:tblGrid>
        <w:gridCol w:w="7759"/>
        <w:gridCol w:w="1591"/>
      </w:tblGrid>
      <w:tr w:rsidR="005A63BB" w14:paraId="2ABAAF51" w14:textId="5608A4FA" w:rsidTr="00BC2F64">
        <w:tc>
          <w:tcPr>
            <w:tcW w:w="4149" w:type="pct"/>
          </w:tcPr>
          <w:p w14:paraId="061D15DB" w14:textId="77777777" w:rsidR="005A63BB" w:rsidRPr="005B399A" w:rsidRDefault="005A63BB" w:rsidP="00784E25">
            <w:pPr>
              <w:jc w:val="center"/>
              <w:rPr>
                <w:b/>
                <w:bCs/>
              </w:rPr>
            </w:pPr>
            <w:r w:rsidRPr="005B399A">
              <w:rPr>
                <w:b/>
                <w:bCs/>
              </w:rPr>
              <w:t>Measure Name</w:t>
            </w:r>
          </w:p>
        </w:tc>
        <w:tc>
          <w:tcPr>
            <w:tcW w:w="851" w:type="pct"/>
          </w:tcPr>
          <w:p w14:paraId="24DC1913" w14:textId="77777777" w:rsidR="005A63BB" w:rsidRPr="005B399A" w:rsidRDefault="005A63BB" w:rsidP="00784E25">
            <w:pPr>
              <w:jc w:val="center"/>
              <w:rPr>
                <w:b/>
                <w:bCs/>
              </w:rPr>
            </w:pPr>
            <w:r w:rsidRPr="005B399A">
              <w:rPr>
                <w:b/>
                <w:bCs/>
              </w:rPr>
              <w:t>MA Quartile 202</w:t>
            </w:r>
            <w:r>
              <w:rPr>
                <w:b/>
                <w:bCs/>
              </w:rPr>
              <w:t>3</w:t>
            </w:r>
          </w:p>
        </w:tc>
      </w:tr>
      <w:tr w:rsidR="005A63BB" w14:paraId="6E4B7035" w14:textId="03A1F335" w:rsidTr="00BC2F64">
        <w:tc>
          <w:tcPr>
            <w:tcW w:w="4149" w:type="pct"/>
          </w:tcPr>
          <w:p w14:paraId="56E47FDB" w14:textId="77777777" w:rsidR="005A63BB" w:rsidRDefault="005A63BB">
            <w:r>
              <w:t>Breast Cancer Screening</w:t>
            </w:r>
          </w:p>
        </w:tc>
        <w:tc>
          <w:tcPr>
            <w:tcW w:w="851" w:type="pct"/>
          </w:tcPr>
          <w:p w14:paraId="1709CEB3" w14:textId="77777777" w:rsidR="005A63BB" w:rsidRDefault="005A63BB" w:rsidP="00784E25">
            <w:pPr>
              <w:jc w:val="center"/>
            </w:pPr>
            <w:r>
              <w:t>1</w:t>
            </w:r>
          </w:p>
        </w:tc>
      </w:tr>
      <w:tr w:rsidR="005A63BB" w14:paraId="0BA71752" w14:textId="69224FA4" w:rsidTr="00BC2F64">
        <w:tc>
          <w:tcPr>
            <w:tcW w:w="4149" w:type="pct"/>
          </w:tcPr>
          <w:p w14:paraId="5F1C9085" w14:textId="77777777" w:rsidR="005A63BB" w:rsidRDefault="005A63BB">
            <w:r>
              <w:t>Cervical Cancer Screening</w:t>
            </w:r>
          </w:p>
        </w:tc>
        <w:tc>
          <w:tcPr>
            <w:tcW w:w="851" w:type="pct"/>
          </w:tcPr>
          <w:p w14:paraId="65E1347A" w14:textId="77777777" w:rsidR="005A63BB" w:rsidRDefault="005A63BB" w:rsidP="00784E25">
            <w:pPr>
              <w:jc w:val="center"/>
            </w:pPr>
            <w:r>
              <w:t>1</w:t>
            </w:r>
          </w:p>
        </w:tc>
      </w:tr>
      <w:tr w:rsidR="005A63BB" w14:paraId="004F20D7" w14:textId="574B963B" w:rsidTr="00BC2F64">
        <w:tc>
          <w:tcPr>
            <w:tcW w:w="4149" w:type="pct"/>
          </w:tcPr>
          <w:p w14:paraId="243666F4" w14:textId="77777777" w:rsidR="005A63BB" w:rsidRDefault="005A63BB">
            <w:r>
              <w:t>Colorectal Cancer Screening – both age cohorts</w:t>
            </w:r>
          </w:p>
        </w:tc>
        <w:tc>
          <w:tcPr>
            <w:tcW w:w="851" w:type="pct"/>
          </w:tcPr>
          <w:p w14:paraId="56186107" w14:textId="77777777" w:rsidR="005A63BB" w:rsidRDefault="005A63BB" w:rsidP="00784E25">
            <w:pPr>
              <w:jc w:val="center"/>
            </w:pPr>
            <w:r>
              <w:t>1</w:t>
            </w:r>
          </w:p>
        </w:tc>
      </w:tr>
      <w:tr w:rsidR="005A63BB" w14:paraId="7D00E414" w14:textId="769CEC7A" w:rsidTr="00BC2F64">
        <w:tc>
          <w:tcPr>
            <w:tcW w:w="4149" w:type="pct"/>
          </w:tcPr>
          <w:p w14:paraId="76AB7CAB" w14:textId="77777777" w:rsidR="005A63BB" w:rsidRDefault="005A63BB">
            <w:r>
              <w:t>Chlamydia Screening in Women Ages 21- 24</w:t>
            </w:r>
          </w:p>
        </w:tc>
        <w:tc>
          <w:tcPr>
            <w:tcW w:w="851" w:type="pct"/>
          </w:tcPr>
          <w:p w14:paraId="2BDA9E8A" w14:textId="77777777" w:rsidR="005A63BB" w:rsidRDefault="005A63BB" w:rsidP="00784E25">
            <w:pPr>
              <w:jc w:val="center"/>
            </w:pPr>
            <w:r>
              <w:t>1</w:t>
            </w:r>
          </w:p>
        </w:tc>
      </w:tr>
      <w:tr w:rsidR="005A63BB" w14:paraId="1E03CE71" w14:textId="51BC4F2F" w:rsidTr="00BC2F64">
        <w:tc>
          <w:tcPr>
            <w:tcW w:w="4149" w:type="pct"/>
          </w:tcPr>
          <w:p w14:paraId="263ACC34" w14:textId="77777777" w:rsidR="005A63BB" w:rsidRDefault="005A63BB">
            <w:r>
              <w:t>Flu Vaccinations for Adults ages 18-64</w:t>
            </w:r>
          </w:p>
        </w:tc>
        <w:tc>
          <w:tcPr>
            <w:tcW w:w="851" w:type="pct"/>
          </w:tcPr>
          <w:p w14:paraId="38B8A0F6" w14:textId="77777777" w:rsidR="005A63BB" w:rsidRDefault="005A63BB" w:rsidP="00784E25">
            <w:pPr>
              <w:jc w:val="center"/>
            </w:pPr>
            <w:r>
              <w:t>1</w:t>
            </w:r>
          </w:p>
        </w:tc>
      </w:tr>
      <w:tr w:rsidR="005A63BB" w14:paraId="47302FE9" w14:textId="39A2C4C3" w:rsidTr="00BC2F64">
        <w:tc>
          <w:tcPr>
            <w:tcW w:w="4149" w:type="pct"/>
          </w:tcPr>
          <w:p w14:paraId="13138D0F" w14:textId="77777777" w:rsidR="005A63BB" w:rsidRDefault="005A63BB">
            <w:r>
              <w:t>Prenatal and Postpartum Care:  Postpartum Care</w:t>
            </w:r>
          </w:p>
        </w:tc>
        <w:tc>
          <w:tcPr>
            <w:tcW w:w="851" w:type="pct"/>
          </w:tcPr>
          <w:p w14:paraId="70174147" w14:textId="77777777" w:rsidR="005A63BB" w:rsidRDefault="005A63BB" w:rsidP="00784E25">
            <w:pPr>
              <w:jc w:val="center"/>
            </w:pPr>
            <w:r>
              <w:t>1</w:t>
            </w:r>
          </w:p>
        </w:tc>
      </w:tr>
      <w:tr w:rsidR="002D338D" w14:paraId="4C4C77F4" w14:textId="07B628E8" w:rsidTr="00BC2F64">
        <w:trPr>
          <w:trHeight w:val="269"/>
        </w:trPr>
        <w:tc>
          <w:tcPr>
            <w:tcW w:w="4149" w:type="pct"/>
          </w:tcPr>
          <w:p w14:paraId="7161B43D" w14:textId="0DBD2919" w:rsidR="002D338D" w:rsidRDefault="002D338D" w:rsidP="006F4BF3">
            <w:r>
              <w:t xml:space="preserve">Contraceptive Care – Postpartum Women Ages 15-20 </w:t>
            </w:r>
          </w:p>
        </w:tc>
        <w:tc>
          <w:tcPr>
            <w:tcW w:w="851" w:type="pct"/>
            <w:shd w:val="clear" w:color="auto" w:fill="E7E6E6" w:themeFill="background2"/>
          </w:tcPr>
          <w:p w14:paraId="724BF244" w14:textId="01346077" w:rsidR="002D338D" w:rsidRDefault="002D338D" w:rsidP="00112A85">
            <w:pPr>
              <w:jc w:val="center"/>
            </w:pPr>
            <w:r>
              <w:t>N/A</w:t>
            </w:r>
          </w:p>
        </w:tc>
      </w:tr>
      <w:tr w:rsidR="002D338D" w14:paraId="0C92F104" w14:textId="40FC8F71" w:rsidTr="00BC2F64">
        <w:tc>
          <w:tcPr>
            <w:tcW w:w="4149" w:type="pct"/>
          </w:tcPr>
          <w:p w14:paraId="2CA2A5C8" w14:textId="58AF3F41" w:rsidR="002D338D" w:rsidRDefault="002D338D" w:rsidP="002D338D">
            <w:pPr>
              <w:pStyle w:val="ListParagraph"/>
              <w:numPr>
                <w:ilvl w:val="0"/>
                <w:numId w:val="43"/>
              </w:numPr>
            </w:pPr>
            <w:r>
              <w:t>Most/Moderately Effective Methods - 3- and 60-days PP</w:t>
            </w:r>
          </w:p>
        </w:tc>
        <w:tc>
          <w:tcPr>
            <w:tcW w:w="851" w:type="pct"/>
          </w:tcPr>
          <w:p w14:paraId="76BEB0D6" w14:textId="77777777" w:rsidR="002D338D" w:rsidRDefault="002D338D" w:rsidP="00784E25">
            <w:pPr>
              <w:jc w:val="center"/>
            </w:pPr>
            <w:r>
              <w:t>1</w:t>
            </w:r>
          </w:p>
        </w:tc>
      </w:tr>
      <w:tr w:rsidR="002D338D" w14:paraId="65EEF164" w14:textId="7D7EFABF" w:rsidTr="00BC2F64">
        <w:tc>
          <w:tcPr>
            <w:tcW w:w="4149" w:type="pct"/>
          </w:tcPr>
          <w:p w14:paraId="7C34CFE3" w14:textId="10378897" w:rsidR="002D338D" w:rsidRDefault="002D338D" w:rsidP="009736AB">
            <w:pPr>
              <w:pStyle w:val="ListParagraph"/>
              <w:numPr>
                <w:ilvl w:val="0"/>
                <w:numId w:val="43"/>
              </w:numPr>
            </w:pPr>
            <w:r>
              <w:t>LARC Methods – 3- and 60-days PP</w:t>
            </w:r>
          </w:p>
        </w:tc>
        <w:tc>
          <w:tcPr>
            <w:tcW w:w="851" w:type="pct"/>
          </w:tcPr>
          <w:p w14:paraId="11182277" w14:textId="77777777" w:rsidR="002D338D" w:rsidRDefault="002D338D" w:rsidP="00784E25">
            <w:pPr>
              <w:jc w:val="center"/>
            </w:pPr>
            <w:r>
              <w:t>1</w:t>
            </w:r>
          </w:p>
        </w:tc>
      </w:tr>
      <w:tr w:rsidR="005A63BB" w14:paraId="31D71BCB" w14:textId="7B05A3E5" w:rsidTr="00BC2F64">
        <w:trPr>
          <w:trHeight w:val="269"/>
        </w:trPr>
        <w:tc>
          <w:tcPr>
            <w:tcW w:w="4149" w:type="pct"/>
          </w:tcPr>
          <w:p w14:paraId="529178E0" w14:textId="484D0905" w:rsidR="005A63BB" w:rsidRDefault="005A63BB" w:rsidP="006F4BF3">
            <w:r w:rsidRPr="00A32341">
              <w:t>Contraceptive Care – All Women Ages 21 - 44</w:t>
            </w:r>
          </w:p>
        </w:tc>
        <w:tc>
          <w:tcPr>
            <w:tcW w:w="851" w:type="pct"/>
            <w:shd w:val="clear" w:color="auto" w:fill="E7E6E6" w:themeFill="background2"/>
          </w:tcPr>
          <w:p w14:paraId="226D815A" w14:textId="1320C9B2" w:rsidR="005A63BB" w:rsidRPr="00A32341" w:rsidRDefault="000346AC" w:rsidP="00112A85">
            <w:pPr>
              <w:jc w:val="center"/>
            </w:pPr>
            <w:r>
              <w:t>N/A</w:t>
            </w:r>
          </w:p>
        </w:tc>
      </w:tr>
      <w:tr w:rsidR="005A63BB" w14:paraId="3DFF062F" w14:textId="18FE87C0" w:rsidTr="00BC2F64">
        <w:tc>
          <w:tcPr>
            <w:tcW w:w="4149" w:type="pct"/>
          </w:tcPr>
          <w:p w14:paraId="2451FC3C" w14:textId="2E8FF268" w:rsidR="005A63BB" w:rsidRDefault="00597E17" w:rsidP="00597E17">
            <w:pPr>
              <w:pStyle w:val="ListParagraph"/>
              <w:numPr>
                <w:ilvl w:val="0"/>
                <w:numId w:val="43"/>
              </w:numPr>
            </w:pPr>
            <w:r w:rsidRPr="004965A8">
              <w:t>Most/Moderately Effective Methods</w:t>
            </w:r>
          </w:p>
        </w:tc>
        <w:tc>
          <w:tcPr>
            <w:tcW w:w="851" w:type="pct"/>
          </w:tcPr>
          <w:p w14:paraId="78465A31" w14:textId="77777777" w:rsidR="005A63BB" w:rsidRDefault="005A63BB" w:rsidP="00784E25">
            <w:pPr>
              <w:jc w:val="center"/>
            </w:pPr>
            <w:r>
              <w:t>1</w:t>
            </w:r>
          </w:p>
        </w:tc>
      </w:tr>
      <w:tr w:rsidR="005A63BB" w14:paraId="6E983B6D" w14:textId="44E8A529" w:rsidTr="00BC2F64">
        <w:tc>
          <w:tcPr>
            <w:tcW w:w="4149" w:type="pct"/>
          </w:tcPr>
          <w:p w14:paraId="7B9D00A1" w14:textId="2D98EA9E" w:rsidR="005A63BB" w:rsidRDefault="00597E17" w:rsidP="009736AB">
            <w:pPr>
              <w:pStyle w:val="ListParagraph"/>
              <w:numPr>
                <w:ilvl w:val="0"/>
                <w:numId w:val="43"/>
              </w:numPr>
            </w:pPr>
            <w:r w:rsidRPr="004965A8">
              <w:t>LARC</w:t>
            </w:r>
          </w:p>
        </w:tc>
        <w:tc>
          <w:tcPr>
            <w:tcW w:w="851" w:type="pct"/>
          </w:tcPr>
          <w:p w14:paraId="512E0C3C" w14:textId="77777777" w:rsidR="005A63BB" w:rsidRDefault="005A63BB" w:rsidP="00784E25">
            <w:pPr>
              <w:jc w:val="center"/>
            </w:pPr>
            <w:r>
              <w:t>1</w:t>
            </w:r>
          </w:p>
        </w:tc>
      </w:tr>
      <w:tr w:rsidR="005A63BB" w14:paraId="43215DEE" w14:textId="652A2416" w:rsidTr="00BC2F64">
        <w:trPr>
          <w:trHeight w:val="269"/>
        </w:trPr>
        <w:tc>
          <w:tcPr>
            <w:tcW w:w="4149" w:type="pct"/>
          </w:tcPr>
          <w:p w14:paraId="71DCEA9C" w14:textId="3C4F6333" w:rsidR="005A63BB" w:rsidRPr="006F4BF3" w:rsidRDefault="005A63BB" w:rsidP="006F4BF3">
            <w:pPr>
              <w:rPr>
                <w:color w:val="ED0000"/>
              </w:rPr>
            </w:pPr>
            <w:r w:rsidRPr="00112A85">
              <w:rPr>
                <w:color w:val="ED0000"/>
              </w:rPr>
              <w:t xml:space="preserve">Asthma Medication Ratio </w:t>
            </w:r>
          </w:p>
        </w:tc>
        <w:tc>
          <w:tcPr>
            <w:tcW w:w="851" w:type="pct"/>
            <w:shd w:val="clear" w:color="auto" w:fill="E7E6E6" w:themeFill="background2"/>
          </w:tcPr>
          <w:p w14:paraId="1CB750E9" w14:textId="72B14F38" w:rsidR="005A63BB" w:rsidRPr="00D75CE8" w:rsidRDefault="000346AC" w:rsidP="00112A85">
            <w:pPr>
              <w:jc w:val="center"/>
              <w:rPr>
                <w:color w:val="FF0000"/>
              </w:rPr>
            </w:pPr>
            <w:r>
              <w:t>N/A</w:t>
            </w:r>
          </w:p>
        </w:tc>
      </w:tr>
      <w:tr w:rsidR="005A63BB" w14:paraId="4E4CE67C" w14:textId="60D2563E" w:rsidTr="00BC2F64">
        <w:tc>
          <w:tcPr>
            <w:tcW w:w="4149" w:type="pct"/>
          </w:tcPr>
          <w:p w14:paraId="721D45A8" w14:textId="10D87219" w:rsidR="005A63BB" w:rsidRPr="00112A85" w:rsidRDefault="00597E17" w:rsidP="00597E17">
            <w:pPr>
              <w:pStyle w:val="ListParagraph"/>
              <w:numPr>
                <w:ilvl w:val="0"/>
                <w:numId w:val="43"/>
              </w:numPr>
              <w:rPr>
                <w:color w:val="ED0000"/>
              </w:rPr>
            </w:pPr>
            <w:r w:rsidRPr="00DD0C0E">
              <w:rPr>
                <w:color w:val="ED0000"/>
              </w:rPr>
              <w:t>Ages 19-50</w:t>
            </w:r>
          </w:p>
        </w:tc>
        <w:tc>
          <w:tcPr>
            <w:tcW w:w="851" w:type="pct"/>
          </w:tcPr>
          <w:p w14:paraId="680621D5" w14:textId="77777777" w:rsidR="005A63BB" w:rsidRDefault="005A63BB" w:rsidP="00784E25">
            <w:pPr>
              <w:jc w:val="center"/>
            </w:pPr>
            <w:r>
              <w:t>3</w:t>
            </w:r>
          </w:p>
        </w:tc>
      </w:tr>
      <w:tr w:rsidR="005A63BB" w14:paraId="45D868E8" w14:textId="6D6CF346" w:rsidTr="00BC2F64">
        <w:tc>
          <w:tcPr>
            <w:tcW w:w="4149" w:type="pct"/>
          </w:tcPr>
          <w:p w14:paraId="7732F16B" w14:textId="4FFB1BB6" w:rsidR="005A63BB" w:rsidRDefault="00597E17" w:rsidP="009736AB">
            <w:pPr>
              <w:pStyle w:val="ListParagraph"/>
              <w:numPr>
                <w:ilvl w:val="0"/>
                <w:numId w:val="43"/>
              </w:numPr>
            </w:pPr>
            <w:r w:rsidRPr="00DD0C0E">
              <w:rPr>
                <w:color w:val="ED0000"/>
              </w:rPr>
              <w:t>Ages 51-64</w:t>
            </w:r>
          </w:p>
        </w:tc>
        <w:tc>
          <w:tcPr>
            <w:tcW w:w="851" w:type="pct"/>
          </w:tcPr>
          <w:p w14:paraId="786495EC" w14:textId="77777777" w:rsidR="005A63BB" w:rsidRDefault="005A63BB" w:rsidP="00784E25">
            <w:pPr>
              <w:jc w:val="center"/>
            </w:pPr>
            <w:r>
              <w:t>3</w:t>
            </w:r>
          </w:p>
        </w:tc>
      </w:tr>
      <w:tr w:rsidR="005A63BB" w14:paraId="5B058490" w14:textId="55E678D0" w:rsidTr="00BC2F64">
        <w:tc>
          <w:tcPr>
            <w:tcW w:w="4149" w:type="pct"/>
          </w:tcPr>
          <w:p w14:paraId="1A3D74F5" w14:textId="77777777" w:rsidR="005A63BB" w:rsidRDefault="005A63BB">
            <w:r>
              <w:t>Avoidance of Antibiotic Treatment for Acute Bronchitis and Bronchiolitis Age 18 and Older</w:t>
            </w:r>
          </w:p>
        </w:tc>
        <w:tc>
          <w:tcPr>
            <w:tcW w:w="851" w:type="pct"/>
          </w:tcPr>
          <w:p w14:paraId="42BCAB54" w14:textId="77777777" w:rsidR="005A63BB" w:rsidRDefault="005A63BB" w:rsidP="00784E25">
            <w:pPr>
              <w:jc w:val="center"/>
            </w:pPr>
            <w:r>
              <w:t>1</w:t>
            </w:r>
          </w:p>
        </w:tc>
      </w:tr>
      <w:tr w:rsidR="005A63BB" w14:paraId="065C0342" w14:textId="72718654" w:rsidTr="00BC2F64">
        <w:tc>
          <w:tcPr>
            <w:tcW w:w="4149" w:type="pct"/>
          </w:tcPr>
          <w:p w14:paraId="7DBB7A5A" w14:textId="77777777" w:rsidR="005A63BB" w:rsidRDefault="005A63BB">
            <w:r>
              <w:t>Controlling High Blood Pressure</w:t>
            </w:r>
          </w:p>
        </w:tc>
        <w:tc>
          <w:tcPr>
            <w:tcW w:w="851" w:type="pct"/>
          </w:tcPr>
          <w:p w14:paraId="1C51BA12" w14:textId="77777777" w:rsidR="005A63BB" w:rsidRDefault="005A63BB" w:rsidP="00784E25">
            <w:pPr>
              <w:jc w:val="center"/>
            </w:pPr>
            <w:r>
              <w:t>1</w:t>
            </w:r>
          </w:p>
        </w:tc>
      </w:tr>
      <w:tr w:rsidR="005A63BB" w14:paraId="59BF3218" w14:textId="143E9812" w:rsidTr="00BC2F64">
        <w:tc>
          <w:tcPr>
            <w:tcW w:w="4149" w:type="pct"/>
          </w:tcPr>
          <w:p w14:paraId="12F5AFBB" w14:textId="32B7D65D" w:rsidR="005A63BB" w:rsidRDefault="005A63BB">
            <w:r>
              <w:t>Comprehensive Diabetes Care</w:t>
            </w:r>
            <w:r w:rsidR="00597E17">
              <w:t>: Poor</w:t>
            </w:r>
            <w:r>
              <w:t xml:space="preserve"> A1c Control and A1c in control </w:t>
            </w:r>
          </w:p>
        </w:tc>
        <w:tc>
          <w:tcPr>
            <w:tcW w:w="851" w:type="pct"/>
          </w:tcPr>
          <w:p w14:paraId="7663479C" w14:textId="77777777" w:rsidR="005A63BB" w:rsidRDefault="005A63BB" w:rsidP="00784E25">
            <w:pPr>
              <w:jc w:val="center"/>
            </w:pPr>
            <w:r>
              <w:t>1</w:t>
            </w:r>
          </w:p>
        </w:tc>
      </w:tr>
      <w:tr w:rsidR="005A63BB" w14:paraId="091AEB97" w14:textId="435C6A57" w:rsidTr="00BC2F64">
        <w:tc>
          <w:tcPr>
            <w:tcW w:w="4149" w:type="pct"/>
          </w:tcPr>
          <w:p w14:paraId="16F19777" w14:textId="77777777" w:rsidR="005A63BB" w:rsidRDefault="005A63BB">
            <w:r w:rsidRPr="00112A85">
              <w:rPr>
                <w:color w:val="ED0000"/>
              </w:rPr>
              <w:t>Plan All-Cause Readmission</w:t>
            </w:r>
          </w:p>
        </w:tc>
        <w:tc>
          <w:tcPr>
            <w:tcW w:w="851" w:type="pct"/>
          </w:tcPr>
          <w:p w14:paraId="4D4C746A" w14:textId="77777777" w:rsidR="005A63BB" w:rsidRDefault="005A63BB" w:rsidP="00784E25">
            <w:pPr>
              <w:jc w:val="center"/>
            </w:pPr>
            <w:r>
              <w:t>4</w:t>
            </w:r>
          </w:p>
        </w:tc>
      </w:tr>
      <w:tr w:rsidR="005A63BB" w14:paraId="070B23C2" w14:textId="5BA0EE12" w:rsidTr="00BC2F64">
        <w:tc>
          <w:tcPr>
            <w:tcW w:w="4149" w:type="pct"/>
          </w:tcPr>
          <w:p w14:paraId="68CCB49A" w14:textId="77777777" w:rsidR="005A63BB" w:rsidRDefault="005A63BB">
            <w:r>
              <w:t>Diabetes Short-term Complications Admission Rate (PQI01)</w:t>
            </w:r>
          </w:p>
        </w:tc>
        <w:tc>
          <w:tcPr>
            <w:tcW w:w="851" w:type="pct"/>
          </w:tcPr>
          <w:p w14:paraId="1039735B" w14:textId="77777777" w:rsidR="005A63BB" w:rsidRDefault="005A63BB" w:rsidP="00784E25">
            <w:pPr>
              <w:jc w:val="center"/>
            </w:pPr>
            <w:r>
              <w:t>1</w:t>
            </w:r>
          </w:p>
        </w:tc>
      </w:tr>
      <w:tr w:rsidR="005A63BB" w14:paraId="7E20D81A" w14:textId="7BB44B9D" w:rsidTr="00BC2F64">
        <w:tc>
          <w:tcPr>
            <w:tcW w:w="4149" w:type="pct"/>
          </w:tcPr>
          <w:p w14:paraId="516777B5" w14:textId="77777777" w:rsidR="005A63BB" w:rsidRDefault="005A63BB">
            <w:r w:rsidRPr="00112A85">
              <w:rPr>
                <w:color w:val="ED0000"/>
              </w:rPr>
              <w:t>COPD or Asthma in Older Adults Admission Rate (PQI05)</w:t>
            </w:r>
          </w:p>
        </w:tc>
        <w:tc>
          <w:tcPr>
            <w:tcW w:w="851" w:type="pct"/>
          </w:tcPr>
          <w:p w14:paraId="0968375E" w14:textId="77777777" w:rsidR="005A63BB" w:rsidRDefault="005A63BB" w:rsidP="00784E25">
            <w:pPr>
              <w:jc w:val="center"/>
            </w:pPr>
            <w:r>
              <w:t>3</w:t>
            </w:r>
          </w:p>
        </w:tc>
      </w:tr>
      <w:tr w:rsidR="005A63BB" w14:paraId="4FD5472F" w14:textId="00DBDEDD" w:rsidTr="00BC2F64">
        <w:tc>
          <w:tcPr>
            <w:tcW w:w="4149" w:type="pct"/>
          </w:tcPr>
          <w:p w14:paraId="4D0F5E2C" w14:textId="77777777" w:rsidR="005A63BB" w:rsidRDefault="005A63BB">
            <w:r>
              <w:t>Heart Failure Admission Rate (PQ108)</w:t>
            </w:r>
          </w:p>
        </w:tc>
        <w:tc>
          <w:tcPr>
            <w:tcW w:w="851" w:type="pct"/>
          </w:tcPr>
          <w:p w14:paraId="619C9A38" w14:textId="77777777" w:rsidR="005A63BB" w:rsidRDefault="005A63BB" w:rsidP="00784E25">
            <w:pPr>
              <w:jc w:val="center"/>
            </w:pPr>
            <w:r>
              <w:t>2</w:t>
            </w:r>
          </w:p>
        </w:tc>
      </w:tr>
      <w:tr w:rsidR="005A63BB" w14:paraId="523D12C4" w14:textId="251742F6" w:rsidTr="00BC2F64">
        <w:tc>
          <w:tcPr>
            <w:tcW w:w="4149" w:type="pct"/>
          </w:tcPr>
          <w:p w14:paraId="4418C50B" w14:textId="77777777" w:rsidR="005A63BB" w:rsidRPr="00D75CE8" w:rsidRDefault="005A63BB">
            <w:r w:rsidRPr="00D75CE8">
              <w:t>Asthma in Younger Adults Admission Rate (PQI15)</w:t>
            </w:r>
          </w:p>
        </w:tc>
        <w:tc>
          <w:tcPr>
            <w:tcW w:w="851" w:type="pct"/>
          </w:tcPr>
          <w:p w14:paraId="054C1137" w14:textId="77777777" w:rsidR="005A63BB" w:rsidRDefault="005A63BB" w:rsidP="00784E25">
            <w:pPr>
              <w:jc w:val="center"/>
            </w:pPr>
            <w:r>
              <w:t>2</w:t>
            </w:r>
          </w:p>
        </w:tc>
      </w:tr>
      <w:tr w:rsidR="005A63BB" w14:paraId="45185C41" w14:textId="3FA0D656" w:rsidTr="00BC2F64">
        <w:tc>
          <w:tcPr>
            <w:tcW w:w="4149" w:type="pct"/>
          </w:tcPr>
          <w:p w14:paraId="0C05D45B" w14:textId="77777777" w:rsidR="005A63BB" w:rsidRDefault="005A63BB">
            <w:r>
              <w:t>Avoidance of Antibiotic Treatment for Acute Bronchitis/Bronchiolitis: Age 18 and Older</w:t>
            </w:r>
          </w:p>
        </w:tc>
        <w:tc>
          <w:tcPr>
            <w:tcW w:w="851" w:type="pct"/>
          </w:tcPr>
          <w:p w14:paraId="56B050CB" w14:textId="77777777" w:rsidR="005A63BB" w:rsidRDefault="005A63BB" w:rsidP="00784E25">
            <w:pPr>
              <w:jc w:val="center"/>
            </w:pPr>
            <w:r>
              <w:t>1</w:t>
            </w:r>
          </w:p>
        </w:tc>
      </w:tr>
      <w:tr w:rsidR="005A63BB" w14:paraId="6AADF993" w14:textId="05034E4C" w:rsidTr="00BC2F64">
        <w:tc>
          <w:tcPr>
            <w:tcW w:w="4149" w:type="pct"/>
          </w:tcPr>
          <w:p w14:paraId="529801A7" w14:textId="78A416D4" w:rsidR="005A63BB" w:rsidRDefault="005A63BB">
            <w:r>
              <w:t>Follow-up After Emergency Department Visit for Substance Use - 7 and 30 days</w:t>
            </w:r>
          </w:p>
        </w:tc>
        <w:tc>
          <w:tcPr>
            <w:tcW w:w="851" w:type="pct"/>
          </w:tcPr>
          <w:p w14:paraId="2C844DEB" w14:textId="77777777" w:rsidR="005A63BB" w:rsidRDefault="005A63BB" w:rsidP="00784E25">
            <w:pPr>
              <w:jc w:val="center"/>
            </w:pPr>
            <w:r>
              <w:t>1</w:t>
            </w:r>
          </w:p>
        </w:tc>
      </w:tr>
      <w:tr w:rsidR="005A63BB" w14:paraId="79E211A3" w14:textId="11E93F98" w:rsidTr="00BC2F64">
        <w:tc>
          <w:tcPr>
            <w:tcW w:w="4149" w:type="pct"/>
          </w:tcPr>
          <w:p w14:paraId="2F4C6800" w14:textId="64908533" w:rsidR="005A63BB" w:rsidRDefault="005A63BB">
            <w:r>
              <w:t>Follow-up After Emergency Department Visit for Mental Illness – 7 and 30 days</w:t>
            </w:r>
          </w:p>
        </w:tc>
        <w:tc>
          <w:tcPr>
            <w:tcW w:w="851" w:type="pct"/>
          </w:tcPr>
          <w:p w14:paraId="213E9B8C" w14:textId="77777777" w:rsidR="005A63BB" w:rsidRDefault="005A63BB" w:rsidP="00784E25">
            <w:pPr>
              <w:jc w:val="center"/>
            </w:pPr>
            <w:r>
              <w:t>1</w:t>
            </w:r>
          </w:p>
        </w:tc>
      </w:tr>
      <w:tr w:rsidR="005A63BB" w14:paraId="1930252E" w14:textId="31D08F68" w:rsidTr="00BC2F64">
        <w:tc>
          <w:tcPr>
            <w:tcW w:w="4149" w:type="pct"/>
          </w:tcPr>
          <w:p w14:paraId="70CB9ADD" w14:textId="77777777" w:rsidR="005A63BB" w:rsidRDefault="005A63BB">
            <w:r>
              <w:t>Follow-up After Hospitalization for Mental Illness – 7 and 30 days</w:t>
            </w:r>
          </w:p>
        </w:tc>
        <w:tc>
          <w:tcPr>
            <w:tcW w:w="851" w:type="pct"/>
          </w:tcPr>
          <w:p w14:paraId="4E010BD7" w14:textId="77777777" w:rsidR="005A63BB" w:rsidRDefault="005A63BB" w:rsidP="00784E25">
            <w:pPr>
              <w:jc w:val="center"/>
            </w:pPr>
            <w:r>
              <w:t>2</w:t>
            </w:r>
          </w:p>
        </w:tc>
      </w:tr>
      <w:tr w:rsidR="005A63BB" w14:paraId="4C46A7E6" w14:textId="2D85DAC1" w:rsidTr="00BC2F64">
        <w:trPr>
          <w:trHeight w:val="269"/>
        </w:trPr>
        <w:tc>
          <w:tcPr>
            <w:tcW w:w="4149" w:type="pct"/>
          </w:tcPr>
          <w:p w14:paraId="2B4D3713" w14:textId="36EB155D" w:rsidR="005A63BB" w:rsidRDefault="005A63BB" w:rsidP="006F4BF3">
            <w:r>
              <w:t>Initiation and Engagement of AOD Abuse or Dependence Treatment</w:t>
            </w:r>
          </w:p>
        </w:tc>
        <w:tc>
          <w:tcPr>
            <w:tcW w:w="851" w:type="pct"/>
            <w:shd w:val="clear" w:color="auto" w:fill="E7E6E6" w:themeFill="background2"/>
          </w:tcPr>
          <w:p w14:paraId="0325EB5E" w14:textId="55BAD978" w:rsidR="005A63BB" w:rsidRDefault="000346AC" w:rsidP="00112A85">
            <w:pPr>
              <w:jc w:val="center"/>
            </w:pPr>
            <w:r>
              <w:t>N/A</w:t>
            </w:r>
          </w:p>
        </w:tc>
      </w:tr>
      <w:tr w:rsidR="005A63BB" w14:paraId="25A4A07F" w14:textId="7B7C0B34" w:rsidTr="00BC2F64">
        <w:tc>
          <w:tcPr>
            <w:tcW w:w="4149" w:type="pct"/>
          </w:tcPr>
          <w:p w14:paraId="4DA3EDC8" w14:textId="3792066C" w:rsidR="005A63BB" w:rsidRDefault="00597E17" w:rsidP="00597E17">
            <w:pPr>
              <w:pStyle w:val="ListParagraph"/>
              <w:numPr>
                <w:ilvl w:val="0"/>
                <w:numId w:val="43"/>
              </w:numPr>
            </w:pPr>
            <w:r>
              <w:t>Initiation (total)</w:t>
            </w:r>
          </w:p>
        </w:tc>
        <w:tc>
          <w:tcPr>
            <w:tcW w:w="851" w:type="pct"/>
          </w:tcPr>
          <w:p w14:paraId="24E5F995" w14:textId="77777777" w:rsidR="005A63BB" w:rsidRDefault="005A63BB" w:rsidP="00784E25">
            <w:pPr>
              <w:jc w:val="center"/>
            </w:pPr>
            <w:r>
              <w:t>2</w:t>
            </w:r>
          </w:p>
        </w:tc>
      </w:tr>
      <w:tr w:rsidR="005A63BB" w14:paraId="3747D3C1" w14:textId="4A4DD691" w:rsidTr="00BC2F64">
        <w:tc>
          <w:tcPr>
            <w:tcW w:w="4149" w:type="pct"/>
          </w:tcPr>
          <w:p w14:paraId="37ADFA09" w14:textId="4A08EDE0" w:rsidR="005A63BB" w:rsidRDefault="00597E17" w:rsidP="009736AB">
            <w:pPr>
              <w:pStyle w:val="ListParagraph"/>
              <w:numPr>
                <w:ilvl w:val="0"/>
                <w:numId w:val="43"/>
              </w:numPr>
            </w:pPr>
            <w:r>
              <w:t>Engagement (total)</w:t>
            </w:r>
          </w:p>
        </w:tc>
        <w:tc>
          <w:tcPr>
            <w:tcW w:w="851" w:type="pct"/>
          </w:tcPr>
          <w:p w14:paraId="285DF334" w14:textId="77777777" w:rsidR="005A63BB" w:rsidRDefault="005A63BB" w:rsidP="00784E25">
            <w:pPr>
              <w:jc w:val="center"/>
            </w:pPr>
            <w:r>
              <w:t>2</w:t>
            </w:r>
          </w:p>
        </w:tc>
      </w:tr>
      <w:tr w:rsidR="005A63BB" w14:paraId="1054E311" w14:textId="2576B543" w:rsidTr="00BC2F64">
        <w:trPr>
          <w:trHeight w:val="269"/>
        </w:trPr>
        <w:tc>
          <w:tcPr>
            <w:tcW w:w="4149" w:type="pct"/>
          </w:tcPr>
          <w:p w14:paraId="45B6C94A" w14:textId="5B08B517" w:rsidR="005A63BB" w:rsidRDefault="005A63BB" w:rsidP="006F4BF3">
            <w:r>
              <w:t>Medical Assistance with Smoking and Tobacco Use Cessation</w:t>
            </w:r>
          </w:p>
        </w:tc>
        <w:tc>
          <w:tcPr>
            <w:tcW w:w="851" w:type="pct"/>
            <w:shd w:val="clear" w:color="auto" w:fill="E7E6E6" w:themeFill="background2"/>
          </w:tcPr>
          <w:p w14:paraId="561482A3" w14:textId="58CEB786" w:rsidR="005A63BB" w:rsidRDefault="00873649" w:rsidP="00112A85">
            <w:pPr>
              <w:jc w:val="center"/>
            </w:pPr>
            <w:r>
              <w:t>N/A</w:t>
            </w:r>
          </w:p>
        </w:tc>
      </w:tr>
      <w:tr w:rsidR="005A63BB" w14:paraId="060F8DBA" w14:textId="52C0D625" w:rsidTr="00BC2F64">
        <w:tc>
          <w:tcPr>
            <w:tcW w:w="4149" w:type="pct"/>
          </w:tcPr>
          <w:p w14:paraId="2397CC15" w14:textId="67B60BED" w:rsidR="005A63BB" w:rsidRDefault="00620978" w:rsidP="00620978">
            <w:pPr>
              <w:pStyle w:val="ListParagraph"/>
              <w:numPr>
                <w:ilvl w:val="0"/>
                <w:numId w:val="43"/>
              </w:numPr>
            </w:pPr>
            <w:r>
              <w:t xml:space="preserve">Advising Smokers to Quit </w:t>
            </w:r>
          </w:p>
        </w:tc>
        <w:tc>
          <w:tcPr>
            <w:tcW w:w="851" w:type="pct"/>
          </w:tcPr>
          <w:p w14:paraId="117D115B" w14:textId="77777777" w:rsidR="005A63BB" w:rsidRDefault="005A63BB" w:rsidP="00784E25">
            <w:pPr>
              <w:jc w:val="center"/>
            </w:pPr>
            <w:r>
              <w:t>1</w:t>
            </w:r>
          </w:p>
        </w:tc>
      </w:tr>
      <w:tr w:rsidR="005A63BB" w14:paraId="29B370DB" w14:textId="1375433A" w:rsidTr="00BC2F64">
        <w:tc>
          <w:tcPr>
            <w:tcW w:w="4149" w:type="pct"/>
          </w:tcPr>
          <w:p w14:paraId="1DBCDEDB" w14:textId="5875AF60" w:rsidR="005A63BB" w:rsidRDefault="00620978" w:rsidP="00620978">
            <w:pPr>
              <w:pStyle w:val="ListParagraph"/>
              <w:numPr>
                <w:ilvl w:val="0"/>
                <w:numId w:val="43"/>
              </w:numPr>
            </w:pPr>
            <w:r>
              <w:t>Discussing Cessation Medications</w:t>
            </w:r>
          </w:p>
        </w:tc>
        <w:tc>
          <w:tcPr>
            <w:tcW w:w="851" w:type="pct"/>
          </w:tcPr>
          <w:p w14:paraId="71BE3991" w14:textId="77777777" w:rsidR="005A63BB" w:rsidRDefault="005A63BB" w:rsidP="00784E25">
            <w:pPr>
              <w:jc w:val="center"/>
            </w:pPr>
            <w:r>
              <w:t>1</w:t>
            </w:r>
          </w:p>
        </w:tc>
      </w:tr>
      <w:tr w:rsidR="005A63BB" w14:paraId="436945A1" w14:textId="1427668A" w:rsidTr="00BC2F64">
        <w:tc>
          <w:tcPr>
            <w:tcW w:w="4149" w:type="pct"/>
          </w:tcPr>
          <w:p w14:paraId="63FD3ABA" w14:textId="5070CB2A" w:rsidR="005A63BB" w:rsidRDefault="00620978" w:rsidP="009736AB">
            <w:pPr>
              <w:pStyle w:val="ListParagraph"/>
              <w:numPr>
                <w:ilvl w:val="0"/>
                <w:numId w:val="43"/>
              </w:numPr>
            </w:pPr>
            <w:r>
              <w:t>Discussing Cessation Strategies</w:t>
            </w:r>
          </w:p>
        </w:tc>
        <w:tc>
          <w:tcPr>
            <w:tcW w:w="851" w:type="pct"/>
          </w:tcPr>
          <w:p w14:paraId="04C2E21E" w14:textId="77777777" w:rsidR="005A63BB" w:rsidRDefault="005A63BB" w:rsidP="00784E25">
            <w:pPr>
              <w:jc w:val="center"/>
            </w:pPr>
            <w:r>
              <w:t>1</w:t>
            </w:r>
          </w:p>
        </w:tc>
      </w:tr>
      <w:tr w:rsidR="005A63BB" w14:paraId="6E7A91DC" w14:textId="53688131" w:rsidTr="00BC2F64">
        <w:trPr>
          <w:trHeight w:val="269"/>
        </w:trPr>
        <w:tc>
          <w:tcPr>
            <w:tcW w:w="4149" w:type="pct"/>
          </w:tcPr>
          <w:p w14:paraId="3532873A" w14:textId="6A3D47D1" w:rsidR="005A63BB" w:rsidRDefault="005A63BB" w:rsidP="006F4BF3">
            <w:r>
              <w:t xml:space="preserve">Antidepressant Medication Management </w:t>
            </w:r>
          </w:p>
        </w:tc>
        <w:tc>
          <w:tcPr>
            <w:tcW w:w="851" w:type="pct"/>
            <w:shd w:val="clear" w:color="auto" w:fill="E7E6E6" w:themeFill="background2"/>
          </w:tcPr>
          <w:p w14:paraId="6B311DC6" w14:textId="4EA0C810" w:rsidR="005A63BB" w:rsidRDefault="00873649" w:rsidP="00112A85">
            <w:pPr>
              <w:jc w:val="center"/>
            </w:pPr>
            <w:r>
              <w:t>N/A</w:t>
            </w:r>
          </w:p>
        </w:tc>
      </w:tr>
      <w:tr w:rsidR="005A63BB" w14:paraId="0CA24648" w14:textId="21AF2F21" w:rsidTr="00BC2F64">
        <w:tc>
          <w:tcPr>
            <w:tcW w:w="4149" w:type="pct"/>
          </w:tcPr>
          <w:p w14:paraId="6F3AA44C" w14:textId="5C1B3A89" w:rsidR="005A63BB" w:rsidRDefault="00845080" w:rsidP="00845080">
            <w:pPr>
              <w:pStyle w:val="ListParagraph"/>
              <w:numPr>
                <w:ilvl w:val="0"/>
                <w:numId w:val="43"/>
              </w:numPr>
            </w:pPr>
            <w:r>
              <w:t>Acute</w:t>
            </w:r>
          </w:p>
        </w:tc>
        <w:tc>
          <w:tcPr>
            <w:tcW w:w="851" w:type="pct"/>
          </w:tcPr>
          <w:p w14:paraId="37BDEFB8" w14:textId="77777777" w:rsidR="005A63BB" w:rsidRDefault="005A63BB" w:rsidP="00784E25">
            <w:pPr>
              <w:jc w:val="center"/>
            </w:pPr>
            <w:r>
              <w:t>1</w:t>
            </w:r>
          </w:p>
        </w:tc>
      </w:tr>
      <w:tr w:rsidR="005A63BB" w14:paraId="2A91C3DD" w14:textId="113F32CA" w:rsidTr="00BC2F64">
        <w:tc>
          <w:tcPr>
            <w:tcW w:w="4149" w:type="pct"/>
          </w:tcPr>
          <w:p w14:paraId="486EE2DD" w14:textId="77700A99" w:rsidR="005A63BB" w:rsidRDefault="00845080" w:rsidP="009736AB">
            <w:pPr>
              <w:pStyle w:val="ListParagraph"/>
              <w:numPr>
                <w:ilvl w:val="0"/>
                <w:numId w:val="43"/>
              </w:numPr>
            </w:pPr>
            <w:r>
              <w:t>Chronic</w:t>
            </w:r>
          </w:p>
        </w:tc>
        <w:tc>
          <w:tcPr>
            <w:tcW w:w="851" w:type="pct"/>
          </w:tcPr>
          <w:p w14:paraId="610226A7" w14:textId="77777777" w:rsidR="005A63BB" w:rsidRDefault="005A63BB" w:rsidP="00784E25">
            <w:pPr>
              <w:jc w:val="center"/>
            </w:pPr>
            <w:r>
              <w:t>1</w:t>
            </w:r>
          </w:p>
        </w:tc>
      </w:tr>
      <w:tr w:rsidR="005A63BB" w14:paraId="14767DEE" w14:textId="507C5D7C" w:rsidTr="00BC2F64">
        <w:tc>
          <w:tcPr>
            <w:tcW w:w="4149" w:type="pct"/>
          </w:tcPr>
          <w:p w14:paraId="3513BE0B" w14:textId="77777777" w:rsidR="005A63BB" w:rsidRDefault="005A63BB">
            <w:r w:rsidRPr="00112A85">
              <w:rPr>
                <w:color w:val="ED0000"/>
              </w:rPr>
              <w:lastRenderedPageBreak/>
              <w:t>Diabetes Screening for People with Schizophrenia or Bipolar Disorder Who Are Using Antipsychotic Medications</w:t>
            </w:r>
          </w:p>
        </w:tc>
        <w:tc>
          <w:tcPr>
            <w:tcW w:w="851" w:type="pct"/>
          </w:tcPr>
          <w:p w14:paraId="516E6DC8" w14:textId="77777777" w:rsidR="005A63BB" w:rsidRDefault="005A63BB" w:rsidP="00784E25">
            <w:pPr>
              <w:jc w:val="center"/>
            </w:pPr>
            <w:r>
              <w:t>3</w:t>
            </w:r>
          </w:p>
        </w:tc>
      </w:tr>
      <w:tr w:rsidR="005A63BB" w14:paraId="797A9EF5" w14:textId="5F368A0E" w:rsidTr="00BC2F64">
        <w:tc>
          <w:tcPr>
            <w:tcW w:w="4149" w:type="pct"/>
          </w:tcPr>
          <w:p w14:paraId="20C9D8FF" w14:textId="77777777" w:rsidR="005A63BB" w:rsidRDefault="005A63BB">
            <w:r>
              <w:t>Use of Pharmacotherapy for Opioid Use Disorder</w:t>
            </w:r>
          </w:p>
        </w:tc>
        <w:tc>
          <w:tcPr>
            <w:tcW w:w="851" w:type="pct"/>
          </w:tcPr>
          <w:p w14:paraId="7A9677B0" w14:textId="77777777" w:rsidR="005A63BB" w:rsidRDefault="005A63BB" w:rsidP="00784E25">
            <w:pPr>
              <w:jc w:val="center"/>
            </w:pPr>
            <w:r>
              <w:t>1</w:t>
            </w:r>
          </w:p>
        </w:tc>
      </w:tr>
      <w:tr w:rsidR="005A63BB" w14:paraId="12361160" w14:textId="0AB821E3" w:rsidTr="00BC2F64">
        <w:tc>
          <w:tcPr>
            <w:tcW w:w="4149" w:type="pct"/>
          </w:tcPr>
          <w:p w14:paraId="70311F4D" w14:textId="5F5A35C6" w:rsidR="005A63BB" w:rsidRDefault="005A63BB">
            <w:r>
              <w:t>Adherence to Antipsychotic Medications for Individuals with Schizophrenia</w:t>
            </w:r>
          </w:p>
        </w:tc>
        <w:tc>
          <w:tcPr>
            <w:tcW w:w="851" w:type="pct"/>
          </w:tcPr>
          <w:p w14:paraId="278AC862" w14:textId="77777777" w:rsidR="005A63BB" w:rsidRDefault="005A63BB" w:rsidP="00784E25">
            <w:pPr>
              <w:jc w:val="center"/>
            </w:pPr>
            <w:r>
              <w:t>1</w:t>
            </w:r>
          </w:p>
        </w:tc>
      </w:tr>
      <w:tr w:rsidR="005A63BB" w14:paraId="10696407" w14:textId="7386E318" w:rsidTr="00BC2F64">
        <w:tc>
          <w:tcPr>
            <w:tcW w:w="4149" w:type="pct"/>
          </w:tcPr>
          <w:p w14:paraId="3F454513" w14:textId="77777777" w:rsidR="005A63BB" w:rsidRDefault="005A63BB">
            <w:r w:rsidRPr="00112A85">
              <w:rPr>
                <w:color w:val="ED0000"/>
              </w:rPr>
              <w:t>Use of Opioids at High Dosage in Persons Without Cancer</w:t>
            </w:r>
          </w:p>
        </w:tc>
        <w:tc>
          <w:tcPr>
            <w:tcW w:w="851" w:type="pct"/>
          </w:tcPr>
          <w:p w14:paraId="5F77C264" w14:textId="77777777" w:rsidR="005A63BB" w:rsidRDefault="005A63BB" w:rsidP="00784E25">
            <w:pPr>
              <w:jc w:val="center"/>
            </w:pPr>
            <w:r>
              <w:t>3</w:t>
            </w:r>
          </w:p>
        </w:tc>
      </w:tr>
      <w:tr w:rsidR="005A63BB" w14:paraId="704D6A2C" w14:textId="117788CC" w:rsidTr="00BC2F64">
        <w:tc>
          <w:tcPr>
            <w:tcW w:w="4149" w:type="pct"/>
          </w:tcPr>
          <w:p w14:paraId="362F1106" w14:textId="77777777" w:rsidR="005A63BB" w:rsidRDefault="005A63BB">
            <w:r>
              <w:t xml:space="preserve">Concurrent Use of Opioids and Benzodiazepines </w:t>
            </w:r>
          </w:p>
        </w:tc>
        <w:tc>
          <w:tcPr>
            <w:tcW w:w="851" w:type="pct"/>
          </w:tcPr>
          <w:p w14:paraId="46ACDAA9" w14:textId="77777777" w:rsidR="005A63BB" w:rsidRDefault="005A63BB" w:rsidP="00784E25">
            <w:pPr>
              <w:jc w:val="center"/>
            </w:pPr>
            <w:r>
              <w:t>1</w:t>
            </w:r>
          </w:p>
        </w:tc>
      </w:tr>
    </w:tbl>
    <w:p w14:paraId="141FA14C" w14:textId="69891289" w:rsidR="00873649" w:rsidRDefault="00873649">
      <w:r>
        <w:t>CAHPS 5.1H Adult Version</w:t>
      </w:r>
    </w:p>
    <w:tbl>
      <w:tblPr>
        <w:tblStyle w:val="TableGrid"/>
        <w:tblW w:w="5000" w:type="pct"/>
        <w:tblInd w:w="-113" w:type="dxa"/>
        <w:tblLook w:val="04A0" w:firstRow="1" w:lastRow="0" w:firstColumn="1" w:lastColumn="0" w:noHBand="0" w:noVBand="1"/>
      </w:tblPr>
      <w:tblGrid>
        <w:gridCol w:w="7759"/>
        <w:gridCol w:w="1591"/>
      </w:tblGrid>
      <w:tr w:rsidR="005A63BB" w14:paraId="0205A79A" w14:textId="548F3CD2" w:rsidTr="00BC2F64">
        <w:trPr>
          <w:trHeight w:val="242"/>
        </w:trPr>
        <w:tc>
          <w:tcPr>
            <w:tcW w:w="4149" w:type="pct"/>
          </w:tcPr>
          <w:p w14:paraId="053DC500" w14:textId="7CAC05E1" w:rsidR="005A63BB" w:rsidRPr="00D320AA" w:rsidRDefault="005A63BB" w:rsidP="00D320AA">
            <w:pPr>
              <w:pStyle w:val="ListParagraph"/>
              <w:numPr>
                <w:ilvl w:val="0"/>
                <w:numId w:val="43"/>
              </w:numPr>
              <w:rPr>
                <w:color w:val="ED0000"/>
              </w:rPr>
            </w:pPr>
            <w:r w:rsidRPr="00112A85">
              <w:rPr>
                <w:color w:val="ED0000"/>
              </w:rPr>
              <w:t>Percent always getting needed care</w:t>
            </w:r>
          </w:p>
        </w:tc>
        <w:tc>
          <w:tcPr>
            <w:tcW w:w="851" w:type="pct"/>
          </w:tcPr>
          <w:p w14:paraId="2DBB35A4" w14:textId="77777777" w:rsidR="005A63BB" w:rsidRDefault="005A63BB" w:rsidP="00784E25">
            <w:pPr>
              <w:jc w:val="center"/>
            </w:pPr>
            <w:r>
              <w:t>3</w:t>
            </w:r>
          </w:p>
        </w:tc>
      </w:tr>
      <w:tr w:rsidR="005A63BB" w14:paraId="6A9DD03D" w14:textId="01E12AAF" w:rsidTr="00BC2F64">
        <w:trPr>
          <w:trHeight w:val="170"/>
        </w:trPr>
        <w:tc>
          <w:tcPr>
            <w:tcW w:w="4149" w:type="pct"/>
          </w:tcPr>
          <w:p w14:paraId="2DFB7C50" w14:textId="0C30459F" w:rsidR="005A63BB" w:rsidRPr="00112A85" w:rsidRDefault="008A1D12" w:rsidP="008A1D12">
            <w:pPr>
              <w:pStyle w:val="ListParagraph"/>
              <w:numPr>
                <w:ilvl w:val="0"/>
                <w:numId w:val="43"/>
              </w:numPr>
              <w:rPr>
                <w:color w:val="ED0000"/>
              </w:rPr>
            </w:pPr>
            <w:r w:rsidRPr="00DD0C0E">
              <w:rPr>
                <w:color w:val="ED0000"/>
              </w:rPr>
              <w:t>Percent who always got care quickly</w:t>
            </w:r>
          </w:p>
        </w:tc>
        <w:tc>
          <w:tcPr>
            <w:tcW w:w="851" w:type="pct"/>
          </w:tcPr>
          <w:p w14:paraId="23DCD9D7" w14:textId="77777777" w:rsidR="005A63BB" w:rsidRDefault="005A63BB" w:rsidP="00784E25">
            <w:pPr>
              <w:jc w:val="center"/>
            </w:pPr>
            <w:r>
              <w:t>3</w:t>
            </w:r>
          </w:p>
        </w:tc>
      </w:tr>
      <w:tr w:rsidR="005A63BB" w14:paraId="11D2E0E4" w14:textId="7A1224D5" w:rsidTr="00BC2F64">
        <w:trPr>
          <w:trHeight w:val="323"/>
        </w:trPr>
        <w:tc>
          <w:tcPr>
            <w:tcW w:w="4149" w:type="pct"/>
          </w:tcPr>
          <w:p w14:paraId="434AAAC6" w14:textId="6215083E" w:rsidR="005A63BB" w:rsidRPr="00112A85" w:rsidRDefault="008A1D12" w:rsidP="008A1D12">
            <w:pPr>
              <w:pStyle w:val="ListParagraph"/>
              <w:numPr>
                <w:ilvl w:val="0"/>
                <w:numId w:val="43"/>
              </w:numPr>
              <w:rPr>
                <w:color w:val="ED0000"/>
              </w:rPr>
            </w:pPr>
            <w:r w:rsidRPr="00FF1F91">
              <w:t>Percent</w:t>
            </w:r>
            <w:r>
              <w:t xml:space="preserve"> </w:t>
            </w:r>
            <w:r w:rsidRPr="00FF1F91">
              <w:t>whose doctor always communicated well</w:t>
            </w:r>
          </w:p>
        </w:tc>
        <w:tc>
          <w:tcPr>
            <w:tcW w:w="851" w:type="pct"/>
          </w:tcPr>
          <w:p w14:paraId="22863603" w14:textId="77777777" w:rsidR="005A63BB" w:rsidRDefault="005A63BB" w:rsidP="00784E25">
            <w:pPr>
              <w:jc w:val="center"/>
            </w:pPr>
            <w:r>
              <w:t>2</w:t>
            </w:r>
          </w:p>
        </w:tc>
      </w:tr>
      <w:tr w:rsidR="005A63BB" w14:paraId="070DC715" w14:textId="68E205F2" w:rsidTr="00BC2F64">
        <w:trPr>
          <w:trHeight w:val="431"/>
        </w:trPr>
        <w:tc>
          <w:tcPr>
            <w:tcW w:w="4149" w:type="pct"/>
          </w:tcPr>
          <w:p w14:paraId="620A4F76" w14:textId="0175D66B" w:rsidR="005A63BB" w:rsidRPr="00112A85" w:rsidRDefault="008A1D12" w:rsidP="008A1D12">
            <w:pPr>
              <w:pStyle w:val="ListParagraph"/>
              <w:numPr>
                <w:ilvl w:val="0"/>
                <w:numId w:val="43"/>
              </w:numPr>
              <w:rPr>
                <w:color w:val="ED0000"/>
              </w:rPr>
            </w:pPr>
            <w:r w:rsidRPr="00DD0C0E">
              <w:rPr>
                <w:color w:val="ED0000"/>
              </w:rPr>
              <w:t>Percent whose health plan’s customer service always gave helpful information and was courteous and respectful</w:t>
            </w:r>
          </w:p>
        </w:tc>
        <w:tc>
          <w:tcPr>
            <w:tcW w:w="851" w:type="pct"/>
          </w:tcPr>
          <w:p w14:paraId="40974A64" w14:textId="77777777" w:rsidR="005A63BB" w:rsidRDefault="005A63BB" w:rsidP="00784E25">
            <w:pPr>
              <w:jc w:val="center"/>
            </w:pPr>
            <w:r>
              <w:t>3</w:t>
            </w:r>
          </w:p>
        </w:tc>
      </w:tr>
      <w:tr w:rsidR="005A63BB" w14:paraId="1116C4CB" w14:textId="7CDAD1CC" w:rsidTr="00BC2F64">
        <w:trPr>
          <w:trHeight w:val="350"/>
        </w:trPr>
        <w:tc>
          <w:tcPr>
            <w:tcW w:w="4149" w:type="pct"/>
          </w:tcPr>
          <w:p w14:paraId="369B218F" w14:textId="6DB8E613" w:rsidR="005A63BB" w:rsidRPr="00112A85" w:rsidRDefault="008A1D12" w:rsidP="008A1D12">
            <w:pPr>
              <w:pStyle w:val="ListParagraph"/>
              <w:numPr>
                <w:ilvl w:val="0"/>
                <w:numId w:val="43"/>
              </w:numPr>
              <w:rPr>
                <w:color w:val="ED0000"/>
              </w:rPr>
            </w:pPr>
            <w:r w:rsidRPr="00DD0C0E">
              <w:rPr>
                <w:color w:val="ED0000"/>
              </w:rPr>
              <w:t>Percent whose personal doctor was rated 9 or 10</w:t>
            </w:r>
          </w:p>
        </w:tc>
        <w:tc>
          <w:tcPr>
            <w:tcW w:w="851" w:type="pct"/>
          </w:tcPr>
          <w:p w14:paraId="786335E0" w14:textId="77777777" w:rsidR="005A63BB" w:rsidRDefault="005A63BB" w:rsidP="00784E25">
            <w:pPr>
              <w:jc w:val="center"/>
            </w:pPr>
            <w:r>
              <w:t>3</w:t>
            </w:r>
          </w:p>
        </w:tc>
      </w:tr>
      <w:tr w:rsidR="005A63BB" w14:paraId="0F8BBD13" w14:textId="70FB22B5" w:rsidTr="00BC2F64">
        <w:trPr>
          <w:trHeight w:val="260"/>
        </w:trPr>
        <w:tc>
          <w:tcPr>
            <w:tcW w:w="4149" w:type="pct"/>
          </w:tcPr>
          <w:p w14:paraId="3188614F" w14:textId="663783DC" w:rsidR="005A63BB" w:rsidRPr="008A1D12" w:rsidRDefault="008A1D12" w:rsidP="008A1D12">
            <w:pPr>
              <w:pStyle w:val="ListParagraph"/>
              <w:numPr>
                <w:ilvl w:val="0"/>
                <w:numId w:val="43"/>
              </w:numPr>
            </w:pPr>
            <w:r w:rsidRPr="003A6995">
              <w:t>Percent whose specialist was rated 9 or 10</w:t>
            </w:r>
          </w:p>
        </w:tc>
        <w:tc>
          <w:tcPr>
            <w:tcW w:w="851" w:type="pct"/>
          </w:tcPr>
          <w:p w14:paraId="5809EB11" w14:textId="77777777" w:rsidR="005A63BB" w:rsidRDefault="005A63BB" w:rsidP="00784E25">
            <w:pPr>
              <w:jc w:val="center"/>
            </w:pPr>
            <w:r>
              <w:t>2</w:t>
            </w:r>
          </w:p>
        </w:tc>
      </w:tr>
      <w:tr w:rsidR="005A63BB" w14:paraId="0A85FF43" w14:textId="7F730BF9" w:rsidTr="00BC2F64">
        <w:trPr>
          <w:trHeight w:val="251"/>
        </w:trPr>
        <w:tc>
          <w:tcPr>
            <w:tcW w:w="4149" w:type="pct"/>
          </w:tcPr>
          <w:p w14:paraId="7EE149D4" w14:textId="1ECF8524" w:rsidR="005A63BB" w:rsidRPr="008A1D12" w:rsidRDefault="008A1D12" w:rsidP="008A1D12">
            <w:pPr>
              <w:pStyle w:val="ListParagraph"/>
              <w:numPr>
                <w:ilvl w:val="0"/>
                <w:numId w:val="43"/>
              </w:numPr>
            </w:pPr>
            <w:r w:rsidRPr="003A6995">
              <w:t>Percent whose health care was rated 9 or 10</w:t>
            </w:r>
          </w:p>
        </w:tc>
        <w:tc>
          <w:tcPr>
            <w:tcW w:w="851" w:type="pct"/>
          </w:tcPr>
          <w:p w14:paraId="23DA589B" w14:textId="77777777" w:rsidR="005A63BB" w:rsidRDefault="005A63BB" w:rsidP="00784E25">
            <w:pPr>
              <w:jc w:val="center"/>
            </w:pPr>
            <w:r>
              <w:t>1</w:t>
            </w:r>
          </w:p>
        </w:tc>
      </w:tr>
      <w:tr w:rsidR="005A63BB" w14:paraId="58554577" w14:textId="3A3B8091" w:rsidTr="00BC2F64">
        <w:trPr>
          <w:trHeight w:val="242"/>
        </w:trPr>
        <w:tc>
          <w:tcPr>
            <w:tcW w:w="4149" w:type="pct"/>
          </w:tcPr>
          <w:p w14:paraId="519E75B8" w14:textId="520D3DF7" w:rsidR="005A63BB" w:rsidRPr="00D33F86" w:rsidRDefault="008A1D12" w:rsidP="009736AB">
            <w:pPr>
              <w:pStyle w:val="ListParagraph"/>
              <w:numPr>
                <w:ilvl w:val="0"/>
                <w:numId w:val="43"/>
              </w:numPr>
              <w:rPr>
                <w:color w:val="FF0000"/>
              </w:rPr>
            </w:pPr>
            <w:r w:rsidRPr="00DD0C0E">
              <w:rPr>
                <w:color w:val="ED0000"/>
              </w:rPr>
              <w:t>Percent whose health plan was rated 9 or 10</w:t>
            </w:r>
          </w:p>
        </w:tc>
        <w:tc>
          <w:tcPr>
            <w:tcW w:w="851" w:type="pct"/>
          </w:tcPr>
          <w:p w14:paraId="4716FF84" w14:textId="77777777" w:rsidR="005A63BB" w:rsidRDefault="005A63BB" w:rsidP="00784E25">
            <w:pPr>
              <w:jc w:val="center"/>
            </w:pPr>
            <w:r>
              <w:t>3</w:t>
            </w:r>
          </w:p>
        </w:tc>
      </w:tr>
      <w:tr w:rsidR="005A63BB" w14:paraId="1B64131A" w14:textId="39AC25FB" w:rsidTr="00BC2F64">
        <w:trPr>
          <w:trHeight w:val="269"/>
        </w:trPr>
        <w:tc>
          <w:tcPr>
            <w:tcW w:w="4149" w:type="pct"/>
          </w:tcPr>
          <w:p w14:paraId="0295FD65" w14:textId="17A4665D" w:rsidR="005A63BB" w:rsidRDefault="005A63BB" w:rsidP="00D320AA">
            <w:r>
              <w:t>National Core Indicators Survey (survey administered in MA by DDS)</w:t>
            </w:r>
          </w:p>
        </w:tc>
        <w:tc>
          <w:tcPr>
            <w:tcW w:w="851" w:type="pct"/>
          </w:tcPr>
          <w:p w14:paraId="4F26B7C0" w14:textId="77777777" w:rsidR="005A63BB" w:rsidRDefault="005A63BB" w:rsidP="00784E25">
            <w:pPr>
              <w:jc w:val="center"/>
            </w:pPr>
            <w:r>
              <w:t>3</w:t>
            </w:r>
          </w:p>
        </w:tc>
      </w:tr>
      <w:tr w:rsidR="005A63BB" w14:paraId="06FE60B6" w14:textId="7EE72221" w:rsidTr="00BC2F64">
        <w:tc>
          <w:tcPr>
            <w:tcW w:w="4149" w:type="pct"/>
          </w:tcPr>
          <w:p w14:paraId="693D8876" w14:textId="64C85D5B" w:rsidR="005A63BB" w:rsidRDefault="00314A13" w:rsidP="00314A13">
            <w:pPr>
              <w:pStyle w:val="ListParagraph"/>
              <w:numPr>
                <w:ilvl w:val="0"/>
                <w:numId w:val="43"/>
              </w:numPr>
            </w:pPr>
            <w:r>
              <w:t xml:space="preserve">Everyday Choices Scale </w:t>
            </w:r>
          </w:p>
        </w:tc>
        <w:tc>
          <w:tcPr>
            <w:tcW w:w="851" w:type="pct"/>
          </w:tcPr>
          <w:p w14:paraId="78A903A9" w14:textId="77777777" w:rsidR="005A63BB" w:rsidRDefault="005A63BB" w:rsidP="00784E25">
            <w:pPr>
              <w:jc w:val="center"/>
            </w:pPr>
            <w:r>
              <w:t>4</w:t>
            </w:r>
          </w:p>
        </w:tc>
      </w:tr>
      <w:tr w:rsidR="005A63BB" w14:paraId="7F74E7B6" w14:textId="015FFAAA" w:rsidTr="00BC2F64">
        <w:tc>
          <w:tcPr>
            <w:tcW w:w="4149" w:type="pct"/>
          </w:tcPr>
          <w:p w14:paraId="67D0D266" w14:textId="08F6CEF5" w:rsidR="005A63BB" w:rsidRDefault="00314A13" w:rsidP="009736AB">
            <w:pPr>
              <w:pStyle w:val="ListParagraph"/>
              <w:numPr>
                <w:ilvl w:val="0"/>
                <w:numId w:val="43"/>
              </w:numPr>
            </w:pPr>
            <w:r>
              <w:t>Always has a way to get places</w:t>
            </w:r>
          </w:p>
        </w:tc>
        <w:tc>
          <w:tcPr>
            <w:tcW w:w="851" w:type="pct"/>
          </w:tcPr>
          <w:p w14:paraId="51247A4E" w14:textId="77777777" w:rsidR="005A63BB" w:rsidRDefault="005A63BB" w:rsidP="00784E25">
            <w:pPr>
              <w:jc w:val="center"/>
            </w:pPr>
            <w:r>
              <w:t>3</w:t>
            </w:r>
          </w:p>
        </w:tc>
      </w:tr>
    </w:tbl>
    <w:p w14:paraId="0566B83E" w14:textId="1F64EE74" w:rsidR="002170E8" w:rsidRPr="00DB4CCA" w:rsidRDefault="009F6638" w:rsidP="00D06CBB">
      <w:pPr>
        <w:rPr>
          <w:rFonts w:cs="Calibri"/>
        </w:rPr>
      </w:pPr>
      <w:r w:rsidRPr="00F0069B">
        <w:rPr>
          <w:rFonts w:cs="Calibri"/>
        </w:rPr>
        <w:t xml:space="preserve">For </w:t>
      </w:r>
      <w:r w:rsidR="00D77006">
        <w:rPr>
          <w:rFonts w:cs="Calibri"/>
        </w:rPr>
        <w:t xml:space="preserve">more </w:t>
      </w:r>
      <w:r w:rsidRPr="00F0069B">
        <w:rPr>
          <w:rFonts w:cs="Calibri"/>
        </w:rPr>
        <w:t>details on Adult and Child Core Set Performance see Appendix C.</w:t>
      </w:r>
    </w:p>
    <w:p w14:paraId="3846032E" w14:textId="3C534E9F" w:rsidR="00753798" w:rsidRPr="00753798" w:rsidRDefault="00753CD6" w:rsidP="00730D03">
      <w:pPr>
        <w:pStyle w:val="Heading2"/>
        <w:spacing w:after="120"/>
      </w:pPr>
      <w:bookmarkStart w:id="15" w:name="_Toc190440061"/>
      <w:r>
        <w:t xml:space="preserve">State Responsiveness to </w:t>
      </w:r>
      <w:r w:rsidR="00CA175D">
        <w:t>External Quality Review Organization</w:t>
      </w:r>
      <w:r>
        <w:t xml:space="preserve"> </w:t>
      </w:r>
      <w:r w:rsidR="00CA175D">
        <w:t xml:space="preserve">(EQRO) </w:t>
      </w:r>
      <w:r>
        <w:t>Recommendations</w:t>
      </w:r>
      <w:bookmarkEnd w:id="15"/>
    </w:p>
    <w:p w14:paraId="7242CC11" w14:textId="1763ED25" w:rsidR="00CA175D" w:rsidRPr="00753798" w:rsidRDefault="00CA175D" w:rsidP="0083006D">
      <w:pPr>
        <w:rPr>
          <w:rStyle w:val="Emphasis"/>
          <w:i w:val="0"/>
          <w:iCs w:val="0"/>
        </w:rPr>
      </w:pPr>
      <w:r w:rsidRPr="00753798">
        <w:rPr>
          <w:rStyle w:val="Emphasis"/>
          <w:i w:val="0"/>
          <w:iCs w:val="0"/>
        </w:rPr>
        <w:t>MassHealth’s CY</w:t>
      </w:r>
      <w:r w:rsidR="00CB6843" w:rsidRPr="00753798">
        <w:rPr>
          <w:rStyle w:val="Emphasis"/>
          <w:i w:val="0"/>
          <w:iCs w:val="0"/>
        </w:rPr>
        <w:t xml:space="preserve"> </w:t>
      </w:r>
      <w:r w:rsidRPr="00753798">
        <w:rPr>
          <w:rStyle w:val="Emphasis"/>
          <w:i w:val="0"/>
          <w:iCs w:val="0"/>
        </w:rPr>
        <w:t>202</w:t>
      </w:r>
      <w:r w:rsidR="008D4137">
        <w:rPr>
          <w:rStyle w:val="Emphasis"/>
          <w:i w:val="0"/>
          <w:iCs w:val="0"/>
        </w:rPr>
        <w:t>4</w:t>
      </w:r>
      <w:r w:rsidRPr="00753798">
        <w:rPr>
          <w:rStyle w:val="Emphasis"/>
          <w:i w:val="0"/>
          <w:iCs w:val="0"/>
        </w:rPr>
        <w:t xml:space="preserve"> External Quality Review reports (review period</w:t>
      </w:r>
      <w:r w:rsidR="00CB6843" w:rsidRPr="00753798">
        <w:rPr>
          <w:rStyle w:val="Emphasis"/>
          <w:i w:val="0"/>
          <w:iCs w:val="0"/>
        </w:rPr>
        <w:t xml:space="preserve"> CY 202</w:t>
      </w:r>
      <w:r w:rsidR="008D4137">
        <w:rPr>
          <w:rStyle w:val="Emphasis"/>
          <w:i w:val="0"/>
          <w:iCs w:val="0"/>
        </w:rPr>
        <w:t>3</w:t>
      </w:r>
      <w:r w:rsidR="00CB6843" w:rsidRPr="00753798">
        <w:rPr>
          <w:rStyle w:val="Emphasis"/>
          <w:i w:val="0"/>
          <w:iCs w:val="0"/>
        </w:rPr>
        <w:t xml:space="preserve">) included several recommendations </w:t>
      </w:r>
      <w:r w:rsidR="00142A4B">
        <w:rPr>
          <w:rStyle w:val="Emphasis"/>
          <w:i w:val="0"/>
          <w:iCs w:val="0"/>
        </w:rPr>
        <w:t xml:space="preserve">that </w:t>
      </w:r>
      <w:r w:rsidR="00D75F99">
        <w:rPr>
          <w:rStyle w:val="Emphasis"/>
          <w:i w:val="0"/>
          <w:iCs w:val="0"/>
        </w:rPr>
        <w:t xml:space="preserve">the EQRO </w:t>
      </w:r>
      <w:r w:rsidR="00CB6843" w:rsidRPr="00753798">
        <w:rPr>
          <w:rStyle w:val="Emphasis"/>
          <w:i w:val="0"/>
          <w:iCs w:val="0"/>
        </w:rPr>
        <w:t xml:space="preserve">made to improve and revise </w:t>
      </w:r>
      <w:r w:rsidR="00DC362D">
        <w:rPr>
          <w:rStyle w:val="Emphasis"/>
          <w:i w:val="0"/>
          <w:iCs w:val="0"/>
        </w:rPr>
        <w:t>the 20</w:t>
      </w:r>
      <w:r w:rsidR="008D4137">
        <w:rPr>
          <w:rStyle w:val="Emphasis"/>
          <w:i w:val="0"/>
          <w:iCs w:val="0"/>
        </w:rPr>
        <w:t>2</w:t>
      </w:r>
      <w:r w:rsidR="00C93206">
        <w:rPr>
          <w:rStyle w:val="Emphasis"/>
          <w:i w:val="0"/>
          <w:iCs w:val="0"/>
        </w:rPr>
        <w:t>5</w:t>
      </w:r>
      <w:r w:rsidR="00DC362D">
        <w:rPr>
          <w:rStyle w:val="Emphasis"/>
          <w:i w:val="0"/>
          <w:iCs w:val="0"/>
        </w:rPr>
        <w:t xml:space="preserve"> CQS</w:t>
      </w:r>
      <w:r w:rsidR="00CB6843" w:rsidRPr="00753798">
        <w:rPr>
          <w:rStyle w:val="Emphasis"/>
          <w:i w:val="0"/>
          <w:iCs w:val="0"/>
        </w:rPr>
        <w:t xml:space="preserve"> and associated activities. The following section highlights those EQRO recommendations and MassHealth’s responses.</w:t>
      </w:r>
    </w:p>
    <w:p w14:paraId="47C9BC80" w14:textId="3138FCB0" w:rsidR="0083006D" w:rsidRPr="00127AE0" w:rsidRDefault="0083006D" w:rsidP="00127AE0">
      <w:pPr>
        <w:pStyle w:val="Heading3"/>
        <w:rPr>
          <w:rStyle w:val="Emphasis"/>
          <w:i w:val="0"/>
          <w:iCs w:val="0"/>
        </w:rPr>
      </w:pPr>
      <w:bookmarkStart w:id="16" w:name="_Toc190440062"/>
      <w:r w:rsidRPr="00127AE0">
        <w:rPr>
          <w:rStyle w:val="Emphasis"/>
          <w:i w:val="0"/>
          <w:iCs w:val="0"/>
        </w:rPr>
        <w:t>EQR Recommendations</w:t>
      </w:r>
      <w:r w:rsidR="00CA175D" w:rsidRPr="00127AE0">
        <w:rPr>
          <w:rStyle w:val="Emphasis"/>
          <w:i w:val="0"/>
          <w:iCs w:val="0"/>
        </w:rPr>
        <w:t xml:space="preserve"> and MassHealth Responses</w:t>
      </w:r>
      <w:bookmarkEnd w:id="16"/>
    </w:p>
    <w:p w14:paraId="21515384" w14:textId="2F10A41E" w:rsidR="0083006D" w:rsidRPr="00900B47" w:rsidRDefault="00543C5C" w:rsidP="00AC2D09">
      <w:pPr>
        <w:pStyle w:val="Heading4"/>
        <w:spacing w:after="120"/>
        <w:rPr>
          <w:rFonts w:ascii="Calibri" w:hAnsi="Calibri" w:cs="Calibri"/>
          <w:sz w:val="22"/>
        </w:rPr>
      </w:pPr>
      <w:r>
        <w:rPr>
          <w:rFonts w:ascii="Calibri" w:hAnsi="Calibri" w:cs="Calibri"/>
          <w:sz w:val="22"/>
        </w:rPr>
        <w:t>Quality Strategy</w:t>
      </w:r>
      <w:r w:rsidR="00372DA6" w:rsidRPr="00900B47">
        <w:rPr>
          <w:rFonts w:ascii="Calibri" w:hAnsi="Calibri" w:cs="Calibri"/>
          <w:sz w:val="22"/>
        </w:rPr>
        <w:t xml:space="preserve"> Recommendations</w:t>
      </w:r>
    </w:p>
    <w:p w14:paraId="47FDC0B3" w14:textId="416A79B4" w:rsidR="0083006D" w:rsidRPr="00753798" w:rsidRDefault="078A43D2" w:rsidP="003543BC">
      <w:pPr>
        <w:rPr>
          <w:i/>
          <w:iCs/>
        </w:rPr>
      </w:pPr>
      <w:r w:rsidRPr="003543BC">
        <w:rPr>
          <w:rFonts w:cstheme="minorBidi"/>
          <w:u w:val="single"/>
        </w:rPr>
        <w:t>Recommendation</w:t>
      </w:r>
      <w:r w:rsidR="00A00838">
        <w:rPr>
          <w:rFonts w:cstheme="minorBidi"/>
          <w:u w:val="single"/>
        </w:rPr>
        <w:t xml:space="preserve"> #1</w:t>
      </w:r>
      <w:r w:rsidRPr="692C77C9">
        <w:rPr>
          <w:rFonts w:cstheme="minorBidi"/>
        </w:rPr>
        <w:t xml:space="preserve">: </w:t>
      </w:r>
      <w:r w:rsidR="009638B1" w:rsidRPr="009638B1">
        <w:rPr>
          <w:rFonts w:cstheme="minorBidi"/>
        </w:rPr>
        <w:t>Recommendation towards achieving the goals of the Medicaid quality strategy</w:t>
      </w:r>
      <w:r w:rsidR="00E506DC">
        <w:rPr>
          <w:rFonts w:cstheme="minorBidi"/>
        </w:rPr>
        <w:t>:</w:t>
      </w:r>
      <w:r w:rsidR="009638B1" w:rsidRPr="009638B1">
        <w:rPr>
          <w:rFonts w:cstheme="minorBidi"/>
        </w:rPr>
        <w:t xml:space="preserve"> MassHealth should assess whether the state met or made progress on the five strategic goals and objectives described in the quality strategy.</w:t>
      </w:r>
    </w:p>
    <w:p w14:paraId="7DB1C76A" w14:textId="6288192E" w:rsidR="0083006D" w:rsidRPr="00DF7F9C" w:rsidRDefault="34FC3214" w:rsidP="009E1719">
      <w:pPr>
        <w:rPr>
          <w:rFonts w:cstheme="minorBidi"/>
        </w:rPr>
      </w:pPr>
      <w:r w:rsidRPr="003543BC">
        <w:rPr>
          <w:rFonts w:cstheme="minorBidi"/>
          <w:u w:val="single"/>
        </w:rPr>
        <w:t>MassHealth Response</w:t>
      </w:r>
      <w:r w:rsidR="00A00838">
        <w:rPr>
          <w:rFonts w:cstheme="minorBidi"/>
          <w:u w:val="single"/>
        </w:rPr>
        <w:t xml:space="preserve"> to Recommendation #1</w:t>
      </w:r>
      <w:r w:rsidR="00873649" w:rsidRPr="692C77C9">
        <w:rPr>
          <w:rFonts w:cstheme="minorBidi"/>
        </w:rPr>
        <w:t xml:space="preserve">: </w:t>
      </w:r>
      <w:r w:rsidR="00873649" w:rsidRPr="3DFCCDE3">
        <w:rPr>
          <w:rFonts w:cstheme="minorBidi"/>
        </w:rPr>
        <w:t>MassHealth</w:t>
      </w:r>
      <w:r w:rsidR="00B377DD" w:rsidRPr="3DFCCDE3">
        <w:rPr>
          <w:rFonts w:cstheme="minorBidi"/>
        </w:rPr>
        <w:t xml:space="preserve"> </w:t>
      </w:r>
      <w:r w:rsidR="00802E3B" w:rsidRPr="3DFCCDE3">
        <w:rPr>
          <w:rFonts w:cstheme="minorBidi"/>
        </w:rPr>
        <w:t>conducts a thorough evaluation of the effectiveness of the Quality Strategy on a tri</w:t>
      </w:r>
      <w:r w:rsidR="22BA3D1F" w:rsidRPr="3DFCCDE3">
        <w:rPr>
          <w:rFonts w:cstheme="minorBidi"/>
        </w:rPr>
        <w:t>e</w:t>
      </w:r>
      <w:r w:rsidR="00802E3B" w:rsidRPr="3DFCCDE3">
        <w:rPr>
          <w:rFonts w:cstheme="minorBidi"/>
        </w:rPr>
        <w:t>nn</w:t>
      </w:r>
      <w:r w:rsidR="628B062A" w:rsidRPr="3DFCCDE3">
        <w:rPr>
          <w:rFonts w:cstheme="minorBidi"/>
        </w:rPr>
        <w:t>i</w:t>
      </w:r>
      <w:r w:rsidR="00802E3B" w:rsidRPr="3DFCCDE3">
        <w:rPr>
          <w:rFonts w:cstheme="minorBidi"/>
        </w:rPr>
        <w:t xml:space="preserve">al basis. </w:t>
      </w:r>
      <w:r w:rsidR="00560AE6" w:rsidRPr="3DFCCDE3">
        <w:rPr>
          <w:rFonts w:cstheme="minorBidi"/>
        </w:rPr>
        <w:t xml:space="preserve">In addition, MassHealth </w:t>
      </w:r>
      <w:r w:rsidR="00037D3B" w:rsidRPr="3DFCCDE3">
        <w:rPr>
          <w:rFonts w:cstheme="minorBidi"/>
        </w:rPr>
        <w:t>calculates the Adult and Child Core Measures</w:t>
      </w:r>
      <w:r w:rsidR="00730C32" w:rsidRPr="3DFCCDE3">
        <w:rPr>
          <w:rFonts w:cstheme="minorBidi"/>
        </w:rPr>
        <w:t xml:space="preserve"> annually, </w:t>
      </w:r>
      <w:r w:rsidR="5139D4E2" w:rsidRPr="3DFCCDE3">
        <w:rPr>
          <w:rFonts w:cstheme="minorBidi"/>
        </w:rPr>
        <w:t xml:space="preserve">and </w:t>
      </w:r>
      <w:r w:rsidR="00730C32" w:rsidRPr="3DFCCDE3">
        <w:rPr>
          <w:rFonts w:cstheme="minorBidi"/>
        </w:rPr>
        <w:t>then map</w:t>
      </w:r>
      <w:r w:rsidR="703EBAC5" w:rsidRPr="3DFCCDE3">
        <w:rPr>
          <w:rFonts w:cstheme="minorBidi"/>
        </w:rPr>
        <w:t>s</w:t>
      </w:r>
      <w:r w:rsidR="00730C32" w:rsidRPr="3DFCCDE3">
        <w:rPr>
          <w:rFonts w:cstheme="minorBidi"/>
        </w:rPr>
        <w:t xml:space="preserve"> them to the five strategic goals objectives in order assess progress</w:t>
      </w:r>
      <w:r w:rsidR="00392414" w:rsidRPr="3DFCCDE3">
        <w:rPr>
          <w:rFonts w:cstheme="minorBidi"/>
        </w:rPr>
        <w:t xml:space="preserve">. We anticipate </w:t>
      </w:r>
      <w:r w:rsidR="00892C3B" w:rsidRPr="3DFCCDE3">
        <w:rPr>
          <w:rFonts w:cstheme="minorBidi"/>
        </w:rPr>
        <w:t xml:space="preserve">that </w:t>
      </w:r>
      <w:r w:rsidR="00392414" w:rsidRPr="3DFCCDE3">
        <w:rPr>
          <w:rFonts w:cstheme="minorBidi"/>
        </w:rPr>
        <w:t>moving forward MassHealth will share the results of this assessment with the Quality Strategy Management Committee and Exec</w:t>
      </w:r>
      <w:r w:rsidR="00C702A8" w:rsidRPr="3DFCCDE3">
        <w:rPr>
          <w:rFonts w:cstheme="minorBidi"/>
        </w:rPr>
        <w:t>utive</w:t>
      </w:r>
      <w:r w:rsidR="00392414" w:rsidRPr="3DFCCDE3">
        <w:rPr>
          <w:rFonts w:cstheme="minorBidi"/>
        </w:rPr>
        <w:t xml:space="preserve"> leadership</w:t>
      </w:r>
      <w:r w:rsidR="00112A83" w:rsidRPr="3DFCCDE3">
        <w:rPr>
          <w:rFonts w:cstheme="minorBidi"/>
        </w:rPr>
        <w:t xml:space="preserve">. </w:t>
      </w:r>
      <w:r w:rsidR="00C702A8" w:rsidRPr="3DFCCDE3">
        <w:rPr>
          <w:rFonts w:cstheme="minorBidi"/>
        </w:rPr>
        <w:t>We w</w:t>
      </w:r>
      <w:r w:rsidR="00112A83" w:rsidRPr="3DFCCDE3">
        <w:rPr>
          <w:rFonts w:cstheme="minorBidi"/>
        </w:rPr>
        <w:t>ill</w:t>
      </w:r>
      <w:r w:rsidR="00C702A8" w:rsidRPr="3DFCCDE3">
        <w:rPr>
          <w:rFonts w:cstheme="minorBidi"/>
        </w:rPr>
        <w:t xml:space="preserve"> also</w:t>
      </w:r>
      <w:r w:rsidR="00112A83" w:rsidRPr="3DFCCDE3">
        <w:rPr>
          <w:rFonts w:cstheme="minorBidi"/>
        </w:rPr>
        <w:t xml:space="preserve"> assess </w:t>
      </w:r>
      <w:r w:rsidR="00B162A2" w:rsidRPr="3DFCCDE3">
        <w:rPr>
          <w:rFonts w:cstheme="minorBidi"/>
        </w:rPr>
        <w:t>the feasibility</w:t>
      </w:r>
      <w:r w:rsidR="00112A83" w:rsidRPr="3DFCCDE3">
        <w:rPr>
          <w:rFonts w:cstheme="minorBidi"/>
        </w:rPr>
        <w:t xml:space="preserve"> of sharing progress publicly.</w:t>
      </w:r>
    </w:p>
    <w:p w14:paraId="0D09F0D2" w14:textId="0C5DCDF4" w:rsidR="0083006D" w:rsidRPr="00900B47" w:rsidRDefault="0083006D" w:rsidP="00AC2D09">
      <w:pPr>
        <w:pStyle w:val="Heading4"/>
        <w:spacing w:after="120"/>
        <w:rPr>
          <w:rStyle w:val="Emphasis"/>
          <w:rFonts w:asciiTheme="minorHAnsi" w:hAnsiTheme="minorHAnsi" w:cstheme="minorHAnsi"/>
          <w:i w:val="0"/>
          <w:iCs/>
          <w:sz w:val="22"/>
        </w:rPr>
      </w:pPr>
      <w:r w:rsidRPr="00900B47">
        <w:rPr>
          <w:rStyle w:val="Emphasis"/>
          <w:rFonts w:asciiTheme="minorHAnsi" w:hAnsiTheme="minorHAnsi" w:cstheme="minorHAnsi"/>
          <w:i w:val="0"/>
          <w:iCs/>
          <w:sz w:val="22"/>
        </w:rPr>
        <w:t>Performance Improvement Projects</w:t>
      </w:r>
      <w:r w:rsidR="00A55030" w:rsidRPr="00900B47">
        <w:rPr>
          <w:rStyle w:val="Emphasis"/>
          <w:rFonts w:asciiTheme="minorHAnsi" w:hAnsiTheme="minorHAnsi" w:cstheme="minorHAnsi"/>
          <w:i w:val="0"/>
          <w:iCs/>
          <w:sz w:val="22"/>
        </w:rPr>
        <w:t xml:space="preserve"> (PIPs)</w:t>
      </w:r>
      <w:r w:rsidR="003640C7">
        <w:rPr>
          <w:rStyle w:val="Emphasis"/>
          <w:rFonts w:asciiTheme="minorHAnsi" w:hAnsiTheme="minorHAnsi" w:cstheme="minorHAnsi"/>
          <w:i w:val="0"/>
          <w:iCs/>
          <w:sz w:val="22"/>
        </w:rPr>
        <w:t xml:space="preserve"> Recommendations</w:t>
      </w:r>
      <w:r w:rsidR="00A06007">
        <w:rPr>
          <w:rStyle w:val="Emphasis"/>
          <w:rFonts w:asciiTheme="minorHAnsi" w:hAnsiTheme="minorHAnsi" w:cstheme="minorHAnsi"/>
          <w:i w:val="0"/>
          <w:iCs/>
          <w:sz w:val="22"/>
        </w:rPr>
        <w:t xml:space="preserve">: </w:t>
      </w:r>
      <w:r w:rsidR="00FC0DBE">
        <w:rPr>
          <w:rStyle w:val="Emphasis"/>
          <w:rFonts w:asciiTheme="minorHAnsi" w:hAnsiTheme="minorHAnsi" w:cstheme="minorHAnsi"/>
          <w:b w:val="0"/>
          <w:bCs w:val="0"/>
          <w:i w:val="0"/>
          <w:iCs/>
          <w:sz w:val="22"/>
          <w:u w:val="none"/>
        </w:rPr>
        <w:t>Massachusetts</w:t>
      </w:r>
      <w:r w:rsidR="00A06007">
        <w:rPr>
          <w:rStyle w:val="Emphasis"/>
          <w:rFonts w:asciiTheme="minorHAnsi" w:hAnsiTheme="minorHAnsi" w:cstheme="minorHAnsi"/>
          <w:b w:val="0"/>
          <w:bCs w:val="0"/>
          <w:i w:val="0"/>
          <w:iCs/>
          <w:sz w:val="22"/>
          <w:u w:val="none"/>
        </w:rPr>
        <w:t xml:space="preserve"> EQRO made several recommendations to the performance improvement projects process and they are listed below</w:t>
      </w:r>
      <w:r w:rsidR="00FC0DBE">
        <w:rPr>
          <w:rStyle w:val="Emphasis"/>
          <w:rFonts w:asciiTheme="minorHAnsi" w:hAnsiTheme="minorHAnsi" w:cstheme="minorHAnsi"/>
          <w:b w:val="0"/>
          <w:bCs w:val="0"/>
          <w:i w:val="0"/>
          <w:iCs/>
          <w:sz w:val="22"/>
          <w:u w:val="none"/>
        </w:rPr>
        <w:t>:</w:t>
      </w:r>
    </w:p>
    <w:p w14:paraId="65DAD2CC" w14:textId="56FC1F07" w:rsidR="002A5F1C" w:rsidRPr="00FC0DBE" w:rsidRDefault="003640C7" w:rsidP="00FC0DBE">
      <w:pPr>
        <w:pStyle w:val="xmsolistparagraph"/>
        <w:spacing w:before="0" w:beforeAutospacing="0" w:after="120" w:afterAutospacing="0"/>
        <w:rPr>
          <w:rFonts w:asciiTheme="minorHAnsi" w:hAnsiTheme="minorHAnsi" w:cstheme="minorHAnsi"/>
          <w:i/>
          <w:iCs/>
        </w:rPr>
      </w:pPr>
      <w:r>
        <w:rPr>
          <w:rFonts w:asciiTheme="minorHAnsi" w:hAnsiTheme="minorHAnsi" w:cstheme="minorHAnsi"/>
          <w:u w:val="single"/>
        </w:rPr>
        <w:t>Recommendation #</w:t>
      </w:r>
      <w:r w:rsidR="00D46CD4">
        <w:rPr>
          <w:rFonts w:asciiTheme="minorHAnsi" w:hAnsiTheme="minorHAnsi" w:cstheme="minorHAnsi"/>
          <w:u w:val="single"/>
        </w:rPr>
        <w:t>2</w:t>
      </w:r>
      <w:r>
        <w:rPr>
          <w:rFonts w:asciiTheme="minorHAnsi" w:hAnsiTheme="minorHAnsi" w:cstheme="minorHAnsi"/>
        </w:rPr>
        <w:t xml:space="preserve">: </w:t>
      </w:r>
      <w:r w:rsidR="00D02C3B" w:rsidRPr="00D02C3B">
        <w:rPr>
          <w:rFonts w:asciiTheme="minorHAnsi" w:hAnsiTheme="minorHAnsi" w:cstheme="minorHAnsi"/>
        </w:rPr>
        <w:t>Standardized structure and reporting requirements should be established to define and describe PIP aims and interventions</w:t>
      </w:r>
    </w:p>
    <w:p w14:paraId="4EF6C79F" w14:textId="12C50DFF" w:rsidR="00037B1D" w:rsidRPr="00FC0DBE" w:rsidRDefault="006A79C3" w:rsidP="00FC0DBE">
      <w:pPr>
        <w:pStyle w:val="xmsolistparagraph"/>
        <w:spacing w:before="0" w:beforeAutospacing="0" w:after="120" w:afterAutospacing="0"/>
        <w:rPr>
          <w:rFonts w:asciiTheme="minorHAnsi" w:hAnsiTheme="minorHAnsi" w:cstheme="minorHAnsi"/>
          <w:i/>
          <w:iCs/>
        </w:rPr>
      </w:pPr>
      <w:r>
        <w:rPr>
          <w:rFonts w:asciiTheme="minorHAnsi" w:hAnsiTheme="minorHAnsi" w:cstheme="minorHAnsi"/>
          <w:u w:val="single"/>
        </w:rPr>
        <w:lastRenderedPageBreak/>
        <w:t>Recommendation #3</w:t>
      </w:r>
      <w:r>
        <w:rPr>
          <w:rFonts w:asciiTheme="minorHAnsi" w:hAnsiTheme="minorHAnsi" w:cstheme="minorHAnsi"/>
        </w:rPr>
        <w:t xml:space="preserve">: </w:t>
      </w:r>
      <w:r w:rsidR="002F2092" w:rsidRPr="002F2092">
        <w:rPr>
          <w:rFonts w:asciiTheme="minorHAnsi" w:hAnsiTheme="minorHAnsi" w:cstheme="minorHAnsi"/>
        </w:rPr>
        <w:t>All Plans should be required to conduct an initial barrier analysis at the outset of every PIP and document it in PIP proposal submission. Additionally, Plans should be required/expected to conduct additional analyses throughout the process as additional barriers are discovered.</w:t>
      </w:r>
    </w:p>
    <w:p w14:paraId="1372F661" w14:textId="723681A1" w:rsidR="00037B1D" w:rsidRPr="00FC0DBE" w:rsidRDefault="00037B1D" w:rsidP="00FC0DBE">
      <w:pPr>
        <w:pStyle w:val="xmsolistparagraph"/>
        <w:spacing w:before="0" w:beforeAutospacing="0" w:after="120" w:afterAutospacing="0"/>
        <w:rPr>
          <w:rFonts w:asciiTheme="minorHAnsi" w:hAnsiTheme="minorHAnsi" w:cstheme="minorHAnsi"/>
          <w:i/>
          <w:iCs/>
        </w:rPr>
      </w:pPr>
      <w:r>
        <w:rPr>
          <w:rFonts w:asciiTheme="minorHAnsi" w:hAnsiTheme="minorHAnsi" w:cstheme="minorHAnsi"/>
          <w:u w:val="single"/>
        </w:rPr>
        <w:t>Recommendation #4</w:t>
      </w:r>
      <w:r>
        <w:rPr>
          <w:rFonts w:asciiTheme="minorHAnsi" w:hAnsiTheme="minorHAnsi" w:cstheme="minorHAnsi"/>
        </w:rPr>
        <w:t xml:space="preserve">: </w:t>
      </w:r>
      <w:r w:rsidR="00615CC1" w:rsidRPr="00615CC1">
        <w:rPr>
          <w:rFonts w:asciiTheme="minorHAnsi" w:hAnsiTheme="minorHAnsi" w:cstheme="minorHAnsi"/>
        </w:rPr>
        <w:t>For each PIP intervention, Plans should be required to track implementation progress with at least one intervention-specific process measure. Rates should be tracked/reported on at least a quarterly basis throughout the PIP cycle.</w:t>
      </w:r>
    </w:p>
    <w:p w14:paraId="65D9A6DA" w14:textId="04730BD6" w:rsidR="005B28BC" w:rsidRPr="00FC0DBE" w:rsidRDefault="00615CC1" w:rsidP="00FC0DBE">
      <w:pPr>
        <w:pStyle w:val="xmsolistparagraph"/>
        <w:spacing w:before="0" w:beforeAutospacing="0" w:after="120" w:afterAutospacing="0"/>
        <w:rPr>
          <w:rFonts w:asciiTheme="minorHAnsi" w:hAnsiTheme="minorHAnsi" w:cstheme="minorHAnsi"/>
          <w:i/>
          <w:iCs/>
        </w:rPr>
      </w:pPr>
      <w:r>
        <w:rPr>
          <w:rFonts w:asciiTheme="minorHAnsi" w:hAnsiTheme="minorHAnsi" w:cstheme="minorHAnsi"/>
          <w:u w:val="single"/>
        </w:rPr>
        <w:t>Recommendation #5</w:t>
      </w:r>
      <w:r>
        <w:rPr>
          <w:rFonts w:asciiTheme="minorHAnsi" w:hAnsiTheme="minorHAnsi" w:cstheme="minorHAnsi"/>
        </w:rPr>
        <w:t xml:space="preserve">: </w:t>
      </w:r>
      <w:r w:rsidR="005B28BC" w:rsidRPr="005B28BC">
        <w:rPr>
          <w:rFonts w:asciiTheme="minorHAnsi" w:hAnsiTheme="minorHAnsi" w:cstheme="minorHAnsi"/>
        </w:rPr>
        <w:t>Plans should be required to document modifications made to interventions throughout the PIP cycle in a uniform fashion within the PIP template.</w:t>
      </w:r>
    </w:p>
    <w:p w14:paraId="2624779A" w14:textId="322E8A5D" w:rsidR="005B28BC" w:rsidRPr="003F62B5" w:rsidRDefault="005B28BC" w:rsidP="005B28BC">
      <w:pPr>
        <w:pStyle w:val="xmsolistparagraph"/>
        <w:spacing w:before="0" w:beforeAutospacing="0" w:after="120" w:afterAutospacing="0"/>
        <w:rPr>
          <w:rFonts w:asciiTheme="minorHAnsi" w:hAnsiTheme="minorHAnsi" w:cstheme="minorHAnsi"/>
          <w:i/>
          <w:iCs/>
        </w:rPr>
      </w:pPr>
      <w:r>
        <w:rPr>
          <w:rFonts w:asciiTheme="minorHAnsi" w:hAnsiTheme="minorHAnsi" w:cstheme="minorHAnsi"/>
          <w:u w:val="single"/>
        </w:rPr>
        <w:t>Recommendation #6</w:t>
      </w:r>
      <w:r>
        <w:rPr>
          <w:rFonts w:asciiTheme="minorHAnsi" w:hAnsiTheme="minorHAnsi" w:cstheme="minorHAnsi"/>
        </w:rPr>
        <w:t xml:space="preserve">: </w:t>
      </w:r>
      <w:r w:rsidR="00601442" w:rsidRPr="00601442">
        <w:rPr>
          <w:rFonts w:asciiTheme="minorHAnsi" w:hAnsiTheme="minorHAnsi" w:cstheme="minorHAnsi"/>
        </w:rPr>
        <w:t>Plans should be required to document efforts to promote sustainability and spread in a standardized manner across all interventions (and PIPs) in the final PIP report.</w:t>
      </w:r>
    </w:p>
    <w:p w14:paraId="600D178D" w14:textId="49571D6C" w:rsidR="005B28BC" w:rsidRDefault="005B28BC" w:rsidP="005B28BC">
      <w:pPr>
        <w:pStyle w:val="xmsolistparagraph"/>
        <w:spacing w:before="0" w:beforeAutospacing="0" w:after="0" w:afterAutospacing="0"/>
        <w:rPr>
          <w:rFonts w:asciiTheme="minorHAnsi" w:hAnsiTheme="minorHAnsi" w:cstheme="minorBidi"/>
        </w:rPr>
      </w:pPr>
      <w:r w:rsidRPr="3DFCCDE3">
        <w:rPr>
          <w:rFonts w:asciiTheme="minorHAnsi" w:hAnsiTheme="minorHAnsi" w:cstheme="minorBidi"/>
          <w:u w:val="single"/>
        </w:rPr>
        <w:t xml:space="preserve">MassHealth Response to </w:t>
      </w:r>
      <w:r w:rsidR="00FC0DBE" w:rsidRPr="3DFCCDE3">
        <w:rPr>
          <w:rFonts w:asciiTheme="minorHAnsi" w:hAnsiTheme="minorHAnsi" w:cstheme="minorBidi"/>
          <w:u w:val="single"/>
        </w:rPr>
        <w:t>PIP Recommendations</w:t>
      </w:r>
      <w:r w:rsidRPr="3DFCCDE3">
        <w:rPr>
          <w:rFonts w:asciiTheme="minorHAnsi" w:hAnsiTheme="minorHAnsi" w:cstheme="minorBidi"/>
        </w:rPr>
        <w:t>:</w:t>
      </w:r>
      <w:r w:rsidR="00FC0DBE" w:rsidRPr="3DFCCDE3">
        <w:rPr>
          <w:rFonts w:asciiTheme="minorHAnsi" w:hAnsiTheme="minorHAnsi" w:cstheme="minorBidi"/>
        </w:rPr>
        <w:t xml:space="preserve"> </w:t>
      </w:r>
      <w:r w:rsidR="00D1056F">
        <w:rPr>
          <w:rFonts w:asciiTheme="minorHAnsi" w:hAnsiTheme="minorHAnsi" w:cstheme="minorBidi"/>
        </w:rPr>
        <w:t>Most of</w:t>
      </w:r>
      <w:r w:rsidR="00F03F37" w:rsidRPr="3DFCCDE3">
        <w:rPr>
          <w:rFonts w:asciiTheme="minorHAnsi" w:hAnsiTheme="minorHAnsi" w:cstheme="minorBidi"/>
        </w:rPr>
        <w:t xml:space="preserve"> the</w:t>
      </w:r>
      <w:r w:rsidR="00D1056F">
        <w:rPr>
          <w:rFonts w:asciiTheme="minorHAnsi" w:hAnsiTheme="minorHAnsi" w:cstheme="minorBidi"/>
        </w:rPr>
        <w:t xml:space="preserve"> PIP </w:t>
      </w:r>
      <w:r w:rsidR="00F03F37" w:rsidRPr="3DFCCDE3">
        <w:rPr>
          <w:rFonts w:asciiTheme="minorHAnsi" w:hAnsiTheme="minorHAnsi" w:cstheme="minorBidi"/>
        </w:rPr>
        <w:t xml:space="preserve">recommendations </w:t>
      </w:r>
      <w:r w:rsidR="00D1056F">
        <w:rPr>
          <w:rFonts w:asciiTheme="minorHAnsi" w:hAnsiTheme="minorHAnsi" w:cstheme="minorBidi"/>
        </w:rPr>
        <w:t>focus</w:t>
      </w:r>
      <w:r w:rsidR="00B823B4" w:rsidRPr="3DFCCDE3">
        <w:rPr>
          <w:rFonts w:asciiTheme="minorHAnsi" w:hAnsiTheme="minorHAnsi" w:cstheme="minorBidi"/>
        </w:rPr>
        <w:t xml:space="preserve"> </w:t>
      </w:r>
      <w:r w:rsidR="00D1056F">
        <w:rPr>
          <w:rFonts w:asciiTheme="minorHAnsi" w:hAnsiTheme="minorHAnsi" w:cstheme="minorBidi"/>
        </w:rPr>
        <w:t xml:space="preserve">on </w:t>
      </w:r>
      <w:r w:rsidR="00082E0C">
        <w:rPr>
          <w:rFonts w:asciiTheme="minorHAnsi" w:hAnsiTheme="minorHAnsi" w:cstheme="minorBidi"/>
        </w:rPr>
        <w:t xml:space="preserve">PIP development and reporting </w:t>
      </w:r>
      <w:r w:rsidR="00B823B4" w:rsidRPr="3DFCCDE3">
        <w:rPr>
          <w:rFonts w:asciiTheme="minorHAnsi" w:hAnsiTheme="minorHAnsi" w:cstheme="minorBidi"/>
        </w:rPr>
        <w:t>process</w:t>
      </w:r>
      <w:r w:rsidR="00082E0C">
        <w:rPr>
          <w:rFonts w:asciiTheme="minorHAnsi" w:hAnsiTheme="minorHAnsi" w:cstheme="minorBidi"/>
        </w:rPr>
        <w:t xml:space="preserve">es. </w:t>
      </w:r>
      <w:r w:rsidR="00B823B4" w:rsidRPr="3DFCCDE3">
        <w:rPr>
          <w:rFonts w:asciiTheme="minorHAnsi" w:hAnsiTheme="minorHAnsi" w:cstheme="minorBidi"/>
        </w:rPr>
        <w:t xml:space="preserve"> </w:t>
      </w:r>
      <w:r w:rsidR="00A67E4C">
        <w:rPr>
          <w:rFonts w:asciiTheme="minorHAnsi" w:hAnsiTheme="minorHAnsi" w:cstheme="minorBidi"/>
        </w:rPr>
        <w:t xml:space="preserve"> T</w:t>
      </w:r>
      <w:r w:rsidR="00B823B4" w:rsidRPr="3DFCCDE3">
        <w:rPr>
          <w:rFonts w:asciiTheme="minorHAnsi" w:hAnsiTheme="minorHAnsi" w:cstheme="minorBidi"/>
        </w:rPr>
        <w:t xml:space="preserve">o address </w:t>
      </w:r>
      <w:r w:rsidR="008B1D5A">
        <w:rPr>
          <w:rFonts w:asciiTheme="minorHAnsi" w:hAnsiTheme="minorHAnsi" w:cstheme="minorBidi"/>
        </w:rPr>
        <w:t>process recommendations,</w:t>
      </w:r>
      <w:r w:rsidR="00B823B4" w:rsidRPr="3DFCCDE3">
        <w:rPr>
          <w:rFonts w:asciiTheme="minorHAnsi" w:hAnsiTheme="minorHAnsi" w:cstheme="minorBidi"/>
        </w:rPr>
        <w:t xml:space="preserve"> </w:t>
      </w:r>
      <w:r w:rsidR="00FC0DBE" w:rsidRPr="3DFCCDE3">
        <w:rPr>
          <w:rFonts w:asciiTheme="minorHAnsi" w:hAnsiTheme="minorHAnsi" w:cstheme="minorBidi"/>
        </w:rPr>
        <w:t>MassHealth worked closely with their EQRO to update and improve the PIP reporting process</w:t>
      </w:r>
      <w:r w:rsidR="00A54F8B" w:rsidRPr="3DFCCDE3">
        <w:rPr>
          <w:rFonts w:asciiTheme="minorHAnsi" w:hAnsiTheme="minorHAnsi" w:cstheme="minorBidi"/>
        </w:rPr>
        <w:t xml:space="preserve">. </w:t>
      </w:r>
      <w:r w:rsidR="00EC3191" w:rsidRPr="3DFCCDE3">
        <w:rPr>
          <w:rFonts w:asciiTheme="minorHAnsi" w:hAnsiTheme="minorHAnsi" w:cstheme="minorBidi"/>
        </w:rPr>
        <w:t>Some of that work include</w:t>
      </w:r>
      <w:r w:rsidR="00F03F37" w:rsidRPr="3DFCCDE3">
        <w:rPr>
          <w:rFonts w:asciiTheme="minorHAnsi" w:hAnsiTheme="minorHAnsi" w:cstheme="minorBidi"/>
        </w:rPr>
        <w:t>d</w:t>
      </w:r>
      <w:r w:rsidR="00385680">
        <w:rPr>
          <w:rFonts w:asciiTheme="minorHAnsi" w:hAnsiTheme="minorHAnsi" w:cstheme="minorBidi"/>
        </w:rPr>
        <w:t xml:space="preserve"> </w:t>
      </w:r>
      <w:r w:rsidR="00EC3191" w:rsidRPr="3DFCCDE3">
        <w:rPr>
          <w:rFonts w:asciiTheme="minorHAnsi" w:hAnsiTheme="minorHAnsi" w:cstheme="minorBidi"/>
        </w:rPr>
        <w:t>i</w:t>
      </w:r>
      <w:r w:rsidR="006C5843" w:rsidRPr="3DFCCDE3">
        <w:rPr>
          <w:rFonts w:asciiTheme="minorHAnsi" w:hAnsiTheme="minorHAnsi" w:cstheme="minorBidi"/>
        </w:rPr>
        <w:t>mprov</w:t>
      </w:r>
      <w:r w:rsidR="00B31018" w:rsidRPr="3DFCCDE3">
        <w:rPr>
          <w:rFonts w:asciiTheme="minorHAnsi" w:hAnsiTheme="minorHAnsi" w:cstheme="minorBidi"/>
        </w:rPr>
        <w:t>ing</w:t>
      </w:r>
      <w:r w:rsidR="006C5843" w:rsidRPr="3DFCCDE3">
        <w:rPr>
          <w:rFonts w:asciiTheme="minorHAnsi" w:hAnsiTheme="minorHAnsi" w:cstheme="minorBidi"/>
        </w:rPr>
        <w:t xml:space="preserve"> the reporting template</w:t>
      </w:r>
      <w:r w:rsidR="003C5BB7" w:rsidRPr="3DFCCDE3">
        <w:rPr>
          <w:rFonts w:asciiTheme="minorHAnsi" w:hAnsiTheme="minorHAnsi" w:cstheme="minorBidi"/>
        </w:rPr>
        <w:t>, offering technical assistance to plans</w:t>
      </w:r>
      <w:r w:rsidR="00EF6EF6" w:rsidRPr="3DFCCDE3">
        <w:rPr>
          <w:rFonts w:asciiTheme="minorHAnsi" w:hAnsiTheme="minorHAnsi" w:cstheme="minorBidi"/>
        </w:rPr>
        <w:t xml:space="preserve">, </w:t>
      </w:r>
      <w:r w:rsidR="00B31018" w:rsidRPr="3DFCCDE3">
        <w:rPr>
          <w:rFonts w:asciiTheme="minorHAnsi" w:hAnsiTheme="minorHAnsi" w:cstheme="minorBidi"/>
        </w:rPr>
        <w:t xml:space="preserve">and </w:t>
      </w:r>
      <w:r w:rsidR="00EF6EF6" w:rsidRPr="3DFCCDE3">
        <w:rPr>
          <w:rFonts w:asciiTheme="minorHAnsi" w:hAnsiTheme="minorHAnsi" w:cstheme="minorBidi"/>
        </w:rPr>
        <w:t>increas</w:t>
      </w:r>
      <w:r w:rsidR="00B31018" w:rsidRPr="3DFCCDE3">
        <w:rPr>
          <w:rFonts w:asciiTheme="minorHAnsi" w:hAnsiTheme="minorHAnsi" w:cstheme="minorBidi"/>
        </w:rPr>
        <w:t>ing the</w:t>
      </w:r>
      <w:r w:rsidR="00EF6EF6" w:rsidRPr="3DFCCDE3">
        <w:rPr>
          <w:rFonts w:asciiTheme="minorHAnsi" w:hAnsiTheme="minorHAnsi" w:cstheme="minorBidi"/>
        </w:rPr>
        <w:t xml:space="preserve"> rigor of the PIP implementation and reporting process.</w:t>
      </w:r>
      <w:r w:rsidR="00AA2482" w:rsidRPr="3DFCCDE3">
        <w:rPr>
          <w:rFonts w:asciiTheme="minorHAnsi" w:hAnsiTheme="minorHAnsi" w:cstheme="minorBidi"/>
        </w:rPr>
        <w:t xml:space="preserve"> </w:t>
      </w:r>
      <w:r w:rsidR="000843AD" w:rsidRPr="3DFCCDE3">
        <w:rPr>
          <w:rFonts w:asciiTheme="minorHAnsi" w:hAnsiTheme="minorHAnsi" w:cstheme="minorBidi"/>
        </w:rPr>
        <w:t xml:space="preserve">Technical assistance occurred through </w:t>
      </w:r>
      <w:r w:rsidR="002D3268" w:rsidRPr="3DFCCDE3">
        <w:rPr>
          <w:rFonts w:asciiTheme="minorHAnsi" w:hAnsiTheme="minorHAnsi" w:cstheme="minorBidi"/>
        </w:rPr>
        <w:t xml:space="preserve">virtual </w:t>
      </w:r>
      <w:r w:rsidR="000843AD" w:rsidRPr="3DFCCDE3">
        <w:rPr>
          <w:rFonts w:asciiTheme="minorHAnsi" w:hAnsiTheme="minorHAnsi" w:cstheme="minorBidi"/>
        </w:rPr>
        <w:t xml:space="preserve">trainings and individual meetings with plans to </w:t>
      </w:r>
      <w:r w:rsidR="009653F1" w:rsidRPr="3DFCCDE3">
        <w:rPr>
          <w:rFonts w:asciiTheme="minorHAnsi" w:hAnsiTheme="minorHAnsi" w:cstheme="minorBidi"/>
        </w:rPr>
        <w:t xml:space="preserve">address specific </w:t>
      </w:r>
      <w:r w:rsidR="002D3268" w:rsidRPr="3DFCCDE3">
        <w:rPr>
          <w:rFonts w:asciiTheme="minorHAnsi" w:hAnsiTheme="minorHAnsi" w:cstheme="minorBidi"/>
        </w:rPr>
        <w:t xml:space="preserve">areas </w:t>
      </w:r>
      <w:r w:rsidR="008B1972" w:rsidRPr="3DFCCDE3">
        <w:rPr>
          <w:rFonts w:asciiTheme="minorHAnsi" w:hAnsiTheme="minorHAnsi" w:cstheme="minorBidi"/>
        </w:rPr>
        <w:t>of concern.</w:t>
      </w:r>
    </w:p>
    <w:p w14:paraId="13CF7D7E" w14:textId="4CAE33AF" w:rsidR="00225380" w:rsidRPr="00753798" w:rsidRDefault="00225380" w:rsidP="00225380">
      <w:pPr>
        <w:pStyle w:val="xmsolistparagraph"/>
        <w:spacing w:before="0" w:beforeAutospacing="0" w:after="0" w:afterAutospacing="0"/>
        <w:rPr>
          <w:rFonts w:asciiTheme="minorHAnsi" w:hAnsiTheme="minorHAnsi" w:cstheme="minorHAnsi"/>
        </w:rPr>
      </w:pPr>
    </w:p>
    <w:p w14:paraId="52A1BC49" w14:textId="405C44C3" w:rsidR="0083006D" w:rsidRPr="00900B47" w:rsidRDefault="00784F63" w:rsidP="00AC2D09">
      <w:pPr>
        <w:pStyle w:val="Heading4"/>
        <w:spacing w:after="120"/>
        <w:rPr>
          <w:rStyle w:val="Emphasis"/>
          <w:rFonts w:asciiTheme="minorHAnsi" w:hAnsiTheme="minorHAnsi" w:cstheme="minorHAnsi"/>
          <w:i w:val="0"/>
          <w:iCs/>
          <w:sz w:val="22"/>
        </w:rPr>
      </w:pPr>
      <w:r>
        <w:rPr>
          <w:rStyle w:val="Emphasis"/>
          <w:rFonts w:asciiTheme="minorHAnsi" w:hAnsiTheme="minorHAnsi" w:cstheme="minorHAnsi"/>
          <w:i w:val="0"/>
          <w:iCs/>
          <w:sz w:val="22"/>
        </w:rPr>
        <w:t>Performance Measure Validation</w:t>
      </w:r>
      <w:r w:rsidR="003640C7">
        <w:rPr>
          <w:rStyle w:val="Emphasis"/>
          <w:rFonts w:asciiTheme="minorHAnsi" w:hAnsiTheme="minorHAnsi" w:cstheme="minorHAnsi"/>
          <w:i w:val="0"/>
          <w:iCs/>
          <w:sz w:val="22"/>
        </w:rPr>
        <w:t xml:space="preserve"> Recommendations</w:t>
      </w:r>
    </w:p>
    <w:p w14:paraId="21C10BB9" w14:textId="60EED612" w:rsidR="0083006D" w:rsidRPr="003640C7" w:rsidRDefault="003640C7" w:rsidP="003640C7">
      <w:pPr>
        <w:rPr>
          <w:rFonts w:cstheme="minorHAnsi"/>
          <w:i/>
          <w:iCs/>
        </w:rPr>
      </w:pPr>
      <w:r>
        <w:rPr>
          <w:rFonts w:cstheme="minorHAnsi"/>
          <w:u w:val="single"/>
        </w:rPr>
        <w:t>Recommendation #</w:t>
      </w:r>
      <w:r w:rsidR="00784F63">
        <w:rPr>
          <w:rFonts w:cstheme="minorHAnsi"/>
          <w:u w:val="single"/>
        </w:rPr>
        <w:t>7</w:t>
      </w:r>
      <w:r w:rsidR="00B162A2">
        <w:rPr>
          <w:rFonts w:cstheme="minorHAnsi"/>
        </w:rPr>
        <w:t>: Recommendation</w:t>
      </w:r>
      <w:r w:rsidR="00F26EA4">
        <w:t xml:space="preserve"> towards better medical record chart abstraction and encounter submission</w:t>
      </w:r>
      <w:r w:rsidR="00A2521E">
        <w:t xml:space="preserve">: </w:t>
      </w:r>
      <w:r w:rsidR="00A2521E" w:rsidRPr="00A2521E">
        <w:t>ACPPs and MassHealth should enhance their oversight of the medical record review processes to ensure the accuracy of abstracted data reported by the ACPPs. ACPPs should ensure that the charts used for medical record abstraction are maintained and readily available for validation purposes. ACPPs and MassHealth should also improve oversight of encounters submitted by ACPPs to ensure data accuracy.</w:t>
      </w:r>
    </w:p>
    <w:p w14:paraId="72FC3162" w14:textId="2694698F" w:rsidR="004137F2" w:rsidRDefault="003640C7" w:rsidP="00FB389B">
      <w:r w:rsidRPr="33E9587A">
        <w:rPr>
          <w:rFonts w:cstheme="minorBidi"/>
          <w:u w:val="single"/>
        </w:rPr>
        <w:t>MassHealth Response to Recommendation #</w:t>
      </w:r>
      <w:r w:rsidR="00784F63">
        <w:rPr>
          <w:rFonts w:cstheme="minorBidi"/>
          <w:u w:val="single"/>
        </w:rPr>
        <w:t>7</w:t>
      </w:r>
      <w:r w:rsidRPr="33E9587A">
        <w:rPr>
          <w:rFonts w:cstheme="minorBidi"/>
        </w:rPr>
        <w:t>:</w:t>
      </w:r>
      <w:r w:rsidR="002026A0">
        <w:rPr>
          <w:rFonts w:cstheme="minorBidi"/>
        </w:rPr>
        <w:t xml:space="preserve"> </w:t>
      </w:r>
      <w:r w:rsidR="00BD077C">
        <w:rPr>
          <w:rFonts w:cstheme="minorBidi"/>
        </w:rPr>
        <w:t xml:space="preserve">For medical record review, MassHealth does provide guidance, training, and technical assistance as necessary to the </w:t>
      </w:r>
      <w:r w:rsidR="002715DA">
        <w:rPr>
          <w:rFonts w:cstheme="minorBidi"/>
        </w:rPr>
        <w:t xml:space="preserve">plans to support medical record abstraction for the hybrid measures. MassHealth </w:t>
      </w:r>
      <w:r w:rsidR="00917857">
        <w:rPr>
          <w:rFonts w:cstheme="minorBidi"/>
        </w:rPr>
        <w:t xml:space="preserve">does see an opportunity to better understand the process by which </w:t>
      </w:r>
      <w:r w:rsidR="00B20083">
        <w:rPr>
          <w:rFonts w:cstheme="minorBidi"/>
        </w:rPr>
        <w:t xml:space="preserve">ACPPs and PCACOs </w:t>
      </w:r>
      <w:r w:rsidR="00531223">
        <w:rPr>
          <w:rFonts w:cstheme="minorBidi"/>
        </w:rPr>
        <w:t>abstract clinical data and may consider requiring them to upload medical records into the clinical repository tool</w:t>
      </w:r>
      <w:r w:rsidR="00F14ED2">
        <w:rPr>
          <w:rFonts w:cstheme="minorBidi"/>
        </w:rPr>
        <w:t xml:space="preserve">. </w:t>
      </w:r>
      <w:r w:rsidR="00890C0E">
        <w:rPr>
          <w:rFonts w:cstheme="minorBidi"/>
        </w:rPr>
        <w:t>MassHealth</w:t>
      </w:r>
      <w:r w:rsidR="005B1AA7">
        <w:rPr>
          <w:rFonts w:cstheme="minorBidi"/>
        </w:rPr>
        <w:t>’s</w:t>
      </w:r>
      <w:r w:rsidR="00890C0E">
        <w:rPr>
          <w:rFonts w:cstheme="minorBidi"/>
        </w:rPr>
        <w:t xml:space="preserve"> data integrity team works closely with our managed care plans to ensure encounter data is submitted correctly and according to M</w:t>
      </w:r>
      <w:r w:rsidR="00C53159">
        <w:rPr>
          <w:rFonts w:cstheme="minorBidi"/>
        </w:rPr>
        <w:t>assHealth</w:t>
      </w:r>
      <w:r w:rsidR="00576499">
        <w:rPr>
          <w:rFonts w:cstheme="minorBidi"/>
        </w:rPr>
        <w:t>’s</w:t>
      </w:r>
      <w:r w:rsidR="00C53159">
        <w:rPr>
          <w:rFonts w:cstheme="minorBidi"/>
        </w:rPr>
        <w:t xml:space="preserve"> </w:t>
      </w:r>
      <w:r w:rsidR="00890C0E">
        <w:rPr>
          <w:rFonts w:cstheme="minorBidi"/>
        </w:rPr>
        <w:t xml:space="preserve">specifications. </w:t>
      </w:r>
      <w:r w:rsidR="00C35699" w:rsidRPr="00C35699">
        <w:rPr>
          <w:rFonts w:cstheme="minorBidi"/>
        </w:rPr>
        <w:t xml:space="preserve">As data integrity issues arise, MassHealth’s Quality Office alerts the Data Integrity Office; the Data Integrity Team </w:t>
      </w:r>
      <w:r w:rsidR="00C35699">
        <w:rPr>
          <w:rFonts w:cstheme="minorBidi"/>
        </w:rPr>
        <w:t xml:space="preserve">then </w:t>
      </w:r>
      <w:r w:rsidR="00C35699" w:rsidRPr="00C35699">
        <w:rPr>
          <w:rFonts w:cstheme="minorBidi"/>
        </w:rPr>
        <w:t>works with the managed care plans to resolve any issues.</w:t>
      </w:r>
    </w:p>
    <w:p w14:paraId="17315D5E" w14:textId="77777777" w:rsidR="00733B43" w:rsidRPr="00DC0451" w:rsidRDefault="00733B43" w:rsidP="00FB389B"/>
    <w:p w14:paraId="00F95523" w14:textId="216EC4E4" w:rsidR="00FB389B" w:rsidRPr="003640C7" w:rsidRDefault="00FB389B" w:rsidP="00FB389B">
      <w:pPr>
        <w:rPr>
          <w:rFonts w:cstheme="minorHAnsi"/>
          <w:i/>
          <w:iCs/>
        </w:rPr>
      </w:pPr>
      <w:r>
        <w:rPr>
          <w:rFonts w:cstheme="minorHAnsi"/>
          <w:u w:val="single"/>
        </w:rPr>
        <w:t>Recommendation #8</w:t>
      </w:r>
      <w:r>
        <w:rPr>
          <w:rFonts w:cstheme="minorHAnsi"/>
        </w:rPr>
        <w:t>:</w:t>
      </w:r>
      <w:r w:rsidR="004137F2" w:rsidRPr="004137F2">
        <w:t xml:space="preserve"> </w:t>
      </w:r>
      <w:r w:rsidR="004137F2">
        <w:t>Recommendation towards better performance on quality measures</w:t>
      </w:r>
      <w:r w:rsidR="007C0663">
        <w:t xml:space="preserve">: </w:t>
      </w:r>
      <w:r w:rsidR="007C0663" w:rsidRPr="007C0663">
        <w:t>MassHealth should continue to leverage the quality measures data and report findings to support the development of relevant major initiatives, quality improvement strategies and interventions.</w:t>
      </w:r>
      <w:r>
        <w:rPr>
          <w:rFonts w:cstheme="minorHAnsi"/>
        </w:rPr>
        <w:t xml:space="preserve">  </w:t>
      </w:r>
      <w:r w:rsidRPr="003640C7">
        <w:rPr>
          <w:rFonts w:cstheme="minorHAnsi"/>
        </w:rPr>
        <w:t xml:space="preserve">  </w:t>
      </w:r>
    </w:p>
    <w:p w14:paraId="7843BDC2" w14:textId="6FA9DDD9" w:rsidR="00FB389B" w:rsidRDefault="00FB389B" w:rsidP="00FB389B">
      <w:r w:rsidRPr="33E9587A">
        <w:rPr>
          <w:rFonts w:cstheme="minorBidi"/>
          <w:u w:val="single"/>
        </w:rPr>
        <w:t>MassHealth Response to Recommendation #</w:t>
      </w:r>
      <w:r w:rsidR="00F26EA4">
        <w:rPr>
          <w:rFonts w:cstheme="minorBidi"/>
          <w:u w:val="single"/>
        </w:rPr>
        <w:t>8</w:t>
      </w:r>
      <w:r w:rsidRPr="33E9587A">
        <w:rPr>
          <w:rFonts w:cstheme="minorBidi"/>
        </w:rPr>
        <w:t>:</w:t>
      </w:r>
      <w:r w:rsidRPr="0049472E">
        <w:t xml:space="preserve"> </w:t>
      </w:r>
      <w:r w:rsidR="008B41FE">
        <w:t>MassHealth</w:t>
      </w:r>
      <w:r w:rsidR="005B1AA7">
        <w:t xml:space="preserve"> annually</w:t>
      </w:r>
      <w:r w:rsidR="008B41FE">
        <w:t xml:space="preserve"> </w:t>
      </w:r>
      <w:r w:rsidR="006024C8">
        <w:t>reviews</w:t>
      </w:r>
      <w:r w:rsidR="008B41FE">
        <w:t xml:space="preserve"> performance on quality measures</w:t>
      </w:r>
      <w:r w:rsidR="006024C8">
        <w:t xml:space="preserve"> to support quality improvement and performance management activities</w:t>
      </w:r>
      <w:r w:rsidR="00102300">
        <w:t>. MassHealth will continue these efforts and consider ways to expand the application of the quality measure data.</w:t>
      </w:r>
    </w:p>
    <w:p w14:paraId="0E12F7B8" w14:textId="77777777" w:rsidR="00BD1528" w:rsidRDefault="00BD1528" w:rsidP="00FB389B"/>
    <w:p w14:paraId="7C0C9B8B" w14:textId="5E7923B2" w:rsidR="00BD1528" w:rsidRPr="00900B47" w:rsidRDefault="00BD1528" w:rsidP="00BD1528">
      <w:pPr>
        <w:pStyle w:val="Heading4"/>
        <w:spacing w:after="120"/>
        <w:rPr>
          <w:rStyle w:val="Emphasis"/>
          <w:rFonts w:asciiTheme="minorHAnsi" w:hAnsiTheme="minorHAnsi" w:cstheme="minorHAnsi"/>
          <w:i w:val="0"/>
          <w:iCs/>
          <w:sz w:val="22"/>
        </w:rPr>
      </w:pPr>
      <w:r>
        <w:rPr>
          <w:rStyle w:val="Emphasis"/>
          <w:rFonts w:asciiTheme="minorHAnsi" w:hAnsiTheme="minorHAnsi" w:cstheme="minorHAnsi"/>
          <w:i w:val="0"/>
          <w:iCs/>
          <w:sz w:val="22"/>
        </w:rPr>
        <w:lastRenderedPageBreak/>
        <w:t>Compliance Review Recommendations</w:t>
      </w:r>
    </w:p>
    <w:p w14:paraId="0AB82008" w14:textId="53D2576D" w:rsidR="00BD1528" w:rsidRPr="003F62B5" w:rsidRDefault="00BD1528" w:rsidP="00BD1528">
      <w:pPr>
        <w:pStyle w:val="xmsolistparagraph"/>
        <w:spacing w:before="0" w:beforeAutospacing="0" w:after="120" w:afterAutospacing="0"/>
        <w:rPr>
          <w:rFonts w:asciiTheme="minorHAnsi" w:hAnsiTheme="minorHAnsi" w:cstheme="minorHAnsi"/>
          <w:i/>
          <w:iCs/>
        </w:rPr>
      </w:pPr>
      <w:r>
        <w:rPr>
          <w:rFonts w:asciiTheme="minorHAnsi" w:hAnsiTheme="minorHAnsi" w:cstheme="minorHAnsi"/>
          <w:u w:val="single"/>
        </w:rPr>
        <w:t>Recommendation #9</w:t>
      </w:r>
      <w:r>
        <w:rPr>
          <w:rFonts w:asciiTheme="minorHAnsi" w:hAnsiTheme="minorHAnsi" w:cstheme="minorHAnsi"/>
        </w:rPr>
        <w:t xml:space="preserve">: </w:t>
      </w:r>
      <w:r w:rsidR="00CB1E6C" w:rsidRPr="00CB1E6C">
        <w:rPr>
          <w:rFonts w:asciiTheme="minorHAnsi" w:hAnsiTheme="minorHAnsi" w:cstheme="minorHAnsi"/>
        </w:rPr>
        <w:t>Recommendation towards better policy documentation</w:t>
      </w:r>
      <w:r w:rsidR="00CB1E6C">
        <w:rPr>
          <w:rFonts w:asciiTheme="minorHAnsi" w:hAnsiTheme="minorHAnsi" w:cstheme="minorHAnsi"/>
        </w:rPr>
        <w:t>:</w:t>
      </w:r>
      <w:r w:rsidR="00CB1E6C" w:rsidRPr="00CB1E6C">
        <w:rPr>
          <w:rFonts w:asciiTheme="minorHAnsi" w:hAnsiTheme="minorHAnsi" w:cstheme="minorHAnsi"/>
        </w:rPr>
        <w:t xml:space="preserve"> To encourage consistent practices and compliance with MassHealth standards, MassHealth should require MCPs to establish and maintain well-defined policies and procedures.</w:t>
      </w:r>
    </w:p>
    <w:p w14:paraId="4BE71B3C" w14:textId="33BB707F" w:rsidR="00BD1528" w:rsidRDefault="00BD1528" w:rsidP="00BD1528">
      <w:pPr>
        <w:pStyle w:val="xmsolistparagraph"/>
        <w:spacing w:before="0" w:beforeAutospacing="0" w:after="0" w:afterAutospacing="0"/>
        <w:rPr>
          <w:rFonts w:asciiTheme="minorHAnsi" w:hAnsiTheme="minorHAnsi" w:cstheme="minorHAnsi"/>
        </w:rPr>
      </w:pPr>
      <w:r>
        <w:rPr>
          <w:rFonts w:asciiTheme="minorHAnsi" w:hAnsiTheme="minorHAnsi" w:cstheme="minorHAnsi"/>
          <w:u w:val="single"/>
        </w:rPr>
        <w:t>MassHealth Response to Recommendation #9</w:t>
      </w:r>
      <w:r>
        <w:rPr>
          <w:rFonts w:asciiTheme="minorHAnsi" w:hAnsiTheme="minorHAnsi" w:cstheme="minorHAnsi"/>
        </w:rPr>
        <w:t>:</w:t>
      </w:r>
      <w:r w:rsidR="00416622">
        <w:rPr>
          <w:rFonts w:asciiTheme="minorHAnsi" w:hAnsiTheme="minorHAnsi" w:cstheme="minorHAnsi"/>
        </w:rPr>
        <w:t xml:space="preserve"> </w:t>
      </w:r>
      <w:r w:rsidR="00DC160E">
        <w:rPr>
          <w:rFonts w:asciiTheme="minorHAnsi" w:hAnsiTheme="minorHAnsi" w:cstheme="minorHAnsi"/>
        </w:rPr>
        <w:t xml:space="preserve">MassHealth will continue to </w:t>
      </w:r>
      <w:r w:rsidR="00D330F1">
        <w:rPr>
          <w:rFonts w:asciiTheme="minorHAnsi" w:hAnsiTheme="minorHAnsi" w:cstheme="minorHAnsi"/>
        </w:rPr>
        <w:t>use its touch points</w:t>
      </w:r>
      <w:r w:rsidR="00253D6B">
        <w:rPr>
          <w:rFonts w:asciiTheme="minorHAnsi" w:hAnsiTheme="minorHAnsi" w:cstheme="minorHAnsi"/>
        </w:rPr>
        <w:t xml:space="preserve">, which include office hours, medical </w:t>
      </w:r>
      <w:r w:rsidR="00764960">
        <w:rPr>
          <w:rFonts w:asciiTheme="minorHAnsi" w:hAnsiTheme="minorHAnsi" w:cstheme="minorHAnsi"/>
        </w:rPr>
        <w:t xml:space="preserve">directors’ </w:t>
      </w:r>
      <w:r w:rsidR="00253D6B">
        <w:rPr>
          <w:rFonts w:asciiTheme="minorHAnsi" w:hAnsiTheme="minorHAnsi" w:cstheme="minorHAnsi"/>
        </w:rPr>
        <w:t>meetings, performance management meetings, and individual interactions</w:t>
      </w:r>
      <w:r w:rsidR="00D330F1">
        <w:rPr>
          <w:rFonts w:asciiTheme="minorHAnsi" w:hAnsiTheme="minorHAnsi" w:cstheme="minorHAnsi"/>
        </w:rPr>
        <w:t xml:space="preserve"> with plans</w:t>
      </w:r>
      <w:r w:rsidR="00253D6B">
        <w:rPr>
          <w:rFonts w:asciiTheme="minorHAnsi" w:hAnsiTheme="minorHAnsi" w:cstheme="minorHAnsi"/>
        </w:rPr>
        <w:t xml:space="preserve"> to encourage the </w:t>
      </w:r>
      <w:r w:rsidR="00D36194">
        <w:rPr>
          <w:rFonts w:asciiTheme="minorHAnsi" w:hAnsiTheme="minorHAnsi" w:cstheme="minorHAnsi"/>
        </w:rPr>
        <w:t xml:space="preserve">consistency in implementation of policies and </w:t>
      </w:r>
      <w:r w:rsidR="00E7054A">
        <w:rPr>
          <w:rFonts w:asciiTheme="minorHAnsi" w:hAnsiTheme="minorHAnsi" w:cstheme="minorHAnsi"/>
        </w:rPr>
        <w:t>procedures</w:t>
      </w:r>
      <w:r w:rsidR="00D36194">
        <w:rPr>
          <w:rFonts w:asciiTheme="minorHAnsi" w:hAnsiTheme="minorHAnsi" w:cstheme="minorHAnsi"/>
        </w:rPr>
        <w:t xml:space="preserve">. We </w:t>
      </w:r>
      <w:r w:rsidR="00FE3A81">
        <w:rPr>
          <w:rFonts w:asciiTheme="minorHAnsi" w:hAnsiTheme="minorHAnsi" w:cstheme="minorHAnsi"/>
        </w:rPr>
        <w:t>w</w:t>
      </w:r>
      <w:r w:rsidR="00D36194">
        <w:rPr>
          <w:rFonts w:asciiTheme="minorHAnsi" w:hAnsiTheme="minorHAnsi" w:cstheme="minorHAnsi"/>
        </w:rPr>
        <w:t>ill also assess the contracts to explore whether additional language could be added to support the establishment and mainten</w:t>
      </w:r>
      <w:r w:rsidR="00764960">
        <w:rPr>
          <w:rFonts w:asciiTheme="minorHAnsi" w:hAnsiTheme="minorHAnsi" w:cstheme="minorHAnsi"/>
        </w:rPr>
        <w:t>an</w:t>
      </w:r>
      <w:r w:rsidR="00D36194">
        <w:rPr>
          <w:rFonts w:asciiTheme="minorHAnsi" w:hAnsiTheme="minorHAnsi" w:cstheme="minorHAnsi"/>
        </w:rPr>
        <w:t>ce of well-defined policies and procedures</w:t>
      </w:r>
      <w:r w:rsidR="00456909">
        <w:rPr>
          <w:rFonts w:asciiTheme="minorHAnsi" w:hAnsiTheme="minorHAnsi" w:cstheme="minorHAnsi"/>
        </w:rPr>
        <w:t>.</w:t>
      </w:r>
    </w:p>
    <w:p w14:paraId="72925BD6" w14:textId="77777777" w:rsidR="00CB1E6C" w:rsidRDefault="00CB1E6C" w:rsidP="00BD1528">
      <w:pPr>
        <w:pStyle w:val="xmsolistparagraph"/>
        <w:spacing w:before="0" w:beforeAutospacing="0" w:after="0" w:afterAutospacing="0"/>
        <w:rPr>
          <w:rFonts w:asciiTheme="minorHAnsi" w:hAnsiTheme="minorHAnsi" w:cstheme="minorHAnsi"/>
        </w:rPr>
      </w:pPr>
    </w:p>
    <w:p w14:paraId="01E8FFCE" w14:textId="0ADB1EF0" w:rsidR="00CB1E6C" w:rsidRPr="003F62B5" w:rsidRDefault="00CB1E6C" w:rsidP="00CB1E6C">
      <w:pPr>
        <w:pStyle w:val="xmsolistparagraph"/>
        <w:spacing w:before="0" w:beforeAutospacing="0" w:after="120" w:afterAutospacing="0"/>
        <w:rPr>
          <w:rFonts w:asciiTheme="minorHAnsi" w:hAnsiTheme="minorHAnsi" w:cstheme="minorHAnsi"/>
          <w:i/>
          <w:iCs/>
        </w:rPr>
      </w:pPr>
      <w:r>
        <w:rPr>
          <w:rFonts w:asciiTheme="minorHAnsi" w:hAnsiTheme="minorHAnsi" w:cstheme="minorHAnsi"/>
          <w:u w:val="single"/>
        </w:rPr>
        <w:t>Recommendation #10</w:t>
      </w:r>
      <w:r>
        <w:rPr>
          <w:rFonts w:asciiTheme="minorHAnsi" w:hAnsiTheme="minorHAnsi" w:cstheme="minorHAnsi"/>
        </w:rPr>
        <w:t xml:space="preserve">: </w:t>
      </w:r>
      <w:r w:rsidR="00DA3C14" w:rsidRPr="00DA3C14">
        <w:rPr>
          <w:rFonts w:asciiTheme="minorHAnsi" w:hAnsiTheme="minorHAnsi" w:cstheme="minorHAnsi"/>
        </w:rPr>
        <w:t>Recommendation towards using plain language in contractual requirements</w:t>
      </w:r>
      <w:r w:rsidR="00D66031">
        <w:rPr>
          <w:rFonts w:asciiTheme="minorHAnsi" w:hAnsiTheme="minorHAnsi" w:cstheme="minorHAnsi"/>
        </w:rPr>
        <w:t xml:space="preserve">: </w:t>
      </w:r>
      <w:r w:rsidR="00DA3C14" w:rsidRPr="00DA3C14">
        <w:rPr>
          <w:rFonts w:asciiTheme="minorHAnsi" w:hAnsiTheme="minorHAnsi" w:cstheme="minorHAnsi"/>
        </w:rPr>
        <w:t>To improve clarity, accessibility, and compliance, MassHealth should use plain language and express contractual requirements in straightforward terms that can be easily understood by a broader audience.</w:t>
      </w:r>
    </w:p>
    <w:p w14:paraId="62AA2CD8" w14:textId="38022C24" w:rsidR="00CB1E6C" w:rsidRDefault="00CB1E6C" w:rsidP="00CB1E6C">
      <w:pPr>
        <w:pStyle w:val="xmsolistparagraph"/>
        <w:spacing w:before="0" w:beforeAutospacing="0" w:after="0" w:afterAutospacing="0"/>
        <w:rPr>
          <w:rFonts w:asciiTheme="minorHAnsi" w:hAnsiTheme="minorHAnsi" w:cstheme="minorHAnsi"/>
        </w:rPr>
      </w:pPr>
      <w:r>
        <w:rPr>
          <w:rFonts w:asciiTheme="minorHAnsi" w:hAnsiTheme="minorHAnsi" w:cstheme="minorHAnsi"/>
          <w:u w:val="single"/>
        </w:rPr>
        <w:t>MassHealth Response to Recommendation #10</w:t>
      </w:r>
      <w:r>
        <w:rPr>
          <w:rFonts w:asciiTheme="minorHAnsi" w:hAnsiTheme="minorHAnsi" w:cstheme="minorHAnsi"/>
        </w:rPr>
        <w:t>:</w:t>
      </w:r>
      <w:r w:rsidR="000B78A6">
        <w:rPr>
          <w:rFonts w:asciiTheme="minorHAnsi" w:hAnsiTheme="minorHAnsi" w:cstheme="minorHAnsi"/>
        </w:rPr>
        <w:t xml:space="preserve"> </w:t>
      </w:r>
      <w:r w:rsidR="005F1706">
        <w:rPr>
          <w:rFonts w:asciiTheme="minorHAnsi" w:hAnsiTheme="minorHAnsi" w:cstheme="minorHAnsi"/>
        </w:rPr>
        <w:t>MassHealth annually reviews its managed care contracts to ensure consistency and accuracy</w:t>
      </w:r>
      <w:r w:rsidR="001804FF">
        <w:rPr>
          <w:rFonts w:asciiTheme="minorHAnsi" w:hAnsiTheme="minorHAnsi" w:cstheme="minorHAnsi"/>
        </w:rPr>
        <w:t>. MassHealth will use the results of the compliance audit to help identify any areas of ambiguity within the contracts and change the language</w:t>
      </w:r>
      <w:r w:rsidR="00C004AC">
        <w:rPr>
          <w:rFonts w:asciiTheme="minorHAnsi" w:hAnsiTheme="minorHAnsi" w:cstheme="minorHAnsi"/>
        </w:rPr>
        <w:t>, where necessary,</w:t>
      </w:r>
      <w:r w:rsidR="001804FF">
        <w:rPr>
          <w:rFonts w:asciiTheme="minorHAnsi" w:hAnsiTheme="minorHAnsi" w:cstheme="minorHAnsi"/>
        </w:rPr>
        <w:t xml:space="preserve"> </w:t>
      </w:r>
      <w:r w:rsidR="00376CB8">
        <w:rPr>
          <w:rFonts w:asciiTheme="minorHAnsi" w:hAnsiTheme="minorHAnsi" w:cstheme="minorHAnsi"/>
        </w:rPr>
        <w:t>for improved clarity.</w:t>
      </w:r>
    </w:p>
    <w:p w14:paraId="6F0F4D15" w14:textId="77777777" w:rsidR="00DA3C14" w:rsidRDefault="00DA3C14" w:rsidP="00CB1E6C">
      <w:pPr>
        <w:pStyle w:val="xmsolistparagraph"/>
        <w:spacing w:before="0" w:beforeAutospacing="0" w:after="0" w:afterAutospacing="0"/>
        <w:rPr>
          <w:rFonts w:asciiTheme="minorHAnsi" w:hAnsiTheme="minorHAnsi" w:cstheme="minorHAnsi"/>
        </w:rPr>
      </w:pPr>
    </w:p>
    <w:p w14:paraId="6652FE7B" w14:textId="2263AA5B" w:rsidR="00D66031" w:rsidRDefault="00DA3C14" w:rsidP="00D66031">
      <w:pPr>
        <w:pStyle w:val="xmsolistparagraph"/>
        <w:spacing w:before="0" w:beforeAutospacing="0" w:after="120" w:afterAutospacing="0"/>
        <w:rPr>
          <w:rFonts w:asciiTheme="minorHAnsi" w:hAnsiTheme="minorHAnsi" w:cstheme="minorHAnsi"/>
        </w:rPr>
      </w:pPr>
      <w:r>
        <w:rPr>
          <w:rFonts w:asciiTheme="minorHAnsi" w:hAnsiTheme="minorHAnsi" w:cstheme="minorHAnsi"/>
          <w:u w:val="single"/>
        </w:rPr>
        <w:t>Recommendation #11</w:t>
      </w:r>
      <w:r>
        <w:rPr>
          <w:rFonts w:asciiTheme="minorHAnsi" w:hAnsiTheme="minorHAnsi" w:cstheme="minorHAnsi"/>
        </w:rPr>
        <w:t xml:space="preserve">: </w:t>
      </w:r>
      <w:r w:rsidR="00D66031" w:rsidRPr="00D66031">
        <w:rPr>
          <w:rFonts w:asciiTheme="minorHAnsi" w:hAnsiTheme="minorHAnsi" w:cstheme="minorHAnsi"/>
        </w:rPr>
        <w:t>Recommendation towards addressing gaps identified through the compliance review</w:t>
      </w:r>
      <w:r w:rsidR="00D66031">
        <w:rPr>
          <w:rFonts w:asciiTheme="minorHAnsi" w:hAnsiTheme="minorHAnsi" w:cstheme="minorHAnsi"/>
        </w:rPr>
        <w:t xml:space="preserve">: </w:t>
      </w:r>
      <w:r w:rsidR="00D66031" w:rsidRPr="00D66031">
        <w:rPr>
          <w:rFonts w:asciiTheme="minorHAnsi" w:hAnsiTheme="minorHAnsi" w:cstheme="minorHAnsi"/>
        </w:rPr>
        <w:t xml:space="preserve">To effectively address the areas of non-compliance, MassHealth should establish direct communication with the MCP to discuss the identified issue, provide the MCP with a detailed explanation of the requirements that were not being met, and collaborate to develop a resolution strategy. </w:t>
      </w:r>
    </w:p>
    <w:p w14:paraId="49AA1B35" w14:textId="06886BE3" w:rsidR="005A7A59" w:rsidRDefault="00DA3C14" w:rsidP="00D66031">
      <w:pPr>
        <w:pStyle w:val="xmsolistparagraph"/>
        <w:spacing w:before="0" w:beforeAutospacing="0" w:after="120" w:afterAutospacing="0"/>
        <w:rPr>
          <w:rFonts w:asciiTheme="minorHAnsi" w:hAnsiTheme="minorHAnsi" w:cstheme="minorHAnsi"/>
        </w:rPr>
      </w:pPr>
      <w:r>
        <w:rPr>
          <w:rFonts w:asciiTheme="minorHAnsi" w:hAnsiTheme="minorHAnsi" w:cstheme="minorHAnsi"/>
          <w:u w:val="single"/>
        </w:rPr>
        <w:t>MassHealth Response to Recommendation #11</w:t>
      </w:r>
      <w:r>
        <w:rPr>
          <w:rFonts w:asciiTheme="minorHAnsi" w:hAnsiTheme="minorHAnsi" w:cstheme="minorHAnsi"/>
        </w:rPr>
        <w:t>:</w:t>
      </w:r>
      <w:r w:rsidR="00376CB8">
        <w:rPr>
          <w:rFonts w:asciiTheme="minorHAnsi" w:hAnsiTheme="minorHAnsi" w:cstheme="minorHAnsi"/>
        </w:rPr>
        <w:t xml:space="preserve"> </w:t>
      </w:r>
      <w:r w:rsidR="00A86B73">
        <w:rPr>
          <w:rFonts w:asciiTheme="minorHAnsi" w:hAnsiTheme="minorHAnsi" w:cstheme="minorHAnsi"/>
        </w:rPr>
        <w:t>M</w:t>
      </w:r>
      <w:r w:rsidR="000746C7">
        <w:rPr>
          <w:rFonts w:asciiTheme="minorHAnsi" w:hAnsiTheme="minorHAnsi" w:cstheme="minorHAnsi"/>
        </w:rPr>
        <w:t xml:space="preserve">assHealth program management staff </w:t>
      </w:r>
      <w:r w:rsidR="003A4ADA">
        <w:rPr>
          <w:rFonts w:asciiTheme="minorHAnsi" w:hAnsiTheme="minorHAnsi" w:cstheme="minorHAnsi"/>
        </w:rPr>
        <w:t>ha</w:t>
      </w:r>
      <w:r w:rsidR="003745DC">
        <w:rPr>
          <w:rFonts w:asciiTheme="minorHAnsi" w:hAnsiTheme="minorHAnsi" w:cstheme="minorHAnsi"/>
        </w:rPr>
        <w:t>ve</w:t>
      </w:r>
      <w:r w:rsidR="003A4ADA">
        <w:rPr>
          <w:rFonts w:asciiTheme="minorHAnsi" w:hAnsiTheme="minorHAnsi" w:cstheme="minorHAnsi"/>
        </w:rPr>
        <w:t xml:space="preserve"> contract management staff that have direct relationships with the plans to addre</w:t>
      </w:r>
      <w:r w:rsidR="002E5A4A">
        <w:rPr>
          <w:rFonts w:asciiTheme="minorHAnsi" w:hAnsiTheme="minorHAnsi" w:cstheme="minorHAnsi"/>
        </w:rPr>
        <w:t>ss identified gaps. MassHealth is in the process of establishing a more standardized process for specifically addressing and following up on areas of non-compliance with the plans</w:t>
      </w:r>
      <w:r w:rsidR="00FC5F2E">
        <w:rPr>
          <w:rFonts w:asciiTheme="minorHAnsi" w:hAnsiTheme="minorHAnsi" w:cstheme="minorHAnsi"/>
        </w:rPr>
        <w:t>.</w:t>
      </w:r>
    </w:p>
    <w:p w14:paraId="6CABCCDF" w14:textId="77777777" w:rsidR="005A7A59" w:rsidRDefault="005A7A59" w:rsidP="00D66031">
      <w:pPr>
        <w:pStyle w:val="xmsolistparagraph"/>
        <w:spacing w:before="0" w:beforeAutospacing="0" w:after="120" w:afterAutospacing="0"/>
        <w:rPr>
          <w:rFonts w:asciiTheme="minorHAnsi" w:hAnsiTheme="minorHAnsi" w:cstheme="minorHAnsi"/>
        </w:rPr>
      </w:pPr>
    </w:p>
    <w:p w14:paraId="3766E36D" w14:textId="2692BC7F" w:rsidR="005A7A59" w:rsidRDefault="005A7A59" w:rsidP="005A7A59">
      <w:pPr>
        <w:pStyle w:val="xmsolistparagraph"/>
        <w:spacing w:before="0" w:beforeAutospacing="0" w:after="120" w:afterAutospacing="0"/>
        <w:rPr>
          <w:rFonts w:asciiTheme="minorHAnsi" w:hAnsiTheme="minorHAnsi" w:cstheme="minorHAnsi"/>
        </w:rPr>
      </w:pPr>
      <w:r>
        <w:rPr>
          <w:rFonts w:asciiTheme="minorHAnsi" w:hAnsiTheme="minorHAnsi" w:cstheme="minorHAnsi"/>
          <w:u w:val="single"/>
        </w:rPr>
        <w:t>Recommendation #12</w:t>
      </w:r>
      <w:r>
        <w:rPr>
          <w:rFonts w:asciiTheme="minorHAnsi" w:hAnsiTheme="minorHAnsi" w:cstheme="minorHAnsi"/>
        </w:rPr>
        <w:t xml:space="preserve">: </w:t>
      </w:r>
      <w:r w:rsidR="002C1160" w:rsidRPr="00E576A3">
        <w:rPr>
          <w:rFonts w:asciiTheme="minorHAnsi" w:hAnsiTheme="minorHAnsi" w:cstheme="minorHAnsi"/>
        </w:rPr>
        <w:t>Suggestion towards addressing program wide weakness in Care Coordination</w:t>
      </w:r>
      <w:r w:rsidR="002C1160">
        <w:rPr>
          <w:rFonts w:asciiTheme="minorHAnsi" w:hAnsiTheme="minorHAnsi" w:cstheme="minorHAnsi"/>
        </w:rPr>
        <w:t>:</w:t>
      </w:r>
      <w:r w:rsidR="002C1160" w:rsidRPr="00E576A3">
        <w:rPr>
          <w:rFonts w:asciiTheme="minorHAnsi" w:hAnsiTheme="minorHAnsi" w:cstheme="minorHAnsi"/>
        </w:rPr>
        <w:t xml:space="preserve"> MassHealth could consider addressing the gap in compliance related to care coordination, specifically in the area of care management process (ensuring timely assessments are completed, care plans are develop</w:t>
      </w:r>
      <w:r w:rsidR="00242362">
        <w:rPr>
          <w:rFonts w:asciiTheme="minorHAnsi" w:hAnsiTheme="minorHAnsi" w:cstheme="minorHAnsi"/>
        </w:rPr>
        <w:t>ed</w:t>
      </w:r>
      <w:r w:rsidR="002C1160" w:rsidRPr="00E576A3">
        <w:rPr>
          <w:rFonts w:asciiTheme="minorHAnsi" w:hAnsiTheme="minorHAnsi" w:cstheme="minorHAnsi"/>
        </w:rPr>
        <w:t xml:space="preserve"> and updated per requirements, discharge planning is completed) and care plan documentation (assessments, care plans, member sign-off, etc.). While there were minor gaps in policy documentation across the MCPs, the key driver of lower compliance scores in this domain is found in the area of care management file reviews.</w:t>
      </w:r>
    </w:p>
    <w:p w14:paraId="4227DE84" w14:textId="14184C0E" w:rsidR="001E3E84" w:rsidRPr="000F3970" w:rsidRDefault="005A7A59" w:rsidP="000F3970">
      <w:pPr>
        <w:pStyle w:val="xmsolistparagraph"/>
        <w:spacing w:before="0" w:beforeAutospacing="0" w:after="120" w:afterAutospacing="0"/>
        <w:rPr>
          <w:rFonts w:asciiTheme="minorHAnsi" w:hAnsiTheme="minorHAnsi" w:cstheme="minorHAnsi"/>
        </w:rPr>
      </w:pPr>
      <w:r>
        <w:rPr>
          <w:rFonts w:asciiTheme="minorHAnsi" w:hAnsiTheme="minorHAnsi" w:cstheme="minorHAnsi"/>
          <w:u w:val="single"/>
        </w:rPr>
        <w:t>MassHealth Response to Recommendation #12</w:t>
      </w:r>
      <w:r w:rsidR="0067015D">
        <w:rPr>
          <w:rFonts w:asciiTheme="minorHAnsi" w:hAnsiTheme="minorHAnsi" w:cstheme="minorHAnsi"/>
          <w:u w:val="single"/>
        </w:rPr>
        <w:t>:</w:t>
      </w:r>
      <w:r w:rsidR="001209FB">
        <w:rPr>
          <w:rFonts w:asciiTheme="minorHAnsi" w:hAnsiTheme="minorHAnsi" w:cstheme="minorHAnsi"/>
          <w:u w:val="single"/>
        </w:rPr>
        <w:t xml:space="preserve"> </w:t>
      </w:r>
      <w:r w:rsidR="000F3970" w:rsidRPr="000F3970">
        <w:rPr>
          <w:rFonts w:asciiTheme="minorHAnsi" w:hAnsiTheme="minorHAnsi" w:cstheme="minorHAnsi"/>
        </w:rPr>
        <w:t>In Fall 2023, the Integrated Care Clinical Team launched the Clinical Performance Improvement (CPI) initiative. A key component of the CPI is to evaluate and improve Care Coordination Performance Management across our SCO and One Care plans. As part of this work</w:t>
      </w:r>
      <w:r w:rsidR="00D523AC">
        <w:rPr>
          <w:rFonts w:asciiTheme="minorHAnsi" w:hAnsiTheme="minorHAnsi" w:cstheme="minorHAnsi"/>
        </w:rPr>
        <w:t>,</w:t>
      </w:r>
      <w:r w:rsidR="000F3970" w:rsidRPr="000F3970">
        <w:rPr>
          <w:rFonts w:asciiTheme="minorHAnsi" w:hAnsiTheme="minorHAnsi" w:cstheme="minorHAnsi"/>
        </w:rPr>
        <w:t xml:space="preserve"> the team will be doing quarterly Denial, Appeal, and Grievance and Care Plan audits to evaluate the effective</w:t>
      </w:r>
      <w:r w:rsidR="005317A7">
        <w:rPr>
          <w:rFonts w:asciiTheme="minorHAnsi" w:hAnsiTheme="minorHAnsi" w:cstheme="minorHAnsi"/>
        </w:rPr>
        <w:t>ness</w:t>
      </w:r>
      <w:r w:rsidR="000F3970" w:rsidRPr="000F3970">
        <w:rPr>
          <w:rFonts w:asciiTheme="minorHAnsi" w:hAnsiTheme="minorHAnsi" w:cstheme="minorHAnsi"/>
        </w:rPr>
        <w:t xml:space="preserve"> of our plans</w:t>
      </w:r>
      <w:r w:rsidR="000E40DC">
        <w:rPr>
          <w:rFonts w:asciiTheme="minorHAnsi" w:hAnsiTheme="minorHAnsi" w:cstheme="minorHAnsi"/>
        </w:rPr>
        <w:t>’</w:t>
      </w:r>
      <w:r w:rsidR="000F3970" w:rsidRPr="000F3970">
        <w:rPr>
          <w:rFonts w:asciiTheme="minorHAnsi" w:hAnsiTheme="minorHAnsi" w:cstheme="minorHAnsi"/>
        </w:rPr>
        <w:t xml:space="preserve"> care coordination/management processes. Each of these audits will include a thorough review of selected members individualized care plans.</w:t>
      </w:r>
    </w:p>
    <w:p w14:paraId="71933E9F" w14:textId="150D018A" w:rsidR="001E3E84" w:rsidRPr="00900B47" w:rsidRDefault="001E3E84" w:rsidP="001E3E84">
      <w:pPr>
        <w:pStyle w:val="Heading4"/>
        <w:spacing w:after="120"/>
        <w:rPr>
          <w:rStyle w:val="Emphasis"/>
          <w:rFonts w:asciiTheme="minorHAnsi" w:hAnsiTheme="minorHAnsi" w:cstheme="minorHAnsi"/>
          <w:i w:val="0"/>
          <w:iCs/>
          <w:sz w:val="22"/>
        </w:rPr>
      </w:pPr>
      <w:r>
        <w:rPr>
          <w:rStyle w:val="Emphasis"/>
          <w:rFonts w:asciiTheme="minorHAnsi" w:hAnsiTheme="minorHAnsi" w:cstheme="minorHAnsi"/>
          <w:i w:val="0"/>
          <w:iCs/>
          <w:sz w:val="22"/>
        </w:rPr>
        <w:lastRenderedPageBreak/>
        <w:t xml:space="preserve">Network </w:t>
      </w:r>
      <w:r w:rsidR="00A15791">
        <w:rPr>
          <w:rStyle w:val="Emphasis"/>
          <w:rFonts w:asciiTheme="minorHAnsi" w:hAnsiTheme="minorHAnsi" w:cstheme="minorHAnsi"/>
          <w:i w:val="0"/>
          <w:iCs/>
          <w:sz w:val="22"/>
        </w:rPr>
        <w:t xml:space="preserve">Adequacy </w:t>
      </w:r>
      <w:r>
        <w:rPr>
          <w:rStyle w:val="Emphasis"/>
          <w:rFonts w:asciiTheme="minorHAnsi" w:hAnsiTheme="minorHAnsi" w:cstheme="minorHAnsi"/>
          <w:i w:val="0"/>
          <w:iCs/>
          <w:sz w:val="22"/>
        </w:rPr>
        <w:t>Validation Recommendations</w:t>
      </w:r>
    </w:p>
    <w:p w14:paraId="38D63F4A" w14:textId="59634D85" w:rsidR="001E3E84" w:rsidRPr="003640C7" w:rsidRDefault="001E3E84" w:rsidP="001E3E84">
      <w:pPr>
        <w:rPr>
          <w:rFonts w:cstheme="minorHAnsi"/>
          <w:i/>
          <w:iCs/>
        </w:rPr>
      </w:pPr>
      <w:r>
        <w:rPr>
          <w:rFonts w:cstheme="minorHAnsi"/>
          <w:u w:val="single"/>
        </w:rPr>
        <w:t>Recommendation #</w:t>
      </w:r>
      <w:r w:rsidR="00FD1B9B">
        <w:rPr>
          <w:rFonts w:cstheme="minorHAnsi"/>
          <w:u w:val="single"/>
        </w:rPr>
        <w:t>13</w:t>
      </w:r>
      <w:r w:rsidR="00B162A2">
        <w:rPr>
          <w:rFonts w:cstheme="minorHAnsi"/>
        </w:rPr>
        <w:t>: Recommendations</w:t>
      </w:r>
      <w:r w:rsidR="00C42E8B" w:rsidRPr="00C42E8B">
        <w:t xml:space="preserve"> towards network data integrity</w:t>
      </w:r>
      <w:r w:rsidR="007C0663">
        <w:t xml:space="preserve">: </w:t>
      </w:r>
      <w:r w:rsidR="00C42E8B" w:rsidRPr="00C42E8B">
        <w:t>The format of the submission templates should be adjusted to improve data submission accuracy and reduce duplications of the data</w:t>
      </w:r>
    </w:p>
    <w:p w14:paraId="0E46D885" w14:textId="4ECA5B8E" w:rsidR="001E3E84" w:rsidRDefault="001E3E84" w:rsidP="001E3E84">
      <w:pPr>
        <w:rPr>
          <w:rFonts w:cstheme="minorBidi"/>
        </w:rPr>
      </w:pPr>
      <w:r w:rsidRPr="33E9587A">
        <w:rPr>
          <w:rFonts w:cstheme="minorBidi"/>
          <w:u w:val="single"/>
        </w:rPr>
        <w:t>MassHealth Response to Recommendation #</w:t>
      </w:r>
      <w:r w:rsidR="00FD1B9B">
        <w:rPr>
          <w:rFonts w:cstheme="minorBidi"/>
          <w:u w:val="single"/>
        </w:rPr>
        <w:t>13</w:t>
      </w:r>
      <w:r w:rsidRPr="33E9587A">
        <w:rPr>
          <w:rFonts w:cstheme="minorBidi"/>
        </w:rPr>
        <w:t>:</w:t>
      </w:r>
      <w:r w:rsidR="00456909">
        <w:rPr>
          <w:rFonts w:cstheme="minorBidi"/>
        </w:rPr>
        <w:t xml:space="preserve"> MassHealth worked with their EQRO to modify the data submission templates</w:t>
      </w:r>
      <w:r w:rsidR="00495841">
        <w:rPr>
          <w:rFonts w:cstheme="minorBidi"/>
        </w:rPr>
        <w:t xml:space="preserve">, which resulted in </w:t>
      </w:r>
      <w:r w:rsidR="00165F79">
        <w:rPr>
          <w:rFonts w:cstheme="minorBidi"/>
        </w:rPr>
        <w:t>an improved submission process and better data quality.</w:t>
      </w:r>
      <w:r w:rsidR="00B103F0">
        <w:rPr>
          <w:rFonts w:cstheme="minorBidi"/>
        </w:rPr>
        <w:t xml:space="preserve"> Some entities continued to have data </w:t>
      </w:r>
      <w:r w:rsidR="000C485A">
        <w:rPr>
          <w:rFonts w:cstheme="minorBidi"/>
        </w:rPr>
        <w:t>issues,</w:t>
      </w:r>
      <w:r w:rsidR="00B103F0">
        <w:rPr>
          <w:rFonts w:cstheme="minorBidi"/>
        </w:rPr>
        <w:t xml:space="preserve"> and we are exploring other opportunities for improvement.</w:t>
      </w:r>
    </w:p>
    <w:p w14:paraId="35A127D1" w14:textId="77777777" w:rsidR="00FD1B9B" w:rsidRDefault="00FD1B9B" w:rsidP="001E3E84">
      <w:pPr>
        <w:rPr>
          <w:rFonts w:cstheme="minorBidi"/>
        </w:rPr>
      </w:pPr>
    </w:p>
    <w:p w14:paraId="575B0D11" w14:textId="46A9BFA0" w:rsidR="00FD1B9B" w:rsidRPr="003640C7" w:rsidRDefault="00FD1B9B" w:rsidP="00FD1B9B">
      <w:pPr>
        <w:rPr>
          <w:rFonts w:cstheme="minorHAnsi"/>
          <w:i/>
          <w:iCs/>
        </w:rPr>
      </w:pPr>
      <w:r>
        <w:rPr>
          <w:rFonts w:cstheme="minorHAnsi"/>
          <w:u w:val="single"/>
        </w:rPr>
        <w:t>Recommendation #1</w:t>
      </w:r>
      <w:r w:rsidR="004E135E">
        <w:rPr>
          <w:rFonts w:cstheme="minorHAnsi"/>
          <w:u w:val="single"/>
        </w:rPr>
        <w:t>4</w:t>
      </w:r>
      <w:r w:rsidR="00314A13">
        <w:rPr>
          <w:rFonts w:cstheme="minorHAnsi"/>
        </w:rPr>
        <w:t>: Recommendations</w:t>
      </w:r>
      <w:r w:rsidR="004E135E" w:rsidRPr="004E135E">
        <w:t xml:space="preserve"> towards measurable network adequacy standards</w:t>
      </w:r>
      <w:r w:rsidR="004E135E">
        <w:t>:</w:t>
      </w:r>
      <w:r w:rsidR="004E135E" w:rsidRPr="004E135E">
        <w:t xml:space="preserve"> MassHealth should continue to monitor network adequacy across MCPs and leverage the results to improve access. MassHealth should share with MCPs the definitions of the network adequacy indicators that were identified for the purpose of this EQR</w:t>
      </w:r>
    </w:p>
    <w:p w14:paraId="5B11211D" w14:textId="5932DDD9" w:rsidR="00FD1B9B" w:rsidRDefault="00FD1B9B" w:rsidP="00FD1B9B">
      <w:pPr>
        <w:rPr>
          <w:rFonts w:cstheme="minorBidi"/>
        </w:rPr>
      </w:pPr>
      <w:r w:rsidRPr="33E9587A">
        <w:rPr>
          <w:rFonts w:cstheme="minorBidi"/>
          <w:u w:val="single"/>
        </w:rPr>
        <w:t>MassHealth Response to Recommendation #</w:t>
      </w:r>
      <w:r>
        <w:rPr>
          <w:rFonts w:cstheme="minorBidi"/>
          <w:u w:val="single"/>
        </w:rPr>
        <w:t>1</w:t>
      </w:r>
      <w:r w:rsidR="004E135E">
        <w:rPr>
          <w:rFonts w:cstheme="minorBidi"/>
          <w:u w:val="single"/>
        </w:rPr>
        <w:t>4</w:t>
      </w:r>
      <w:r w:rsidRPr="33E9587A">
        <w:rPr>
          <w:rFonts w:cstheme="minorBidi"/>
        </w:rPr>
        <w:t>:</w:t>
      </w:r>
      <w:r w:rsidR="00BB681F">
        <w:rPr>
          <w:rFonts w:cstheme="minorBidi"/>
        </w:rPr>
        <w:t xml:space="preserve"> </w:t>
      </w:r>
      <w:r w:rsidR="000A759E">
        <w:rPr>
          <w:rFonts w:cstheme="minorBidi"/>
        </w:rPr>
        <w:t>MassHealth has worked with the EQRO to arrive at clear, operational definitions of network adequacy standards and have documented those</w:t>
      </w:r>
      <w:r w:rsidR="00F8783D">
        <w:rPr>
          <w:rFonts w:cstheme="minorBidi"/>
        </w:rPr>
        <w:t>.</w:t>
      </w:r>
      <w:r w:rsidR="000A759E">
        <w:rPr>
          <w:rFonts w:cstheme="minorBidi"/>
        </w:rPr>
        <w:t xml:space="preserve"> </w:t>
      </w:r>
      <w:r w:rsidR="00D848A7">
        <w:rPr>
          <w:rFonts w:cstheme="minorBidi"/>
        </w:rPr>
        <w:t>MassHealth is still in the process of determining the best way to share operational definitions of network ad</w:t>
      </w:r>
      <w:r w:rsidR="009C6944">
        <w:rPr>
          <w:rFonts w:cstheme="minorBidi"/>
        </w:rPr>
        <w:t>equacy standards with the plans</w:t>
      </w:r>
      <w:r w:rsidR="00F8783D">
        <w:rPr>
          <w:rFonts w:cstheme="minorBidi"/>
        </w:rPr>
        <w:t xml:space="preserve"> to ensure consistency of interpretation.</w:t>
      </w:r>
    </w:p>
    <w:p w14:paraId="65C58177" w14:textId="77777777" w:rsidR="004E135E" w:rsidRDefault="004E135E" w:rsidP="00FD1B9B">
      <w:pPr>
        <w:rPr>
          <w:rFonts w:cstheme="minorBidi"/>
        </w:rPr>
      </w:pPr>
    </w:p>
    <w:p w14:paraId="09D61A3A" w14:textId="3B8226AC" w:rsidR="004E135E" w:rsidRPr="003640C7" w:rsidRDefault="004E135E" w:rsidP="004E135E">
      <w:pPr>
        <w:rPr>
          <w:rFonts w:cstheme="minorHAnsi"/>
          <w:i/>
          <w:iCs/>
        </w:rPr>
      </w:pPr>
      <w:r>
        <w:rPr>
          <w:rFonts w:cstheme="minorHAnsi"/>
          <w:u w:val="single"/>
        </w:rPr>
        <w:t>Recommendation #15</w:t>
      </w:r>
      <w:r w:rsidR="00B162A2">
        <w:rPr>
          <w:rFonts w:cstheme="minorHAnsi"/>
        </w:rPr>
        <w:t>: Recommendations</w:t>
      </w:r>
      <w:r w:rsidR="007F2C31" w:rsidRPr="007F2C31">
        <w:t xml:space="preserve"> towards better provider directories</w:t>
      </w:r>
      <w:r w:rsidR="002177C9">
        <w:t>:</w:t>
      </w:r>
      <w:r w:rsidR="007F2C31" w:rsidRPr="007F2C31">
        <w:t xml:space="preserve"> The findings from the 2023 Provider Directory Audit should be used to improve and develop further network adequacy activities</w:t>
      </w:r>
    </w:p>
    <w:p w14:paraId="0B11F304" w14:textId="16C21153" w:rsidR="0066104A" w:rsidRPr="0066104A" w:rsidRDefault="004E135E" w:rsidP="0066104A">
      <w:pPr>
        <w:rPr>
          <w:rFonts w:cstheme="minorBidi"/>
        </w:rPr>
      </w:pPr>
      <w:r w:rsidRPr="33E9587A">
        <w:rPr>
          <w:rFonts w:cstheme="minorBidi"/>
          <w:u w:val="single"/>
        </w:rPr>
        <w:t>MassHealth Response to Recommendation #</w:t>
      </w:r>
      <w:r>
        <w:rPr>
          <w:rFonts w:cstheme="minorBidi"/>
          <w:u w:val="single"/>
        </w:rPr>
        <w:t>15</w:t>
      </w:r>
      <w:r w:rsidRPr="33E9587A">
        <w:rPr>
          <w:rFonts w:cstheme="minorBidi"/>
        </w:rPr>
        <w:t>:</w:t>
      </w:r>
      <w:r w:rsidR="00E63FE6">
        <w:rPr>
          <w:rFonts w:cstheme="minorBidi"/>
        </w:rPr>
        <w:t xml:space="preserve"> </w:t>
      </w:r>
      <w:r w:rsidR="00080996">
        <w:rPr>
          <w:rFonts w:cstheme="minorBidi"/>
        </w:rPr>
        <w:t xml:space="preserve">MassHealth’s ACO program </w:t>
      </w:r>
      <w:r w:rsidR="0066104A" w:rsidRPr="0066104A">
        <w:rPr>
          <w:rFonts w:cstheme="minorBidi"/>
        </w:rPr>
        <w:t>sort</w:t>
      </w:r>
      <w:r w:rsidR="00827CE2">
        <w:rPr>
          <w:rFonts w:cstheme="minorBidi"/>
        </w:rPr>
        <w:t>ed</w:t>
      </w:r>
      <w:r w:rsidR="0066104A" w:rsidRPr="0066104A">
        <w:rPr>
          <w:rFonts w:cstheme="minorBidi"/>
        </w:rPr>
        <w:t xml:space="preserve"> </w:t>
      </w:r>
      <w:r w:rsidR="00F53C0A">
        <w:rPr>
          <w:rFonts w:cstheme="minorBidi"/>
        </w:rPr>
        <w:t>through</w:t>
      </w:r>
      <w:r w:rsidR="00AD3991">
        <w:rPr>
          <w:rFonts w:cstheme="minorBidi"/>
        </w:rPr>
        <w:t xml:space="preserve"> </w:t>
      </w:r>
      <w:r w:rsidR="0066104A" w:rsidRPr="0066104A">
        <w:rPr>
          <w:rFonts w:cstheme="minorBidi"/>
        </w:rPr>
        <w:t>the incorrect data</w:t>
      </w:r>
      <w:r w:rsidR="00AD3991">
        <w:rPr>
          <w:rFonts w:cstheme="minorBidi"/>
        </w:rPr>
        <w:t xml:space="preserve"> that was identified through the Provider Directory Audit</w:t>
      </w:r>
      <w:r w:rsidR="00BF22D1">
        <w:rPr>
          <w:rFonts w:cstheme="minorBidi"/>
        </w:rPr>
        <w:t xml:space="preserve"> and shared it with </w:t>
      </w:r>
      <w:r w:rsidR="0066104A" w:rsidRPr="0066104A">
        <w:rPr>
          <w:rFonts w:cstheme="minorBidi"/>
        </w:rPr>
        <w:t>all plans</w:t>
      </w:r>
      <w:r w:rsidR="00BF22D1">
        <w:rPr>
          <w:rFonts w:cstheme="minorBidi"/>
        </w:rPr>
        <w:t xml:space="preserve">. </w:t>
      </w:r>
      <w:r w:rsidR="00375FA0">
        <w:rPr>
          <w:rFonts w:cstheme="minorBidi"/>
        </w:rPr>
        <w:t>They t</w:t>
      </w:r>
      <w:r w:rsidR="0066104A" w:rsidRPr="0066104A">
        <w:rPr>
          <w:rFonts w:cstheme="minorBidi"/>
        </w:rPr>
        <w:t>hen</w:t>
      </w:r>
      <w:r w:rsidR="00375FA0">
        <w:rPr>
          <w:rFonts w:cstheme="minorBidi"/>
        </w:rPr>
        <w:t xml:space="preserve"> conducted meetings </w:t>
      </w:r>
      <w:r w:rsidR="0066104A" w:rsidRPr="0066104A">
        <w:rPr>
          <w:rFonts w:cstheme="minorBidi"/>
        </w:rPr>
        <w:t>with each plan go over the data.</w:t>
      </w:r>
    </w:p>
    <w:p w14:paraId="79AABA71" w14:textId="291C28AB" w:rsidR="00182FCD" w:rsidRPr="00C46D03" w:rsidRDefault="00C46D03" w:rsidP="004E135E">
      <w:pPr>
        <w:rPr>
          <w:rFonts w:cstheme="minorBidi"/>
        </w:rPr>
      </w:pPr>
      <w:r w:rsidRPr="00C46D03">
        <w:rPr>
          <w:rFonts w:cstheme="minorBidi"/>
        </w:rPr>
        <w:t>In</w:t>
      </w:r>
      <w:r>
        <w:rPr>
          <w:rFonts w:cstheme="minorBidi"/>
        </w:rPr>
        <w:t xml:space="preserve"> </w:t>
      </w:r>
      <w:r w:rsidRPr="00C46D03">
        <w:rPr>
          <w:rFonts w:cstheme="minorBidi"/>
        </w:rPr>
        <w:t xml:space="preserve">Spring of 2023, the Integrated Care Contract Management Team worked with CMS to implement an in-depth tracker for all SCO and One Care plans, which allows us to see all approvals, denials, appeals, grievances, etc. With this information, we use the Provider Directory Audit to evaluate out of network denial and low utilization from the view of provider directory usability and how availability and access is reflected in these directories. We review these data points monthly with our One Care Plans and every </w:t>
      </w:r>
      <w:r w:rsidR="00F12EAC">
        <w:rPr>
          <w:rFonts w:cstheme="minorBidi"/>
        </w:rPr>
        <w:t>six</w:t>
      </w:r>
      <w:r w:rsidRPr="00C46D03">
        <w:rPr>
          <w:rFonts w:cstheme="minorBidi"/>
        </w:rPr>
        <w:t xml:space="preserve"> weeks with our SCO plans. This review results in MassHealth requesting root cause analysis and in depth looks at network adequacy pain points</w:t>
      </w:r>
      <w:r w:rsidR="00BD6734" w:rsidRPr="00C46D03">
        <w:rPr>
          <w:rFonts w:cstheme="minorBidi"/>
        </w:rPr>
        <w:t>.</w:t>
      </w:r>
    </w:p>
    <w:p w14:paraId="33D14C37" w14:textId="107C0E7C" w:rsidR="00182FCD" w:rsidRPr="00900B47" w:rsidRDefault="00182FCD" w:rsidP="00182FCD">
      <w:pPr>
        <w:pStyle w:val="Heading4"/>
        <w:spacing w:after="120"/>
        <w:rPr>
          <w:rStyle w:val="Emphasis"/>
          <w:rFonts w:asciiTheme="minorHAnsi" w:hAnsiTheme="minorHAnsi" w:cstheme="minorHAnsi"/>
          <w:i w:val="0"/>
          <w:iCs/>
          <w:sz w:val="22"/>
        </w:rPr>
      </w:pPr>
      <w:r>
        <w:rPr>
          <w:rStyle w:val="Emphasis"/>
          <w:rFonts w:asciiTheme="minorHAnsi" w:hAnsiTheme="minorHAnsi" w:cstheme="minorHAnsi"/>
          <w:i w:val="0"/>
          <w:iCs/>
          <w:sz w:val="22"/>
        </w:rPr>
        <w:t>Member Experience of Care Survey Recommendations</w:t>
      </w:r>
    </w:p>
    <w:p w14:paraId="7F6598FE" w14:textId="751D2B91" w:rsidR="00182FCD" w:rsidRPr="003640C7" w:rsidRDefault="00182FCD" w:rsidP="00182FCD">
      <w:pPr>
        <w:rPr>
          <w:rFonts w:cstheme="minorHAnsi"/>
          <w:i/>
          <w:iCs/>
        </w:rPr>
      </w:pPr>
      <w:r>
        <w:rPr>
          <w:rFonts w:cstheme="minorHAnsi"/>
          <w:u w:val="single"/>
        </w:rPr>
        <w:t>Recommendation #16</w:t>
      </w:r>
      <w:r>
        <w:rPr>
          <w:rFonts w:cstheme="minorHAnsi"/>
        </w:rPr>
        <w:t xml:space="preserve">: </w:t>
      </w:r>
      <w:r w:rsidR="00E13E07" w:rsidRPr="00E13E07">
        <w:t>Recommendation towards better performance on CAHPS measures</w:t>
      </w:r>
      <w:r w:rsidR="00331F8C">
        <w:t>:</w:t>
      </w:r>
      <w:r w:rsidR="00E13E07" w:rsidRPr="00E13E07">
        <w:t xml:space="preserve"> MassHealth should continue to utilize CAHPS data to evaluate </w:t>
      </w:r>
      <w:r w:rsidR="00336B0F">
        <w:t>MCPs’</w:t>
      </w:r>
      <w:r w:rsidR="00E13E07" w:rsidRPr="00E13E07">
        <w:t xml:space="preserve"> performance and to support the development of major initiatives, and quality improvement strategies, accordingly</w:t>
      </w:r>
    </w:p>
    <w:p w14:paraId="77AB3F42" w14:textId="1F391584" w:rsidR="00182FCD" w:rsidRDefault="00182FCD" w:rsidP="00182FCD">
      <w:pPr>
        <w:rPr>
          <w:rFonts w:cstheme="minorBidi"/>
        </w:rPr>
      </w:pPr>
      <w:r w:rsidRPr="33E9587A">
        <w:rPr>
          <w:rFonts w:cstheme="minorBidi"/>
          <w:u w:val="single"/>
        </w:rPr>
        <w:t>MassHealth Response to Recommendation #</w:t>
      </w:r>
      <w:r>
        <w:rPr>
          <w:rFonts w:cstheme="minorBidi"/>
          <w:u w:val="single"/>
        </w:rPr>
        <w:t>16</w:t>
      </w:r>
      <w:r w:rsidRPr="33E9587A">
        <w:rPr>
          <w:rFonts w:cstheme="minorBidi"/>
        </w:rPr>
        <w:t>:</w:t>
      </w:r>
      <w:r w:rsidR="0005384A">
        <w:rPr>
          <w:rFonts w:cstheme="minorBidi"/>
        </w:rPr>
        <w:t xml:space="preserve"> MassHealth reviews the CAHPS data annually and </w:t>
      </w:r>
      <w:r w:rsidR="00E02ACF">
        <w:rPr>
          <w:rFonts w:cstheme="minorBidi"/>
        </w:rPr>
        <w:t>are</w:t>
      </w:r>
      <w:r w:rsidR="0005384A">
        <w:rPr>
          <w:rFonts w:cstheme="minorBidi"/>
        </w:rPr>
        <w:t xml:space="preserve"> included in the majority of our quality measure slates, including slates that are tied to quality incentive payments or withholds.</w:t>
      </w:r>
      <w:r w:rsidR="00C02C81">
        <w:rPr>
          <w:rFonts w:cstheme="minorBidi"/>
        </w:rPr>
        <w:t xml:space="preserve"> </w:t>
      </w:r>
      <w:r w:rsidR="00E02ACF">
        <w:rPr>
          <w:rFonts w:cstheme="minorBidi"/>
        </w:rPr>
        <w:t>CAHPS measures are a</w:t>
      </w:r>
      <w:r w:rsidR="00C02C81">
        <w:rPr>
          <w:rFonts w:cstheme="minorBidi"/>
        </w:rPr>
        <w:t>lso included as key performance indicator</w:t>
      </w:r>
      <w:r w:rsidR="003A6E56">
        <w:rPr>
          <w:rFonts w:cstheme="minorBidi"/>
        </w:rPr>
        <w:t>s</w:t>
      </w:r>
      <w:r w:rsidR="00E02ACF">
        <w:rPr>
          <w:rFonts w:cstheme="minorBidi"/>
        </w:rPr>
        <w:t>.</w:t>
      </w:r>
    </w:p>
    <w:p w14:paraId="7218B089" w14:textId="77777777" w:rsidR="00E13E07" w:rsidRDefault="00E13E07" w:rsidP="00182FCD">
      <w:pPr>
        <w:rPr>
          <w:rFonts w:cstheme="minorBidi"/>
        </w:rPr>
      </w:pPr>
    </w:p>
    <w:p w14:paraId="0D4FE8A0" w14:textId="12205F2C" w:rsidR="00E13E07" w:rsidRPr="003640C7" w:rsidRDefault="00E13E07" w:rsidP="00E13E07">
      <w:pPr>
        <w:rPr>
          <w:rFonts w:cstheme="minorHAnsi"/>
          <w:i/>
          <w:iCs/>
        </w:rPr>
      </w:pPr>
      <w:r>
        <w:rPr>
          <w:rFonts w:cstheme="minorHAnsi"/>
          <w:u w:val="single"/>
        </w:rPr>
        <w:t>Recommendation #17</w:t>
      </w:r>
      <w:r>
        <w:rPr>
          <w:rFonts w:cstheme="minorHAnsi"/>
        </w:rPr>
        <w:t xml:space="preserve">: </w:t>
      </w:r>
      <w:r w:rsidR="00383EA2" w:rsidRPr="00383EA2">
        <w:t>Recommendation towards sharing information about member experiences</w:t>
      </w:r>
      <w:r w:rsidR="00331F8C">
        <w:t xml:space="preserve">: </w:t>
      </w:r>
      <w:r w:rsidR="00383EA2" w:rsidRPr="00383EA2">
        <w:t>IPRO recommends that MassHealth publish summary results from member experience surveys on the MassHealth Quality Reports and Resources website and make the results available to MassHealth Enrollees</w:t>
      </w:r>
    </w:p>
    <w:p w14:paraId="749AF6E7" w14:textId="6C18EF9A" w:rsidR="00784F63" w:rsidRDefault="00E13E07" w:rsidP="00784F63">
      <w:pPr>
        <w:rPr>
          <w:rFonts w:cstheme="minorBidi"/>
        </w:rPr>
      </w:pPr>
      <w:r w:rsidRPr="33E9587A">
        <w:rPr>
          <w:rFonts w:cstheme="minorBidi"/>
          <w:u w:val="single"/>
        </w:rPr>
        <w:lastRenderedPageBreak/>
        <w:t>MassHealth Response to Recommendation #</w:t>
      </w:r>
      <w:r>
        <w:rPr>
          <w:rFonts w:cstheme="minorBidi"/>
          <w:u w:val="single"/>
        </w:rPr>
        <w:t>17</w:t>
      </w:r>
      <w:r w:rsidRPr="33E9587A">
        <w:rPr>
          <w:rFonts w:cstheme="minorBidi"/>
        </w:rPr>
        <w:t>:</w:t>
      </w:r>
      <w:r w:rsidR="00346E5C">
        <w:rPr>
          <w:rFonts w:cstheme="minorBidi"/>
        </w:rPr>
        <w:t xml:space="preserve"> MassHealth is in the process of updating its Quality website and anticipates sharing member experience data in the future.</w:t>
      </w:r>
    </w:p>
    <w:p w14:paraId="22D222E3" w14:textId="77777777" w:rsidR="00253908" w:rsidRDefault="00253908" w:rsidP="00784F63">
      <w:pPr>
        <w:rPr>
          <w:rFonts w:cstheme="minorBidi"/>
        </w:rPr>
      </w:pPr>
    </w:p>
    <w:p w14:paraId="21B4AE0B" w14:textId="3E3687E6" w:rsidR="00502B26" w:rsidRPr="003640C7" w:rsidRDefault="00502B26" w:rsidP="00502B26">
      <w:pPr>
        <w:rPr>
          <w:rFonts w:cstheme="minorHAnsi"/>
          <w:i/>
          <w:iCs/>
        </w:rPr>
      </w:pPr>
      <w:r>
        <w:rPr>
          <w:rFonts w:cstheme="minorHAnsi"/>
          <w:u w:val="single"/>
        </w:rPr>
        <w:t>Recommendation #18</w:t>
      </w:r>
      <w:r>
        <w:rPr>
          <w:rFonts w:cstheme="minorHAnsi"/>
        </w:rPr>
        <w:t xml:space="preserve">: </w:t>
      </w:r>
      <w:r w:rsidR="00331F8C" w:rsidRPr="00331F8C">
        <w:t>Recommendation towards better performance on member experience of care measures</w:t>
      </w:r>
      <w:r w:rsidR="00331F8C">
        <w:t xml:space="preserve">: </w:t>
      </w:r>
      <w:r w:rsidR="00331F8C" w:rsidRPr="00331F8C">
        <w:t>Considering the high scores and some measures reaching 100% satisfaction, MassHealth should discuss with MBHP a possibility of refining or expanding the survey to capture more nuanced feedback. MassHealth should work with MBHP to review complaints and grievances to identify additional survey questions and areas for improvement</w:t>
      </w:r>
    </w:p>
    <w:p w14:paraId="2B859B89" w14:textId="18E1397A" w:rsidR="00502B26" w:rsidRDefault="00502B26" w:rsidP="00502B26">
      <w:pPr>
        <w:rPr>
          <w:rFonts w:cstheme="minorBidi"/>
        </w:rPr>
      </w:pPr>
      <w:r w:rsidRPr="33E9587A">
        <w:rPr>
          <w:rFonts w:cstheme="minorBidi"/>
          <w:u w:val="single"/>
        </w:rPr>
        <w:t>MassHealth Response to Recommendation #</w:t>
      </w:r>
      <w:r>
        <w:rPr>
          <w:rFonts w:cstheme="minorBidi"/>
          <w:u w:val="single"/>
        </w:rPr>
        <w:t>18</w:t>
      </w:r>
      <w:r w:rsidRPr="33E9587A">
        <w:rPr>
          <w:rFonts w:cstheme="minorBidi"/>
        </w:rPr>
        <w:t>:</w:t>
      </w:r>
      <w:r w:rsidR="00346E5C">
        <w:rPr>
          <w:rFonts w:cstheme="minorBidi"/>
        </w:rPr>
        <w:t xml:space="preserve"> </w:t>
      </w:r>
      <w:r w:rsidR="00FC3333">
        <w:rPr>
          <w:rFonts w:cstheme="minorBidi"/>
        </w:rPr>
        <w:t>MassHealth is in the process of revising its member experience</w:t>
      </w:r>
      <w:r w:rsidR="003A694F">
        <w:rPr>
          <w:rFonts w:cstheme="minorBidi"/>
        </w:rPr>
        <w:t xml:space="preserve"> strategy and will consider how to better work with</w:t>
      </w:r>
      <w:r w:rsidR="00455AC8">
        <w:rPr>
          <w:rFonts w:cstheme="minorBidi"/>
        </w:rPr>
        <w:t xml:space="preserve"> MBHP to capture more nuanced feedback</w:t>
      </w:r>
      <w:r w:rsidR="00150DA6">
        <w:rPr>
          <w:rFonts w:cstheme="minorBidi"/>
        </w:rPr>
        <w:t>.</w:t>
      </w:r>
    </w:p>
    <w:p w14:paraId="0F3CEC16" w14:textId="77777777" w:rsidR="00527D89" w:rsidRDefault="00527D89" w:rsidP="00502B26">
      <w:pPr>
        <w:rPr>
          <w:rFonts w:cstheme="minorBidi"/>
        </w:rPr>
      </w:pPr>
    </w:p>
    <w:p w14:paraId="0E9A3ECA" w14:textId="5D413CCC" w:rsidR="00527D89" w:rsidRPr="003640C7" w:rsidRDefault="00527D89" w:rsidP="00527D89">
      <w:pPr>
        <w:rPr>
          <w:rFonts w:cstheme="minorHAnsi"/>
          <w:i/>
          <w:iCs/>
        </w:rPr>
      </w:pPr>
      <w:r>
        <w:rPr>
          <w:rFonts w:cstheme="minorHAnsi"/>
          <w:u w:val="single"/>
        </w:rPr>
        <w:t>Recommendation #19</w:t>
      </w:r>
      <w:r>
        <w:rPr>
          <w:rFonts w:cstheme="minorHAnsi"/>
        </w:rPr>
        <w:t xml:space="preserve">: </w:t>
      </w:r>
      <w:r w:rsidR="00AB2CAF" w:rsidRPr="00AB2CAF">
        <w:t>Recommendation towards adhering to CMS Child Core Set reporting guidance</w:t>
      </w:r>
      <w:r w:rsidR="009A0CF7">
        <w:t>:</w:t>
      </w:r>
      <w:r w:rsidR="00AB2CAF" w:rsidRPr="00AB2CAF">
        <w:t xml:space="preserve"> To adhere to Medicaid Child Core Set reporting guidance issued by CMS, all measure-eligible Medicaid and CHIP beneficiaries would have to be included in the state reporting of the child CAHPS Health Plan survey measure. This includes children enrolled in multiple delivery systems, like managed care, primary care case management, and fee for service</w:t>
      </w:r>
    </w:p>
    <w:p w14:paraId="4E678155" w14:textId="6FBC3FA9" w:rsidR="00527D89" w:rsidRDefault="00527D89" w:rsidP="00527D89">
      <w:pPr>
        <w:rPr>
          <w:rFonts w:cstheme="minorBidi"/>
        </w:rPr>
      </w:pPr>
      <w:r w:rsidRPr="33E9587A">
        <w:rPr>
          <w:rFonts w:cstheme="minorBidi"/>
          <w:u w:val="single"/>
        </w:rPr>
        <w:t>MassHealth Response to Recommendation #</w:t>
      </w:r>
      <w:r>
        <w:rPr>
          <w:rFonts w:cstheme="minorBidi"/>
          <w:u w:val="single"/>
        </w:rPr>
        <w:t>19</w:t>
      </w:r>
      <w:r w:rsidRPr="33E9587A">
        <w:rPr>
          <w:rFonts w:cstheme="minorBidi"/>
        </w:rPr>
        <w:t>:</w:t>
      </w:r>
      <w:r w:rsidR="001001EF">
        <w:rPr>
          <w:rFonts w:cstheme="minorBidi"/>
        </w:rPr>
        <w:t xml:space="preserve"> MassHealth has modified its Core </w:t>
      </w:r>
      <w:r w:rsidR="005F0CA1">
        <w:rPr>
          <w:rFonts w:cstheme="minorBidi"/>
        </w:rPr>
        <w:t>Measure</w:t>
      </w:r>
      <w:r w:rsidR="001001EF">
        <w:rPr>
          <w:rFonts w:cstheme="minorBidi"/>
        </w:rPr>
        <w:t xml:space="preserve"> calculation and reporting process to include </w:t>
      </w:r>
      <w:r w:rsidR="00DE4049">
        <w:rPr>
          <w:rFonts w:cstheme="minorBidi"/>
        </w:rPr>
        <w:t xml:space="preserve">mandatory </w:t>
      </w:r>
      <w:r w:rsidR="005F0CA1">
        <w:rPr>
          <w:rFonts w:cstheme="minorBidi"/>
        </w:rPr>
        <w:t>MassHealth populati</w:t>
      </w:r>
      <w:r w:rsidR="00DE4049">
        <w:rPr>
          <w:rFonts w:cstheme="minorBidi"/>
        </w:rPr>
        <w:t>ons</w:t>
      </w:r>
      <w:r w:rsidR="00C3754B">
        <w:rPr>
          <w:rFonts w:cstheme="minorBidi"/>
        </w:rPr>
        <w:t xml:space="preserve">. </w:t>
      </w:r>
      <w:r w:rsidR="006728B2">
        <w:rPr>
          <w:rFonts w:cstheme="minorBidi"/>
        </w:rPr>
        <w:t>W</w:t>
      </w:r>
      <w:r w:rsidR="00DE4049">
        <w:rPr>
          <w:rFonts w:cstheme="minorBidi"/>
        </w:rPr>
        <w:t xml:space="preserve">here </w:t>
      </w:r>
      <w:r w:rsidR="006728B2">
        <w:rPr>
          <w:rFonts w:cstheme="minorBidi"/>
        </w:rPr>
        <w:t xml:space="preserve">data was unavailable for all applicable populations MassHealth followed the exemption request process </w:t>
      </w:r>
      <w:r w:rsidR="00F66053">
        <w:rPr>
          <w:rFonts w:cstheme="minorBidi"/>
        </w:rPr>
        <w:t xml:space="preserve">and received </w:t>
      </w:r>
      <w:r w:rsidR="0051728B">
        <w:rPr>
          <w:rFonts w:cstheme="minorBidi"/>
        </w:rPr>
        <w:t>approval from CMS to exclude certain rel</w:t>
      </w:r>
      <w:r w:rsidR="00C36158">
        <w:rPr>
          <w:rFonts w:cstheme="minorBidi"/>
        </w:rPr>
        <w:t>evant populations from specific measures.</w:t>
      </w:r>
      <w:r w:rsidR="00ED438B">
        <w:rPr>
          <w:rFonts w:cstheme="minorBidi"/>
        </w:rPr>
        <w:t xml:space="preserve"> MassHealth continues to move forward with the same process for future </w:t>
      </w:r>
      <w:r w:rsidR="00C82FAA">
        <w:rPr>
          <w:rFonts w:cstheme="minorBidi"/>
        </w:rPr>
        <w:t>Core Measure reporting cycles.</w:t>
      </w:r>
    </w:p>
    <w:p w14:paraId="7D37C7CE" w14:textId="77777777" w:rsidR="00A21A2D" w:rsidRDefault="00A21A2D" w:rsidP="00527D89">
      <w:pPr>
        <w:rPr>
          <w:rFonts w:cstheme="minorBidi"/>
        </w:rPr>
      </w:pPr>
    </w:p>
    <w:p w14:paraId="0E60861A" w14:textId="00B22CF0" w:rsidR="00A21A2D" w:rsidRPr="003640C7" w:rsidRDefault="00A21A2D" w:rsidP="00A21A2D">
      <w:pPr>
        <w:rPr>
          <w:rFonts w:cstheme="minorHAnsi"/>
          <w:i/>
          <w:iCs/>
        </w:rPr>
      </w:pPr>
      <w:r>
        <w:rPr>
          <w:rFonts w:cstheme="minorHAnsi"/>
          <w:u w:val="single"/>
        </w:rPr>
        <w:t>Recommendation #20</w:t>
      </w:r>
      <w:r>
        <w:rPr>
          <w:rFonts w:cstheme="minorHAnsi"/>
        </w:rPr>
        <w:t xml:space="preserve">: </w:t>
      </w:r>
      <w:r w:rsidR="009A0CF7" w:rsidRPr="009A0CF7">
        <w:t>Recommendation towards an effective evaluation of ACO’s performance on member experience measures</w:t>
      </w:r>
      <w:r w:rsidR="009A0CF7">
        <w:t xml:space="preserve">: </w:t>
      </w:r>
      <w:r w:rsidR="009A0CF7" w:rsidRPr="009A0CF7">
        <w:t>IPRO recommends establishing benchmarks for all member experience measures to enhance the effectiveness of performance evaluation and support continuous quality improvement</w:t>
      </w:r>
    </w:p>
    <w:p w14:paraId="28055B4E" w14:textId="3F8A9AD1" w:rsidR="00A21A2D" w:rsidRPr="00607112" w:rsidRDefault="00A21A2D" w:rsidP="00A21A2D">
      <w:pPr>
        <w:rPr>
          <w:rFonts w:asciiTheme="minorHAnsi" w:hAnsiTheme="minorHAnsi" w:cstheme="minorHAnsi"/>
          <w:bdr w:val="none" w:sz="0" w:space="0" w:color="auto" w:frame="1"/>
          <w:shd w:val="clear" w:color="auto" w:fill="FFFFFF"/>
        </w:rPr>
      </w:pPr>
      <w:r w:rsidRPr="00607112">
        <w:rPr>
          <w:rFonts w:asciiTheme="minorHAnsi" w:hAnsiTheme="minorHAnsi" w:cstheme="minorHAnsi"/>
          <w:u w:val="single"/>
        </w:rPr>
        <w:t>MassHealth Response to Recommendation #20</w:t>
      </w:r>
      <w:r w:rsidR="00DD06D6" w:rsidRPr="00607112">
        <w:rPr>
          <w:rFonts w:asciiTheme="minorHAnsi" w:hAnsiTheme="minorHAnsi" w:cstheme="minorHAnsi"/>
        </w:rPr>
        <w:t xml:space="preserve">: </w:t>
      </w:r>
      <w:r w:rsidR="00DD06D6" w:rsidRPr="00607112">
        <w:rPr>
          <w:rFonts w:asciiTheme="minorHAnsi" w:hAnsiTheme="minorHAnsi" w:cstheme="minorHAnsi"/>
          <w:color w:val="000000"/>
          <w:bdr w:val="none" w:sz="0" w:space="0" w:color="auto" w:frame="1"/>
          <w:shd w:val="clear" w:color="auto" w:fill="FFFFFF"/>
        </w:rPr>
        <w:t>MassHealth</w:t>
      </w:r>
      <w:r w:rsidR="00216AA5" w:rsidRPr="00607112">
        <w:rPr>
          <w:rFonts w:asciiTheme="minorHAnsi" w:hAnsiTheme="minorHAnsi" w:cstheme="minorHAnsi"/>
          <w:color w:val="000000"/>
          <w:bdr w:val="none" w:sz="0" w:space="0" w:color="auto" w:frame="1"/>
          <w:shd w:val="clear" w:color="auto" w:fill="FFFFFF"/>
        </w:rPr>
        <w:t xml:space="preserve"> is working to </w:t>
      </w:r>
      <w:r w:rsidR="00DD06D6" w:rsidRPr="00607112">
        <w:rPr>
          <w:rFonts w:asciiTheme="minorHAnsi" w:hAnsiTheme="minorHAnsi" w:cstheme="minorHAnsi"/>
          <w:color w:val="000000"/>
          <w:bdr w:val="none" w:sz="0" w:space="0" w:color="auto" w:frame="1"/>
          <w:shd w:val="clear" w:color="auto" w:fill="FFFFFF"/>
        </w:rPr>
        <w:t>identify</w:t>
      </w:r>
      <w:r w:rsidR="00216AA5" w:rsidRPr="00607112">
        <w:rPr>
          <w:rFonts w:asciiTheme="minorHAnsi" w:hAnsiTheme="minorHAnsi" w:cstheme="minorHAnsi"/>
          <w:color w:val="000000"/>
          <w:bdr w:val="none" w:sz="0" w:space="0" w:color="auto" w:frame="1"/>
          <w:shd w:val="clear" w:color="auto" w:fill="FFFFFF"/>
        </w:rPr>
        <w:t xml:space="preserve"> benchmarks for all member experience domain areas (category composite areas of experience) to enhance the effectiveness of the performance evaluation and support continuous quality improvement. </w:t>
      </w:r>
      <w:r w:rsidR="00216AA5" w:rsidRPr="00607112">
        <w:rPr>
          <w:rFonts w:asciiTheme="minorHAnsi" w:hAnsiTheme="minorHAnsi" w:cstheme="minorHAnsi"/>
          <w:bdr w:val="none" w:sz="0" w:space="0" w:color="auto" w:frame="1"/>
          <w:shd w:val="clear" w:color="auto" w:fill="FFFFFF"/>
        </w:rPr>
        <w:t>Below are the 12 domain areas </w:t>
      </w:r>
      <w:r w:rsidR="00216AA5" w:rsidRPr="00607112">
        <w:rPr>
          <w:rFonts w:asciiTheme="minorHAnsi" w:hAnsiTheme="minorHAnsi" w:cstheme="minorHAnsi"/>
          <w:color w:val="000000"/>
          <w:bdr w:val="none" w:sz="0" w:space="0" w:color="auto" w:frame="1"/>
          <w:shd w:val="clear" w:color="auto" w:fill="FFFFFF"/>
        </w:rPr>
        <w:t xml:space="preserve">for which the state will include benchmarks based on a threshold and goal respectively, </w:t>
      </w:r>
      <w:r w:rsidR="00216AA5" w:rsidRPr="00607112">
        <w:rPr>
          <w:rFonts w:asciiTheme="minorHAnsi" w:hAnsiTheme="minorHAnsi" w:cstheme="minorHAnsi"/>
          <w:bdr w:val="none" w:sz="0" w:space="0" w:color="auto" w:frame="1"/>
          <w:shd w:val="clear" w:color="auto" w:fill="FFFFFF"/>
        </w:rPr>
        <w:t>informed by ACO percentiles (e.g., 25th/75th, 25th/90th). </w:t>
      </w:r>
    </w:p>
    <w:p w14:paraId="5C3B9196" w14:textId="77777777" w:rsidR="00C145F5" w:rsidRPr="00C145F5" w:rsidRDefault="00C145F5" w:rsidP="00C145F5">
      <w:pPr>
        <w:numPr>
          <w:ilvl w:val="0"/>
          <w:numId w:val="38"/>
        </w:numPr>
        <w:rPr>
          <w:rFonts w:asciiTheme="minorHAnsi" w:hAnsiTheme="minorHAnsi" w:cstheme="minorHAnsi"/>
        </w:rPr>
      </w:pPr>
      <w:r w:rsidRPr="00C145F5">
        <w:rPr>
          <w:rFonts w:asciiTheme="minorHAnsi" w:hAnsiTheme="minorHAnsi" w:cstheme="minorHAnsi"/>
        </w:rPr>
        <w:t>Communication</w:t>
      </w:r>
    </w:p>
    <w:p w14:paraId="744D1CD4" w14:textId="77777777" w:rsidR="00C145F5" w:rsidRPr="00C145F5" w:rsidRDefault="00C145F5" w:rsidP="00C145F5">
      <w:pPr>
        <w:numPr>
          <w:ilvl w:val="0"/>
          <w:numId w:val="38"/>
        </w:numPr>
        <w:rPr>
          <w:rFonts w:asciiTheme="minorHAnsi" w:hAnsiTheme="minorHAnsi" w:cstheme="minorHAnsi"/>
        </w:rPr>
      </w:pPr>
      <w:r w:rsidRPr="00C145F5">
        <w:rPr>
          <w:rFonts w:asciiTheme="minorHAnsi" w:hAnsiTheme="minorHAnsi" w:cstheme="minorHAnsi"/>
        </w:rPr>
        <w:t>Knowledge of Patient</w:t>
      </w:r>
    </w:p>
    <w:p w14:paraId="4D57DC16" w14:textId="77777777" w:rsidR="00C145F5" w:rsidRPr="00C145F5" w:rsidRDefault="00C145F5" w:rsidP="00C145F5">
      <w:pPr>
        <w:numPr>
          <w:ilvl w:val="0"/>
          <w:numId w:val="38"/>
        </w:numPr>
        <w:rPr>
          <w:rFonts w:asciiTheme="minorHAnsi" w:hAnsiTheme="minorHAnsi" w:cstheme="minorHAnsi"/>
        </w:rPr>
      </w:pPr>
      <w:r w:rsidRPr="00C145F5">
        <w:rPr>
          <w:rFonts w:asciiTheme="minorHAnsi" w:hAnsiTheme="minorHAnsi" w:cstheme="minorHAnsi"/>
        </w:rPr>
        <w:t>Willingness to Recommend</w:t>
      </w:r>
    </w:p>
    <w:p w14:paraId="3EA32790" w14:textId="77777777" w:rsidR="00C145F5" w:rsidRPr="00C145F5" w:rsidRDefault="00C145F5" w:rsidP="00C145F5">
      <w:pPr>
        <w:numPr>
          <w:ilvl w:val="0"/>
          <w:numId w:val="38"/>
        </w:numPr>
        <w:rPr>
          <w:rFonts w:asciiTheme="minorHAnsi" w:hAnsiTheme="minorHAnsi" w:cstheme="minorHAnsi"/>
        </w:rPr>
      </w:pPr>
      <w:r w:rsidRPr="00C145F5">
        <w:rPr>
          <w:rFonts w:asciiTheme="minorHAnsi" w:hAnsiTheme="minorHAnsi" w:cstheme="minorHAnsi"/>
        </w:rPr>
        <w:t>Integration of Care</w:t>
      </w:r>
    </w:p>
    <w:p w14:paraId="1431848D" w14:textId="77777777" w:rsidR="00C145F5" w:rsidRPr="00C145F5" w:rsidRDefault="00C145F5" w:rsidP="00C145F5">
      <w:pPr>
        <w:numPr>
          <w:ilvl w:val="0"/>
          <w:numId w:val="38"/>
        </w:numPr>
        <w:rPr>
          <w:rFonts w:asciiTheme="minorHAnsi" w:hAnsiTheme="minorHAnsi" w:cstheme="minorHAnsi"/>
        </w:rPr>
      </w:pPr>
      <w:r w:rsidRPr="00C145F5">
        <w:rPr>
          <w:rFonts w:asciiTheme="minorHAnsi" w:hAnsiTheme="minorHAnsi" w:cstheme="minorHAnsi"/>
        </w:rPr>
        <w:t>Office Staff</w:t>
      </w:r>
    </w:p>
    <w:p w14:paraId="4AB6C267" w14:textId="77777777" w:rsidR="00C145F5" w:rsidRPr="00C145F5" w:rsidRDefault="00C145F5" w:rsidP="00C145F5">
      <w:pPr>
        <w:numPr>
          <w:ilvl w:val="0"/>
          <w:numId w:val="38"/>
        </w:numPr>
        <w:rPr>
          <w:rFonts w:asciiTheme="minorHAnsi" w:hAnsiTheme="minorHAnsi" w:cstheme="minorHAnsi"/>
        </w:rPr>
      </w:pPr>
      <w:r w:rsidRPr="00C145F5">
        <w:rPr>
          <w:rFonts w:asciiTheme="minorHAnsi" w:hAnsiTheme="minorHAnsi" w:cstheme="minorHAnsi"/>
        </w:rPr>
        <w:t>Organizational Access</w:t>
      </w:r>
    </w:p>
    <w:p w14:paraId="604CD790" w14:textId="77777777" w:rsidR="00C145F5" w:rsidRPr="00C145F5" w:rsidRDefault="00C145F5" w:rsidP="00C145F5">
      <w:pPr>
        <w:numPr>
          <w:ilvl w:val="0"/>
          <w:numId w:val="38"/>
        </w:numPr>
        <w:rPr>
          <w:rFonts w:asciiTheme="minorHAnsi" w:hAnsiTheme="minorHAnsi" w:cstheme="minorHAnsi"/>
        </w:rPr>
      </w:pPr>
      <w:r w:rsidRPr="00C145F5">
        <w:rPr>
          <w:rFonts w:asciiTheme="minorHAnsi" w:hAnsiTheme="minorHAnsi" w:cstheme="minorHAnsi"/>
        </w:rPr>
        <w:t>Self-management Support</w:t>
      </w:r>
    </w:p>
    <w:p w14:paraId="7EF68999" w14:textId="77777777" w:rsidR="00C145F5" w:rsidRPr="00C145F5" w:rsidRDefault="00C145F5" w:rsidP="00C145F5">
      <w:pPr>
        <w:numPr>
          <w:ilvl w:val="0"/>
          <w:numId w:val="38"/>
        </w:numPr>
        <w:rPr>
          <w:rFonts w:asciiTheme="minorHAnsi" w:hAnsiTheme="minorHAnsi" w:cstheme="minorHAnsi"/>
        </w:rPr>
      </w:pPr>
      <w:r w:rsidRPr="00C145F5">
        <w:rPr>
          <w:rFonts w:asciiTheme="minorHAnsi" w:hAnsiTheme="minorHAnsi" w:cstheme="minorHAnsi"/>
        </w:rPr>
        <w:t>Overall Provider Rating</w:t>
      </w:r>
    </w:p>
    <w:p w14:paraId="5309AE10" w14:textId="77777777" w:rsidR="00C145F5" w:rsidRPr="00C145F5" w:rsidRDefault="00C145F5" w:rsidP="00C145F5">
      <w:pPr>
        <w:numPr>
          <w:ilvl w:val="0"/>
          <w:numId w:val="38"/>
        </w:numPr>
        <w:rPr>
          <w:rFonts w:asciiTheme="minorHAnsi" w:hAnsiTheme="minorHAnsi" w:cstheme="minorHAnsi"/>
        </w:rPr>
      </w:pPr>
      <w:r w:rsidRPr="00C145F5">
        <w:rPr>
          <w:rFonts w:asciiTheme="minorHAnsi" w:hAnsiTheme="minorHAnsi" w:cstheme="minorHAnsi"/>
        </w:rPr>
        <w:lastRenderedPageBreak/>
        <w:t>Trust</w:t>
      </w:r>
    </w:p>
    <w:p w14:paraId="356782D7" w14:textId="77777777" w:rsidR="00C145F5" w:rsidRPr="00C145F5" w:rsidRDefault="00C145F5" w:rsidP="00C145F5">
      <w:pPr>
        <w:numPr>
          <w:ilvl w:val="0"/>
          <w:numId w:val="38"/>
        </w:numPr>
        <w:rPr>
          <w:rFonts w:asciiTheme="minorHAnsi" w:hAnsiTheme="minorHAnsi" w:cstheme="minorHAnsi"/>
        </w:rPr>
      </w:pPr>
      <w:r w:rsidRPr="00C145F5">
        <w:rPr>
          <w:rFonts w:asciiTheme="minorHAnsi" w:hAnsiTheme="minorHAnsi" w:cstheme="minorHAnsi"/>
        </w:rPr>
        <w:t>Adult Behavioral Health (Adults 18+ only)</w:t>
      </w:r>
    </w:p>
    <w:p w14:paraId="5F134294" w14:textId="77777777" w:rsidR="00C145F5" w:rsidRPr="00C145F5" w:rsidRDefault="00C145F5" w:rsidP="00C145F5">
      <w:pPr>
        <w:numPr>
          <w:ilvl w:val="0"/>
          <w:numId w:val="38"/>
        </w:numPr>
        <w:rPr>
          <w:rFonts w:asciiTheme="minorHAnsi" w:hAnsiTheme="minorHAnsi" w:cstheme="minorHAnsi"/>
        </w:rPr>
      </w:pPr>
      <w:r w:rsidRPr="00C145F5">
        <w:rPr>
          <w:rFonts w:asciiTheme="minorHAnsi" w:hAnsiTheme="minorHAnsi" w:cstheme="minorHAnsi"/>
        </w:rPr>
        <w:t>Child Development (Children &lt;18 only)</w:t>
      </w:r>
    </w:p>
    <w:p w14:paraId="120C0815" w14:textId="670926D3" w:rsidR="00CC23E6" w:rsidRDefault="00C145F5" w:rsidP="00CC23E6">
      <w:pPr>
        <w:numPr>
          <w:ilvl w:val="0"/>
          <w:numId w:val="38"/>
        </w:numPr>
        <w:rPr>
          <w:rFonts w:asciiTheme="minorHAnsi" w:hAnsiTheme="minorHAnsi" w:cstheme="minorHAnsi"/>
        </w:rPr>
      </w:pPr>
      <w:r w:rsidRPr="00C145F5">
        <w:rPr>
          <w:rFonts w:asciiTheme="minorHAnsi" w:hAnsiTheme="minorHAnsi" w:cstheme="minorHAnsi"/>
        </w:rPr>
        <w:t>Pediatric Prevention (Children &lt;18 only)</w:t>
      </w:r>
    </w:p>
    <w:p w14:paraId="1A30C973" w14:textId="77777777" w:rsidR="00CC23E6" w:rsidRPr="00CC23E6" w:rsidRDefault="00CC23E6" w:rsidP="000C7657">
      <w:pPr>
        <w:ind w:left="360"/>
        <w:rPr>
          <w:rFonts w:asciiTheme="minorHAnsi" w:hAnsiTheme="minorHAnsi" w:cstheme="minorHAnsi"/>
        </w:rPr>
      </w:pPr>
    </w:p>
    <w:p w14:paraId="08860C31" w14:textId="77777777" w:rsidR="00784F63" w:rsidRDefault="00784F63" w:rsidP="00784F63">
      <w:pPr>
        <w:rPr>
          <w:rFonts w:cstheme="minorBidi"/>
        </w:rPr>
      </w:pPr>
    </w:p>
    <w:p w14:paraId="1CF7D9EC" w14:textId="7A8C6A57" w:rsidR="00753CD6" w:rsidRPr="00BB6AD3" w:rsidRDefault="00753CD6" w:rsidP="00784F63">
      <w:bookmarkStart w:id="17" w:name="_Toc190440063"/>
      <w:r w:rsidRPr="00BB6AD3">
        <w:rPr>
          <w:rStyle w:val="Heading2Char"/>
          <w:rFonts w:eastAsiaTheme="minorEastAsia"/>
        </w:rPr>
        <w:t>Progress On Quality Strategy Goals and Objectives and Goal Revision</w:t>
      </w:r>
      <w:bookmarkEnd w:id="17"/>
      <w:r w:rsidRPr="00BB6AD3">
        <w:t xml:space="preserve">  </w:t>
      </w:r>
    </w:p>
    <w:p w14:paraId="752B6BA8" w14:textId="0F104AC1" w:rsidR="009F55AF" w:rsidRDefault="001C1D80" w:rsidP="009E3CDB">
      <w:pPr>
        <w:pStyle w:val="xmsolistparagraph"/>
        <w:spacing w:before="0" w:beforeAutospacing="0" w:after="0" w:afterAutospacing="0"/>
        <w:rPr>
          <w:rFonts w:asciiTheme="minorHAnsi" w:hAnsiTheme="minorHAnsi" w:cstheme="minorBidi"/>
        </w:rPr>
      </w:pPr>
      <w:r>
        <w:rPr>
          <w:rFonts w:asciiTheme="minorHAnsi" w:hAnsiTheme="minorHAnsi" w:cstheme="minorBidi"/>
        </w:rPr>
        <w:t xml:space="preserve">For </w:t>
      </w:r>
      <w:r w:rsidR="002F6646">
        <w:rPr>
          <w:rFonts w:asciiTheme="minorHAnsi" w:hAnsiTheme="minorHAnsi" w:cstheme="minorBidi"/>
        </w:rPr>
        <w:t>this evaluation, MassHealth</w:t>
      </w:r>
      <w:r w:rsidR="00874C58">
        <w:rPr>
          <w:rFonts w:asciiTheme="minorHAnsi" w:hAnsiTheme="minorHAnsi" w:cstheme="minorBidi"/>
        </w:rPr>
        <w:t xml:space="preserve"> identified</w:t>
      </w:r>
      <w:r>
        <w:rPr>
          <w:rFonts w:asciiTheme="minorHAnsi" w:hAnsiTheme="minorHAnsi" w:cstheme="minorBidi"/>
        </w:rPr>
        <w:t xml:space="preserve"> a </w:t>
      </w:r>
      <w:r w:rsidR="00874C58">
        <w:rPr>
          <w:rFonts w:asciiTheme="minorHAnsi" w:hAnsiTheme="minorHAnsi" w:cstheme="minorBidi"/>
        </w:rPr>
        <w:t>s</w:t>
      </w:r>
      <w:r>
        <w:rPr>
          <w:rFonts w:asciiTheme="minorHAnsi" w:hAnsiTheme="minorHAnsi" w:cstheme="minorBidi"/>
        </w:rPr>
        <w:t xml:space="preserve">et of </w:t>
      </w:r>
      <w:r w:rsidR="00874C58">
        <w:rPr>
          <w:rFonts w:asciiTheme="minorHAnsi" w:hAnsiTheme="minorHAnsi" w:cstheme="minorBidi"/>
        </w:rPr>
        <w:t>quality</w:t>
      </w:r>
      <w:r>
        <w:rPr>
          <w:rFonts w:asciiTheme="minorHAnsi" w:hAnsiTheme="minorHAnsi" w:cstheme="minorBidi"/>
        </w:rPr>
        <w:t xml:space="preserve"> measures</w:t>
      </w:r>
      <w:r w:rsidR="00874C58">
        <w:rPr>
          <w:rFonts w:asciiTheme="minorHAnsi" w:hAnsiTheme="minorHAnsi" w:cstheme="minorBidi"/>
        </w:rPr>
        <w:t xml:space="preserve">, largely drawn </w:t>
      </w:r>
      <w:r w:rsidR="00874C58" w:rsidRPr="3DFCCDE3">
        <w:rPr>
          <w:rFonts w:asciiTheme="minorHAnsi" w:hAnsiTheme="minorHAnsi" w:cstheme="minorBidi"/>
        </w:rPr>
        <w:t>f</w:t>
      </w:r>
      <w:r w:rsidR="1C1C2B4D" w:rsidRPr="3DFCCDE3">
        <w:rPr>
          <w:rFonts w:asciiTheme="minorHAnsi" w:hAnsiTheme="minorHAnsi" w:cstheme="minorBidi"/>
        </w:rPr>
        <w:t>ro</w:t>
      </w:r>
      <w:r w:rsidR="00874C58" w:rsidRPr="3DFCCDE3">
        <w:rPr>
          <w:rFonts w:asciiTheme="minorHAnsi" w:hAnsiTheme="minorHAnsi" w:cstheme="minorBidi"/>
        </w:rPr>
        <w:t>m</w:t>
      </w:r>
      <w:r w:rsidR="00874C58">
        <w:rPr>
          <w:rFonts w:asciiTheme="minorHAnsi" w:hAnsiTheme="minorHAnsi" w:cstheme="minorBidi"/>
        </w:rPr>
        <w:t xml:space="preserve"> the CMS Adult and Child Core Measure Sets, </w:t>
      </w:r>
      <w:r>
        <w:rPr>
          <w:rFonts w:asciiTheme="minorHAnsi" w:hAnsiTheme="minorHAnsi" w:cstheme="minorBidi"/>
        </w:rPr>
        <w:t xml:space="preserve">to </w:t>
      </w:r>
      <w:r w:rsidR="00910C2F">
        <w:rPr>
          <w:rFonts w:asciiTheme="minorHAnsi" w:hAnsiTheme="minorHAnsi" w:cstheme="minorBidi"/>
        </w:rPr>
        <w:t>evaluate progress t</w:t>
      </w:r>
      <w:r w:rsidR="00AA5056">
        <w:rPr>
          <w:rFonts w:asciiTheme="minorHAnsi" w:hAnsiTheme="minorHAnsi" w:cstheme="minorBidi"/>
        </w:rPr>
        <w:t>o</w:t>
      </w:r>
      <w:r w:rsidR="00910C2F">
        <w:rPr>
          <w:rFonts w:asciiTheme="minorHAnsi" w:hAnsiTheme="minorHAnsi" w:cstheme="minorBidi"/>
        </w:rPr>
        <w:t>ward</w:t>
      </w:r>
      <w:r w:rsidR="00AE2365">
        <w:rPr>
          <w:rFonts w:asciiTheme="minorHAnsi" w:hAnsiTheme="minorHAnsi" w:cstheme="minorBidi"/>
        </w:rPr>
        <w:t>s</w:t>
      </w:r>
      <w:r w:rsidR="00916B09">
        <w:rPr>
          <w:rFonts w:asciiTheme="minorHAnsi" w:hAnsiTheme="minorHAnsi" w:cstheme="minorBidi"/>
        </w:rPr>
        <w:t xml:space="preserve"> </w:t>
      </w:r>
      <w:r w:rsidR="002F6646">
        <w:rPr>
          <w:rFonts w:asciiTheme="minorHAnsi" w:hAnsiTheme="minorHAnsi" w:cstheme="minorBidi"/>
        </w:rPr>
        <w:t>meeting</w:t>
      </w:r>
      <w:r w:rsidR="00874C58">
        <w:rPr>
          <w:rFonts w:asciiTheme="minorHAnsi" w:hAnsiTheme="minorHAnsi" w:cstheme="minorBidi"/>
        </w:rPr>
        <w:t xml:space="preserve"> the </w:t>
      </w:r>
      <w:r w:rsidR="7878A2C7" w:rsidRPr="3DFCCDE3">
        <w:rPr>
          <w:rFonts w:asciiTheme="minorHAnsi" w:hAnsiTheme="minorHAnsi" w:cstheme="minorBidi"/>
        </w:rPr>
        <w:t>five</w:t>
      </w:r>
      <w:r w:rsidR="002F6646">
        <w:rPr>
          <w:rFonts w:asciiTheme="minorHAnsi" w:hAnsiTheme="minorHAnsi" w:cstheme="minorBidi"/>
        </w:rPr>
        <w:t xml:space="preserve"> Quality Strategy </w:t>
      </w:r>
      <w:r w:rsidR="002909DF">
        <w:rPr>
          <w:rFonts w:asciiTheme="minorHAnsi" w:hAnsiTheme="minorHAnsi" w:cstheme="minorBidi"/>
        </w:rPr>
        <w:t>(QS)</w:t>
      </w:r>
      <w:r w:rsidR="002F6646">
        <w:rPr>
          <w:rFonts w:asciiTheme="minorHAnsi" w:hAnsiTheme="minorHAnsi" w:cstheme="minorBidi"/>
        </w:rPr>
        <w:t xml:space="preserve"> goals </w:t>
      </w:r>
      <w:r w:rsidR="00874C58">
        <w:rPr>
          <w:rFonts w:asciiTheme="minorHAnsi" w:hAnsiTheme="minorHAnsi" w:cstheme="minorBidi"/>
        </w:rPr>
        <w:t>and their associated objectives</w:t>
      </w:r>
      <w:r w:rsidR="00FE65E8">
        <w:rPr>
          <w:rFonts w:asciiTheme="minorHAnsi" w:hAnsiTheme="minorHAnsi" w:cstheme="minorBidi"/>
        </w:rPr>
        <w:t>.</w:t>
      </w:r>
      <w:r w:rsidR="003F6A1E">
        <w:rPr>
          <w:rFonts w:asciiTheme="minorHAnsi" w:hAnsiTheme="minorHAnsi" w:cstheme="minorBidi"/>
        </w:rPr>
        <w:t xml:space="preserve"> </w:t>
      </w:r>
      <w:r w:rsidR="002C24D5">
        <w:rPr>
          <w:rFonts w:asciiTheme="minorHAnsi" w:hAnsiTheme="minorHAnsi" w:cstheme="minorBidi"/>
        </w:rPr>
        <w:t xml:space="preserve">Additionally, </w:t>
      </w:r>
      <w:r w:rsidR="00D84E03">
        <w:rPr>
          <w:rFonts w:asciiTheme="minorHAnsi" w:hAnsiTheme="minorHAnsi" w:cstheme="minorBidi"/>
        </w:rPr>
        <w:t>MassHealth established a</w:t>
      </w:r>
      <w:r w:rsidR="00B25139">
        <w:rPr>
          <w:rFonts w:asciiTheme="minorHAnsi" w:hAnsiTheme="minorHAnsi" w:cstheme="minorBidi"/>
        </w:rPr>
        <w:t xml:space="preserve"> scoring rubric </w:t>
      </w:r>
      <w:r w:rsidR="00F7488E">
        <w:rPr>
          <w:rFonts w:asciiTheme="minorHAnsi" w:hAnsiTheme="minorHAnsi" w:cstheme="minorBidi"/>
        </w:rPr>
        <w:t xml:space="preserve">to </w:t>
      </w:r>
      <w:r w:rsidR="008B0C03">
        <w:rPr>
          <w:rFonts w:asciiTheme="minorHAnsi" w:hAnsiTheme="minorHAnsi" w:cstheme="minorBidi"/>
        </w:rPr>
        <w:t>describe</w:t>
      </w:r>
      <w:r w:rsidR="002C24D5">
        <w:rPr>
          <w:rFonts w:asciiTheme="minorHAnsi" w:hAnsiTheme="minorHAnsi" w:cstheme="minorBidi"/>
        </w:rPr>
        <w:t xml:space="preserve"> achievement </w:t>
      </w:r>
      <w:r w:rsidR="09CFFC80" w:rsidRPr="3DFCCDE3">
        <w:rPr>
          <w:rFonts w:asciiTheme="minorHAnsi" w:hAnsiTheme="minorHAnsi" w:cstheme="minorBidi"/>
        </w:rPr>
        <w:t>of</w:t>
      </w:r>
      <w:r w:rsidR="002C24D5">
        <w:rPr>
          <w:rFonts w:asciiTheme="minorHAnsi" w:hAnsiTheme="minorHAnsi" w:cstheme="minorBidi"/>
        </w:rPr>
        <w:t xml:space="preserve"> each individual goal and </w:t>
      </w:r>
      <w:r w:rsidR="00586D4F">
        <w:rPr>
          <w:rFonts w:asciiTheme="minorHAnsi" w:hAnsiTheme="minorHAnsi" w:cstheme="minorBidi"/>
        </w:rPr>
        <w:t xml:space="preserve">objective, as well as </w:t>
      </w:r>
      <w:r w:rsidR="002C24D5">
        <w:rPr>
          <w:rFonts w:asciiTheme="minorHAnsi" w:hAnsiTheme="minorHAnsi" w:cstheme="minorBidi"/>
        </w:rPr>
        <w:t>the overall quality strategy</w:t>
      </w:r>
      <w:r w:rsidR="06CE242B" w:rsidRPr="3DFCCDE3">
        <w:rPr>
          <w:rFonts w:asciiTheme="minorHAnsi" w:hAnsiTheme="minorHAnsi" w:cstheme="minorBidi"/>
        </w:rPr>
        <w:t>, as noted below</w:t>
      </w:r>
      <w:r w:rsidR="004941DD">
        <w:rPr>
          <w:rFonts w:asciiTheme="minorHAnsi" w:hAnsiTheme="minorHAnsi" w:cstheme="minorBidi"/>
        </w:rPr>
        <w:t xml:space="preserve">: </w:t>
      </w:r>
      <w:r w:rsidR="00CC4ADA">
        <w:rPr>
          <w:rFonts w:asciiTheme="minorHAnsi" w:hAnsiTheme="minorHAnsi" w:cstheme="minorBidi"/>
        </w:rPr>
        <w:t xml:space="preserve"> </w:t>
      </w:r>
      <w:r w:rsidR="0064552A">
        <w:rPr>
          <w:rFonts w:asciiTheme="minorHAnsi" w:hAnsiTheme="minorHAnsi" w:cstheme="minorBidi"/>
        </w:rPr>
        <w:t xml:space="preserve"> </w:t>
      </w:r>
    </w:p>
    <w:p w14:paraId="301C9903" w14:textId="7A0BB0E2" w:rsidR="002C24D5" w:rsidRDefault="002C24D5" w:rsidP="002C24D5">
      <w:pPr>
        <w:pStyle w:val="xmsolistparagraph"/>
        <w:numPr>
          <w:ilvl w:val="0"/>
          <w:numId w:val="43"/>
        </w:numPr>
        <w:spacing w:before="0" w:beforeAutospacing="0" w:after="0" w:afterAutospacing="0"/>
        <w:rPr>
          <w:rFonts w:asciiTheme="minorHAnsi" w:hAnsiTheme="minorHAnsi" w:cstheme="minorBidi"/>
        </w:rPr>
      </w:pPr>
      <w:r w:rsidRPr="00BF34F5">
        <w:rPr>
          <w:rFonts w:asciiTheme="minorHAnsi" w:hAnsiTheme="minorHAnsi" w:cstheme="minorBidi"/>
          <w:i/>
          <w:iCs/>
        </w:rPr>
        <w:t>Achieved</w:t>
      </w:r>
      <w:r>
        <w:rPr>
          <w:rFonts w:asciiTheme="minorHAnsi" w:hAnsiTheme="minorHAnsi" w:cstheme="minorBidi"/>
        </w:rPr>
        <w:t xml:space="preserve"> – MassHealth met the MY2022 benchmark </w:t>
      </w:r>
      <w:r w:rsidR="00C82048">
        <w:rPr>
          <w:rFonts w:asciiTheme="minorHAnsi" w:hAnsiTheme="minorHAnsi" w:cstheme="minorBidi"/>
        </w:rPr>
        <w:t xml:space="preserve">or Gap to Goal improvement target </w:t>
      </w:r>
      <w:r w:rsidR="00C82048" w:rsidRPr="00030AE9">
        <w:rPr>
          <w:rFonts w:asciiTheme="minorHAnsi" w:hAnsiTheme="minorHAnsi" w:cstheme="minorBidi"/>
          <w:b/>
          <w:bCs/>
        </w:rPr>
        <w:t>more than 50%</w:t>
      </w:r>
      <w:r w:rsidR="00C82048">
        <w:rPr>
          <w:rFonts w:asciiTheme="minorHAnsi" w:hAnsiTheme="minorHAnsi" w:cstheme="minorBidi"/>
        </w:rPr>
        <w:t xml:space="preserve"> of the time.</w:t>
      </w:r>
    </w:p>
    <w:p w14:paraId="315BF8AD" w14:textId="6426ABB8" w:rsidR="00C82048" w:rsidRDefault="005D38FE" w:rsidP="002C24D5">
      <w:pPr>
        <w:pStyle w:val="xmsolistparagraph"/>
        <w:numPr>
          <w:ilvl w:val="0"/>
          <w:numId w:val="43"/>
        </w:numPr>
        <w:spacing w:before="0" w:beforeAutospacing="0" w:after="0" w:afterAutospacing="0"/>
        <w:rPr>
          <w:rFonts w:asciiTheme="minorHAnsi" w:hAnsiTheme="minorHAnsi" w:cstheme="minorBidi"/>
        </w:rPr>
      </w:pPr>
      <w:r w:rsidRPr="00BF34F5">
        <w:rPr>
          <w:rFonts w:asciiTheme="minorHAnsi" w:hAnsiTheme="minorHAnsi" w:cstheme="minorBidi"/>
          <w:i/>
          <w:iCs/>
        </w:rPr>
        <w:t>Making Progress</w:t>
      </w:r>
      <w:r>
        <w:rPr>
          <w:rFonts w:asciiTheme="minorHAnsi" w:hAnsiTheme="minorHAnsi" w:cstheme="minorBidi"/>
        </w:rPr>
        <w:t xml:space="preserve"> – MassHealth </w:t>
      </w:r>
      <w:r w:rsidR="00030AE9">
        <w:rPr>
          <w:rFonts w:asciiTheme="minorHAnsi" w:hAnsiTheme="minorHAnsi" w:cstheme="minorBidi"/>
        </w:rPr>
        <w:t xml:space="preserve">met the MY2022 benchmark or Gap to Goal improvement target </w:t>
      </w:r>
      <w:r w:rsidR="00030AE9" w:rsidRPr="00030AE9">
        <w:rPr>
          <w:rFonts w:asciiTheme="minorHAnsi" w:hAnsiTheme="minorHAnsi" w:cstheme="minorBidi"/>
          <w:b/>
          <w:bCs/>
        </w:rPr>
        <w:t>50%</w:t>
      </w:r>
      <w:r w:rsidR="00030AE9">
        <w:rPr>
          <w:rFonts w:asciiTheme="minorHAnsi" w:hAnsiTheme="minorHAnsi" w:cstheme="minorBidi"/>
        </w:rPr>
        <w:t xml:space="preserve"> of the time; or made significant </w:t>
      </w:r>
      <w:r w:rsidR="00E9788C">
        <w:rPr>
          <w:rFonts w:asciiTheme="minorHAnsi" w:hAnsiTheme="minorHAnsi" w:cstheme="minorBidi"/>
        </w:rPr>
        <w:t>progress to</w:t>
      </w:r>
      <w:r w:rsidR="005E2B17">
        <w:rPr>
          <w:rFonts w:asciiTheme="minorHAnsi" w:hAnsiTheme="minorHAnsi" w:cstheme="minorBidi"/>
        </w:rPr>
        <w:t>wards</w:t>
      </w:r>
      <w:r w:rsidR="00E9788C">
        <w:rPr>
          <w:rFonts w:asciiTheme="minorHAnsi" w:hAnsiTheme="minorHAnsi" w:cstheme="minorBidi"/>
        </w:rPr>
        <w:t xml:space="preserve"> </w:t>
      </w:r>
      <w:r w:rsidR="00E25FEC">
        <w:rPr>
          <w:rFonts w:asciiTheme="minorHAnsi" w:hAnsiTheme="minorHAnsi" w:cstheme="minorBidi"/>
        </w:rPr>
        <w:t>implementing</w:t>
      </w:r>
      <w:r w:rsidR="00E9788C">
        <w:rPr>
          <w:rFonts w:asciiTheme="minorHAnsi" w:hAnsiTheme="minorHAnsi" w:cstheme="minorBidi"/>
        </w:rPr>
        <w:t xml:space="preserve"> </w:t>
      </w:r>
      <w:r w:rsidR="00F06360">
        <w:rPr>
          <w:rFonts w:asciiTheme="minorHAnsi" w:hAnsiTheme="minorHAnsi" w:cstheme="minorBidi"/>
        </w:rPr>
        <w:t>necessary</w:t>
      </w:r>
      <w:r w:rsidR="00E9788C">
        <w:rPr>
          <w:rFonts w:asciiTheme="minorHAnsi" w:hAnsiTheme="minorHAnsi" w:cstheme="minorBidi"/>
        </w:rPr>
        <w:t xml:space="preserve"> processes </w:t>
      </w:r>
      <w:r w:rsidR="00F06360">
        <w:rPr>
          <w:rFonts w:asciiTheme="minorHAnsi" w:hAnsiTheme="minorHAnsi" w:cstheme="minorBidi"/>
        </w:rPr>
        <w:t xml:space="preserve">needed to ensure </w:t>
      </w:r>
      <w:r w:rsidR="00F96E89">
        <w:rPr>
          <w:rFonts w:asciiTheme="minorHAnsi" w:hAnsiTheme="minorHAnsi" w:cstheme="minorBidi"/>
        </w:rPr>
        <w:t>future achievement.</w:t>
      </w:r>
    </w:p>
    <w:p w14:paraId="6A02D608" w14:textId="453A53BA" w:rsidR="00F96E89" w:rsidRDefault="002A00FA" w:rsidP="002C24D5">
      <w:pPr>
        <w:pStyle w:val="xmsolistparagraph"/>
        <w:numPr>
          <w:ilvl w:val="0"/>
          <w:numId w:val="43"/>
        </w:numPr>
        <w:spacing w:before="0" w:beforeAutospacing="0" w:after="0" w:afterAutospacing="0"/>
        <w:rPr>
          <w:rFonts w:asciiTheme="minorHAnsi" w:hAnsiTheme="minorHAnsi" w:cstheme="minorBidi"/>
        </w:rPr>
      </w:pPr>
      <w:r w:rsidRPr="00BF34F5">
        <w:rPr>
          <w:rFonts w:asciiTheme="minorHAnsi" w:hAnsiTheme="minorHAnsi" w:cstheme="minorBidi"/>
          <w:i/>
          <w:iCs/>
        </w:rPr>
        <w:t>Opportunity for Improvement</w:t>
      </w:r>
      <w:r>
        <w:rPr>
          <w:rFonts w:asciiTheme="minorHAnsi" w:hAnsiTheme="minorHAnsi" w:cstheme="minorBidi"/>
        </w:rPr>
        <w:t xml:space="preserve"> – MassHealth met the My2022 benchmark of Gap to Goal improvement target </w:t>
      </w:r>
      <w:r w:rsidRPr="002A00FA">
        <w:rPr>
          <w:rFonts w:asciiTheme="minorHAnsi" w:hAnsiTheme="minorHAnsi" w:cstheme="minorBidi"/>
          <w:b/>
          <w:bCs/>
        </w:rPr>
        <w:t>less than 50%</w:t>
      </w:r>
      <w:r>
        <w:rPr>
          <w:rFonts w:asciiTheme="minorHAnsi" w:hAnsiTheme="minorHAnsi" w:cstheme="minorBidi"/>
        </w:rPr>
        <w:t xml:space="preserve"> of the time.</w:t>
      </w:r>
    </w:p>
    <w:p w14:paraId="1B921A0F" w14:textId="77777777" w:rsidR="00127A3C" w:rsidRDefault="00127A3C" w:rsidP="009E3CDB">
      <w:pPr>
        <w:pStyle w:val="xmsolistparagraph"/>
        <w:spacing w:before="0" w:beforeAutospacing="0" w:after="0" w:afterAutospacing="0"/>
        <w:rPr>
          <w:rFonts w:asciiTheme="minorHAnsi" w:hAnsiTheme="minorHAnsi" w:cstheme="minorBidi"/>
        </w:rPr>
      </w:pPr>
    </w:p>
    <w:p w14:paraId="1E90D0EB" w14:textId="780B74C2" w:rsidR="007348A3" w:rsidRDefault="007348A3" w:rsidP="009E3CDB">
      <w:pPr>
        <w:pStyle w:val="xmsolistparagraph"/>
        <w:spacing w:before="0" w:beforeAutospacing="0" w:after="0" w:afterAutospacing="0"/>
        <w:rPr>
          <w:rFonts w:asciiTheme="minorHAnsi" w:hAnsiTheme="minorHAnsi" w:cstheme="minorBidi"/>
        </w:rPr>
      </w:pPr>
      <w:r>
        <w:rPr>
          <w:rFonts w:asciiTheme="minorHAnsi" w:hAnsiTheme="minorHAnsi" w:cstheme="minorBidi"/>
        </w:rPr>
        <w:t>Table 9 summarize</w:t>
      </w:r>
      <w:r w:rsidR="00105A42">
        <w:rPr>
          <w:rFonts w:asciiTheme="minorHAnsi" w:hAnsiTheme="minorHAnsi" w:cstheme="minorBidi"/>
        </w:rPr>
        <w:t>s</w:t>
      </w:r>
      <w:r>
        <w:rPr>
          <w:rFonts w:asciiTheme="minorHAnsi" w:hAnsiTheme="minorHAnsi" w:cstheme="minorBidi"/>
        </w:rPr>
        <w:t xml:space="preserve"> the extent to which MassHealth ac</w:t>
      </w:r>
      <w:r w:rsidR="00105A42">
        <w:rPr>
          <w:rFonts w:asciiTheme="minorHAnsi" w:hAnsiTheme="minorHAnsi" w:cstheme="minorBidi"/>
        </w:rPr>
        <w:t>hieved each individual QS goal and objective.</w:t>
      </w:r>
    </w:p>
    <w:p w14:paraId="78D14B81" w14:textId="06977DDC" w:rsidR="00F97FEF" w:rsidRDefault="00F97FEF" w:rsidP="00F97FEF">
      <w:pPr>
        <w:pStyle w:val="Default"/>
        <w:rPr>
          <w:rFonts w:asciiTheme="minorHAnsi" w:hAnsiTheme="minorHAnsi" w:cstheme="minorBidi"/>
          <w:sz w:val="22"/>
          <w:szCs w:val="22"/>
        </w:rPr>
      </w:pPr>
    </w:p>
    <w:p w14:paraId="6D57C1E5" w14:textId="58FBF89C" w:rsidR="00F97FEF" w:rsidRPr="00F72759" w:rsidRDefault="00115DB8" w:rsidP="00F97FEF">
      <w:pPr>
        <w:pStyle w:val="Default"/>
        <w:rPr>
          <w:rFonts w:asciiTheme="minorHAnsi" w:hAnsiTheme="minorHAnsi" w:cstheme="minorHAnsi"/>
          <w:b/>
          <w:bCs/>
          <w:sz w:val="22"/>
          <w:szCs w:val="22"/>
        </w:rPr>
      </w:pPr>
      <w:r w:rsidRPr="002978C9">
        <w:rPr>
          <w:rStyle w:val="SubtleEmphasis"/>
          <w:rFonts w:asciiTheme="minorHAnsi" w:hAnsiTheme="minorHAnsi" w:cstheme="minorHAnsi"/>
          <w:sz w:val="22"/>
          <w:szCs w:val="22"/>
        </w:rPr>
        <w:t xml:space="preserve">Table </w:t>
      </w:r>
      <w:r>
        <w:rPr>
          <w:rStyle w:val="SubtleEmphasis"/>
          <w:rFonts w:asciiTheme="minorHAnsi" w:hAnsiTheme="minorHAnsi" w:cstheme="minorHAnsi"/>
          <w:sz w:val="22"/>
          <w:szCs w:val="22"/>
        </w:rPr>
        <w:t>9</w:t>
      </w:r>
      <w:r w:rsidRPr="002978C9">
        <w:rPr>
          <w:rStyle w:val="SubtleEmphasis"/>
          <w:rFonts w:asciiTheme="minorHAnsi" w:hAnsiTheme="minorHAnsi" w:cstheme="minorHAnsi"/>
          <w:sz w:val="22"/>
          <w:szCs w:val="22"/>
        </w:rPr>
        <w:t>: </w:t>
      </w:r>
      <w:r>
        <w:rPr>
          <w:rStyle w:val="SubtleEmphasis"/>
          <w:rFonts w:asciiTheme="minorHAnsi" w:hAnsiTheme="minorHAnsi" w:cstheme="minorHAnsi"/>
          <w:sz w:val="22"/>
          <w:szCs w:val="22"/>
        </w:rPr>
        <w:t>Performance on Quality Strategy Goals and Objectives</w:t>
      </w:r>
      <w:r>
        <w:rPr>
          <w:rStyle w:val="SubtleEmphasis"/>
        </w:rPr>
        <w:t xml:space="preserve"> </w:t>
      </w:r>
    </w:p>
    <w:tbl>
      <w:tblPr>
        <w:tblStyle w:val="TableGrid"/>
        <w:tblW w:w="0" w:type="auto"/>
        <w:tblLook w:val="04A0" w:firstRow="1" w:lastRow="0" w:firstColumn="1" w:lastColumn="0" w:noHBand="0" w:noVBand="1"/>
      </w:tblPr>
      <w:tblGrid>
        <w:gridCol w:w="4315"/>
        <w:gridCol w:w="2257"/>
        <w:gridCol w:w="2778"/>
      </w:tblGrid>
      <w:tr w:rsidR="00F97FEF" w14:paraId="1A6FBEDC" w14:textId="77777777" w:rsidTr="00F97FEF">
        <w:trPr>
          <w:tblHeader/>
        </w:trPr>
        <w:tc>
          <w:tcPr>
            <w:tcW w:w="4315" w:type="dxa"/>
            <w:shd w:val="clear" w:color="auto" w:fill="auto"/>
          </w:tcPr>
          <w:p w14:paraId="5AB650A5" w14:textId="34E0C554" w:rsidR="00F97FEF" w:rsidRPr="008B1613" w:rsidRDefault="00F97FEF" w:rsidP="00F97FEF">
            <w:pPr>
              <w:jc w:val="center"/>
              <w:rPr>
                <w:b/>
                <w:bCs/>
              </w:rPr>
            </w:pPr>
            <w:r w:rsidRPr="008B1613">
              <w:rPr>
                <w:b/>
                <w:bCs/>
              </w:rPr>
              <w:t>Objectives</w:t>
            </w:r>
          </w:p>
        </w:tc>
        <w:tc>
          <w:tcPr>
            <w:tcW w:w="2257" w:type="dxa"/>
            <w:shd w:val="clear" w:color="auto" w:fill="auto"/>
          </w:tcPr>
          <w:p w14:paraId="1F40BDDC" w14:textId="77777777" w:rsidR="00F97FEF" w:rsidRPr="008B1613" w:rsidRDefault="00F97FEF" w:rsidP="00F97FEF">
            <w:pPr>
              <w:jc w:val="center"/>
              <w:rPr>
                <w:b/>
                <w:bCs/>
              </w:rPr>
            </w:pPr>
            <w:r w:rsidRPr="008B1613">
              <w:rPr>
                <w:b/>
                <w:bCs/>
              </w:rPr>
              <w:t xml:space="preserve">Number of Measures Improved </w:t>
            </w:r>
          </w:p>
        </w:tc>
        <w:tc>
          <w:tcPr>
            <w:tcW w:w="2778" w:type="dxa"/>
          </w:tcPr>
          <w:p w14:paraId="11C05453" w14:textId="3F548956" w:rsidR="00F97FEF" w:rsidRPr="008B1613" w:rsidRDefault="00136DF6" w:rsidP="00F97FEF">
            <w:pPr>
              <w:jc w:val="center"/>
              <w:rPr>
                <w:b/>
                <w:bCs/>
              </w:rPr>
            </w:pPr>
            <w:r w:rsidRPr="008B1613">
              <w:rPr>
                <w:b/>
                <w:bCs/>
              </w:rPr>
              <w:t>Scoring Designation</w:t>
            </w:r>
          </w:p>
        </w:tc>
      </w:tr>
    </w:tbl>
    <w:p w14:paraId="7774BBAC" w14:textId="77777777" w:rsidR="00DD06D6" w:rsidRDefault="00DD06D6" w:rsidP="00DD06D6">
      <w:r w:rsidRPr="00BC2F64">
        <w:rPr>
          <w:b/>
          <w:bCs/>
        </w:rPr>
        <w:t>Goal 1</w:t>
      </w:r>
      <w:r>
        <w:t xml:space="preserve">: </w:t>
      </w:r>
      <w:r w:rsidRPr="00531515">
        <w:rPr>
          <w:rFonts w:eastAsia="Times New Roman" w:cs="Calibri"/>
          <w:sz w:val="20"/>
          <w:szCs w:val="20"/>
        </w:rPr>
        <w:t>Promote safe and high-quality care for MassHealth members</w:t>
      </w:r>
    </w:p>
    <w:p w14:paraId="3CB2BA6A" w14:textId="5450ADD1" w:rsidR="00DD06D6" w:rsidRDefault="00DD06D6" w:rsidP="00DD06D6">
      <w:r w:rsidRPr="00BC2F64">
        <w:rPr>
          <w:b/>
          <w:bCs/>
        </w:rPr>
        <w:t>Designation</w:t>
      </w:r>
      <w:r>
        <w:t xml:space="preserve">: </w:t>
      </w:r>
      <w:r w:rsidRPr="00BC2F64">
        <w:rPr>
          <w:sz w:val="20"/>
          <w:szCs w:val="20"/>
        </w:rPr>
        <w:t>Achieved</w:t>
      </w:r>
    </w:p>
    <w:tbl>
      <w:tblPr>
        <w:tblStyle w:val="TableGrid"/>
        <w:tblW w:w="0" w:type="auto"/>
        <w:tblLook w:val="04A0" w:firstRow="1" w:lastRow="0" w:firstColumn="1" w:lastColumn="0" w:noHBand="0" w:noVBand="1"/>
      </w:tblPr>
      <w:tblGrid>
        <w:gridCol w:w="4315"/>
        <w:gridCol w:w="2257"/>
        <w:gridCol w:w="2778"/>
      </w:tblGrid>
      <w:tr w:rsidR="00F97FEF" w14:paraId="784F02C6" w14:textId="77777777" w:rsidTr="00F97FEF">
        <w:tc>
          <w:tcPr>
            <w:tcW w:w="4315" w:type="dxa"/>
          </w:tcPr>
          <w:p w14:paraId="0552BC88" w14:textId="77777777" w:rsidR="00F97FEF" w:rsidRDefault="00F97FEF">
            <w:r>
              <w:t xml:space="preserve">Objective 1: </w:t>
            </w:r>
            <w:r w:rsidRPr="00A12DD3">
              <w:rPr>
                <w:rFonts w:eastAsia="Times New Roman" w:cs="Calibri"/>
                <w:sz w:val="20"/>
                <w:szCs w:val="20"/>
              </w:rPr>
              <w:t xml:space="preserve">Focus on timely preventative, primary care services with access to integrated care and community-based services and supports  </w:t>
            </w:r>
          </w:p>
        </w:tc>
        <w:tc>
          <w:tcPr>
            <w:tcW w:w="2257" w:type="dxa"/>
          </w:tcPr>
          <w:p w14:paraId="5217660D" w14:textId="77777777" w:rsidR="00F97FEF" w:rsidRDefault="00F97FEF" w:rsidP="00F97FEF">
            <w:pPr>
              <w:jc w:val="center"/>
            </w:pPr>
            <w:r>
              <w:t>7/8</w:t>
            </w:r>
          </w:p>
        </w:tc>
        <w:tc>
          <w:tcPr>
            <w:tcW w:w="2778" w:type="dxa"/>
          </w:tcPr>
          <w:p w14:paraId="66B2E6D9" w14:textId="3B6F67CE" w:rsidR="00F97FEF" w:rsidRDefault="00F97FEF" w:rsidP="00136DF6">
            <w:pPr>
              <w:jc w:val="center"/>
            </w:pPr>
            <w:r>
              <w:t>Achieved</w:t>
            </w:r>
          </w:p>
        </w:tc>
      </w:tr>
      <w:tr w:rsidR="00F97FEF" w14:paraId="371B52DD" w14:textId="77777777" w:rsidTr="00F97FEF">
        <w:tc>
          <w:tcPr>
            <w:tcW w:w="4315" w:type="dxa"/>
          </w:tcPr>
          <w:p w14:paraId="0A2A4E02" w14:textId="77777777" w:rsidR="00F97FEF" w:rsidRDefault="00F97FEF">
            <w:r>
              <w:t xml:space="preserve">Objective 2: </w:t>
            </w:r>
            <w:r w:rsidRPr="00A12DD3">
              <w:rPr>
                <w:rFonts w:eastAsia="Times New Roman" w:cs="Calibri"/>
                <w:sz w:val="20"/>
                <w:szCs w:val="20"/>
              </w:rPr>
              <w:t xml:space="preserve">Promote effective prevention and treatment to address acute </w:t>
            </w:r>
            <w:r>
              <w:rPr>
                <w:rFonts w:eastAsia="Times New Roman" w:cs="Calibri"/>
                <w:sz w:val="20"/>
                <w:szCs w:val="20"/>
              </w:rPr>
              <w:t>and</w:t>
            </w:r>
            <w:r w:rsidRPr="00A12DD3">
              <w:rPr>
                <w:rFonts w:eastAsia="Times New Roman" w:cs="Calibri"/>
                <w:sz w:val="20"/>
                <w:szCs w:val="20"/>
              </w:rPr>
              <w:t xml:space="preserve"> chronic conditions in at-risk populations</w:t>
            </w:r>
          </w:p>
        </w:tc>
        <w:tc>
          <w:tcPr>
            <w:tcW w:w="2257" w:type="dxa"/>
          </w:tcPr>
          <w:p w14:paraId="13FF61BF" w14:textId="77777777" w:rsidR="00F97FEF" w:rsidRDefault="00F97FEF" w:rsidP="00F97FEF">
            <w:pPr>
              <w:jc w:val="center"/>
            </w:pPr>
            <w:r>
              <w:t>6/7</w:t>
            </w:r>
          </w:p>
        </w:tc>
        <w:tc>
          <w:tcPr>
            <w:tcW w:w="2778" w:type="dxa"/>
          </w:tcPr>
          <w:p w14:paraId="475586A5" w14:textId="3BEE1B95" w:rsidR="00F97FEF" w:rsidRDefault="00F97FEF" w:rsidP="00136DF6">
            <w:pPr>
              <w:jc w:val="center"/>
            </w:pPr>
            <w:r w:rsidRPr="003B7B78">
              <w:t>Achieved</w:t>
            </w:r>
          </w:p>
        </w:tc>
      </w:tr>
      <w:tr w:rsidR="00F97FEF" w14:paraId="594C4B1C" w14:textId="77777777" w:rsidTr="00F97FEF">
        <w:tc>
          <w:tcPr>
            <w:tcW w:w="4315" w:type="dxa"/>
          </w:tcPr>
          <w:p w14:paraId="2E46C9D8" w14:textId="77777777" w:rsidR="00F97FEF" w:rsidRDefault="00F97FEF">
            <w:r>
              <w:t xml:space="preserve">Objective 3: </w:t>
            </w:r>
            <w:r w:rsidRPr="00A12DD3">
              <w:rPr>
                <w:rFonts w:eastAsia="Times New Roman" w:cs="Calibri"/>
                <w:sz w:val="20"/>
                <w:szCs w:val="20"/>
              </w:rPr>
              <w:t>Strengthen access, accommodations</w:t>
            </w:r>
            <w:r>
              <w:rPr>
                <w:rFonts w:eastAsia="Times New Roman" w:cs="Calibri"/>
                <w:sz w:val="20"/>
                <w:szCs w:val="20"/>
              </w:rPr>
              <w:t>,</w:t>
            </w:r>
            <w:r w:rsidRPr="00A12DD3">
              <w:rPr>
                <w:rFonts w:eastAsia="Times New Roman" w:cs="Calibri"/>
                <w:sz w:val="20"/>
                <w:szCs w:val="20"/>
              </w:rPr>
              <w:t xml:space="preserve"> and experience for members with disabilities, including enhanced identification and screening, and improvements to coordinated care</w:t>
            </w:r>
          </w:p>
        </w:tc>
        <w:tc>
          <w:tcPr>
            <w:tcW w:w="2257" w:type="dxa"/>
          </w:tcPr>
          <w:p w14:paraId="6CBA29F9" w14:textId="7DB8E95E" w:rsidR="00F97FEF" w:rsidRDefault="00F97FEF" w:rsidP="00F97FEF">
            <w:pPr>
              <w:jc w:val="center"/>
            </w:pPr>
            <w:r>
              <w:t>3/5</w:t>
            </w:r>
          </w:p>
        </w:tc>
        <w:tc>
          <w:tcPr>
            <w:tcW w:w="2778" w:type="dxa"/>
          </w:tcPr>
          <w:p w14:paraId="3CE932BD" w14:textId="38A5037D" w:rsidR="00F97FEF" w:rsidRDefault="00F97FEF" w:rsidP="00136DF6">
            <w:pPr>
              <w:jc w:val="center"/>
            </w:pPr>
            <w:r w:rsidRPr="003B7B78">
              <w:t>Achieved</w:t>
            </w:r>
          </w:p>
        </w:tc>
      </w:tr>
    </w:tbl>
    <w:p w14:paraId="570DFA84" w14:textId="77777777" w:rsidR="00DD06D6" w:rsidRDefault="00DD06D6" w:rsidP="00DD06D6">
      <w:r w:rsidRPr="00BC2F64">
        <w:rPr>
          <w:b/>
          <w:bCs/>
        </w:rPr>
        <w:t>Goal 2</w:t>
      </w:r>
      <w:r>
        <w:t xml:space="preserve">: </w:t>
      </w:r>
      <w:r w:rsidRPr="00441233">
        <w:rPr>
          <w:rFonts w:eastAsia="Times New Roman" w:cs="Calibri"/>
          <w:sz w:val="20"/>
          <w:szCs w:val="20"/>
        </w:rPr>
        <w:t>Achieve measurable reductions in health and health care quality inequities related to race, ethnicity, language, disability, sexual orientation, gender identity, and other social risk factors that MassHealth members experience</w:t>
      </w:r>
    </w:p>
    <w:p w14:paraId="19426A1E" w14:textId="4E5086D3" w:rsidR="00DD06D6" w:rsidRDefault="00DD06D6" w:rsidP="00DD06D6">
      <w:r w:rsidRPr="00BC2F64">
        <w:rPr>
          <w:b/>
          <w:bCs/>
        </w:rPr>
        <w:t>Designation</w:t>
      </w:r>
      <w:r>
        <w:t xml:space="preserve">: </w:t>
      </w:r>
      <w:r w:rsidRPr="00BC2F64">
        <w:rPr>
          <w:sz w:val="20"/>
          <w:szCs w:val="20"/>
        </w:rPr>
        <w:t>Making progress</w:t>
      </w:r>
    </w:p>
    <w:tbl>
      <w:tblPr>
        <w:tblStyle w:val="TableGrid"/>
        <w:tblW w:w="0" w:type="auto"/>
        <w:tblLook w:val="04A0" w:firstRow="1" w:lastRow="0" w:firstColumn="1" w:lastColumn="0" w:noHBand="0" w:noVBand="1"/>
      </w:tblPr>
      <w:tblGrid>
        <w:gridCol w:w="4315"/>
        <w:gridCol w:w="2257"/>
        <w:gridCol w:w="2778"/>
      </w:tblGrid>
      <w:tr w:rsidR="00F97FEF" w14:paraId="6A961998" w14:textId="77777777" w:rsidTr="00F97FEF">
        <w:tc>
          <w:tcPr>
            <w:tcW w:w="4315" w:type="dxa"/>
          </w:tcPr>
          <w:p w14:paraId="5EF48D1C" w14:textId="77777777" w:rsidR="00F97FEF" w:rsidRDefault="00F97FEF">
            <w:r>
              <w:lastRenderedPageBreak/>
              <w:t xml:space="preserve">Objective 1: </w:t>
            </w:r>
            <w:r>
              <w:rPr>
                <w:rFonts w:eastAsia="Times New Roman" w:cs="Calibri"/>
                <w:sz w:val="20"/>
                <w:szCs w:val="20"/>
              </w:rPr>
              <w:t>I</w:t>
            </w:r>
            <w:r w:rsidRPr="009C43D9">
              <w:rPr>
                <w:rFonts w:eastAsia="Times New Roman" w:cs="Calibri"/>
                <w:sz w:val="20"/>
                <w:szCs w:val="20"/>
              </w:rPr>
              <w:t xml:space="preserve">mprove </w:t>
            </w:r>
            <w:r>
              <w:rPr>
                <w:rFonts w:eastAsia="Times New Roman" w:cs="Calibri"/>
                <w:sz w:val="20"/>
                <w:szCs w:val="20"/>
              </w:rPr>
              <w:t xml:space="preserve">data </w:t>
            </w:r>
            <w:r w:rsidRPr="009C43D9">
              <w:rPr>
                <w:rFonts w:eastAsia="Times New Roman" w:cs="Calibri"/>
                <w:sz w:val="20"/>
                <w:szCs w:val="20"/>
              </w:rPr>
              <w:t>collection</w:t>
            </w:r>
            <w:r>
              <w:rPr>
                <w:rFonts w:eastAsia="Times New Roman" w:cs="Calibri"/>
                <w:sz w:val="20"/>
                <w:szCs w:val="20"/>
              </w:rPr>
              <w:t xml:space="preserve"> and </w:t>
            </w:r>
            <w:r w:rsidRPr="009C43D9">
              <w:rPr>
                <w:rFonts w:eastAsia="Times New Roman" w:cs="Calibri"/>
                <w:sz w:val="20"/>
                <w:szCs w:val="20"/>
              </w:rPr>
              <w:t xml:space="preserve">completeness of </w:t>
            </w:r>
            <w:r>
              <w:rPr>
                <w:rFonts w:eastAsia="Times New Roman" w:cs="Calibri"/>
                <w:sz w:val="20"/>
                <w:szCs w:val="20"/>
              </w:rPr>
              <w:t xml:space="preserve">social risk factors (SRF), which include </w:t>
            </w:r>
            <w:r w:rsidRPr="009C43D9">
              <w:rPr>
                <w:rFonts w:eastAsia="Times New Roman" w:cs="Calibri"/>
                <w:sz w:val="20"/>
                <w:szCs w:val="20"/>
              </w:rPr>
              <w:t xml:space="preserve">race, ethnicity, language, disability (RELD) </w:t>
            </w:r>
            <w:r>
              <w:rPr>
                <w:rFonts w:eastAsia="Times New Roman" w:cs="Calibri"/>
                <w:sz w:val="20"/>
                <w:szCs w:val="20"/>
              </w:rPr>
              <w:t xml:space="preserve">and sexual orientation and gender identity (SOGI) </w:t>
            </w:r>
            <w:r w:rsidRPr="009C43D9">
              <w:rPr>
                <w:rFonts w:eastAsia="Times New Roman" w:cs="Calibri"/>
                <w:sz w:val="20"/>
                <w:szCs w:val="20"/>
              </w:rPr>
              <w:t>data</w:t>
            </w:r>
          </w:p>
        </w:tc>
        <w:tc>
          <w:tcPr>
            <w:tcW w:w="2257" w:type="dxa"/>
          </w:tcPr>
          <w:p w14:paraId="66D64FB9" w14:textId="77777777" w:rsidR="00F97FEF" w:rsidRDefault="00F97FEF" w:rsidP="00F97FEF">
            <w:pPr>
              <w:jc w:val="center"/>
            </w:pPr>
            <w:r>
              <w:t>Narrative</w:t>
            </w:r>
          </w:p>
        </w:tc>
        <w:tc>
          <w:tcPr>
            <w:tcW w:w="2778" w:type="dxa"/>
          </w:tcPr>
          <w:p w14:paraId="46BD6345" w14:textId="2D839C84" w:rsidR="00F97FEF" w:rsidRDefault="00F97FEF" w:rsidP="00136DF6">
            <w:pPr>
              <w:jc w:val="center"/>
            </w:pPr>
            <w:r w:rsidRPr="00440372">
              <w:t xml:space="preserve">Making </w:t>
            </w:r>
            <w:r>
              <w:t>Progress</w:t>
            </w:r>
          </w:p>
        </w:tc>
      </w:tr>
      <w:tr w:rsidR="00F97FEF" w14:paraId="4DF88BA0" w14:textId="77777777" w:rsidTr="00F97FEF">
        <w:tc>
          <w:tcPr>
            <w:tcW w:w="4315" w:type="dxa"/>
          </w:tcPr>
          <w:p w14:paraId="1B60B9A8" w14:textId="77777777" w:rsidR="00F97FEF" w:rsidRDefault="00F97FEF">
            <w:r>
              <w:t xml:space="preserve">Objective 2: </w:t>
            </w:r>
            <w:r>
              <w:rPr>
                <w:rFonts w:eastAsia="Times New Roman" w:cs="Calibri"/>
                <w:sz w:val="20"/>
                <w:szCs w:val="20"/>
              </w:rPr>
              <w:t>A</w:t>
            </w:r>
            <w:r w:rsidRPr="00480D97">
              <w:rPr>
                <w:rFonts w:eastAsia="Times New Roman" w:cs="Calibri"/>
                <w:sz w:val="20"/>
                <w:szCs w:val="20"/>
              </w:rPr>
              <w:t xml:space="preserve">ssess and prioritize opportunities to </w:t>
            </w:r>
            <w:r>
              <w:rPr>
                <w:rFonts w:eastAsia="Times New Roman" w:cs="Calibri"/>
                <w:sz w:val="20"/>
                <w:szCs w:val="20"/>
              </w:rPr>
              <w:t>reduce</w:t>
            </w:r>
            <w:r w:rsidRPr="00480D97">
              <w:rPr>
                <w:rFonts w:eastAsia="Times New Roman" w:cs="Calibri"/>
                <w:sz w:val="20"/>
                <w:szCs w:val="20"/>
              </w:rPr>
              <w:t xml:space="preserve"> health disparities through stratification</w:t>
            </w:r>
            <w:r>
              <w:rPr>
                <w:rFonts w:eastAsia="Times New Roman" w:cs="Calibri"/>
                <w:sz w:val="20"/>
                <w:szCs w:val="20"/>
              </w:rPr>
              <w:t xml:space="preserve"> of quality measures</w:t>
            </w:r>
            <w:r w:rsidRPr="00480D97">
              <w:rPr>
                <w:rFonts w:eastAsia="Times New Roman" w:cs="Calibri"/>
                <w:sz w:val="20"/>
                <w:szCs w:val="20"/>
              </w:rPr>
              <w:t xml:space="preserve"> by </w:t>
            </w:r>
            <w:r>
              <w:rPr>
                <w:rFonts w:eastAsia="Times New Roman" w:cs="Calibri"/>
                <w:sz w:val="20"/>
                <w:szCs w:val="20"/>
              </w:rPr>
              <w:t>SRFs, and assessment of member health-related social needs</w:t>
            </w:r>
          </w:p>
        </w:tc>
        <w:tc>
          <w:tcPr>
            <w:tcW w:w="2257" w:type="dxa"/>
          </w:tcPr>
          <w:p w14:paraId="68BF28E9" w14:textId="77777777" w:rsidR="00F97FEF" w:rsidRDefault="00F97FEF" w:rsidP="00F97FEF">
            <w:pPr>
              <w:jc w:val="center"/>
            </w:pPr>
            <w:r>
              <w:t>Narrative</w:t>
            </w:r>
          </w:p>
        </w:tc>
        <w:tc>
          <w:tcPr>
            <w:tcW w:w="2778" w:type="dxa"/>
          </w:tcPr>
          <w:p w14:paraId="08916C68" w14:textId="4D3B9721" w:rsidR="00F97FEF" w:rsidRDefault="00F97FEF" w:rsidP="00136DF6">
            <w:pPr>
              <w:jc w:val="center"/>
            </w:pPr>
            <w:r w:rsidRPr="00440372">
              <w:t xml:space="preserve">Making </w:t>
            </w:r>
            <w:r>
              <w:t>Progress</w:t>
            </w:r>
          </w:p>
        </w:tc>
      </w:tr>
      <w:tr w:rsidR="00F97FEF" w14:paraId="727E29F1" w14:textId="77777777" w:rsidTr="00F97FEF">
        <w:tc>
          <w:tcPr>
            <w:tcW w:w="4315" w:type="dxa"/>
          </w:tcPr>
          <w:p w14:paraId="53115BA8" w14:textId="77777777" w:rsidR="00F97FEF" w:rsidRDefault="00F97FEF">
            <w:r>
              <w:t xml:space="preserve">Objective 3: </w:t>
            </w:r>
            <w:r>
              <w:rPr>
                <w:rFonts w:eastAsia="Times New Roman" w:cs="Calibri"/>
                <w:sz w:val="20"/>
                <w:szCs w:val="20"/>
              </w:rPr>
              <w:t>Implement</w:t>
            </w:r>
            <w:r w:rsidRPr="00A310C2">
              <w:rPr>
                <w:rFonts w:eastAsia="Times New Roman" w:cs="Calibri"/>
                <w:sz w:val="20"/>
                <w:szCs w:val="20"/>
              </w:rPr>
              <w:t xml:space="preserve"> </w:t>
            </w:r>
            <w:r>
              <w:rPr>
                <w:rFonts w:eastAsia="Times New Roman" w:cs="Calibri"/>
                <w:sz w:val="20"/>
                <w:szCs w:val="20"/>
              </w:rPr>
              <w:t xml:space="preserve">strategies to </w:t>
            </w:r>
            <w:r w:rsidRPr="00A310C2">
              <w:rPr>
                <w:rFonts w:eastAsia="Times New Roman" w:cs="Calibri"/>
                <w:sz w:val="20"/>
                <w:szCs w:val="20"/>
              </w:rPr>
              <w:t xml:space="preserve">address </w:t>
            </w:r>
            <w:r>
              <w:rPr>
                <w:rFonts w:eastAsia="Times New Roman" w:cs="Calibri"/>
                <w:sz w:val="20"/>
                <w:szCs w:val="20"/>
              </w:rPr>
              <w:t xml:space="preserve">disparities for at-risk populations </w:t>
            </w:r>
            <w:r w:rsidRPr="00A310C2">
              <w:rPr>
                <w:rFonts w:eastAsia="Times New Roman" w:cs="Calibri"/>
                <w:sz w:val="20"/>
                <w:szCs w:val="20"/>
              </w:rPr>
              <w:t>including m</w:t>
            </w:r>
            <w:r>
              <w:rPr>
                <w:rFonts w:eastAsia="Times New Roman" w:cs="Calibri"/>
                <w:sz w:val="20"/>
                <w:szCs w:val="20"/>
              </w:rPr>
              <w:t xml:space="preserve">others and newborns, </w:t>
            </w:r>
            <w:r w:rsidRPr="00A310C2">
              <w:rPr>
                <w:rFonts w:eastAsia="Times New Roman" w:cs="Calibri"/>
                <w:sz w:val="20"/>
                <w:szCs w:val="20"/>
              </w:rPr>
              <w:t>justice-involved individuals</w:t>
            </w:r>
            <w:r>
              <w:rPr>
                <w:rFonts w:eastAsia="Times New Roman" w:cs="Calibri"/>
                <w:sz w:val="20"/>
                <w:szCs w:val="20"/>
              </w:rPr>
              <w:t>, and members with disabilities</w:t>
            </w:r>
          </w:p>
        </w:tc>
        <w:tc>
          <w:tcPr>
            <w:tcW w:w="2257" w:type="dxa"/>
          </w:tcPr>
          <w:p w14:paraId="5BF61066" w14:textId="77777777" w:rsidR="00F97FEF" w:rsidRDefault="00F97FEF" w:rsidP="00F97FEF">
            <w:pPr>
              <w:jc w:val="center"/>
            </w:pPr>
            <w:r>
              <w:t>Narrative</w:t>
            </w:r>
          </w:p>
        </w:tc>
        <w:tc>
          <w:tcPr>
            <w:tcW w:w="2778" w:type="dxa"/>
          </w:tcPr>
          <w:p w14:paraId="09E00721" w14:textId="1FE71E78" w:rsidR="00F97FEF" w:rsidRDefault="00F97FEF" w:rsidP="00136DF6">
            <w:pPr>
              <w:jc w:val="center"/>
            </w:pPr>
            <w:r w:rsidRPr="00440372">
              <w:t xml:space="preserve">Making </w:t>
            </w:r>
            <w:r>
              <w:t>Progress</w:t>
            </w:r>
          </w:p>
        </w:tc>
      </w:tr>
    </w:tbl>
    <w:p w14:paraId="15A9D02E" w14:textId="77777777" w:rsidR="00DD06D6" w:rsidRDefault="00DD06D6" w:rsidP="00DD06D6">
      <w:r w:rsidRPr="00BC2F64">
        <w:rPr>
          <w:b/>
          <w:bCs/>
        </w:rPr>
        <w:t>Goal 3</w:t>
      </w:r>
      <w:r>
        <w:t xml:space="preserve">: </w:t>
      </w:r>
      <w:r w:rsidRPr="00B86F9F">
        <w:rPr>
          <w:rFonts w:eastAsia="Times New Roman" w:cs="Calibri"/>
          <w:sz w:val="20"/>
          <w:szCs w:val="20"/>
        </w:rPr>
        <w:t xml:space="preserve">Ensure value-based care for our members by holding providers accountable for cost and </w:t>
      </w:r>
      <w:r>
        <w:rPr>
          <w:rFonts w:eastAsia="Times New Roman" w:cs="Calibri"/>
          <w:sz w:val="20"/>
          <w:szCs w:val="20"/>
        </w:rPr>
        <w:t xml:space="preserve">high </w:t>
      </w:r>
      <w:r w:rsidRPr="00B86F9F">
        <w:rPr>
          <w:rFonts w:eastAsia="Times New Roman" w:cs="Calibri"/>
          <w:sz w:val="20"/>
          <w:szCs w:val="20"/>
        </w:rPr>
        <w:t>quality of patient-centered, equitable care</w:t>
      </w:r>
    </w:p>
    <w:p w14:paraId="615BAD59" w14:textId="2EA4318E" w:rsidR="00DD06D6" w:rsidRDefault="00DD06D6" w:rsidP="00DD06D6">
      <w:r w:rsidRPr="00BC2F64">
        <w:rPr>
          <w:b/>
          <w:bCs/>
        </w:rPr>
        <w:t>Designation</w:t>
      </w:r>
      <w:r w:rsidRPr="00BC2F64">
        <w:rPr>
          <w:sz w:val="20"/>
          <w:szCs w:val="20"/>
        </w:rPr>
        <w:t>: Making progress</w:t>
      </w:r>
    </w:p>
    <w:tbl>
      <w:tblPr>
        <w:tblStyle w:val="TableGrid"/>
        <w:tblW w:w="0" w:type="auto"/>
        <w:tblLook w:val="04A0" w:firstRow="1" w:lastRow="0" w:firstColumn="1" w:lastColumn="0" w:noHBand="0" w:noVBand="1"/>
      </w:tblPr>
      <w:tblGrid>
        <w:gridCol w:w="4315"/>
        <w:gridCol w:w="2257"/>
        <w:gridCol w:w="2778"/>
      </w:tblGrid>
      <w:tr w:rsidR="00F97FEF" w14:paraId="14D9FBCF" w14:textId="77777777" w:rsidTr="00F97FEF">
        <w:tc>
          <w:tcPr>
            <w:tcW w:w="4315" w:type="dxa"/>
          </w:tcPr>
          <w:p w14:paraId="7ED9D981" w14:textId="77777777" w:rsidR="00F97FEF" w:rsidRDefault="00F97FEF">
            <w:r>
              <w:t xml:space="preserve">Objective 1: </w:t>
            </w:r>
            <w:r>
              <w:rPr>
                <w:rFonts w:eastAsia="Times New Roman" w:cs="Calibri"/>
                <w:sz w:val="20"/>
                <w:szCs w:val="20"/>
              </w:rPr>
              <w:t>Advance design of value-based care focused on primary care provider participation, behavioral health access, and integration and coordination of care</w:t>
            </w:r>
          </w:p>
        </w:tc>
        <w:tc>
          <w:tcPr>
            <w:tcW w:w="2257" w:type="dxa"/>
          </w:tcPr>
          <w:p w14:paraId="067A3469" w14:textId="77777777" w:rsidR="00F97FEF" w:rsidRDefault="00F97FEF" w:rsidP="00F97FEF">
            <w:pPr>
              <w:jc w:val="center"/>
            </w:pPr>
            <w:r>
              <w:t>4/7</w:t>
            </w:r>
          </w:p>
        </w:tc>
        <w:tc>
          <w:tcPr>
            <w:tcW w:w="2778" w:type="dxa"/>
          </w:tcPr>
          <w:p w14:paraId="19394E14" w14:textId="77777777" w:rsidR="00F97FEF" w:rsidRDefault="00F97FEF" w:rsidP="00136DF6">
            <w:pPr>
              <w:jc w:val="center"/>
            </w:pPr>
            <w:r>
              <w:t>Achieved</w:t>
            </w:r>
          </w:p>
          <w:p w14:paraId="46751601" w14:textId="29257EB6" w:rsidR="00F97FEF" w:rsidRDefault="00F97FEF"/>
        </w:tc>
      </w:tr>
      <w:tr w:rsidR="00F97FEF" w14:paraId="47F8D758" w14:textId="77777777" w:rsidTr="00F97FEF">
        <w:tc>
          <w:tcPr>
            <w:tcW w:w="4315" w:type="dxa"/>
          </w:tcPr>
          <w:p w14:paraId="099DE6B4" w14:textId="77777777" w:rsidR="00F97FEF" w:rsidRDefault="00F97FEF">
            <w:r>
              <w:t xml:space="preserve">Objective 2: </w:t>
            </w:r>
            <w:r>
              <w:rPr>
                <w:rFonts w:eastAsia="Times New Roman" w:cs="Calibri"/>
                <w:sz w:val="20"/>
                <w:szCs w:val="20"/>
              </w:rPr>
              <w:t xml:space="preserve">Develop </w:t>
            </w:r>
            <w:r w:rsidRPr="00557433">
              <w:rPr>
                <w:rFonts w:eastAsia="Times New Roman" w:cs="Calibri"/>
                <w:sz w:val="20"/>
                <w:szCs w:val="20"/>
              </w:rPr>
              <w:t>accountab</w:t>
            </w:r>
            <w:r>
              <w:rPr>
                <w:rFonts w:eastAsia="Times New Roman" w:cs="Calibri"/>
                <w:sz w:val="20"/>
                <w:szCs w:val="20"/>
              </w:rPr>
              <w:t>ility and performance expectations</w:t>
            </w:r>
            <w:r w:rsidRPr="00557433">
              <w:rPr>
                <w:rFonts w:eastAsia="Times New Roman" w:cs="Calibri"/>
                <w:sz w:val="20"/>
                <w:szCs w:val="20"/>
              </w:rPr>
              <w:t xml:space="preserve"> for measuring and closing </w:t>
            </w:r>
            <w:r>
              <w:rPr>
                <w:rFonts w:eastAsia="Times New Roman" w:cs="Calibri"/>
                <w:sz w:val="20"/>
                <w:szCs w:val="20"/>
              </w:rPr>
              <w:t xml:space="preserve">significant gaps </w:t>
            </w:r>
            <w:proofErr w:type="gramStart"/>
            <w:r>
              <w:rPr>
                <w:rFonts w:eastAsia="Times New Roman" w:cs="Calibri"/>
                <w:sz w:val="20"/>
                <w:szCs w:val="20"/>
              </w:rPr>
              <w:t>on</w:t>
            </w:r>
            <w:proofErr w:type="gramEnd"/>
            <w:r>
              <w:rPr>
                <w:rFonts w:eastAsia="Times New Roman" w:cs="Calibri"/>
                <w:sz w:val="20"/>
                <w:szCs w:val="20"/>
              </w:rPr>
              <w:t xml:space="preserve"> </w:t>
            </w:r>
            <w:r w:rsidRPr="00557433">
              <w:rPr>
                <w:rFonts w:eastAsia="Times New Roman" w:cs="Calibri"/>
                <w:sz w:val="20"/>
                <w:szCs w:val="20"/>
              </w:rPr>
              <w:t>health disparities</w:t>
            </w:r>
          </w:p>
        </w:tc>
        <w:tc>
          <w:tcPr>
            <w:tcW w:w="2257" w:type="dxa"/>
          </w:tcPr>
          <w:p w14:paraId="09A84B34" w14:textId="77777777" w:rsidR="00F97FEF" w:rsidRDefault="00F97FEF" w:rsidP="00F97FEF">
            <w:pPr>
              <w:jc w:val="center"/>
            </w:pPr>
            <w:r>
              <w:t>Narrative</w:t>
            </w:r>
          </w:p>
        </w:tc>
        <w:tc>
          <w:tcPr>
            <w:tcW w:w="2778" w:type="dxa"/>
          </w:tcPr>
          <w:p w14:paraId="1859CC21" w14:textId="1E7AD71F" w:rsidR="00F97FEF" w:rsidRDefault="00F97FEF" w:rsidP="008B1613">
            <w:pPr>
              <w:jc w:val="center"/>
            </w:pPr>
            <w:r>
              <w:t>Making Progress</w:t>
            </w:r>
          </w:p>
        </w:tc>
      </w:tr>
      <w:tr w:rsidR="00F97FEF" w14:paraId="1A16C999" w14:textId="77777777" w:rsidTr="00F97FEF">
        <w:tc>
          <w:tcPr>
            <w:tcW w:w="4315" w:type="dxa"/>
          </w:tcPr>
          <w:p w14:paraId="306A1E24" w14:textId="77777777" w:rsidR="00F97FEF" w:rsidRDefault="00F97FEF">
            <w:r>
              <w:t xml:space="preserve">Objective 3: </w:t>
            </w:r>
            <w:r w:rsidRPr="009C43D9">
              <w:rPr>
                <w:rFonts w:eastAsia="Times New Roman" w:cs="Calibri"/>
                <w:sz w:val="20"/>
                <w:szCs w:val="20"/>
              </w:rPr>
              <w:t>Align or integrate other population, provider, or facility-based programs (e.</w:t>
            </w:r>
            <w:r>
              <w:rPr>
                <w:rFonts w:eastAsia="Times New Roman" w:cs="Calibri"/>
                <w:sz w:val="20"/>
                <w:szCs w:val="20"/>
              </w:rPr>
              <w:t>g.</w:t>
            </w:r>
            <w:r w:rsidRPr="009C43D9">
              <w:rPr>
                <w:rFonts w:eastAsia="Times New Roman" w:cs="Calibri"/>
                <w:sz w:val="20"/>
                <w:szCs w:val="20"/>
              </w:rPr>
              <w:t>, hospital, integrated care programs)</w:t>
            </w:r>
          </w:p>
        </w:tc>
        <w:tc>
          <w:tcPr>
            <w:tcW w:w="2257" w:type="dxa"/>
          </w:tcPr>
          <w:p w14:paraId="72131661" w14:textId="77777777" w:rsidR="00F97FEF" w:rsidRDefault="00F97FEF" w:rsidP="00F97FEF">
            <w:pPr>
              <w:jc w:val="center"/>
            </w:pPr>
            <w:r>
              <w:t>Narrative</w:t>
            </w:r>
          </w:p>
        </w:tc>
        <w:tc>
          <w:tcPr>
            <w:tcW w:w="2778" w:type="dxa"/>
          </w:tcPr>
          <w:p w14:paraId="614E7621" w14:textId="699B9348" w:rsidR="00F97FEF" w:rsidRDefault="00F97FEF" w:rsidP="008B1613">
            <w:pPr>
              <w:jc w:val="center"/>
            </w:pPr>
            <w:r>
              <w:t>Making Progress</w:t>
            </w:r>
          </w:p>
        </w:tc>
      </w:tr>
      <w:tr w:rsidR="00F97FEF" w14:paraId="0A10D51B" w14:textId="77777777" w:rsidTr="00F97FEF">
        <w:tc>
          <w:tcPr>
            <w:tcW w:w="4315" w:type="dxa"/>
          </w:tcPr>
          <w:p w14:paraId="7740C4DA" w14:textId="77777777" w:rsidR="00F97FEF" w:rsidRDefault="00F97FEF">
            <w:r>
              <w:t xml:space="preserve">Objective 4: </w:t>
            </w:r>
            <w:r w:rsidRPr="009C43D9">
              <w:rPr>
                <w:rFonts w:eastAsia="Times New Roman" w:cs="Calibri"/>
                <w:sz w:val="20"/>
                <w:szCs w:val="20"/>
              </w:rPr>
              <w:t>Implement robust quality</w:t>
            </w:r>
            <w:r>
              <w:rPr>
                <w:rFonts w:eastAsia="Times New Roman" w:cs="Calibri"/>
                <w:sz w:val="20"/>
                <w:szCs w:val="20"/>
              </w:rPr>
              <w:t xml:space="preserve"> reporting, </w:t>
            </w:r>
            <w:r w:rsidRPr="009C43D9">
              <w:rPr>
                <w:rFonts w:eastAsia="Times New Roman" w:cs="Calibri"/>
                <w:sz w:val="20"/>
                <w:szCs w:val="20"/>
              </w:rPr>
              <w:t>performance and improvement</w:t>
            </w:r>
            <w:r>
              <w:rPr>
                <w:rFonts w:eastAsia="Times New Roman" w:cs="Calibri"/>
                <w:sz w:val="20"/>
                <w:szCs w:val="20"/>
              </w:rPr>
              <w:t>, and</w:t>
            </w:r>
            <w:r w:rsidRPr="009C43D9">
              <w:rPr>
                <w:rFonts w:eastAsia="Times New Roman" w:cs="Calibri"/>
                <w:sz w:val="20"/>
                <w:szCs w:val="20"/>
              </w:rPr>
              <w:t xml:space="preserve"> evaluation processe</w:t>
            </w:r>
            <w:r>
              <w:rPr>
                <w:rFonts w:eastAsia="Times New Roman" w:cs="Calibri"/>
                <w:sz w:val="20"/>
                <w:szCs w:val="20"/>
              </w:rPr>
              <w:t>s</w:t>
            </w:r>
          </w:p>
        </w:tc>
        <w:tc>
          <w:tcPr>
            <w:tcW w:w="2257" w:type="dxa"/>
          </w:tcPr>
          <w:p w14:paraId="0ACCC9F9" w14:textId="557D6684" w:rsidR="00F97FEF" w:rsidRDefault="00F97FEF" w:rsidP="00F97FEF">
            <w:pPr>
              <w:jc w:val="center"/>
            </w:pPr>
            <w:r>
              <w:t>4/</w:t>
            </w:r>
            <w:r w:rsidR="006A507A">
              <w:t>6</w:t>
            </w:r>
          </w:p>
        </w:tc>
        <w:tc>
          <w:tcPr>
            <w:tcW w:w="2778" w:type="dxa"/>
          </w:tcPr>
          <w:p w14:paraId="6D6D02C9" w14:textId="77777777" w:rsidR="00F97FEF" w:rsidRDefault="00F97FEF" w:rsidP="008B1613">
            <w:pPr>
              <w:jc w:val="center"/>
            </w:pPr>
            <w:r>
              <w:t>Achieved</w:t>
            </w:r>
          </w:p>
        </w:tc>
      </w:tr>
    </w:tbl>
    <w:p w14:paraId="518B5D8F" w14:textId="77777777" w:rsidR="00C20D72" w:rsidRDefault="00DD06D6">
      <w:pPr>
        <w:rPr>
          <w:b/>
          <w:bCs/>
        </w:rPr>
      </w:pPr>
      <w:r w:rsidRPr="00BC2F64">
        <w:rPr>
          <w:b/>
          <w:bCs/>
        </w:rPr>
        <w:t>Goal 4:</w:t>
      </w:r>
      <w:r w:rsidRPr="00BC2F64">
        <w:rPr>
          <w:sz w:val="20"/>
          <w:szCs w:val="20"/>
        </w:rPr>
        <w:t xml:space="preserve"> </w:t>
      </w:r>
      <w:r w:rsidRPr="00F33BB7">
        <w:rPr>
          <w:rFonts w:eastAsia="Times New Roman" w:cs="Calibri"/>
          <w:sz w:val="20"/>
          <w:szCs w:val="20"/>
        </w:rPr>
        <w:t>Strengthen member and family-centered approaches to care and focus on engaging members in their health</w:t>
      </w:r>
      <w:r w:rsidRPr="00BC2F64">
        <w:rPr>
          <w:b/>
          <w:bCs/>
        </w:rPr>
        <w:t xml:space="preserve"> </w:t>
      </w:r>
    </w:p>
    <w:p w14:paraId="28C29F88" w14:textId="0C0C5E53" w:rsidR="00DD06D6" w:rsidRDefault="00DD06D6">
      <w:r w:rsidRPr="00BC2F64">
        <w:rPr>
          <w:b/>
          <w:bCs/>
        </w:rPr>
        <w:t>Designation</w:t>
      </w:r>
      <w:r w:rsidRPr="00BC2F64">
        <w:rPr>
          <w:b/>
          <w:bCs/>
          <w:sz w:val="20"/>
          <w:szCs w:val="20"/>
        </w:rPr>
        <w:t xml:space="preserve">: </w:t>
      </w:r>
      <w:r w:rsidRPr="00BC2F64">
        <w:rPr>
          <w:sz w:val="20"/>
          <w:szCs w:val="20"/>
        </w:rPr>
        <w:t>Making progress</w:t>
      </w:r>
    </w:p>
    <w:tbl>
      <w:tblPr>
        <w:tblStyle w:val="TableGrid"/>
        <w:tblW w:w="0" w:type="auto"/>
        <w:tblLook w:val="04A0" w:firstRow="1" w:lastRow="0" w:firstColumn="1" w:lastColumn="0" w:noHBand="0" w:noVBand="1"/>
      </w:tblPr>
      <w:tblGrid>
        <w:gridCol w:w="4315"/>
        <w:gridCol w:w="2257"/>
        <w:gridCol w:w="2778"/>
      </w:tblGrid>
      <w:tr w:rsidR="00F97FEF" w14:paraId="29C71A65" w14:textId="77777777" w:rsidTr="00F97FEF">
        <w:tc>
          <w:tcPr>
            <w:tcW w:w="4315" w:type="dxa"/>
          </w:tcPr>
          <w:p w14:paraId="4E8D4FF0" w14:textId="77777777" w:rsidR="00F97FEF" w:rsidRDefault="00F97FEF">
            <w:r>
              <w:t xml:space="preserve">Objective 1: </w:t>
            </w:r>
            <w:r>
              <w:rPr>
                <w:rFonts w:eastAsia="Times New Roman" w:cs="Calibri"/>
                <w:sz w:val="20"/>
                <w:szCs w:val="20"/>
              </w:rPr>
              <w:t>Promote requirements and activities</w:t>
            </w:r>
            <w:r w:rsidRPr="005B7F75">
              <w:rPr>
                <w:rFonts w:eastAsia="Times New Roman" w:cs="Calibri"/>
                <w:sz w:val="20"/>
                <w:szCs w:val="20"/>
              </w:rPr>
              <w:t xml:space="preserve"> that engage </w:t>
            </w:r>
            <w:r>
              <w:rPr>
                <w:rFonts w:eastAsia="Times New Roman" w:cs="Calibri"/>
                <w:sz w:val="20"/>
                <w:szCs w:val="20"/>
              </w:rPr>
              <w:t xml:space="preserve">providers and </w:t>
            </w:r>
            <w:r w:rsidRPr="005B7F75">
              <w:rPr>
                <w:rFonts w:eastAsia="Times New Roman" w:cs="Calibri"/>
                <w:sz w:val="20"/>
                <w:szCs w:val="20"/>
              </w:rPr>
              <w:t>members in</w:t>
            </w:r>
            <w:r>
              <w:rPr>
                <w:rFonts w:eastAsia="Times New Roman" w:cs="Calibri"/>
                <w:sz w:val="20"/>
                <w:szCs w:val="20"/>
              </w:rPr>
              <w:t xml:space="preserve"> their care decisions through</w:t>
            </w:r>
            <w:r w:rsidRPr="005B7F75">
              <w:rPr>
                <w:rFonts w:eastAsia="Times New Roman" w:cs="Calibri"/>
                <w:sz w:val="20"/>
                <w:szCs w:val="20"/>
              </w:rPr>
              <w:t xml:space="preserve"> </w:t>
            </w:r>
            <w:r>
              <w:rPr>
                <w:rFonts w:eastAsia="Times New Roman" w:cs="Calibri"/>
                <w:sz w:val="20"/>
                <w:szCs w:val="20"/>
              </w:rPr>
              <w:t>communications</w:t>
            </w:r>
            <w:r w:rsidRPr="005B7F75">
              <w:rPr>
                <w:rFonts w:eastAsia="Times New Roman" w:cs="Calibri"/>
                <w:sz w:val="20"/>
                <w:szCs w:val="20"/>
              </w:rPr>
              <w:t xml:space="preserve"> that </w:t>
            </w:r>
            <w:r>
              <w:rPr>
                <w:rFonts w:eastAsia="Times New Roman" w:cs="Calibri"/>
                <w:sz w:val="20"/>
                <w:szCs w:val="20"/>
              </w:rPr>
              <w:t>are</w:t>
            </w:r>
            <w:r w:rsidRPr="005B7F75">
              <w:rPr>
                <w:rFonts w:eastAsia="Times New Roman" w:cs="Calibri"/>
                <w:sz w:val="20"/>
                <w:szCs w:val="20"/>
              </w:rPr>
              <w:t xml:space="preserve"> clear, timely, accessible, and culturally and linguistically appropriate</w:t>
            </w:r>
          </w:p>
        </w:tc>
        <w:tc>
          <w:tcPr>
            <w:tcW w:w="2257" w:type="dxa"/>
          </w:tcPr>
          <w:p w14:paraId="1E408AEC" w14:textId="46D2BABB" w:rsidR="00F97FEF" w:rsidRDefault="00F97FEF" w:rsidP="00F97FEF">
            <w:pPr>
              <w:jc w:val="center"/>
            </w:pPr>
            <w:r>
              <w:t>2/</w:t>
            </w:r>
            <w:r w:rsidR="00FC0174">
              <w:t>3</w:t>
            </w:r>
          </w:p>
        </w:tc>
        <w:tc>
          <w:tcPr>
            <w:tcW w:w="2778" w:type="dxa"/>
          </w:tcPr>
          <w:p w14:paraId="7D7C6F4F" w14:textId="77777777" w:rsidR="00F97FEF" w:rsidRDefault="00F97FEF" w:rsidP="008B1613">
            <w:pPr>
              <w:jc w:val="center"/>
            </w:pPr>
            <w:r w:rsidRPr="00B8762B">
              <w:t>Making progress</w:t>
            </w:r>
          </w:p>
        </w:tc>
      </w:tr>
      <w:tr w:rsidR="00F97FEF" w14:paraId="5A1B4FE7" w14:textId="77777777" w:rsidTr="00F97FEF">
        <w:tc>
          <w:tcPr>
            <w:tcW w:w="4315" w:type="dxa"/>
          </w:tcPr>
          <w:p w14:paraId="564C4F5C" w14:textId="77777777" w:rsidR="00F97FEF" w:rsidRDefault="00F97FEF">
            <w:r>
              <w:t xml:space="preserve">Objective 2: </w:t>
            </w:r>
            <w:r w:rsidRPr="005B7F75">
              <w:rPr>
                <w:rFonts w:eastAsia="Times New Roman" w:cs="Calibri"/>
                <w:sz w:val="20"/>
                <w:szCs w:val="20"/>
              </w:rPr>
              <w:t>Capture member experience across our populations for members receiving acute care, primary care, behavioral health, and long-term services and supports</w:t>
            </w:r>
          </w:p>
        </w:tc>
        <w:tc>
          <w:tcPr>
            <w:tcW w:w="2257" w:type="dxa"/>
          </w:tcPr>
          <w:p w14:paraId="488D5EE1" w14:textId="77777777" w:rsidR="00F97FEF" w:rsidRDefault="00F97FEF" w:rsidP="00F97FEF">
            <w:pPr>
              <w:jc w:val="center"/>
            </w:pPr>
            <w:r>
              <w:t>3/7</w:t>
            </w:r>
          </w:p>
        </w:tc>
        <w:tc>
          <w:tcPr>
            <w:tcW w:w="2778" w:type="dxa"/>
          </w:tcPr>
          <w:p w14:paraId="727DAB23" w14:textId="636A2807" w:rsidR="00F97FEF" w:rsidRDefault="00867CB2" w:rsidP="008B1613">
            <w:pPr>
              <w:jc w:val="center"/>
            </w:pPr>
            <w:r>
              <w:t>Opportunity for Improvement</w:t>
            </w:r>
          </w:p>
        </w:tc>
      </w:tr>
      <w:tr w:rsidR="00F97FEF" w14:paraId="16D8368E" w14:textId="77777777" w:rsidTr="00F97FEF">
        <w:tc>
          <w:tcPr>
            <w:tcW w:w="4315" w:type="dxa"/>
          </w:tcPr>
          <w:p w14:paraId="64D54A3A" w14:textId="77777777" w:rsidR="00F97FEF" w:rsidRDefault="00F97FEF">
            <w:r>
              <w:t xml:space="preserve">Objective 3: </w:t>
            </w:r>
            <w:r>
              <w:rPr>
                <w:rFonts w:eastAsia="Times New Roman" w:cs="Calibri"/>
                <w:sz w:val="20"/>
                <w:szCs w:val="20"/>
              </w:rPr>
              <w:t xml:space="preserve">Utilize </w:t>
            </w:r>
            <w:r w:rsidRPr="005B7F75">
              <w:rPr>
                <w:rFonts w:eastAsia="Times New Roman" w:cs="Calibri"/>
                <w:sz w:val="20"/>
                <w:szCs w:val="20"/>
              </w:rPr>
              <w:t xml:space="preserve">member engagement processes to systematically receive feedback </w:t>
            </w:r>
            <w:r>
              <w:rPr>
                <w:rFonts w:eastAsia="Times New Roman" w:cs="Calibri"/>
                <w:sz w:val="20"/>
                <w:szCs w:val="20"/>
              </w:rPr>
              <w:t>to</w:t>
            </w:r>
            <w:r w:rsidRPr="005B7F75">
              <w:rPr>
                <w:rFonts w:eastAsia="Times New Roman" w:cs="Calibri"/>
                <w:sz w:val="20"/>
                <w:szCs w:val="20"/>
              </w:rPr>
              <w:t xml:space="preserve"> drive </w:t>
            </w:r>
            <w:r>
              <w:rPr>
                <w:rFonts w:eastAsia="Times New Roman" w:cs="Calibri"/>
                <w:sz w:val="20"/>
                <w:szCs w:val="20"/>
              </w:rPr>
              <w:t>program</w:t>
            </w:r>
            <w:r w:rsidRPr="005B7F75">
              <w:rPr>
                <w:rFonts w:eastAsia="Times New Roman" w:cs="Calibri"/>
                <w:sz w:val="20"/>
                <w:szCs w:val="20"/>
              </w:rPr>
              <w:t xml:space="preserve"> and care improvement</w:t>
            </w:r>
          </w:p>
        </w:tc>
        <w:tc>
          <w:tcPr>
            <w:tcW w:w="2257" w:type="dxa"/>
          </w:tcPr>
          <w:p w14:paraId="658D6FD4" w14:textId="77777777" w:rsidR="00F97FEF" w:rsidRDefault="00F97FEF" w:rsidP="00F97FEF">
            <w:pPr>
              <w:jc w:val="center"/>
            </w:pPr>
            <w:r>
              <w:t>Narrative</w:t>
            </w:r>
          </w:p>
        </w:tc>
        <w:tc>
          <w:tcPr>
            <w:tcW w:w="2778" w:type="dxa"/>
          </w:tcPr>
          <w:p w14:paraId="7E081345" w14:textId="69BC4414" w:rsidR="00F97FEF" w:rsidRDefault="00F97FEF" w:rsidP="008B1613">
            <w:pPr>
              <w:jc w:val="center"/>
            </w:pPr>
            <w:r w:rsidRPr="00B8762B">
              <w:t xml:space="preserve">Making </w:t>
            </w:r>
            <w:r>
              <w:t>Progress</w:t>
            </w:r>
          </w:p>
        </w:tc>
      </w:tr>
    </w:tbl>
    <w:p w14:paraId="11E65D72" w14:textId="77777777" w:rsidR="00DD06D6" w:rsidRDefault="00DD06D6" w:rsidP="00DD06D6">
      <w:pPr>
        <w:rPr>
          <w:rFonts w:eastAsia="Times New Roman" w:cs="Calibri"/>
          <w:sz w:val="20"/>
          <w:szCs w:val="20"/>
        </w:rPr>
      </w:pPr>
      <w:r w:rsidRPr="00BC2F64">
        <w:rPr>
          <w:b/>
          <w:bCs/>
        </w:rPr>
        <w:t>Goal 5</w:t>
      </w:r>
      <w:r>
        <w:t xml:space="preserve">: </w:t>
      </w:r>
      <w:r w:rsidRPr="00296EFB">
        <w:rPr>
          <w:rFonts w:eastAsia="Times New Roman" w:cs="Calibri"/>
          <w:sz w:val="20"/>
          <w:szCs w:val="20"/>
        </w:rPr>
        <w:t>Improve care</w:t>
      </w:r>
      <w:r w:rsidRPr="00441233">
        <w:rPr>
          <w:rFonts w:eastAsia="Times New Roman" w:cs="Calibri"/>
          <w:sz w:val="20"/>
          <w:szCs w:val="20"/>
        </w:rPr>
        <w:t xml:space="preserve"> through better integration, communication, and coordination </w:t>
      </w:r>
      <w:r w:rsidRPr="00510CF6">
        <w:rPr>
          <w:rFonts w:eastAsia="Times New Roman" w:cs="Calibri"/>
          <w:sz w:val="20"/>
          <w:szCs w:val="20"/>
        </w:rPr>
        <w:t>across the care continuum and across care teams for our members</w:t>
      </w:r>
      <w:r>
        <w:rPr>
          <w:rFonts w:eastAsia="Times New Roman" w:cs="Calibri"/>
          <w:sz w:val="20"/>
          <w:szCs w:val="20"/>
        </w:rPr>
        <w:t xml:space="preserve"> </w:t>
      </w:r>
    </w:p>
    <w:p w14:paraId="2F03930D" w14:textId="4D9B9603" w:rsidR="00DD06D6" w:rsidRDefault="00DD06D6" w:rsidP="00DD06D6">
      <w:r w:rsidRPr="00BC2F64">
        <w:rPr>
          <w:rFonts w:eastAsia="Times New Roman" w:cs="Calibri"/>
          <w:b/>
          <w:bCs/>
        </w:rPr>
        <w:t>Designation</w:t>
      </w:r>
      <w:r>
        <w:rPr>
          <w:rFonts w:eastAsia="Times New Roman" w:cs="Calibri"/>
          <w:sz w:val="20"/>
          <w:szCs w:val="20"/>
        </w:rPr>
        <w:t>: Achieved</w:t>
      </w:r>
    </w:p>
    <w:tbl>
      <w:tblPr>
        <w:tblStyle w:val="TableGrid"/>
        <w:tblW w:w="0" w:type="auto"/>
        <w:tblLook w:val="04A0" w:firstRow="1" w:lastRow="0" w:firstColumn="1" w:lastColumn="0" w:noHBand="0" w:noVBand="1"/>
      </w:tblPr>
      <w:tblGrid>
        <w:gridCol w:w="4315"/>
        <w:gridCol w:w="2257"/>
        <w:gridCol w:w="2778"/>
      </w:tblGrid>
      <w:tr w:rsidR="00F97FEF" w14:paraId="70A73D38" w14:textId="77777777" w:rsidTr="002978C9">
        <w:tc>
          <w:tcPr>
            <w:tcW w:w="4315" w:type="dxa"/>
          </w:tcPr>
          <w:p w14:paraId="74371636" w14:textId="77777777" w:rsidR="00F97FEF" w:rsidRDefault="00F97FEF">
            <w:r>
              <w:lastRenderedPageBreak/>
              <w:t xml:space="preserve">Objective 1: </w:t>
            </w:r>
            <w:r>
              <w:rPr>
                <w:rFonts w:eastAsia="Times New Roman" w:cs="Calibri"/>
                <w:sz w:val="20"/>
                <w:szCs w:val="20"/>
              </w:rPr>
              <w:t xml:space="preserve">Invest in systems and interventions to improve </w:t>
            </w:r>
            <w:r w:rsidRPr="009C43D9">
              <w:rPr>
                <w:rFonts w:eastAsia="Times New Roman" w:cs="Calibri"/>
                <w:sz w:val="20"/>
                <w:szCs w:val="20"/>
              </w:rPr>
              <w:t>verbal</w:t>
            </w:r>
            <w:r>
              <w:rPr>
                <w:rFonts w:eastAsia="Times New Roman" w:cs="Calibri"/>
                <w:sz w:val="20"/>
                <w:szCs w:val="20"/>
              </w:rPr>
              <w:t xml:space="preserve">, </w:t>
            </w:r>
            <w:r w:rsidRPr="009C43D9">
              <w:rPr>
                <w:rFonts w:eastAsia="Times New Roman" w:cs="Calibri"/>
                <w:sz w:val="20"/>
                <w:szCs w:val="20"/>
              </w:rPr>
              <w:t>written</w:t>
            </w:r>
            <w:r>
              <w:rPr>
                <w:rFonts w:eastAsia="Times New Roman" w:cs="Calibri"/>
                <w:sz w:val="20"/>
                <w:szCs w:val="20"/>
              </w:rPr>
              <w:t>, and electronic</w:t>
            </w:r>
            <w:r w:rsidRPr="009C43D9">
              <w:rPr>
                <w:rFonts w:eastAsia="Times New Roman" w:cs="Calibri"/>
                <w:sz w:val="20"/>
                <w:szCs w:val="20"/>
              </w:rPr>
              <w:t xml:space="preserve"> communication</w:t>
            </w:r>
            <w:r>
              <w:rPr>
                <w:rFonts w:eastAsia="Times New Roman" w:cs="Calibri"/>
                <w:sz w:val="20"/>
                <w:szCs w:val="20"/>
              </w:rPr>
              <w:t xml:space="preserve">s </w:t>
            </w:r>
            <w:r w:rsidRPr="009C43D9">
              <w:rPr>
                <w:rFonts w:eastAsia="Times New Roman" w:cs="Calibri"/>
                <w:sz w:val="20"/>
                <w:szCs w:val="20"/>
              </w:rPr>
              <w:t>among caregivers to reduce harm</w:t>
            </w:r>
            <w:r>
              <w:rPr>
                <w:rFonts w:eastAsia="Times New Roman" w:cs="Calibri"/>
                <w:sz w:val="20"/>
                <w:szCs w:val="20"/>
              </w:rPr>
              <w:t xml:space="preserve"> or avoidable hospitalizations</w:t>
            </w:r>
            <w:r w:rsidRPr="009C43D9">
              <w:rPr>
                <w:rFonts w:eastAsia="Times New Roman" w:cs="Calibri"/>
                <w:sz w:val="20"/>
                <w:szCs w:val="20"/>
              </w:rPr>
              <w:t xml:space="preserve"> and ensure safe</w:t>
            </w:r>
            <w:r>
              <w:rPr>
                <w:rFonts w:eastAsia="Times New Roman" w:cs="Calibri"/>
                <w:sz w:val="20"/>
                <w:szCs w:val="20"/>
              </w:rPr>
              <w:t xml:space="preserve"> and seamless</w:t>
            </w:r>
            <w:r w:rsidRPr="009C43D9">
              <w:rPr>
                <w:rFonts w:eastAsia="Times New Roman" w:cs="Calibri"/>
                <w:sz w:val="20"/>
                <w:szCs w:val="20"/>
              </w:rPr>
              <w:t xml:space="preserve"> care for members </w:t>
            </w:r>
            <w:r w:rsidRPr="00EA041B">
              <w:rPr>
                <w:rFonts w:eastAsia="Times New Roman" w:cs="Calibri"/>
                <w:sz w:val="20"/>
                <w:szCs w:val="20"/>
              </w:rPr>
              <w:t xml:space="preserve"> </w:t>
            </w:r>
          </w:p>
        </w:tc>
        <w:tc>
          <w:tcPr>
            <w:tcW w:w="2257" w:type="dxa"/>
          </w:tcPr>
          <w:p w14:paraId="005C00C5" w14:textId="77777777" w:rsidR="00F97FEF" w:rsidRDefault="00F97FEF" w:rsidP="00F97FEF">
            <w:pPr>
              <w:jc w:val="center"/>
            </w:pPr>
            <w:r>
              <w:t>2/6</w:t>
            </w:r>
          </w:p>
        </w:tc>
        <w:tc>
          <w:tcPr>
            <w:tcW w:w="2778" w:type="dxa"/>
            <w:shd w:val="clear" w:color="auto" w:fill="auto"/>
          </w:tcPr>
          <w:p w14:paraId="64962F73" w14:textId="77777777" w:rsidR="00F97FEF" w:rsidRDefault="00F97FEF" w:rsidP="008B1613">
            <w:pPr>
              <w:jc w:val="center"/>
            </w:pPr>
            <w:r w:rsidRPr="002978C9">
              <w:t>Opportunity for Improvement</w:t>
            </w:r>
          </w:p>
        </w:tc>
      </w:tr>
      <w:tr w:rsidR="00F97FEF" w14:paraId="132DF4FD" w14:textId="77777777" w:rsidTr="00F97FEF">
        <w:tc>
          <w:tcPr>
            <w:tcW w:w="4315" w:type="dxa"/>
          </w:tcPr>
          <w:p w14:paraId="5AE491E4" w14:textId="77777777" w:rsidR="00F97FEF" w:rsidRDefault="00F97FEF">
            <w:r>
              <w:t xml:space="preserve">Objective 2: </w:t>
            </w:r>
            <w:r w:rsidRPr="00953779">
              <w:rPr>
                <w:rFonts w:eastAsia="Times New Roman" w:cs="Calibri"/>
                <w:sz w:val="20"/>
                <w:szCs w:val="20"/>
              </w:rPr>
              <w:t xml:space="preserve">Proactively engage </w:t>
            </w:r>
            <w:r>
              <w:rPr>
                <w:rFonts w:eastAsia="Times New Roman" w:cs="Calibri"/>
                <w:sz w:val="20"/>
                <w:szCs w:val="20"/>
              </w:rPr>
              <w:t xml:space="preserve">members with high and rising risk </w:t>
            </w:r>
            <w:r w:rsidRPr="00953779">
              <w:rPr>
                <w:rFonts w:eastAsia="Times New Roman" w:cs="Calibri"/>
                <w:sz w:val="20"/>
                <w:szCs w:val="20"/>
              </w:rPr>
              <w:t>to</w:t>
            </w:r>
            <w:r>
              <w:rPr>
                <w:rFonts w:eastAsia="Times New Roman" w:cs="Calibri"/>
                <w:sz w:val="20"/>
                <w:szCs w:val="20"/>
              </w:rPr>
              <w:t xml:space="preserve"> </w:t>
            </w:r>
            <w:r w:rsidRPr="00953779">
              <w:rPr>
                <w:rFonts w:eastAsia="Times New Roman" w:cs="Calibri"/>
                <w:sz w:val="20"/>
                <w:szCs w:val="20"/>
              </w:rPr>
              <w:t>streamline care coordination and ensure members have an identified single accountable point of contact</w:t>
            </w:r>
          </w:p>
        </w:tc>
        <w:tc>
          <w:tcPr>
            <w:tcW w:w="2257" w:type="dxa"/>
          </w:tcPr>
          <w:p w14:paraId="0DBDBE1C" w14:textId="77777777" w:rsidR="00F97FEF" w:rsidRDefault="00F97FEF" w:rsidP="00F97FEF">
            <w:pPr>
              <w:jc w:val="center"/>
            </w:pPr>
            <w:r>
              <w:t>4/6</w:t>
            </w:r>
          </w:p>
        </w:tc>
        <w:tc>
          <w:tcPr>
            <w:tcW w:w="2778" w:type="dxa"/>
          </w:tcPr>
          <w:p w14:paraId="4332E953" w14:textId="77777777" w:rsidR="00F97FEF" w:rsidRDefault="00F97FEF" w:rsidP="008B1613">
            <w:pPr>
              <w:jc w:val="center"/>
            </w:pPr>
            <w:r>
              <w:t>Achieved</w:t>
            </w:r>
          </w:p>
        </w:tc>
      </w:tr>
      <w:tr w:rsidR="00F97FEF" w14:paraId="04FFEB97" w14:textId="77777777" w:rsidTr="00F97FEF">
        <w:tc>
          <w:tcPr>
            <w:tcW w:w="4315" w:type="dxa"/>
          </w:tcPr>
          <w:p w14:paraId="651C4D99" w14:textId="77777777" w:rsidR="00F97FEF" w:rsidRDefault="00F97FEF">
            <w:r>
              <w:t xml:space="preserve">Objective 3: </w:t>
            </w:r>
            <w:r w:rsidRPr="361E8982">
              <w:rPr>
                <w:rFonts w:eastAsia="Times New Roman" w:cs="Calibri"/>
                <w:sz w:val="20"/>
                <w:szCs w:val="20"/>
              </w:rPr>
              <w:t>Streamline and centralize behavioral health care to increase timely access and coordination of appropriate care options and reduce mental health and SUD emergencies</w:t>
            </w:r>
          </w:p>
        </w:tc>
        <w:tc>
          <w:tcPr>
            <w:tcW w:w="2257" w:type="dxa"/>
          </w:tcPr>
          <w:p w14:paraId="09D9CF8F" w14:textId="77777777" w:rsidR="00F97FEF" w:rsidRDefault="00F97FEF" w:rsidP="00F97FEF">
            <w:pPr>
              <w:jc w:val="center"/>
            </w:pPr>
            <w:r>
              <w:t>3/5</w:t>
            </w:r>
          </w:p>
        </w:tc>
        <w:tc>
          <w:tcPr>
            <w:tcW w:w="2778" w:type="dxa"/>
          </w:tcPr>
          <w:p w14:paraId="03FC66C9" w14:textId="77777777" w:rsidR="00F97FEF" w:rsidRDefault="00F97FEF" w:rsidP="008B1613">
            <w:pPr>
              <w:jc w:val="center"/>
            </w:pPr>
            <w:r>
              <w:t>Achieved</w:t>
            </w:r>
          </w:p>
        </w:tc>
      </w:tr>
    </w:tbl>
    <w:p w14:paraId="68FDA6AB" w14:textId="77777777" w:rsidR="00F97FEF" w:rsidRDefault="00F97FEF" w:rsidP="00F97FEF">
      <w:pPr>
        <w:pStyle w:val="Default"/>
        <w:rPr>
          <w:rFonts w:asciiTheme="minorHAnsi" w:hAnsiTheme="minorHAnsi" w:cstheme="minorHAnsi"/>
          <w:sz w:val="22"/>
          <w:szCs w:val="22"/>
        </w:rPr>
      </w:pPr>
    </w:p>
    <w:p w14:paraId="063CA263" w14:textId="78CDFBC7" w:rsidR="00523355" w:rsidRDefault="00105A42" w:rsidP="00BF71A2">
      <w:pPr>
        <w:pStyle w:val="xmsolistparagraph"/>
        <w:spacing w:before="0" w:beforeAutospacing="0" w:after="0" w:afterAutospacing="0"/>
        <w:rPr>
          <w:rFonts w:asciiTheme="minorHAnsi" w:hAnsiTheme="minorHAnsi" w:cstheme="minorBidi"/>
        </w:rPr>
      </w:pPr>
      <w:r>
        <w:rPr>
          <w:rFonts w:asciiTheme="minorHAnsi" w:hAnsiTheme="minorHAnsi" w:cstheme="minorBidi"/>
        </w:rPr>
        <w:t xml:space="preserve">As noted in Table 9 </w:t>
      </w:r>
      <w:r w:rsidR="008E7EFB">
        <w:rPr>
          <w:rFonts w:asciiTheme="minorHAnsi" w:hAnsiTheme="minorHAnsi" w:cstheme="minorBidi"/>
        </w:rPr>
        <w:t>above</w:t>
      </w:r>
      <w:r>
        <w:rPr>
          <w:rFonts w:asciiTheme="minorHAnsi" w:hAnsiTheme="minorHAnsi" w:cstheme="minorBidi"/>
        </w:rPr>
        <w:t xml:space="preserve">, MassHealth fully achieved QS goals 1 and 5, meeting the MY2022 benchmark or Gap to Goal improvement target for 3 out </w:t>
      </w:r>
      <w:r w:rsidR="0330FE14" w:rsidRPr="3DFCCDE3">
        <w:rPr>
          <w:rFonts w:asciiTheme="minorHAnsi" w:hAnsiTheme="minorHAnsi" w:cstheme="minorBidi"/>
        </w:rPr>
        <w:t xml:space="preserve">of </w:t>
      </w:r>
      <w:r>
        <w:rPr>
          <w:rFonts w:asciiTheme="minorHAnsi" w:hAnsiTheme="minorHAnsi" w:cstheme="minorBidi"/>
        </w:rPr>
        <w:t xml:space="preserve">3 and 2 out </w:t>
      </w:r>
      <w:r w:rsidR="12430759" w:rsidRPr="3DFCCDE3">
        <w:rPr>
          <w:rFonts w:asciiTheme="minorHAnsi" w:hAnsiTheme="minorHAnsi" w:cstheme="minorBidi"/>
        </w:rPr>
        <w:t xml:space="preserve">of </w:t>
      </w:r>
      <w:r>
        <w:rPr>
          <w:rFonts w:asciiTheme="minorHAnsi" w:hAnsiTheme="minorHAnsi" w:cstheme="minorBidi"/>
        </w:rPr>
        <w:t xml:space="preserve">3 objectives respectively. </w:t>
      </w:r>
      <w:r w:rsidRPr="3DFCCDE3">
        <w:rPr>
          <w:rFonts w:asciiTheme="minorHAnsi" w:hAnsiTheme="minorHAnsi" w:cstheme="minorBidi"/>
        </w:rPr>
        <w:t>O</w:t>
      </w:r>
      <w:r w:rsidR="61BC3DBD" w:rsidRPr="3DFCCDE3">
        <w:rPr>
          <w:rFonts w:asciiTheme="minorHAnsi" w:hAnsiTheme="minorHAnsi" w:cstheme="minorBidi"/>
        </w:rPr>
        <w:t>f</w:t>
      </w:r>
      <w:r>
        <w:rPr>
          <w:rFonts w:asciiTheme="minorHAnsi" w:hAnsiTheme="minorHAnsi" w:cstheme="minorBidi"/>
        </w:rPr>
        <w:t xml:space="preserve"> the remaining</w:t>
      </w:r>
      <w:r w:rsidRPr="3DFCCDE3">
        <w:rPr>
          <w:rFonts w:asciiTheme="minorHAnsi" w:hAnsiTheme="minorHAnsi" w:cstheme="minorBidi"/>
        </w:rPr>
        <w:t xml:space="preserve"> </w:t>
      </w:r>
      <w:r w:rsidR="00865CB8" w:rsidRPr="3DFCCDE3">
        <w:rPr>
          <w:rFonts w:asciiTheme="minorHAnsi" w:hAnsiTheme="minorHAnsi" w:cstheme="minorBidi"/>
        </w:rPr>
        <w:t>three</w:t>
      </w:r>
      <w:r w:rsidR="00865CB8">
        <w:rPr>
          <w:rFonts w:asciiTheme="minorHAnsi" w:hAnsiTheme="minorHAnsi" w:cstheme="minorBidi"/>
        </w:rPr>
        <w:t xml:space="preserve"> QS</w:t>
      </w:r>
      <w:r>
        <w:rPr>
          <w:rFonts w:asciiTheme="minorHAnsi" w:hAnsiTheme="minorHAnsi" w:cstheme="minorBidi"/>
        </w:rPr>
        <w:t xml:space="preserve"> goals (2, 3, and 4), MassHealth </w:t>
      </w:r>
      <w:r w:rsidR="006C01EA">
        <w:rPr>
          <w:rFonts w:asciiTheme="minorHAnsi" w:hAnsiTheme="minorHAnsi" w:cstheme="minorBidi"/>
        </w:rPr>
        <w:t>h</w:t>
      </w:r>
      <w:r>
        <w:rPr>
          <w:rFonts w:asciiTheme="minorHAnsi" w:hAnsiTheme="minorHAnsi" w:cstheme="minorBidi"/>
        </w:rPr>
        <w:t>as ma</w:t>
      </w:r>
      <w:r w:rsidR="006C01EA">
        <w:rPr>
          <w:rFonts w:asciiTheme="minorHAnsi" w:hAnsiTheme="minorHAnsi" w:cstheme="minorBidi"/>
        </w:rPr>
        <w:t>de</w:t>
      </w:r>
      <w:r>
        <w:rPr>
          <w:rFonts w:asciiTheme="minorHAnsi" w:hAnsiTheme="minorHAnsi" w:cstheme="minorBidi"/>
        </w:rPr>
        <w:t xml:space="preserve"> progress towards achiev</w:t>
      </w:r>
      <w:r w:rsidR="001C0324">
        <w:rPr>
          <w:rFonts w:asciiTheme="minorHAnsi" w:hAnsiTheme="minorHAnsi" w:cstheme="minorBidi"/>
        </w:rPr>
        <w:t>ement</w:t>
      </w:r>
      <w:r>
        <w:rPr>
          <w:rFonts w:asciiTheme="minorHAnsi" w:hAnsiTheme="minorHAnsi" w:cstheme="minorBidi"/>
        </w:rPr>
        <w:t>. For goal 2, the majority of MassHealth’s work was primarily focused on building capacity</w:t>
      </w:r>
      <w:r w:rsidR="004D6834">
        <w:rPr>
          <w:rFonts w:asciiTheme="minorHAnsi" w:hAnsiTheme="minorHAnsi" w:cstheme="minorBidi"/>
        </w:rPr>
        <w:t xml:space="preserve"> </w:t>
      </w:r>
      <w:r>
        <w:rPr>
          <w:rFonts w:asciiTheme="minorHAnsi" w:hAnsiTheme="minorHAnsi" w:cstheme="minorBidi"/>
        </w:rPr>
        <w:t>and infrastructure to measure, track, and eventually reduce health care inequities related to</w:t>
      </w:r>
      <w:r w:rsidRPr="00725B76">
        <w:rPr>
          <w:rFonts w:asciiTheme="minorHAnsi" w:hAnsiTheme="minorHAnsi" w:cstheme="minorBidi"/>
        </w:rPr>
        <w:t xml:space="preserve"> race, ethnicity, language, disability, sexual orientation, gender identity, and other social risk factors</w:t>
      </w:r>
      <w:r>
        <w:rPr>
          <w:rFonts w:asciiTheme="minorHAnsi" w:hAnsiTheme="minorHAnsi" w:cstheme="minorBidi"/>
        </w:rPr>
        <w:t xml:space="preserve">. With the implementation of these </w:t>
      </w:r>
      <w:r w:rsidR="004D6834">
        <w:rPr>
          <w:rFonts w:asciiTheme="minorHAnsi" w:hAnsiTheme="minorHAnsi" w:cstheme="minorBidi"/>
        </w:rPr>
        <w:t>process</w:t>
      </w:r>
      <w:r w:rsidR="001E1F13">
        <w:rPr>
          <w:rFonts w:asciiTheme="minorHAnsi" w:hAnsiTheme="minorHAnsi" w:cstheme="minorBidi"/>
        </w:rPr>
        <w:t>es</w:t>
      </w:r>
      <w:r w:rsidR="004D6834">
        <w:rPr>
          <w:rFonts w:asciiTheme="minorHAnsi" w:hAnsiTheme="minorHAnsi" w:cstheme="minorBidi"/>
        </w:rPr>
        <w:t xml:space="preserve">, </w:t>
      </w:r>
      <w:r>
        <w:rPr>
          <w:rFonts w:asciiTheme="minorHAnsi" w:hAnsiTheme="minorHAnsi" w:cstheme="minorBidi"/>
        </w:rPr>
        <w:t xml:space="preserve">MassHealth expects </w:t>
      </w:r>
      <w:r w:rsidR="00217089">
        <w:rPr>
          <w:rFonts w:asciiTheme="minorHAnsi" w:hAnsiTheme="minorHAnsi" w:cstheme="minorBidi"/>
        </w:rPr>
        <w:t>to be able to objectively measure progress towards achievement</w:t>
      </w:r>
      <w:r w:rsidR="008B10BB">
        <w:rPr>
          <w:rFonts w:asciiTheme="minorHAnsi" w:hAnsiTheme="minorHAnsi" w:cstheme="minorBidi"/>
        </w:rPr>
        <w:t xml:space="preserve"> of goal 2</w:t>
      </w:r>
      <w:r w:rsidR="00217089">
        <w:rPr>
          <w:rFonts w:asciiTheme="minorHAnsi" w:hAnsiTheme="minorHAnsi" w:cstheme="minorBidi"/>
        </w:rPr>
        <w:t xml:space="preserve"> in the future</w:t>
      </w:r>
      <w:r w:rsidR="006F772F">
        <w:rPr>
          <w:rFonts w:asciiTheme="minorHAnsi" w:hAnsiTheme="minorHAnsi" w:cstheme="minorBidi"/>
        </w:rPr>
        <w:t>.</w:t>
      </w:r>
      <w:r w:rsidR="00217089">
        <w:rPr>
          <w:rFonts w:asciiTheme="minorHAnsi" w:hAnsiTheme="minorHAnsi" w:cstheme="minorBidi"/>
        </w:rPr>
        <w:t xml:space="preserve"> </w:t>
      </w:r>
      <w:r w:rsidR="008B10BB">
        <w:rPr>
          <w:rFonts w:asciiTheme="minorHAnsi" w:hAnsiTheme="minorHAnsi" w:cstheme="minorBidi"/>
        </w:rPr>
        <w:t>For Goal</w:t>
      </w:r>
      <w:r w:rsidR="0004050C">
        <w:rPr>
          <w:rFonts w:asciiTheme="minorHAnsi" w:hAnsiTheme="minorHAnsi" w:cstheme="minorBidi"/>
        </w:rPr>
        <w:t>s</w:t>
      </w:r>
      <w:r w:rsidR="008B10BB">
        <w:rPr>
          <w:rFonts w:asciiTheme="minorHAnsi" w:hAnsiTheme="minorHAnsi" w:cstheme="minorBidi"/>
        </w:rPr>
        <w:t xml:space="preserve"> 3</w:t>
      </w:r>
      <w:r w:rsidR="0004050C">
        <w:rPr>
          <w:rFonts w:asciiTheme="minorHAnsi" w:hAnsiTheme="minorHAnsi" w:cstheme="minorBidi"/>
        </w:rPr>
        <w:t xml:space="preserve"> and 4</w:t>
      </w:r>
      <w:r w:rsidR="008B10BB">
        <w:rPr>
          <w:rFonts w:asciiTheme="minorHAnsi" w:hAnsiTheme="minorHAnsi" w:cstheme="minorBidi"/>
        </w:rPr>
        <w:t>, MassHealth</w:t>
      </w:r>
      <w:r w:rsidR="0004050C">
        <w:rPr>
          <w:rFonts w:asciiTheme="minorHAnsi" w:hAnsiTheme="minorHAnsi" w:cstheme="minorBidi"/>
        </w:rPr>
        <w:t xml:space="preserve"> performance on objectives was mixed, meeting </w:t>
      </w:r>
      <w:r w:rsidR="0024079C">
        <w:rPr>
          <w:rFonts w:asciiTheme="minorHAnsi" w:hAnsiTheme="minorHAnsi" w:cstheme="minorBidi"/>
        </w:rPr>
        <w:t xml:space="preserve">the benchmark or improvement point target </w:t>
      </w:r>
      <w:r w:rsidR="0004050C">
        <w:rPr>
          <w:rFonts w:asciiTheme="minorHAnsi" w:hAnsiTheme="minorHAnsi" w:cstheme="minorBidi"/>
        </w:rPr>
        <w:t>on some object</w:t>
      </w:r>
      <w:r w:rsidR="00C62CFD">
        <w:rPr>
          <w:rFonts w:asciiTheme="minorHAnsi" w:hAnsiTheme="minorHAnsi" w:cstheme="minorBidi"/>
        </w:rPr>
        <w:t>ive</w:t>
      </w:r>
      <w:r w:rsidR="0004050C">
        <w:rPr>
          <w:rFonts w:asciiTheme="minorHAnsi" w:hAnsiTheme="minorHAnsi" w:cstheme="minorBidi"/>
        </w:rPr>
        <w:t>s</w:t>
      </w:r>
      <w:r w:rsidR="0024079C">
        <w:rPr>
          <w:rFonts w:asciiTheme="minorHAnsi" w:hAnsiTheme="minorHAnsi" w:cstheme="minorBidi"/>
        </w:rPr>
        <w:t>, making progress to</w:t>
      </w:r>
      <w:r w:rsidR="007C3A8F">
        <w:rPr>
          <w:rFonts w:asciiTheme="minorHAnsi" w:hAnsiTheme="minorHAnsi" w:cstheme="minorBidi"/>
        </w:rPr>
        <w:t>wards</w:t>
      </w:r>
      <w:r w:rsidR="0024079C">
        <w:rPr>
          <w:rFonts w:asciiTheme="minorHAnsi" w:hAnsiTheme="minorHAnsi" w:cstheme="minorBidi"/>
        </w:rPr>
        <w:t xml:space="preserve"> implementing </w:t>
      </w:r>
      <w:r w:rsidR="007C3A8F">
        <w:rPr>
          <w:rFonts w:asciiTheme="minorHAnsi" w:hAnsiTheme="minorHAnsi" w:cstheme="minorBidi"/>
        </w:rPr>
        <w:t>processes on the other objectives</w:t>
      </w:r>
      <w:r w:rsidR="0004050C">
        <w:rPr>
          <w:rFonts w:asciiTheme="minorHAnsi" w:hAnsiTheme="minorHAnsi" w:cstheme="minorBidi"/>
        </w:rPr>
        <w:t xml:space="preserve">, </w:t>
      </w:r>
      <w:r w:rsidR="00C5032B">
        <w:rPr>
          <w:rFonts w:asciiTheme="minorHAnsi" w:hAnsiTheme="minorHAnsi" w:cstheme="minorBidi"/>
        </w:rPr>
        <w:t>and needing improvement on at least 1 objective</w:t>
      </w:r>
      <w:r w:rsidR="007C3A8F">
        <w:rPr>
          <w:rFonts w:asciiTheme="minorHAnsi" w:hAnsiTheme="minorHAnsi" w:cstheme="minorBidi"/>
        </w:rPr>
        <w:t xml:space="preserve">. </w:t>
      </w:r>
      <w:r w:rsidR="00BF71A2">
        <w:rPr>
          <w:rFonts w:asciiTheme="minorHAnsi" w:hAnsiTheme="minorHAnsi" w:cstheme="minorBidi"/>
        </w:rPr>
        <w:t xml:space="preserve"> </w:t>
      </w:r>
    </w:p>
    <w:p w14:paraId="13A960B5" w14:textId="77777777" w:rsidR="00523355" w:rsidRDefault="00523355" w:rsidP="00BF71A2">
      <w:pPr>
        <w:pStyle w:val="xmsolistparagraph"/>
        <w:spacing w:before="0" w:beforeAutospacing="0" w:after="0" w:afterAutospacing="0"/>
        <w:rPr>
          <w:rFonts w:asciiTheme="minorHAnsi" w:hAnsiTheme="minorHAnsi" w:cstheme="minorBidi"/>
        </w:rPr>
      </w:pPr>
    </w:p>
    <w:p w14:paraId="2AF05D95" w14:textId="1140F5BC" w:rsidR="0DD8FB20" w:rsidRDefault="0DD8FB20" w:rsidP="6ABD474B">
      <w:pPr>
        <w:pStyle w:val="Default"/>
        <w:rPr>
          <w:rFonts w:ascii="Calibri" w:eastAsia="Calibri" w:hAnsi="Calibri" w:cs="Calibri"/>
          <w:sz w:val="22"/>
          <w:szCs w:val="22"/>
        </w:rPr>
      </w:pPr>
      <w:r w:rsidRPr="6ABD474B">
        <w:rPr>
          <w:rFonts w:ascii="Calibri" w:eastAsia="Calibri" w:hAnsi="Calibri" w:cs="Calibri"/>
          <w:sz w:val="22"/>
          <w:szCs w:val="22"/>
        </w:rPr>
        <w:t xml:space="preserve">While MassHealth </w:t>
      </w:r>
      <w:r w:rsidR="4CC0D44B" w:rsidRPr="6ABD474B">
        <w:rPr>
          <w:rFonts w:ascii="Calibri" w:eastAsia="Calibri" w:hAnsi="Calibri" w:cs="Calibri"/>
          <w:sz w:val="22"/>
          <w:szCs w:val="22"/>
        </w:rPr>
        <w:t xml:space="preserve">is </w:t>
      </w:r>
      <w:r w:rsidRPr="6ABD474B">
        <w:rPr>
          <w:rFonts w:ascii="Calibri" w:eastAsia="Calibri" w:hAnsi="Calibri" w:cs="Calibri"/>
          <w:sz w:val="22"/>
          <w:szCs w:val="22"/>
        </w:rPr>
        <w:t xml:space="preserve">encouraged by the considerable progress it has made towards meeting </w:t>
      </w:r>
      <w:r w:rsidR="5B2BFB56" w:rsidRPr="6ABD474B">
        <w:rPr>
          <w:rFonts w:ascii="Calibri" w:eastAsia="Calibri" w:hAnsi="Calibri" w:cs="Calibri"/>
          <w:sz w:val="22"/>
          <w:szCs w:val="22"/>
        </w:rPr>
        <w:t>its</w:t>
      </w:r>
      <w:r w:rsidRPr="6ABD474B">
        <w:rPr>
          <w:rFonts w:ascii="Calibri" w:eastAsia="Calibri" w:hAnsi="Calibri" w:cs="Calibri"/>
          <w:sz w:val="22"/>
          <w:szCs w:val="22"/>
        </w:rPr>
        <w:t xml:space="preserve"> QS goals and objectives</w:t>
      </w:r>
      <w:r w:rsidR="304F30E6" w:rsidRPr="6ABD474B">
        <w:rPr>
          <w:rFonts w:ascii="Calibri" w:eastAsia="Calibri" w:hAnsi="Calibri" w:cs="Calibri"/>
          <w:sz w:val="22"/>
          <w:szCs w:val="22"/>
        </w:rPr>
        <w:t xml:space="preserve">, </w:t>
      </w:r>
      <w:r w:rsidRPr="6ABD474B">
        <w:rPr>
          <w:rFonts w:ascii="Calibri" w:eastAsia="Calibri" w:hAnsi="Calibri" w:cs="Calibri"/>
          <w:sz w:val="22"/>
          <w:szCs w:val="22"/>
        </w:rPr>
        <w:t xml:space="preserve">opportunities for improvement remain particularly in the member experience (Objective 4.2) and communication and safety (Objective 5.1) domains. </w:t>
      </w:r>
      <w:r w:rsidR="00B003AC" w:rsidRPr="6ABD474B">
        <w:rPr>
          <w:rFonts w:ascii="Calibri" w:eastAsia="Calibri" w:hAnsi="Calibri" w:cs="Calibri"/>
          <w:sz w:val="22"/>
          <w:szCs w:val="22"/>
        </w:rPr>
        <w:t xml:space="preserve"> </w:t>
      </w:r>
      <w:r w:rsidR="552F86D3" w:rsidRPr="6ABD474B">
        <w:rPr>
          <w:rFonts w:ascii="Calibri" w:eastAsia="Calibri" w:hAnsi="Calibri" w:cs="Calibri"/>
          <w:sz w:val="22"/>
          <w:szCs w:val="22"/>
        </w:rPr>
        <w:t xml:space="preserve">Since </w:t>
      </w:r>
      <w:r w:rsidR="794A286F" w:rsidRPr="6ABD474B">
        <w:rPr>
          <w:rFonts w:ascii="Calibri" w:eastAsia="Calibri" w:hAnsi="Calibri" w:cs="Calibri"/>
          <w:sz w:val="22"/>
          <w:szCs w:val="22"/>
        </w:rPr>
        <w:t>its primary</w:t>
      </w:r>
      <w:r w:rsidR="552F86D3" w:rsidRPr="6ABD474B">
        <w:rPr>
          <w:rFonts w:ascii="Calibri" w:eastAsia="Calibri" w:hAnsi="Calibri" w:cs="Calibri"/>
          <w:sz w:val="22"/>
          <w:szCs w:val="22"/>
        </w:rPr>
        <w:t xml:space="preserve"> aim</w:t>
      </w:r>
      <w:r w:rsidR="53C35E50" w:rsidRPr="6ABD474B">
        <w:rPr>
          <w:rFonts w:ascii="Calibri" w:eastAsia="Calibri" w:hAnsi="Calibri" w:cs="Calibri"/>
          <w:sz w:val="22"/>
          <w:szCs w:val="22"/>
        </w:rPr>
        <w:t xml:space="preserve"> is</w:t>
      </w:r>
      <w:r w:rsidR="00B003AC" w:rsidRPr="6ABD474B">
        <w:rPr>
          <w:rFonts w:ascii="Calibri" w:eastAsia="Calibri" w:hAnsi="Calibri" w:cs="Calibri"/>
          <w:sz w:val="22"/>
          <w:szCs w:val="22"/>
        </w:rPr>
        <w:t xml:space="preserve"> to achieve all goals and objectives, MassHealth intends to main</w:t>
      </w:r>
      <w:r w:rsidR="5FA4FFB4" w:rsidRPr="6ABD474B">
        <w:rPr>
          <w:rFonts w:ascii="Calibri" w:eastAsia="Calibri" w:hAnsi="Calibri" w:cs="Calibri"/>
          <w:sz w:val="22"/>
          <w:szCs w:val="22"/>
        </w:rPr>
        <w:t xml:space="preserve">tain several of </w:t>
      </w:r>
      <w:r w:rsidR="7CB01DF7" w:rsidRPr="6ABD474B">
        <w:rPr>
          <w:rFonts w:ascii="Calibri" w:eastAsia="Calibri" w:hAnsi="Calibri" w:cs="Calibri"/>
          <w:sz w:val="22"/>
          <w:szCs w:val="22"/>
        </w:rPr>
        <w:t>the current quality goals</w:t>
      </w:r>
      <w:r w:rsidR="646B1962" w:rsidRPr="6ABD474B">
        <w:rPr>
          <w:rFonts w:ascii="Calibri" w:eastAsia="Calibri" w:hAnsi="Calibri" w:cs="Calibri"/>
          <w:sz w:val="22"/>
          <w:szCs w:val="22"/>
        </w:rPr>
        <w:t>, revising them, where appropriate, for clarity and to reflect evo</w:t>
      </w:r>
      <w:r w:rsidR="5FE23A92" w:rsidRPr="6ABD474B">
        <w:rPr>
          <w:rFonts w:ascii="Calibri" w:eastAsia="Calibri" w:hAnsi="Calibri" w:cs="Calibri"/>
          <w:sz w:val="22"/>
          <w:szCs w:val="22"/>
        </w:rPr>
        <w:t>lving agency priorities.</w:t>
      </w:r>
    </w:p>
    <w:p w14:paraId="54E19F75" w14:textId="33CC0FD4" w:rsidR="00556999" w:rsidRDefault="00556999" w:rsidP="00105A42">
      <w:pPr>
        <w:pStyle w:val="xmsolistparagraph"/>
        <w:spacing w:before="0" w:beforeAutospacing="0" w:after="0" w:afterAutospacing="0"/>
        <w:rPr>
          <w:rFonts w:asciiTheme="minorHAnsi" w:hAnsiTheme="minorHAnsi" w:cstheme="minorBidi"/>
        </w:rPr>
      </w:pPr>
    </w:p>
    <w:p w14:paraId="2B0005B5" w14:textId="77777777" w:rsidR="00105A42" w:rsidRDefault="00105A42" w:rsidP="00105A42">
      <w:pPr>
        <w:pStyle w:val="xmsolistparagraph"/>
        <w:spacing w:before="0" w:beforeAutospacing="0" w:after="0" w:afterAutospacing="0"/>
        <w:rPr>
          <w:rFonts w:asciiTheme="minorHAnsi" w:hAnsiTheme="minorHAnsi" w:cstheme="minorBidi"/>
        </w:rPr>
      </w:pPr>
    </w:p>
    <w:p w14:paraId="2F04FC82" w14:textId="77777777" w:rsidR="00F97FEF" w:rsidRDefault="00F97FEF" w:rsidP="009E3CDB">
      <w:pPr>
        <w:pStyle w:val="xmsolistparagraph"/>
        <w:spacing w:before="0" w:beforeAutospacing="0" w:after="0" w:afterAutospacing="0"/>
        <w:rPr>
          <w:rFonts w:asciiTheme="minorHAnsi" w:hAnsiTheme="minorHAnsi" w:cstheme="minorBidi"/>
        </w:rPr>
      </w:pPr>
    </w:p>
    <w:p w14:paraId="404F13FE" w14:textId="3CA3AD97" w:rsidR="00F16D20" w:rsidRDefault="00F16D20" w:rsidP="6ABD474B">
      <w:pPr>
        <w:pStyle w:val="xmsolistparagraph"/>
        <w:spacing w:before="0" w:beforeAutospacing="0" w:after="0" w:afterAutospacing="0"/>
        <w:rPr>
          <w:rFonts w:asciiTheme="minorHAnsi" w:hAnsiTheme="minorHAnsi" w:cstheme="minorBidi"/>
        </w:rPr>
      </w:pPr>
    </w:p>
    <w:bookmarkEnd w:id="2"/>
    <w:p w14:paraId="478EBC3D" w14:textId="2ED1D9FD" w:rsidR="00F8576A" w:rsidRDefault="00F8576A" w:rsidP="00753CD6">
      <w:pPr>
        <w:pStyle w:val="Default"/>
        <w:rPr>
          <w:rFonts w:asciiTheme="minorHAnsi" w:hAnsiTheme="minorHAnsi" w:cstheme="minorHAnsi"/>
          <w:sz w:val="22"/>
          <w:szCs w:val="22"/>
        </w:rPr>
      </w:pPr>
    </w:p>
    <w:p w14:paraId="38CC9331" w14:textId="7DD80FDD" w:rsidR="00F809BD" w:rsidRPr="00F809BD" w:rsidRDefault="00F809BD" w:rsidP="00F809BD">
      <w:pPr>
        <w:spacing w:after="60"/>
        <w:rPr>
          <w:color w:val="000000"/>
        </w:rPr>
        <w:sectPr w:rsidR="00F809BD" w:rsidRPr="00F809BD" w:rsidSect="00BC2F64">
          <w:footerReference w:type="default" r:id="rId17"/>
          <w:footnotePr>
            <w:numStart w:val="8"/>
          </w:footnotePr>
          <w:type w:val="continuous"/>
          <w:pgSz w:w="12240" w:h="15840"/>
          <w:pgMar w:top="1440" w:right="1440" w:bottom="1440" w:left="1440" w:header="720" w:footer="720" w:gutter="0"/>
          <w:cols w:space="720"/>
          <w:docGrid w:linePitch="360"/>
        </w:sectPr>
      </w:pPr>
    </w:p>
    <w:p w14:paraId="1813182D" w14:textId="13F02D95" w:rsidR="001A70D2" w:rsidRDefault="007E6C22" w:rsidP="00127AE0">
      <w:pPr>
        <w:pStyle w:val="Heading2"/>
        <w:spacing w:before="0" w:after="120"/>
        <w:rPr>
          <w:sz w:val="36"/>
          <w:szCs w:val="36"/>
        </w:rPr>
      </w:pPr>
      <w:bookmarkStart w:id="18" w:name="_Toc190440064"/>
      <w:bookmarkStart w:id="19" w:name="_Toc97500626"/>
      <w:r w:rsidRPr="692C77C9">
        <w:rPr>
          <w:sz w:val="36"/>
          <w:szCs w:val="36"/>
        </w:rPr>
        <w:lastRenderedPageBreak/>
        <w:t>Appendices</w:t>
      </w:r>
      <w:bookmarkEnd w:id="18"/>
    </w:p>
    <w:p w14:paraId="32CBCD8B" w14:textId="77777777" w:rsidR="00D27A62" w:rsidRPr="00127AE0" w:rsidRDefault="00D27A62" w:rsidP="00127AE0">
      <w:pPr>
        <w:rPr>
          <w:b/>
          <w:bCs/>
          <w:color w:val="1F497D"/>
        </w:rPr>
      </w:pPr>
      <w:r w:rsidRPr="00127AE0">
        <w:rPr>
          <w:b/>
          <w:bCs/>
          <w:color w:val="1F497D"/>
        </w:rPr>
        <w:t>Appendix A: MassHealth Managed Care Plans</w:t>
      </w:r>
    </w:p>
    <w:p w14:paraId="7FAA5E46" w14:textId="5655427E" w:rsidR="00D27A62" w:rsidRPr="00127AE0" w:rsidRDefault="00D27A62" w:rsidP="00127AE0">
      <w:pPr>
        <w:rPr>
          <w:b/>
          <w:bCs/>
          <w:color w:val="1F497D"/>
        </w:rPr>
      </w:pPr>
      <w:r w:rsidRPr="00127AE0">
        <w:rPr>
          <w:b/>
          <w:bCs/>
          <w:color w:val="1F497D"/>
        </w:rPr>
        <w:t>Appendix B:  Quality Measure Performance (Contract Level), 2018–2020</w:t>
      </w:r>
    </w:p>
    <w:p w14:paraId="3C3EF797" w14:textId="77777777" w:rsidR="000C65A9" w:rsidRPr="00127AE0" w:rsidRDefault="000C65A9" w:rsidP="00127AE0">
      <w:pPr>
        <w:rPr>
          <w:b/>
          <w:bCs/>
          <w:color w:val="1F497D"/>
        </w:rPr>
      </w:pPr>
      <w:r w:rsidRPr="00127AE0">
        <w:rPr>
          <w:b/>
          <w:bCs/>
          <w:color w:val="1F497D"/>
        </w:rPr>
        <w:t>Appendix C: CMS Adult and Child Core Measure Sets Performance (Calculated and Reported by MassHealth)</w:t>
      </w:r>
    </w:p>
    <w:p w14:paraId="04590ADC" w14:textId="3EABC394" w:rsidR="00D27A62" w:rsidRPr="00127AE0" w:rsidRDefault="000C65A9" w:rsidP="00127AE0">
      <w:pPr>
        <w:rPr>
          <w:color w:val="1F497D"/>
        </w:rPr>
      </w:pPr>
      <w:r w:rsidRPr="00127AE0">
        <w:rPr>
          <w:b/>
          <w:bCs/>
          <w:color w:val="1F497D"/>
        </w:rPr>
        <w:t>Appendix D: 2020 EQR Performance Improvement Projects (PIPs)</w:t>
      </w:r>
    </w:p>
    <w:p w14:paraId="0011640E" w14:textId="77777777" w:rsidR="001A70D2" w:rsidRDefault="001A70D2">
      <w:pPr>
        <w:rPr>
          <w:rFonts w:asciiTheme="minorHAnsi" w:eastAsia="Times New Roman" w:hAnsiTheme="minorHAnsi"/>
          <w:b/>
          <w:bCs/>
          <w:color w:val="1F497D"/>
          <w:sz w:val="36"/>
          <w:szCs w:val="36"/>
        </w:rPr>
      </w:pPr>
      <w:r>
        <w:rPr>
          <w:sz w:val="36"/>
          <w:szCs w:val="36"/>
        </w:rPr>
        <w:br w:type="page"/>
      </w:r>
    </w:p>
    <w:p w14:paraId="332F07EF" w14:textId="0BD71EBF" w:rsidR="00617E26" w:rsidRPr="00617E26" w:rsidRDefault="007E6C22" w:rsidP="000C65A9">
      <w:pPr>
        <w:pStyle w:val="Heading3"/>
        <w:spacing w:after="200"/>
      </w:pPr>
      <w:bookmarkStart w:id="20" w:name="_Toc190440065"/>
      <w:r>
        <w:lastRenderedPageBreak/>
        <w:t>Appendix A: MassHealth Managed Care Plans</w:t>
      </w:r>
      <w:bookmarkEnd w:id="20"/>
    </w:p>
    <w:tbl>
      <w:tblPr>
        <w:tblStyle w:val="GridTable4-Accent1"/>
        <w:tblW w:w="0" w:type="auto"/>
        <w:jc w:val="center"/>
        <w:tblLook w:val="04A0" w:firstRow="1" w:lastRow="0" w:firstColumn="1" w:lastColumn="0" w:noHBand="0" w:noVBand="1"/>
        <w:tblCaption w:val="Appendix B table of MassHealth Managed Care Plans"/>
      </w:tblPr>
      <w:tblGrid>
        <w:gridCol w:w="2657"/>
        <w:gridCol w:w="986"/>
        <w:gridCol w:w="1656"/>
        <w:gridCol w:w="4051"/>
      </w:tblGrid>
      <w:tr w:rsidR="007E6C22" w14:paraId="216F1E96" w14:textId="77777777" w:rsidTr="00BF0E5B">
        <w:trPr>
          <w:cnfStyle w:val="100000000000" w:firstRow="1" w:lastRow="0" w:firstColumn="0" w:lastColumn="0" w:oddVBand="0" w:evenVBand="0" w:oddHBand="0" w:evenHBand="0" w:firstRowFirstColumn="0" w:firstRowLastColumn="0" w:lastRowFirstColumn="0" w:lastRowLastColumn="0"/>
          <w:trHeight w:val="485"/>
          <w:tblHeader/>
          <w:jc w:val="center"/>
        </w:trPr>
        <w:tc>
          <w:tcPr>
            <w:cnfStyle w:val="001000000000" w:firstRow="0" w:lastRow="0" w:firstColumn="1" w:lastColumn="0" w:oddVBand="0" w:evenVBand="0" w:oddHBand="0" w:evenHBand="0" w:firstRowFirstColumn="0" w:firstRowLastColumn="0" w:lastRowFirstColumn="0" w:lastRowLastColumn="0"/>
            <w:tcW w:w="3399" w:type="dxa"/>
          </w:tcPr>
          <w:p w14:paraId="78237E02" w14:textId="77777777" w:rsidR="007E6C22" w:rsidRPr="00006380" w:rsidRDefault="007E6C22" w:rsidP="00EE745E">
            <w:pPr>
              <w:spacing w:after="240" w:line="259" w:lineRule="auto"/>
              <w:jc w:val="center"/>
              <w:rPr>
                <w:rFonts w:cs="Calibri"/>
              </w:rPr>
            </w:pPr>
            <w:r w:rsidRPr="00006380">
              <w:rPr>
                <w:rFonts w:cs="Calibri"/>
              </w:rPr>
              <w:t>Program</w:t>
            </w:r>
          </w:p>
        </w:tc>
        <w:tc>
          <w:tcPr>
            <w:tcW w:w="1144" w:type="dxa"/>
          </w:tcPr>
          <w:p w14:paraId="04A5FCD4" w14:textId="77777777" w:rsidR="007E6C22" w:rsidRPr="00006380" w:rsidRDefault="007E6C22" w:rsidP="00EE745E">
            <w:pPr>
              <w:spacing w:after="240" w:line="259" w:lineRule="auto"/>
              <w:jc w:val="center"/>
              <w:cnfStyle w:val="100000000000" w:firstRow="1" w:lastRow="0" w:firstColumn="0" w:lastColumn="0" w:oddVBand="0" w:evenVBand="0" w:oddHBand="0" w:evenHBand="0" w:firstRowFirstColumn="0" w:firstRowLastColumn="0" w:lastRowFirstColumn="0" w:lastRowLastColumn="0"/>
              <w:rPr>
                <w:rFonts w:cs="Calibri"/>
              </w:rPr>
            </w:pPr>
            <w:r w:rsidRPr="00006380">
              <w:rPr>
                <w:rFonts w:cs="Calibri"/>
              </w:rPr>
              <w:t>MCP Type</w:t>
            </w:r>
          </w:p>
        </w:tc>
        <w:tc>
          <w:tcPr>
            <w:tcW w:w="1702" w:type="dxa"/>
          </w:tcPr>
          <w:p w14:paraId="6EE10C48" w14:textId="77777777" w:rsidR="007E6C22" w:rsidRPr="00006380" w:rsidRDefault="007E6C22" w:rsidP="00EE745E">
            <w:pPr>
              <w:spacing w:after="240" w:line="259" w:lineRule="auto"/>
              <w:jc w:val="center"/>
              <w:cnfStyle w:val="100000000000" w:firstRow="1" w:lastRow="0" w:firstColumn="0" w:lastColumn="0" w:oddVBand="0" w:evenVBand="0" w:oddHBand="0" w:evenHBand="0" w:firstRowFirstColumn="0" w:firstRowLastColumn="0" w:lastRowFirstColumn="0" w:lastRowLastColumn="0"/>
              <w:rPr>
                <w:rFonts w:cs="Calibri"/>
              </w:rPr>
            </w:pPr>
            <w:r w:rsidRPr="00006380">
              <w:rPr>
                <w:rFonts w:cs="Calibri"/>
              </w:rPr>
              <w:t>Managed Care Authority</w:t>
            </w:r>
          </w:p>
        </w:tc>
        <w:tc>
          <w:tcPr>
            <w:tcW w:w="5275" w:type="dxa"/>
          </w:tcPr>
          <w:p w14:paraId="4AA119FF" w14:textId="4C69F5AA" w:rsidR="007E6C22" w:rsidRPr="00006380" w:rsidRDefault="007E6C22" w:rsidP="00EE745E">
            <w:pPr>
              <w:spacing w:after="240" w:line="259" w:lineRule="auto"/>
              <w:jc w:val="center"/>
              <w:cnfStyle w:val="100000000000" w:firstRow="1" w:lastRow="0" w:firstColumn="0" w:lastColumn="0" w:oddVBand="0" w:evenVBand="0" w:oddHBand="0" w:evenHBand="0" w:firstRowFirstColumn="0" w:firstRowLastColumn="0" w:lastRowFirstColumn="0" w:lastRowLastColumn="0"/>
              <w:rPr>
                <w:rFonts w:cs="Calibri"/>
              </w:rPr>
            </w:pPr>
            <w:r w:rsidRPr="00006380">
              <w:rPr>
                <w:rFonts w:cs="Calibri"/>
              </w:rPr>
              <w:t>Name of Plan</w:t>
            </w:r>
          </w:p>
        </w:tc>
      </w:tr>
      <w:tr w:rsidR="007E6C22" w14:paraId="23DC4CD7" w14:textId="77777777" w:rsidTr="00BF0E5B">
        <w:trPr>
          <w:cnfStyle w:val="000000100000" w:firstRow="0" w:lastRow="0" w:firstColumn="0" w:lastColumn="0" w:oddVBand="0" w:evenVBand="0" w:oddHBand="1" w:evenHBand="0" w:firstRowFirstColumn="0" w:firstRowLastColumn="0" w:lastRowFirstColumn="0" w:lastRowLastColumn="0"/>
          <w:trHeight w:val="4112"/>
          <w:jc w:val="center"/>
        </w:trPr>
        <w:tc>
          <w:tcPr>
            <w:cnfStyle w:val="001000000000" w:firstRow="0" w:lastRow="0" w:firstColumn="1" w:lastColumn="0" w:oddVBand="0" w:evenVBand="0" w:oddHBand="0" w:evenHBand="0" w:firstRowFirstColumn="0" w:firstRowLastColumn="0" w:lastRowFirstColumn="0" w:lastRowLastColumn="0"/>
            <w:tcW w:w="3399" w:type="dxa"/>
          </w:tcPr>
          <w:p w14:paraId="3EF516E4" w14:textId="77777777" w:rsidR="007E6C22" w:rsidRPr="00BF6EC7" w:rsidRDefault="007E6C22" w:rsidP="00EE745E">
            <w:pPr>
              <w:spacing w:after="160" w:line="259" w:lineRule="auto"/>
              <w:rPr>
                <w:rFonts w:cs="Calibri"/>
                <w:color w:val="000000" w:themeColor="text1"/>
              </w:rPr>
            </w:pPr>
            <w:r w:rsidRPr="00BF6EC7">
              <w:rPr>
                <w:rFonts w:cs="Calibri"/>
                <w:color w:val="000000" w:themeColor="text1"/>
              </w:rPr>
              <w:t>Accountable Care Organization (ACO)</w:t>
            </w:r>
          </w:p>
          <w:p w14:paraId="5B7BFDB8" w14:textId="77777777" w:rsidR="007E6C22" w:rsidRPr="0022394D" w:rsidRDefault="007E6C22" w:rsidP="00EE745E">
            <w:pPr>
              <w:spacing w:after="160" w:line="259" w:lineRule="auto"/>
              <w:rPr>
                <w:rFonts w:cs="Calibri"/>
                <w:color w:val="000000" w:themeColor="text1"/>
              </w:rPr>
            </w:pPr>
            <w:r>
              <w:rPr>
                <w:rFonts w:cs="Calibri"/>
                <w:color w:val="000000" w:themeColor="text1"/>
              </w:rPr>
              <w:t>ACO (</w:t>
            </w:r>
            <w:r w:rsidRPr="0022394D">
              <w:rPr>
                <w:rFonts w:cs="Calibri"/>
                <w:color w:val="000000" w:themeColor="text1"/>
              </w:rPr>
              <w:t>ACPP</w:t>
            </w:r>
            <w:r>
              <w:rPr>
                <w:rFonts w:cs="Calibri"/>
                <w:color w:val="000000" w:themeColor="text1"/>
              </w:rPr>
              <w:t>)</w:t>
            </w:r>
          </w:p>
        </w:tc>
        <w:tc>
          <w:tcPr>
            <w:tcW w:w="1144" w:type="dxa"/>
          </w:tcPr>
          <w:p w14:paraId="3EC17454" w14:textId="77777777" w:rsidR="007E6C22" w:rsidRPr="00BF6EC7" w:rsidRDefault="007E6C22" w:rsidP="00EE745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BF6EC7">
              <w:rPr>
                <w:rFonts w:cs="Calibri"/>
                <w:color w:val="000000" w:themeColor="text1"/>
              </w:rPr>
              <w:t>MCE</w:t>
            </w:r>
          </w:p>
        </w:tc>
        <w:tc>
          <w:tcPr>
            <w:tcW w:w="1702" w:type="dxa"/>
          </w:tcPr>
          <w:p w14:paraId="1E98975B" w14:textId="77777777" w:rsidR="007E6C22" w:rsidRPr="00BF6EC7" w:rsidRDefault="007E6C22" w:rsidP="00EE745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BF6EC7">
              <w:rPr>
                <w:rFonts w:cs="Calibri"/>
                <w:color w:val="000000" w:themeColor="text1"/>
              </w:rPr>
              <w:t>1115</w:t>
            </w:r>
          </w:p>
        </w:tc>
        <w:tc>
          <w:tcPr>
            <w:tcW w:w="5275" w:type="dxa"/>
          </w:tcPr>
          <w:p w14:paraId="5EF3338E" w14:textId="5C3E5DCB" w:rsidR="007E6C22" w:rsidRDefault="007E6C22">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DF67C7">
              <w:rPr>
                <w:rFonts w:cs="Calibri"/>
                <w:color w:val="000000" w:themeColor="text1"/>
              </w:rPr>
              <w:t>Be Healthy Partnership</w:t>
            </w:r>
          </w:p>
          <w:p w14:paraId="330DC2F3" w14:textId="77777777" w:rsidR="007E6C22" w:rsidRDefault="007E6C22">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DF67C7">
              <w:rPr>
                <w:rFonts w:cs="Calibri"/>
                <w:color w:val="000000" w:themeColor="text1"/>
              </w:rPr>
              <w:t>Berkshire Fallon Health Collaborative</w:t>
            </w:r>
          </w:p>
          <w:p w14:paraId="31FCC17D" w14:textId="77777777" w:rsidR="007E6C22" w:rsidRDefault="007E6C22">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DF67C7">
              <w:rPr>
                <w:rFonts w:cs="Calibri"/>
                <w:color w:val="000000" w:themeColor="text1"/>
              </w:rPr>
              <w:t>BMC HealthNet Plan Community Alliance</w:t>
            </w:r>
          </w:p>
          <w:p w14:paraId="4897B0C0" w14:textId="77777777" w:rsidR="007E6C22" w:rsidRDefault="007E6C22">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DF67C7">
              <w:rPr>
                <w:rFonts w:cs="Calibri"/>
                <w:color w:val="000000" w:themeColor="text1"/>
              </w:rPr>
              <w:t>BMC HealthNet Plan Mercy Alliance</w:t>
            </w:r>
          </w:p>
          <w:p w14:paraId="7E649581" w14:textId="77777777" w:rsidR="007E6C22" w:rsidRDefault="007E6C22">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DF67C7">
              <w:rPr>
                <w:rFonts w:cs="Calibri"/>
                <w:color w:val="000000" w:themeColor="text1"/>
              </w:rPr>
              <w:t>BMC HealthNet Plan Signature Alliance</w:t>
            </w:r>
          </w:p>
          <w:p w14:paraId="73C87B4F" w14:textId="77777777" w:rsidR="007E6C22" w:rsidRDefault="007E6C22">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DF67C7">
              <w:rPr>
                <w:rFonts w:cs="Calibri"/>
                <w:color w:val="000000" w:themeColor="text1"/>
              </w:rPr>
              <w:t>BMC HealthNet Plan Southcoast Alliance</w:t>
            </w:r>
          </w:p>
          <w:p w14:paraId="6D2F72DE" w14:textId="77777777" w:rsidR="007E6C22" w:rsidRDefault="007E6C22">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DF67C7">
              <w:rPr>
                <w:rFonts w:cs="Calibri"/>
                <w:color w:val="000000" w:themeColor="text1"/>
              </w:rPr>
              <w:t>Fallon 365 Care</w:t>
            </w:r>
          </w:p>
          <w:p w14:paraId="5056A183" w14:textId="32F63726" w:rsidR="007E6C22" w:rsidRDefault="007E6C22">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DF67C7">
              <w:rPr>
                <w:rFonts w:cs="Calibri"/>
                <w:color w:val="000000" w:themeColor="text1"/>
              </w:rPr>
              <w:t>My Care Family</w:t>
            </w:r>
          </w:p>
          <w:p w14:paraId="267F09F7" w14:textId="77777777" w:rsidR="007E6C22" w:rsidRDefault="007E6C22">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DF67C7">
              <w:rPr>
                <w:rFonts w:cs="Calibri"/>
                <w:color w:val="000000" w:themeColor="text1"/>
              </w:rPr>
              <w:t>Tufts Health Together with Atrius Health</w:t>
            </w:r>
          </w:p>
          <w:p w14:paraId="72AE075E" w14:textId="2AF4D9D3" w:rsidR="007E6C22" w:rsidRDefault="007E6C22">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DF67C7">
              <w:rPr>
                <w:rFonts w:cs="Calibri"/>
                <w:color w:val="000000" w:themeColor="text1"/>
              </w:rPr>
              <w:t>Tufts Health Together with Beth Israel Deaconess Care Organization</w:t>
            </w:r>
            <w:r w:rsidR="00E60DBF">
              <w:rPr>
                <w:rFonts w:cs="Calibri"/>
                <w:color w:val="000000" w:themeColor="text1"/>
              </w:rPr>
              <w:t xml:space="preserve"> (BIDCO)</w:t>
            </w:r>
          </w:p>
          <w:p w14:paraId="195D9BA9" w14:textId="77777777" w:rsidR="007E6C22" w:rsidRDefault="007E6C22">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DF67C7">
              <w:rPr>
                <w:rFonts w:cs="Calibri"/>
                <w:color w:val="000000" w:themeColor="text1"/>
              </w:rPr>
              <w:t>Tufts Health Together with Boston Children’s ACO</w:t>
            </w:r>
          </w:p>
          <w:p w14:paraId="37295546" w14:textId="5028F883" w:rsidR="007E6C22" w:rsidRDefault="007E6C22">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DF67C7">
              <w:rPr>
                <w:rFonts w:cs="Calibri"/>
                <w:color w:val="000000" w:themeColor="text1"/>
              </w:rPr>
              <w:t>Tufts Health Together with Cambridge Health Alliance</w:t>
            </w:r>
            <w:r w:rsidR="00A75EF3">
              <w:rPr>
                <w:rFonts w:cs="Calibri"/>
                <w:color w:val="000000" w:themeColor="text1"/>
              </w:rPr>
              <w:t xml:space="preserve"> (CHA)</w:t>
            </w:r>
          </w:p>
          <w:p w14:paraId="47B91EB8" w14:textId="688190B3" w:rsidR="007E6C22" w:rsidRPr="00DF67C7" w:rsidRDefault="007E6C22">
            <w:pPr>
              <w:pStyle w:val="ListParagraph"/>
              <w:numPr>
                <w:ilvl w:val="0"/>
                <w:numId w:val="9"/>
              </w:numPr>
              <w:spacing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proofErr w:type="spellStart"/>
            <w:r w:rsidRPr="00DF67C7">
              <w:rPr>
                <w:rFonts w:cs="Calibri"/>
                <w:color w:val="000000" w:themeColor="text1"/>
              </w:rPr>
              <w:t>Wellforce</w:t>
            </w:r>
            <w:proofErr w:type="spellEnd"/>
            <w:r w:rsidRPr="00DF67C7">
              <w:rPr>
                <w:rFonts w:cs="Calibri"/>
                <w:color w:val="000000" w:themeColor="text1"/>
              </w:rPr>
              <w:t xml:space="preserve"> Care Plan</w:t>
            </w:r>
          </w:p>
        </w:tc>
      </w:tr>
      <w:tr w:rsidR="007E6C22" w14:paraId="4BB2BF35" w14:textId="77777777" w:rsidTr="00BF0E5B">
        <w:trPr>
          <w:jc w:val="center"/>
        </w:trPr>
        <w:tc>
          <w:tcPr>
            <w:cnfStyle w:val="001000000000" w:firstRow="0" w:lastRow="0" w:firstColumn="1" w:lastColumn="0" w:oddVBand="0" w:evenVBand="0" w:oddHBand="0" w:evenHBand="0" w:firstRowFirstColumn="0" w:firstRowLastColumn="0" w:lastRowFirstColumn="0" w:lastRowLastColumn="0"/>
            <w:tcW w:w="3399" w:type="dxa"/>
          </w:tcPr>
          <w:p w14:paraId="557C9F55" w14:textId="77777777" w:rsidR="007E6C22" w:rsidRPr="0022394D" w:rsidRDefault="007E6C22" w:rsidP="00EE745E">
            <w:pPr>
              <w:spacing w:after="160" w:line="259" w:lineRule="auto"/>
              <w:rPr>
                <w:rFonts w:cs="Calibri"/>
                <w:color w:val="000000" w:themeColor="text1"/>
              </w:rPr>
            </w:pPr>
            <w:r>
              <w:rPr>
                <w:rFonts w:cs="Calibri"/>
                <w:color w:val="000000" w:themeColor="text1"/>
              </w:rPr>
              <w:t>ACO (</w:t>
            </w:r>
            <w:r w:rsidRPr="0022394D">
              <w:rPr>
                <w:rFonts w:cs="Calibri"/>
                <w:color w:val="000000" w:themeColor="text1"/>
              </w:rPr>
              <w:t>PCACO</w:t>
            </w:r>
            <w:r>
              <w:rPr>
                <w:rFonts w:cs="Calibri"/>
                <w:color w:val="000000" w:themeColor="text1"/>
              </w:rPr>
              <w:t>)</w:t>
            </w:r>
          </w:p>
        </w:tc>
        <w:tc>
          <w:tcPr>
            <w:tcW w:w="1144" w:type="dxa"/>
          </w:tcPr>
          <w:p w14:paraId="28F967CE" w14:textId="77777777" w:rsidR="007E6C22" w:rsidRPr="00BF6EC7" w:rsidRDefault="007E6C22" w:rsidP="00EE745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BF6EC7">
              <w:rPr>
                <w:rFonts w:cs="Calibri"/>
                <w:color w:val="000000" w:themeColor="text1"/>
              </w:rPr>
              <w:t>PCCM</w:t>
            </w:r>
            <w:r>
              <w:rPr>
                <w:rFonts w:cs="Calibri"/>
                <w:color w:val="000000" w:themeColor="text1"/>
              </w:rPr>
              <w:t xml:space="preserve"> entity</w:t>
            </w:r>
          </w:p>
        </w:tc>
        <w:tc>
          <w:tcPr>
            <w:tcW w:w="1702" w:type="dxa"/>
          </w:tcPr>
          <w:p w14:paraId="03102135" w14:textId="77777777" w:rsidR="007E6C22" w:rsidRPr="00BF6EC7" w:rsidRDefault="007E6C22" w:rsidP="00EE745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BF6EC7">
              <w:rPr>
                <w:rFonts w:cs="Calibri"/>
                <w:color w:val="000000" w:themeColor="text1"/>
              </w:rPr>
              <w:t>1115</w:t>
            </w:r>
          </w:p>
        </w:tc>
        <w:tc>
          <w:tcPr>
            <w:tcW w:w="5275" w:type="dxa"/>
          </w:tcPr>
          <w:p w14:paraId="1CD699CA" w14:textId="77777777" w:rsidR="007E6C22" w:rsidRPr="00BF6EC7" w:rsidRDefault="007E6C22">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BF6EC7">
              <w:rPr>
                <w:rFonts w:cs="Calibri"/>
                <w:color w:val="000000" w:themeColor="text1"/>
              </w:rPr>
              <w:t>Community Care Cooperative (C3)</w:t>
            </w:r>
          </w:p>
          <w:p w14:paraId="6FD6A250" w14:textId="77777777" w:rsidR="007E6C22" w:rsidRPr="00BF6EC7" w:rsidRDefault="007E6C22">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BF6EC7">
              <w:rPr>
                <w:rFonts w:cs="Calibri"/>
                <w:color w:val="000000" w:themeColor="text1"/>
              </w:rPr>
              <w:t>Mass General Brigham</w:t>
            </w:r>
          </w:p>
          <w:p w14:paraId="181DD64B" w14:textId="77777777" w:rsidR="007E6C22" w:rsidRPr="00BF6EC7" w:rsidRDefault="007E6C22">
            <w:pPr>
              <w:pStyle w:val="ListParagraph"/>
              <w:numPr>
                <w:ilvl w:val="0"/>
                <w:numId w:val="5"/>
              </w:numPr>
              <w:spacing w:line="259"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BF6EC7">
              <w:rPr>
                <w:rFonts w:cs="Calibri"/>
                <w:color w:val="000000" w:themeColor="text1"/>
              </w:rPr>
              <w:t>Steward Health Choice</w:t>
            </w:r>
          </w:p>
        </w:tc>
      </w:tr>
      <w:tr w:rsidR="007E6C22" w14:paraId="1CB711C5" w14:textId="77777777" w:rsidTr="00BF0E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9" w:type="dxa"/>
          </w:tcPr>
          <w:p w14:paraId="235E246E" w14:textId="77777777" w:rsidR="007E6C22" w:rsidRPr="00BF6EC7" w:rsidRDefault="007E6C22" w:rsidP="00EE745E">
            <w:pPr>
              <w:spacing w:after="160" w:line="259" w:lineRule="auto"/>
              <w:rPr>
                <w:rFonts w:cs="Calibri"/>
                <w:color w:val="000000" w:themeColor="text1"/>
              </w:rPr>
            </w:pPr>
            <w:r w:rsidRPr="00BF6EC7">
              <w:rPr>
                <w:rFonts w:cs="Calibri"/>
                <w:color w:val="000000" w:themeColor="text1"/>
              </w:rPr>
              <w:t>MCO-Administered ACO</w:t>
            </w:r>
          </w:p>
        </w:tc>
        <w:tc>
          <w:tcPr>
            <w:tcW w:w="1144" w:type="dxa"/>
          </w:tcPr>
          <w:p w14:paraId="6DA85112" w14:textId="77777777" w:rsidR="007E6C22" w:rsidRPr="00BF6EC7" w:rsidRDefault="007E6C22" w:rsidP="00EE745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BF6EC7">
              <w:rPr>
                <w:rFonts w:cs="Calibri"/>
                <w:color w:val="000000" w:themeColor="text1"/>
              </w:rPr>
              <w:t>MCE</w:t>
            </w:r>
          </w:p>
        </w:tc>
        <w:tc>
          <w:tcPr>
            <w:tcW w:w="1702" w:type="dxa"/>
          </w:tcPr>
          <w:p w14:paraId="6D3B19D2" w14:textId="77777777" w:rsidR="007E6C22" w:rsidRPr="00BF6EC7" w:rsidRDefault="007E6C22" w:rsidP="00EE745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BF6EC7">
              <w:rPr>
                <w:rFonts w:cs="Calibri"/>
                <w:color w:val="000000" w:themeColor="text1"/>
              </w:rPr>
              <w:t>1115</w:t>
            </w:r>
          </w:p>
        </w:tc>
        <w:tc>
          <w:tcPr>
            <w:tcW w:w="5275" w:type="dxa"/>
          </w:tcPr>
          <w:p w14:paraId="0F5A77EA" w14:textId="0DCD9D5D" w:rsidR="007E6C22" w:rsidRPr="00BF6EC7" w:rsidRDefault="007E6C22">
            <w:pPr>
              <w:pStyle w:val="ListParagraph"/>
              <w:numPr>
                <w:ilvl w:val="0"/>
                <w:numId w:val="6"/>
              </w:numPr>
              <w:spacing w:after="160" w:line="259" w:lineRule="auto"/>
              <w:ind w:left="361" w:hanging="360"/>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BF6EC7">
              <w:rPr>
                <w:rFonts w:cs="Calibri"/>
                <w:color w:val="000000" w:themeColor="text1"/>
              </w:rPr>
              <w:t>Lahey</w:t>
            </w:r>
            <w:r w:rsidR="00A249F6">
              <w:rPr>
                <w:rFonts w:cs="Calibri"/>
                <w:color w:val="000000" w:themeColor="text1"/>
              </w:rPr>
              <w:t>-MassHealth Primary Care Organization</w:t>
            </w:r>
          </w:p>
        </w:tc>
      </w:tr>
      <w:tr w:rsidR="007E6C22" w14:paraId="0479E10C" w14:textId="77777777" w:rsidTr="00BF0E5B">
        <w:trPr>
          <w:jc w:val="center"/>
        </w:trPr>
        <w:tc>
          <w:tcPr>
            <w:cnfStyle w:val="001000000000" w:firstRow="0" w:lastRow="0" w:firstColumn="1" w:lastColumn="0" w:oddVBand="0" w:evenVBand="0" w:oddHBand="0" w:evenHBand="0" w:firstRowFirstColumn="0" w:firstRowLastColumn="0" w:lastRowFirstColumn="0" w:lastRowLastColumn="0"/>
            <w:tcW w:w="3399" w:type="dxa"/>
          </w:tcPr>
          <w:p w14:paraId="36316A2A" w14:textId="77777777" w:rsidR="007E6C22" w:rsidRPr="00BF6EC7" w:rsidRDefault="007E6C22" w:rsidP="00EE745E">
            <w:pPr>
              <w:spacing w:after="160" w:line="259" w:lineRule="auto"/>
              <w:rPr>
                <w:rFonts w:cs="Calibri"/>
                <w:color w:val="000000" w:themeColor="text1"/>
              </w:rPr>
            </w:pPr>
            <w:r w:rsidRPr="00BF6EC7">
              <w:rPr>
                <w:rFonts w:cs="Calibri"/>
                <w:color w:val="000000" w:themeColor="text1"/>
              </w:rPr>
              <w:t>Managed Care Organization (MCO)</w:t>
            </w:r>
          </w:p>
        </w:tc>
        <w:tc>
          <w:tcPr>
            <w:tcW w:w="1144" w:type="dxa"/>
          </w:tcPr>
          <w:p w14:paraId="20C29E8F" w14:textId="77777777" w:rsidR="007E6C22" w:rsidRPr="00BF6EC7" w:rsidRDefault="007E6C22" w:rsidP="00EE745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BF6EC7">
              <w:rPr>
                <w:rFonts w:cs="Calibri"/>
                <w:color w:val="000000" w:themeColor="text1"/>
              </w:rPr>
              <w:t>MC</w:t>
            </w:r>
            <w:r>
              <w:rPr>
                <w:rFonts w:cs="Calibri"/>
                <w:color w:val="000000" w:themeColor="text1"/>
              </w:rPr>
              <w:t>E</w:t>
            </w:r>
          </w:p>
        </w:tc>
        <w:tc>
          <w:tcPr>
            <w:tcW w:w="1702" w:type="dxa"/>
          </w:tcPr>
          <w:p w14:paraId="65498A7F" w14:textId="77777777" w:rsidR="007E6C22" w:rsidRPr="00BF6EC7" w:rsidRDefault="007E6C22" w:rsidP="00EE745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BF6EC7">
              <w:rPr>
                <w:rFonts w:cs="Calibri"/>
                <w:color w:val="000000" w:themeColor="text1"/>
              </w:rPr>
              <w:t>1115</w:t>
            </w:r>
          </w:p>
        </w:tc>
        <w:tc>
          <w:tcPr>
            <w:tcW w:w="5275" w:type="dxa"/>
          </w:tcPr>
          <w:p w14:paraId="51530CF7" w14:textId="77777777" w:rsidR="007E6C22" w:rsidRDefault="007E6C22">
            <w:pPr>
              <w:pStyle w:val="ListParagraph"/>
              <w:numPr>
                <w:ilvl w:val="0"/>
                <w:numId w:val="6"/>
              </w:numPr>
              <w:spacing w:after="160" w:line="259" w:lineRule="auto"/>
              <w:ind w:left="361" w:hanging="361"/>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DF67C7">
              <w:rPr>
                <w:rFonts w:cs="Calibri"/>
                <w:color w:val="000000" w:themeColor="text1"/>
              </w:rPr>
              <w:t>BMC HealthNet Plan</w:t>
            </w:r>
          </w:p>
          <w:p w14:paraId="7A254FF8" w14:textId="77777777" w:rsidR="007E6C22" w:rsidRPr="00DF67C7" w:rsidRDefault="007E6C22">
            <w:pPr>
              <w:pStyle w:val="ListParagraph"/>
              <w:numPr>
                <w:ilvl w:val="0"/>
                <w:numId w:val="6"/>
              </w:numPr>
              <w:spacing w:line="259" w:lineRule="auto"/>
              <w:ind w:left="360" w:hanging="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DF67C7">
              <w:rPr>
                <w:rFonts w:cs="Calibri"/>
                <w:color w:val="000000" w:themeColor="text1"/>
              </w:rPr>
              <w:t>Tufts Health Together</w:t>
            </w:r>
          </w:p>
        </w:tc>
      </w:tr>
      <w:tr w:rsidR="007E6C22" w14:paraId="5FC621F2" w14:textId="77777777" w:rsidTr="00BF0E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9" w:type="dxa"/>
          </w:tcPr>
          <w:p w14:paraId="52BB37E4" w14:textId="77777777" w:rsidR="007E6C22" w:rsidRPr="00BF6EC7" w:rsidRDefault="007E6C22" w:rsidP="00EE745E">
            <w:pPr>
              <w:spacing w:after="160" w:line="259" w:lineRule="auto"/>
              <w:rPr>
                <w:rFonts w:cs="Calibri"/>
                <w:color w:val="000000" w:themeColor="text1"/>
              </w:rPr>
            </w:pPr>
            <w:r w:rsidRPr="00BF6EC7">
              <w:rPr>
                <w:rFonts w:cs="Calibri"/>
                <w:color w:val="000000" w:themeColor="text1"/>
              </w:rPr>
              <w:t>Senior Care Options (SCO)</w:t>
            </w:r>
          </w:p>
        </w:tc>
        <w:tc>
          <w:tcPr>
            <w:tcW w:w="1144" w:type="dxa"/>
          </w:tcPr>
          <w:p w14:paraId="735BF7F2" w14:textId="77777777" w:rsidR="007E6C22" w:rsidRPr="00BF6EC7" w:rsidRDefault="007E6C22" w:rsidP="00EE745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BF6EC7">
              <w:rPr>
                <w:rFonts w:cs="Calibri"/>
                <w:color w:val="000000" w:themeColor="text1"/>
              </w:rPr>
              <w:t>MCE</w:t>
            </w:r>
          </w:p>
        </w:tc>
        <w:tc>
          <w:tcPr>
            <w:tcW w:w="1702" w:type="dxa"/>
          </w:tcPr>
          <w:p w14:paraId="2A44021D" w14:textId="77777777" w:rsidR="007E6C22" w:rsidRPr="00BF6EC7" w:rsidRDefault="007E6C22" w:rsidP="00EE745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BF6EC7">
              <w:rPr>
                <w:rFonts w:cs="Calibri"/>
                <w:color w:val="000000" w:themeColor="text1"/>
              </w:rPr>
              <w:t>1915(a)/1915(c)</w:t>
            </w:r>
            <w:r w:rsidRPr="00BF6EC7">
              <w:rPr>
                <w:rFonts w:eastAsia="Times New Roman" w:cs="Calibri"/>
              </w:rPr>
              <w:t> </w:t>
            </w:r>
          </w:p>
        </w:tc>
        <w:tc>
          <w:tcPr>
            <w:tcW w:w="5275" w:type="dxa"/>
          </w:tcPr>
          <w:p w14:paraId="0E11EE7A" w14:textId="77777777" w:rsidR="007E6C22" w:rsidRDefault="007E6C22">
            <w:pPr>
              <w:pStyle w:val="ListParagraph"/>
              <w:numPr>
                <w:ilvl w:val="0"/>
                <w:numId w:val="10"/>
              </w:numPr>
              <w:spacing w:after="160" w:line="259" w:lineRule="auto"/>
              <w:ind w:left="361" w:hanging="361"/>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DF67C7">
              <w:rPr>
                <w:rFonts w:cs="Calibri"/>
                <w:color w:val="000000" w:themeColor="text1"/>
              </w:rPr>
              <w:t>BMC HealthNet Plan Senior Care Options</w:t>
            </w:r>
          </w:p>
          <w:p w14:paraId="60F66CED" w14:textId="77777777" w:rsidR="007E6C22" w:rsidRDefault="007E6C22">
            <w:pPr>
              <w:pStyle w:val="ListParagraph"/>
              <w:numPr>
                <w:ilvl w:val="0"/>
                <w:numId w:val="10"/>
              </w:numPr>
              <w:spacing w:after="160" w:line="259" w:lineRule="auto"/>
              <w:ind w:left="361" w:hanging="361"/>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DF67C7">
              <w:rPr>
                <w:rFonts w:cs="Calibri"/>
                <w:color w:val="000000" w:themeColor="text1"/>
              </w:rPr>
              <w:t>Commonwealth Care Alliance</w:t>
            </w:r>
          </w:p>
          <w:p w14:paraId="68BD992F" w14:textId="77777777" w:rsidR="007E6C22" w:rsidRDefault="007E6C22">
            <w:pPr>
              <w:pStyle w:val="ListParagraph"/>
              <w:numPr>
                <w:ilvl w:val="0"/>
                <w:numId w:val="10"/>
              </w:numPr>
              <w:spacing w:after="160" w:line="259" w:lineRule="auto"/>
              <w:ind w:left="361" w:hanging="361"/>
              <w:cnfStyle w:val="000000100000" w:firstRow="0" w:lastRow="0" w:firstColumn="0" w:lastColumn="0" w:oddVBand="0" w:evenVBand="0" w:oddHBand="1" w:evenHBand="0" w:firstRowFirstColumn="0" w:firstRowLastColumn="0" w:lastRowFirstColumn="0" w:lastRowLastColumn="0"/>
              <w:rPr>
                <w:rFonts w:cs="Calibri"/>
                <w:color w:val="000000" w:themeColor="text1"/>
              </w:rPr>
            </w:pPr>
            <w:proofErr w:type="spellStart"/>
            <w:r w:rsidRPr="00DF67C7">
              <w:rPr>
                <w:rFonts w:cs="Calibri"/>
                <w:color w:val="000000" w:themeColor="text1"/>
              </w:rPr>
              <w:t>NaviCare</w:t>
            </w:r>
            <w:proofErr w:type="spellEnd"/>
            <w:r w:rsidRPr="00DF67C7">
              <w:rPr>
                <w:rFonts w:cs="Calibri"/>
                <w:color w:val="000000" w:themeColor="text1"/>
              </w:rPr>
              <w:t xml:space="preserve"> (HMO)</w:t>
            </w:r>
          </w:p>
          <w:p w14:paraId="4CAA9F27" w14:textId="77777777" w:rsidR="007E6C22" w:rsidRDefault="007E6C22">
            <w:pPr>
              <w:pStyle w:val="ListParagraph"/>
              <w:numPr>
                <w:ilvl w:val="0"/>
                <w:numId w:val="10"/>
              </w:numPr>
              <w:spacing w:after="160" w:line="259" w:lineRule="auto"/>
              <w:ind w:left="361" w:hanging="361"/>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DF67C7">
              <w:rPr>
                <w:rFonts w:cs="Calibri"/>
                <w:color w:val="000000" w:themeColor="text1"/>
              </w:rPr>
              <w:t>Senior Whole Health</w:t>
            </w:r>
          </w:p>
          <w:p w14:paraId="48A87768" w14:textId="77777777" w:rsidR="007E6C22" w:rsidRDefault="007E6C22">
            <w:pPr>
              <w:pStyle w:val="ListParagraph"/>
              <w:numPr>
                <w:ilvl w:val="0"/>
                <w:numId w:val="10"/>
              </w:numPr>
              <w:spacing w:after="160" w:line="259" w:lineRule="auto"/>
              <w:ind w:left="361" w:hanging="361"/>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DF67C7">
              <w:rPr>
                <w:rFonts w:cs="Calibri"/>
                <w:color w:val="000000" w:themeColor="text1"/>
              </w:rPr>
              <w:t>Tufts Health Plan Senior Care Options</w:t>
            </w:r>
          </w:p>
          <w:p w14:paraId="01F99B44" w14:textId="77777777" w:rsidR="007E6C22" w:rsidRPr="00DF67C7" w:rsidRDefault="007E6C22">
            <w:pPr>
              <w:pStyle w:val="ListParagraph"/>
              <w:numPr>
                <w:ilvl w:val="0"/>
                <w:numId w:val="10"/>
              </w:numPr>
              <w:spacing w:after="240" w:line="259" w:lineRule="auto"/>
              <w:ind w:left="360"/>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DF67C7">
              <w:rPr>
                <w:rFonts w:cs="Calibri"/>
                <w:color w:val="000000" w:themeColor="text1"/>
              </w:rPr>
              <w:t>United HealthCare</w:t>
            </w:r>
          </w:p>
        </w:tc>
      </w:tr>
      <w:tr w:rsidR="007E6C22" w14:paraId="368A724B" w14:textId="77777777" w:rsidTr="00BF0E5B">
        <w:trPr>
          <w:jc w:val="center"/>
        </w:trPr>
        <w:tc>
          <w:tcPr>
            <w:cnfStyle w:val="001000000000" w:firstRow="0" w:lastRow="0" w:firstColumn="1" w:lastColumn="0" w:oddVBand="0" w:evenVBand="0" w:oddHBand="0" w:evenHBand="0" w:firstRowFirstColumn="0" w:firstRowLastColumn="0" w:lastRowFirstColumn="0" w:lastRowLastColumn="0"/>
            <w:tcW w:w="3399" w:type="dxa"/>
          </w:tcPr>
          <w:p w14:paraId="4F111B21" w14:textId="77777777" w:rsidR="007E6C22" w:rsidRPr="00BF6EC7" w:rsidRDefault="007E6C22" w:rsidP="00EE745E">
            <w:pPr>
              <w:spacing w:after="160" w:line="259" w:lineRule="auto"/>
              <w:rPr>
                <w:rFonts w:cs="Calibri"/>
                <w:color w:val="000000" w:themeColor="text1"/>
              </w:rPr>
            </w:pPr>
            <w:r w:rsidRPr="00BF6EC7">
              <w:rPr>
                <w:rFonts w:cs="Calibri"/>
                <w:color w:val="000000" w:themeColor="text1"/>
              </w:rPr>
              <w:t xml:space="preserve">One Care </w:t>
            </w:r>
          </w:p>
        </w:tc>
        <w:tc>
          <w:tcPr>
            <w:tcW w:w="1144" w:type="dxa"/>
          </w:tcPr>
          <w:p w14:paraId="5E4AA624" w14:textId="77777777" w:rsidR="007E6C22" w:rsidRPr="00BF6EC7" w:rsidRDefault="007E6C22" w:rsidP="00EE745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BF6EC7">
              <w:rPr>
                <w:rFonts w:cs="Calibri"/>
                <w:color w:val="000000" w:themeColor="text1"/>
              </w:rPr>
              <w:t>MCE</w:t>
            </w:r>
          </w:p>
        </w:tc>
        <w:tc>
          <w:tcPr>
            <w:tcW w:w="1702" w:type="dxa"/>
          </w:tcPr>
          <w:p w14:paraId="70D49528" w14:textId="77777777" w:rsidR="007E6C22" w:rsidRPr="00BF6EC7" w:rsidRDefault="007E6C22" w:rsidP="00EE745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BF6EC7">
              <w:rPr>
                <w:rFonts w:cs="Calibri"/>
                <w:color w:val="000000" w:themeColor="text1"/>
              </w:rPr>
              <w:t>Demonstration</w:t>
            </w:r>
          </w:p>
        </w:tc>
        <w:tc>
          <w:tcPr>
            <w:tcW w:w="5275" w:type="dxa"/>
          </w:tcPr>
          <w:p w14:paraId="266B16D2" w14:textId="77777777" w:rsidR="007E6C22" w:rsidRPr="00DF67C7" w:rsidRDefault="007E6C22">
            <w:pPr>
              <w:pStyle w:val="ListParagraph"/>
              <w:numPr>
                <w:ilvl w:val="0"/>
                <w:numId w:val="4"/>
              </w:numPr>
              <w:spacing w:after="160" w:line="259" w:lineRule="auto"/>
              <w:ind w:left="361" w:hanging="361"/>
              <w:cnfStyle w:val="000000000000" w:firstRow="0" w:lastRow="0" w:firstColumn="0" w:lastColumn="0" w:oddVBand="0" w:evenVBand="0" w:oddHBand="0" w:evenHBand="0" w:firstRowFirstColumn="0" w:firstRowLastColumn="0" w:lastRowFirstColumn="0" w:lastRowLastColumn="0"/>
            </w:pPr>
            <w:r w:rsidRPr="00BF6EC7">
              <w:rPr>
                <w:rFonts w:cs="Calibri"/>
                <w:color w:val="000000" w:themeColor="text1"/>
              </w:rPr>
              <w:t>Commonwealth Care Alliance</w:t>
            </w:r>
          </w:p>
          <w:p w14:paraId="7557305B" w14:textId="77777777" w:rsidR="00AF4022" w:rsidRPr="00AF4022" w:rsidRDefault="007E6C22">
            <w:pPr>
              <w:pStyle w:val="ListParagraph"/>
              <w:numPr>
                <w:ilvl w:val="0"/>
                <w:numId w:val="4"/>
              </w:numPr>
              <w:spacing w:after="160" w:line="259" w:lineRule="auto"/>
              <w:ind w:left="361" w:hanging="361"/>
              <w:cnfStyle w:val="000000000000" w:firstRow="0" w:lastRow="0" w:firstColumn="0" w:lastColumn="0" w:oddVBand="0" w:evenVBand="0" w:oddHBand="0" w:evenHBand="0" w:firstRowFirstColumn="0" w:firstRowLastColumn="0" w:lastRowFirstColumn="0" w:lastRowLastColumn="0"/>
            </w:pPr>
            <w:r w:rsidRPr="00DF67C7">
              <w:rPr>
                <w:rFonts w:cs="Calibri"/>
                <w:color w:val="000000" w:themeColor="text1"/>
              </w:rPr>
              <w:t>Tufts Health Plan Unify</w:t>
            </w:r>
          </w:p>
          <w:p w14:paraId="2CE70A7F" w14:textId="1915FF67" w:rsidR="007E6C22" w:rsidRPr="00AF4022" w:rsidRDefault="007E6C22">
            <w:pPr>
              <w:pStyle w:val="ListParagraph"/>
              <w:numPr>
                <w:ilvl w:val="0"/>
                <w:numId w:val="4"/>
              </w:numPr>
              <w:spacing w:after="160" w:line="259" w:lineRule="auto"/>
              <w:ind w:left="361" w:hanging="361"/>
              <w:cnfStyle w:val="000000000000" w:firstRow="0" w:lastRow="0" w:firstColumn="0" w:lastColumn="0" w:oddVBand="0" w:evenVBand="0" w:oddHBand="0" w:evenHBand="0" w:firstRowFirstColumn="0" w:firstRowLastColumn="0" w:lastRowFirstColumn="0" w:lastRowLastColumn="0"/>
            </w:pPr>
            <w:r w:rsidRPr="00AF4022">
              <w:rPr>
                <w:rFonts w:cs="Calibri"/>
                <w:color w:val="000000" w:themeColor="text1"/>
              </w:rPr>
              <w:t xml:space="preserve">United HealthCare Connected </w:t>
            </w:r>
          </w:p>
        </w:tc>
      </w:tr>
      <w:tr w:rsidR="007E6C22" w14:paraId="7270776B" w14:textId="77777777" w:rsidTr="00BF0E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9" w:type="dxa"/>
          </w:tcPr>
          <w:p w14:paraId="784F7E03" w14:textId="77777777" w:rsidR="007E6C22" w:rsidRPr="00BF6EC7" w:rsidRDefault="007E6C22" w:rsidP="00EE745E">
            <w:pPr>
              <w:spacing w:after="160" w:line="259" w:lineRule="auto"/>
              <w:rPr>
                <w:rFonts w:cs="Calibri"/>
                <w:color w:val="000000" w:themeColor="text1"/>
              </w:rPr>
            </w:pPr>
            <w:r w:rsidRPr="00BF6EC7">
              <w:rPr>
                <w:rFonts w:cs="Calibri"/>
                <w:color w:val="000000" w:themeColor="text1"/>
              </w:rPr>
              <w:t>PCC Plan</w:t>
            </w:r>
          </w:p>
        </w:tc>
        <w:tc>
          <w:tcPr>
            <w:tcW w:w="1144" w:type="dxa"/>
          </w:tcPr>
          <w:p w14:paraId="1CA21FF8" w14:textId="77777777" w:rsidR="007E6C22" w:rsidRPr="00BF6EC7" w:rsidDel="00187DD3" w:rsidRDefault="007E6C22" w:rsidP="00EE745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BF6EC7">
              <w:rPr>
                <w:rFonts w:cs="Calibri"/>
                <w:color w:val="000000" w:themeColor="text1"/>
              </w:rPr>
              <w:t>PCCM</w:t>
            </w:r>
          </w:p>
        </w:tc>
        <w:tc>
          <w:tcPr>
            <w:tcW w:w="1702" w:type="dxa"/>
          </w:tcPr>
          <w:p w14:paraId="12B12FB5" w14:textId="77777777" w:rsidR="007E6C22" w:rsidRPr="00BF6EC7" w:rsidRDefault="007E6C22" w:rsidP="00EE745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BF6EC7">
              <w:rPr>
                <w:rFonts w:cs="Calibri"/>
                <w:color w:val="000000" w:themeColor="text1"/>
              </w:rPr>
              <w:t>1115</w:t>
            </w:r>
          </w:p>
        </w:tc>
        <w:tc>
          <w:tcPr>
            <w:tcW w:w="5275" w:type="dxa"/>
          </w:tcPr>
          <w:p w14:paraId="327FF897" w14:textId="77777777" w:rsidR="007E6C22" w:rsidRPr="00BF6EC7" w:rsidRDefault="007E6C22" w:rsidP="00EE745E">
            <w:pPr>
              <w:pStyle w:val="ListParagraph"/>
              <w:spacing w:after="160" w:line="259" w:lineRule="auto"/>
              <w:ind w:left="360"/>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BF6EC7">
              <w:rPr>
                <w:rFonts w:cs="Calibri"/>
                <w:color w:val="000000" w:themeColor="text1"/>
              </w:rPr>
              <w:t>NA (MassHealth)</w:t>
            </w:r>
          </w:p>
        </w:tc>
      </w:tr>
      <w:tr w:rsidR="007E6C22" w14:paraId="7781B9FE" w14:textId="77777777" w:rsidTr="00BF0E5B">
        <w:trPr>
          <w:jc w:val="center"/>
        </w:trPr>
        <w:tc>
          <w:tcPr>
            <w:cnfStyle w:val="001000000000" w:firstRow="0" w:lastRow="0" w:firstColumn="1" w:lastColumn="0" w:oddVBand="0" w:evenVBand="0" w:oddHBand="0" w:evenHBand="0" w:firstRowFirstColumn="0" w:firstRowLastColumn="0" w:lastRowFirstColumn="0" w:lastRowLastColumn="0"/>
            <w:tcW w:w="3399" w:type="dxa"/>
          </w:tcPr>
          <w:p w14:paraId="5FA23769" w14:textId="77777777" w:rsidR="007E6C22" w:rsidRPr="00BF6EC7" w:rsidRDefault="007E6C22" w:rsidP="00EE745E">
            <w:pPr>
              <w:spacing w:after="160" w:line="259" w:lineRule="auto"/>
              <w:rPr>
                <w:rFonts w:cs="Calibri"/>
                <w:color w:val="000000" w:themeColor="text1"/>
              </w:rPr>
            </w:pPr>
            <w:r w:rsidRPr="00BF6EC7">
              <w:rPr>
                <w:rFonts w:cs="Calibri"/>
                <w:color w:val="000000" w:themeColor="text1"/>
              </w:rPr>
              <w:t>Behavioral Health Plan</w:t>
            </w:r>
          </w:p>
        </w:tc>
        <w:tc>
          <w:tcPr>
            <w:tcW w:w="1144" w:type="dxa"/>
          </w:tcPr>
          <w:p w14:paraId="6D349494" w14:textId="77777777" w:rsidR="007E6C22" w:rsidRPr="00BF6EC7" w:rsidDel="00187DD3" w:rsidRDefault="007E6C22" w:rsidP="00EE745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BF6EC7">
              <w:rPr>
                <w:rFonts w:cs="Calibri"/>
                <w:color w:val="000000" w:themeColor="text1"/>
              </w:rPr>
              <w:t>PIHP</w:t>
            </w:r>
          </w:p>
        </w:tc>
        <w:tc>
          <w:tcPr>
            <w:tcW w:w="1702" w:type="dxa"/>
          </w:tcPr>
          <w:p w14:paraId="1534DF04" w14:textId="77777777" w:rsidR="007E6C22" w:rsidRPr="00BF6EC7" w:rsidRDefault="007E6C22" w:rsidP="00EE745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BF6EC7">
              <w:rPr>
                <w:rFonts w:cs="Calibri"/>
                <w:color w:val="000000" w:themeColor="text1"/>
              </w:rPr>
              <w:t>PIHP</w:t>
            </w:r>
          </w:p>
        </w:tc>
        <w:tc>
          <w:tcPr>
            <w:tcW w:w="5275" w:type="dxa"/>
          </w:tcPr>
          <w:p w14:paraId="285C49A3" w14:textId="77777777" w:rsidR="007E6C22" w:rsidRPr="00BF6EC7" w:rsidRDefault="007E6C22">
            <w:pPr>
              <w:pStyle w:val="ListParagraph"/>
              <w:numPr>
                <w:ilvl w:val="0"/>
                <w:numId w:val="4"/>
              </w:numPr>
              <w:spacing w:after="160" w:line="259" w:lineRule="auto"/>
              <w:ind w:left="421" w:hanging="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BF6EC7">
              <w:rPr>
                <w:rFonts w:cs="Calibri"/>
                <w:color w:val="000000" w:themeColor="text1"/>
              </w:rPr>
              <w:t>Massachusetts Behavioral Health Partnership (MBHP)</w:t>
            </w:r>
          </w:p>
        </w:tc>
      </w:tr>
    </w:tbl>
    <w:p w14:paraId="744BE477" w14:textId="59B8E0E1" w:rsidR="00CC643E" w:rsidRDefault="00CC643E">
      <w:pPr>
        <w:rPr>
          <w:rFonts w:asciiTheme="minorHAnsi" w:eastAsia="Times New Roman" w:hAnsiTheme="minorHAnsi"/>
          <w:b/>
          <w:bCs/>
          <w:color w:val="1F497D"/>
          <w:sz w:val="28"/>
          <w:szCs w:val="26"/>
        </w:rPr>
      </w:pPr>
    </w:p>
    <w:bookmarkEnd w:id="19"/>
    <w:p w14:paraId="5A8061CC" w14:textId="026F2297" w:rsidR="007E6C22" w:rsidRPr="004961A3" w:rsidRDefault="007E6C22" w:rsidP="3280630A">
      <w:pPr>
        <w:pBdr>
          <w:top w:val="single" w:sz="4" w:space="0" w:color="auto"/>
          <w:left w:val="single" w:sz="4" w:space="4" w:color="auto"/>
          <w:bottom w:val="single" w:sz="4" w:space="1" w:color="auto"/>
          <w:right w:val="single" w:sz="4" w:space="4" w:color="auto"/>
        </w:pBdr>
        <w:shd w:val="clear" w:color="auto" w:fill="000000" w:themeFill="text1"/>
        <w:spacing w:after="0"/>
        <w:rPr>
          <w:rFonts w:eastAsia="Times New Roman" w:cs="Calibri"/>
          <w:b/>
          <w:bCs/>
          <w:color w:val="000000"/>
          <w:sz w:val="18"/>
          <w:szCs w:val="18"/>
        </w:rPr>
        <w:sectPr w:rsidR="007E6C22" w:rsidRPr="004961A3" w:rsidSect="00575EDC">
          <w:headerReference w:type="default" r:id="rId18"/>
          <w:footnotePr>
            <w:numStart w:val="8"/>
          </w:footnotePr>
          <w:pgSz w:w="12240" w:h="15840"/>
          <w:pgMar w:top="1440" w:right="1440" w:bottom="1440" w:left="1440" w:header="720" w:footer="720" w:gutter="0"/>
          <w:cols w:space="720"/>
          <w:docGrid w:linePitch="360"/>
        </w:sectPr>
      </w:pPr>
    </w:p>
    <w:p w14:paraId="2550860E" w14:textId="715F9EC6" w:rsidR="00811BE3" w:rsidRDefault="00811BE3" w:rsidP="005D332F">
      <w:pPr>
        <w:pStyle w:val="Heading3"/>
        <w:spacing w:after="120"/>
        <w:ind w:left="-900"/>
      </w:pPr>
      <w:bookmarkStart w:id="21" w:name="_Toc111119058"/>
      <w:bookmarkStart w:id="22" w:name="_Toc190440066"/>
      <w:r>
        <w:lastRenderedPageBreak/>
        <w:t xml:space="preserve">Appendix </w:t>
      </w:r>
      <w:r w:rsidR="00F809BD">
        <w:t>B</w:t>
      </w:r>
      <w:r w:rsidR="00DD06D6">
        <w:t>: Quality</w:t>
      </w:r>
      <w:r>
        <w:t xml:space="preserve"> </w:t>
      </w:r>
      <w:r w:rsidR="002B3401">
        <w:t xml:space="preserve">Measure </w:t>
      </w:r>
      <w:r>
        <w:t>Performance</w:t>
      </w:r>
      <w:r w:rsidR="009A0018">
        <w:t xml:space="preserve"> (Contract</w:t>
      </w:r>
      <w:r w:rsidR="00624D2C">
        <w:t xml:space="preserve"> Level</w:t>
      </w:r>
      <w:r w:rsidR="009A0018">
        <w:t>)</w:t>
      </w:r>
      <w:r w:rsidR="00533AA7">
        <w:t>, 20</w:t>
      </w:r>
      <w:r w:rsidR="00E6400D">
        <w:t>20</w:t>
      </w:r>
      <w:r w:rsidR="00533AA7">
        <w:t>-202</w:t>
      </w:r>
      <w:bookmarkEnd w:id="21"/>
      <w:r w:rsidR="00E6400D">
        <w:t>2</w:t>
      </w:r>
      <w:bookmarkEnd w:id="22"/>
    </w:p>
    <w:p w14:paraId="224018F6" w14:textId="77777777" w:rsidR="00AF1A0D" w:rsidRDefault="00AF1A0D" w:rsidP="00AF1A0D">
      <w:pPr>
        <w:spacing w:after="160" w:line="259" w:lineRule="auto"/>
        <w:rPr>
          <w:rFonts w:eastAsia="Times New Roman" w:cs="Calibri"/>
          <w:b/>
          <w:bCs/>
          <w:color w:val="000000"/>
          <w:sz w:val="20"/>
          <w:szCs w:val="20"/>
        </w:rPr>
      </w:pPr>
      <w:r w:rsidRPr="21CA7F43">
        <w:rPr>
          <w:rFonts w:eastAsia="Times New Roman" w:cs="Calibri"/>
          <w:b/>
          <w:bCs/>
          <w:color w:val="000000" w:themeColor="text1"/>
          <w:sz w:val="20"/>
          <w:szCs w:val="20"/>
        </w:rPr>
        <w:t>Appendix B-3: Contract Level Performance, MY2020 (ACO and MCO Programs)</w:t>
      </w:r>
    </w:p>
    <w:p w14:paraId="100A494C" w14:textId="77777777" w:rsidR="00AF1A0D" w:rsidRPr="00CE61A0" w:rsidRDefault="00AF1A0D" w:rsidP="00AF1A0D">
      <w:pPr>
        <w:ind w:left="-900"/>
        <w:rPr>
          <w:shd w:val="clear" w:color="auto" w:fill="FFFFFF"/>
        </w:rPr>
      </w:pPr>
      <w:r>
        <w:rPr>
          <w:rStyle w:val="normaltextrun"/>
          <w:shd w:val="clear" w:color="auto" w:fill="FFFFFF"/>
        </w:rPr>
        <w:t>2020 quality measure performance for individual ACO and MCO plans is presented in Table B-3. Program-level totals are weighted means (WM). Please see Appendix A for a list of MassHealth’s managed care plans.</w:t>
      </w:r>
    </w:p>
    <w:p w14:paraId="75AA975D" w14:textId="77777777" w:rsidR="00AF1A0D" w:rsidRDefault="00AF1A0D" w:rsidP="00AF1A0D">
      <w:pPr>
        <w:pStyle w:val="ListParagraph"/>
        <w:numPr>
          <w:ilvl w:val="0"/>
          <w:numId w:val="3"/>
        </w:numPr>
        <w:ind w:left="-360" w:firstLine="0"/>
        <w:rPr>
          <w:b/>
          <w:bCs/>
        </w:rPr>
      </w:pPr>
      <w:r w:rsidRPr="00137463">
        <w:rPr>
          <w:b/>
          <w:bCs/>
        </w:rPr>
        <w:t xml:space="preserve">“--” indicates that the measure </w:t>
      </w:r>
      <w:r>
        <w:rPr>
          <w:b/>
          <w:bCs/>
        </w:rPr>
        <w:t>or target was</w:t>
      </w:r>
      <w:r w:rsidRPr="00137463">
        <w:rPr>
          <w:b/>
          <w:bCs/>
        </w:rPr>
        <w:t xml:space="preserve"> not</w:t>
      </w:r>
      <w:r>
        <w:rPr>
          <w:b/>
          <w:bCs/>
        </w:rPr>
        <w:t xml:space="preserve"> available, not</w:t>
      </w:r>
      <w:r w:rsidRPr="00137463">
        <w:rPr>
          <w:b/>
          <w:bCs/>
        </w:rPr>
        <w:t xml:space="preserve"> required, not collected, or not calculated</w:t>
      </w:r>
      <w:r>
        <w:rPr>
          <w:b/>
          <w:bCs/>
        </w:rPr>
        <w:t>.</w:t>
      </w:r>
    </w:p>
    <w:p w14:paraId="2C7DB1D0" w14:textId="77777777" w:rsidR="00AF1A0D" w:rsidRPr="00887418" w:rsidRDefault="00AF1A0D" w:rsidP="00AF1A0D">
      <w:pPr>
        <w:pStyle w:val="ListParagraph"/>
        <w:numPr>
          <w:ilvl w:val="0"/>
          <w:numId w:val="3"/>
        </w:numPr>
        <w:ind w:left="-360" w:firstLine="0"/>
        <w:rPr>
          <w:b/>
          <w:bCs/>
        </w:rPr>
      </w:pPr>
      <w:r>
        <w:rPr>
          <w:b/>
          <w:bCs/>
        </w:rPr>
        <w:t>“NA” indicates that the rate was not included due to small denominator (n &lt;30).</w:t>
      </w:r>
    </w:p>
    <w:tbl>
      <w:tblPr>
        <w:tblW w:w="19582"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700"/>
        <w:gridCol w:w="810"/>
        <w:gridCol w:w="662"/>
        <w:gridCol w:w="662"/>
        <w:gridCol w:w="662"/>
        <w:gridCol w:w="662"/>
        <w:gridCol w:w="952"/>
        <w:gridCol w:w="868"/>
        <w:gridCol w:w="662"/>
        <w:gridCol w:w="688"/>
        <w:gridCol w:w="1000"/>
        <w:gridCol w:w="890"/>
        <w:gridCol w:w="810"/>
        <w:gridCol w:w="662"/>
        <w:gridCol w:w="737"/>
        <w:gridCol w:w="662"/>
        <w:gridCol w:w="662"/>
        <w:gridCol w:w="990"/>
        <w:gridCol w:w="662"/>
        <w:gridCol w:w="662"/>
        <w:gridCol w:w="755"/>
        <w:gridCol w:w="1042"/>
      </w:tblGrid>
      <w:tr w:rsidR="00AF1A0D" w:rsidRPr="00A77490" w14:paraId="2ACCD9A2" w14:textId="77777777">
        <w:trPr>
          <w:trHeight w:val="500"/>
          <w:tblHeader/>
        </w:trPr>
        <w:tc>
          <w:tcPr>
            <w:tcW w:w="720" w:type="dxa"/>
            <w:shd w:val="clear" w:color="auto" w:fill="auto"/>
            <w:noWrap/>
            <w:vAlign w:val="center"/>
            <w:hideMark/>
          </w:tcPr>
          <w:p w14:paraId="6D1B491C" w14:textId="77777777" w:rsidR="00AF1A0D" w:rsidRPr="00A77490" w:rsidRDefault="00AF1A0D">
            <w:pPr>
              <w:spacing w:after="0"/>
              <w:jc w:val="center"/>
              <w:rPr>
                <w:rFonts w:asciiTheme="minorHAnsi" w:eastAsia="Times New Roman" w:hAnsiTheme="minorHAnsi" w:cstheme="minorHAnsi"/>
                <w:b/>
                <w:bCs/>
                <w:color w:val="000000"/>
                <w:sz w:val="16"/>
                <w:szCs w:val="16"/>
              </w:rPr>
            </w:pPr>
            <w:r>
              <w:rPr>
                <w:rFonts w:asciiTheme="minorHAnsi" w:eastAsia="Times New Roman" w:hAnsiTheme="minorHAnsi" w:cstheme="minorHAnsi"/>
                <w:b/>
                <w:bCs/>
                <w:color w:val="000000"/>
                <w:sz w:val="16"/>
                <w:szCs w:val="16"/>
              </w:rPr>
              <w:t>Ref</w:t>
            </w:r>
          </w:p>
        </w:tc>
        <w:tc>
          <w:tcPr>
            <w:tcW w:w="2700" w:type="dxa"/>
            <w:shd w:val="clear" w:color="auto" w:fill="auto"/>
            <w:noWrap/>
            <w:vAlign w:val="center"/>
            <w:hideMark/>
          </w:tcPr>
          <w:p w14:paraId="4AD09B20" w14:textId="77777777" w:rsidR="00AF1A0D" w:rsidRPr="00A77490" w:rsidRDefault="00AF1A0D">
            <w:pPr>
              <w:spacing w:after="0"/>
              <w:jc w:val="center"/>
              <w:rPr>
                <w:rFonts w:asciiTheme="minorHAnsi" w:eastAsia="Times New Roman" w:hAnsiTheme="minorHAnsi" w:cstheme="minorHAnsi"/>
                <w:b/>
                <w:bCs/>
                <w:color w:val="000000"/>
                <w:sz w:val="16"/>
                <w:szCs w:val="16"/>
              </w:rPr>
            </w:pPr>
            <w:r>
              <w:rPr>
                <w:rFonts w:asciiTheme="minorHAnsi" w:eastAsia="Times New Roman" w:hAnsiTheme="minorHAnsi" w:cstheme="minorHAnsi"/>
                <w:b/>
                <w:bCs/>
                <w:color w:val="000000"/>
                <w:sz w:val="16"/>
                <w:szCs w:val="16"/>
              </w:rPr>
              <w:t xml:space="preserve">2020 </w:t>
            </w:r>
            <w:r w:rsidRPr="00A77490">
              <w:rPr>
                <w:rFonts w:asciiTheme="minorHAnsi" w:eastAsia="Times New Roman" w:hAnsiTheme="minorHAnsi" w:cstheme="minorHAnsi"/>
                <w:b/>
                <w:bCs/>
                <w:color w:val="000000"/>
                <w:sz w:val="16"/>
                <w:szCs w:val="16"/>
              </w:rPr>
              <w:t>Measure</w:t>
            </w:r>
          </w:p>
        </w:tc>
        <w:tc>
          <w:tcPr>
            <w:tcW w:w="810" w:type="dxa"/>
            <w:shd w:val="clear" w:color="auto" w:fill="8EAADB" w:themeFill="accent1" w:themeFillTint="99"/>
            <w:noWrap/>
            <w:vAlign w:val="center"/>
            <w:hideMark/>
          </w:tcPr>
          <w:p w14:paraId="3FDC0074" w14:textId="77777777" w:rsidR="00AF1A0D" w:rsidRPr="00A77490" w:rsidRDefault="00AF1A0D">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Total ACO</w:t>
            </w:r>
          </w:p>
        </w:tc>
        <w:tc>
          <w:tcPr>
            <w:tcW w:w="662" w:type="dxa"/>
            <w:shd w:val="clear" w:color="auto" w:fill="8EAADB" w:themeFill="accent1" w:themeFillTint="99"/>
            <w:vAlign w:val="center"/>
            <w:hideMark/>
          </w:tcPr>
          <w:p w14:paraId="760A3635" w14:textId="77777777" w:rsidR="00AF1A0D" w:rsidRPr="00A77490" w:rsidRDefault="00AF1A0D">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FH BERK</w:t>
            </w:r>
          </w:p>
        </w:tc>
        <w:tc>
          <w:tcPr>
            <w:tcW w:w="662" w:type="dxa"/>
            <w:shd w:val="clear" w:color="auto" w:fill="8EAADB" w:themeFill="accent1" w:themeFillTint="99"/>
            <w:vAlign w:val="center"/>
            <w:hideMark/>
          </w:tcPr>
          <w:p w14:paraId="00CE87D1" w14:textId="77777777" w:rsidR="00AF1A0D" w:rsidRPr="00A77490" w:rsidRDefault="00AF1A0D">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FH 365</w:t>
            </w:r>
          </w:p>
        </w:tc>
        <w:tc>
          <w:tcPr>
            <w:tcW w:w="662" w:type="dxa"/>
            <w:shd w:val="clear" w:color="auto" w:fill="8EAADB" w:themeFill="accent1" w:themeFillTint="99"/>
            <w:vAlign w:val="center"/>
            <w:hideMark/>
          </w:tcPr>
          <w:p w14:paraId="0E3D1A72" w14:textId="77777777" w:rsidR="00AF1A0D" w:rsidRPr="00A77490" w:rsidRDefault="00AF1A0D">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FH WFC</w:t>
            </w:r>
          </w:p>
        </w:tc>
        <w:tc>
          <w:tcPr>
            <w:tcW w:w="662" w:type="dxa"/>
            <w:shd w:val="clear" w:color="auto" w:fill="8EAADB" w:themeFill="accent1" w:themeFillTint="99"/>
            <w:vAlign w:val="center"/>
            <w:hideMark/>
          </w:tcPr>
          <w:p w14:paraId="592C3FC3" w14:textId="77777777" w:rsidR="00AF1A0D" w:rsidRPr="00A77490" w:rsidRDefault="00AF1A0D">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HNE</w:t>
            </w:r>
          </w:p>
        </w:tc>
        <w:tc>
          <w:tcPr>
            <w:tcW w:w="952" w:type="dxa"/>
            <w:shd w:val="clear" w:color="auto" w:fill="8EAADB" w:themeFill="accent1" w:themeFillTint="99"/>
            <w:vAlign w:val="center"/>
            <w:hideMark/>
          </w:tcPr>
          <w:p w14:paraId="1196F199" w14:textId="77777777" w:rsidR="00AF1A0D" w:rsidRPr="00A77490" w:rsidRDefault="00AF1A0D">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AHP</w:t>
            </w:r>
          </w:p>
        </w:tc>
        <w:tc>
          <w:tcPr>
            <w:tcW w:w="868" w:type="dxa"/>
            <w:shd w:val="clear" w:color="auto" w:fill="8EAADB" w:themeFill="accent1" w:themeFillTint="99"/>
            <w:vAlign w:val="center"/>
            <w:hideMark/>
          </w:tcPr>
          <w:p w14:paraId="66BF3CF7" w14:textId="77777777" w:rsidR="00AF1A0D" w:rsidRDefault="00AF1A0D">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THP</w:t>
            </w:r>
          </w:p>
          <w:p w14:paraId="5192CD62" w14:textId="77777777" w:rsidR="00AF1A0D" w:rsidRPr="00A77490" w:rsidRDefault="00AF1A0D">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ATRIUS</w:t>
            </w:r>
          </w:p>
        </w:tc>
        <w:tc>
          <w:tcPr>
            <w:tcW w:w="662" w:type="dxa"/>
            <w:shd w:val="clear" w:color="auto" w:fill="8EAADB" w:themeFill="accent1" w:themeFillTint="99"/>
            <w:vAlign w:val="center"/>
            <w:hideMark/>
          </w:tcPr>
          <w:p w14:paraId="07DE19E6" w14:textId="77777777" w:rsidR="00AF1A0D" w:rsidRDefault="00AF1A0D">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TH</w:t>
            </w:r>
            <w:r>
              <w:rPr>
                <w:rFonts w:asciiTheme="minorHAnsi" w:eastAsia="Times New Roman" w:hAnsiTheme="minorHAnsi" w:cstheme="minorHAnsi"/>
                <w:b/>
                <w:bCs/>
                <w:color w:val="000000"/>
                <w:sz w:val="16"/>
                <w:szCs w:val="16"/>
              </w:rPr>
              <w:t>P</w:t>
            </w:r>
          </w:p>
          <w:p w14:paraId="6E94323E" w14:textId="77777777" w:rsidR="00AF1A0D" w:rsidRPr="00A77490" w:rsidRDefault="00AF1A0D">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BIDCO</w:t>
            </w:r>
          </w:p>
        </w:tc>
        <w:tc>
          <w:tcPr>
            <w:tcW w:w="688" w:type="dxa"/>
            <w:shd w:val="clear" w:color="auto" w:fill="8EAADB" w:themeFill="accent1" w:themeFillTint="99"/>
            <w:vAlign w:val="center"/>
            <w:hideMark/>
          </w:tcPr>
          <w:p w14:paraId="46585C60" w14:textId="77777777" w:rsidR="00AF1A0D" w:rsidRPr="00A77490" w:rsidRDefault="00AF1A0D">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THP</w:t>
            </w:r>
            <w:r>
              <w:rPr>
                <w:rFonts w:asciiTheme="minorHAnsi" w:eastAsia="Times New Roman" w:hAnsiTheme="minorHAnsi" w:cstheme="minorHAnsi"/>
                <w:b/>
                <w:bCs/>
                <w:color w:val="000000"/>
                <w:sz w:val="16"/>
                <w:szCs w:val="16"/>
              </w:rPr>
              <w:t xml:space="preserve"> </w:t>
            </w:r>
            <w:r w:rsidRPr="00A77490">
              <w:rPr>
                <w:rFonts w:asciiTheme="minorHAnsi" w:eastAsia="Times New Roman" w:hAnsiTheme="minorHAnsi" w:cstheme="minorHAnsi"/>
                <w:b/>
                <w:bCs/>
                <w:color w:val="000000"/>
                <w:sz w:val="16"/>
                <w:szCs w:val="16"/>
              </w:rPr>
              <w:t>CHA</w:t>
            </w:r>
          </w:p>
        </w:tc>
        <w:tc>
          <w:tcPr>
            <w:tcW w:w="1000" w:type="dxa"/>
            <w:shd w:val="clear" w:color="auto" w:fill="8EAADB" w:themeFill="accent1" w:themeFillTint="99"/>
            <w:vAlign w:val="center"/>
            <w:hideMark/>
          </w:tcPr>
          <w:p w14:paraId="46DC9F6C" w14:textId="77777777" w:rsidR="00AF1A0D" w:rsidRPr="00A77490" w:rsidRDefault="00AF1A0D">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THP</w:t>
            </w:r>
            <w:r>
              <w:rPr>
                <w:rFonts w:asciiTheme="minorHAnsi" w:eastAsia="Times New Roman" w:hAnsiTheme="minorHAnsi" w:cstheme="minorHAnsi"/>
                <w:b/>
                <w:bCs/>
                <w:color w:val="000000"/>
                <w:sz w:val="16"/>
                <w:szCs w:val="16"/>
              </w:rPr>
              <w:t xml:space="preserve"> </w:t>
            </w:r>
            <w:r w:rsidRPr="00A77490">
              <w:rPr>
                <w:rFonts w:asciiTheme="minorHAnsi" w:eastAsia="Times New Roman" w:hAnsiTheme="minorHAnsi" w:cstheme="minorHAnsi"/>
                <w:b/>
                <w:bCs/>
                <w:color w:val="000000"/>
                <w:sz w:val="16"/>
                <w:szCs w:val="16"/>
              </w:rPr>
              <w:t>CHILDREN'S</w:t>
            </w:r>
          </w:p>
        </w:tc>
        <w:tc>
          <w:tcPr>
            <w:tcW w:w="890" w:type="dxa"/>
            <w:shd w:val="clear" w:color="auto" w:fill="8EAADB" w:themeFill="accent1" w:themeFillTint="99"/>
            <w:vAlign w:val="center"/>
            <w:hideMark/>
          </w:tcPr>
          <w:p w14:paraId="18DCD631" w14:textId="77777777" w:rsidR="00AF1A0D" w:rsidRPr="00A77490" w:rsidRDefault="00AF1A0D">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BMC BACO</w:t>
            </w:r>
          </w:p>
        </w:tc>
        <w:tc>
          <w:tcPr>
            <w:tcW w:w="810" w:type="dxa"/>
            <w:shd w:val="clear" w:color="auto" w:fill="8EAADB" w:themeFill="accent1" w:themeFillTint="99"/>
            <w:vAlign w:val="center"/>
            <w:hideMark/>
          </w:tcPr>
          <w:p w14:paraId="6B11D51D" w14:textId="77777777" w:rsidR="00AF1A0D" w:rsidRPr="00A77490" w:rsidRDefault="00AF1A0D">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BMC MERCY</w:t>
            </w:r>
          </w:p>
        </w:tc>
        <w:tc>
          <w:tcPr>
            <w:tcW w:w="662" w:type="dxa"/>
            <w:shd w:val="clear" w:color="auto" w:fill="8EAADB" w:themeFill="accent1" w:themeFillTint="99"/>
            <w:vAlign w:val="center"/>
            <w:hideMark/>
          </w:tcPr>
          <w:p w14:paraId="2629A609" w14:textId="77777777" w:rsidR="00AF1A0D" w:rsidRPr="00A77490" w:rsidRDefault="00AF1A0D">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BMC SIGN</w:t>
            </w:r>
          </w:p>
        </w:tc>
        <w:tc>
          <w:tcPr>
            <w:tcW w:w="737" w:type="dxa"/>
            <w:shd w:val="clear" w:color="auto" w:fill="8EAADB" w:themeFill="accent1" w:themeFillTint="99"/>
            <w:vAlign w:val="center"/>
            <w:hideMark/>
          </w:tcPr>
          <w:p w14:paraId="26D35B59" w14:textId="77777777" w:rsidR="00AF1A0D" w:rsidRPr="00A77490" w:rsidRDefault="00AF1A0D">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BMC SCOAST</w:t>
            </w:r>
          </w:p>
        </w:tc>
        <w:tc>
          <w:tcPr>
            <w:tcW w:w="662" w:type="dxa"/>
            <w:shd w:val="clear" w:color="auto" w:fill="8EAADB" w:themeFill="accent1" w:themeFillTint="99"/>
            <w:vAlign w:val="center"/>
            <w:hideMark/>
          </w:tcPr>
          <w:p w14:paraId="15642207" w14:textId="77777777" w:rsidR="00AF1A0D" w:rsidRPr="00A77490" w:rsidRDefault="00AF1A0D">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C3</w:t>
            </w:r>
          </w:p>
        </w:tc>
        <w:tc>
          <w:tcPr>
            <w:tcW w:w="662" w:type="dxa"/>
            <w:shd w:val="clear" w:color="auto" w:fill="8EAADB" w:themeFill="accent1" w:themeFillTint="99"/>
            <w:vAlign w:val="center"/>
            <w:hideMark/>
          </w:tcPr>
          <w:p w14:paraId="3D7A1EF7" w14:textId="77777777" w:rsidR="00AF1A0D" w:rsidRPr="00A77490" w:rsidRDefault="00AF1A0D">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MGB</w:t>
            </w:r>
          </w:p>
        </w:tc>
        <w:tc>
          <w:tcPr>
            <w:tcW w:w="990" w:type="dxa"/>
            <w:shd w:val="clear" w:color="auto" w:fill="8EAADB" w:themeFill="accent1" w:themeFillTint="99"/>
            <w:vAlign w:val="center"/>
            <w:hideMark/>
          </w:tcPr>
          <w:p w14:paraId="1102BAF5" w14:textId="77777777" w:rsidR="00AF1A0D" w:rsidRPr="00A77490" w:rsidRDefault="00AF1A0D">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STEWARD</w:t>
            </w:r>
          </w:p>
        </w:tc>
        <w:tc>
          <w:tcPr>
            <w:tcW w:w="662" w:type="dxa"/>
            <w:shd w:val="clear" w:color="auto" w:fill="8EAADB" w:themeFill="accent1" w:themeFillTint="99"/>
            <w:vAlign w:val="center"/>
            <w:hideMark/>
          </w:tcPr>
          <w:p w14:paraId="30CAF896" w14:textId="77777777" w:rsidR="00AF1A0D" w:rsidRPr="00A77490" w:rsidRDefault="00AF1A0D">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LAHEY</w:t>
            </w:r>
          </w:p>
        </w:tc>
        <w:tc>
          <w:tcPr>
            <w:tcW w:w="662" w:type="dxa"/>
            <w:shd w:val="clear" w:color="auto" w:fill="2F5496" w:themeFill="accent1" w:themeFillShade="BF"/>
            <w:noWrap/>
            <w:vAlign w:val="center"/>
            <w:hideMark/>
          </w:tcPr>
          <w:p w14:paraId="75AF5314" w14:textId="77777777" w:rsidR="00AF1A0D" w:rsidRPr="00A54D21" w:rsidRDefault="00AF1A0D">
            <w:pPr>
              <w:spacing w:after="0"/>
              <w:jc w:val="center"/>
              <w:rPr>
                <w:rFonts w:asciiTheme="minorHAnsi" w:eastAsia="Times New Roman" w:hAnsiTheme="minorHAnsi" w:cstheme="minorHAnsi"/>
                <w:b/>
                <w:bCs/>
                <w:color w:val="FFFFFF" w:themeColor="background1"/>
                <w:sz w:val="16"/>
                <w:szCs w:val="16"/>
              </w:rPr>
            </w:pPr>
            <w:r w:rsidRPr="00A54D21">
              <w:rPr>
                <w:rFonts w:asciiTheme="minorHAnsi" w:eastAsia="Times New Roman" w:hAnsiTheme="minorHAnsi" w:cstheme="minorHAnsi"/>
                <w:b/>
                <w:bCs/>
                <w:color w:val="FFFFFF" w:themeColor="background1"/>
                <w:sz w:val="16"/>
                <w:szCs w:val="16"/>
              </w:rPr>
              <w:t>Total MCO</w:t>
            </w:r>
          </w:p>
        </w:tc>
        <w:tc>
          <w:tcPr>
            <w:tcW w:w="755" w:type="dxa"/>
            <w:shd w:val="clear" w:color="auto" w:fill="2F5496" w:themeFill="accent1" w:themeFillShade="BF"/>
            <w:noWrap/>
            <w:vAlign w:val="center"/>
            <w:hideMark/>
          </w:tcPr>
          <w:p w14:paraId="62131622" w14:textId="77777777" w:rsidR="00AF1A0D" w:rsidRPr="00A54D21" w:rsidRDefault="00AF1A0D">
            <w:pPr>
              <w:spacing w:after="0"/>
              <w:jc w:val="center"/>
              <w:rPr>
                <w:rFonts w:asciiTheme="minorHAnsi" w:eastAsia="Times New Roman" w:hAnsiTheme="minorHAnsi" w:cstheme="minorHAnsi"/>
                <w:b/>
                <w:bCs/>
                <w:color w:val="FFFFFF" w:themeColor="background1"/>
                <w:sz w:val="16"/>
                <w:szCs w:val="16"/>
              </w:rPr>
            </w:pPr>
            <w:r w:rsidRPr="00A54D21">
              <w:rPr>
                <w:rFonts w:asciiTheme="minorHAnsi" w:eastAsia="Times New Roman" w:hAnsiTheme="minorHAnsi" w:cstheme="minorHAnsi"/>
                <w:b/>
                <w:bCs/>
                <w:color w:val="FFFFFF" w:themeColor="background1"/>
                <w:sz w:val="16"/>
                <w:szCs w:val="16"/>
              </w:rPr>
              <w:t>BMC MCO</w:t>
            </w:r>
          </w:p>
        </w:tc>
        <w:tc>
          <w:tcPr>
            <w:tcW w:w="1042" w:type="dxa"/>
            <w:shd w:val="clear" w:color="auto" w:fill="2F5496" w:themeFill="accent1" w:themeFillShade="BF"/>
            <w:noWrap/>
            <w:vAlign w:val="center"/>
            <w:hideMark/>
          </w:tcPr>
          <w:p w14:paraId="1144F789" w14:textId="77777777" w:rsidR="00AF1A0D" w:rsidRDefault="00AF1A0D">
            <w:pPr>
              <w:spacing w:after="0"/>
              <w:jc w:val="center"/>
              <w:rPr>
                <w:rFonts w:asciiTheme="minorHAnsi" w:eastAsia="Times New Roman" w:hAnsiTheme="minorHAnsi" w:cstheme="minorHAnsi"/>
                <w:b/>
                <w:bCs/>
                <w:color w:val="FFFFFF" w:themeColor="background1"/>
                <w:sz w:val="16"/>
                <w:szCs w:val="16"/>
              </w:rPr>
            </w:pPr>
            <w:r w:rsidRPr="00A54D21">
              <w:rPr>
                <w:rFonts w:asciiTheme="minorHAnsi" w:eastAsia="Times New Roman" w:hAnsiTheme="minorHAnsi" w:cstheme="minorHAnsi"/>
                <w:b/>
                <w:bCs/>
                <w:color w:val="FFFFFF" w:themeColor="background1"/>
                <w:sz w:val="16"/>
                <w:szCs w:val="16"/>
              </w:rPr>
              <w:t>T</w:t>
            </w:r>
            <w:r>
              <w:rPr>
                <w:rFonts w:asciiTheme="minorHAnsi" w:eastAsia="Times New Roman" w:hAnsiTheme="minorHAnsi" w:cstheme="minorHAnsi"/>
                <w:b/>
                <w:bCs/>
                <w:color w:val="FFFFFF" w:themeColor="background1"/>
                <w:sz w:val="16"/>
                <w:szCs w:val="16"/>
              </w:rPr>
              <w:t>HP</w:t>
            </w:r>
          </w:p>
          <w:p w14:paraId="1DD90CCD" w14:textId="77777777" w:rsidR="00AF1A0D" w:rsidRPr="00A54D21" w:rsidRDefault="00AF1A0D">
            <w:pPr>
              <w:spacing w:after="0"/>
              <w:jc w:val="center"/>
              <w:rPr>
                <w:rFonts w:asciiTheme="minorHAnsi" w:eastAsia="Times New Roman" w:hAnsiTheme="minorHAnsi" w:cstheme="minorHAnsi"/>
                <w:b/>
                <w:bCs/>
                <w:color w:val="FFFFFF" w:themeColor="background1"/>
                <w:sz w:val="16"/>
                <w:szCs w:val="16"/>
              </w:rPr>
            </w:pPr>
            <w:r w:rsidRPr="00A54D21">
              <w:rPr>
                <w:rFonts w:asciiTheme="minorHAnsi" w:eastAsia="Times New Roman" w:hAnsiTheme="minorHAnsi" w:cstheme="minorHAnsi"/>
                <w:b/>
                <w:bCs/>
                <w:color w:val="FFFFFF" w:themeColor="background1"/>
                <w:sz w:val="16"/>
                <w:szCs w:val="16"/>
              </w:rPr>
              <w:t>MCO</w:t>
            </w:r>
          </w:p>
        </w:tc>
      </w:tr>
      <w:tr w:rsidR="00AF1A0D" w:rsidRPr="00A77490" w14:paraId="61A45531" w14:textId="77777777">
        <w:trPr>
          <w:trHeight w:val="422"/>
        </w:trPr>
        <w:tc>
          <w:tcPr>
            <w:tcW w:w="720" w:type="dxa"/>
            <w:shd w:val="clear" w:color="auto" w:fill="auto"/>
            <w:hideMark/>
          </w:tcPr>
          <w:p w14:paraId="0FC5E86E" w14:textId="77777777" w:rsidR="00AF1A0D" w:rsidRPr="00A77490" w:rsidRDefault="00AF1A0D">
            <w:pPr>
              <w:spacing w:after="0"/>
              <w:jc w:val="center"/>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CIS</w:t>
            </w:r>
          </w:p>
        </w:tc>
        <w:tc>
          <w:tcPr>
            <w:tcW w:w="2700" w:type="dxa"/>
            <w:shd w:val="clear" w:color="auto" w:fill="auto"/>
            <w:hideMark/>
          </w:tcPr>
          <w:p w14:paraId="36728FDD" w14:textId="77777777" w:rsidR="00AF1A0D" w:rsidRPr="00A77490" w:rsidRDefault="00AF1A0D">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Childhood Immunization Status (combo 10)</w:t>
            </w:r>
          </w:p>
        </w:tc>
        <w:tc>
          <w:tcPr>
            <w:tcW w:w="810" w:type="dxa"/>
            <w:shd w:val="clear" w:color="auto" w:fill="auto"/>
            <w:noWrap/>
            <w:vAlign w:val="center"/>
            <w:hideMark/>
          </w:tcPr>
          <w:p w14:paraId="6405EB32"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57.1%</w:t>
            </w:r>
          </w:p>
        </w:tc>
        <w:tc>
          <w:tcPr>
            <w:tcW w:w="662" w:type="dxa"/>
            <w:shd w:val="clear" w:color="auto" w:fill="auto"/>
            <w:noWrap/>
            <w:vAlign w:val="center"/>
            <w:hideMark/>
          </w:tcPr>
          <w:p w14:paraId="521CDC2B"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40.9%</w:t>
            </w:r>
          </w:p>
        </w:tc>
        <w:tc>
          <w:tcPr>
            <w:tcW w:w="662" w:type="dxa"/>
            <w:shd w:val="clear" w:color="auto" w:fill="auto"/>
            <w:noWrap/>
            <w:vAlign w:val="center"/>
            <w:hideMark/>
          </w:tcPr>
          <w:p w14:paraId="383732E4"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58.4%</w:t>
            </w:r>
          </w:p>
        </w:tc>
        <w:tc>
          <w:tcPr>
            <w:tcW w:w="662" w:type="dxa"/>
            <w:shd w:val="clear" w:color="auto" w:fill="auto"/>
            <w:noWrap/>
            <w:vAlign w:val="center"/>
            <w:hideMark/>
          </w:tcPr>
          <w:p w14:paraId="38A8236E"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40.3%</w:t>
            </w:r>
          </w:p>
        </w:tc>
        <w:tc>
          <w:tcPr>
            <w:tcW w:w="662" w:type="dxa"/>
            <w:shd w:val="clear" w:color="auto" w:fill="auto"/>
            <w:noWrap/>
            <w:vAlign w:val="center"/>
            <w:hideMark/>
          </w:tcPr>
          <w:p w14:paraId="2563FB32"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51.3%</w:t>
            </w:r>
          </w:p>
        </w:tc>
        <w:tc>
          <w:tcPr>
            <w:tcW w:w="952" w:type="dxa"/>
            <w:shd w:val="clear" w:color="auto" w:fill="auto"/>
            <w:noWrap/>
            <w:vAlign w:val="center"/>
            <w:hideMark/>
          </w:tcPr>
          <w:p w14:paraId="07A8648A"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44.5%</w:t>
            </w:r>
          </w:p>
        </w:tc>
        <w:tc>
          <w:tcPr>
            <w:tcW w:w="868" w:type="dxa"/>
            <w:shd w:val="clear" w:color="auto" w:fill="auto"/>
            <w:noWrap/>
            <w:vAlign w:val="center"/>
            <w:hideMark/>
          </w:tcPr>
          <w:p w14:paraId="6225BE86"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64.3%</w:t>
            </w:r>
          </w:p>
        </w:tc>
        <w:tc>
          <w:tcPr>
            <w:tcW w:w="662" w:type="dxa"/>
            <w:shd w:val="clear" w:color="auto" w:fill="auto"/>
            <w:noWrap/>
            <w:vAlign w:val="center"/>
            <w:hideMark/>
          </w:tcPr>
          <w:p w14:paraId="5D0B03F4"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55.2%</w:t>
            </w:r>
          </w:p>
        </w:tc>
        <w:tc>
          <w:tcPr>
            <w:tcW w:w="688" w:type="dxa"/>
            <w:shd w:val="clear" w:color="auto" w:fill="auto"/>
            <w:noWrap/>
            <w:vAlign w:val="center"/>
            <w:hideMark/>
          </w:tcPr>
          <w:p w14:paraId="0AA3895A"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70.4%</w:t>
            </w:r>
          </w:p>
        </w:tc>
        <w:tc>
          <w:tcPr>
            <w:tcW w:w="1000" w:type="dxa"/>
            <w:shd w:val="clear" w:color="auto" w:fill="auto"/>
            <w:noWrap/>
            <w:vAlign w:val="center"/>
            <w:hideMark/>
          </w:tcPr>
          <w:p w14:paraId="3ED8EFC7"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57.5%</w:t>
            </w:r>
          </w:p>
        </w:tc>
        <w:tc>
          <w:tcPr>
            <w:tcW w:w="890" w:type="dxa"/>
            <w:shd w:val="clear" w:color="auto" w:fill="auto"/>
            <w:noWrap/>
            <w:vAlign w:val="center"/>
            <w:hideMark/>
          </w:tcPr>
          <w:p w14:paraId="237373F8"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61.1%</w:t>
            </w:r>
          </w:p>
        </w:tc>
        <w:tc>
          <w:tcPr>
            <w:tcW w:w="810" w:type="dxa"/>
            <w:shd w:val="clear" w:color="auto" w:fill="auto"/>
            <w:noWrap/>
            <w:vAlign w:val="center"/>
            <w:hideMark/>
          </w:tcPr>
          <w:p w14:paraId="1F34C04C"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48.5%</w:t>
            </w:r>
          </w:p>
        </w:tc>
        <w:tc>
          <w:tcPr>
            <w:tcW w:w="662" w:type="dxa"/>
            <w:shd w:val="clear" w:color="auto" w:fill="auto"/>
            <w:noWrap/>
            <w:vAlign w:val="center"/>
            <w:hideMark/>
          </w:tcPr>
          <w:p w14:paraId="45C1D6DC"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61.9%</w:t>
            </w:r>
          </w:p>
        </w:tc>
        <w:tc>
          <w:tcPr>
            <w:tcW w:w="737" w:type="dxa"/>
            <w:shd w:val="clear" w:color="auto" w:fill="auto"/>
            <w:noWrap/>
            <w:vAlign w:val="center"/>
            <w:hideMark/>
          </w:tcPr>
          <w:p w14:paraId="385C990E"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47.5%</w:t>
            </w:r>
          </w:p>
        </w:tc>
        <w:tc>
          <w:tcPr>
            <w:tcW w:w="662" w:type="dxa"/>
            <w:shd w:val="clear" w:color="auto" w:fill="auto"/>
            <w:noWrap/>
            <w:vAlign w:val="center"/>
            <w:hideMark/>
          </w:tcPr>
          <w:p w14:paraId="53686D79"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64.9%</w:t>
            </w:r>
          </w:p>
        </w:tc>
        <w:tc>
          <w:tcPr>
            <w:tcW w:w="662" w:type="dxa"/>
            <w:shd w:val="clear" w:color="auto" w:fill="auto"/>
            <w:noWrap/>
            <w:vAlign w:val="center"/>
            <w:hideMark/>
          </w:tcPr>
          <w:p w14:paraId="683CAE6B"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60.7%</w:t>
            </w:r>
          </w:p>
        </w:tc>
        <w:tc>
          <w:tcPr>
            <w:tcW w:w="990" w:type="dxa"/>
            <w:shd w:val="clear" w:color="auto" w:fill="auto"/>
            <w:noWrap/>
            <w:vAlign w:val="center"/>
            <w:hideMark/>
          </w:tcPr>
          <w:p w14:paraId="7AFC3B8C"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52.3%</w:t>
            </w:r>
          </w:p>
        </w:tc>
        <w:tc>
          <w:tcPr>
            <w:tcW w:w="662" w:type="dxa"/>
            <w:shd w:val="clear" w:color="auto" w:fill="auto"/>
            <w:noWrap/>
            <w:vAlign w:val="center"/>
            <w:hideMark/>
          </w:tcPr>
          <w:p w14:paraId="398573A7"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NA</w:t>
            </w:r>
          </w:p>
        </w:tc>
        <w:tc>
          <w:tcPr>
            <w:tcW w:w="662" w:type="dxa"/>
            <w:shd w:val="clear" w:color="auto" w:fill="auto"/>
            <w:noWrap/>
            <w:vAlign w:val="center"/>
            <w:hideMark/>
          </w:tcPr>
          <w:p w14:paraId="4FB2A901"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38.5%</w:t>
            </w:r>
          </w:p>
        </w:tc>
        <w:tc>
          <w:tcPr>
            <w:tcW w:w="755" w:type="dxa"/>
            <w:shd w:val="clear" w:color="auto" w:fill="auto"/>
            <w:noWrap/>
            <w:vAlign w:val="center"/>
            <w:hideMark/>
          </w:tcPr>
          <w:p w14:paraId="140A7551"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22.0%</w:t>
            </w:r>
          </w:p>
        </w:tc>
        <w:tc>
          <w:tcPr>
            <w:tcW w:w="1042" w:type="dxa"/>
            <w:shd w:val="clear" w:color="auto" w:fill="auto"/>
            <w:noWrap/>
            <w:vAlign w:val="center"/>
            <w:hideMark/>
          </w:tcPr>
          <w:p w14:paraId="704351C1"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55.1%</w:t>
            </w:r>
          </w:p>
        </w:tc>
      </w:tr>
      <w:tr w:rsidR="00AF1A0D" w:rsidRPr="00A77490" w14:paraId="552E7314" w14:textId="77777777">
        <w:trPr>
          <w:trHeight w:val="310"/>
        </w:trPr>
        <w:tc>
          <w:tcPr>
            <w:tcW w:w="720" w:type="dxa"/>
            <w:shd w:val="clear" w:color="auto" w:fill="F2F2F2" w:themeFill="background1" w:themeFillShade="F2"/>
            <w:noWrap/>
            <w:vAlign w:val="bottom"/>
            <w:hideMark/>
          </w:tcPr>
          <w:p w14:paraId="78653135" w14:textId="77777777" w:rsidR="00AF1A0D" w:rsidRPr="00A77490" w:rsidRDefault="00AF1A0D">
            <w:pPr>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PPC</w:t>
            </w:r>
          </w:p>
        </w:tc>
        <w:tc>
          <w:tcPr>
            <w:tcW w:w="2700" w:type="dxa"/>
            <w:shd w:val="clear" w:color="auto" w:fill="F2F2F2" w:themeFill="background1" w:themeFillShade="F2"/>
            <w:hideMark/>
          </w:tcPr>
          <w:p w14:paraId="5D1DBA7C" w14:textId="77777777" w:rsidR="00AF1A0D" w:rsidRPr="00A77490" w:rsidRDefault="00AF1A0D">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Timeliness of Prenatal Care </w:t>
            </w:r>
          </w:p>
        </w:tc>
        <w:tc>
          <w:tcPr>
            <w:tcW w:w="810" w:type="dxa"/>
            <w:shd w:val="clear" w:color="auto" w:fill="F2F2F2" w:themeFill="background1" w:themeFillShade="F2"/>
            <w:noWrap/>
            <w:vAlign w:val="center"/>
            <w:hideMark/>
          </w:tcPr>
          <w:p w14:paraId="5888072E"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84.5%</w:t>
            </w:r>
          </w:p>
        </w:tc>
        <w:tc>
          <w:tcPr>
            <w:tcW w:w="662" w:type="dxa"/>
            <w:shd w:val="clear" w:color="auto" w:fill="F2F2F2" w:themeFill="background1" w:themeFillShade="F2"/>
            <w:noWrap/>
            <w:vAlign w:val="center"/>
            <w:hideMark/>
          </w:tcPr>
          <w:p w14:paraId="75884B45"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82.3%</w:t>
            </w:r>
          </w:p>
        </w:tc>
        <w:tc>
          <w:tcPr>
            <w:tcW w:w="662" w:type="dxa"/>
            <w:shd w:val="clear" w:color="auto" w:fill="F2F2F2" w:themeFill="background1" w:themeFillShade="F2"/>
            <w:noWrap/>
            <w:vAlign w:val="center"/>
            <w:hideMark/>
          </w:tcPr>
          <w:p w14:paraId="08BC94EC"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90.8%</w:t>
            </w:r>
          </w:p>
        </w:tc>
        <w:tc>
          <w:tcPr>
            <w:tcW w:w="662" w:type="dxa"/>
            <w:shd w:val="clear" w:color="auto" w:fill="F2F2F2" w:themeFill="background1" w:themeFillShade="F2"/>
            <w:noWrap/>
            <w:vAlign w:val="center"/>
            <w:hideMark/>
          </w:tcPr>
          <w:p w14:paraId="45A9E924"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67.6%</w:t>
            </w:r>
          </w:p>
        </w:tc>
        <w:tc>
          <w:tcPr>
            <w:tcW w:w="662" w:type="dxa"/>
            <w:shd w:val="clear" w:color="auto" w:fill="F2F2F2" w:themeFill="background1" w:themeFillShade="F2"/>
            <w:noWrap/>
            <w:vAlign w:val="center"/>
            <w:hideMark/>
          </w:tcPr>
          <w:p w14:paraId="2261E7E4"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90.5%</w:t>
            </w:r>
          </w:p>
        </w:tc>
        <w:tc>
          <w:tcPr>
            <w:tcW w:w="952" w:type="dxa"/>
            <w:shd w:val="clear" w:color="auto" w:fill="F2F2F2" w:themeFill="background1" w:themeFillShade="F2"/>
            <w:noWrap/>
            <w:vAlign w:val="center"/>
            <w:hideMark/>
          </w:tcPr>
          <w:p w14:paraId="2109D931"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95.9%</w:t>
            </w:r>
          </w:p>
        </w:tc>
        <w:tc>
          <w:tcPr>
            <w:tcW w:w="868" w:type="dxa"/>
            <w:shd w:val="clear" w:color="auto" w:fill="F2F2F2" w:themeFill="background1" w:themeFillShade="F2"/>
            <w:noWrap/>
            <w:vAlign w:val="center"/>
            <w:hideMark/>
          </w:tcPr>
          <w:p w14:paraId="11DDEB98"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73.7%</w:t>
            </w:r>
          </w:p>
        </w:tc>
        <w:tc>
          <w:tcPr>
            <w:tcW w:w="662" w:type="dxa"/>
            <w:shd w:val="clear" w:color="auto" w:fill="F2F2F2" w:themeFill="background1" w:themeFillShade="F2"/>
            <w:noWrap/>
            <w:vAlign w:val="center"/>
            <w:hideMark/>
          </w:tcPr>
          <w:p w14:paraId="09A3E1F1"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82.5%</w:t>
            </w:r>
          </w:p>
        </w:tc>
        <w:tc>
          <w:tcPr>
            <w:tcW w:w="688" w:type="dxa"/>
            <w:shd w:val="clear" w:color="auto" w:fill="F2F2F2" w:themeFill="background1" w:themeFillShade="F2"/>
            <w:noWrap/>
            <w:vAlign w:val="center"/>
            <w:hideMark/>
          </w:tcPr>
          <w:p w14:paraId="6F1F851C"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92.1%</w:t>
            </w:r>
          </w:p>
        </w:tc>
        <w:tc>
          <w:tcPr>
            <w:tcW w:w="1000" w:type="dxa"/>
            <w:shd w:val="clear" w:color="auto" w:fill="F2F2F2" w:themeFill="background1" w:themeFillShade="F2"/>
            <w:noWrap/>
            <w:vAlign w:val="center"/>
            <w:hideMark/>
          </w:tcPr>
          <w:p w14:paraId="2742639B"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57.6%</w:t>
            </w:r>
          </w:p>
        </w:tc>
        <w:tc>
          <w:tcPr>
            <w:tcW w:w="890" w:type="dxa"/>
            <w:shd w:val="clear" w:color="auto" w:fill="F2F2F2" w:themeFill="background1" w:themeFillShade="F2"/>
            <w:noWrap/>
            <w:vAlign w:val="center"/>
            <w:hideMark/>
          </w:tcPr>
          <w:p w14:paraId="38F40275"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82.2%</w:t>
            </w:r>
          </w:p>
        </w:tc>
        <w:tc>
          <w:tcPr>
            <w:tcW w:w="810" w:type="dxa"/>
            <w:shd w:val="clear" w:color="auto" w:fill="F2F2F2" w:themeFill="background1" w:themeFillShade="F2"/>
            <w:noWrap/>
            <w:vAlign w:val="center"/>
            <w:hideMark/>
          </w:tcPr>
          <w:p w14:paraId="040F117B"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77.1%</w:t>
            </w:r>
          </w:p>
        </w:tc>
        <w:tc>
          <w:tcPr>
            <w:tcW w:w="662" w:type="dxa"/>
            <w:shd w:val="clear" w:color="auto" w:fill="F2F2F2" w:themeFill="background1" w:themeFillShade="F2"/>
            <w:noWrap/>
            <w:vAlign w:val="center"/>
            <w:hideMark/>
          </w:tcPr>
          <w:p w14:paraId="511E6064"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85.9%</w:t>
            </w:r>
          </w:p>
        </w:tc>
        <w:tc>
          <w:tcPr>
            <w:tcW w:w="737" w:type="dxa"/>
            <w:shd w:val="clear" w:color="auto" w:fill="F2F2F2" w:themeFill="background1" w:themeFillShade="F2"/>
            <w:noWrap/>
            <w:vAlign w:val="center"/>
            <w:hideMark/>
          </w:tcPr>
          <w:p w14:paraId="1564CBD3"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81.7%</w:t>
            </w:r>
          </w:p>
        </w:tc>
        <w:tc>
          <w:tcPr>
            <w:tcW w:w="662" w:type="dxa"/>
            <w:shd w:val="clear" w:color="auto" w:fill="F2F2F2" w:themeFill="background1" w:themeFillShade="F2"/>
            <w:noWrap/>
            <w:vAlign w:val="center"/>
            <w:hideMark/>
          </w:tcPr>
          <w:p w14:paraId="56EC1BEB"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89.0%</w:t>
            </w:r>
          </w:p>
        </w:tc>
        <w:tc>
          <w:tcPr>
            <w:tcW w:w="662" w:type="dxa"/>
            <w:shd w:val="clear" w:color="auto" w:fill="F2F2F2" w:themeFill="background1" w:themeFillShade="F2"/>
            <w:noWrap/>
            <w:vAlign w:val="center"/>
            <w:hideMark/>
          </w:tcPr>
          <w:p w14:paraId="3AF7DE0A"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85.6%</w:t>
            </w:r>
          </w:p>
        </w:tc>
        <w:tc>
          <w:tcPr>
            <w:tcW w:w="990" w:type="dxa"/>
            <w:shd w:val="clear" w:color="auto" w:fill="F2F2F2" w:themeFill="background1" w:themeFillShade="F2"/>
            <w:noWrap/>
            <w:vAlign w:val="center"/>
            <w:hideMark/>
          </w:tcPr>
          <w:p w14:paraId="520DED0A"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83.7%</w:t>
            </w:r>
          </w:p>
        </w:tc>
        <w:tc>
          <w:tcPr>
            <w:tcW w:w="662" w:type="dxa"/>
            <w:shd w:val="clear" w:color="auto" w:fill="F2F2F2" w:themeFill="background1" w:themeFillShade="F2"/>
            <w:noWrap/>
            <w:vAlign w:val="center"/>
            <w:hideMark/>
          </w:tcPr>
          <w:p w14:paraId="7B4B7671"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70.4%</w:t>
            </w:r>
          </w:p>
        </w:tc>
        <w:tc>
          <w:tcPr>
            <w:tcW w:w="662" w:type="dxa"/>
            <w:shd w:val="clear" w:color="auto" w:fill="F2F2F2" w:themeFill="background1" w:themeFillShade="F2"/>
            <w:noWrap/>
            <w:vAlign w:val="center"/>
            <w:hideMark/>
          </w:tcPr>
          <w:p w14:paraId="190BB6C7"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75.0%</w:t>
            </w:r>
          </w:p>
        </w:tc>
        <w:tc>
          <w:tcPr>
            <w:tcW w:w="755" w:type="dxa"/>
            <w:shd w:val="clear" w:color="auto" w:fill="F2F2F2" w:themeFill="background1" w:themeFillShade="F2"/>
            <w:noWrap/>
            <w:vAlign w:val="center"/>
            <w:hideMark/>
          </w:tcPr>
          <w:p w14:paraId="716FAF28"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64.0%</w:t>
            </w:r>
          </w:p>
        </w:tc>
        <w:tc>
          <w:tcPr>
            <w:tcW w:w="1042" w:type="dxa"/>
            <w:shd w:val="clear" w:color="auto" w:fill="F2F2F2" w:themeFill="background1" w:themeFillShade="F2"/>
            <w:noWrap/>
            <w:vAlign w:val="center"/>
            <w:hideMark/>
          </w:tcPr>
          <w:p w14:paraId="649F7A94"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86.0%</w:t>
            </w:r>
          </w:p>
        </w:tc>
      </w:tr>
      <w:tr w:rsidR="00AF1A0D" w:rsidRPr="00A77490" w14:paraId="45541262" w14:textId="77777777">
        <w:trPr>
          <w:trHeight w:val="520"/>
        </w:trPr>
        <w:tc>
          <w:tcPr>
            <w:tcW w:w="720" w:type="dxa"/>
            <w:shd w:val="clear" w:color="auto" w:fill="auto"/>
            <w:noWrap/>
            <w:hideMark/>
          </w:tcPr>
          <w:p w14:paraId="7201B502" w14:textId="77777777" w:rsidR="00AF1A0D" w:rsidRPr="00A77490" w:rsidRDefault="00AF1A0D">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IMA</w:t>
            </w:r>
          </w:p>
        </w:tc>
        <w:tc>
          <w:tcPr>
            <w:tcW w:w="2700" w:type="dxa"/>
            <w:shd w:val="clear" w:color="auto" w:fill="auto"/>
            <w:hideMark/>
          </w:tcPr>
          <w:p w14:paraId="4689F966" w14:textId="77777777" w:rsidR="00AF1A0D" w:rsidRDefault="00AF1A0D">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Immunization for Adolescents </w:t>
            </w:r>
          </w:p>
          <w:p w14:paraId="363198A5" w14:textId="77777777" w:rsidR="00AF1A0D" w:rsidRPr="00A77490" w:rsidRDefault="00AF1A0D">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(combo 2)</w:t>
            </w:r>
          </w:p>
        </w:tc>
        <w:tc>
          <w:tcPr>
            <w:tcW w:w="810" w:type="dxa"/>
            <w:shd w:val="clear" w:color="auto" w:fill="auto"/>
            <w:noWrap/>
            <w:vAlign w:val="center"/>
            <w:hideMark/>
          </w:tcPr>
          <w:p w14:paraId="27B9BC92"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44.6%</w:t>
            </w:r>
          </w:p>
        </w:tc>
        <w:tc>
          <w:tcPr>
            <w:tcW w:w="662" w:type="dxa"/>
            <w:shd w:val="clear" w:color="auto" w:fill="auto"/>
            <w:noWrap/>
            <w:vAlign w:val="center"/>
            <w:hideMark/>
          </w:tcPr>
          <w:p w14:paraId="1B840395"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15.7%</w:t>
            </w:r>
          </w:p>
        </w:tc>
        <w:tc>
          <w:tcPr>
            <w:tcW w:w="662" w:type="dxa"/>
            <w:shd w:val="clear" w:color="auto" w:fill="auto"/>
            <w:noWrap/>
            <w:vAlign w:val="center"/>
            <w:hideMark/>
          </w:tcPr>
          <w:p w14:paraId="328A3D1A"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39.2%</w:t>
            </w:r>
          </w:p>
        </w:tc>
        <w:tc>
          <w:tcPr>
            <w:tcW w:w="662" w:type="dxa"/>
            <w:shd w:val="clear" w:color="auto" w:fill="auto"/>
            <w:noWrap/>
            <w:vAlign w:val="center"/>
            <w:hideMark/>
          </w:tcPr>
          <w:p w14:paraId="7C56DD57"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38.7%</w:t>
            </w:r>
          </w:p>
        </w:tc>
        <w:tc>
          <w:tcPr>
            <w:tcW w:w="662" w:type="dxa"/>
            <w:shd w:val="clear" w:color="auto" w:fill="auto"/>
            <w:noWrap/>
            <w:vAlign w:val="center"/>
            <w:hideMark/>
          </w:tcPr>
          <w:p w14:paraId="2B765D13"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47.2%</w:t>
            </w:r>
          </w:p>
        </w:tc>
        <w:tc>
          <w:tcPr>
            <w:tcW w:w="952" w:type="dxa"/>
            <w:shd w:val="clear" w:color="auto" w:fill="auto"/>
            <w:noWrap/>
            <w:vAlign w:val="center"/>
            <w:hideMark/>
          </w:tcPr>
          <w:p w14:paraId="76DD6F27"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54.1%</w:t>
            </w:r>
          </w:p>
        </w:tc>
        <w:tc>
          <w:tcPr>
            <w:tcW w:w="868" w:type="dxa"/>
            <w:shd w:val="clear" w:color="auto" w:fill="auto"/>
            <w:noWrap/>
            <w:vAlign w:val="center"/>
            <w:hideMark/>
          </w:tcPr>
          <w:p w14:paraId="27FE0F6D"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33.3%</w:t>
            </w:r>
          </w:p>
        </w:tc>
        <w:tc>
          <w:tcPr>
            <w:tcW w:w="662" w:type="dxa"/>
            <w:shd w:val="clear" w:color="auto" w:fill="auto"/>
            <w:noWrap/>
            <w:vAlign w:val="center"/>
            <w:hideMark/>
          </w:tcPr>
          <w:p w14:paraId="58A27D92"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23.6%</w:t>
            </w:r>
          </w:p>
        </w:tc>
        <w:tc>
          <w:tcPr>
            <w:tcW w:w="688" w:type="dxa"/>
            <w:shd w:val="clear" w:color="auto" w:fill="auto"/>
            <w:noWrap/>
            <w:vAlign w:val="center"/>
            <w:hideMark/>
          </w:tcPr>
          <w:p w14:paraId="6CB833FC"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56.0%</w:t>
            </w:r>
          </w:p>
        </w:tc>
        <w:tc>
          <w:tcPr>
            <w:tcW w:w="1000" w:type="dxa"/>
            <w:shd w:val="clear" w:color="auto" w:fill="auto"/>
            <w:noWrap/>
            <w:vAlign w:val="center"/>
            <w:hideMark/>
          </w:tcPr>
          <w:p w14:paraId="71AF449A"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45.5%</w:t>
            </w:r>
          </w:p>
        </w:tc>
        <w:tc>
          <w:tcPr>
            <w:tcW w:w="890" w:type="dxa"/>
            <w:shd w:val="clear" w:color="auto" w:fill="auto"/>
            <w:noWrap/>
            <w:vAlign w:val="center"/>
            <w:hideMark/>
          </w:tcPr>
          <w:p w14:paraId="6BE7C419"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56.8%</w:t>
            </w:r>
          </w:p>
        </w:tc>
        <w:tc>
          <w:tcPr>
            <w:tcW w:w="810" w:type="dxa"/>
            <w:shd w:val="clear" w:color="auto" w:fill="auto"/>
            <w:noWrap/>
            <w:vAlign w:val="center"/>
            <w:hideMark/>
          </w:tcPr>
          <w:p w14:paraId="355AF289"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40.4%</w:t>
            </w:r>
          </w:p>
        </w:tc>
        <w:tc>
          <w:tcPr>
            <w:tcW w:w="662" w:type="dxa"/>
            <w:shd w:val="clear" w:color="auto" w:fill="auto"/>
            <w:noWrap/>
            <w:vAlign w:val="center"/>
            <w:hideMark/>
          </w:tcPr>
          <w:p w14:paraId="7D174A8E"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55.8%</w:t>
            </w:r>
          </w:p>
        </w:tc>
        <w:tc>
          <w:tcPr>
            <w:tcW w:w="737" w:type="dxa"/>
            <w:shd w:val="clear" w:color="auto" w:fill="auto"/>
            <w:noWrap/>
            <w:vAlign w:val="center"/>
            <w:hideMark/>
          </w:tcPr>
          <w:p w14:paraId="01943329"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56.6%</w:t>
            </w:r>
          </w:p>
        </w:tc>
        <w:tc>
          <w:tcPr>
            <w:tcW w:w="662" w:type="dxa"/>
            <w:shd w:val="clear" w:color="auto" w:fill="auto"/>
            <w:noWrap/>
            <w:vAlign w:val="center"/>
            <w:hideMark/>
          </w:tcPr>
          <w:p w14:paraId="2D7B4BE4"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63.7%</w:t>
            </w:r>
          </w:p>
        </w:tc>
        <w:tc>
          <w:tcPr>
            <w:tcW w:w="662" w:type="dxa"/>
            <w:shd w:val="clear" w:color="auto" w:fill="auto"/>
            <w:noWrap/>
            <w:vAlign w:val="center"/>
            <w:hideMark/>
          </w:tcPr>
          <w:p w14:paraId="6E1B32CF"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28.7%</w:t>
            </w:r>
          </w:p>
        </w:tc>
        <w:tc>
          <w:tcPr>
            <w:tcW w:w="990" w:type="dxa"/>
            <w:shd w:val="clear" w:color="auto" w:fill="auto"/>
            <w:noWrap/>
            <w:vAlign w:val="center"/>
            <w:hideMark/>
          </w:tcPr>
          <w:p w14:paraId="24791165"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35.5%</w:t>
            </w:r>
          </w:p>
        </w:tc>
        <w:tc>
          <w:tcPr>
            <w:tcW w:w="662" w:type="dxa"/>
            <w:shd w:val="clear" w:color="auto" w:fill="auto"/>
            <w:noWrap/>
            <w:vAlign w:val="center"/>
            <w:hideMark/>
          </w:tcPr>
          <w:p w14:paraId="539D17FF"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NA</w:t>
            </w:r>
          </w:p>
        </w:tc>
        <w:tc>
          <w:tcPr>
            <w:tcW w:w="662" w:type="dxa"/>
            <w:shd w:val="clear" w:color="auto" w:fill="auto"/>
            <w:noWrap/>
            <w:vAlign w:val="center"/>
            <w:hideMark/>
          </w:tcPr>
          <w:p w14:paraId="4CAE7657"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31.9%</w:t>
            </w:r>
          </w:p>
        </w:tc>
        <w:tc>
          <w:tcPr>
            <w:tcW w:w="755" w:type="dxa"/>
            <w:shd w:val="clear" w:color="auto" w:fill="auto"/>
            <w:noWrap/>
            <w:vAlign w:val="center"/>
            <w:hideMark/>
          </w:tcPr>
          <w:p w14:paraId="5BFEC63D"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21.8%</w:t>
            </w:r>
          </w:p>
        </w:tc>
        <w:tc>
          <w:tcPr>
            <w:tcW w:w="1042" w:type="dxa"/>
            <w:shd w:val="clear" w:color="auto" w:fill="auto"/>
            <w:noWrap/>
            <w:vAlign w:val="center"/>
            <w:hideMark/>
          </w:tcPr>
          <w:p w14:paraId="5807FBCF"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42.0%</w:t>
            </w:r>
          </w:p>
        </w:tc>
      </w:tr>
      <w:tr w:rsidR="00AF1A0D" w:rsidRPr="00A77490" w14:paraId="580E6125" w14:textId="77777777">
        <w:trPr>
          <w:trHeight w:val="310"/>
        </w:trPr>
        <w:tc>
          <w:tcPr>
            <w:tcW w:w="720" w:type="dxa"/>
            <w:shd w:val="clear" w:color="auto" w:fill="F2F2F2" w:themeFill="background1" w:themeFillShade="F2"/>
            <w:noWrap/>
            <w:hideMark/>
          </w:tcPr>
          <w:p w14:paraId="45521FCE" w14:textId="77777777" w:rsidR="00AF1A0D" w:rsidRPr="00A77490" w:rsidRDefault="00AF1A0D">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EOHHS</w:t>
            </w:r>
          </w:p>
          <w:p w14:paraId="7A9AF261" w14:textId="77777777" w:rsidR="00AF1A0D" w:rsidRPr="00A77490" w:rsidRDefault="00AF1A0D">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/ADA</w:t>
            </w:r>
          </w:p>
        </w:tc>
        <w:tc>
          <w:tcPr>
            <w:tcW w:w="2700" w:type="dxa"/>
            <w:shd w:val="clear" w:color="auto" w:fill="F2F2F2" w:themeFill="background1" w:themeFillShade="F2"/>
            <w:hideMark/>
          </w:tcPr>
          <w:p w14:paraId="25517D8F" w14:textId="77777777" w:rsidR="00AF1A0D" w:rsidRPr="00A77490" w:rsidRDefault="00AF1A0D">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 xml:space="preserve">Oral Health Evaluation   </w:t>
            </w:r>
            <w:r w:rsidRPr="00A77490">
              <w:rPr>
                <w:rFonts w:asciiTheme="minorHAnsi" w:eastAsia="Times New Roman" w:hAnsiTheme="minorHAnsi" w:cstheme="minorHAnsi"/>
                <w:color w:val="FF0000"/>
                <w:sz w:val="16"/>
                <w:szCs w:val="16"/>
              </w:rPr>
              <w:t xml:space="preserve"> </w:t>
            </w:r>
          </w:p>
        </w:tc>
        <w:tc>
          <w:tcPr>
            <w:tcW w:w="810" w:type="dxa"/>
            <w:shd w:val="clear" w:color="auto" w:fill="F2F2F2" w:themeFill="background1" w:themeFillShade="F2"/>
            <w:noWrap/>
            <w:vAlign w:val="center"/>
            <w:hideMark/>
          </w:tcPr>
          <w:p w14:paraId="424A966A"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44.7%</w:t>
            </w:r>
          </w:p>
        </w:tc>
        <w:tc>
          <w:tcPr>
            <w:tcW w:w="662" w:type="dxa"/>
            <w:shd w:val="clear" w:color="auto" w:fill="F2F2F2" w:themeFill="background1" w:themeFillShade="F2"/>
            <w:noWrap/>
            <w:vAlign w:val="center"/>
            <w:hideMark/>
          </w:tcPr>
          <w:p w14:paraId="42793494"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39.6%</w:t>
            </w:r>
          </w:p>
        </w:tc>
        <w:tc>
          <w:tcPr>
            <w:tcW w:w="662" w:type="dxa"/>
            <w:shd w:val="clear" w:color="auto" w:fill="F2F2F2" w:themeFill="background1" w:themeFillShade="F2"/>
            <w:noWrap/>
            <w:vAlign w:val="center"/>
            <w:hideMark/>
          </w:tcPr>
          <w:p w14:paraId="3EE2E3F6"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49.2%</w:t>
            </w:r>
          </w:p>
        </w:tc>
        <w:tc>
          <w:tcPr>
            <w:tcW w:w="662" w:type="dxa"/>
            <w:shd w:val="clear" w:color="auto" w:fill="F2F2F2" w:themeFill="background1" w:themeFillShade="F2"/>
            <w:noWrap/>
            <w:vAlign w:val="center"/>
            <w:hideMark/>
          </w:tcPr>
          <w:p w14:paraId="2150382D"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49.9%</w:t>
            </w:r>
          </w:p>
        </w:tc>
        <w:tc>
          <w:tcPr>
            <w:tcW w:w="662" w:type="dxa"/>
            <w:shd w:val="clear" w:color="auto" w:fill="F2F2F2" w:themeFill="background1" w:themeFillShade="F2"/>
            <w:noWrap/>
            <w:vAlign w:val="center"/>
            <w:hideMark/>
          </w:tcPr>
          <w:p w14:paraId="1D87C7BA"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38.8%</w:t>
            </w:r>
          </w:p>
        </w:tc>
        <w:tc>
          <w:tcPr>
            <w:tcW w:w="952" w:type="dxa"/>
            <w:shd w:val="clear" w:color="auto" w:fill="F2F2F2" w:themeFill="background1" w:themeFillShade="F2"/>
            <w:noWrap/>
            <w:vAlign w:val="center"/>
            <w:hideMark/>
          </w:tcPr>
          <w:p w14:paraId="7D05F8F1"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48.0%</w:t>
            </w:r>
          </w:p>
        </w:tc>
        <w:tc>
          <w:tcPr>
            <w:tcW w:w="868" w:type="dxa"/>
            <w:shd w:val="clear" w:color="auto" w:fill="F2F2F2" w:themeFill="background1" w:themeFillShade="F2"/>
            <w:noWrap/>
            <w:vAlign w:val="center"/>
            <w:hideMark/>
          </w:tcPr>
          <w:p w14:paraId="692C359A"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50.5%</w:t>
            </w:r>
          </w:p>
        </w:tc>
        <w:tc>
          <w:tcPr>
            <w:tcW w:w="662" w:type="dxa"/>
            <w:shd w:val="clear" w:color="auto" w:fill="F2F2F2" w:themeFill="background1" w:themeFillShade="F2"/>
            <w:noWrap/>
            <w:vAlign w:val="center"/>
            <w:hideMark/>
          </w:tcPr>
          <w:p w14:paraId="60113F1E"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40.3%</w:t>
            </w:r>
          </w:p>
        </w:tc>
        <w:tc>
          <w:tcPr>
            <w:tcW w:w="688" w:type="dxa"/>
            <w:shd w:val="clear" w:color="auto" w:fill="F2F2F2" w:themeFill="background1" w:themeFillShade="F2"/>
            <w:noWrap/>
            <w:vAlign w:val="center"/>
            <w:hideMark/>
          </w:tcPr>
          <w:p w14:paraId="10AF4A80"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46.9%</w:t>
            </w:r>
          </w:p>
        </w:tc>
        <w:tc>
          <w:tcPr>
            <w:tcW w:w="1000" w:type="dxa"/>
            <w:shd w:val="clear" w:color="auto" w:fill="F2F2F2" w:themeFill="background1" w:themeFillShade="F2"/>
            <w:noWrap/>
            <w:vAlign w:val="center"/>
            <w:hideMark/>
          </w:tcPr>
          <w:p w14:paraId="2FC9D9DB"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46.3%</w:t>
            </w:r>
          </w:p>
        </w:tc>
        <w:tc>
          <w:tcPr>
            <w:tcW w:w="890" w:type="dxa"/>
            <w:shd w:val="clear" w:color="auto" w:fill="F2F2F2" w:themeFill="background1" w:themeFillShade="F2"/>
            <w:noWrap/>
            <w:vAlign w:val="center"/>
            <w:hideMark/>
          </w:tcPr>
          <w:p w14:paraId="6DB779BA"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38.5%</w:t>
            </w:r>
          </w:p>
        </w:tc>
        <w:tc>
          <w:tcPr>
            <w:tcW w:w="810" w:type="dxa"/>
            <w:shd w:val="clear" w:color="auto" w:fill="F2F2F2" w:themeFill="background1" w:themeFillShade="F2"/>
            <w:noWrap/>
            <w:vAlign w:val="center"/>
            <w:hideMark/>
          </w:tcPr>
          <w:p w14:paraId="32C5C63D"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44.1%</w:t>
            </w:r>
          </w:p>
        </w:tc>
        <w:tc>
          <w:tcPr>
            <w:tcW w:w="662" w:type="dxa"/>
            <w:shd w:val="clear" w:color="auto" w:fill="F2F2F2" w:themeFill="background1" w:themeFillShade="F2"/>
            <w:noWrap/>
            <w:vAlign w:val="center"/>
            <w:hideMark/>
          </w:tcPr>
          <w:p w14:paraId="6852DAC3"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44.3%</w:t>
            </w:r>
          </w:p>
        </w:tc>
        <w:tc>
          <w:tcPr>
            <w:tcW w:w="737" w:type="dxa"/>
            <w:shd w:val="clear" w:color="auto" w:fill="F2F2F2" w:themeFill="background1" w:themeFillShade="F2"/>
            <w:noWrap/>
            <w:vAlign w:val="center"/>
            <w:hideMark/>
          </w:tcPr>
          <w:p w14:paraId="4D9F6B6B"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36.8%</w:t>
            </w:r>
          </w:p>
        </w:tc>
        <w:tc>
          <w:tcPr>
            <w:tcW w:w="662" w:type="dxa"/>
            <w:shd w:val="clear" w:color="auto" w:fill="F2F2F2" w:themeFill="background1" w:themeFillShade="F2"/>
            <w:noWrap/>
            <w:vAlign w:val="center"/>
            <w:hideMark/>
          </w:tcPr>
          <w:p w14:paraId="77E8B605"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42.5%</w:t>
            </w:r>
          </w:p>
        </w:tc>
        <w:tc>
          <w:tcPr>
            <w:tcW w:w="662" w:type="dxa"/>
            <w:shd w:val="clear" w:color="auto" w:fill="F2F2F2" w:themeFill="background1" w:themeFillShade="F2"/>
            <w:noWrap/>
            <w:vAlign w:val="center"/>
            <w:hideMark/>
          </w:tcPr>
          <w:p w14:paraId="359BC8F7"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48.1%</w:t>
            </w:r>
          </w:p>
        </w:tc>
        <w:tc>
          <w:tcPr>
            <w:tcW w:w="990" w:type="dxa"/>
            <w:shd w:val="clear" w:color="auto" w:fill="F2F2F2" w:themeFill="background1" w:themeFillShade="F2"/>
            <w:noWrap/>
            <w:vAlign w:val="center"/>
            <w:hideMark/>
          </w:tcPr>
          <w:p w14:paraId="34797BFB"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42.8%</w:t>
            </w:r>
          </w:p>
        </w:tc>
        <w:tc>
          <w:tcPr>
            <w:tcW w:w="662" w:type="dxa"/>
            <w:shd w:val="clear" w:color="auto" w:fill="F2F2F2" w:themeFill="background1" w:themeFillShade="F2"/>
            <w:noWrap/>
            <w:vAlign w:val="center"/>
            <w:hideMark/>
          </w:tcPr>
          <w:p w14:paraId="33961444"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33.1%</w:t>
            </w:r>
          </w:p>
        </w:tc>
        <w:tc>
          <w:tcPr>
            <w:tcW w:w="662" w:type="dxa"/>
            <w:tcBorders>
              <w:bottom w:val="single" w:sz="4" w:space="0" w:color="auto"/>
            </w:tcBorders>
            <w:shd w:val="clear" w:color="auto" w:fill="F2F2F2" w:themeFill="background1" w:themeFillShade="F2"/>
            <w:noWrap/>
            <w:vAlign w:val="center"/>
            <w:hideMark/>
          </w:tcPr>
          <w:p w14:paraId="1F944481" w14:textId="77777777" w:rsidR="00AF1A0D" w:rsidRPr="00770E94" w:rsidRDefault="00AF1A0D">
            <w:pPr>
              <w:spacing w:after="0"/>
              <w:jc w:val="center"/>
              <w:rPr>
                <w:rFonts w:asciiTheme="minorHAnsi" w:eastAsia="Times New Roman" w:hAnsiTheme="minorHAnsi" w:cstheme="minorHAnsi"/>
                <w:sz w:val="16"/>
                <w:szCs w:val="16"/>
              </w:rPr>
            </w:pPr>
            <w:r w:rsidRPr="00770E94">
              <w:rPr>
                <w:rFonts w:cs="Calibri"/>
                <w:sz w:val="16"/>
                <w:szCs w:val="16"/>
              </w:rPr>
              <w:t>41.2%</w:t>
            </w:r>
          </w:p>
        </w:tc>
        <w:tc>
          <w:tcPr>
            <w:tcW w:w="755" w:type="dxa"/>
            <w:tcBorders>
              <w:bottom w:val="single" w:sz="4" w:space="0" w:color="auto"/>
            </w:tcBorders>
            <w:shd w:val="clear" w:color="auto" w:fill="F2F2F2" w:themeFill="background1" w:themeFillShade="F2"/>
            <w:noWrap/>
            <w:vAlign w:val="center"/>
            <w:hideMark/>
          </w:tcPr>
          <w:p w14:paraId="1614CD80" w14:textId="77777777" w:rsidR="00AF1A0D" w:rsidRPr="00770E94" w:rsidRDefault="00AF1A0D">
            <w:pPr>
              <w:spacing w:after="0"/>
              <w:jc w:val="center"/>
              <w:rPr>
                <w:rFonts w:asciiTheme="minorHAnsi" w:eastAsia="Times New Roman" w:hAnsiTheme="minorHAnsi" w:cstheme="minorHAnsi"/>
                <w:sz w:val="16"/>
                <w:szCs w:val="16"/>
              </w:rPr>
            </w:pPr>
            <w:r w:rsidRPr="00770E94">
              <w:rPr>
                <w:rFonts w:cs="Calibri"/>
                <w:sz w:val="16"/>
                <w:szCs w:val="16"/>
              </w:rPr>
              <w:t>37.2%</w:t>
            </w:r>
          </w:p>
        </w:tc>
        <w:tc>
          <w:tcPr>
            <w:tcW w:w="1042" w:type="dxa"/>
            <w:tcBorders>
              <w:bottom w:val="single" w:sz="4" w:space="0" w:color="auto"/>
            </w:tcBorders>
            <w:shd w:val="clear" w:color="auto" w:fill="F2F2F2" w:themeFill="background1" w:themeFillShade="F2"/>
            <w:noWrap/>
            <w:vAlign w:val="center"/>
            <w:hideMark/>
          </w:tcPr>
          <w:p w14:paraId="371C69AA" w14:textId="77777777" w:rsidR="00AF1A0D" w:rsidRPr="00770E94" w:rsidRDefault="00AF1A0D">
            <w:pPr>
              <w:spacing w:after="0"/>
              <w:jc w:val="center"/>
              <w:rPr>
                <w:rFonts w:asciiTheme="minorHAnsi" w:eastAsia="Times New Roman" w:hAnsiTheme="minorHAnsi" w:cstheme="minorHAnsi"/>
                <w:sz w:val="16"/>
                <w:szCs w:val="16"/>
              </w:rPr>
            </w:pPr>
            <w:r w:rsidRPr="00770E94">
              <w:rPr>
                <w:rFonts w:cs="Calibri"/>
                <w:sz w:val="16"/>
                <w:szCs w:val="16"/>
              </w:rPr>
              <w:t>43.2%</w:t>
            </w:r>
          </w:p>
        </w:tc>
      </w:tr>
      <w:tr w:rsidR="00AF1A0D" w:rsidRPr="00A77490" w14:paraId="30DB872B" w14:textId="77777777">
        <w:trPr>
          <w:trHeight w:val="520"/>
        </w:trPr>
        <w:tc>
          <w:tcPr>
            <w:tcW w:w="720" w:type="dxa"/>
            <w:shd w:val="clear" w:color="auto" w:fill="auto"/>
            <w:noWrap/>
            <w:hideMark/>
          </w:tcPr>
          <w:p w14:paraId="3AB19FBC" w14:textId="77777777" w:rsidR="00AF1A0D" w:rsidRPr="00A77490" w:rsidRDefault="00AF1A0D">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EOHHS</w:t>
            </w:r>
          </w:p>
        </w:tc>
        <w:tc>
          <w:tcPr>
            <w:tcW w:w="2700" w:type="dxa"/>
            <w:shd w:val="clear" w:color="auto" w:fill="auto"/>
            <w:hideMark/>
          </w:tcPr>
          <w:p w14:paraId="4B49BA3A" w14:textId="77777777" w:rsidR="00AF1A0D" w:rsidRPr="00A77490" w:rsidRDefault="00AF1A0D">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Health-Related Social Needs Screening  </w:t>
            </w:r>
          </w:p>
        </w:tc>
        <w:tc>
          <w:tcPr>
            <w:tcW w:w="810" w:type="dxa"/>
            <w:shd w:val="clear" w:color="auto" w:fill="auto"/>
            <w:noWrap/>
            <w:vAlign w:val="center"/>
            <w:hideMark/>
          </w:tcPr>
          <w:p w14:paraId="667A0F1F"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18.4%</w:t>
            </w:r>
          </w:p>
        </w:tc>
        <w:tc>
          <w:tcPr>
            <w:tcW w:w="662" w:type="dxa"/>
            <w:shd w:val="clear" w:color="auto" w:fill="auto"/>
            <w:noWrap/>
            <w:vAlign w:val="center"/>
            <w:hideMark/>
          </w:tcPr>
          <w:p w14:paraId="73A3001C"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6.3%</w:t>
            </w:r>
          </w:p>
        </w:tc>
        <w:tc>
          <w:tcPr>
            <w:tcW w:w="662" w:type="dxa"/>
            <w:shd w:val="clear" w:color="auto" w:fill="auto"/>
            <w:noWrap/>
            <w:vAlign w:val="center"/>
            <w:hideMark/>
          </w:tcPr>
          <w:p w14:paraId="4F4828EF"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6.3%</w:t>
            </w:r>
          </w:p>
        </w:tc>
        <w:tc>
          <w:tcPr>
            <w:tcW w:w="662" w:type="dxa"/>
            <w:shd w:val="clear" w:color="auto" w:fill="auto"/>
            <w:noWrap/>
            <w:vAlign w:val="center"/>
            <w:hideMark/>
          </w:tcPr>
          <w:p w14:paraId="1E572EEB"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3.4%</w:t>
            </w:r>
          </w:p>
        </w:tc>
        <w:tc>
          <w:tcPr>
            <w:tcW w:w="662" w:type="dxa"/>
            <w:shd w:val="clear" w:color="auto" w:fill="auto"/>
            <w:noWrap/>
            <w:vAlign w:val="center"/>
            <w:hideMark/>
          </w:tcPr>
          <w:p w14:paraId="11AFBBE6"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6.1%</w:t>
            </w:r>
          </w:p>
        </w:tc>
        <w:tc>
          <w:tcPr>
            <w:tcW w:w="952" w:type="dxa"/>
            <w:shd w:val="clear" w:color="auto" w:fill="auto"/>
            <w:noWrap/>
            <w:vAlign w:val="center"/>
            <w:hideMark/>
          </w:tcPr>
          <w:p w14:paraId="1DC827D2"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5.6%</w:t>
            </w:r>
          </w:p>
        </w:tc>
        <w:tc>
          <w:tcPr>
            <w:tcW w:w="868" w:type="dxa"/>
            <w:shd w:val="clear" w:color="auto" w:fill="auto"/>
            <w:noWrap/>
            <w:vAlign w:val="center"/>
            <w:hideMark/>
          </w:tcPr>
          <w:p w14:paraId="22AC5EC9"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19.5%</w:t>
            </w:r>
          </w:p>
        </w:tc>
        <w:tc>
          <w:tcPr>
            <w:tcW w:w="662" w:type="dxa"/>
            <w:shd w:val="clear" w:color="auto" w:fill="auto"/>
            <w:noWrap/>
            <w:vAlign w:val="center"/>
            <w:hideMark/>
          </w:tcPr>
          <w:p w14:paraId="49BD0109"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14.6%</w:t>
            </w:r>
          </w:p>
        </w:tc>
        <w:tc>
          <w:tcPr>
            <w:tcW w:w="688" w:type="dxa"/>
            <w:shd w:val="clear" w:color="auto" w:fill="auto"/>
            <w:noWrap/>
            <w:vAlign w:val="center"/>
            <w:hideMark/>
          </w:tcPr>
          <w:p w14:paraId="72DDA310"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14.4%</w:t>
            </w:r>
          </w:p>
        </w:tc>
        <w:tc>
          <w:tcPr>
            <w:tcW w:w="1000" w:type="dxa"/>
            <w:shd w:val="clear" w:color="auto" w:fill="auto"/>
            <w:noWrap/>
            <w:vAlign w:val="center"/>
            <w:hideMark/>
          </w:tcPr>
          <w:p w14:paraId="3BC59320"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47.4%</w:t>
            </w:r>
          </w:p>
        </w:tc>
        <w:tc>
          <w:tcPr>
            <w:tcW w:w="890" w:type="dxa"/>
            <w:shd w:val="clear" w:color="auto" w:fill="auto"/>
            <w:noWrap/>
            <w:vAlign w:val="center"/>
            <w:hideMark/>
          </w:tcPr>
          <w:p w14:paraId="25AA0546"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29.4%</w:t>
            </w:r>
          </w:p>
        </w:tc>
        <w:tc>
          <w:tcPr>
            <w:tcW w:w="810" w:type="dxa"/>
            <w:shd w:val="clear" w:color="auto" w:fill="auto"/>
            <w:noWrap/>
            <w:vAlign w:val="center"/>
            <w:hideMark/>
          </w:tcPr>
          <w:p w14:paraId="06990F52"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18.7%</w:t>
            </w:r>
          </w:p>
        </w:tc>
        <w:tc>
          <w:tcPr>
            <w:tcW w:w="662" w:type="dxa"/>
            <w:shd w:val="clear" w:color="auto" w:fill="auto"/>
            <w:noWrap/>
            <w:vAlign w:val="center"/>
            <w:hideMark/>
          </w:tcPr>
          <w:p w14:paraId="38ED7BCE"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0.2%</w:t>
            </w:r>
          </w:p>
        </w:tc>
        <w:tc>
          <w:tcPr>
            <w:tcW w:w="737" w:type="dxa"/>
            <w:shd w:val="clear" w:color="auto" w:fill="auto"/>
            <w:noWrap/>
            <w:vAlign w:val="center"/>
            <w:hideMark/>
          </w:tcPr>
          <w:p w14:paraId="09B35E76"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13.4%</w:t>
            </w:r>
          </w:p>
        </w:tc>
        <w:tc>
          <w:tcPr>
            <w:tcW w:w="662" w:type="dxa"/>
            <w:shd w:val="clear" w:color="auto" w:fill="auto"/>
            <w:noWrap/>
            <w:vAlign w:val="center"/>
            <w:hideMark/>
          </w:tcPr>
          <w:p w14:paraId="413B996D"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23.6%</w:t>
            </w:r>
          </w:p>
        </w:tc>
        <w:tc>
          <w:tcPr>
            <w:tcW w:w="662" w:type="dxa"/>
            <w:shd w:val="clear" w:color="000000" w:fill="FFFFFF"/>
            <w:noWrap/>
            <w:vAlign w:val="center"/>
            <w:hideMark/>
          </w:tcPr>
          <w:p w14:paraId="2679CC28"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17.3%</w:t>
            </w:r>
          </w:p>
        </w:tc>
        <w:tc>
          <w:tcPr>
            <w:tcW w:w="990" w:type="dxa"/>
            <w:shd w:val="clear" w:color="000000" w:fill="FFFFFF"/>
            <w:noWrap/>
            <w:vAlign w:val="center"/>
            <w:hideMark/>
          </w:tcPr>
          <w:p w14:paraId="2999E10A"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2.2%</w:t>
            </w:r>
          </w:p>
        </w:tc>
        <w:tc>
          <w:tcPr>
            <w:tcW w:w="662" w:type="dxa"/>
            <w:tcBorders>
              <w:right w:val="single" w:sz="4" w:space="0" w:color="auto"/>
            </w:tcBorders>
            <w:shd w:val="clear" w:color="000000" w:fill="FFFFFF"/>
            <w:noWrap/>
            <w:vAlign w:val="center"/>
            <w:hideMark/>
          </w:tcPr>
          <w:p w14:paraId="0F5B138E"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0.0%</w:t>
            </w:r>
          </w:p>
        </w:tc>
        <w:tc>
          <w:tcPr>
            <w:tcW w:w="66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3409D6AC" w14:textId="4FA3DBC7" w:rsidR="00AF1A0D" w:rsidRPr="00273F52" w:rsidRDefault="00D31883">
            <w:pPr>
              <w:spacing w:after="0"/>
              <w:jc w:val="center"/>
              <w:rPr>
                <w:color w:val="000000"/>
              </w:rPr>
            </w:pPr>
            <w:r>
              <w:rPr>
                <w:color w:val="000000"/>
              </w:rPr>
              <w:t>-</w:t>
            </w:r>
            <w:r w:rsidR="00AF1A0D" w:rsidRPr="00273F52">
              <w:rPr>
                <w:color w:val="000000"/>
              </w:rPr>
              <w:t> </w:t>
            </w:r>
          </w:p>
        </w:tc>
        <w:tc>
          <w:tcPr>
            <w:tcW w:w="75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87D6524" w14:textId="6321EBB7" w:rsidR="00AF1A0D" w:rsidRPr="00273F52" w:rsidRDefault="00AF1A0D">
            <w:pPr>
              <w:spacing w:after="0"/>
              <w:jc w:val="center"/>
              <w:rPr>
                <w:color w:val="000000"/>
              </w:rPr>
            </w:pPr>
            <w:r w:rsidRPr="00273F52">
              <w:rPr>
                <w:color w:val="000000"/>
              </w:rPr>
              <w:t> </w:t>
            </w:r>
            <w:r w:rsidR="00D31883">
              <w:rPr>
                <w:color w:val="000000"/>
              </w:rPr>
              <w:t>-</w:t>
            </w:r>
          </w:p>
        </w:tc>
        <w:tc>
          <w:tcPr>
            <w:tcW w:w="104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D9DFC0D" w14:textId="7E1EF5BD" w:rsidR="00AF1A0D" w:rsidRPr="00273F52" w:rsidRDefault="00D31883">
            <w:pPr>
              <w:spacing w:after="0"/>
              <w:jc w:val="center"/>
              <w:rPr>
                <w:color w:val="000000"/>
              </w:rPr>
            </w:pPr>
            <w:r>
              <w:rPr>
                <w:color w:val="000000"/>
              </w:rPr>
              <w:t>-</w:t>
            </w:r>
            <w:r w:rsidR="00AF1A0D" w:rsidRPr="00273F52">
              <w:rPr>
                <w:color w:val="000000"/>
              </w:rPr>
              <w:t> </w:t>
            </w:r>
          </w:p>
        </w:tc>
      </w:tr>
      <w:tr w:rsidR="00AF1A0D" w:rsidRPr="00A77490" w14:paraId="107FFA0F" w14:textId="77777777">
        <w:trPr>
          <w:trHeight w:val="310"/>
        </w:trPr>
        <w:tc>
          <w:tcPr>
            <w:tcW w:w="720" w:type="dxa"/>
            <w:shd w:val="clear" w:color="auto" w:fill="F2F2F2" w:themeFill="background1" w:themeFillShade="F2"/>
            <w:noWrap/>
            <w:hideMark/>
          </w:tcPr>
          <w:p w14:paraId="70DD4D9E" w14:textId="77777777" w:rsidR="00AF1A0D" w:rsidRPr="00A77490" w:rsidRDefault="00AF1A0D">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CBP</w:t>
            </w:r>
          </w:p>
        </w:tc>
        <w:tc>
          <w:tcPr>
            <w:tcW w:w="2700" w:type="dxa"/>
            <w:shd w:val="clear" w:color="auto" w:fill="F2F2F2" w:themeFill="background1" w:themeFillShade="F2"/>
            <w:hideMark/>
          </w:tcPr>
          <w:p w14:paraId="74F78DCC" w14:textId="77777777" w:rsidR="00AF1A0D" w:rsidRPr="00A77490" w:rsidRDefault="00AF1A0D">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Controlling High Blood Pressure  </w:t>
            </w:r>
          </w:p>
        </w:tc>
        <w:tc>
          <w:tcPr>
            <w:tcW w:w="810" w:type="dxa"/>
            <w:shd w:val="clear" w:color="auto" w:fill="F2F2F2" w:themeFill="background1" w:themeFillShade="F2"/>
            <w:noWrap/>
            <w:vAlign w:val="center"/>
            <w:hideMark/>
          </w:tcPr>
          <w:p w14:paraId="5807BE6C"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61.4%</w:t>
            </w:r>
          </w:p>
        </w:tc>
        <w:tc>
          <w:tcPr>
            <w:tcW w:w="662" w:type="dxa"/>
            <w:shd w:val="clear" w:color="auto" w:fill="F2F2F2" w:themeFill="background1" w:themeFillShade="F2"/>
            <w:noWrap/>
            <w:vAlign w:val="center"/>
            <w:hideMark/>
          </w:tcPr>
          <w:p w14:paraId="3C21240E"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59.4%</w:t>
            </w:r>
          </w:p>
        </w:tc>
        <w:tc>
          <w:tcPr>
            <w:tcW w:w="662" w:type="dxa"/>
            <w:shd w:val="clear" w:color="auto" w:fill="F2F2F2" w:themeFill="background1" w:themeFillShade="F2"/>
            <w:noWrap/>
            <w:vAlign w:val="center"/>
            <w:hideMark/>
          </w:tcPr>
          <w:p w14:paraId="5E70F95D"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69.1%</w:t>
            </w:r>
          </w:p>
        </w:tc>
        <w:tc>
          <w:tcPr>
            <w:tcW w:w="662" w:type="dxa"/>
            <w:shd w:val="clear" w:color="auto" w:fill="F2F2F2" w:themeFill="background1" w:themeFillShade="F2"/>
            <w:noWrap/>
            <w:vAlign w:val="center"/>
            <w:hideMark/>
          </w:tcPr>
          <w:p w14:paraId="2F1B3B2E"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58.2%</w:t>
            </w:r>
          </w:p>
        </w:tc>
        <w:tc>
          <w:tcPr>
            <w:tcW w:w="662" w:type="dxa"/>
            <w:shd w:val="clear" w:color="auto" w:fill="F2F2F2" w:themeFill="background1" w:themeFillShade="F2"/>
            <w:noWrap/>
            <w:vAlign w:val="center"/>
            <w:hideMark/>
          </w:tcPr>
          <w:p w14:paraId="42BA17BF"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60.6%</w:t>
            </w:r>
          </w:p>
        </w:tc>
        <w:tc>
          <w:tcPr>
            <w:tcW w:w="952" w:type="dxa"/>
            <w:shd w:val="clear" w:color="auto" w:fill="F2F2F2" w:themeFill="background1" w:themeFillShade="F2"/>
            <w:noWrap/>
            <w:vAlign w:val="center"/>
            <w:hideMark/>
          </w:tcPr>
          <w:p w14:paraId="782DD186"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61.6%</w:t>
            </w:r>
          </w:p>
        </w:tc>
        <w:tc>
          <w:tcPr>
            <w:tcW w:w="868" w:type="dxa"/>
            <w:shd w:val="clear" w:color="auto" w:fill="F2F2F2" w:themeFill="background1" w:themeFillShade="F2"/>
            <w:noWrap/>
            <w:vAlign w:val="center"/>
            <w:hideMark/>
          </w:tcPr>
          <w:p w14:paraId="10CC0B67"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65.5%</w:t>
            </w:r>
          </w:p>
        </w:tc>
        <w:tc>
          <w:tcPr>
            <w:tcW w:w="662" w:type="dxa"/>
            <w:shd w:val="clear" w:color="auto" w:fill="F2F2F2" w:themeFill="background1" w:themeFillShade="F2"/>
            <w:noWrap/>
            <w:vAlign w:val="center"/>
            <w:hideMark/>
          </w:tcPr>
          <w:p w14:paraId="7EDE1C7F"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57.9%</w:t>
            </w:r>
          </w:p>
        </w:tc>
        <w:tc>
          <w:tcPr>
            <w:tcW w:w="688" w:type="dxa"/>
            <w:shd w:val="clear" w:color="auto" w:fill="F2F2F2" w:themeFill="background1" w:themeFillShade="F2"/>
            <w:noWrap/>
            <w:vAlign w:val="center"/>
            <w:hideMark/>
          </w:tcPr>
          <w:p w14:paraId="29F8292D"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60.3%</w:t>
            </w:r>
          </w:p>
        </w:tc>
        <w:tc>
          <w:tcPr>
            <w:tcW w:w="1000" w:type="dxa"/>
            <w:shd w:val="clear" w:color="auto" w:fill="F2F2F2" w:themeFill="background1" w:themeFillShade="F2"/>
            <w:noWrap/>
            <w:vAlign w:val="center"/>
            <w:hideMark/>
          </w:tcPr>
          <w:p w14:paraId="305072B3"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59.7%</w:t>
            </w:r>
          </w:p>
        </w:tc>
        <w:tc>
          <w:tcPr>
            <w:tcW w:w="890" w:type="dxa"/>
            <w:shd w:val="clear" w:color="auto" w:fill="F2F2F2" w:themeFill="background1" w:themeFillShade="F2"/>
            <w:noWrap/>
            <w:vAlign w:val="center"/>
            <w:hideMark/>
          </w:tcPr>
          <w:p w14:paraId="194CFE38"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57.4%</w:t>
            </w:r>
          </w:p>
        </w:tc>
        <w:tc>
          <w:tcPr>
            <w:tcW w:w="810" w:type="dxa"/>
            <w:shd w:val="clear" w:color="auto" w:fill="F2F2F2" w:themeFill="background1" w:themeFillShade="F2"/>
            <w:noWrap/>
            <w:vAlign w:val="center"/>
            <w:hideMark/>
          </w:tcPr>
          <w:p w14:paraId="39C15EDF"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68.9%</w:t>
            </w:r>
          </w:p>
        </w:tc>
        <w:tc>
          <w:tcPr>
            <w:tcW w:w="662" w:type="dxa"/>
            <w:shd w:val="clear" w:color="auto" w:fill="F2F2F2" w:themeFill="background1" w:themeFillShade="F2"/>
            <w:noWrap/>
            <w:vAlign w:val="center"/>
            <w:hideMark/>
          </w:tcPr>
          <w:p w14:paraId="4A615126"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69.0%</w:t>
            </w:r>
          </w:p>
        </w:tc>
        <w:tc>
          <w:tcPr>
            <w:tcW w:w="737" w:type="dxa"/>
            <w:shd w:val="clear" w:color="auto" w:fill="F2F2F2" w:themeFill="background1" w:themeFillShade="F2"/>
            <w:noWrap/>
            <w:vAlign w:val="center"/>
            <w:hideMark/>
          </w:tcPr>
          <w:p w14:paraId="12730B3B"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70.8%</w:t>
            </w:r>
          </w:p>
        </w:tc>
        <w:tc>
          <w:tcPr>
            <w:tcW w:w="662" w:type="dxa"/>
            <w:shd w:val="clear" w:color="auto" w:fill="F2F2F2" w:themeFill="background1" w:themeFillShade="F2"/>
            <w:noWrap/>
            <w:vAlign w:val="center"/>
            <w:hideMark/>
          </w:tcPr>
          <w:p w14:paraId="6282838A"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51.3%</w:t>
            </w:r>
          </w:p>
        </w:tc>
        <w:tc>
          <w:tcPr>
            <w:tcW w:w="662" w:type="dxa"/>
            <w:shd w:val="clear" w:color="auto" w:fill="F2F2F2" w:themeFill="background1" w:themeFillShade="F2"/>
            <w:noWrap/>
            <w:vAlign w:val="center"/>
            <w:hideMark/>
          </w:tcPr>
          <w:p w14:paraId="43FD2C4F"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68.6%</w:t>
            </w:r>
          </w:p>
        </w:tc>
        <w:tc>
          <w:tcPr>
            <w:tcW w:w="990" w:type="dxa"/>
            <w:shd w:val="clear" w:color="auto" w:fill="F2F2F2" w:themeFill="background1" w:themeFillShade="F2"/>
            <w:noWrap/>
            <w:vAlign w:val="center"/>
            <w:hideMark/>
          </w:tcPr>
          <w:p w14:paraId="6299B11B"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68.1%</w:t>
            </w:r>
          </w:p>
        </w:tc>
        <w:tc>
          <w:tcPr>
            <w:tcW w:w="662" w:type="dxa"/>
            <w:shd w:val="clear" w:color="auto" w:fill="F2F2F2" w:themeFill="background1" w:themeFillShade="F2"/>
            <w:noWrap/>
            <w:vAlign w:val="center"/>
            <w:hideMark/>
          </w:tcPr>
          <w:p w14:paraId="3D2C53EB"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54.7%</w:t>
            </w:r>
          </w:p>
        </w:tc>
        <w:tc>
          <w:tcPr>
            <w:tcW w:w="662" w:type="dxa"/>
            <w:tcBorders>
              <w:top w:val="single" w:sz="4" w:space="0" w:color="auto"/>
            </w:tcBorders>
            <w:shd w:val="clear" w:color="auto" w:fill="F2F2F2" w:themeFill="background1" w:themeFillShade="F2"/>
            <w:noWrap/>
            <w:vAlign w:val="center"/>
            <w:hideMark/>
          </w:tcPr>
          <w:p w14:paraId="689C228E"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39.0%</w:t>
            </w:r>
          </w:p>
        </w:tc>
        <w:tc>
          <w:tcPr>
            <w:tcW w:w="755" w:type="dxa"/>
            <w:tcBorders>
              <w:top w:val="single" w:sz="4" w:space="0" w:color="auto"/>
            </w:tcBorders>
            <w:shd w:val="clear" w:color="auto" w:fill="F2F2F2" w:themeFill="background1" w:themeFillShade="F2"/>
            <w:noWrap/>
            <w:vAlign w:val="center"/>
            <w:hideMark/>
          </w:tcPr>
          <w:p w14:paraId="48E686AA"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25.9%</w:t>
            </w:r>
          </w:p>
        </w:tc>
        <w:tc>
          <w:tcPr>
            <w:tcW w:w="1042" w:type="dxa"/>
            <w:tcBorders>
              <w:top w:val="single" w:sz="4" w:space="0" w:color="auto"/>
            </w:tcBorders>
            <w:shd w:val="clear" w:color="auto" w:fill="F2F2F2" w:themeFill="background1" w:themeFillShade="F2"/>
            <w:noWrap/>
            <w:vAlign w:val="center"/>
            <w:hideMark/>
          </w:tcPr>
          <w:p w14:paraId="4EC902DF"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52.1%</w:t>
            </w:r>
          </w:p>
        </w:tc>
      </w:tr>
      <w:tr w:rsidR="00AF1A0D" w:rsidRPr="00A77490" w14:paraId="2BA10898" w14:textId="77777777">
        <w:trPr>
          <w:trHeight w:val="310"/>
        </w:trPr>
        <w:tc>
          <w:tcPr>
            <w:tcW w:w="720" w:type="dxa"/>
            <w:shd w:val="clear" w:color="auto" w:fill="auto"/>
            <w:noWrap/>
            <w:hideMark/>
          </w:tcPr>
          <w:p w14:paraId="18A8CB26" w14:textId="77777777" w:rsidR="00AF1A0D" w:rsidRPr="00A77490" w:rsidRDefault="00AF1A0D">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AMR</w:t>
            </w:r>
          </w:p>
        </w:tc>
        <w:tc>
          <w:tcPr>
            <w:tcW w:w="2700" w:type="dxa"/>
            <w:shd w:val="clear" w:color="auto" w:fill="auto"/>
            <w:hideMark/>
          </w:tcPr>
          <w:p w14:paraId="1E861F0A" w14:textId="77777777" w:rsidR="00AF1A0D" w:rsidRPr="00A77490" w:rsidRDefault="00AF1A0D">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Asthma Medication Ratio  </w:t>
            </w:r>
          </w:p>
        </w:tc>
        <w:tc>
          <w:tcPr>
            <w:tcW w:w="810" w:type="dxa"/>
            <w:shd w:val="clear" w:color="auto" w:fill="auto"/>
            <w:noWrap/>
            <w:vAlign w:val="center"/>
            <w:hideMark/>
          </w:tcPr>
          <w:p w14:paraId="1A6178E2"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59.5%</w:t>
            </w:r>
          </w:p>
        </w:tc>
        <w:tc>
          <w:tcPr>
            <w:tcW w:w="662" w:type="dxa"/>
            <w:shd w:val="clear" w:color="auto" w:fill="auto"/>
            <w:noWrap/>
            <w:vAlign w:val="center"/>
            <w:hideMark/>
          </w:tcPr>
          <w:p w14:paraId="28673D0F"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68.9%</w:t>
            </w:r>
          </w:p>
        </w:tc>
        <w:tc>
          <w:tcPr>
            <w:tcW w:w="662" w:type="dxa"/>
            <w:shd w:val="clear" w:color="auto" w:fill="auto"/>
            <w:noWrap/>
            <w:vAlign w:val="center"/>
            <w:hideMark/>
          </w:tcPr>
          <w:p w14:paraId="1B9E42D1"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79.9%</w:t>
            </w:r>
          </w:p>
        </w:tc>
        <w:tc>
          <w:tcPr>
            <w:tcW w:w="662" w:type="dxa"/>
            <w:shd w:val="clear" w:color="auto" w:fill="auto"/>
            <w:noWrap/>
            <w:vAlign w:val="center"/>
            <w:hideMark/>
          </w:tcPr>
          <w:p w14:paraId="217601A7"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77.6%</w:t>
            </w:r>
          </w:p>
        </w:tc>
        <w:tc>
          <w:tcPr>
            <w:tcW w:w="662" w:type="dxa"/>
            <w:shd w:val="clear" w:color="auto" w:fill="auto"/>
            <w:noWrap/>
            <w:vAlign w:val="center"/>
            <w:hideMark/>
          </w:tcPr>
          <w:p w14:paraId="472A2036"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57.3%</w:t>
            </w:r>
          </w:p>
        </w:tc>
        <w:tc>
          <w:tcPr>
            <w:tcW w:w="952" w:type="dxa"/>
            <w:shd w:val="clear" w:color="auto" w:fill="auto"/>
            <w:noWrap/>
            <w:vAlign w:val="center"/>
            <w:hideMark/>
          </w:tcPr>
          <w:p w14:paraId="36228877"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58.5%</w:t>
            </w:r>
          </w:p>
        </w:tc>
        <w:tc>
          <w:tcPr>
            <w:tcW w:w="868" w:type="dxa"/>
            <w:shd w:val="clear" w:color="auto" w:fill="auto"/>
            <w:noWrap/>
            <w:vAlign w:val="center"/>
            <w:hideMark/>
          </w:tcPr>
          <w:p w14:paraId="65DA16B1"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63.5%</w:t>
            </w:r>
          </w:p>
        </w:tc>
        <w:tc>
          <w:tcPr>
            <w:tcW w:w="662" w:type="dxa"/>
            <w:shd w:val="clear" w:color="auto" w:fill="auto"/>
            <w:noWrap/>
            <w:vAlign w:val="center"/>
            <w:hideMark/>
          </w:tcPr>
          <w:p w14:paraId="7AA57FDB"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59.0%</w:t>
            </w:r>
          </w:p>
        </w:tc>
        <w:tc>
          <w:tcPr>
            <w:tcW w:w="688" w:type="dxa"/>
            <w:shd w:val="clear" w:color="auto" w:fill="auto"/>
            <w:noWrap/>
            <w:vAlign w:val="center"/>
            <w:hideMark/>
          </w:tcPr>
          <w:p w14:paraId="3A26E28E"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51.2%</w:t>
            </w:r>
          </w:p>
        </w:tc>
        <w:tc>
          <w:tcPr>
            <w:tcW w:w="1000" w:type="dxa"/>
            <w:shd w:val="clear" w:color="auto" w:fill="auto"/>
            <w:noWrap/>
            <w:vAlign w:val="center"/>
            <w:hideMark/>
          </w:tcPr>
          <w:p w14:paraId="00CE2DF1"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73.0%</w:t>
            </w:r>
          </w:p>
        </w:tc>
        <w:tc>
          <w:tcPr>
            <w:tcW w:w="890" w:type="dxa"/>
            <w:shd w:val="clear" w:color="auto" w:fill="auto"/>
            <w:noWrap/>
            <w:vAlign w:val="center"/>
            <w:hideMark/>
          </w:tcPr>
          <w:p w14:paraId="00C52D8D"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54.2%</w:t>
            </w:r>
          </w:p>
        </w:tc>
        <w:tc>
          <w:tcPr>
            <w:tcW w:w="810" w:type="dxa"/>
            <w:shd w:val="clear" w:color="auto" w:fill="auto"/>
            <w:noWrap/>
            <w:vAlign w:val="center"/>
            <w:hideMark/>
          </w:tcPr>
          <w:p w14:paraId="27713A24"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65.5%</w:t>
            </w:r>
          </w:p>
        </w:tc>
        <w:tc>
          <w:tcPr>
            <w:tcW w:w="662" w:type="dxa"/>
            <w:shd w:val="clear" w:color="auto" w:fill="auto"/>
            <w:noWrap/>
            <w:vAlign w:val="center"/>
            <w:hideMark/>
          </w:tcPr>
          <w:p w14:paraId="3DD033BB"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50.4%</w:t>
            </w:r>
          </w:p>
        </w:tc>
        <w:tc>
          <w:tcPr>
            <w:tcW w:w="737" w:type="dxa"/>
            <w:shd w:val="clear" w:color="auto" w:fill="auto"/>
            <w:noWrap/>
            <w:vAlign w:val="center"/>
            <w:hideMark/>
          </w:tcPr>
          <w:p w14:paraId="775D6469"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47.6%</w:t>
            </w:r>
          </w:p>
        </w:tc>
        <w:tc>
          <w:tcPr>
            <w:tcW w:w="662" w:type="dxa"/>
            <w:shd w:val="clear" w:color="auto" w:fill="auto"/>
            <w:noWrap/>
            <w:vAlign w:val="center"/>
            <w:hideMark/>
          </w:tcPr>
          <w:p w14:paraId="54E1FFA3"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57.6%</w:t>
            </w:r>
          </w:p>
        </w:tc>
        <w:tc>
          <w:tcPr>
            <w:tcW w:w="662" w:type="dxa"/>
            <w:shd w:val="clear" w:color="auto" w:fill="auto"/>
            <w:noWrap/>
            <w:vAlign w:val="center"/>
            <w:hideMark/>
          </w:tcPr>
          <w:p w14:paraId="7D18F4D7"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55.9%</w:t>
            </w:r>
          </w:p>
        </w:tc>
        <w:tc>
          <w:tcPr>
            <w:tcW w:w="990" w:type="dxa"/>
            <w:shd w:val="clear" w:color="auto" w:fill="auto"/>
            <w:noWrap/>
            <w:vAlign w:val="center"/>
            <w:hideMark/>
          </w:tcPr>
          <w:p w14:paraId="4175DA23"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55.9%</w:t>
            </w:r>
          </w:p>
        </w:tc>
        <w:tc>
          <w:tcPr>
            <w:tcW w:w="662" w:type="dxa"/>
            <w:shd w:val="clear" w:color="auto" w:fill="auto"/>
            <w:noWrap/>
            <w:vAlign w:val="center"/>
            <w:hideMark/>
          </w:tcPr>
          <w:p w14:paraId="613E3845"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47.7%</w:t>
            </w:r>
          </w:p>
        </w:tc>
        <w:tc>
          <w:tcPr>
            <w:tcW w:w="662" w:type="dxa"/>
            <w:shd w:val="clear" w:color="auto" w:fill="auto"/>
            <w:noWrap/>
            <w:vAlign w:val="center"/>
            <w:hideMark/>
          </w:tcPr>
          <w:p w14:paraId="2B019AD1" w14:textId="77777777" w:rsidR="00AF1A0D" w:rsidRPr="00770E94" w:rsidRDefault="00AF1A0D">
            <w:pPr>
              <w:spacing w:after="0"/>
              <w:jc w:val="center"/>
              <w:rPr>
                <w:rFonts w:asciiTheme="minorHAnsi" w:eastAsia="Times New Roman" w:hAnsiTheme="minorHAnsi" w:cstheme="minorHAnsi"/>
                <w:sz w:val="16"/>
                <w:szCs w:val="16"/>
              </w:rPr>
            </w:pPr>
            <w:r w:rsidRPr="00770E94">
              <w:rPr>
                <w:rFonts w:cs="Calibri"/>
                <w:sz w:val="16"/>
                <w:szCs w:val="16"/>
              </w:rPr>
              <w:t>55.7%</w:t>
            </w:r>
          </w:p>
        </w:tc>
        <w:tc>
          <w:tcPr>
            <w:tcW w:w="755" w:type="dxa"/>
            <w:shd w:val="clear" w:color="auto" w:fill="auto"/>
            <w:noWrap/>
            <w:vAlign w:val="center"/>
            <w:hideMark/>
          </w:tcPr>
          <w:p w14:paraId="779CFF0B" w14:textId="77777777" w:rsidR="00AF1A0D" w:rsidRPr="00770E94" w:rsidRDefault="00AF1A0D">
            <w:pPr>
              <w:spacing w:after="0"/>
              <w:jc w:val="center"/>
              <w:rPr>
                <w:rFonts w:asciiTheme="minorHAnsi" w:eastAsia="Times New Roman" w:hAnsiTheme="minorHAnsi" w:cstheme="minorHAnsi"/>
                <w:sz w:val="16"/>
                <w:szCs w:val="16"/>
              </w:rPr>
            </w:pPr>
            <w:r w:rsidRPr="00770E94">
              <w:rPr>
                <w:rFonts w:cs="Calibri"/>
                <w:sz w:val="16"/>
                <w:szCs w:val="16"/>
              </w:rPr>
              <w:t>50.8%</w:t>
            </w:r>
          </w:p>
        </w:tc>
        <w:tc>
          <w:tcPr>
            <w:tcW w:w="1042" w:type="dxa"/>
            <w:shd w:val="clear" w:color="auto" w:fill="auto"/>
            <w:noWrap/>
            <w:vAlign w:val="center"/>
            <w:hideMark/>
          </w:tcPr>
          <w:p w14:paraId="5CF12EE6" w14:textId="77777777" w:rsidR="00AF1A0D" w:rsidRPr="00770E94" w:rsidRDefault="00AF1A0D">
            <w:pPr>
              <w:spacing w:after="0"/>
              <w:jc w:val="center"/>
              <w:rPr>
                <w:rFonts w:asciiTheme="minorHAnsi" w:eastAsia="Times New Roman" w:hAnsiTheme="minorHAnsi" w:cstheme="minorHAnsi"/>
                <w:sz w:val="16"/>
                <w:szCs w:val="16"/>
              </w:rPr>
            </w:pPr>
            <w:r w:rsidRPr="00770E94">
              <w:rPr>
                <w:rFonts w:cs="Calibri"/>
                <w:sz w:val="16"/>
                <w:szCs w:val="16"/>
              </w:rPr>
              <w:t>57.3%</w:t>
            </w:r>
          </w:p>
        </w:tc>
      </w:tr>
      <w:tr w:rsidR="00AF1A0D" w:rsidRPr="00A77490" w14:paraId="6A0E3B95" w14:textId="77777777">
        <w:trPr>
          <w:trHeight w:val="520"/>
        </w:trPr>
        <w:tc>
          <w:tcPr>
            <w:tcW w:w="720" w:type="dxa"/>
            <w:shd w:val="clear" w:color="auto" w:fill="F2F2F2" w:themeFill="background1" w:themeFillShade="F2"/>
            <w:noWrap/>
            <w:hideMark/>
          </w:tcPr>
          <w:p w14:paraId="5BD37D4B" w14:textId="77777777" w:rsidR="00AF1A0D" w:rsidRPr="00A77490" w:rsidRDefault="00AF1A0D">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CDC</w:t>
            </w:r>
          </w:p>
        </w:tc>
        <w:tc>
          <w:tcPr>
            <w:tcW w:w="2700" w:type="dxa"/>
            <w:shd w:val="clear" w:color="auto" w:fill="F2F2F2" w:themeFill="background1" w:themeFillShade="F2"/>
            <w:hideMark/>
          </w:tcPr>
          <w:p w14:paraId="5B7A8A6D" w14:textId="77777777" w:rsidR="00AF1A0D" w:rsidRPr="00A77490" w:rsidRDefault="00AF1A0D">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 xml:space="preserve">Comprehensive Diabetes Care: </w:t>
            </w:r>
            <w:r>
              <w:rPr>
                <w:rFonts w:asciiTheme="minorHAnsi" w:eastAsia="Times New Roman" w:hAnsiTheme="minorHAnsi" w:cstheme="minorHAnsi"/>
                <w:sz w:val="16"/>
                <w:szCs w:val="16"/>
              </w:rPr>
              <w:t>A1C</w:t>
            </w:r>
            <w:r w:rsidRPr="00A77490">
              <w:rPr>
                <w:rFonts w:asciiTheme="minorHAnsi" w:eastAsia="Times New Roman" w:hAnsiTheme="minorHAnsi" w:cstheme="minorHAnsi"/>
                <w:sz w:val="16"/>
                <w:szCs w:val="16"/>
              </w:rPr>
              <w:t xml:space="preserve"> Poor Control (lower is better)</w:t>
            </w:r>
          </w:p>
        </w:tc>
        <w:tc>
          <w:tcPr>
            <w:tcW w:w="810" w:type="dxa"/>
            <w:shd w:val="clear" w:color="auto" w:fill="F2F2F2" w:themeFill="background1" w:themeFillShade="F2"/>
            <w:noWrap/>
            <w:vAlign w:val="center"/>
            <w:hideMark/>
          </w:tcPr>
          <w:p w14:paraId="071D4BD2"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40.8%</w:t>
            </w:r>
          </w:p>
        </w:tc>
        <w:tc>
          <w:tcPr>
            <w:tcW w:w="662" w:type="dxa"/>
            <w:shd w:val="clear" w:color="auto" w:fill="F2F2F2" w:themeFill="background1" w:themeFillShade="F2"/>
            <w:noWrap/>
            <w:vAlign w:val="center"/>
            <w:hideMark/>
          </w:tcPr>
          <w:p w14:paraId="09F27110"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41.8%</w:t>
            </w:r>
          </w:p>
        </w:tc>
        <w:tc>
          <w:tcPr>
            <w:tcW w:w="662" w:type="dxa"/>
            <w:shd w:val="clear" w:color="auto" w:fill="F2F2F2" w:themeFill="background1" w:themeFillShade="F2"/>
            <w:noWrap/>
            <w:vAlign w:val="center"/>
            <w:hideMark/>
          </w:tcPr>
          <w:p w14:paraId="34E82803"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32.4%</w:t>
            </w:r>
          </w:p>
        </w:tc>
        <w:tc>
          <w:tcPr>
            <w:tcW w:w="662" w:type="dxa"/>
            <w:shd w:val="clear" w:color="auto" w:fill="F2F2F2" w:themeFill="background1" w:themeFillShade="F2"/>
            <w:noWrap/>
            <w:vAlign w:val="center"/>
            <w:hideMark/>
          </w:tcPr>
          <w:p w14:paraId="4953D394"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34.8%</w:t>
            </w:r>
          </w:p>
        </w:tc>
        <w:tc>
          <w:tcPr>
            <w:tcW w:w="662" w:type="dxa"/>
            <w:shd w:val="clear" w:color="auto" w:fill="F2F2F2" w:themeFill="background1" w:themeFillShade="F2"/>
            <w:noWrap/>
            <w:vAlign w:val="center"/>
            <w:hideMark/>
          </w:tcPr>
          <w:p w14:paraId="2FE8C276"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41.8%</w:t>
            </w:r>
          </w:p>
        </w:tc>
        <w:tc>
          <w:tcPr>
            <w:tcW w:w="952" w:type="dxa"/>
            <w:shd w:val="clear" w:color="auto" w:fill="F2F2F2" w:themeFill="background1" w:themeFillShade="F2"/>
            <w:noWrap/>
            <w:vAlign w:val="center"/>
            <w:hideMark/>
          </w:tcPr>
          <w:p w14:paraId="0F78FFB6"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40.3%</w:t>
            </w:r>
          </w:p>
        </w:tc>
        <w:tc>
          <w:tcPr>
            <w:tcW w:w="868" w:type="dxa"/>
            <w:shd w:val="clear" w:color="auto" w:fill="F2F2F2" w:themeFill="background1" w:themeFillShade="F2"/>
            <w:noWrap/>
            <w:vAlign w:val="center"/>
            <w:hideMark/>
          </w:tcPr>
          <w:p w14:paraId="2FF6B09A"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35.1%</w:t>
            </w:r>
          </w:p>
        </w:tc>
        <w:tc>
          <w:tcPr>
            <w:tcW w:w="662" w:type="dxa"/>
            <w:shd w:val="clear" w:color="auto" w:fill="F2F2F2" w:themeFill="background1" w:themeFillShade="F2"/>
            <w:noWrap/>
            <w:vAlign w:val="center"/>
            <w:hideMark/>
          </w:tcPr>
          <w:p w14:paraId="25E1C25D"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31.3%</w:t>
            </w:r>
          </w:p>
        </w:tc>
        <w:tc>
          <w:tcPr>
            <w:tcW w:w="688" w:type="dxa"/>
            <w:shd w:val="clear" w:color="auto" w:fill="F2F2F2" w:themeFill="background1" w:themeFillShade="F2"/>
            <w:noWrap/>
            <w:vAlign w:val="center"/>
            <w:hideMark/>
          </w:tcPr>
          <w:p w14:paraId="60EA2906"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46.6%</w:t>
            </w:r>
          </w:p>
        </w:tc>
        <w:tc>
          <w:tcPr>
            <w:tcW w:w="1000" w:type="dxa"/>
            <w:shd w:val="clear" w:color="auto" w:fill="F2F2F2" w:themeFill="background1" w:themeFillShade="F2"/>
            <w:noWrap/>
            <w:vAlign w:val="center"/>
            <w:hideMark/>
          </w:tcPr>
          <w:p w14:paraId="1234B0B6"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65.9%</w:t>
            </w:r>
          </w:p>
        </w:tc>
        <w:tc>
          <w:tcPr>
            <w:tcW w:w="890" w:type="dxa"/>
            <w:shd w:val="clear" w:color="auto" w:fill="F2F2F2" w:themeFill="background1" w:themeFillShade="F2"/>
            <w:noWrap/>
            <w:vAlign w:val="center"/>
            <w:hideMark/>
          </w:tcPr>
          <w:p w14:paraId="0A6BEE51"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43.1%</w:t>
            </w:r>
          </w:p>
        </w:tc>
        <w:tc>
          <w:tcPr>
            <w:tcW w:w="810" w:type="dxa"/>
            <w:shd w:val="clear" w:color="auto" w:fill="F2F2F2" w:themeFill="background1" w:themeFillShade="F2"/>
            <w:noWrap/>
            <w:vAlign w:val="center"/>
            <w:hideMark/>
          </w:tcPr>
          <w:p w14:paraId="69A255BE"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40.0%</w:t>
            </w:r>
          </w:p>
        </w:tc>
        <w:tc>
          <w:tcPr>
            <w:tcW w:w="662" w:type="dxa"/>
            <w:shd w:val="clear" w:color="auto" w:fill="F2F2F2" w:themeFill="background1" w:themeFillShade="F2"/>
            <w:noWrap/>
            <w:vAlign w:val="center"/>
            <w:hideMark/>
          </w:tcPr>
          <w:p w14:paraId="13C03C55"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31.8%</w:t>
            </w:r>
          </w:p>
        </w:tc>
        <w:tc>
          <w:tcPr>
            <w:tcW w:w="737" w:type="dxa"/>
            <w:shd w:val="clear" w:color="auto" w:fill="F2F2F2" w:themeFill="background1" w:themeFillShade="F2"/>
            <w:noWrap/>
            <w:vAlign w:val="center"/>
            <w:hideMark/>
          </w:tcPr>
          <w:p w14:paraId="50D74858"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37.9%</w:t>
            </w:r>
          </w:p>
        </w:tc>
        <w:tc>
          <w:tcPr>
            <w:tcW w:w="662" w:type="dxa"/>
            <w:shd w:val="clear" w:color="auto" w:fill="F2F2F2" w:themeFill="background1" w:themeFillShade="F2"/>
            <w:noWrap/>
            <w:vAlign w:val="center"/>
            <w:hideMark/>
          </w:tcPr>
          <w:p w14:paraId="6DFF2C09"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42.6%</w:t>
            </w:r>
          </w:p>
        </w:tc>
        <w:tc>
          <w:tcPr>
            <w:tcW w:w="662" w:type="dxa"/>
            <w:shd w:val="clear" w:color="auto" w:fill="F2F2F2" w:themeFill="background1" w:themeFillShade="F2"/>
            <w:noWrap/>
            <w:vAlign w:val="center"/>
            <w:hideMark/>
          </w:tcPr>
          <w:p w14:paraId="71494DD4"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37.8%</w:t>
            </w:r>
          </w:p>
        </w:tc>
        <w:tc>
          <w:tcPr>
            <w:tcW w:w="990" w:type="dxa"/>
            <w:shd w:val="clear" w:color="auto" w:fill="F2F2F2" w:themeFill="background1" w:themeFillShade="F2"/>
            <w:noWrap/>
            <w:vAlign w:val="center"/>
            <w:hideMark/>
          </w:tcPr>
          <w:p w14:paraId="243BA1E6"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48.1%</w:t>
            </w:r>
          </w:p>
        </w:tc>
        <w:tc>
          <w:tcPr>
            <w:tcW w:w="662" w:type="dxa"/>
            <w:shd w:val="clear" w:color="auto" w:fill="F2F2F2" w:themeFill="background1" w:themeFillShade="F2"/>
            <w:noWrap/>
            <w:vAlign w:val="center"/>
            <w:hideMark/>
          </w:tcPr>
          <w:p w14:paraId="1EBEACFA"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42.6%</w:t>
            </w:r>
          </w:p>
        </w:tc>
        <w:tc>
          <w:tcPr>
            <w:tcW w:w="662" w:type="dxa"/>
            <w:shd w:val="clear" w:color="auto" w:fill="F2F2F2" w:themeFill="background1" w:themeFillShade="F2"/>
            <w:noWrap/>
            <w:vAlign w:val="center"/>
            <w:hideMark/>
          </w:tcPr>
          <w:p w14:paraId="13FEC40C"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53.4%</w:t>
            </w:r>
          </w:p>
        </w:tc>
        <w:tc>
          <w:tcPr>
            <w:tcW w:w="755" w:type="dxa"/>
            <w:shd w:val="clear" w:color="auto" w:fill="F2F2F2" w:themeFill="background1" w:themeFillShade="F2"/>
            <w:noWrap/>
            <w:vAlign w:val="center"/>
            <w:hideMark/>
          </w:tcPr>
          <w:p w14:paraId="2FB3AFF1"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67.8%</w:t>
            </w:r>
          </w:p>
        </w:tc>
        <w:tc>
          <w:tcPr>
            <w:tcW w:w="1042" w:type="dxa"/>
            <w:shd w:val="clear" w:color="auto" w:fill="F2F2F2" w:themeFill="background1" w:themeFillShade="F2"/>
            <w:noWrap/>
            <w:vAlign w:val="center"/>
            <w:hideMark/>
          </w:tcPr>
          <w:p w14:paraId="1B717124"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39.1%</w:t>
            </w:r>
          </w:p>
        </w:tc>
      </w:tr>
      <w:tr w:rsidR="00AF1A0D" w:rsidRPr="00A77490" w14:paraId="0624639B" w14:textId="77777777">
        <w:trPr>
          <w:trHeight w:val="520"/>
        </w:trPr>
        <w:tc>
          <w:tcPr>
            <w:tcW w:w="720" w:type="dxa"/>
            <w:shd w:val="clear" w:color="auto" w:fill="auto"/>
            <w:noWrap/>
            <w:vAlign w:val="bottom"/>
            <w:hideMark/>
          </w:tcPr>
          <w:p w14:paraId="3F10A43D" w14:textId="77777777" w:rsidR="00AF1A0D" w:rsidRPr="00A77490" w:rsidRDefault="00AF1A0D">
            <w:pPr>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PCR-O/E</w:t>
            </w:r>
          </w:p>
        </w:tc>
        <w:tc>
          <w:tcPr>
            <w:tcW w:w="2700" w:type="dxa"/>
            <w:shd w:val="clear" w:color="auto" w:fill="auto"/>
            <w:hideMark/>
          </w:tcPr>
          <w:p w14:paraId="7C797B38" w14:textId="77777777" w:rsidR="00AF1A0D" w:rsidRPr="00A77490" w:rsidRDefault="00AF1A0D">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Plan All-Cause Readmissions (observed to expected ratio)</w:t>
            </w:r>
          </w:p>
        </w:tc>
        <w:tc>
          <w:tcPr>
            <w:tcW w:w="810" w:type="dxa"/>
            <w:shd w:val="clear" w:color="auto" w:fill="auto"/>
            <w:noWrap/>
            <w:vAlign w:val="center"/>
            <w:hideMark/>
          </w:tcPr>
          <w:p w14:paraId="5B7902FC"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1.2322</w:t>
            </w:r>
          </w:p>
        </w:tc>
        <w:tc>
          <w:tcPr>
            <w:tcW w:w="662" w:type="dxa"/>
            <w:shd w:val="clear" w:color="auto" w:fill="auto"/>
            <w:noWrap/>
            <w:vAlign w:val="center"/>
            <w:hideMark/>
          </w:tcPr>
          <w:p w14:paraId="4C747043"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1.5292</w:t>
            </w:r>
          </w:p>
        </w:tc>
        <w:tc>
          <w:tcPr>
            <w:tcW w:w="662" w:type="dxa"/>
            <w:shd w:val="clear" w:color="auto" w:fill="auto"/>
            <w:noWrap/>
            <w:vAlign w:val="center"/>
            <w:hideMark/>
          </w:tcPr>
          <w:p w14:paraId="2A0397B4"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1.3217</w:t>
            </w:r>
          </w:p>
        </w:tc>
        <w:tc>
          <w:tcPr>
            <w:tcW w:w="662" w:type="dxa"/>
            <w:shd w:val="clear" w:color="auto" w:fill="auto"/>
            <w:noWrap/>
            <w:vAlign w:val="center"/>
            <w:hideMark/>
          </w:tcPr>
          <w:p w14:paraId="66DF944D"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1.5886</w:t>
            </w:r>
          </w:p>
        </w:tc>
        <w:tc>
          <w:tcPr>
            <w:tcW w:w="662" w:type="dxa"/>
            <w:shd w:val="clear" w:color="auto" w:fill="auto"/>
            <w:noWrap/>
            <w:vAlign w:val="center"/>
            <w:hideMark/>
          </w:tcPr>
          <w:p w14:paraId="2A494BDB"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1.1258</w:t>
            </w:r>
          </w:p>
        </w:tc>
        <w:tc>
          <w:tcPr>
            <w:tcW w:w="952" w:type="dxa"/>
            <w:shd w:val="clear" w:color="auto" w:fill="auto"/>
            <w:noWrap/>
            <w:vAlign w:val="center"/>
            <w:hideMark/>
          </w:tcPr>
          <w:p w14:paraId="58EFCA07"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1.0737</w:t>
            </w:r>
          </w:p>
        </w:tc>
        <w:tc>
          <w:tcPr>
            <w:tcW w:w="868" w:type="dxa"/>
            <w:shd w:val="clear" w:color="auto" w:fill="auto"/>
            <w:noWrap/>
            <w:vAlign w:val="center"/>
            <w:hideMark/>
          </w:tcPr>
          <w:p w14:paraId="02265499"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1.2513</w:t>
            </w:r>
          </w:p>
        </w:tc>
        <w:tc>
          <w:tcPr>
            <w:tcW w:w="662" w:type="dxa"/>
            <w:shd w:val="clear" w:color="auto" w:fill="auto"/>
            <w:noWrap/>
            <w:vAlign w:val="center"/>
            <w:hideMark/>
          </w:tcPr>
          <w:p w14:paraId="13883432"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1.1819</w:t>
            </w:r>
          </w:p>
        </w:tc>
        <w:tc>
          <w:tcPr>
            <w:tcW w:w="688" w:type="dxa"/>
            <w:shd w:val="clear" w:color="auto" w:fill="auto"/>
            <w:noWrap/>
            <w:vAlign w:val="center"/>
            <w:hideMark/>
          </w:tcPr>
          <w:p w14:paraId="6B4727FF"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1.3088</w:t>
            </w:r>
          </w:p>
        </w:tc>
        <w:tc>
          <w:tcPr>
            <w:tcW w:w="1000" w:type="dxa"/>
            <w:shd w:val="clear" w:color="auto" w:fill="auto"/>
            <w:noWrap/>
            <w:vAlign w:val="center"/>
            <w:hideMark/>
          </w:tcPr>
          <w:p w14:paraId="23D65D92"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1.2928</w:t>
            </w:r>
          </w:p>
        </w:tc>
        <w:tc>
          <w:tcPr>
            <w:tcW w:w="890" w:type="dxa"/>
            <w:shd w:val="clear" w:color="auto" w:fill="auto"/>
            <w:noWrap/>
            <w:vAlign w:val="center"/>
            <w:hideMark/>
          </w:tcPr>
          <w:p w14:paraId="71D06E4C"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1.3510</w:t>
            </w:r>
          </w:p>
        </w:tc>
        <w:tc>
          <w:tcPr>
            <w:tcW w:w="810" w:type="dxa"/>
            <w:shd w:val="clear" w:color="auto" w:fill="auto"/>
            <w:noWrap/>
            <w:vAlign w:val="center"/>
            <w:hideMark/>
          </w:tcPr>
          <w:p w14:paraId="642445A7"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1.0038</w:t>
            </w:r>
          </w:p>
        </w:tc>
        <w:tc>
          <w:tcPr>
            <w:tcW w:w="662" w:type="dxa"/>
            <w:shd w:val="clear" w:color="auto" w:fill="auto"/>
            <w:noWrap/>
            <w:vAlign w:val="center"/>
            <w:hideMark/>
          </w:tcPr>
          <w:p w14:paraId="5E91152C"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1.4405</w:t>
            </w:r>
          </w:p>
        </w:tc>
        <w:tc>
          <w:tcPr>
            <w:tcW w:w="737" w:type="dxa"/>
            <w:shd w:val="clear" w:color="auto" w:fill="auto"/>
            <w:noWrap/>
            <w:vAlign w:val="center"/>
            <w:hideMark/>
          </w:tcPr>
          <w:p w14:paraId="7EE61C56"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1.0783</w:t>
            </w:r>
          </w:p>
        </w:tc>
        <w:tc>
          <w:tcPr>
            <w:tcW w:w="662" w:type="dxa"/>
            <w:shd w:val="clear" w:color="auto" w:fill="auto"/>
            <w:noWrap/>
            <w:vAlign w:val="center"/>
            <w:hideMark/>
          </w:tcPr>
          <w:p w14:paraId="5CDA09E6"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1.2497</w:t>
            </w:r>
          </w:p>
        </w:tc>
        <w:tc>
          <w:tcPr>
            <w:tcW w:w="662" w:type="dxa"/>
            <w:shd w:val="clear" w:color="auto" w:fill="auto"/>
            <w:noWrap/>
            <w:vAlign w:val="center"/>
            <w:hideMark/>
          </w:tcPr>
          <w:p w14:paraId="33BAA3BB"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1.1740</w:t>
            </w:r>
          </w:p>
        </w:tc>
        <w:tc>
          <w:tcPr>
            <w:tcW w:w="990" w:type="dxa"/>
            <w:shd w:val="clear" w:color="auto" w:fill="auto"/>
            <w:noWrap/>
            <w:vAlign w:val="center"/>
            <w:hideMark/>
          </w:tcPr>
          <w:p w14:paraId="1A281B59"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1.1020</w:t>
            </w:r>
          </w:p>
        </w:tc>
        <w:tc>
          <w:tcPr>
            <w:tcW w:w="662" w:type="dxa"/>
            <w:shd w:val="clear" w:color="auto" w:fill="auto"/>
            <w:noWrap/>
            <w:vAlign w:val="center"/>
            <w:hideMark/>
          </w:tcPr>
          <w:p w14:paraId="0FADD3B7"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1.2006</w:t>
            </w:r>
          </w:p>
        </w:tc>
        <w:tc>
          <w:tcPr>
            <w:tcW w:w="662" w:type="dxa"/>
            <w:shd w:val="clear" w:color="auto" w:fill="auto"/>
            <w:noWrap/>
            <w:vAlign w:val="center"/>
            <w:hideMark/>
          </w:tcPr>
          <w:p w14:paraId="1A9FD7AB"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8.3%</w:t>
            </w:r>
          </w:p>
        </w:tc>
        <w:tc>
          <w:tcPr>
            <w:tcW w:w="755" w:type="dxa"/>
            <w:shd w:val="clear" w:color="auto" w:fill="auto"/>
            <w:noWrap/>
            <w:vAlign w:val="center"/>
            <w:hideMark/>
          </w:tcPr>
          <w:p w14:paraId="012179D7"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5.3%</w:t>
            </w:r>
          </w:p>
        </w:tc>
        <w:tc>
          <w:tcPr>
            <w:tcW w:w="1042" w:type="dxa"/>
            <w:shd w:val="clear" w:color="auto" w:fill="auto"/>
            <w:noWrap/>
            <w:vAlign w:val="center"/>
            <w:hideMark/>
          </w:tcPr>
          <w:p w14:paraId="7C4BE1DA"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11.2%</w:t>
            </w:r>
          </w:p>
        </w:tc>
      </w:tr>
      <w:tr w:rsidR="00AF1A0D" w:rsidRPr="00A77490" w14:paraId="536564AF" w14:textId="77777777">
        <w:trPr>
          <w:trHeight w:val="825"/>
        </w:trPr>
        <w:tc>
          <w:tcPr>
            <w:tcW w:w="720" w:type="dxa"/>
            <w:shd w:val="clear" w:color="auto" w:fill="F2F2F2" w:themeFill="background1" w:themeFillShade="F2"/>
            <w:noWrap/>
            <w:hideMark/>
          </w:tcPr>
          <w:p w14:paraId="3D0DF69E" w14:textId="77777777" w:rsidR="00AF1A0D" w:rsidRPr="00A77490" w:rsidRDefault="00AF1A0D">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EOHHS</w:t>
            </w:r>
          </w:p>
        </w:tc>
        <w:tc>
          <w:tcPr>
            <w:tcW w:w="2700" w:type="dxa"/>
            <w:shd w:val="clear" w:color="auto" w:fill="F2F2F2" w:themeFill="background1" w:themeFillShade="F2"/>
            <w:hideMark/>
          </w:tcPr>
          <w:p w14:paraId="5BBAE5E9" w14:textId="77777777" w:rsidR="00AF1A0D" w:rsidRPr="00A77490" w:rsidRDefault="00AF1A0D">
            <w:pPr>
              <w:spacing w:after="0"/>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Risk adjusted ratio (</w:t>
            </w:r>
            <w:proofErr w:type="spellStart"/>
            <w:r w:rsidRPr="00A77490">
              <w:rPr>
                <w:rFonts w:asciiTheme="minorHAnsi" w:eastAsia="Times New Roman" w:hAnsiTheme="minorHAnsi" w:cstheme="minorHAnsi"/>
                <w:color w:val="000000"/>
                <w:sz w:val="16"/>
                <w:szCs w:val="16"/>
              </w:rPr>
              <w:t>obs</w:t>
            </w:r>
            <w:proofErr w:type="spellEnd"/>
            <w:r w:rsidRPr="00A77490">
              <w:rPr>
                <w:rFonts w:asciiTheme="minorHAnsi" w:eastAsia="Times New Roman" w:hAnsiTheme="minorHAnsi" w:cstheme="minorHAnsi"/>
                <w:color w:val="000000"/>
                <w:sz w:val="16"/>
                <w:szCs w:val="16"/>
              </w:rPr>
              <w:t>/exp) of ED visits for members 18-65 identified with a diagnosis of serious mental illness, substance addiction, or co-occurring conditions</w:t>
            </w:r>
          </w:p>
        </w:tc>
        <w:tc>
          <w:tcPr>
            <w:tcW w:w="810" w:type="dxa"/>
            <w:shd w:val="clear" w:color="auto" w:fill="F2F2F2" w:themeFill="background1" w:themeFillShade="F2"/>
            <w:noWrap/>
            <w:vAlign w:val="center"/>
            <w:hideMark/>
          </w:tcPr>
          <w:p w14:paraId="2C1305AB"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1.4560</w:t>
            </w:r>
          </w:p>
        </w:tc>
        <w:tc>
          <w:tcPr>
            <w:tcW w:w="662" w:type="dxa"/>
            <w:shd w:val="clear" w:color="auto" w:fill="F2F2F2" w:themeFill="background1" w:themeFillShade="F2"/>
            <w:noWrap/>
            <w:vAlign w:val="center"/>
            <w:hideMark/>
          </w:tcPr>
          <w:p w14:paraId="70CD4BC8"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1.3665</w:t>
            </w:r>
          </w:p>
        </w:tc>
        <w:tc>
          <w:tcPr>
            <w:tcW w:w="662" w:type="dxa"/>
            <w:shd w:val="clear" w:color="auto" w:fill="F2F2F2" w:themeFill="background1" w:themeFillShade="F2"/>
            <w:noWrap/>
            <w:vAlign w:val="center"/>
            <w:hideMark/>
          </w:tcPr>
          <w:p w14:paraId="0EE12F9F"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1.3107</w:t>
            </w:r>
          </w:p>
        </w:tc>
        <w:tc>
          <w:tcPr>
            <w:tcW w:w="662" w:type="dxa"/>
            <w:shd w:val="clear" w:color="auto" w:fill="F2F2F2" w:themeFill="background1" w:themeFillShade="F2"/>
            <w:noWrap/>
            <w:vAlign w:val="center"/>
            <w:hideMark/>
          </w:tcPr>
          <w:p w14:paraId="6FEC92E4"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1.4966</w:t>
            </w:r>
          </w:p>
        </w:tc>
        <w:tc>
          <w:tcPr>
            <w:tcW w:w="662" w:type="dxa"/>
            <w:shd w:val="clear" w:color="auto" w:fill="F2F2F2" w:themeFill="background1" w:themeFillShade="F2"/>
            <w:noWrap/>
            <w:vAlign w:val="center"/>
            <w:hideMark/>
          </w:tcPr>
          <w:p w14:paraId="61CC3481"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1.1816</w:t>
            </w:r>
          </w:p>
        </w:tc>
        <w:tc>
          <w:tcPr>
            <w:tcW w:w="952" w:type="dxa"/>
            <w:shd w:val="clear" w:color="auto" w:fill="F2F2F2" w:themeFill="background1" w:themeFillShade="F2"/>
            <w:noWrap/>
            <w:vAlign w:val="center"/>
            <w:hideMark/>
          </w:tcPr>
          <w:p w14:paraId="7207267B"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1.4016</w:t>
            </w:r>
          </w:p>
        </w:tc>
        <w:tc>
          <w:tcPr>
            <w:tcW w:w="868" w:type="dxa"/>
            <w:shd w:val="clear" w:color="auto" w:fill="F2F2F2" w:themeFill="background1" w:themeFillShade="F2"/>
            <w:noWrap/>
            <w:vAlign w:val="center"/>
            <w:hideMark/>
          </w:tcPr>
          <w:p w14:paraId="175C32EC"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1.2682</w:t>
            </w:r>
          </w:p>
        </w:tc>
        <w:tc>
          <w:tcPr>
            <w:tcW w:w="662" w:type="dxa"/>
            <w:shd w:val="clear" w:color="auto" w:fill="F2F2F2" w:themeFill="background1" w:themeFillShade="F2"/>
            <w:noWrap/>
            <w:vAlign w:val="center"/>
            <w:hideMark/>
          </w:tcPr>
          <w:p w14:paraId="471A537D"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1.5251</w:t>
            </w:r>
          </w:p>
        </w:tc>
        <w:tc>
          <w:tcPr>
            <w:tcW w:w="688" w:type="dxa"/>
            <w:shd w:val="clear" w:color="auto" w:fill="F2F2F2" w:themeFill="background1" w:themeFillShade="F2"/>
            <w:noWrap/>
            <w:vAlign w:val="center"/>
            <w:hideMark/>
          </w:tcPr>
          <w:p w14:paraId="5801AE63"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1.7839</w:t>
            </w:r>
          </w:p>
        </w:tc>
        <w:tc>
          <w:tcPr>
            <w:tcW w:w="1000" w:type="dxa"/>
            <w:shd w:val="clear" w:color="auto" w:fill="F2F2F2" w:themeFill="background1" w:themeFillShade="F2"/>
            <w:noWrap/>
            <w:vAlign w:val="center"/>
            <w:hideMark/>
          </w:tcPr>
          <w:p w14:paraId="538BECD9"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1.7350</w:t>
            </w:r>
          </w:p>
        </w:tc>
        <w:tc>
          <w:tcPr>
            <w:tcW w:w="890" w:type="dxa"/>
            <w:shd w:val="clear" w:color="auto" w:fill="F2F2F2" w:themeFill="background1" w:themeFillShade="F2"/>
            <w:noWrap/>
            <w:vAlign w:val="center"/>
            <w:hideMark/>
          </w:tcPr>
          <w:p w14:paraId="3A0A155A"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1.5331</w:t>
            </w:r>
          </w:p>
        </w:tc>
        <w:tc>
          <w:tcPr>
            <w:tcW w:w="810" w:type="dxa"/>
            <w:shd w:val="clear" w:color="auto" w:fill="F2F2F2" w:themeFill="background1" w:themeFillShade="F2"/>
            <w:noWrap/>
            <w:vAlign w:val="center"/>
            <w:hideMark/>
          </w:tcPr>
          <w:p w14:paraId="2FE1F357"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1.2101</w:t>
            </w:r>
          </w:p>
        </w:tc>
        <w:tc>
          <w:tcPr>
            <w:tcW w:w="662" w:type="dxa"/>
            <w:shd w:val="clear" w:color="auto" w:fill="F2F2F2" w:themeFill="background1" w:themeFillShade="F2"/>
            <w:noWrap/>
            <w:vAlign w:val="center"/>
            <w:hideMark/>
          </w:tcPr>
          <w:p w14:paraId="0A411BB0"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1.3772</w:t>
            </w:r>
          </w:p>
        </w:tc>
        <w:tc>
          <w:tcPr>
            <w:tcW w:w="737" w:type="dxa"/>
            <w:shd w:val="clear" w:color="auto" w:fill="F2F2F2" w:themeFill="background1" w:themeFillShade="F2"/>
            <w:noWrap/>
            <w:vAlign w:val="center"/>
            <w:hideMark/>
          </w:tcPr>
          <w:p w14:paraId="7ECFE28F"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1.2107</w:t>
            </w:r>
          </w:p>
        </w:tc>
        <w:tc>
          <w:tcPr>
            <w:tcW w:w="662" w:type="dxa"/>
            <w:shd w:val="clear" w:color="auto" w:fill="F2F2F2" w:themeFill="background1" w:themeFillShade="F2"/>
            <w:noWrap/>
            <w:vAlign w:val="center"/>
            <w:hideMark/>
          </w:tcPr>
          <w:p w14:paraId="08338DED"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1.5674</w:t>
            </w:r>
          </w:p>
        </w:tc>
        <w:tc>
          <w:tcPr>
            <w:tcW w:w="662" w:type="dxa"/>
            <w:shd w:val="clear" w:color="auto" w:fill="F2F2F2" w:themeFill="background1" w:themeFillShade="F2"/>
            <w:noWrap/>
            <w:vAlign w:val="center"/>
            <w:hideMark/>
          </w:tcPr>
          <w:p w14:paraId="3CD867E2"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1.3215</w:t>
            </w:r>
          </w:p>
        </w:tc>
        <w:tc>
          <w:tcPr>
            <w:tcW w:w="990" w:type="dxa"/>
            <w:shd w:val="clear" w:color="auto" w:fill="F2F2F2" w:themeFill="background1" w:themeFillShade="F2"/>
            <w:noWrap/>
            <w:vAlign w:val="center"/>
            <w:hideMark/>
          </w:tcPr>
          <w:p w14:paraId="55161813"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1.5447</w:t>
            </w:r>
          </w:p>
        </w:tc>
        <w:tc>
          <w:tcPr>
            <w:tcW w:w="662" w:type="dxa"/>
            <w:shd w:val="clear" w:color="auto" w:fill="F2F2F2" w:themeFill="background1" w:themeFillShade="F2"/>
            <w:noWrap/>
            <w:vAlign w:val="center"/>
            <w:hideMark/>
          </w:tcPr>
          <w:p w14:paraId="4BA67BF9"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1.3974</w:t>
            </w:r>
          </w:p>
        </w:tc>
        <w:tc>
          <w:tcPr>
            <w:tcW w:w="662" w:type="dxa"/>
            <w:shd w:val="clear" w:color="auto" w:fill="F2F2F2" w:themeFill="background1" w:themeFillShade="F2"/>
            <w:noWrap/>
            <w:vAlign w:val="center"/>
            <w:hideMark/>
          </w:tcPr>
          <w:p w14:paraId="4CEEEEF3"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1.2168</w:t>
            </w:r>
          </w:p>
        </w:tc>
        <w:tc>
          <w:tcPr>
            <w:tcW w:w="755" w:type="dxa"/>
            <w:shd w:val="clear" w:color="auto" w:fill="F2F2F2" w:themeFill="background1" w:themeFillShade="F2"/>
            <w:noWrap/>
            <w:vAlign w:val="center"/>
            <w:hideMark/>
          </w:tcPr>
          <w:p w14:paraId="0551C4E9"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1.2584</w:t>
            </w:r>
          </w:p>
        </w:tc>
        <w:tc>
          <w:tcPr>
            <w:tcW w:w="1042" w:type="dxa"/>
            <w:shd w:val="clear" w:color="auto" w:fill="F2F2F2" w:themeFill="background1" w:themeFillShade="F2"/>
            <w:noWrap/>
            <w:vAlign w:val="center"/>
            <w:hideMark/>
          </w:tcPr>
          <w:p w14:paraId="2CFBCFF3"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1.1782</w:t>
            </w:r>
          </w:p>
        </w:tc>
      </w:tr>
      <w:tr w:rsidR="00AF1A0D" w:rsidRPr="00A77490" w14:paraId="23C2D724" w14:textId="77777777">
        <w:trPr>
          <w:trHeight w:val="780"/>
        </w:trPr>
        <w:tc>
          <w:tcPr>
            <w:tcW w:w="720" w:type="dxa"/>
            <w:shd w:val="clear" w:color="auto" w:fill="auto"/>
            <w:noWrap/>
            <w:hideMark/>
          </w:tcPr>
          <w:p w14:paraId="73D46B62" w14:textId="77777777" w:rsidR="00AF1A0D" w:rsidRPr="00A77490" w:rsidRDefault="00AF1A0D">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EOHHS</w:t>
            </w:r>
          </w:p>
        </w:tc>
        <w:tc>
          <w:tcPr>
            <w:tcW w:w="2700" w:type="dxa"/>
            <w:shd w:val="clear" w:color="auto" w:fill="auto"/>
            <w:hideMark/>
          </w:tcPr>
          <w:p w14:paraId="37287854" w14:textId="77777777" w:rsidR="00AF1A0D" w:rsidRPr="00A77490" w:rsidRDefault="00AF1A0D">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Risk adjusted ratio (</w:t>
            </w:r>
            <w:proofErr w:type="spellStart"/>
            <w:r w:rsidRPr="00A77490">
              <w:rPr>
                <w:rFonts w:asciiTheme="minorHAnsi" w:eastAsia="Times New Roman" w:hAnsiTheme="minorHAnsi" w:cstheme="minorHAnsi"/>
                <w:sz w:val="16"/>
                <w:szCs w:val="16"/>
              </w:rPr>
              <w:t>obs</w:t>
            </w:r>
            <w:proofErr w:type="spellEnd"/>
            <w:r w:rsidRPr="00A77490">
              <w:rPr>
                <w:rFonts w:asciiTheme="minorHAnsi" w:eastAsia="Times New Roman" w:hAnsiTheme="minorHAnsi" w:cstheme="minorHAnsi"/>
                <w:sz w:val="16"/>
                <w:szCs w:val="16"/>
              </w:rPr>
              <w:t>/exp) of Acute Unplanned Admissions for Individuals with Diabetes (Adult) </w:t>
            </w:r>
          </w:p>
        </w:tc>
        <w:tc>
          <w:tcPr>
            <w:tcW w:w="810" w:type="dxa"/>
            <w:shd w:val="clear" w:color="auto" w:fill="auto"/>
            <w:noWrap/>
            <w:vAlign w:val="center"/>
            <w:hideMark/>
          </w:tcPr>
          <w:p w14:paraId="269CED62"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0.6570</w:t>
            </w:r>
          </w:p>
        </w:tc>
        <w:tc>
          <w:tcPr>
            <w:tcW w:w="662" w:type="dxa"/>
            <w:shd w:val="clear" w:color="auto" w:fill="auto"/>
            <w:noWrap/>
            <w:vAlign w:val="center"/>
            <w:hideMark/>
          </w:tcPr>
          <w:p w14:paraId="6D4B8B49"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0.6277</w:t>
            </w:r>
          </w:p>
        </w:tc>
        <w:tc>
          <w:tcPr>
            <w:tcW w:w="662" w:type="dxa"/>
            <w:shd w:val="clear" w:color="auto" w:fill="auto"/>
            <w:noWrap/>
            <w:vAlign w:val="center"/>
            <w:hideMark/>
          </w:tcPr>
          <w:p w14:paraId="062B62B0"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0.5244</w:t>
            </w:r>
          </w:p>
        </w:tc>
        <w:tc>
          <w:tcPr>
            <w:tcW w:w="662" w:type="dxa"/>
            <w:shd w:val="clear" w:color="auto" w:fill="auto"/>
            <w:noWrap/>
            <w:vAlign w:val="center"/>
            <w:hideMark/>
          </w:tcPr>
          <w:p w14:paraId="4975B475"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0.6138</w:t>
            </w:r>
          </w:p>
        </w:tc>
        <w:tc>
          <w:tcPr>
            <w:tcW w:w="662" w:type="dxa"/>
            <w:shd w:val="clear" w:color="auto" w:fill="auto"/>
            <w:noWrap/>
            <w:vAlign w:val="center"/>
            <w:hideMark/>
          </w:tcPr>
          <w:p w14:paraId="4398C106"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0.5639</w:t>
            </w:r>
          </w:p>
        </w:tc>
        <w:tc>
          <w:tcPr>
            <w:tcW w:w="952" w:type="dxa"/>
            <w:shd w:val="clear" w:color="auto" w:fill="auto"/>
            <w:noWrap/>
            <w:vAlign w:val="center"/>
            <w:hideMark/>
          </w:tcPr>
          <w:p w14:paraId="5631D8D2"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0.7258</w:t>
            </w:r>
          </w:p>
        </w:tc>
        <w:tc>
          <w:tcPr>
            <w:tcW w:w="868" w:type="dxa"/>
            <w:shd w:val="clear" w:color="auto" w:fill="auto"/>
            <w:noWrap/>
            <w:vAlign w:val="center"/>
            <w:hideMark/>
          </w:tcPr>
          <w:p w14:paraId="5157E1BB"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0.6553</w:t>
            </w:r>
          </w:p>
        </w:tc>
        <w:tc>
          <w:tcPr>
            <w:tcW w:w="662" w:type="dxa"/>
            <w:shd w:val="clear" w:color="auto" w:fill="auto"/>
            <w:noWrap/>
            <w:vAlign w:val="center"/>
            <w:hideMark/>
          </w:tcPr>
          <w:p w14:paraId="337B9CEC"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0.7006</w:t>
            </w:r>
          </w:p>
        </w:tc>
        <w:tc>
          <w:tcPr>
            <w:tcW w:w="688" w:type="dxa"/>
            <w:shd w:val="clear" w:color="auto" w:fill="auto"/>
            <w:noWrap/>
            <w:vAlign w:val="center"/>
            <w:hideMark/>
          </w:tcPr>
          <w:p w14:paraId="283FE958"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0.7347</w:t>
            </w:r>
          </w:p>
        </w:tc>
        <w:tc>
          <w:tcPr>
            <w:tcW w:w="1000" w:type="dxa"/>
            <w:shd w:val="clear" w:color="auto" w:fill="auto"/>
            <w:noWrap/>
            <w:vAlign w:val="center"/>
            <w:hideMark/>
          </w:tcPr>
          <w:p w14:paraId="36E7A61E"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0.7999</w:t>
            </w:r>
          </w:p>
        </w:tc>
        <w:tc>
          <w:tcPr>
            <w:tcW w:w="890" w:type="dxa"/>
            <w:shd w:val="clear" w:color="auto" w:fill="auto"/>
            <w:noWrap/>
            <w:vAlign w:val="center"/>
            <w:hideMark/>
          </w:tcPr>
          <w:p w14:paraId="6FDC9BDF"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0.6482</w:t>
            </w:r>
          </w:p>
        </w:tc>
        <w:tc>
          <w:tcPr>
            <w:tcW w:w="810" w:type="dxa"/>
            <w:shd w:val="clear" w:color="auto" w:fill="auto"/>
            <w:noWrap/>
            <w:vAlign w:val="center"/>
            <w:hideMark/>
          </w:tcPr>
          <w:p w14:paraId="7D54A515"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0.5866</w:t>
            </w:r>
          </w:p>
        </w:tc>
        <w:tc>
          <w:tcPr>
            <w:tcW w:w="662" w:type="dxa"/>
            <w:shd w:val="clear" w:color="auto" w:fill="auto"/>
            <w:noWrap/>
            <w:vAlign w:val="center"/>
            <w:hideMark/>
          </w:tcPr>
          <w:p w14:paraId="334E0633"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0.8183</w:t>
            </w:r>
          </w:p>
        </w:tc>
        <w:tc>
          <w:tcPr>
            <w:tcW w:w="737" w:type="dxa"/>
            <w:shd w:val="clear" w:color="auto" w:fill="auto"/>
            <w:noWrap/>
            <w:vAlign w:val="center"/>
            <w:hideMark/>
          </w:tcPr>
          <w:p w14:paraId="535097D6"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0.6209</w:t>
            </w:r>
          </w:p>
        </w:tc>
        <w:tc>
          <w:tcPr>
            <w:tcW w:w="662" w:type="dxa"/>
            <w:shd w:val="clear" w:color="auto" w:fill="auto"/>
            <w:noWrap/>
            <w:vAlign w:val="center"/>
            <w:hideMark/>
          </w:tcPr>
          <w:p w14:paraId="55DDC741"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0.6572</w:t>
            </w:r>
          </w:p>
        </w:tc>
        <w:tc>
          <w:tcPr>
            <w:tcW w:w="662" w:type="dxa"/>
            <w:shd w:val="clear" w:color="auto" w:fill="auto"/>
            <w:noWrap/>
            <w:vAlign w:val="center"/>
            <w:hideMark/>
          </w:tcPr>
          <w:p w14:paraId="3831F2A3"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0.6486</w:t>
            </w:r>
          </w:p>
        </w:tc>
        <w:tc>
          <w:tcPr>
            <w:tcW w:w="990" w:type="dxa"/>
            <w:shd w:val="clear" w:color="auto" w:fill="auto"/>
            <w:noWrap/>
            <w:vAlign w:val="center"/>
            <w:hideMark/>
          </w:tcPr>
          <w:p w14:paraId="6F3631E0"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0.7040</w:t>
            </w:r>
          </w:p>
        </w:tc>
        <w:tc>
          <w:tcPr>
            <w:tcW w:w="662" w:type="dxa"/>
            <w:shd w:val="clear" w:color="auto" w:fill="auto"/>
            <w:noWrap/>
            <w:vAlign w:val="center"/>
            <w:hideMark/>
          </w:tcPr>
          <w:p w14:paraId="0D245657"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0.7911</w:t>
            </w:r>
          </w:p>
        </w:tc>
        <w:tc>
          <w:tcPr>
            <w:tcW w:w="662" w:type="dxa"/>
            <w:shd w:val="clear" w:color="auto" w:fill="auto"/>
            <w:noWrap/>
            <w:vAlign w:val="center"/>
            <w:hideMark/>
          </w:tcPr>
          <w:p w14:paraId="4610F3BD" w14:textId="77777777" w:rsidR="00AF1A0D" w:rsidRPr="00770E94" w:rsidRDefault="00AF1A0D">
            <w:pPr>
              <w:spacing w:after="0"/>
              <w:jc w:val="center"/>
              <w:rPr>
                <w:rFonts w:asciiTheme="minorHAnsi" w:eastAsia="Times New Roman" w:hAnsiTheme="minorHAnsi" w:cstheme="minorHAnsi"/>
                <w:sz w:val="16"/>
                <w:szCs w:val="16"/>
              </w:rPr>
            </w:pPr>
            <w:r w:rsidRPr="00770E94">
              <w:rPr>
                <w:rFonts w:cs="Calibri"/>
                <w:sz w:val="16"/>
                <w:szCs w:val="16"/>
              </w:rPr>
              <w:t>0.7379</w:t>
            </w:r>
          </w:p>
        </w:tc>
        <w:tc>
          <w:tcPr>
            <w:tcW w:w="755" w:type="dxa"/>
            <w:shd w:val="clear" w:color="auto" w:fill="auto"/>
            <w:noWrap/>
            <w:vAlign w:val="center"/>
            <w:hideMark/>
          </w:tcPr>
          <w:p w14:paraId="136372FA"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0.7472</w:t>
            </w:r>
          </w:p>
        </w:tc>
        <w:tc>
          <w:tcPr>
            <w:tcW w:w="1042" w:type="dxa"/>
            <w:shd w:val="clear" w:color="auto" w:fill="auto"/>
            <w:noWrap/>
            <w:vAlign w:val="center"/>
            <w:hideMark/>
          </w:tcPr>
          <w:p w14:paraId="693EA813"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0.7295</w:t>
            </w:r>
          </w:p>
        </w:tc>
      </w:tr>
      <w:tr w:rsidR="00AF1A0D" w:rsidRPr="00A77490" w14:paraId="674BCE61" w14:textId="77777777">
        <w:trPr>
          <w:trHeight w:val="1040"/>
        </w:trPr>
        <w:tc>
          <w:tcPr>
            <w:tcW w:w="720" w:type="dxa"/>
            <w:shd w:val="clear" w:color="auto" w:fill="F2F2F2" w:themeFill="background1" w:themeFillShade="F2"/>
            <w:noWrap/>
            <w:hideMark/>
          </w:tcPr>
          <w:p w14:paraId="04C44BAF" w14:textId="77777777" w:rsidR="00AF1A0D" w:rsidRPr="00A77490" w:rsidRDefault="00AF1A0D">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lastRenderedPageBreak/>
              <w:t>IET-I</w:t>
            </w:r>
          </w:p>
        </w:tc>
        <w:tc>
          <w:tcPr>
            <w:tcW w:w="2700" w:type="dxa"/>
            <w:shd w:val="clear" w:color="auto" w:fill="F2F2F2" w:themeFill="background1" w:themeFillShade="F2"/>
            <w:hideMark/>
          </w:tcPr>
          <w:p w14:paraId="7998369D" w14:textId="77777777" w:rsidR="00AF1A0D" w:rsidRPr="00A77490" w:rsidRDefault="00AF1A0D">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Initiation and Engagement of Alcohol, Opioid, or Other Drug Abuse or Dependence Treatment (Initiation)</w:t>
            </w:r>
          </w:p>
        </w:tc>
        <w:tc>
          <w:tcPr>
            <w:tcW w:w="810" w:type="dxa"/>
            <w:shd w:val="clear" w:color="auto" w:fill="F2F2F2" w:themeFill="background1" w:themeFillShade="F2"/>
            <w:noWrap/>
            <w:vAlign w:val="center"/>
            <w:hideMark/>
          </w:tcPr>
          <w:p w14:paraId="5F740E28"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46.4%</w:t>
            </w:r>
          </w:p>
        </w:tc>
        <w:tc>
          <w:tcPr>
            <w:tcW w:w="662" w:type="dxa"/>
            <w:shd w:val="clear" w:color="auto" w:fill="F2F2F2" w:themeFill="background1" w:themeFillShade="F2"/>
            <w:noWrap/>
            <w:vAlign w:val="center"/>
            <w:hideMark/>
          </w:tcPr>
          <w:p w14:paraId="02500EBE"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59.6%</w:t>
            </w:r>
          </w:p>
        </w:tc>
        <w:tc>
          <w:tcPr>
            <w:tcW w:w="662" w:type="dxa"/>
            <w:shd w:val="clear" w:color="auto" w:fill="F2F2F2" w:themeFill="background1" w:themeFillShade="F2"/>
            <w:noWrap/>
            <w:vAlign w:val="center"/>
            <w:hideMark/>
          </w:tcPr>
          <w:p w14:paraId="54524C50"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58.0%</w:t>
            </w:r>
          </w:p>
        </w:tc>
        <w:tc>
          <w:tcPr>
            <w:tcW w:w="662" w:type="dxa"/>
            <w:shd w:val="clear" w:color="auto" w:fill="F2F2F2" w:themeFill="background1" w:themeFillShade="F2"/>
            <w:noWrap/>
            <w:vAlign w:val="center"/>
            <w:hideMark/>
          </w:tcPr>
          <w:p w14:paraId="7446893B"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39.8%</w:t>
            </w:r>
          </w:p>
        </w:tc>
        <w:tc>
          <w:tcPr>
            <w:tcW w:w="662" w:type="dxa"/>
            <w:shd w:val="clear" w:color="auto" w:fill="F2F2F2" w:themeFill="background1" w:themeFillShade="F2"/>
            <w:noWrap/>
            <w:vAlign w:val="center"/>
            <w:hideMark/>
          </w:tcPr>
          <w:p w14:paraId="510B8A0E"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53.2%</w:t>
            </w:r>
          </w:p>
        </w:tc>
        <w:tc>
          <w:tcPr>
            <w:tcW w:w="952" w:type="dxa"/>
            <w:shd w:val="clear" w:color="auto" w:fill="F2F2F2" w:themeFill="background1" w:themeFillShade="F2"/>
            <w:noWrap/>
            <w:vAlign w:val="center"/>
            <w:hideMark/>
          </w:tcPr>
          <w:p w14:paraId="42BC0B09"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36.1%</w:t>
            </w:r>
          </w:p>
        </w:tc>
        <w:tc>
          <w:tcPr>
            <w:tcW w:w="868" w:type="dxa"/>
            <w:shd w:val="clear" w:color="auto" w:fill="F2F2F2" w:themeFill="background1" w:themeFillShade="F2"/>
            <w:noWrap/>
            <w:vAlign w:val="center"/>
            <w:hideMark/>
          </w:tcPr>
          <w:p w14:paraId="43002AD7"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36.3%</w:t>
            </w:r>
          </w:p>
        </w:tc>
        <w:tc>
          <w:tcPr>
            <w:tcW w:w="662" w:type="dxa"/>
            <w:shd w:val="clear" w:color="auto" w:fill="F2F2F2" w:themeFill="background1" w:themeFillShade="F2"/>
            <w:noWrap/>
            <w:vAlign w:val="center"/>
            <w:hideMark/>
          </w:tcPr>
          <w:p w14:paraId="78785A63"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48.8%</w:t>
            </w:r>
          </w:p>
        </w:tc>
        <w:tc>
          <w:tcPr>
            <w:tcW w:w="688" w:type="dxa"/>
            <w:shd w:val="clear" w:color="auto" w:fill="F2F2F2" w:themeFill="background1" w:themeFillShade="F2"/>
            <w:noWrap/>
            <w:vAlign w:val="center"/>
            <w:hideMark/>
          </w:tcPr>
          <w:p w14:paraId="3C307177"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63.1%</w:t>
            </w:r>
          </w:p>
        </w:tc>
        <w:tc>
          <w:tcPr>
            <w:tcW w:w="1000" w:type="dxa"/>
            <w:shd w:val="clear" w:color="auto" w:fill="F2F2F2" w:themeFill="background1" w:themeFillShade="F2"/>
            <w:noWrap/>
            <w:vAlign w:val="center"/>
            <w:hideMark/>
          </w:tcPr>
          <w:p w14:paraId="297DB27B"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31.5%</w:t>
            </w:r>
          </w:p>
        </w:tc>
        <w:tc>
          <w:tcPr>
            <w:tcW w:w="890" w:type="dxa"/>
            <w:shd w:val="clear" w:color="auto" w:fill="F2F2F2" w:themeFill="background1" w:themeFillShade="F2"/>
            <w:noWrap/>
            <w:vAlign w:val="center"/>
            <w:hideMark/>
          </w:tcPr>
          <w:p w14:paraId="5634E0C3"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49.0%</w:t>
            </w:r>
          </w:p>
        </w:tc>
        <w:tc>
          <w:tcPr>
            <w:tcW w:w="810" w:type="dxa"/>
            <w:shd w:val="clear" w:color="auto" w:fill="F2F2F2" w:themeFill="background1" w:themeFillShade="F2"/>
            <w:noWrap/>
            <w:vAlign w:val="center"/>
            <w:hideMark/>
          </w:tcPr>
          <w:p w14:paraId="459F8F00"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47.1%</w:t>
            </w:r>
          </w:p>
        </w:tc>
        <w:tc>
          <w:tcPr>
            <w:tcW w:w="662" w:type="dxa"/>
            <w:shd w:val="clear" w:color="auto" w:fill="F2F2F2" w:themeFill="background1" w:themeFillShade="F2"/>
            <w:noWrap/>
            <w:vAlign w:val="center"/>
            <w:hideMark/>
          </w:tcPr>
          <w:p w14:paraId="153DDE00"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57.7%</w:t>
            </w:r>
          </w:p>
        </w:tc>
        <w:tc>
          <w:tcPr>
            <w:tcW w:w="737" w:type="dxa"/>
            <w:shd w:val="clear" w:color="auto" w:fill="F2F2F2" w:themeFill="background1" w:themeFillShade="F2"/>
            <w:noWrap/>
            <w:vAlign w:val="center"/>
            <w:hideMark/>
          </w:tcPr>
          <w:p w14:paraId="017A682A"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42.1%</w:t>
            </w:r>
          </w:p>
        </w:tc>
        <w:tc>
          <w:tcPr>
            <w:tcW w:w="662" w:type="dxa"/>
            <w:shd w:val="clear" w:color="auto" w:fill="F2F2F2" w:themeFill="background1" w:themeFillShade="F2"/>
            <w:noWrap/>
            <w:vAlign w:val="center"/>
            <w:hideMark/>
          </w:tcPr>
          <w:p w14:paraId="4FFAD5A5"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47.0%</w:t>
            </w:r>
          </w:p>
        </w:tc>
        <w:tc>
          <w:tcPr>
            <w:tcW w:w="662" w:type="dxa"/>
            <w:shd w:val="clear" w:color="auto" w:fill="F2F2F2" w:themeFill="background1" w:themeFillShade="F2"/>
            <w:noWrap/>
            <w:vAlign w:val="center"/>
            <w:hideMark/>
          </w:tcPr>
          <w:p w14:paraId="64E2F23B"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41.5%</w:t>
            </w:r>
          </w:p>
        </w:tc>
        <w:tc>
          <w:tcPr>
            <w:tcW w:w="990" w:type="dxa"/>
            <w:shd w:val="clear" w:color="auto" w:fill="F2F2F2" w:themeFill="background1" w:themeFillShade="F2"/>
            <w:noWrap/>
            <w:vAlign w:val="center"/>
            <w:hideMark/>
          </w:tcPr>
          <w:p w14:paraId="7173BE30"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41.4%</w:t>
            </w:r>
          </w:p>
        </w:tc>
        <w:tc>
          <w:tcPr>
            <w:tcW w:w="662" w:type="dxa"/>
            <w:shd w:val="clear" w:color="auto" w:fill="F2F2F2" w:themeFill="background1" w:themeFillShade="F2"/>
            <w:noWrap/>
            <w:vAlign w:val="center"/>
            <w:hideMark/>
          </w:tcPr>
          <w:p w14:paraId="005421D7"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55.0%</w:t>
            </w:r>
          </w:p>
        </w:tc>
        <w:tc>
          <w:tcPr>
            <w:tcW w:w="662" w:type="dxa"/>
            <w:shd w:val="clear" w:color="auto" w:fill="F2F2F2" w:themeFill="background1" w:themeFillShade="F2"/>
            <w:noWrap/>
            <w:vAlign w:val="center"/>
            <w:hideMark/>
          </w:tcPr>
          <w:p w14:paraId="36A2E5E2"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54.4%</w:t>
            </w:r>
          </w:p>
        </w:tc>
        <w:tc>
          <w:tcPr>
            <w:tcW w:w="755" w:type="dxa"/>
            <w:shd w:val="clear" w:color="auto" w:fill="F2F2F2" w:themeFill="background1" w:themeFillShade="F2"/>
            <w:noWrap/>
            <w:vAlign w:val="center"/>
            <w:hideMark/>
          </w:tcPr>
          <w:p w14:paraId="2259F276"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56.3%</w:t>
            </w:r>
          </w:p>
        </w:tc>
        <w:tc>
          <w:tcPr>
            <w:tcW w:w="1042" w:type="dxa"/>
            <w:shd w:val="clear" w:color="auto" w:fill="F2F2F2" w:themeFill="background1" w:themeFillShade="F2"/>
            <w:noWrap/>
            <w:vAlign w:val="center"/>
            <w:hideMark/>
          </w:tcPr>
          <w:p w14:paraId="6FB7552F"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52.8%</w:t>
            </w:r>
          </w:p>
        </w:tc>
      </w:tr>
      <w:tr w:rsidR="00AF1A0D" w:rsidRPr="00A77490" w14:paraId="16F4A142" w14:textId="77777777">
        <w:trPr>
          <w:trHeight w:val="1040"/>
        </w:trPr>
        <w:tc>
          <w:tcPr>
            <w:tcW w:w="720" w:type="dxa"/>
            <w:shd w:val="clear" w:color="auto" w:fill="auto"/>
            <w:noWrap/>
            <w:hideMark/>
          </w:tcPr>
          <w:p w14:paraId="62394510" w14:textId="77777777" w:rsidR="00AF1A0D" w:rsidRPr="00A77490" w:rsidRDefault="00AF1A0D">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IET-E</w:t>
            </w:r>
          </w:p>
        </w:tc>
        <w:tc>
          <w:tcPr>
            <w:tcW w:w="2700" w:type="dxa"/>
            <w:shd w:val="clear" w:color="auto" w:fill="auto"/>
            <w:hideMark/>
          </w:tcPr>
          <w:p w14:paraId="4A1B713F" w14:textId="77777777" w:rsidR="00AF1A0D" w:rsidRPr="00A77490" w:rsidRDefault="00AF1A0D">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Initiation and Engagement of Alcohol, Opioid, or Other Drug Abuse or Dependence Treatment (Engagement)</w:t>
            </w:r>
          </w:p>
        </w:tc>
        <w:tc>
          <w:tcPr>
            <w:tcW w:w="810" w:type="dxa"/>
            <w:shd w:val="clear" w:color="auto" w:fill="auto"/>
            <w:noWrap/>
            <w:vAlign w:val="center"/>
            <w:hideMark/>
          </w:tcPr>
          <w:p w14:paraId="19D45016"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15.9%</w:t>
            </w:r>
          </w:p>
        </w:tc>
        <w:tc>
          <w:tcPr>
            <w:tcW w:w="662" w:type="dxa"/>
            <w:shd w:val="clear" w:color="auto" w:fill="auto"/>
            <w:noWrap/>
            <w:vAlign w:val="center"/>
            <w:hideMark/>
          </w:tcPr>
          <w:p w14:paraId="01111970"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22.0%</w:t>
            </w:r>
          </w:p>
        </w:tc>
        <w:tc>
          <w:tcPr>
            <w:tcW w:w="662" w:type="dxa"/>
            <w:shd w:val="clear" w:color="auto" w:fill="auto"/>
            <w:noWrap/>
            <w:vAlign w:val="center"/>
            <w:hideMark/>
          </w:tcPr>
          <w:p w14:paraId="08098F12"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13.0%</w:t>
            </w:r>
          </w:p>
        </w:tc>
        <w:tc>
          <w:tcPr>
            <w:tcW w:w="662" w:type="dxa"/>
            <w:shd w:val="clear" w:color="auto" w:fill="auto"/>
            <w:noWrap/>
            <w:vAlign w:val="center"/>
            <w:hideMark/>
          </w:tcPr>
          <w:p w14:paraId="71C24D8D"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14.1%</w:t>
            </w:r>
          </w:p>
        </w:tc>
        <w:tc>
          <w:tcPr>
            <w:tcW w:w="662" w:type="dxa"/>
            <w:shd w:val="clear" w:color="auto" w:fill="auto"/>
            <w:noWrap/>
            <w:vAlign w:val="center"/>
            <w:hideMark/>
          </w:tcPr>
          <w:p w14:paraId="4625FF6A"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16.4%</w:t>
            </w:r>
          </w:p>
        </w:tc>
        <w:tc>
          <w:tcPr>
            <w:tcW w:w="952" w:type="dxa"/>
            <w:shd w:val="clear" w:color="auto" w:fill="auto"/>
            <w:noWrap/>
            <w:vAlign w:val="center"/>
            <w:hideMark/>
          </w:tcPr>
          <w:p w14:paraId="3AC45801"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13.1%</w:t>
            </w:r>
          </w:p>
        </w:tc>
        <w:tc>
          <w:tcPr>
            <w:tcW w:w="868" w:type="dxa"/>
            <w:shd w:val="clear" w:color="auto" w:fill="auto"/>
            <w:noWrap/>
            <w:vAlign w:val="center"/>
            <w:hideMark/>
          </w:tcPr>
          <w:p w14:paraId="1970F7AE"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12.0%</w:t>
            </w:r>
          </w:p>
        </w:tc>
        <w:tc>
          <w:tcPr>
            <w:tcW w:w="662" w:type="dxa"/>
            <w:shd w:val="clear" w:color="auto" w:fill="auto"/>
            <w:noWrap/>
            <w:vAlign w:val="center"/>
            <w:hideMark/>
          </w:tcPr>
          <w:p w14:paraId="1DDA9578"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13.1%</w:t>
            </w:r>
          </w:p>
        </w:tc>
        <w:tc>
          <w:tcPr>
            <w:tcW w:w="688" w:type="dxa"/>
            <w:shd w:val="clear" w:color="auto" w:fill="auto"/>
            <w:noWrap/>
            <w:vAlign w:val="center"/>
            <w:hideMark/>
          </w:tcPr>
          <w:p w14:paraId="65A4EC77"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17.0%</w:t>
            </w:r>
          </w:p>
        </w:tc>
        <w:tc>
          <w:tcPr>
            <w:tcW w:w="1000" w:type="dxa"/>
            <w:shd w:val="clear" w:color="auto" w:fill="auto"/>
            <w:noWrap/>
            <w:vAlign w:val="center"/>
            <w:hideMark/>
          </w:tcPr>
          <w:p w14:paraId="03108333"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5.7%</w:t>
            </w:r>
          </w:p>
        </w:tc>
        <w:tc>
          <w:tcPr>
            <w:tcW w:w="890" w:type="dxa"/>
            <w:shd w:val="clear" w:color="auto" w:fill="auto"/>
            <w:noWrap/>
            <w:vAlign w:val="center"/>
            <w:hideMark/>
          </w:tcPr>
          <w:p w14:paraId="2B85F992"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17.9%</w:t>
            </w:r>
          </w:p>
        </w:tc>
        <w:tc>
          <w:tcPr>
            <w:tcW w:w="810" w:type="dxa"/>
            <w:shd w:val="clear" w:color="auto" w:fill="auto"/>
            <w:noWrap/>
            <w:vAlign w:val="center"/>
            <w:hideMark/>
          </w:tcPr>
          <w:p w14:paraId="4DC418CD"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19.3%</w:t>
            </w:r>
          </w:p>
        </w:tc>
        <w:tc>
          <w:tcPr>
            <w:tcW w:w="662" w:type="dxa"/>
            <w:shd w:val="clear" w:color="auto" w:fill="auto"/>
            <w:noWrap/>
            <w:vAlign w:val="center"/>
            <w:hideMark/>
          </w:tcPr>
          <w:p w14:paraId="76F85B3E"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17.1%</w:t>
            </w:r>
          </w:p>
        </w:tc>
        <w:tc>
          <w:tcPr>
            <w:tcW w:w="737" w:type="dxa"/>
            <w:shd w:val="clear" w:color="auto" w:fill="auto"/>
            <w:noWrap/>
            <w:vAlign w:val="center"/>
            <w:hideMark/>
          </w:tcPr>
          <w:p w14:paraId="30D15382"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18.1%</w:t>
            </w:r>
          </w:p>
        </w:tc>
        <w:tc>
          <w:tcPr>
            <w:tcW w:w="662" w:type="dxa"/>
            <w:shd w:val="clear" w:color="auto" w:fill="auto"/>
            <w:noWrap/>
            <w:vAlign w:val="center"/>
            <w:hideMark/>
          </w:tcPr>
          <w:p w14:paraId="697D70F9"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17.6%</w:t>
            </w:r>
          </w:p>
        </w:tc>
        <w:tc>
          <w:tcPr>
            <w:tcW w:w="662" w:type="dxa"/>
            <w:shd w:val="clear" w:color="auto" w:fill="auto"/>
            <w:noWrap/>
            <w:vAlign w:val="center"/>
            <w:hideMark/>
          </w:tcPr>
          <w:p w14:paraId="0C63FCFE"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13.3%</w:t>
            </w:r>
          </w:p>
        </w:tc>
        <w:tc>
          <w:tcPr>
            <w:tcW w:w="990" w:type="dxa"/>
            <w:shd w:val="clear" w:color="auto" w:fill="auto"/>
            <w:noWrap/>
            <w:vAlign w:val="center"/>
            <w:hideMark/>
          </w:tcPr>
          <w:p w14:paraId="72ED4B67"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15.1%</w:t>
            </w:r>
          </w:p>
        </w:tc>
        <w:tc>
          <w:tcPr>
            <w:tcW w:w="662" w:type="dxa"/>
            <w:shd w:val="clear" w:color="auto" w:fill="auto"/>
            <w:noWrap/>
            <w:vAlign w:val="center"/>
            <w:hideMark/>
          </w:tcPr>
          <w:p w14:paraId="147291ED"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15.5%</w:t>
            </w:r>
          </w:p>
        </w:tc>
        <w:tc>
          <w:tcPr>
            <w:tcW w:w="662" w:type="dxa"/>
            <w:shd w:val="clear" w:color="auto" w:fill="auto"/>
            <w:noWrap/>
            <w:vAlign w:val="center"/>
            <w:hideMark/>
          </w:tcPr>
          <w:p w14:paraId="0A54ECF8"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21.7%</w:t>
            </w:r>
          </w:p>
        </w:tc>
        <w:tc>
          <w:tcPr>
            <w:tcW w:w="755" w:type="dxa"/>
            <w:shd w:val="clear" w:color="auto" w:fill="auto"/>
            <w:noWrap/>
            <w:vAlign w:val="center"/>
            <w:hideMark/>
          </w:tcPr>
          <w:p w14:paraId="77139E96"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21.7%</w:t>
            </w:r>
          </w:p>
        </w:tc>
        <w:tc>
          <w:tcPr>
            <w:tcW w:w="1042" w:type="dxa"/>
            <w:shd w:val="clear" w:color="auto" w:fill="auto"/>
            <w:noWrap/>
            <w:vAlign w:val="center"/>
            <w:hideMark/>
          </w:tcPr>
          <w:p w14:paraId="46B7DF0C"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21.6%</w:t>
            </w:r>
          </w:p>
        </w:tc>
      </w:tr>
      <w:tr w:rsidR="00AF1A0D" w:rsidRPr="00A77490" w14:paraId="592D7B6F" w14:textId="77777777">
        <w:trPr>
          <w:trHeight w:val="520"/>
        </w:trPr>
        <w:tc>
          <w:tcPr>
            <w:tcW w:w="720" w:type="dxa"/>
            <w:shd w:val="clear" w:color="auto" w:fill="F2F2F2" w:themeFill="background1" w:themeFillShade="F2"/>
            <w:noWrap/>
            <w:hideMark/>
          </w:tcPr>
          <w:p w14:paraId="41DB28E8" w14:textId="77777777" w:rsidR="00AF1A0D" w:rsidRPr="00A77490" w:rsidRDefault="00AF1A0D">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FUH-7</w:t>
            </w:r>
          </w:p>
        </w:tc>
        <w:tc>
          <w:tcPr>
            <w:tcW w:w="2700" w:type="dxa"/>
            <w:shd w:val="clear" w:color="auto" w:fill="F2F2F2" w:themeFill="background1" w:themeFillShade="F2"/>
            <w:hideMark/>
          </w:tcPr>
          <w:p w14:paraId="0FBD3483" w14:textId="77777777" w:rsidR="00AF1A0D" w:rsidRPr="00A77490" w:rsidRDefault="00AF1A0D">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Follow-Up After Hospitalization for Mental Illness (7 days) </w:t>
            </w:r>
          </w:p>
        </w:tc>
        <w:tc>
          <w:tcPr>
            <w:tcW w:w="810" w:type="dxa"/>
            <w:shd w:val="clear" w:color="auto" w:fill="F2F2F2" w:themeFill="background1" w:themeFillShade="F2"/>
            <w:noWrap/>
            <w:vAlign w:val="center"/>
            <w:hideMark/>
          </w:tcPr>
          <w:p w14:paraId="68942C1A"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48.2%</w:t>
            </w:r>
          </w:p>
        </w:tc>
        <w:tc>
          <w:tcPr>
            <w:tcW w:w="662" w:type="dxa"/>
            <w:shd w:val="clear" w:color="auto" w:fill="F2F2F2" w:themeFill="background1" w:themeFillShade="F2"/>
            <w:noWrap/>
            <w:vAlign w:val="center"/>
            <w:hideMark/>
          </w:tcPr>
          <w:p w14:paraId="176CC939"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39.4%</w:t>
            </w:r>
          </w:p>
        </w:tc>
        <w:tc>
          <w:tcPr>
            <w:tcW w:w="662" w:type="dxa"/>
            <w:shd w:val="clear" w:color="auto" w:fill="F2F2F2" w:themeFill="background1" w:themeFillShade="F2"/>
            <w:noWrap/>
            <w:vAlign w:val="center"/>
            <w:hideMark/>
          </w:tcPr>
          <w:p w14:paraId="43705923"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49.3%</w:t>
            </w:r>
          </w:p>
        </w:tc>
        <w:tc>
          <w:tcPr>
            <w:tcW w:w="662" w:type="dxa"/>
            <w:shd w:val="clear" w:color="auto" w:fill="F2F2F2" w:themeFill="background1" w:themeFillShade="F2"/>
            <w:noWrap/>
            <w:vAlign w:val="center"/>
            <w:hideMark/>
          </w:tcPr>
          <w:p w14:paraId="48186DDA"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37.0%</w:t>
            </w:r>
          </w:p>
        </w:tc>
        <w:tc>
          <w:tcPr>
            <w:tcW w:w="662" w:type="dxa"/>
            <w:shd w:val="clear" w:color="auto" w:fill="F2F2F2" w:themeFill="background1" w:themeFillShade="F2"/>
            <w:noWrap/>
            <w:vAlign w:val="center"/>
            <w:hideMark/>
          </w:tcPr>
          <w:p w14:paraId="6C3B31BD"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49.8%</w:t>
            </w:r>
          </w:p>
        </w:tc>
        <w:tc>
          <w:tcPr>
            <w:tcW w:w="952" w:type="dxa"/>
            <w:shd w:val="clear" w:color="auto" w:fill="F2F2F2" w:themeFill="background1" w:themeFillShade="F2"/>
            <w:noWrap/>
            <w:vAlign w:val="center"/>
            <w:hideMark/>
          </w:tcPr>
          <w:p w14:paraId="35F00EEE"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32.9%</w:t>
            </w:r>
          </w:p>
        </w:tc>
        <w:tc>
          <w:tcPr>
            <w:tcW w:w="868" w:type="dxa"/>
            <w:shd w:val="clear" w:color="auto" w:fill="F2F2F2" w:themeFill="background1" w:themeFillShade="F2"/>
            <w:noWrap/>
            <w:vAlign w:val="center"/>
            <w:hideMark/>
          </w:tcPr>
          <w:p w14:paraId="55799042"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47.1%</w:t>
            </w:r>
          </w:p>
        </w:tc>
        <w:tc>
          <w:tcPr>
            <w:tcW w:w="662" w:type="dxa"/>
            <w:shd w:val="clear" w:color="auto" w:fill="F2F2F2" w:themeFill="background1" w:themeFillShade="F2"/>
            <w:noWrap/>
            <w:vAlign w:val="center"/>
            <w:hideMark/>
          </w:tcPr>
          <w:p w14:paraId="33A01EFA"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39.1%</w:t>
            </w:r>
          </w:p>
        </w:tc>
        <w:tc>
          <w:tcPr>
            <w:tcW w:w="688" w:type="dxa"/>
            <w:shd w:val="clear" w:color="auto" w:fill="F2F2F2" w:themeFill="background1" w:themeFillShade="F2"/>
            <w:noWrap/>
            <w:vAlign w:val="center"/>
            <w:hideMark/>
          </w:tcPr>
          <w:p w14:paraId="20D11EFC"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56.5%</w:t>
            </w:r>
          </w:p>
        </w:tc>
        <w:tc>
          <w:tcPr>
            <w:tcW w:w="1000" w:type="dxa"/>
            <w:shd w:val="clear" w:color="auto" w:fill="F2F2F2" w:themeFill="background1" w:themeFillShade="F2"/>
            <w:noWrap/>
            <w:vAlign w:val="center"/>
            <w:hideMark/>
          </w:tcPr>
          <w:p w14:paraId="119E6BF0"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54.6%</w:t>
            </w:r>
          </w:p>
        </w:tc>
        <w:tc>
          <w:tcPr>
            <w:tcW w:w="890" w:type="dxa"/>
            <w:shd w:val="clear" w:color="auto" w:fill="F2F2F2" w:themeFill="background1" w:themeFillShade="F2"/>
            <w:noWrap/>
            <w:vAlign w:val="center"/>
            <w:hideMark/>
          </w:tcPr>
          <w:p w14:paraId="059F871F"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46.7%</w:t>
            </w:r>
          </w:p>
        </w:tc>
        <w:tc>
          <w:tcPr>
            <w:tcW w:w="810" w:type="dxa"/>
            <w:shd w:val="clear" w:color="auto" w:fill="F2F2F2" w:themeFill="background1" w:themeFillShade="F2"/>
            <w:noWrap/>
            <w:vAlign w:val="center"/>
            <w:hideMark/>
          </w:tcPr>
          <w:p w14:paraId="540F54D3"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64.6%</w:t>
            </w:r>
          </w:p>
        </w:tc>
        <w:tc>
          <w:tcPr>
            <w:tcW w:w="662" w:type="dxa"/>
            <w:shd w:val="clear" w:color="auto" w:fill="F2F2F2" w:themeFill="background1" w:themeFillShade="F2"/>
            <w:noWrap/>
            <w:vAlign w:val="center"/>
            <w:hideMark/>
          </w:tcPr>
          <w:p w14:paraId="6B361511"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51.6%</w:t>
            </w:r>
          </w:p>
        </w:tc>
        <w:tc>
          <w:tcPr>
            <w:tcW w:w="737" w:type="dxa"/>
            <w:shd w:val="clear" w:color="auto" w:fill="F2F2F2" w:themeFill="background1" w:themeFillShade="F2"/>
            <w:noWrap/>
            <w:vAlign w:val="center"/>
            <w:hideMark/>
          </w:tcPr>
          <w:p w14:paraId="14D31508"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52.6%</w:t>
            </w:r>
          </w:p>
        </w:tc>
        <w:tc>
          <w:tcPr>
            <w:tcW w:w="662" w:type="dxa"/>
            <w:shd w:val="clear" w:color="auto" w:fill="F2F2F2" w:themeFill="background1" w:themeFillShade="F2"/>
            <w:noWrap/>
            <w:vAlign w:val="center"/>
            <w:hideMark/>
          </w:tcPr>
          <w:p w14:paraId="00DA7E18"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49.3%</w:t>
            </w:r>
          </w:p>
        </w:tc>
        <w:tc>
          <w:tcPr>
            <w:tcW w:w="662" w:type="dxa"/>
            <w:shd w:val="clear" w:color="auto" w:fill="F2F2F2" w:themeFill="background1" w:themeFillShade="F2"/>
            <w:noWrap/>
            <w:vAlign w:val="center"/>
            <w:hideMark/>
          </w:tcPr>
          <w:p w14:paraId="59241C4F"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52.6%</w:t>
            </w:r>
          </w:p>
        </w:tc>
        <w:tc>
          <w:tcPr>
            <w:tcW w:w="990" w:type="dxa"/>
            <w:shd w:val="clear" w:color="auto" w:fill="F2F2F2" w:themeFill="background1" w:themeFillShade="F2"/>
            <w:noWrap/>
            <w:vAlign w:val="center"/>
            <w:hideMark/>
          </w:tcPr>
          <w:p w14:paraId="595EE860"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46.6%</w:t>
            </w:r>
          </w:p>
        </w:tc>
        <w:tc>
          <w:tcPr>
            <w:tcW w:w="662" w:type="dxa"/>
            <w:shd w:val="clear" w:color="auto" w:fill="F2F2F2" w:themeFill="background1" w:themeFillShade="F2"/>
            <w:noWrap/>
            <w:vAlign w:val="center"/>
            <w:hideMark/>
          </w:tcPr>
          <w:p w14:paraId="2905A2D6"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48.6%</w:t>
            </w:r>
          </w:p>
        </w:tc>
        <w:tc>
          <w:tcPr>
            <w:tcW w:w="662" w:type="dxa"/>
            <w:shd w:val="clear" w:color="auto" w:fill="F2F2F2" w:themeFill="background1" w:themeFillShade="F2"/>
            <w:noWrap/>
            <w:vAlign w:val="center"/>
            <w:hideMark/>
          </w:tcPr>
          <w:p w14:paraId="5844BE2A"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44.8%</w:t>
            </w:r>
          </w:p>
        </w:tc>
        <w:tc>
          <w:tcPr>
            <w:tcW w:w="755" w:type="dxa"/>
            <w:shd w:val="clear" w:color="auto" w:fill="F2F2F2" w:themeFill="background1" w:themeFillShade="F2"/>
            <w:noWrap/>
            <w:vAlign w:val="center"/>
            <w:hideMark/>
          </w:tcPr>
          <w:p w14:paraId="6040239A"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46.2%</w:t>
            </w:r>
          </w:p>
        </w:tc>
        <w:tc>
          <w:tcPr>
            <w:tcW w:w="1042" w:type="dxa"/>
            <w:shd w:val="clear" w:color="auto" w:fill="F2F2F2" w:themeFill="background1" w:themeFillShade="F2"/>
            <w:noWrap/>
            <w:vAlign w:val="center"/>
            <w:hideMark/>
          </w:tcPr>
          <w:p w14:paraId="17A2BCB0"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43.8%</w:t>
            </w:r>
          </w:p>
        </w:tc>
      </w:tr>
      <w:tr w:rsidR="00AF1A0D" w:rsidRPr="00A77490" w14:paraId="61001256" w14:textId="77777777">
        <w:trPr>
          <w:trHeight w:val="780"/>
        </w:trPr>
        <w:tc>
          <w:tcPr>
            <w:tcW w:w="720" w:type="dxa"/>
            <w:shd w:val="clear" w:color="auto" w:fill="auto"/>
            <w:noWrap/>
            <w:hideMark/>
          </w:tcPr>
          <w:p w14:paraId="40E546D0" w14:textId="77777777" w:rsidR="00AF1A0D" w:rsidRPr="00A77490" w:rsidRDefault="00AF1A0D">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FUM-7</w:t>
            </w:r>
          </w:p>
        </w:tc>
        <w:tc>
          <w:tcPr>
            <w:tcW w:w="2700" w:type="dxa"/>
            <w:shd w:val="clear" w:color="auto" w:fill="auto"/>
            <w:hideMark/>
          </w:tcPr>
          <w:p w14:paraId="36DA6C36" w14:textId="77777777" w:rsidR="00AF1A0D" w:rsidRPr="00A77490" w:rsidRDefault="00AF1A0D">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Follow-Up After Emergency Department Visit for Mental Illness (7 days)</w:t>
            </w:r>
          </w:p>
        </w:tc>
        <w:tc>
          <w:tcPr>
            <w:tcW w:w="810" w:type="dxa"/>
            <w:shd w:val="clear" w:color="auto" w:fill="auto"/>
            <w:noWrap/>
            <w:vAlign w:val="center"/>
            <w:hideMark/>
          </w:tcPr>
          <w:p w14:paraId="74761481"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73.1%</w:t>
            </w:r>
          </w:p>
        </w:tc>
        <w:tc>
          <w:tcPr>
            <w:tcW w:w="662" w:type="dxa"/>
            <w:shd w:val="clear" w:color="auto" w:fill="auto"/>
            <w:noWrap/>
            <w:vAlign w:val="center"/>
            <w:hideMark/>
          </w:tcPr>
          <w:p w14:paraId="70FD7E3D"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68.9%</w:t>
            </w:r>
          </w:p>
        </w:tc>
        <w:tc>
          <w:tcPr>
            <w:tcW w:w="662" w:type="dxa"/>
            <w:shd w:val="clear" w:color="auto" w:fill="auto"/>
            <w:noWrap/>
            <w:vAlign w:val="center"/>
            <w:hideMark/>
          </w:tcPr>
          <w:p w14:paraId="47E0E139"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84.9%</w:t>
            </w:r>
          </w:p>
        </w:tc>
        <w:tc>
          <w:tcPr>
            <w:tcW w:w="662" w:type="dxa"/>
            <w:shd w:val="clear" w:color="auto" w:fill="auto"/>
            <w:noWrap/>
            <w:vAlign w:val="center"/>
            <w:hideMark/>
          </w:tcPr>
          <w:p w14:paraId="192D1350"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74.5%</w:t>
            </w:r>
          </w:p>
        </w:tc>
        <w:tc>
          <w:tcPr>
            <w:tcW w:w="662" w:type="dxa"/>
            <w:shd w:val="clear" w:color="auto" w:fill="auto"/>
            <w:noWrap/>
            <w:vAlign w:val="center"/>
            <w:hideMark/>
          </w:tcPr>
          <w:p w14:paraId="714AA21A"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75.8%</w:t>
            </w:r>
          </w:p>
        </w:tc>
        <w:tc>
          <w:tcPr>
            <w:tcW w:w="952" w:type="dxa"/>
            <w:shd w:val="clear" w:color="auto" w:fill="auto"/>
            <w:noWrap/>
            <w:vAlign w:val="center"/>
            <w:hideMark/>
          </w:tcPr>
          <w:p w14:paraId="5739A892"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66.8%</w:t>
            </w:r>
          </w:p>
        </w:tc>
        <w:tc>
          <w:tcPr>
            <w:tcW w:w="868" w:type="dxa"/>
            <w:shd w:val="clear" w:color="auto" w:fill="auto"/>
            <w:noWrap/>
            <w:vAlign w:val="center"/>
            <w:hideMark/>
          </w:tcPr>
          <w:p w14:paraId="5A04BCE2"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77.1%</w:t>
            </w:r>
          </w:p>
        </w:tc>
        <w:tc>
          <w:tcPr>
            <w:tcW w:w="662" w:type="dxa"/>
            <w:shd w:val="clear" w:color="auto" w:fill="auto"/>
            <w:noWrap/>
            <w:vAlign w:val="center"/>
            <w:hideMark/>
          </w:tcPr>
          <w:p w14:paraId="02CF0DC3"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65.4%</w:t>
            </w:r>
          </w:p>
        </w:tc>
        <w:tc>
          <w:tcPr>
            <w:tcW w:w="688" w:type="dxa"/>
            <w:shd w:val="clear" w:color="auto" w:fill="auto"/>
            <w:noWrap/>
            <w:vAlign w:val="center"/>
            <w:hideMark/>
          </w:tcPr>
          <w:p w14:paraId="5C4F9548"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70.0%</w:t>
            </w:r>
          </w:p>
        </w:tc>
        <w:tc>
          <w:tcPr>
            <w:tcW w:w="1000" w:type="dxa"/>
            <w:shd w:val="clear" w:color="auto" w:fill="auto"/>
            <w:noWrap/>
            <w:vAlign w:val="center"/>
            <w:hideMark/>
          </w:tcPr>
          <w:p w14:paraId="741EC1C6"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84.4%</w:t>
            </w:r>
          </w:p>
        </w:tc>
        <w:tc>
          <w:tcPr>
            <w:tcW w:w="890" w:type="dxa"/>
            <w:shd w:val="clear" w:color="auto" w:fill="auto"/>
            <w:noWrap/>
            <w:vAlign w:val="center"/>
            <w:hideMark/>
          </w:tcPr>
          <w:p w14:paraId="5AFCB8DF"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70.3%</w:t>
            </w:r>
          </w:p>
        </w:tc>
        <w:tc>
          <w:tcPr>
            <w:tcW w:w="810" w:type="dxa"/>
            <w:shd w:val="clear" w:color="auto" w:fill="auto"/>
            <w:noWrap/>
            <w:vAlign w:val="center"/>
            <w:hideMark/>
          </w:tcPr>
          <w:p w14:paraId="2C4D2B3D"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75.7%</w:t>
            </w:r>
          </w:p>
        </w:tc>
        <w:tc>
          <w:tcPr>
            <w:tcW w:w="662" w:type="dxa"/>
            <w:shd w:val="clear" w:color="auto" w:fill="auto"/>
            <w:noWrap/>
            <w:vAlign w:val="center"/>
            <w:hideMark/>
          </w:tcPr>
          <w:p w14:paraId="2780900A"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66.1%</w:t>
            </w:r>
          </w:p>
        </w:tc>
        <w:tc>
          <w:tcPr>
            <w:tcW w:w="737" w:type="dxa"/>
            <w:shd w:val="clear" w:color="auto" w:fill="auto"/>
            <w:noWrap/>
            <w:vAlign w:val="center"/>
            <w:hideMark/>
          </w:tcPr>
          <w:p w14:paraId="0A22910C"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79.2%</w:t>
            </w:r>
          </w:p>
        </w:tc>
        <w:tc>
          <w:tcPr>
            <w:tcW w:w="662" w:type="dxa"/>
            <w:shd w:val="clear" w:color="auto" w:fill="auto"/>
            <w:noWrap/>
            <w:vAlign w:val="center"/>
            <w:hideMark/>
          </w:tcPr>
          <w:p w14:paraId="6B2342C9"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72.7%</w:t>
            </w:r>
          </w:p>
        </w:tc>
        <w:tc>
          <w:tcPr>
            <w:tcW w:w="662" w:type="dxa"/>
            <w:shd w:val="clear" w:color="auto" w:fill="auto"/>
            <w:noWrap/>
            <w:vAlign w:val="center"/>
            <w:hideMark/>
          </w:tcPr>
          <w:p w14:paraId="42C61986"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73.9%</w:t>
            </w:r>
          </w:p>
        </w:tc>
        <w:tc>
          <w:tcPr>
            <w:tcW w:w="990" w:type="dxa"/>
            <w:shd w:val="clear" w:color="auto" w:fill="auto"/>
            <w:noWrap/>
            <w:vAlign w:val="center"/>
            <w:hideMark/>
          </w:tcPr>
          <w:p w14:paraId="44CDF0F0"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68.9%</w:t>
            </w:r>
          </w:p>
        </w:tc>
        <w:tc>
          <w:tcPr>
            <w:tcW w:w="662" w:type="dxa"/>
            <w:shd w:val="clear" w:color="auto" w:fill="auto"/>
            <w:noWrap/>
            <w:vAlign w:val="center"/>
            <w:hideMark/>
          </w:tcPr>
          <w:p w14:paraId="2BA0F710"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69.4%</w:t>
            </w:r>
          </w:p>
        </w:tc>
        <w:tc>
          <w:tcPr>
            <w:tcW w:w="662" w:type="dxa"/>
            <w:shd w:val="clear" w:color="auto" w:fill="auto"/>
            <w:noWrap/>
            <w:vAlign w:val="center"/>
            <w:hideMark/>
          </w:tcPr>
          <w:p w14:paraId="5932EC6A"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73.0%</w:t>
            </w:r>
          </w:p>
        </w:tc>
        <w:tc>
          <w:tcPr>
            <w:tcW w:w="755" w:type="dxa"/>
            <w:shd w:val="clear" w:color="auto" w:fill="auto"/>
            <w:noWrap/>
            <w:vAlign w:val="center"/>
            <w:hideMark/>
          </w:tcPr>
          <w:p w14:paraId="11A482EA"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70.4%</w:t>
            </w:r>
          </w:p>
        </w:tc>
        <w:tc>
          <w:tcPr>
            <w:tcW w:w="1042" w:type="dxa"/>
            <w:shd w:val="clear" w:color="auto" w:fill="auto"/>
            <w:noWrap/>
            <w:vAlign w:val="center"/>
            <w:hideMark/>
          </w:tcPr>
          <w:p w14:paraId="6F3F0DC4"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74.9%</w:t>
            </w:r>
          </w:p>
        </w:tc>
      </w:tr>
      <w:tr w:rsidR="00AF1A0D" w:rsidRPr="00A77490" w14:paraId="154561F2" w14:textId="77777777">
        <w:trPr>
          <w:trHeight w:val="780"/>
        </w:trPr>
        <w:tc>
          <w:tcPr>
            <w:tcW w:w="720" w:type="dxa"/>
            <w:shd w:val="clear" w:color="auto" w:fill="F2F2F2" w:themeFill="background1" w:themeFillShade="F2"/>
            <w:noWrap/>
            <w:hideMark/>
          </w:tcPr>
          <w:p w14:paraId="5ACC4A14" w14:textId="77777777" w:rsidR="00AF1A0D" w:rsidRPr="00A77490" w:rsidRDefault="00AF1A0D">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APM</w:t>
            </w:r>
          </w:p>
        </w:tc>
        <w:tc>
          <w:tcPr>
            <w:tcW w:w="2700" w:type="dxa"/>
            <w:shd w:val="clear" w:color="auto" w:fill="F2F2F2" w:themeFill="background1" w:themeFillShade="F2"/>
            <w:hideMark/>
          </w:tcPr>
          <w:p w14:paraId="6A42BD20" w14:textId="77777777" w:rsidR="00AF1A0D" w:rsidRPr="00A77490" w:rsidRDefault="00AF1A0D">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Metabolic Monitoring for Children and Adolescents on Antipsychotics </w:t>
            </w:r>
          </w:p>
        </w:tc>
        <w:tc>
          <w:tcPr>
            <w:tcW w:w="810" w:type="dxa"/>
            <w:shd w:val="clear" w:color="auto" w:fill="F2F2F2" w:themeFill="background1" w:themeFillShade="F2"/>
            <w:noWrap/>
            <w:vAlign w:val="center"/>
            <w:hideMark/>
          </w:tcPr>
          <w:p w14:paraId="1D5E68FE"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37.7%</w:t>
            </w:r>
          </w:p>
        </w:tc>
        <w:tc>
          <w:tcPr>
            <w:tcW w:w="662" w:type="dxa"/>
            <w:shd w:val="clear" w:color="auto" w:fill="F2F2F2" w:themeFill="background1" w:themeFillShade="F2"/>
            <w:noWrap/>
            <w:vAlign w:val="center"/>
            <w:hideMark/>
          </w:tcPr>
          <w:p w14:paraId="49EE8F1F"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18.4%</w:t>
            </w:r>
          </w:p>
        </w:tc>
        <w:tc>
          <w:tcPr>
            <w:tcW w:w="662" w:type="dxa"/>
            <w:shd w:val="clear" w:color="auto" w:fill="F2F2F2" w:themeFill="background1" w:themeFillShade="F2"/>
            <w:noWrap/>
            <w:vAlign w:val="center"/>
            <w:hideMark/>
          </w:tcPr>
          <w:p w14:paraId="5FF5709A"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27.7%</w:t>
            </w:r>
          </w:p>
        </w:tc>
        <w:tc>
          <w:tcPr>
            <w:tcW w:w="662" w:type="dxa"/>
            <w:shd w:val="clear" w:color="auto" w:fill="F2F2F2" w:themeFill="background1" w:themeFillShade="F2"/>
            <w:noWrap/>
            <w:vAlign w:val="center"/>
            <w:hideMark/>
          </w:tcPr>
          <w:p w14:paraId="65EDA3B4"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35.9%</w:t>
            </w:r>
          </w:p>
        </w:tc>
        <w:tc>
          <w:tcPr>
            <w:tcW w:w="662" w:type="dxa"/>
            <w:shd w:val="clear" w:color="auto" w:fill="F2F2F2" w:themeFill="background1" w:themeFillShade="F2"/>
            <w:noWrap/>
            <w:vAlign w:val="center"/>
            <w:hideMark/>
          </w:tcPr>
          <w:p w14:paraId="68AE0F79"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37.7%</w:t>
            </w:r>
          </w:p>
        </w:tc>
        <w:tc>
          <w:tcPr>
            <w:tcW w:w="952" w:type="dxa"/>
            <w:shd w:val="clear" w:color="auto" w:fill="F2F2F2" w:themeFill="background1" w:themeFillShade="F2"/>
            <w:noWrap/>
            <w:vAlign w:val="center"/>
            <w:hideMark/>
          </w:tcPr>
          <w:p w14:paraId="7894820D"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61.0%</w:t>
            </w:r>
          </w:p>
        </w:tc>
        <w:tc>
          <w:tcPr>
            <w:tcW w:w="868" w:type="dxa"/>
            <w:shd w:val="clear" w:color="auto" w:fill="F2F2F2" w:themeFill="background1" w:themeFillShade="F2"/>
            <w:noWrap/>
            <w:vAlign w:val="center"/>
            <w:hideMark/>
          </w:tcPr>
          <w:p w14:paraId="744E188B"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50.3%</w:t>
            </w:r>
          </w:p>
        </w:tc>
        <w:tc>
          <w:tcPr>
            <w:tcW w:w="662" w:type="dxa"/>
            <w:shd w:val="clear" w:color="auto" w:fill="F2F2F2" w:themeFill="background1" w:themeFillShade="F2"/>
            <w:noWrap/>
            <w:vAlign w:val="center"/>
            <w:hideMark/>
          </w:tcPr>
          <w:p w14:paraId="73107505"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NA</w:t>
            </w:r>
          </w:p>
        </w:tc>
        <w:tc>
          <w:tcPr>
            <w:tcW w:w="688" w:type="dxa"/>
            <w:shd w:val="clear" w:color="auto" w:fill="F2F2F2" w:themeFill="background1" w:themeFillShade="F2"/>
            <w:noWrap/>
            <w:vAlign w:val="center"/>
            <w:hideMark/>
          </w:tcPr>
          <w:p w14:paraId="596629A4"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33.3%</w:t>
            </w:r>
          </w:p>
        </w:tc>
        <w:tc>
          <w:tcPr>
            <w:tcW w:w="1000" w:type="dxa"/>
            <w:shd w:val="clear" w:color="auto" w:fill="F2F2F2" w:themeFill="background1" w:themeFillShade="F2"/>
            <w:noWrap/>
            <w:vAlign w:val="center"/>
            <w:hideMark/>
          </w:tcPr>
          <w:p w14:paraId="3F5856EA"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37.0%</w:t>
            </w:r>
          </w:p>
        </w:tc>
        <w:tc>
          <w:tcPr>
            <w:tcW w:w="890" w:type="dxa"/>
            <w:shd w:val="clear" w:color="auto" w:fill="F2F2F2" w:themeFill="background1" w:themeFillShade="F2"/>
            <w:noWrap/>
            <w:vAlign w:val="center"/>
            <w:hideMark/>
          </w:tcPr>
          <w:p w14:paraId="3B0B1CC9"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41.1%</w:t>
            </w:r>
          </w:p>
        </w:tc>
        <w:tc>
          <w:tcPr>
            <w:tcW w:w="810" w:type="dxa"/>
            <w:shd w:val="clear" w:color="auto" w:fill="F2F2F2" w:themeFill="background1" w:themeFillShade="F2"/>
            <w:noWrap/>
            <w:vAlign w:val="center"/>
            <w:hideMark/>
          </w:tcPr>
          <w:p w14:paraId="345C1354"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33.3%</w:t>
            </w:r>
          </w:p>
        </w:tc>
        <w:tc>
          <w:tcPr>
            <w:tcW w:w="662" w:type="dxa"/>
            <w:shd w:val="clear" w:color="auto" w:fill="F2F2F2" w:themeFill="background1" w:themeFillShade="F2"/>
            <w:noWrap/>
            <w:vAlign w:val="center"/>
            <w:hideMark/>
          </w:tcPr>
          <w:p w14:paraId="4B5E3BDB"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52.8%</w:t>
            </w:r>
          </w:p>
        </w:tc>
        <w:tc>
          <w:tcPr>
            <w:tcW w:w="737" w:type="dxa"/>
            <w:shd w:val="clear" w:color="auto" w:fill="F2F2F2" w:themeFill="background1" w:themeFillShade="F2"/>
            <w:noWrap/>
            <w:vAlign w:val="center"/>
            <w:hideMark/>
          </w:tcPr>
          <w:p w14:paraId="792B1F31"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48.8%</w:t>
            </w:r>
          </w:p>
        </w:tc>
        <w:tc>
          <w:tcPr>
            <w:tcW w:w="662" w:type="dxa"/>
            <w:shd w:val="clear" w:color="auto" w:fill="F2F2F2" w:themeFill="background1" w:themeFillShade="F2"/>
            <w:noWrap/>
            <w:vAlign w:val="center"/>
            <w:hideMark/>
          </w:tcPr>
          <w:p w14:paraId="06588474"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40.8%</w:t>
            </w:r>
          </w:p>
        </w:tc>
        <w:tc>
          <w:tcPr>
            <w:tcW w:w="662" w:type="dxa"/>
            <w:shd w:val="clear" w:color="auto" w:fill="F2F2F2" w:themeFill="background1" w:themeFillShade="F2"/>
            <w:noWrap/>
            <w:vAlign w:val="center"/>
            <w:hideMark/>
          </w:tcPr>
          <w:p w14:paraId="0CDE0E1E"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34.1%</w:t>
            </w:r>
          </w:p>
        </w:tc>
        <w:tc>
          <w:tcPr>
            <w:tcW w:w="990" w:type="dxa"/>
            <w:shd w:val="clear" w:color="auto" w:fill="F2F2F2" w:themeFill="background1" w:themeFillShade="F2"/>
            <w:noWrap/>
            <w:vAlign w:val="center"/>
            <w:hideMark/>
          </w:tcPr>
          <w:p w14:paraId="3DD03C50"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38.8%</w:t>
            </w:r>
          </w:p>
        </w:tc>
        <w:tc>
          <w:tcPr>
            <w:tcW w:w="662" w:type="dxa"/>
            <w:shd w:val="clear" w:color="auto" w:fill="F2F2F2" w:themeFill="background1" w:themeFillShade="F2"/>
            <w:noWrap/>
            <w:vAlign w:val="center"/>
            <w:hideMark/>
          </w:tcPr>
          <w:p w14:paraId="78A6915D"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NA</w:t>
            </w:r>
          </w:p>
        </w:tc>
        <w:tc>
          <w:tcPr>
            <w:tcW w:w="662" w:type="dxa"/>
            <w:tcBorders>
              <w:bottom w:val="single" w:sz="4" w:space="0" w:color="auto"/>
            </w:tcBorders>
            <w:shd w:val="clear" w:color="auto" w:fill="F2F2F2" w:themeFill="background1" w:themeFillShade="F2"/>
            <w:noWrap/>
            <w:vAlign w:val="center"/>
            <w:hideMark/>
          </w:tcPr>
          <w:p w14:paraId="2923A7DB"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28.1%</w:t>
            </w:r>
          </w:p>
        </w:tc>
        <w:tc>
          <w:tcPr>
            <w:tcW w:w="755" w:type="dxa"/>
            <w:tcBorders>
              <w:bottom w:val="single" w:sz="4" w:space="0" w:color="auto"/>
            </w:tcBorders>
            <w:shd w:val="clear" w:color="auto" w:fill="F2F2F2" w:themeFill="background1" w:themeFillShade="F2"/>
            <w:noWrap/>
            <w:vAlign w:val="center"/>
            <w:hideMark/>
          </w:tcPr>
          <w:p w14:paraId="57EB34D4"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16.3%</w:t>
            </w:r>
          </w:p>
        </w:tc>
        <w:tc>
          <w:tcPr>
            <w:tcW w:w="1042" w:type="dxa"/>
            <w:tcBorders>
              <w:bottom w:val="single" w:sz="4" w:space="0" w:color="auto"/>
            </w:tcBorders>
            <w:shd w:val="clear" w:color="auto" w:fill="F2F2F2" w:themeFill="background1" w:themeFillShade="F2"/>
            <w:noWrap/>
            <w:vAlign w:val="center"/>
            <w:hideMark/>
          </w:tcPr>
          <w:p w14:paraId="755692A9"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30.7%</w:t>
            </w:r>
          </w:p>
        </w:tc>
      </w:tr>
      <w:tr w:rsidR="00AF1A0D" w:rsidRPr="00A77490" w14:paraId="5A0CE057" w14:textId="77777777">
        <w:trPr>
          <w:trHeight w:val="520"/>
        </w:trPr>
        <w:tc>
          <w:tcPr>
            <w:tcW w:w="720" w:type="dxa"/>
            <w:shd w:val="clear" w:color="auto" w:fill="auto"/>
            <w:noWrap/>
            <w:hideMark/>
          </w:tcPr>
          <w:p w14:paraId="21CB40D4" w14:textId="77777777" w:rsidR="00AF1A0D" w:rsidRPr="00A77490" w:rsidRDefault="00AF1A0D">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DSF</w:t>
            </w:r>
          </w:p>
        </w:tc>
        <w:tc>
          <w:tcPr>
            <w:tcW w:w="2700" w:type="dxa"/>
            <w:shd w:val="clear" w:color="auto" w:fill="auto"/>
            <w:hideMark/>
          </w:tcPr>
          <w:p w14:paraId="0D82DC89" w14:textId="77777777" w:rsidR="00AF1A0D" w:rsidRPr="00A77490" w:rsidRDefault="00AF1A0D">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Screening for Depression and Follow-Up Plan</w:t>
            </w:r>
          </w:p>
        </w:tc>
        <w:tc>
          <w:tcPr>
            <w:tcW w:w="810" w:type="dxa"/>
            <w:shd w:val="clear" w:color="auto" w:fill="auto"/>
            <w:noWrap/>
            <w:vAlign w:val="center"/>
            <w:hideMark/>
          </w:tcPr>
          <w:p w14:paraId="70532D3D" w14:textId="77777777" w:rsidR="00AF1A0D" w:rsidRPr="00770E94" w:rsidRDefault="00AF1A0D">
            <w:pPr>
              <w:spacing w:after="0"/>
              <w:jc w:val="center"/>
              <w:rPr>
                <w:rFonts w:asciiTheme="minorHAnsi" w:eastAsia="Times New Roman" w:hAnsiTheme="minorHAnsi" w:cstheme="minorHAnsi"/>
                <w:sz w:val="16"/>
                <w:szCs w:val="16"/>
              </w:rPr>
            </w:pPr>
            <w:r w:rsidRPr="00770E94">
              <w:rPr>
                <w:rFonts w:cs="Calibri"/>
                <w:sz w:val="16"/>
                <w:szCs w:val="16"/>
              </w:rPr>
              <w:t>37.1%</w:t>
            </w:r>
          </w:p>
        </w:tc>
        <w:tc>
          <w:tcPr>
            <w:tcW w:w="662" w:type="dxa"/>
            <w:shd w:val="clear" w:color="auto" w:fill="auto"/>
            <w:noWrap/>
            <w:vAlign w:val="center"/>
            <w:hideMark/>
          </w:tcPr>
          <w:p w14:paraId="41FB6336"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8.7%</w:t>
            </w:r>
          </w:p>
        </w:tc>
        <w:tc>
          <w:tcPr>
            <w:tcW w:w="662" w:type="dxa"/>
            <w:shd w:val="clear" w:color="auto" w:fill="auto"/>
            <w:noWrap/>
            <w:vAlign w:val="center"/>
            <w:hideMark/>
          </w:tcPr>
          <w:p w14:paraId="6419F7BD"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25.0%</w:t>
            </w:r>
          </w:p>
        </w:tc>
        <w:tc>
          <w:tcPr>
            <w:tcW w:w="662" w:type="dxa"/>
            <w:shd w:val="clear" w:color="auto" w:fill="auto"/>
            <w:noWrap/>
            <w:vAlign w:val="center"/>
            <w:hideMark/>
          </w:tcPr>
          <w:p w14:paraId="534207CB"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25.6%</w:t>
            </w:r>
          </w:p>
        </w:tc>
        <w:tc>
          <w:tcPr>
            <w:tcW w:w="662" w:type="dxa"/>
            <w:shd w:val="clear" w:color="auto" w:fill="auto"/>
            <w:noWrap/>
            <w:vAlign w:val="center"/>
            <w:hideMark/>
          </w:tcPr>
          <w:p w14:paraId="2731D36F"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39.3%</w:t>
            </w:r>
          </w:p>
        </w:tc>
        <w:tc>
          <w:tcPr>
            <w:tcW w:w="952" w:type="dxa"/>
            <w:shd w:val="clear" w:color="auto" w:fill="auto"/>
            <w:noWrap/>
            <w:vAlign w:val="center"/>
            <w:hideMark/>
          </w:tcPr>
          <w:p w14:paraId="3D891740"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22.8%</w:t>
            </w:r>
          </w:p>
        </w:tc>
        <w:tc>
          <w:tcPr>
            <w:tcW w:w="868" w:type="dxa"/>
            <w:shd w:val="clear" w:color="auto" w:fill="auto"/>
            <w:noWrap/>
            <w:vAlign w:val="center"/>
            <w:hideMark/>
          </w:tcPr>
          <w:p w14:paraId="4F4DC87E"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16.1%</w:t>
            </w:r>
          </w:p>
        </w:tc>
        <w:tc>
          <w:tcPr>
            <w:tcW w:w="662" w:type="dxa"/>
            <w:shd w:val="clear" w:color="auto" w:fill="auto"/>
            <w:noWrap/>
            <w:vAlign w:val="center"/>
            <w:hideMark/>
          </w:tcPr>
          <w:p w14:paraId="7611663B"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35.4%</w:t>
            </w:r>
          </w:p>
        </w:tc>
        <w:tc>
          <w:tcPr>
            <w:tcW w:w="688" w:type="dxa"/>
            <w:shd w:val="clear" w:color="auto" w:fill="auto"/>
            <w:noWrap/>
            <w:vAlign w:val="center"/>
            <w:hideMark/>
          </w:tcPr>
          <w:p w14:paraId="148BEB2F"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31.8%</w:t>
            </w:r>
          </w:p>
        </w:tc>
        <w:tc>
          <w:tcPr>
            <w:tcW w:w="1000" w:type="dxa"/>
            <w:shd w:val="clear" w:color="auto" w:fill="auto"/>
            <w:noWrap/>
            <w:vAlign w:val="center"/>
            <w:hideMark/>
          </w:tcPr>
          <w:p w14:paraId="56CA2664"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57.5%</w:t>
            </w:r>
          </w:p>
        </w:tc>
        <w:tc>
          <w:tcPr>
            <w:tcW w:w="890" w:type="dxa"/>
            <w:shd w:val="clear" w:color="auto" w:fill="auto"/>
            <w:noWrap/>
            <w:vAlign w:val="center"/>
            <w:hideMark/>
          </w:tcPr>
          <w:p w14:paraId="242FACA3"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36.0%</w:t>
            </w:r>
          </w:p>
        </w:tc>
        <w:tc>
          <w:tcPr>
            <w:tcW w:w="810" w:type="dxa"/>
            <w:shd w:val="clear" w:color="auto" w:fill="auto"/>
            <w:noWrap/>
            <w:vAlign w:val="center"/>
            <w:hideMark/>
          </w:tcPr>
          <w:p w14:paraId="53FEA8AE"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8.8%</w:t>
            </w:r>
          </w:p>
        </w:tc>
        <w:tc>
          <w:tcPr>
            <w:tcW w:w="662" w:type="dxa"/>
            <w:shd w:val="clear" w:color="auto" w:fill="auto"/>
            <w:noWrap/>
            <w:vAlign w:val="center"/>
            <w:hideMark/>
          </w:tcPr>
          <w:p w14:paraId="6B99EF47"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39.2%</w:t>
            </w:r>
          </w:p>
        </w:tc>
        <w:tc>
          <w:tcPr>
            <w:tcW w:w="737" w:type="dxa"/>
            <w:shd w:val="clear" w:color="auto" w:fill="auto"/>
            <w:noWrap/>
            <w:vAlign w:val="center"/>
            <w:hideMark/>
          </w:tcPr>
          <w:p w14:paraId="0B7D6F5B"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92.0%</w:t>
            </w:r>
          </w:p>
        </w:tc>
        <w:tc>
          <w:tcPr>
            <w:tcW w:w="662" w:type="dxa"/>
            <w:shd w:val="clear" w:color="auto" w:fill="auto"/>
            <w:noWrap/>
            <w:vAlign w:val="center"/>
            <w:hideMark/>
          </w:tcPr>
          <w:p w14:paraId="6625B393"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48.3%</w:t>
            </w:r>
          </w:p>
        </w:tc>
        <w:tc>
          <w:tcPr>
            <w:tcW w:w="662" w:type="dxa"/>
            <w:shd w:val="clear" w:color="auto" w:fill="auto"/>
            <w:noWrap/>
            <w:vAlign w:val="center"/>
            <w:hideMark/>
          </w:tcPr>
          <w:p w14:paraId="4F66ED1C"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40.9%</w:t>
            </w:r>
          </w:p>
        </w:tc>
        <w:tc>
          <w:tcPr>
            <w:tcW w:w="990" w:type="dxa"/>
            <w:shd w:val="clear" w:color="auto" w:fill="auto"/>
            <w:noWrap/>
            <w:vAlign w:val="center"/>
            <w:hideMark/>
          </w:tcPr>
          <w:p w14:paraId="3AA33BCA"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33.9%</w:t>
            </w:r>
          </w:p>
        </w:tc>
        <w:tc>
          <w:tcPr>
            <w:tcW w:w="662" w:type="dxa"/>
            <w:tcBorders>
              <w:right w:val="single" w:sz="4" w:space="0" w:color="auto"/>
            </w:tcBorders>
            <w:shd w:val="clear" w:color="auto" w:fill="auto"/>
            <w:noWrap/>
            <w:vAlign w:val="center"/>
            <w:hideMark/>
          </w:tcPr>
          <w:p w14:paraId="23398E73"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28.8%</w:t>
            </w:r>
          </w:p>
        </w:tc>
        <w:tc>
          <w:tcPr>
            <w:tcW w:w="66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21A91FD" w14:textId="0E00E7A0" w:rsidR="00AF1A0D" w:rsidRPr="00273F52" w:rsidRDefault="00AF1A0D">
            <w:pPr>
              <w:spacing w:after="0"/>
              <w:jc w:val="center"/>
              <w:rPr>
                <w:color w:val="000000"/>
              </w:rPr>
            </w:pPr>
            <w:r w:rsidRPr="00273F52">
              <w:rPr>
                <w:color w:val="000000"/>
              </w:rPr>
              <w:t> </w:t>
            </w:r>
            <w:r w:rsidR="00D31883">
              <w:rPr>
                <w:color w:val="000000"/>
              </w:rPr>
              <w:t>-</w:t>
            </w:r>
          </w:p>
        </w:tc>
        <w:tc>
          <w:tcPr>
            <w:tcW w:w="75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05F8A4E" w14:textId="4D9B1E3E" w:rsidR="00AF1A0D" w:rsidRPr="00273F52" w:rsidRDefault="00D31883">
            <w:pPr>
              <w:spacing w:after="0"/>
              <w:jc w:val="center"/>
              <w:rPr>
                <w:color w:val="000000"/>
              </w:rPr>
            </w:pPr>
            <w:r>
              <w:rPr>
                <w:color w:val="000000"/>
              </w:rPr>
              <w:t>-</w:t>
            </w:r>
            <w:r w:rsidR="00AF1A0D" w:rsidRPr="00273F52">
              <w:rPr>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6C497B52" w14:textId="017B225C" w:rsidR="00AF1A0D" w:rsidRPr="00273F52" w:rsidRDefault="00D31883">
            <w:pPr>
              <w:spacing w:after="0"/>
              <w:jc w:val="center"/>
              <w:rPr>
                <w:color w:val="000000"/>
              </w:rPr>
            </w:pPr>
            <w:r>
              <w:rPr>
                <w:color w:val="000000"/>
              </w:rPr>
              <w:t>-</w:t>
            </w:r>
            <w:r w:rsidR="00AF1A0D" w:rsidRPr="00273F52">
              <w:rPr>
                <w:color w:val="000000"/>
              </w:rPr>
              <w:t> </w:t>
            </w:r>
          </w:p>
        </w:tc>
      </w:tr>
      <w:tr w:rsidR="00AF1A0D" w:rsidRPr="00A77490" w14:paraId="4C590008" w14:textId="77777777">
        <w:trPr>
          <w:trHeight w:val="520"/>
        </w:trPr>
        <w:tc>
          <w:tcPr>
            <w:tcW w:w="720" w:type="dxa"/>
            <w:shd w:val="clear" w:color="auto" w:fill="F2F2F2" w:themeFill="background1" w:themeFillShade="F2"/>
            <w:noWrap/>
            <w:hideMark/>
          </w:tcPr>
          <w:p w14:paraId="3B0752E1" w14:textId="77777777" w:rsidR="00AF1A0D" w:rsidRPr="00A77490" w:rsidRDefault="00AF1A0D">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DRR</w:t>
            </w:r>
          </w:p>
        </w:tc>
        <w:tc>
          <w:tcPr>
            <w:tcW w:w="2700" w:type="dxa"/>
            <w:shd w:val="clear" w:color="auto" w:fill="F2F2F2" w:themeFill="background1" w:themeFillShade="F2"/>
            <w:hideMark/>
          </w:tcPr>
          <w:p w14:paraId="23036372" w14:textId="77777777" w:rsidR="00AF1A0D" w:rsidRPr="00A77490" w:rsidRDefault="00AF1A0D">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Depression Remission or Response  </w:t>
            </w:r>
          </w:p>
        </w:tc>
        <w:tc>
          <w:tcPr>
            <w:tcW w:w="810" w:type="dxa"/>
            <w:shd w:val="clear" w:color="auto" w:fill="F2F2F2" w:themeFill="background1" w:themeFillShade="F2"/>
            <w:noWrap/>
            <w:vAlign w:val="center"/>
            <w:hideMark/>
          </w:tcPr>
          <w:p w14:paraId="540AE0DB"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3.4%</w:t>
            </w:r>
          </w:p>
        </w:tc>
        <w:tc>
          <w:tcPr>
            <w:tcW w:w="662" w:type="dxa"/>
            <w:shd w:val="clear" w:color="auto" w:fill="F2F2F2" w:themeFill="background1" w:themeFillShade="F2"/>
            <w:noWrap/>
            <w:vAlign w:val="center"/>
            <w:hideMark/>
          </w:tcPr>
          <w:p w14:paraId="40612699"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1.2%</w:t>
            </w:r>
          </w:p>
        </w:tc>
        <w:tc>
          <w:tcPr>
            <w:tcW w:w="662" w:type="dxa"/>
            <w:shd w:val="clear" w:color="auto" w:fill="F2F2F2" w:themeFill="background1" w:themeFillShade="F2"/>
            <w:noWrap/>
            <w:vAlign w:val="center"/>
            <w:hideMark/>
          </w:tcPr>
          <w:p w14:paraId="6A128AC7"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NA</w:t>
            </w:r>
          </w:p>
        </w:tc>
        <w:tc>
          <w:tcPr>
            <w:tcW w:w="662" w:type="dxa"/>
            <w:shd w:val="clear" w:color="auto" w:fill="F2F2F2" w:themeFill="background1" w:themeFillShade="F2"/>
            <w:noWrap/>
            <w:vAlign w:val="center"/>
            <w:hideMark/>
          </w:tcPr>
          <w:p w14:paraId="6462F445"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0.7%</w:t>
            </w:r>
          </w:p>
        </w:tc>
        <w:tc>
          <w:tcPr>
            <w:tcW w:w="662" w:type="dxa"/>
            <w:shd w:val="clear" w:color="auto" w:fill="F2F2F2" w:themeFill="background1" w:themeFillShade="F2"/>
            <w:noWrap/>
            <w:vAlign w:val="center"/>
            <w:hideMark/>
          </w:tcPr>
          <w:p w14:paraId="4341DE32"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1.1%</w:t>
            </w:r>
          </w:p>
        </w:tc>
        <w:tc>
          <w:tcPr>
            <w:tcW w:w="952" w:type="dxa"/>
            <w:shd w:val="clear" w:color="auto" w:fill="F2F2F2" w:themeFill="background1" w:themeFillShade="F2"/>
            <w:noWrap/>
            <w:vAlign w:val="center"/>
            <w:hideMark/>
          </w:tcPr>
          <w:p w14:paraId="50F609EA"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5.4%</w:t>
            </w:r>
          </w:p>
        </w:tc>
        <w:tc>
          <w:tcPr>
            <w:tcW w:w="868" w:type="dxa"/>
            <w:shd w:val="clear" w:color="auto" w:fill="F2F2F2" w:themeFill="background1" w:themeFillShade="F2"/>
            <w:noWrap/>
            <w:vAlign w:val="center"/>
            <w:hideMark/>
          </w:tcPr>
          <w:p w14:paraId="09E7497A"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0.0%</w:t>
            </w:r>
          </w:p>
        </w:tc>
        <w:tc>
          <w:tcPr>
            <w:tcW w:w="662" w:type="dxa"/>
            <w:shd w:val="clear" w:color="auto" w:fill="F2F2F2" w:themeFill="background1" w:themeFillShade="F2"/>
            <w:noWrap/>
            <w:vAlign w:val="center"/>
            <w:hideMark/>
          </w:tcPr>
          <w:p w14:paraId="08FA7D47"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4.5%</w:t>
            </w:r>
          </w:p>
        </w:tc>
        <w:tc>
          <w:tcPr>
            <w:tcW w:w="688" w:type="dxa"/>
            <w:shd w:val="clear" w:color="auto" w:fill="F2F2F2" w:themeFill="background1" w:themeFillShade="F2"/>
            <w:noWrap/>
            <w:vAlign w:val="center"/>
            <w:hideMark/>
          </w:tcPr>
          <w:p w14:paraId="0CA4C9DD"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0.7%</w:t>
            </w:r>
          </w:p>
        </w:tc>
        <w:tc>
          <w:tcPr>
            <w:tcW w:w="1000" w:type="dxa"/>
            <w:shd w:val="clear" w:color="auto" w:fill="F2F2F2" w:themeFill="background1" w:themeFillShade="F2"/>
            <w:noWrap/>
            <w:vAlign w:val="center"/>
            <w:hideMark/>
          </w:tcPr>
          <w:p w14:paraId="28E0D830"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1.9%</w:t>
            </w:r>
          </w:p>
        </w:tc>
        <w:tc>
          <w:tcPr>
            <w:tcW w:w="890" w:type="dxa"/>
            <w:shd w:val="clear" w:color="auto" w:fill="F2F2F2" w:themeFill="background1" w:themeFillShade="F2"/>
            <w:noWrap/>
            <w:vAlign w:val="center"/>
            <w:hideMark/>
          </w:tcPr>
          <w:p w14:paraId="54D2660E"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7.2%</w:t>
            </w:r>
          </w:p>
        </w:tc>
        <w:tc>
          <w:tcPr>
            <w:tcW w:w="810" w:type="dxa"/>
            <w:shd w:val="clear" w:color="auto" w:fill="F2F2F2" w:themeFill="background1" w:themeFillShade="F2"/>
            <w:noWrap/>
            <w:vAlign w:val="center"/>
            <w:hideMark/>
          </w:tcPr>
          <w:p w14:paraId="26A1FEE7"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3.4%</w:t>
            </w:r>
          </w:p>
        </w:tc>
        <w:tc>
          <w:tcPr>
            <w:tcW w:w="662" w:type="dxa"/>
            <w:shd w:val="clear" w:color="auto" w:fill="F2F2F2" w:themeFill="background1" w:themeFillShade="F2"/>
            <w:noWrap/>
            <w:vAlign w:val="center"/>
            <w:hideMark/>
          </w:tcPr>
          <w:p w14:paraId="2FBCB943"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5.0%</w:t>
            </w:r>
          </w:p>
        </w:tc>
        <w:tc>
          <w:tcPr>
            <w:tcW w:w="737" w:type="dxa"/>
            <w:shd w:val="clear" w:color="auto" w:fill="F2F2F2" w:themeFill="background1" w:themeFillShade="F2"/>
            <w:noWrap/>
            <w:vAlign w:val="center"/>
            <w:hideMark/>
          </w:tcPr>
          <w:p w14:paraId="761C14E8"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9.1%</w:t>
            </w:r>
          </w:p>
        </w:tc>
        <w:tc>
          <w:tcPr>
            <w:tcW w:w="662" w:type="dxa"/>
            <w:shd w:val="clear" w:color="auto" w:fill="F2F2F2" w:themeFill="background1" w:themeFillShade="F2"/>
            <w:noWrap/>
            <w:vAlign w:val="center"/>
            <w:hideMark/>
          </w:tcPr>
          <w:p w14:paraId="2E5AF2C1"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9.5%</w:t>
            </w:r>
          </w:p>
        </w:tc>
        <w:tc>
          <w:tcPr>
            <w:tcW w:w="662" w:type="dxa"/>
            <w:shd w:val="clear" w:color="auto" w:fill="F2F2F2" w:themeFill="background1" w:themeFillShade="F2"/>
            <w:noWrap/>
            <w:vAlign w:val="center"/>
            <w:hideMark/>
          </w:tcPr>
          <w:p w14:paraId="721FB44C"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0.0%</w:t>
            </w:r>
          </w:p>
        </w:tc>
        <w:tc>
          <w:tcPr>
            <w:tcW w:w="990" w:type="dxa"/>
            <w:shd w:val="clear" w:color="auto" w:fill="F2F2F2" w:themeFill="background1" w:themeFillShade="F2"/>
            <w:noWrap/>
            <w:vAlign w:val="center"/>
            <w:hideMark/>
          </w:tcPr>
          <w:p w14:paraId="4554ADD0"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1.2%</w:t>
            </w:r>
          </w:p>
        </w:tc>
        <w:tc>
          <w:tcPr>
            <w:tcW w:w="662" w:type="dxa"/>
            <w:tcBorders>
              <w:right w:val="single" w:sz="4" w:space="0" w:color="auto"/>
            </w:tcBorders>
            <w:shd w:val="clear" w:color="auto" w:fill="F2F2F2" w:themeFill="background1" w:themeFillShade="F2"/>
            <w:noWrap/>
            <w:vAlign w:val="center"/>
            <w:hideMark/>
          </w:tcPr>
          <w:p w14:paraId="5C9CD51C"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9.2%</w:t>
            </w:r>
          </w:p>
        </w:tc>
        <w:tc>
          <w:tcPr>
            <w:tcW w:w="66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7A87721" w14:textId="62BBC400" w:rsidR="00AF1A0D" w:rsidRPr="00273F52" w:rsidRDefault="00AF1A0D">
            <w:pPr>
              <w:spacing w:after="0"/>
              <w:jc w:val="center"/>
              <w:rPr>
                <w:color w:val="000000"/>
              </w:rPr>
            </w:pPr>
            <w:r w:rsidRPr="00273F52">
              <w:rPr>
                <w:color w:val="000000"/>
              </w:rPr>
              <w:t> </w:t>
            </w:r>
            <w:r w:rsidR="00D31883">
              <w:rPr>
                <w:color w:val="000000"/>
              </w:rPr>
              <w:t>-</w:t>
            </w:r>
          </w:p>
        </w:tc>
        <w:tc>
          <w:tcPr>
            <w:tcW w:w="75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64EEEC4D" w14:textId="52C8C831" w:rsidR="00AF1A0D" w:rsidRPr="00273F52" w:rsidRDefault="00D31883">
            <w:pPr>
              <w:spacing w:after="0"/>
              <w:jc w:val="center"/>
              <w:rPr>
                <w:color w:val="000000"/>
              </w:rPr>
            </w:pPr>
            <w:r>
              <w:rPr>
                <w:color w:val="000000"/>
              </w:rPr>
              <w:t>-</w:t>
            </w:r>
            <w:r w:rsidR="00AF1A0D" w:rsidRPr="00273F52">
              <w:rPr>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3CEC3278" w14:textId="2B131FE4" w:rsidR="00AF1A0D" w:rsidRPr="00273F52" w:rsidRDefault="00D31883">
            <w:pPr>
              <w:spacing w:after="0"/>
              <w:jc w:val="center"/>
              <w:rPr>
                <w:color w:val="000000"/>
              </w:rPr>
            </w:pPr>
            <w:r>
              <w:rPr>
                <w:color w:val="000000"/>
              </w:rPr>
              <w:t>-</w:t>
            </w:r>
            <w:r w:rsidR="00AF1A0D" w:rsidRPr="00273F52">
              <w:rPr>
                <w:color w:val="000000"/>
              </w:rPr>
              <w:t> </w:t>
            </w:r>
          </w:p>
        </w:tc>
      </w:tr>
      <w:tr w:rsidR="00AF1A0D" w:rsidRPr="00A77490" w14:paraId="36E4F43A" w14:textId="77777777">
        <w:trPr>
          <w:trHeight w:val="520"/>
        </w:trPr>
        <w:tc>
          <w:tcPr>
            <w:tcW w:w="720" w:type="dxa"/>
            <w:shd w:val="clear" w:color="auto" w:fill="auto"/>
            <w:noWrap/>
            <w:hideMark/>
          </w:tcPr>
          <w:p w14:paraId="0D6315F7" w14:textId="77777777" w:rsidR="00AF1A0D" w:rsidRPr="00A77490" w:rsidRDefault="00AF1A0D">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EOHHS</w:t>
            </w:r>
          </w:p>
        </w:tc>
        <w:tc>
          <w:tcPr>
            <w:tcW w:w="2700" w:type="dxa"/>
            <w:shd w:val="clear" w:color="auto" w:fill="auto"/>
            <w:hideMark/>
          </w:tcPr>
          <w:p w14:paraId="2D4E5D27" w14:textId="77777777" w:rsidR="00AF1A0D" w:rsidRPr="00A77490" w:rsidRDefault="00AF1A0D">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LTSS Community Partner Engagement </w:t>
            </w:r>
          </w:p>
        </w:tc>
        <w:tc>
          <w:tcPr>
            <w:tcW w:w="810" w:type="dxa"/>
            <w:shd w:val="clear" w:color="auto" w:fill="auto"/>
            <w:noWrap/>
            <w:vAlign w:val="center"/>
            <w:hideMark/>
          </w:tcPr>
          <w:p w14:paraId="32587264"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4.9%</w:t>
            </w:r>
          </w:p>
        </w:tc>
        <w:tc>
          <w:tcPr>
            <w:tcW w:w="662" w:type="dxa"/>
            <w:shd w:val="clear" w:color="auto" w:fill="auto"/>
            <w:noWrap/>
            <w:vAlign w:val="center"/>
            <w:hideMark/>
          </w:tcPr>
          <w:p w14:paraId="06293C46"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11.1%</w:t>
            </w:r>
          </w:p>
        </w:tc>
        <w:tc>
          <w:tcPr>
            <w:tcW w:w="662" w:type="dxa"/>
            <w:shd w:val="clear" w:color="auto" w:fill="auto"/>
            <w:noWrap/>
            <w:vAlign w:val="center"/>
            <w:hideMark/>
          </w:tcPr>
          <w:p w14:paraId="76FA0A04"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6.8%</w:t>
            </w:r>
          </w:p>
        </w:tc>
        <w:tc>
          <w:tcPr>
            <w:tcW w:w="662" w:type="dxa"/>
            <w:shd w:val="clear" w:color="auto" w:fill="auto"/>
            <w:noWrap/>
            <w:vAlign w:val="center"/>
            <w:hideMark/>
          </w:tcPr>
          <w:p w14:paraId="715F2B52"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11.5%</w:t>
            </w:r>
          </w:p>
        </w:tc>
        <w:tc>
          <w:tcPr>
            <w:tcW w:w="662" w:type="dxa"/>
            <w:shd w:val="clear" w:color="auto" w:fill="auto"/>
            <w:noWrap/>
            <w:vAlign w:val="center"/>
            <w:hideMark/>
          </w:tcPr>
          <w:p w14:paraId="6B0DC9F8"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2.7%</w:t>
            </w:r>
          </w:p>
        </w:tc>
        <w:tc>
          <w:tcPr>
            <w:tcW w:w="952" w:type="dxa"/>
            <w:shd w:val="clear" w:color="auto" w:fill="auto"/>
            <w:noWrap/>
            <w:vAlign w:val="center"/>
            <w:hideMark/>
          </w:tcPr>
          <w:p w14:paraId="0B0A1F91"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11.1%</w:t>
            </w:r>
          </w:p>
        </w:tc>
        <w:tc>
          <w:tcPr>
            <w:tcW w:w="868" w:type="dxa"/>
            <w:shd w:val="clear" w:color="auto" w:fill="auto"/>
            <w:noWrap/>
            <w:vAlign w:val="center"/>
            <w:hideMark/>
          </w:tcPr>
          <w:p w14:paraId="1E69A384"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4.9%</w:t>
            </w:r>
          </w:p>
        </w:tc>
        <w:tc>
          <w:tcPr>
            <w:tcW w:w="662" w:type="dxa"/>
            <w:shd w:val="clear" w:color="auto" w:fill="auto"/>
            <w:noWrap/>
            <w:vAlign w:val="center"/>
            <w:hideMark/>
          </w:tcPr>
          <w:p w14:paraId="55B2CE60"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3.9%</w:t>
            </w:r>
          </w:p>
        </w:tc>
        <w:tc>
          <w:tcPr>
            <w:tcW w:w="688" w:type="dxa"/>
            <w:shd w:val="clear" w:color="auto" w:fill="auto"/>
            <w:noWrap/>
            <w:vAlign w:val="center"/>
            <w:hideMark/>
          </w:tcPr>
          <w:p w14:paraId="47A42765"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5.1%</w:t>
            </w:r>
          </w:p>
        </w:tc>
        <w:tc>
          <w:tcPr>
            <w:tcW w:w="1000" w:type="dxa"/>
            <w:shd w:val="clear" w:color="auto" w:fill="auto"/>
            <w:noWrap/>
            <w:vAlign w:val="center"/>
            <w:hideMark/>
          </w:tcPr>
          <w:p w14:paraId="7F882474"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6.2%</w:t>
            </w:r>
          </w:p>
        </w:tc>
        <w:tc>
          <w:tcPr>
            <w:tcW w:w="890" w:type="dxa"/>
            <w:shd w:val="clear" w:color="auto" w:fill="auto"/>
            <w:noWrap/>
            <w:vAlign w:val="center"/>
            <w:hideMark/>
          </w:tcPr>
          <w:p w14:paraId="24EB8362"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4.3%</w:t>
            </w:r>
          </w:p>
        </w:tc>
        <w:tc>
          <w:tcPr>
            <w:tcW w:w="810" w:type="dxa"/>
            <w:shd w:val="clear" w:color="auto" w:fill="auto"/>
            <w:noWrap/>
            <w:vAlign w:val="center"/>
            <w:hideMark/>
          </w:tcPr>
          <w:p w14:paraId="7A1C0936"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5.1%</w:t>
            </w:r>
          </w:p>
        </w:tc>
        <w:tc>
          <w:tcPr>
            <w:tcW w:w="662" w:type="dxa"/>
            <w:shd w:val="clear" w:color="auto" w:fill="auto"/>
            <w:noWrap/>
            <w:vAlign w:val="center"/>
            <w:hideMark/>
          </w:tcPr>
          <w:p w14:paraId="209A48D1"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2.7%</w:t>
            </w:r>
          </w:p>
        </w:tc>
        <w:tc>
          <w:tcPr>
            <w:tcW w:w="737" w:type="dxa"/>
            <w:shd w:val="clear" w:color="auto" w:fill="auto"/>
            <w:noWrap/>
            <w:vAlign w:val="center"/>
            <w:hideMark/>
          </w:tcPr>
          <w:p w14:paraId="59E8387D"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5.2%</w:t>
            </w:r>
          </w:p>
        </w:tc>
        <w:tc>
          <w:tcPr>
            <w:tcW w:w="662" w:type="dxa"/>
            <w:shd w:val="clear" w:color="auto" w:fill="auto"/>
            <w:noWrap/>
            <w:vAlign w:val="center"/>
            <w:hideMark/>
          </w:tcPr>
          <w:p w14:paraId="3CCC06F3"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6.8%</w:t>
            </w:r>
          </w:p>
        </w:tc>
        <w:tc>
          <w:tcPr>
            <w:tcW w:w="662" w:type="dxa"/>
            <w:shd w:val="clear" w:color="auto" w:fill="auto"/>
            <w:noWrap/>
            <w:vAlign w:val="center"/>
            <w:hideMark/>
          </w:tcPr>
          <w:p w14:paraId="7A33758F"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2.8%</w:t>
            </w:r>
          </w:p>
        </w:tc>
        <w:tc>
          <w:tcPr>
            <w:tcW w:w="990" w:type="dxa"/>
            <w:shd w:val="clear" w:color="auto" w:fill="auto"/>
            <w:noWrap/>
            <w:vAlign w:val="center"/>
            <w:hideMark/>
          </w:tcPr>
          <w:p w14:paraId="2331F4A0"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3.6%</w:t>
            </w:r>
          </w:p>
        </w:tc>
        <w:tc>
          <w:tcPr>
            <w:tcW w:w="662" w:type="dxa"/>
            <w:shd w:val="clear" w:color="auto" w:fill="auto"/>
            <w:noWrap/>
            <w:vAlign w:val="center"/>
            <w:hideMark/>
          </w:tcPr>
          <w:p w14:paraId="4E825366"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4.4%</w:t>
            </w:r>
          </w:p>
        </w:tc>
        <w:tc>
          <w:tcPr>
            <w:tcW w:w="662" w:type="dxa"/>
            <w:tcBorders>
              <w:top w:val="single" w:sz="4" w:space="0" w:color="auto"/>
            </w:tcBorders>
            <w:shd w:val="clear" w:color="auto" w:fill="auto"/>
            <w:noWrap/>
            <w:vAlign w:val="center"/>
            <w:hideMark/>
          </w:tcPr>
          <w:p w14:paraId="78C64F83"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4.5%</w:t>
            </w:r>
          </w:p>
        </w:tc>
        <w:tc>
          <w:tcPr>
            <w:tcW w:w="755" w:type="dxa"/>
            <w:tcBorders>
              <w:top w:val="single" w:sz="4" w:space="0" w:color="auto"/>
            </w:tcBorders>
            <w:shd w:val="clear" w:color="auto" w:fill="auto"/>
            <w:noWrap/>
            <w:vAlign w:val="center"/>
            <w:hideMark/>
          </w:tcPr>
          <w:p w14:paraId="6AE53E29"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3.8%</w:t>
            </w:r>
          </w:p>
        </w:tc>
        <w:tc>
          <w:tcPr>
            <w:tcW w:w="1042" w:type="dxa"/>
            <w:tcBorders>
              <w:top w:val="single" w:sz="4" w:space="0" w:color="auto"/>
            </w:tcBorders>
            <w:shd w:val="clear" w:color="auto" w:fill="auto"/>
            <w:noWrap/>
            <w:vAlign w:val="center"/>
            <w:hideMark/>
          </w:tcPr>
          <w:p w14:paraId="778EA88C"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5.2%</w:t>
            </w:r>
          </w:p>
        </w:tc>
      </w:tr>
      <w:tr w:rsidR="00AF1A0D" w:rsidRPr="00A77490" w14:paraId="4E8E2EE6" w14:textId="77777777">
        <w:trPr>
          <w:trHeight w:val="520"/>
        </w:trPr>
        <w:tc>
          <w:tcPr>
            <w:tcW w:w="720" w:type="dxa"/>
            <w:shd w:val="clear" w:color="auto" w:fill="F2F2F2" w:themeFill="background1" w:themeFillShade="F2"/>
            <w:noWrap/>
            <w:hideMark/>
          </w:tcPr>
          <w:p w14:paraId="087A282B" w14:textId="77777777" w:rsidR="00AF1A0D" w:rsidRPr="00A77490" w:rsidRDefault="00AF1A0D">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EOHHS</w:t>
            </w:r>
          </w:p>
        </w:tc>
        <w:tc>
          <w:tcPr>
            <w:tcW w:w="2700" w:type="dxa"/>
            <w:shd w:val="clear" w:color="auto" w:fill="F2F2F2" w:themeFill="background1" w:themeFillShade="F2"/>
            <w:hideMark/>
          </w:tcPr>
          <w:p w14:paraId="5163BDF4" w14:textId="77777777" w:rsidR="00AF1A0D" w:rsidRPr="00A77490" w:rsidRDefault="00AF1A0D">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Community Tenure - BSP (Risk adjusted O/E ratio)</w:t>
            </w:r>
          </w:p>
        </w:tc>
        <w:tc>
          <w:tcPr>
            <w:tcW w:w="810" w:type="dxa"/>
            <w:shd w:val="clear" w:color="auto" w:fill="F2F2F2" w:themeFill="background1" w:themeFillShade="F2"/>
            <w:noWrap/>
            <w:vAlign w:val="center"/>
            <w:hideMark/>
          </w:tcPr>
          <w:p w14:paraId="7A7B2CA7"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1.4001</w:t>
            </w:r>
          </w:p>
        </w:tc>
        <w:tc>
          <w:tcPr>
            <w:tcW w:w="662" w:type="dxa"/>
            <w:shd w:val="clear" w:color="auto" w:fill="F2F2F2" w:themeFill="background1" w:themeFillShade="F2"/>
            <w:noWrap/>
            <w:vAlign w:val="center"/>
            <w:hideMark/>
          </w:tcPr>
          <w:p w14:paraId="626CFBE6"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0.7194</w:t>
            </w:r>
          </w:p>
        </w:tc>
        <w:tc>
          <w:tcPr>
            <w:tcW w:w="662" w:type="dxa"/>
            <w:shd w:val="clear" w:color="auto" w:fill="F2F2F2" w:themeFill="background1" w:themeFillShade="F2"/>
            <w:noWrap/>
            <w:vAlign w:val="center"/>
            <w:hideMark/>
          </w:tcPr>
          <w:p w14:paraId="0A08A2DD"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0.7741</w:t>
            </w:r>
          </w:p>
        </w:tc>
        <w:tc>
          <w:tcPr>
            <w:tcW w:w="662" w:type="dxa"/>
            <w:shd w:val="clear" w:color="auto" w:fill="F2F2F2" w:themeFill="background1" w:themeFillShade="F2"/>
            <w:noWrap/>
            <w:vAlign w:val="center"/>
            <w:hideMark/>
          </w:tcPr>
          <w:p w14:paraId="085CB8E1"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1.0932</w:t>
            </w:r>
          </w:p>
        </w:tc>
        <w:tc>
          <w:tcPr>
            <w:tcW w:w="662" w:type="dxa"/>
            <w:shd w:val="clear" w:color="auto" w:fill="F2F2F2" w:themeFill="background1" w:themeFillShade="F2"/>
            <w:noWrap/>
            <w:vAlign w:val="center"/>
            <w:hideMark/>
          </w:tcPr>
          <w:p w14:paraId="682D32E1"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1.1979</w:t>
            </w:r>
          </w:p>
        </w:tc>
        <w:tc>
          <w:tcPr>
            <w:tcW w:w="952" w:type="dxa"/>
            <w:shd w:val="clear" w:color="auto" w:fill="F2F2F2" w:themeFill="background1" w:themeFillShade="F2"/>
            <w:noWrap/>
            <w:vAlign w:val="center"/>
            <w:hideMark/>
          </w:tcPr>
          <w:p w14:paraId="2905C2D9"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0.8334</w:t>
            </w:r>
          </w:p>
        </w:tc>
        <w:tc>
          <w:tcPr>
            <w:tcW w:w="868" w:type="dxa"/>
            <w:shd w:val="clear" w:color="auto" w:fill="F2F2F2" w:themeFill="background1" w:themeFillShade="F2"/>
            <w:noWrap/>
            <w:vAlign w:val="center"/>
            <w:hideMark/>
          </w:tcPr>
          <w:p w14:paraId="5D10C1E4"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0.9439</w:t>
            </w:r>
          </w:p>
        </w:tc>
        <w:tc>
          <w:tcPr>
            <w:tcW w:w="662" w:type="dxa"/>
            <w:shd w:val="clear" w:color="auto" w:fill="F2F2F2" w:themeFill="background1" w:themeFillShade="F2"/>
            <w:noWrap/>
            <w:vAlign w:val="center"/>
            <w:hideMark/>
          </w:tcPr>
          <w:p w14:paraId="66EB3778"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1.1031</w:t>
            </w:r>
          </w:p>
        </w:tc>
        <w:tc>
          <w:tcPr>
            <w:tcW w:w="688" w:type="dxa"/>
            <w:shd w:val="clear" w:color="auto" w:fill="F2F2F2" w:themeFill="background1" w:themeFillShade="F2"/>
            <w:noWrap/>
            <w:vAlign w:val="center"/>
            <w:hideMark/>
          </w:tcPr>
          <w:p w14:paraId="68BBE928"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0.9283</w:t>
            </w:r>
          </w:p>
        </w:tc>
        <w:tc>
          <w:tcPr>
            <w:tcW w:w="1000" w:type="dxa"/>
            <w:shd w:val="clear" w:color="auto" w:fill="F2F2F2" w:themeFill="background1" w:themeFillShade="F2"/>
            <w:noWrap/>
            <w:vAlign w:val="center"/>
            <w:hideMark/>
          </w:tcPr>
          <w:p w14:paraId="0BEC9952"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0.7500</w:t>
            </w:r>
          </w:p>
        </w:tc>
        <w:tc>
          <w:tcPr>
            <w:tcW w:w="890" w:type="dxa"/>
            <w:shd w:val="clear" w:color="auto" w:fill="F2F2F2" w:themeFill="background1" w:themeFillShade="F2"/>
            <w:noWrap/>
            <w:vAlign w:val="center"/>
            <w:hideMark/>
          </w:tcPr>
          <w:p w14:paraId="0EC2A6F3"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1.7257</w:t>
            </w:r>
          </w:p>
        </w:tc>
        <w:tc>
          <w:tcPr>
            <w:tcW w:w="810" w:type="dxa"/>
            <w:shd w:val="clear" w:color="auto" w:fill="F2F2F2" w:themeFill="background1" w:themeFillShade="F2"/>
            <w:noWrap/>
            <w:vAlign w:val="center"/>
            <w:hideMark/>
          </w:tcPr>
          <w:p w14:paraId="5C8B68AE"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1.4910</w:t>
            </w:r>
          </w:p>
        </w:tc>
        <w:tc>
          <w:tcPr>
            <w:tcW w:w="662" w:type="dxa"/>
            <w:shd w:val="clear" w:color="auto" w:fill="F2F2F2" w:themeFill="background1" w:themeFillShade="F2"/>
            <w:noWrap/>
            <w:vAlign w:val="center"/>
            <w:hideMark/>
          </w:tcPr>
          <w:p w14:paraId="6B3BC216"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1.7097</w:t>
            </w:r>
          </w:p>
        </w:tc>
        <w:tc>
          <w:tcPr>
            <w:tcW w:w="737" w:type="dxa"/>
            <w:shd w:val="clear" w:color="auto" w:fill="F2F2F2" w:themeFill="background1" w:themeFillShade="F2"/>
            <w:noWrap/>
            <w:vAlign w:val="center"/>
            <w:hideMark/>
          </w:tcPr>
          <w:p w14:paraId="6E91AEE4"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1.4943</w:t>
            </w:r>
          </w:p>
        </w:tc>
        <w:tc>
          <w:tcPr>
            <w:tcW w:w="662" w:type="dxa"/>
            <w:shd w:val="clear" w:color="auto" w:fill="F2F2F2" w:themeFill="background1" w:themeFillShade="F2"/>
            <w:noWrap/>
            <w:vAlign w:val="center"/>
            <w:hideMark/>
          </w:tcPr>
          <w:p w14:paraId="65EF460E"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1.4492</w:t>
            </w:r>
          </w:p>
        </w:tc>
        <w:tc>
          <w:tcPr>
            <w:tcW w:w="662" w:type="dxa"/>
            <w:shd w:val="clear" w:color="auto" w:fill="F2F2F2" w:themeFill="background1" w:themeFillShade="F2"/>
            <w:noWrap/>
            <w:vAlign w:val="center"/>
            <w:hideMark/>
          </w:tcPr>
          <w:p w14:paraId="275F7036"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1.5555</w:t>
            </w:r>
          </w:p>
        </w:tc>
        <w:tc>
          <w:tcPr>
            <w:tcW w:w="990" w:type="dxa"/>
            <w:shd w:val="clear" w:color="auto" w:fill="F2F2F2" w:themeFill="background1" w:themeFillShade="F2"/>
            <w:noWrap/>
            <w:vAlign w:val="center"/>
            <w:hideMark/>
          </w:tcPr>
          <w:p w14:paraId="13609B64"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1.3731</w:t>
            </w:r>
          </w:p>
        </w:tc>
        <w:tc>
          <w:tcPr>
            <w:tcW w:w="662" w:type="dxa"/>
            <w:shd w:val="clear" w:color="auto" w:fill="F2F2F2" w:themeFill="background1" w:themeFillShade="F2"/>
            <w:noWrap/>
            <w:vAlign w:val="center"/>
            <w:hideMark/>
          </w:tcPr>
          <w:p w14:paraId="7C3601A6"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1.1536</w:t>
            </w:r>
          </w:p>
        </w:tc>
        <w:tc>
          <w:tcPr>
            <w:tcW w:w="662" w:type="dxa"/>
            <w:shd w:val="clear" w:color="auto" w:fill="F2F2F2" w:themeFill="background1" w:themeFillShade="F2"/>
            <w:noWrap/>
            <w:vAlign w:val="center"/>
            <w:hideMark/>
          </w:tcPr>
          <w:p w14:paraId="3EEA3198"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1.5260</w:t>
            </w:r>
          </w:p>
        </w:tc>
        <w:tc>
          <w:tcPr>
            <w:tcW w:w="755" w:type="dxa"/>
            <w:shd w:val="clear" w:color="auto" w:fill="F2F2F2" w:themeFill="background1" w:themeFillShade="F2"/>
            <w:noWrap/>
            <w:vAlign w:val="center"/>
            <w:hideMark/>
          </w:tcPr>
          <w:p w14:paraId="397D6A76"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1.9929</w:t>
            </w:r>
          </w:p>
        </w:tc>
        <w:tc>
          <w:tcPr>
            <w:tcW w:w="1042" w:type="dxa"/>
            <w:shd w:val="clear" w:color="auto" w:fill="F2F2F2" w:themeFill="background1" w:themeFillShade="F2"/>
            <w:noWrap/>
            <w:vAlign w:val="center"/>
            <w:hideMark/>
          </w:tcPr>
          <w:p w14:paraId="1B6A0D55"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1.0077</w:t>
            </w:r>
          </w:p>
        </w:tc>
      </w:tr>
      <w:tr w:rsidR="00AF1A0D" w:rsidRPr="00A77490" w14:paraId="0EF7764E" w14:textId="77777777">
        <w:trPr>
          <w:trHeight w:val="520"/>
        </w:trPr>
        <w:tc>
          <w:tcPr>
            <w:tcW w:w="720" w:type="dxa"/>
            <w:shd w:val="clear" w:color="auto" w:fill="auto"/>
            <w:noWrap/>
            <w:hideMark/>
          </w:tcPr>
          <w:p w14:paraId="3FAA1029" w14:textId="77777777" w:rsidR="00AF1A0D" w:rsidRPr="00A77490" w:rsidRDefault="00AF1A0D">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EOHHS</w:t>
            </w:r>
          </w:p>
        </w:tc>
        <w:tc>
          <w:tcPr>
            <w:tcW w:w="2700" w:type="dxa"/>
            <w:shd w:val="clear" w:color="000000" w:fill="FFFFFF"/>
            <w:hideMark/>
          </w:tcPr>
          <w:p w14:paraId="7A3AD03B" w14:textId="77777777" w:rsidR="00AF1A0D" w:rsidRPr="00A77490" w:rsidRDefault="00AF1A0D">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Community Tenure - LTSS (non-BSP) Risk adjusted O/E ratio</w:t>
            </w:r>
          </w:p>
        </w:tc>
        <w:tc>
          <w:tcPr>
            <w:tcW w:w="810" w:type="dxa"/>
            <w:shd w:val="clear" w:color="auto" w:fill="auto"/>
            <w:noWrap/>
            <w:vAlign w:val="center"/>
            <w:hideMark/>
          </w:tcPr>
          <w:p w14:paraId="3D535162"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1.9144</w:t>
            </w:r>
          </w:p>
        </w:tc>
        <w:tc>
          <w:tcPr>
            <w:tcW w:w="662" w:type="dxa"/>
            <w:shd w:val="clear" w:color="auto" w:fill="auto"/>
            <w:noWrap/>
            <w:vAlign w:val="center"/>
            <w:hideMark/>
          </w:tcPr>
          <w:p w14:paraId="4065F072"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1.3621</w:t>
            </w:r>
          </w:p>
        </w:tc>
        <w:tc>
          <w:tcPr>
            <w:tcW w:w="662" w:type="dxa"/>
            <w:shd w:val="clear" w:color="auto" w:fill="auto"/>
            <w:noWrap/>
            <w:vAlign w:val="center"/>
            <w:hideMark/>
          </w:tcPr>
          <w:p w14:paraId="21C62912"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1.1632</w:t>
            </w:r>
          </w:p>
        </w:tc>
        <w:tc>
          <w:tcPr>
            <w:tcW w:w="662" w:type="dxa"/>
            <w:shd w:val="clear" w:color="auto" w:fill="auto"/>
            <w:noWrap/>
            <w:vAlign w:val="center"/>
            <w:hideMark/>
          </w:tcPr>
          <w:p w14:paraId="4A226158"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1.0303</w:t>
            </w:r>
          </w:p>
        </w:tc>
        <w:tc>
          <w:tcPr>
            <w:tcW w:w="662" w:type="dxa"/>
            <w:shd w:val="clear" w:color="auto" w:fill="auto"/>
            <w:noWrap/>
            <w:vAlign w:val="center"/>
            <w:hideMark/>
          </w:tcPr>
          <w:p w14:paraId="23FD4397"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1.3599</w:t>
            </w:r>
          </w:p>
        </w:tc>
        <w:tc>
          <w:tcPr>
            <w:tcW w:w="952" w:type="dxa"/>
            <w:shd w:val="clear" w:color="auto" w:fill="auto"/>
            <w:noWrap/>
            <w:vAlign w:val="center"/>
            <w:hideMark/>
          </w:tcPr>
          <w:p w14:paraId="4616AA6F"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2.1370</w:t>
            </w:r>
          </w:p>
        </w:tc>
        <w:tc>
          <w:tcPr>
            <w:tcW w:w="868" w:type="dxa"/>
            <w:shd w:val="clear" w:color="auto" w:fill="auto"/>
            <w:noWrap/>
            <w:vAlign w:val="center"/>
            <w:hideMark/>
          </w:tcPr>
          <w:p w14:paraId="6E952F1A"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1.5113</w:t>
            </w:r>
          </w:p>
        </w:tc>
        <w:tc>
          <w:tcPr>
            <w:tcW w:w="662" w:type="dxa"/>
            <w:shd w:val="clear" w:color="auto" w:fill="auto"/>
            <w:noWrap/>
            <w:vAlign w:val="center"/>
            <w:hideMark/>
          </w:tcPr>
          <w:p w14:paraId="6C3CDCEC"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2.2548</w:t>
            </w:r>
          </w:p>
        </w:tc>
        <w:tc>
          <w:tcPr>
            <w:tcW w:w="688" w:type="dxa"/>
            <w:shd w:val="clear" w:color="auto" w:fill="auto"/>
            <w:noWrap/>
            <w:vAlign w:val="center"/>
            <w:hideMark/>
          </w:tcPr>
          <w:p w14:paraId="75F439E6"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2.0592</w:t>
            </w:r>
          </w:p>
        </w:tc>
        <w:tc>
          <w:tcPr>
            <w:tcW w:w="1000" w:type="dxa"/>
            <w:shd w:val="clear" w:color="auto" w:fill="auto"/>
            <w:noWrap/>
            <w:vAlign w:val="center"/>
            <w:hideMark/>
          </w:tcPr>
          <w:p w14:paraId="355E299C"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1.3107</w:t>
            </w:r>
          </w:p>
        </w:tc>
        <w:tc>
          <w:tcPr>
            <w:tcW w:w="890" w:type="dxa"/>
            <w:shd w:val="clear" w:color="auto" w:fill="auto"/>
            <w:noWrap/>
            <w:vAlign w:val="center"/>
            <w:hideMark/>
          </w:tcPr>
          <w:p w14:paraId="786F25A7"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2.3243</w:t>
            </w:r>
          </w:p>
        </w:tc>
        <w:tc>
          <w:tcPr>
            <w:tcW w:w="810" w:type="dxa"/>
            <w:shd w:val="clear" w:color="auto" w:fill="auto"/>
            <w:noWrap/>
            <w:vAlign w:val="center"/>
            <w:hideMark/>
          </w:tcPr>
          <w:p w14:paraId="5B046BA8"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1.4286</w:t>
            </w:r>
          </w:p>
        </w:tc>
        <w:tc>
          <w:tcPr>
            <w:tcW w:w="662" w:type="dxa"/>
            <w:shd w:val="clear" w:color="auto" w:fill="auto"/>
            <w:noWrap/>
            <w:vAlign w:val="center"/>
            <w:hideMark/>
          </w:tcPr>
          <w:p w14:paraId="53A2ECC3"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3.2018</w:t>
            </w:r>
          </w:p>
        </w:tc>
        <w:tc>
          <w:tcPr>
            <w:tcW w:w="737" w:type="dxa"/>
            <w:shd w:val="clear" w:color="auto" w:fill="auto"/>
            <w:noWrap/>
            <w:vAlign w:val="center"/>
            <w:hideMark/>
          </w:tcPr>
          <w:p w14:paraId="2C61E1C9"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1.8086</w:t>
            </w:r>
          </w:p>
        </w:tc>
        <w:tc>
          <w:tcPr>
            <w:tcW w:w="662" w:type="dxa"/>
            <w:shd w:val="clear" w:color="auto" w:fill="auto"/>
            <w:noWrap/>
            <w:vAlign w:val="center"/>
            <w:hideMark/>
          </w:tcPr>
          <w:p w14:paraId="421FB9E8"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1.8586</w:t>
            </w:r>
          </w:p>
        </w:tc>
        <w:tc>
          <w:tcPr>
            <w:tcW w:w="662" w:type="dxa"/>
            <w:shd w:val="clear" w:color="auto" w:fill="auto"/>
            <w:noWrap/>
            <w:vAlign w:val="center"/>
            <w:hideMark/>
          </w:tcPr>
          <w:p w14:paraId="562BC39C"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2.0781</w:t>
            </w:r>
          </w:p>
        </w:tc>
        <w:tc>
          <w:tcPr>
            <w:tcW w:w="990" w:type="dxa"/>
            <w:shd w:val="clear" w:color="auto" w:fill="auto"/>
            <w:noWrap/>
            <w:vAlign w:val="center"/>
            <w:hideMark/>
          </w:tcPr>
          <w:p w14:paraId="67FC18B4"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2.1844</w:t>
            </w:r>
          </w:p>
        </w:tc>
        <w:tc>
          <w:tcPr>
            <w:tcW w:w="662" w:type="dxa"/>
            <w:shd w:val="clear" w:color="auto" w:fill="auto"/>
            <w:noWrap/>
            <w:vAlign w:val="center"/>
            <w:hideMark/>
          </w:tcPr>
          <w:p w14:paraId="4D4C93D9"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2.0115</w:t>
            </w:r>
          </w:p>
        </w:tc>
        <w:tc>
          <w:tcPr>
            <w:tcW w:w="662" w:type="dxa"/>
            <w:shd w:val="clear" w:color="auto" w:fill="auto"/>
            <w:noWrap/>
            <w:vAlign w:val="center"/>
            <w:hideMark/>
          </w:tcPr>
          <w:p w14:paraId="0DD0B93D"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1.9440</w:t>
            </w:r>
          </w:p>
        </w:tc>
        <w:tc>
          <w:tcPr>
            <w:tcW w:w="755" w:type="dxa"/>
            <w:shd w:val="clear" w:color="auto" w:fill="auto"/>
            <w:noWrap/>
            <w:vAlign w:val="center"/>
            <w:hideMark/>
          </w:tcPr>
          <w:p w14:paraId="1B5EFEA0"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2.1147</w:t>
            </w:r>
          </w:p>
        </w:tc>
        <w:tc>
          <w:tcPr>
            <w:tcW w:w="1042" w:type="dxa"/>
            <w:shd w:val="clear" w:color="auto" w:fill="auto"/>
            <w:noWrap/>
            <w:vAlign w:val="center"/>
            <w:hideMark/>
          </w:tcPr>
          <w:p w14:paraId="265B1313"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1.7023</w:t>
            </w:r>
          </w:p>
        </w:tc>
      </w:tr>
      <w:tr w:rsidR="00AF1A0D" w:rsidRPr="00A77490" w14:paraId="1408669F" w14:textId="77777777">
        <w:trPr>
          <w:trHeight w:val="520"/>
        </w:trPr>
        <w:tc>
          <w:tcPr>
            <w:tcW w:w="720" w:type="dxa"/>
            <w:shd w:val="clear" w:color="auto" w:fill="F2F2F2" w:themeFill="background1" w:themeFillShade="F2"/>
            <w:noWrap/>
            <w:hideMark/>
          </w:tcPr>
          <w:p w14:paraId="46823CDE" w14:textId="77777777" w:rsidR="00AF1A0D" w:rsidRPr="00A77490" w:rsidRDefault="00AF1A0D">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EOHHS</w:t>
            </w:r>
          </w:p>
        </w:tc>
        <w:tc>
          <w:tcPr>
            <w:tcW w:w="2700" w:type="dxa"/>
            <w:shd w:val="clear" w:color="auto" w:fill="F2F2F2" w:themeFill="background1" w:themeFillShade="F2"/>
            <w:hideMark/>
          </w:tcPr>
          <w:p w14:paraId="0D65E2C6" w14:textId="77777777" w:rsidR="00AF1A0D" w:rsidRPr="00A77490" w:rsidRDefault="00AF1A0D">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Behavioral Health Community Partner Engagement </w:t>
            </w:r>
          </w:p>
        </w:tc>
        <w:tc>
          <w:tcPr>
            <w:tcW w:w="810" w:type="dxa"/>
            <w:shd w:val="clear" w:color="auto" w:fill="F2F2F2" w:themeFill="background1" w:themeFillShade="F2"/>
            <w:noWrap/>
            <w:vAlign w:val="center"/>
            <w:hideMark/>
          </w:tcPr>
          <w:p w14:paraId="18B97C68"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10.5%</w:t>
            </w:r>
          </w:p>
        </w:tc>
        <w:tc>
          <w:tcPr>
            <w:tcW w:w="662" w:type="dxa"/>
            <w:shd w:val="clear" w:color="auto" w:fill="F2F2F2" w:themeFill="background1" w:themeFillShade="F2"/>
            <w:noWrap/>
            <w:vAlign w:val="center"/>
            <w:hideMark/>
          </w:tcPr>
          <w:p w14:paraId="1EE65748"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10.3%</w:t>
            </w:r>
          </w:p>
        </w:tc>
        <w:tc>
          <w:tcPr>
            <w:tcW w:w="662" w:type="dxa"/>
            <w:shd w:val="clear" w:color="auto" w:fill="F2F2F2" w:themeFill="background1" w:themeFillShade="F2"/>
            <w:noWrap/>
            <w:vAlign w:val="center"/>
            <w:hideMark/>
          </w:tcPr>
          <w:p w14:paraId="05AF3329"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17.0%</w:t>
            </w:r>
          </w:p>
        </w:tc>
        <w:tc>
          <w:tcPr>
            <w:tcW w:w="662" w:type="dxa"/>
            <w:shd w:val="clear" w:color="auto" w:fill="F2F2F2" w:themeFill="background1" w:themeFillShade="F2"/>
            <w:noWrap/>
            <w:vAlign w:val="center"/>
            <w:hideMark/>
          </w:tcPr>
          <w:p w14:paraId="2D4A62BE"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12.7%</w:t>
            </w:r>
          </w:p>
        </w:tc>
        <w:tc>
          <w:tcPr>
            <w:tcW w:w="662" w:type="dxa"/>
            <w:shd w:val="clear" w:color="auto" w:fill="F2F2F2" w:themeFill="background1" w:themeFillShade="F2"/>
            <w:noWrap/>
            <w:vAlign w:val="center"/>
            <w:hideMark/>
          </w:tcPr>
          <w:p w14:paraId="19BAEB5E"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12.4%</w:t>
            </w:r>
          </w:p>
        </w:tc>
        <w:tc>
          <w:tcPr>
            <w:tcW w:w="952" w:type="dxa"/>
            <w:shd w:val="clear" w:color="auto" w:fill="F2F2F2" w:themeFill="background1" w:themeFillShade="F2"/>
            <w:noWrap/>
            <w:vAlign w:val="center"/>
            <w:hideMark/>
          </w:tcPr>
          <w:p w14:paraId="32E42E8B"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17.6%</w:t>
            </w:r>
          </w:p>
        </w:tc>
        <w:tc>
          <w:tcPr>
            <w:tcW w:w="868" w:type="dxa"/>
            <w:shd w:val="clear" w:color="auto" w:fill="F2F2F2" w:themeFill="background1" w:themeFillShade="F2"/>
            <w:noWrap/>
            <w:vAlign w:val="center"/>
            <w:hideMark/>
          </w:tcPr>
          <w:p w14:paraId="76DA6994"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16.2%</w:t>
            </w:r>
          </w:p>
        </w:tc>
        <w:tc>
          <w:tcPr>
            <w:tcW w:w="662" w:type="dxa"/>
            <w:shd w:val="clear" w:color="auto" w:fill="F2F2F2" w:themeFill="background1" w:themeFillShade="F2"/>
            <w:noWrap/>
            <w:vAlign w:val="center"/>
            <w:hideMark/>
          </w:tcPr>
          <w:p w14:paraId="34113FDD"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10.8%</w:t>
            </w:r>
          </w:p>
        </w:tc>
        <w:tc>
          <w:tcPr>
            <w:tcW w:w="688" w:type="dxa"/>
            <w:shd w:val="clear" w:color="auto" w:fill="F2F2F2" w:themeFill="background1" w:themeFillShade="F2"/>
            <w:noWrap/>
            <w:vAlign w:val="center"/>
            <w:hideMark/>
          </w:tcPr>
          <w:p w14:paraId="14CBC6BF"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7.5%</w:t>
            </w:r>
          </w:p>
        </w:tc>
        <w:tc>
          <w:tcPr>
            <w:tcW w:w="1000" w:type="dxa"/>
            <w:shd w:val="clear" w:color="auto" w:fill="F2F2F2" w:themeFill="background1" w:themeFillShade="F2"/>
            <w:noWrap/>
            <w:vAlign w:val="center"/>
            <w:hideMark/>
          </w:tcPr>
          <w:p w14:paraId="68944F79"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NA</w:t>
            </w:r>
          </w:p>
        </w:tc>
        <w:tc>
          <w:tcPr>
            <w:tcW w:w="890" w:type="dxa"/>
            <w:shd w:val="clear" w:color="auto" w:fill="F2F2F2" w:themeFill="background1" w:themeFillShade="F2"/>
            <w:noWrap/>
            <w:vAlign w:val="center"/>
            <w:hideMark/>
          </w:tcPr>
          <w:p w14:paraId="1CB9B6BE"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11.4%</w:t>
            </w:r>
          </w:p>
        </w:tc>
        <w:tc>
          <w:tcPr>
            <w:tcW w:w="810" w:type="dxa"/>
            <w:shd w:val="clear" w:color="auto" w:fill="F2F2F2" w:themeFill="background1" w:themeFillShade="F2"/>
            <w:noWrap/>
            <w:vAlign w:val="center"/>
            <w:hideMark/>
          </w:tcPr>
          <w:p w14:paraId="1BA44C13"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10.6%</w:t>
            </w:r>
          </w:p>
        </w:tc>
        <w:tc>
          <w:tcPr>
            <w:tcW w:w="662" w:type="dxa"/>
            <w:shd w:val="clear" w:color="auto" w:fill="F2F2F2" w:themeFill="background1" w:themeFillShade="F2"/>
            <w:noWrap/>
            <w:vAlign w:val="center"/>
            <w:hideMark/>
          </w:tcPr>
          <w:p w14:paraId="09073F76"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12.9%</w:t>
            </w:r>
          </w:p>
        </w:tc>
        <w:tc>
          <w:tcPr>
            <w:tcW w:w="737" w:type="dxa"/>
            <w:shd w:val="clear" w:color="auto" w:fill="F2F2F2" w:themeFill="background1" w:themeFillShade="F2"/>
            <w:noWrap/>
            <w:vAlign w:val="center"/>
            <w:hideMark/>
          </w:tcPr>
          <w:p w14:paraId="761A3B13"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10.0%</w:t>
            </w:r>
          </w:p>
        </w:tc>
        <w:tc>
          <w:tcPr>
            <w:tcW w:w="662" w:type="dxa"/>
            <w:shd w:val="clear" w:color="auto" w:fill="F2F2F2" w:themeFill="background1" w:themeFillShade="F2"/>
            <w:noWrap/>
            <w:vAlign w:val="center"/>
            <w:hideMark/>
          </w:tcPr>
          <w:p w14:paraId="6759445B"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8.3%</w:t>
            </w:r>
          </w:p>
        </w:tc>
        <w:tc>
          <w:tcPr>
            <w:tcW w:w="662" w:type="dxa"/>
            <w:shd w:val="clear" w:color="auto" w:fill="F2F2F2" w:themeFill="background1" w:themeFillShade="F2"/>
            <w:noWrap/>
            <w:vAlign w:val="center"/>
            <w:hideMark/>
          </w:tcPr>
          <w:p w14:paraId="66A04C05"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7.9%</w:t>
            </w:r>
          </w:p>
        </w:tc>
        <w:tc>
          <w:tcPr>
            <w:tcW w:w="990" w:type="dxa"/>
            <w:shd w:val="clear" w:color="auto" w:fill="F2F2F2" w:themeFill="background1" w:themeFillShade="F2"/>
            <w:noWrap/>
            <w:vAlign w:val="center"/>
            <w:hideMark/>
          </w:tcPr>
          <w:p w14:paraId="2E914A69"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10.2%</w:t>
            </w:r>
          </w:p>
        </w:tc>
        <w:tc>
          <w:tcPr>
            <w:tcW w:w="662" w:type="dxa"/>
            <w:shd w:val="clear" w:color="auto" w:fill="F2F2F2" w:themeFill="background1" w:themeFillShade="F2"/>
            <w:noWrap/>
            <w:vAlign w:val="center"/>
            <w:hideMark/>
          </w:tcPr>
          <w:p w14:paraId="16E07BE2"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9.1%</w:t>
            </w:r>
          </w:p>
        </w:tc>
        <w:tc>
          <w:tcPr>
            <w:tcW w:w="662" w:type="dxa"/>
            <w:shd w:val="clear" w:color="auto" w:fill="F2F2F2" w:themeFill="background1" w:themeFillShade="F2"/>
            <w:noWrap/>
            <w:vAlign w:val="center"/>
            <w:hideMark/>
          </w:tcPr>
          <w:p w14:paraId="3CFD497F"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4.1%</w:t>
            </w:r>
          </w:p>
        </w:tc>
        <w:tc>
          <w:tcPr>
            <w:tcW w:w="755" w:type="dxa"/>
            <w:shd w:val="clear" w:color="auto" w:fill="F2F2F2" w:themeFill="background1" w:themeFillShade="F2"/>
            <w:noWrap/>
            <w:vAlign w:val="center"/>
            <w:hideMark/>
          </w:tcPr>
          <w:p w14:paraId="5BF9500C"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3.4%</w:t>
            </w:r>
          </w:p>
        </w:tc>
        <w:tc>
          <w:tcPr>
            <w:tcW w:w="1042" w:type="dxa"/>
            <w:shd w:val="clear" w:color="auto" w:fill="F2F2F2" w:themeFill="background1" w:themeFillShade="F2"/>
            <w:noWrap/>
            <w:vAlign w:val="center"/>
            <w:hideMark/>
          </w:tcPr>
          <w:p w14:paraId="0680BE12" w14:textId="77777777" w:rsidR="00AF1A0D" w:rsidRPr="00770E94" w:rsidRDefault="00AF1A0D">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4.7%</w:t>
            </w:r>
          </w:p>
        </w:tc>
      </w:tr>
      <w:tr w:rsidR="00AF1A0D" w:rsidRPr="00A77490" w14:paraId="2FA7BF72" w14:textId="77777777">
        <w:trPr>
          <w:trHeight w:val="520"/>
        </w:trPr>
        <w:tc>
          <w:tcPr>
            <w:tcW w:w="720" w:type="dxa"/>
            <w:shd w:val="clear" w:color="auto" w:fill="auto"/>
            <w:noWrap/>
          </w:tcPr>
          <w:p w14:paraId="2155B070" w14:textId="77777777" w:rsidR="00AF1A0D" w:rsidRPr="00A77490" w:rsidRDefault="00AF1A0D">
            <w:pPr>
              <w:spacing w:after="0"/>
              <w:jc w:val="center"/>
              <w:rPr>
                <w:rFonts w:asciiTheme="minorHAnsi" w:eastAsia="Times New Roman" w:hAnsiTheme="minorHAnsi" w:cstheme="minorHAnsi"/>
                <w:color w:val="000000"/>
                <w:sz w:val="16"/>
                <w:szCs w:val="16"/>
              </w:rPr>
            </w:pPr>
            <w:r w:rsidRPr="00597EE2">
              <w:rPr>
                <w:rFonts w:cs="Calibri"/>
                <w:color w:val="000000"/>
                <w:sz w:val="16"/>
                <w:szCs w:val="16"/>
              </w:rPr>
              <w:t>EOHH</w:t>
            </w:r>
            <w:r>
              <w:rPr>
                <w:rFonts w:cs="Calibri"/>
                <w:color w:val="000000"/>
                <w:sz w:val="16"/>
                <w:szCs w:val="16"/>
              </w:rPr>
              <w:t>S</w:t>
            </w:r>
          </w:p>
        </w:tc>
        <w:tc>
          <w:tcPr>
            <w:tcW w:w="2700" w:type="dxa"/>
            <w:shd w:val="clear" w:color="auto" w:fill="auto"/>
          </w:tcPr>
          <w:p w14:paraId="6F5E87E2" w14:textId="77777777" w:rsidR="00AF1A0D" w:rsidRPr="00A77490" w:rsidRDefault="00AF1A0D">
            <w:pPr>
              <w:spacing w:after="0"/>
              <w:rPr>
                <w:rFonts w:asciiTheme="minorHAnsi" w:eastAsia="Times New Roman" w:hAnsiTheme="minorHAnsi" w:cstheme="minorHAnsi"/>
                <w:sz w:val="16"/>
                <w:szCs w:val="16"/>
              </w:rPr>
            </w:pPr>
            <w:r w:rsidRPr="00597EE2">
              <w:rPr>
                <w:rFonts w:cs="Calibri"/>
                <w:color w:val="000000"/>
                <w:sz w:val="16"/>
                <w:szCs w:val="16"/>
              </w:rPr>
              <w:t>Adult: Overall Rating and Care Delivery: Willingness to recommend</w:t>
            </w:r>
          </w:p>
        </w:tc>
        <w:tc>
          <w:tcPr>
            <w:tcW w:w="810" w:type="dxa"/>
            <w:shd w:val="clear" w:color="auto" w:fill="auto"/>
            <w:noWrap/>
            <w:vAlign w:val="center"/>
          </w:tcPr>
          <w:p w14:paraId="188FE915"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85.2%</w:t>
            </w:r>
          </w:p>
        </w:tc>
        <w:tc>
          <w:tcPr>
            <w:tcW w:w="662" w:type="dxa"/>
            <w:shd w:val="clear" w:color="auto" w:fill="auto"/>
            <w:noWrap/>
            <w:vAlign w:val="center"/>
          </w:tcPr>
          <w:p w14:paraId="63ED8765"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85.2%</w:t>
            </w:r>
          </w:p>
        </w:tc>
        <w:tc>
          <w:tcPr>
            <w:tcW w:w="662" w:type="dxa"/>
            <w:shd w:val="clear" w:color="auto" w:fill="auto"/>
            <w:noWrap/>
            <w:vAlign w:val="center"/>
          </w:tcPr>
          <w:p w14:paraId="2A701372"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87.5%</w:t>
            </w:r>
          </w:p>
        </w:tc>
        <w:tc>
          <w:tcPr>
            <w:tcW w:w="662" w:type="dxa"/>
            <w:shd w:val="clear" w:color="auto" w:fill="auto"/>
            <w:noWrap/>
            <w:vAlign w:val="center"/>
          </w:tcPr>
          <w:p w14:paraId="28A6C984"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85.3%</w:t>
            </w:r>
          </w:p>
        </w:tc>
        <w:tc>
          <w:tcPr>
            <w:tcW w:w="662" w:type="dxa"/>
            <w:shd w:val="clear" w:color="auto" w:fill="auto"/>
            <w:noWrap/>
            <w:vAlign w:val="center"/>
          </w:tcPr>
          <w:p w14:paraId="218DA346"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81.2%</w:t>
            </w:r>
          </w:p>
        </w:tc>
        <w:tc>
          <w:tcPr>
            <w:tcW w:w="952" w:type="dxa"/>
            <w:shd w:val="clear" w:color="auto" w:fill="auto"/>
            <w:noWrap/>
            <w:vAlign w:val="center"/>
          </w:tcPr>
          <w:p w14:paraId="51BD717F"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85.0%</w:t>
            </w:r>
          </w:p>
        </w:tc>
        <w:tc>
          <w:tcPr>
            <w:tcW w:w="868" w:type="dxa"/>
            <w:shd w:val="clear" w:color="auto" w:fill="auto"/>
            <w:noWrap/>
            <w:vAlign w:val="center"/>
          </w:tcPr>
          <w:p w14:paraId="6BB7F066"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87.6%</w:t>
            </w:r>
          </w:p>
        </w:tc>
        <w:tc>
          <w:tcPr>
            <w:tcW w:w="662" w:type="dxa"/>
            <w:shd w:val="clear" w:color="auto" w:fill="auto"/>
            <w:noWrap/>
            <w:vAlign w:val="center"/>
          </w:tcPr>
          <w:p w14:paraId="0A8E5C0A"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83.7%</w:t>
            </w:r>
          </w:p>
        </w:tc>
        <w:tc>
          <w:tcPr>
            <w:tcW w:w="688" w:type="dxa"/>
            <w:shd w:val="clear" w:color="auto" w:fill="auto"/>
            <w:noWrap/>
            <w:vAlign w:val="center"/>
          </w:tcPr>
          <w:p w14:paraId="126D9D2A"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83.8%</w:t>
            </w:r>
          </w:p>
        </w:tc>
        <w:tc>
          <w:tcPr>
            <w:tcW w:w="1000" w:type="dxa"/>
            <w:shd w:val="clear" w:color="auto" w:fill="auto"/>
            <w:noWrap/>
            <w:vAlign w:val="center"/>
          </w:tcPr>
          <w:p w14:paraId="12330A36"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91.5%</w:t>
            </w:r>
          </w:p>
        </w:tc>
        <w:tc>
          <w:tcPr>
            <w:tcW w:w="890" w:type="dxa"/>
            <w:shd w:val="clear" w:color="auto" w:fill="auto"/>
            <w:noWrap/>
            <w:vAlign w:val="center"/>
          </w:tcPr>
          <w:p w14:paraId="4B1B64B3"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83.0%</w:t>
            </w:r>
          </w:p>
        </w:tc>
        <w:tc>
          <w:tcPr>
            <w:tcW w:w="810" w:type="dxa"/>
            <w:shd w:val="clear" w:color="auto" w:fill="auto"/>
            <w:noWrap/>
            <w:vAlign w:val="center"/>
          </w:tcPr>
          <w:p w14:paraId="74F311DF"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82.1%</w:t>
            </w:r>
          </w:p>
        </w:tc>
        <w:tc>
          <w:tcPr>
            <w:tcW w:w="662" w:type="dxa"/>
            <w:shd w:val="clear" w:color="auto" w:fill="auto"/>
            <w:noWrap/>
            <w:vAlign w:val="center"/>
          </w:tcPr>
          <w:p w14:paraId="2C0198F7"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82.8%</w:t>
            </w:r>
          </w:p>
        </w:tc>
        <w:tc>
          <w:tcPr>
            <w:tcW w:w="737" w:type="dxa"/>
            <w:shd w:val="clear" w:color="auto" w:fill="auto"/>
            <w:noWrap/>
            <w:vAlign w:val="center"/>
          </w:tcPr>
          <w:p w14:paraId="5456066F"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88.7%</w:t>
            </w:r>
          </w:p>
        </w:tc>
        <w:tc>
          <w:tcPr>
            <w:tcW w:w="662" w:type="dxa"/>
            <w:shd w:val="clear" w:color="auto" w:fill="auto"/>
            <w:noWrap/>
            <w:vAlign w:val="center"/>
          </w:tcPr>
          <w:p w14:paraId="0341ADD7"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82.3%</w:t>
            </w:r>
          </w:p>
        </w:tc>
        <w:tc>
          <w:tcPr>
            <w:tcW w:w="662" w:type="dxa"/>
            <w:shd w:val="clear" w:color="auto" w:fill="auto"/>
            <w:noWrap/>
            <w:vAlign w:val="center"/>
          </w:tcPr>
          <w:p w14:paraId="09B6B899"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86.8%</w:t>
            </w:r>
          </w:p>
        </w:tc>
        <w:tc>
          <w:tcPr>
            <w:tcW w:w="990" w:type="dxa"/>
            <w:shd w:val="clear" w:color="auto" w:fill="auto"/>
            <w:noWrap/>
            <w:vAlign w:val="center"/>
          </w:tcPr>
          <w:p w14:paraId="41D46E7F"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86.1%</w:t>
            </w:r>
          </w:p>
        </w:tc>
        <w:tc>
          <w:tcPr>
            <w:tcW w:w="662" w:type="dxa"/>
            <w:shd w:val="clear" w:color="auto" w:fill="auto"/>
            <w:noWrap/>
            <w:vAlign w:val="center"/>
          </w:tcPr>
          <w:p w14:paraId="0D9FCF5A"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87.8%</w:t>
            </w:r>
          </w:p>
        </w:tc>
        <w:tc>
          <w:tcPr>
            <w:tcW w:w="662" w:type="dxa"/>
            <w:shd w:val="clear" w:color="auto" w:fill="A6A6A6" w:themeFill="background1" w:themeFillShade="A6"/>
            <w:noWrap/>
            <w:vAlign w:val="center"/>
          </w:tcPr>
          <w:p w14:paraId="46E2765A" w14:textId="2F7671D3" w:rsidR="00AF1A0D" w:rsidRPr="00CE16A0" w:rsidRDefault="00D31883">
            <w:pPr>
              <w:spacing w:after="0"/>
              <w:jc w:val="center"/>
              <w:rPr>
                <w:rFonts w:asciiTheme="minorHAnsi" w:eastAsia="Times New Roman" w:hAnsiTheme="minorHAnsi" w:cstheme="minorHAnsi"/>
                <w:color w:val="000000"/>
                <w:sz w:val="16"/>
                <w:szCs w:val="16"/>
              </w:rPr>
            </w:pPr>
            <w:r>
              <w:rPr>
                <w:color w:val="000000"/>
              </w:rPr>
              <w:t>-</w:t>
            </w:r>
            <w:r w:rsidR="00AF1A0D">
              <w:rPr>
                <w:color w:val="000000"/>
              </w:rPr>
              <w:t> </w:t>
            </w:r>
          </w:p>
        </w:tc>
        <w:tc>
          <w:tcPr>
            <w:tcW w:w="755" w:type="dxa"/>
            <w:shd w:val="clear" w:color="auto" w:fill="A6A6A6" w:themeFill="background1" w:themeFillShade="A6"/>
            <w:noWrap/>
            <w:vAlign w:val="center"/>
          </w:tcPr>
          <w:p w14:paraId="78E33F8C" w14:textId="3490935A" w:rsidR="00AF1A0D" w:rsidRPr="00CE16A0" w:rsidRDefault="00AF1A0D">
            <w:pPr>
              <w:spacing w:after="0"/>
              <w:jc w:val="center"/>
              <w:rPr>
                <w:rFonts w:asciiTheme="minorHAnsi" w:eastAsia="Times New Roman" w:hAnsiTheme="minorHAnsi" w:cstheme="minorHAnsi"/>
                <w:color w:val="000000"/>
                <w:sz w:val="16"/>
                <w:szCs w:val="16"/>
              </w:rPr>
            </w:pPr>
            <w:r>
              <w:rPr>
                <w:color w:val="000000"/>
              </w:rPr>
              <w:t> </w:t>
            </w:r>
            <w:r w:rsidR="00D31883">
              <w:rPr>
                <w:color w:val="000000"/>
              </w:rPr>
              <w:t>-</w:t>
            </w:r>
          </w:p>
        </w:tc>
        <w:tc>
          <w:tcPr>
            <w:tcW w:w="1042" w:type="dxa"/>
            <w:shd w:val="clear" w:color="auto" w:fill="A6A6A6" w:themeFill="background1" w:themeFillShade="A6"/>
            <w:noWrap/>
            <w:vAlign w:val="center"/>
          </w:tcPr>
          <w:p w14:paraId="4109CA6E" w14:textId="5293783D" w:rsidR="00AF1A0D" w:rsidRPr="00CE16A0" w:rsidRDefault="00D31883">
            <w:pPr>
              <w:spacing w:after="0"/>
              <w:jc w:val="center"/>
              <w:rPr>
                <w:rFonts w:asciiTheme="minorHAnsi" w:eastAsia="Times New Roman" w:hAnsiTheme="minorHAnsi" w:cstheme="minorHAnsi"/>
                <w:color w:val="000000"/>
                <w:sz w:val="16"/>
                <w:szCs w:val="16"/>
              </w:rPr>
            </w:pPr>
            <w:r>
              <w:rPr>
                <w:color w:val="000000"/>
              </w:rPr>
              <w:t>-</w:t>
            </w:r>
            <w:r w:rsidR="00AF1A0D">
              <w:rPr>
                <w:color w:val="000000"/>
              </w:rPr>
              <w:t> </w:t>
            </w:r>
          </w:p>
        </w:tc>
      </w:tr>
      <w:tr w:rsidR="00AF1A0D" w:rsidRPr="00A77490" w14:paraId="38BAE255" w14:textId="77777777">
        <w:trPr>
          <w:trHeight w:val="520"/>
        </w:trPr>
        <w:tc>
          <w:tcPr>
            <w:tcW w:w="720" w:type="dxa"/>
            <w:shd w:val="clear" w:color="auto" w:fill="F2F2F2" w:themeFill="background1" w:themeFillShade="F2"/>
            <w:noWrap/>
          </w:tcPr>
          <w:p w14:paraId="516837F4" w14:textId="77777777" w:rsidR="00AF1A0D" w:rsidRPr="00A77490" w:rsidRDefault="00AF1A0D">
            <w:pPr>
              <w:spacing w:after="0"/>
              <w:jc w:val="center"/>
              <w:rPr>
                <w:rFonts w:asciiTheme="minorHAnsi" w:eastAsia="Times New Roman" w:hAnsiTheme="minorHAnsi" w:cstheme="minorHAnsi"/>
                <w:color w:val="000000"/>
                <w:sz w:val="16"/>
                <w:szCs w:val="16"/>
              </w:rPr>
            </w:pPr>
            <w:r w:rsidRPr="00597EE2">
              <w:rPr>
                <w:rFonts w:cs="Calibri"/>
                <w:color w:val="000000"/>
                <w:sz w:val="16"/>
                <w:szCs w:val="16"/>
              </w:rPr>
              <w:t>EOHH</w:t>
            </w:r>
            <w:r>
              <w:rPr>
                <w:rFonts w:cs="Calibri"/>
                <w:color w:val="000000"/>
                <w:sz w:val="16"/>
                <w:szCs w:val="16"/>
              </w:rPr>
              <w:t>S</w:t>
            </w:r>
          </w:p>
        </w:tc>
        <w:tc>
          <w:tcPr>
            <w:tcW w:w="2700" w:type="dxa"/>
            <w:shd w:val="clear" w:color="auto" w:fill="F2F2F2" w:themeFill="background1" w:themeFillShade="F2"/>
          </w:tcPr>
          <w:p w14:paraId="263766AE" w14:textId="77777777" w:rsidR="00AF1A0D" w:rsidRPr="00A77490" w:rsidRDefault="00AF1A0D">
            <w:pPr>
              <w:spacing w:after="0"/>
              <w:rPr>
                <w:rFonts w:asciiTheme="minorHAnsi" w:eastAsia="Times New Roman" w:hAnsiTheme="minorHAnsi" w:cstheme="minorHAnsi"/>
                <w:sz w:val="16"/>
                <w:szCs w:val="16"/>
              </w:rPr>
            </w:pPr>
            <w:r w:rsidRPr="00597EE2">
              <w:rPr>
                <w:rFonts w:cs="Calibri"/>
                <w:color w:val="000000"/>
                <w:sz w:val="16"/>
                <w:szCs w:val="16"/>
              </w:rPr>
              <w:t>Child: Overall Rating and Care Delivery: Willingness to recommend</w:t>
            </w:r>
          </w:p>
        </w:tc>
        <w:tc>
          <w:tcPr>
            <w:tcW w:w="810" w:type="dxa"/>
            <w:shd w:val="clear" w:color="auto" w:fill="F2F2F2" w:themeFill="background1" w:themeFillShade="F2"/>
            <w:noWrap/>
            <w:vAlign w:val="center"/>
          </w:tcPr>
          <w:p w14:paraId="366AEF4A"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90.9%</w:t>
            </w:r>
          </w:p>
        </w:tc>
        <w:tc>
          <w:tcPr>
            <w:tcW w:w="662" w:type="dxa"/>
            <w:shd w:val="clear" w:color="auto" w:fill="F2F2F2" w:themeFill="background1" w:themeFillShade="F2"/>
            <w:noWrap/>
            <w:vAlign w:val="center"/>
          </w:tcPr>
          <w:p w14:paraId="3F6AA7B3"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89.8%</w:t>
            </w:r>
          </w:p>
        </w:tc>
        <w:tc>
          <w:tcPr>
            <w:tcW w:w="662" w:type="dxa"/>
            <w:shd w:val="clear" w:color="auto" w:fill="F2F2F2" w:themeFill="background1" w:themeFillShade="F2"/>
            <w:noWrap/>
            <w:vAlign w:val="center"/>
          </w:tcPr>
          <w:p w14:paraId="79B0523E"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92.3%</w:t>
            </w:r>
          </w:p>
        </w:tc>
        <w:tc>
          <w:tcPr>
            <w:tcW w:w="662" w:type="dxa"/>
            <w:shd w:val="clear" w:color="auto" w:fill="F2F2F2" w:themeFill="background1" w:themeFillShade="F2"/>
            <w:noWrap/>
            <w:vAlign w:val="center"/>
          </w:tcPr>
          <w:p w14:paraId="7C501B04"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92.0%</w:t>
            </w:r>
          </w:p>
        </w:tc>
        <w:tc>
          <w:tcPr>
            <w:tcW w:w="662" w:type="dxa"/>
            <w:shd w:val="clear" w:color="auto" w:fill="F2F2F2" w:themeFill="background1" w:themeFillShade="F2"/>
            <w:noWrap/>
            <w:vAlign w:val="center"/>
          </w:tcPr>
          <w:p w14:paraId="28296A75"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87.6%</w:t>
            </w:r>
          </w:p>
        </w:tc>
        <w:tc>
          <w:tcPr>
            <w:tcW w:w="952" w:type="dxa"/>
            <w:shd w:val="clear" w:color="auto" w:fill="F2F2F2" w:themeFill="background1" w:themeFillShade="F2"/>
            <w:noWrap/>
            <w:vAlign w:val="center"/>
          </w:tcPr>
          <w:p w14:paraId="57E5C3AC"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88.6%</w:t>
            </w:r>
          </w:p>
        </w:tc>
        <w:tc>
          <w:tcPr>
            <w:tcW w:w="868" w:type="dxa"/>
            <w:shd w:val="clear" w:color="auto" w:fill="F2F2F2" w:themeFill="background1" w:themeFillShade="F2"/>
            <w:noWrap/>
            <w:vAlign w:val="center"/>
          </w:tcPr>
          <w:p w14:paraId="24908E07"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93.6%</w:t>
            </w:r>
          </w:p>
        </w:tc>
        <w:tc>
          <w:tcPr>
            <w:tcW w:w="662" w:type="dxa"/>
            <w:shd w:val="clear" w:color="auto" w:fill="F2F2F2" w:themeFill="background1" w:themeFillShade="F2"/>
            <w:noWrap/>
            <w:vAlign w:val="center"/>
          </w:tcPr>
          <w:p w14:paraId="58A575A3"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89.8%</w:t>
            </w:r>
          </w:p>
        </w:tc>
        <w:tc>
          <w:tcPr>
            <w:tcW w:w="688" w:type="dxa"/>
            <w:shd w:val="clear" w:color="auto" w:fill="F2F2F2" w:themeFill="background1" w:themeFillShade="F2"/>
            <w:noWrap/>
            <w:vAlign w:val="center"/>
          </w:tcPr>
          <w:p w14:paraId="5E9ED8E9"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91.0%</w:t>
            </w:r>
          </w:p>
        </w:tc>
        <w:tc>
          <w:tcPr>
            <w:tcW w:w="1000" w:type="dxa"/>
            <w:shd w:val="clear" w:color="auto" w:fill="F2F2F2" w:themeFill="background1" w:themeFillShade="F2"/>
            <w:noWrap/>
            <w:vAlign w:val="center"/>
          </w:tcPr>
          <w:p w14:paraId="0EF455AA"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92.1%</w:t>
            </w:r>
          </w:p>
        </w:tc>
        <w:tc>
          <w:tcPr>
            <w:tcW w:w="890" w:type="dxa"/>
            <w:shd w:val="clear" w:color="auto" w:fill="F2F2F2" w:themeFill="background1" w:themeFillShade="F2"/>
            <w:noWrap/>
            <w:vAlign w:val="center"/>
          </w:tcPr>
          <w:p w14:paraId="4E870744"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89.0%</w:t>
            </w:r>
          </w:p>
        </w:tc>
        <w:tc>
          <w:tcPr>
            <w:tcW w:w="810" w:type="dxa"/>
            <w:shd w:val="clear" w:color="auto" w:fill="F2F2F2" w:themeFill="background1" w:themeFillShade="F2"/>
            <w:noWrap/>
            <w:vAlign w:val="center"/>
          </w:tcPr>
          <w:p w14:paraId="2D2E917F"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89.5%</w:t>
            </w:r>
          </w:p>
        </w:tc>
        <w:tc>
          <w:tcPr>
            <w:tcW w:w="662" w:type="dxa"/>
            <w:shd w:val="clear" w:color="auto" w:fill="F2F2F2" w:themeFill="background1" w:themeFillShade="F2"/>
            <w:noWrap/>
            <w:vAlign w:val="center"/>
          </w:tcPr>
          <w:p w14:paraId="6E908E26"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89.7%</w:t>
            </w:r>
          </w:p>
        </w:tc>
        <w:tc>
          <w:tcPr>
            <w:tcW w:w="737" w:type="dxa"/>
            <w:shd w:val="clear" w:color="auto" w:fill="F2F2F2" w:themeFill="background1" w:themeFillShade="F2"/>
            <w:noWrap/>
            <w:vAlign w:val="center"/>
          </w:tcPr>
          <w:p w14:paraId="3AAA3FEA"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93.4%</w:t>
            </w:r>
          </w:p>
        </w:tc>
        <w:tc>
          <w:tcPr>
            <w:tcW w:w="662" w:type="dxa"/>
            <w:shd w:val="clear" w:color="auto" w:fill="F2F2F2" w:themeFill="background1" w:themeFillShade="F2"/>
            <w:noWrap/>
            <w:vAlign w:val="center"/>
          </w:tcPr>
          <w:p w14:paraId="3062D471"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86.8%</w:t>
            </w:r>
          </w:p>
        </w:tc>
        <w:tc>
          <w:tcPr>
            <w:tcW w:w="662" w:type="dxa"/>
            <w:shd w:val="clear" w:color="auto" w:fill="F2F2F2" w:themeFill="background1" w:themeFillShade="F2"/>
            <w:noWrap/>
            <w:vAlign w:val="center"/>
          </w:tcPr>
          <w:p w14:paraId="5A7CC41F"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92.3%</w:t>
            </w:r>
          </w:p>
        </w:tc>
        <w:tc>
          <w:tcPr>
            <w:tcW w:w="990" w:type="dxa"/>
            <w:shd w:val="clear" w:color="auto" w:fill="F2F2F2" w:themeFill="background1" w:themeFillShade="F2"/>
            <w:noWrap/>
            <w:vAlign w:val="center"/>
          </w:tcPr>
          <w:p w14:paraId="7F7CC7A1"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93.2%</w:t>
            </w:r>
          </w:p>
        </w:tc>
        <w:tc>
          <w:tcPr>
            <w:tcW w:w="662" w:type="dxa"/>
            <w:shd w:val="clear" w:color="auto" w:fill="F2F2F2" w:themeFill="background1" w:themeFillShade="F2"/>
            <w:noWrap/>
            <w:vAlign w:val="center"/>
          </w:tcPr>
          <w:p w14:paraId="71035AAE"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82.3%</w:t>
            </w:r>
          </w:p>
        </w:tc>
        <w:tc>
          <w:tcPr>
            <w:tcW w:w="662" w:type="dxa"/>
            <w:shd w:val="clear" w:color="auto" w:fill="A6A6A6" w:themeFill="background1" w:themeFillShade="A6"/>
            <w:noWrap/>
            <w:vAlign w:val="center"/>
          </w:tcPr>
          <w:p w14:paraId="28BAB455" w14:textId="7F602786" w:rsidR="00AF1A0D" w:rsidRPr="00CE16A0" w:rsidRDefault="00AF1A0D">
            <w:pPr>
              <w:spacing w:after="0"/>
              <w:jc w:val="center"/>
              <w:rPr>
                <w:rFonts w:asciiTheme="minorHAnsi" w:eastAsia="Times New Roman" w:hAnsiTheme="minorHAnsi" w:cstheme="minorHAnsi"/>
                <w:color w:val="000000"/>
                <w:sz w:val="16"/>
                <w:szCs w:val="16"/>
              </w:rPr>
            </w:pPr>
            <w:r>
              <w:rPr>
                <w:color w:val="000000"/>
              </w:rPr>
              <w:t> </w:t>
            </w:r>
            <w:r w:rsidR="00D31883">
              <w:rPr>
                <w:color w:val="000000"/>
              </w:rPr>
              <w:t>-</w:t>
            </w:r>
          </w:p>
        </w:tc>
        <w:tc>
          <w:tcPr>
            <w:tcW w:w="755" w:type="dxa"/>
            <w:shd w:val="clear" w:color="auto" w:fill="A6A6A6" w:themeFill="background1" w:themeFillShade="A6"/>
            <w:noWrap/>
            <w:vAlign w:val="center"/>
          </w:tcPr>
          <w:p w14:paraId="1DA4E2BE" w14:textId="26326D2C" w:rsidR="00AF1A0D" w:rsidRPr="00CE16A0" w:rsidRDefault="00AF1A0D">
            <w:pPr>
              <w:spacing w:after="0"/>
              <w:jc w:val="center"/>
              <w:rPr>
                <w:rFonts w:asciiTheme="minorHAnsi" w:eastAsia="Times New Roman" w:hAnsiTheme="minorHAnsi" w:cstheme="minorHAnsi"/>
                <w:color w:val="000000"/>
                <w:sz w:val="16"/>
                <w:szCs w:val="16"/>
              </w:rPr>
            </w:pPr>
            <w:r>
              <w:rPr>
                <w:color w:val="000000"/>
              </w:rPr>
              <w:t> </w:t>
            </w:r>
            <w:r w:rsidR="00D31883">
              <w:rPr>
                <w:color w:val="000000"/>
              </w:rPr>
              <w:t>-</w:t>
            </w:r>
          </w:p>
        </w:tc>
        <w:tc>
          <w:tcPr>
            <w:tcW w:w="1042" w:type="dxa"/>
            <w:shd w:val="clear" w:color="auto" w:fill="A6A6A6" w:themeFill="background1" w:themeFillShade="A6"/>
            <w:noWrap/>
            <w:vAlign w:val="center"/>
          </w:tcPr>
          <w:p w14:paraId="599B5FE6" w14:textId="33F3F098" w:rsidR="00AF1A0D" w:rsidRPr="00CE16A0" w:rsidRDefault="00D31883">
            <w:pPr>
              <w:spacing w:after="0"/>
              <w:jc w:val="center"/>
              <w:rPr>
                <w:rFonts w:asciiTheme="minorHAnsi" w:eastAsia="Times New Roman" w:hAnsiTheme="minorHAnsi" w:cstheme="minorHAnsi"/>
                <w:color w:val="000000"/>
                <w:sz w:val="16"/>
                <w:szCs w:val="16"/>
              </w:rPr>
            </w:pPr>
            <w:r>
              <w:rPr>
                <w:color w:val="000000"/>
              </w:rPr>
              <w:t>-</w:t>
            </w:r>
            <w:r w:rsidR="00AF1A0D">
              <w:rPr>
                <w:color w:val="000000"/>
              </w:rPr>
              <w:t> </w:t>
            </w:r>
          </w:p>
        </w:tc>
      </w:tr>
      <w:tr w:rsidR="00AF1A0D" w:rsidRPr="00A77490" w14:paraId="615976A3" w14:textId="77777777">
        <w:trPr>
          <w:trHeight w:val="520"/>
        </w:trPr>
        <w:tc>
          <w:tcPr>
            <w:tcW w:w="720" w:type="dxa"/>
            <w:shd w:val="clear" w:color="auto" w:fill="auto"/>
            <w:noWrap/>
          </w:tcPr>
          <w:p w14:paraId="7489A04E" w14:textId="77777777" w:rsidR="00AF1A0D" w:rsidRPr="00A77490" w:rsidRDefault="00AF1A0D">
            <w:pPr>
              <w:spacing w:after="0"/>
              <w:jc w:val="center"/>
              <w:rPr>
                <w:rFonts w:asciiTheme="minorHAnsi" w:eastAsia="Times New Roman" w:hAnsiTheme="minorHAnsi" w:cstheme="minorHAnsi"/>
                <w:color w:val="000000"/>
                <w:sz w:val="16"/>
                <w:szCs w:val="16"/>
              </w:rPr>
            </w:pPr>
            <w:r w:rsidRPr="00597EE2">
              <w:rPr>
                <w:rFonts w:cs="Calibri"/>
                <w:color w:val="000000"/>
                <w:sz w:val="16"/>
                <w:szCs w:val="16"/>
              </w:rPr>
              <w:lastRenderedPageBreak/>
              <w:t>EOHH</w:t>
            </w:r>
            <w:r>
              <w:rPr>
                <w:rFonts w:cs="Calibri"/>
                <w:color w:val="000000"/>
                <w:sz w:val="16"/>
                <w:szCs w:val="16"/>
              </w:rPr>
              <w:t>S</w:t>
            </w:r>
            <w:r w:rsidRPr="00597EE2">
              <w:rPr>
                <w:rFonts w:cs="Calibri"/>
                <w:color w:val="000000"/>
                <w:sz w:val="16"/>
                <w:szCs w:val="16"/>
              </w:rPr>
              <w:t xml:space="preserve"> </w:t>
            </w:r>
          </w:p>
        </w:tc>
        <w:tc>
          <w:tcPr>
            <w:tcW w:w="2700" w:type="dxa"/>
            <w:shd w:val="clear" w:color="auto" w:fill="auto"/>
          </w:tcPr>
          <w:p w14:paraId="5ED7D0D6" w14:textId="77777777" w:rsidR="00AF1A0D" w:rsidRPr="00A77490" w:rsidRDefault="00AF1A0D">
            <w:pPr>
              <w:spacing w:after="0"/>
              <w:rPr>
                <w:rFonts w:asciiTheme="minorHAnsi" w:eastAsia="Times New Roman" w:hAnsiTheme="minorHAnsi" w:cstheme="minorHAnsi"/>
                <w:sz w:val="16"/>
                <w:szCs w:val="16"/>
              </w:rPr>
            </w:pPr>
            <w:r w:rsidRPr="00597EE2">
              <w:rPr>
                <w:rFonts w:cs="Calibri"/>
                <w:color w:val="000000"/>
                <w:sz w:val="16"/>
                <w:szCs w:val="16"/>
              </w:rPr>
              <w:t>Adult: Overall Rating and Care Delivery: Communication</w:t>
            </w:r>
          </w:p>
        </w:tc>
        <w:tc>
          <w:tcPr>
            <w:tcW w:w="810" w:type="dxa"/>
            <w:shd w:val="clear" w:color="auto" w:fill="auto"/>
            <w:noWrap/>
            <w:vAlign w:val="center"/>
          </w:tcPr>
          <w:p w14:paraId="18738F5D"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87.1%</w:t>
            </w:r>
          </w:p>
        </w:tc>
        <w:tc>
          <w:tcPr>
            <w:tcW w:w="662" w:type="dxa"/>
            <w:shd w:val="clear" w:color="auto" w:fill="auto"/>
            <w:noWrap/>
            <w:vAlign w:val="center"/>
          </w:tcPr>
          <w:p w14:paraId="244FB2A9"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86.3%</w:t>
            </w:r>
          </w:p>
        </w:tc>
        <w:tc>
          <w:tcPr>
            <w:tcW w:w="662" w:type="dxa"/>
            <w:shd w:val="clear" w:color="auto" w:fill="auto"/>
            <w:noWrap/>
            <w:vAlign w:val="center"/>
          </w:tcPr>
          <w:p w14:paraId="2085C900"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88.4%</w:t>
            </w:r>
          </w:p>
        </w:tc>
        <w:tc>
          <w:tcPr>
            <w:tcW w:w="662" w:type="dxa"/>
            <w:shd w:val="clear" w:color="auto" w:fill="auto"/>
            <w:noWrap/>
            <w:vAlign w:val="center"/>
          </w:tcPr>
          <w:p w14:paraId="477CC30A"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86.8%</w:t>
            </w:r>
          </w:p>
        </w:tc>
        <w:tc>
          <w:tcPr>
            <w:tcW w:w="662" w:type="dxa"/>
            <w:shd w:val="clear" w:color="auto" w:fill="auto"/>
            <w:noWrap/>
            <w:vAlign w:val="center"/>
          </w:tcPr>
          <w:p w14:paraId="18533FC3"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84.2%</w:t>
            </w:r>
          </w:p>
        </w:tc>
        <w:tc>
          <w:tcPr>
            <w:tcW w:w="952" w:type="dxa"/>
            <w:shd w:val="clear" w:color="auto" w:fill="auto"/>
            <w:noWrap/>
            <w:vAlign w:val="center"/>
          </w:tcPr>
          <w:p w14:paraId="4CC1C93F"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87.5%</w:t>
            </w:r>
          </w:p>
        </w:tc>
        <w:tc>
          <w:tcPr>
            <w:tcW w:w="868" w:type="dxa"/>
            <w:shd w:val="clear" w:color="auto" w:fill="auto"/>
            <w:noWrap/>
            <w:vAlign w:val="center"/>
          </w:tcPr>
          <w:p w14:paraId="41525293"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89.5%</w:t>
            </w:r>
          </w:p>
        </w:tc>
        <w:tc>
          <w:tcPr>
            <w:tcW w:w="662" w:type="dxa"/>
            <w:shd w:val="clear" w:color="auto" w:fill="auto"/>
            <w:noWrap/>
            <w:vAlign w:val="center"/>
          </w:tcPr>
          <w:p w14:paraId="0E369F55"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85.2%</w:t>
            </w:r>
          </w:p>
        </w:tc>
        <w:tc>
          <w:tcPr>
            <w:tcW w:w="688" w:type="dxa"/>
            <w:shd w:val="clear" w:color="auto" w:fill="auto"/>
            <w:noWrap/>
            <w:vAlign w:val="center"/>
          </w:tcPr>
          <w:p w14:paraId="608B2FC2"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86.1%</w:t>
            </w:r>
          </w:p>
        </w:tc>
        <w:tc>
          <w:tcPr>
            <w:tcW w:w="1000" w:type="dxa"/>
            <w:shd w:val="clear" w:color="auto" w:fill="auto"/>
            <w:noWrap/>
            <w:vAlign w:val="center"/>
          </w:tcPr>
          <w:p w14:paraId="56B401F0"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93.4%</w:t>
            </w:r>
          </w:p>
        </w:tc>
        <w:tc>
          <w:tcPr>
            <w:tcW w:w="890" w:type="dxa"/>
            <w:shd w:val="clear" w:color="auto" w:fill="auto"/>
            <w:noWrap/>
            <w:vAlign w:val="center"/>
          </w:tcPr>
          <w:p w14:paraId="52BB3392"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87.3%</w:t>
            </w:r>
          </w:p>
        </w:tc>
        <w:tc>
          <w:tcPr>
            <w:tcW w:w="810" w:type="dxa"/>
            <w:shd w:val="clear" w:color="auto" w:fill="auto"/>
            <w:noWrap/>
            <w:vAlign w:val="center"/>
          </w:tcPr>
          <w:p w14:paraId="72B64AA4"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84.5%</w:t>
            </w:r>
          </w:p>
        </w:tc>
        <w:tc>
          <w:tcPr>
            <w:tcW w:w="662" w:type="dxa"/>
            <w:shd w:val="clear" w:color="auto" w:fill="auto"/>
            <w:noWrap/>
            <w:vAlign w:val="center"/>
          </w:tcPr>
          <w:p w14:paraId="565A7747"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85.0%</w:t>
            </w:r>
          </w:p>
        </w:tc>
        <w:tc>
          <w:tcPr>
            <w:tcW w:w="737" w:type="dxa"/>
            <w:shd w:val="clear" w:color="auto" w:fill="auto"/>
            <w:noWrap/>
            <w:vAlign w:val="center"/>
          </w:tcPr>
          <w:p w14:paraId="679EC8D0"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89.4%</w:t>
            </w:r>
          </w:p>
        </w:tc>
        <w:tc>
          <w:tcPr>
            <w:tcW w:w="662" w:type="dxa"/>
            <w:shd w:val="clear" w:color="auto" w:fill="auto"/>
            <w:noWrap/>
            <w:vAlign w:val="center"/>
          </w:tcPr>
          <w:p w14:paraId="518AD497"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84.2%</w:t>
            </w:r>
          </w:p>
        </w:tc>
        <w:tc>
          <w:tcPr>
            <w:tcW w:w="662" w:type="dxa"/>
            <w:shd w:val="clear" w:color="auto" w:fill="auto"/>
            <w:noWrap/>
            <w:vAlign w:val="center"/>
          </w:tcPr>
          <w:p w14:paraId="560A7674"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88.0%</w:t>
            </w:r>
          </w:p>
        </w:tc>
        <w:tc>
          <w:tcPr>
            <w:tcW w:w="990" w:type="dxa"/>
            <w:shd w:val="clear" w:color="auto" w:fill="auto"/>
            <w:noWrap/>
            <w:vAlign w:val="center"/>
          </w:tcPr>
          <w:p w14:paraId="6A6F128F"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88.1%</w:t>
            </w:r>
          </w:p>
        </w:tc>
        <w:tc>
          <w:tcPr>
            <w:tcW w:w="662" w:type="dxa"/>
            <w:shd w:val="clear" w:color="auto" w:fill="auto"/>
            <w:noWrap/>
            <w:vAlign w:val="center"/>
          </w:tcPr>
          <w:p w14:paraId="4227F0A9"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87.8%</w:t>
            </w:r>
          </w:p>
        </w:tc>
        <w:tc>
          <w:tcPr>
            <w:tcW w:w="662" w:type="dxa"/>
            <w:shd w:val="clear" w:color="auto" w:fill="A6A6A6" w:themeFill="background1" w:themeFillShade="A6"/>
            <w:noWrap/>
            <w:vAlign w:val="center"/>
          </w:tcPr>
          <w:p w14:paraId="11484EC7" w14:textId="6597DF9D" w:rsidR="00AF1A0D" w:rsidRPr="00CE16A0" w:rsidRDefault="00D31883">
            <w:pPr>
              <w:spacing w:after="0"/>
              <w:jc w:val="center"/>
              <w:rPr>
                <w:rFonts w:asciiTheme="minorHAnsi" w:eastAsia="Times New Roman" w:hAnsiTheme="minorHAnsi" w:cstheme="minorHAnsi"/>
                <w:color w:val="000000"/>
                <w:sz w:val="16"/>
                <w:szCs w:val="16"/>
              </w:rPr>
            </w:pPr>
            <w:r>
              <w:rPr>
                <w:color w:val="000000"/>
              </w:rPr>
              <w:t>-</w:t>
            </w:r>
          </w:p>
        </w:tc>
        <w:tc>
          <w:tcPr>
            <w:tcW w:w="755" w:type="dxa"/>
            <w:shd w:val="clear" w:color="auto" w:fill="A6A6A6" w:themeFill="background1" w:themeFillShade="A6"/>
            <w:noWrap/>
            <w:vAlign w:val="center"/>
          </w:tcPr>
          <w:p w14:paraId="1E02D16E" w14:textId="36E823EB" w:rsidR="00AF1A0D" w:rsidRPr="00CE16A0" w:rsidRDefault="00AF1A0D">
            <w:pPr>
              <w:spacing w:after="0"/>
              <w:jc w:val="center"/>
              <w:rPr>
                <w:rFonts w:asciiTheme="minorHAnsi" w:eastAsia="Times New Roman" w:hAnsiTheme="minorHAnsi" w:cstheme="minorHAnsi"/>
                <w:color w:val="000000"/>
                <w:sz w:val="16"/>
                <w:szCs w:val="16"/>
              </w:rPr>
            </w:pPr>
            <w:r>
              <w:rPr>
                <w:color w:val="000000"/>
              </w:rPr>
              <w:t> </w:t>
            </w:r>
            <w:r w:rsidR="00D31883">
              <w:rPr>
                <w:color w:val="000000"/>
              </w:rPr>
              <w:t>-</w:t>
            </w:r>
          </w:p>
        </w:tc>
        <w:tc>
          <w:tcPr>
            <w:tcW w:w="1042" w:type="dxa"/>
            <w:shd w:val="clear" w:color="auto" w:fill="A6A6A6" w:themeFill="background1" w:themeFillShade="A6"/>
            <w:noWrap/>
            <w:vAlign w:val="center"/>
          </w:tcPr>
          <w:p w14:paraId="6D293815" w14:textId="178EB95F" w:rsidR="00AF1A0D" w:rsidRPr="00CE16A0" w:rsidRDefault="00D31883">
            <w:pPr>
              <w:spacing w:after="0"/>
              <w:jc w:val="center"/>
              <w:rPr>
                <w:rFonts w:asciiTheme="minorHAnsi" w:eastAsia="Times New Roman" w:hAnsiTheme="minorHAnsi" w:cstheme="minorHAnsi"/>
                <w:color w:val="000000"/>
                <w:sz w:val="16"/>
                <w:szCs w:val="16"/>
              </w:rPr>
            </w:pPr>
            <w:r>
              <w:rPr>
                <w:color w:val="000000"/>
              </w:rPr>
              <w:t>-</w:t>
            </w:r>
            <w:r w:rsidR="00AF1A0D">
              <w:rPr>
                <w:color w:val="000000"/>
              </w:rPr>
              <w:t> </w:t>
            </w:r>
          </w:p>
        </w:tc>
      </w:tr>
      <w:tr w:rsidR="00AF1A0D" w:rsidRPr="00A77490" w14:paraId="4CB05F3C" w14:textId="77777777">
        <w:trPr>
          <w:trHeight w:val="520"/>
        </w:trPr>
        <w:tc>
          <w:tcPr>
            <w:tcW w:w="720" w:type="dxa"/>
            <w:shd w:val="clear" w:color="auto" w:fill="F2F2F2" w:themeFill="background1" w:themeFillShade="F2"/>
            <w:noWrap/>
          </w:tcPr>
          <w:p w14:paraId="4029328B" w14:textId="77777777" w:rsidR="00AF1A0D" w:rsidRPr="00A77490" w:rsidRDefault="00AF1A0D">
            <w:pPr>
              <w:spacing w:after="0"/>
              <w:jc w:val="center"/>
              <w:rPr>
                <w:rFonts w:asciiTheme="minorHAnsi" w:eastAsia="Times New Roman" w:hAnsiTheme="minorHAnsi" w:cstheme="minorHAnsi"/>
                <w:color w:val="000000"/>
                <w:sz w:val="16"/>
                <w:szCs w:val="16"/>
              </w:rPr>
            </w:pPr>
            <w:r w:rsidRPr="00597EE2">
              <w:rPr>
                <w:rFonts w:cs="Calibri"/>
                <w:color w:val="000000"/>
                <w:sz w:val="16"/>
                <w:szCs w:val="16"/>
              </w:rPr>
              <w:t>EOHH</w:t>
            </w:r>
            <w:r>
              <w:rPr>
                <w:rFonts w:cs="Calibri"/>
                <w:color w:val="000000"/>
                <w:sz w:val="16"/>
                <w:szCs w:val="16"/>
              </w:rPr>
              <w:t>S</w:t>
            </w:r>
          </w:p>
        </w:tc>
        <w:tc>
          <w:tcPr>
            <w:tcW w:w="2700" w:type="dxa"/>
            <w:shd w:val="clear" w:color="auto" w:fill="F2F2F2" w:themeFill="background1" w:themeFillShade="F2"/>
          </w:tcPr>
          <w:p w14:paraId="0784C47C" w14:textId="77777777" w:rsidR="00AF1A0D" w:rsidRPr="00A77490" w:rsidRDefault="00AF1A0D">
            <w:pPr>
              <w:spacing w:after="0"/>
              <w:rPr>
                <w:rFonts w:asciiTheme="minorHAnsi" w:eastAsia="Times New Roman" w:hAnsiTheme="minorHAnsi" w:cstheme="minorHAnsi"/>
                <w:sz w:val="16"/>
                <w:szCs w:val="16"/>
              </w:rPr>
            </w:pPr>
            <w:r w:rsidRPr="00597EE2">
              <w:rPr>
                <w:rFonts w:cs="Calibri"/>
                <w:color w:val="000000"/>
                <w:sz w:val="16"/>
                <w:szCs w:val="16"/>
              </w:rPr>
              <w:t>Child: Overall Rating and Care Delivery: Communication</w:t>
            </w:r>
          </w:p>
        </w:tc>
        <w:tc>
          <w:tcPr>
            <w:tcW w:w="810" w:type="dxa"/>
            <w:shd w:val="clear" w:color="auto" w:fill="F2F2F2" w:themeFill="background1" w:themeFillShade="F2"/>
            <w:noWrap/>
            <w:vAlign w:val="center"/>
          </w:tcPr>
          <w:p w14:paraId="0B726F30"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91.2%</w:t>
            </w:r>
          </w:p>
        </w:tc>
        <w:tc>
          <w:tcPr>
            <w:tcW w:w="662" w:type="dxa"/>
            <w:shd w:val="clear" w:color="auto" w:fill="F2F2F2" w:themeFill="background1" w:themeFillShade="F2"/>
            <w:noWrap/>
            <w:vAlign w:val="center"/>
          </w:tcPr>
          <w:p w14:paraId="4020495F"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91.4%</w:t>
            </w:r>
          </w:p>
        </w:tc>
        <w:tc>
          <w:tcPr>
            <w:tcW w:w="662" w:type="dxa"/>
            <w:shd w:val="clear" w:color="auto" w:fill="F2F2F2" w:themeFill="background1" w:themeFillShade="F2"/>
            <w:noWrap/>
            <w:vAlign w:val="center"/>
          </w:tcPr>
          <w:p w14:paraId="31AB9F8C"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91.3%</w:t>
            </w:r>
          </w:p>
        </w:tc>
        <w:tc>
          <w:tcPr>
            <w:tcW w:w="662" w:type="dxa"/>
            <w:shd w:val="clear" w:color="auto" w:fill="F2F2F2" w:themeFill="background1" w:themeFillShade="F2"/>
            <w:noWrap/>
            <w:vAlign w:val="center"/>
          </w:tcPr>
          <w:p w14:paraId="20149621"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90.5%</w:t>
            </w:r>
          </w:p>
        </w:tc>
        <w:tc>
          <w:tcPr>
            <w:tcW w:w="662" w:type="dxa"/>
            <w:shd w:val="clear" w:color="auto" w:fill="F2F2F2" w:themeFill="background1" w:themeFillShade="F2"/>
            <w:noWrap/>
            <w:vAlign w:val="center"/>
          </w:tcPr>
          <w:p w14:paraId="50D0226A"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90.4%</w:t>
            </w:r>
          </w:p>
        </w:tc>
        <w:tc>
          <w:tcPr>
            <w:tcW w:w="952" w:type="dxa"/>
            <w:shd w:val="clear" w:color="auto" w:fill="F2F2F2" w:themeFill="background1" w:themeFillShade="F2"/>
            <w:noWrap/>
            <w:vAlign w:val="center"/>
          </w:tcPr>
          <w:p w14:paraId="5BC51FB6"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91.0%</w:t>
            </w:r>
          </w:p>
        </w:tc>
        <w:tc>
          <w:tcPr>
            <w:tcW w:w="868" w:type="dxa"/>
            <w:shd w:val="clear" w:color="auto" w:fill="F2F2F2" w:themeFill="background1" w:themeFillShade="F2"/>
            <w:noWrap/>
            <w:vAlign w:val="center"/>
          </w:tcPr>
          <w:p w14:paraId="345E75D7"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93.7%</w:t>
            </w:r>
          </w:p>
        </w:tc>
        <w:tc>
          <w:tcPr>
            <w:tcW w:w="662" w:type="dxa"/>
            <w:shd w:val="clear" w:color="auto" w:fill="F2F2F2" w:themeFill="background1" w:themeFillShade="F2"/>
            <w:noWrap/>
            <w:vAlign w:val="center"/>
          </w:tcPr>
          <w:p w14:paraId="26DB8216"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89.8%</w:t>
            </w:r>
          </w:p>
        </w:tc>
        <w:tc>
          <w:tcPr>
            <w:tcW w:w="688" w:type="dxa"/>
            <w:shd w:val="clear" w:color="auto" w:fill="F2F2F2" w:themeFill="background1" w:themeFillShade="F2"/>
            <w:noWrap/>
            <w:vAlign w:val="center"/>
          </w:tcPr>
          <w:p w14:paraId="4E1A5CAF"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89.9%</w:t>
            </w:r>
          </w:p>
        </w:tc>
        <w:tc>
          <w:tcPr>
            <w:tcW w:w="1000" w:type="dxa"/>
            <w:shd w:val="clear" w:color="auto" w:fill="F2F2F2" w:themeFill="background1" w:themeFillShade="F2"/>
            <w:noWrap/>
            <w:vAlign w:val="center"/>
          </w:tcPr>
          <w:p w14:paraId="6462857B"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92.7%</w:t>
            </w:r>
          </w:p>
        </w:tc>
        <w:tc>
          <w:tcPr>
            <w:tcW w:w="890" w:type="dxa"/>
            <w:shd w:val="clear" w:color="auto" w:fill="F2F2F2" w:themeFill="background1" w:themeFillShade="F2"/>
            <w:noWrap/>
            <w:vAlign w:val="center"/>
          </w:tcPr>
          <w:p w14:paraId="32A7ACB5"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89.9%</w:t>
            </w:r>
          </w:p>
        </w:tc>
        <w:tc>
          <w:tcPr>
            <w:tcW w:w="810" w:type="dxa"/>
            <w:shd w:val="clear" w:color="auto" w:fill="F2F2F2" w:themeFill="background1" w:themeFillShade="F2"/>
            <w:noWrap/>
            <w:vAlign w:val="center"/>
          </w:tcPr>
          <w:p w14:paraId="65995A3E"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91.6%</w:t>
            </w:r>
          </w:p>
        </w:tc>
        <w:tc>
          <w:tcPr>
            <w:tcW w:w="662" w:type="dxa"/>
            <w:shd w:val="clear" w:color="auto" w:fill="F2F2F2" w:themeFill="background1" w:themeFillShade="F2"/>
            <w:noWrap/>
            <w:vAlign w:val="center"/>
          </w:tcPr>
          <w:p w14:paraId="4727E918"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89.7%</w:t>
            </w:r>
          </w:p>
        </w:tc>
        <w:tc>
          <w:tcPr>
            <w:tcW w:w="737" w:type="dxa"/>
            <w:shd w:val="clear" w:color="auto" w:fill="F2F2F2" w:themeFill="background1" w:themeFillShade="F2"/>
            <w:noWrap/>
            <w:vAlign w:val="center"/>
          </w:tcPr>
          <w:p w14:paraId="61261F20"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93.0%</w:t>
            </w:r>
          </w:p>
        </w:tc>
        <w:tc>
          <w:tcPr>
            <w:tcW w:w="662" w:type="dxa"/>
            <w:shd w:val="clear" w:color="auto" w:fill="F2F2F2" w:themeFill="background1" w:themeFillShade="F2"/>
            <w:noWrap/>
            <w:vAlign w:val="center"/>
          </w:tcPr>
          <w:p w14:paraId="0E84ED90"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87.2%</w:t>
            </w:r>
          </w:p>
        </w:tc>
        <w:tc>
          <w:tcPr>
            <w:tcW w:w="662" w:type="dxa"/>
            <w:shd w:val="clear" w:color="auto" w:fill="F2F2F2" w:themeFill="background1" w:themeFillShade="F2"/>
            <w:noWrap/>
            <w:vAlign w:val="center"/>
          </w:tcPr>
          <w:p w14:paraId="1C9A661C"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91.8%</w:t>
            </w:r>
          </w:p>
        </w:tc>
        <w:tc>
          <w:tcPr>
            <w:tcW w:w="990" w:type="dxa"/>
            <w:shd w:val="clear" w:color="auto" w:fill="F2F2F2" w:themeFill="background1" w:themeFillShade="F2"/>
            <w:noWrap/>
            <w:vAlign w:val="center"/>
          </w:tcPr>
          <w:p w14:paraId="6A4C0DDF"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93.4%</w:t>
            </w:r>
          </w:p>
        </w:tc>
        <w:tc>
          <w:tcPr>
            <w:tcW w:w="662" w:type="dxa"/>
            <w:shd w:val="clear" w:color="auto" w:fill="F2F2F2" w:themeFill="background1" w:themeFillShade="F2"/>
            <w:noWrap/>
            <w:vAlign w:val="center"/>
          </w:tcPr>
          <w:p w14:paraId="02BD0BB7"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81.3%</w:t>
            </w:r>
          </w:p>
        </w:tc>
        <w:tc>
          <w:tcPr>
            <w:tcW w:w="662" w:type="dxa"/>
            <w:tcBorders>
              <w:bottom w:val="single" w:sz="4" w:space="0" w:color="auto"/>
            </w:tcBorders>
            <w:shd w:val="clear" w:color="auto" w:fill="A6A6A6" w:themeFill="background1" w:themeFillShade="A6"/>
            <w:noWrap/>
            <w:vAlign w:val="center"/>
          </w:tcPr>
          <w:p w14:paraId="29772DF2" w14:textId="0E6A8A17" w:rsidR="00AF1A0D" w:rsidRPr="00CE16A0" w:rsidRDefault="00D31883">
            <w:pPr>
              <w:spacing w:after="0"/>
              <w:jc w:val="center"/>
              <w:rPr>
                <w:rFonts w:asciiTheme="minorHAnsi" w:eastAsia="Times New Roman" w:hAnsiTheme="minorHAnsi" w:cstheme="minorHAnsi"/>
                <w:color w:val="000000"/>
                <w:sz w:val="16"/>
                <w:szCs w:val="16"/>
              </w:rPr>
            </w:pPr>
            <w:r>
              <w:rPr>
                <w:color w:val="000000"/>
              </w:rPr>
              <w:t>-</w:t>
            </w:r>
          </w:p>
        </w:tc>
        <w:tc>
          <w:tcPr>
            <w:tcW w:w="755" w:type="dxa"/>
            <w:tcBorders>
              <w:bottom w:val="single" w:sz="4" w:space="0" w:color="auto"/>
            </w:tcBorders>
            <w:shd w:val="clear" w:color="auto" w:fill="A6A6A6" w:themeFill="background1" w:themeFillShade="A6"/>
            <w:noWrap/>
            <w:vAlign w:val="center"/>
          </w:tcPr>
          <w:p w14:paraId="5C2A54D0" w14:textId="3C9CBC82" w:rsidR="00AF1A0D" w:rsidRPr="00CE16A0" w:rsidRDefault="00D31883">
            <w:pPr>
              <w:spacing w:after="0"/>
              <w:jc w:val="center"/>
              <w:rPr>
                <w:rFonts w:asciiTheme="minorHAnsi" w:eastAsia="Times New Roman" w:hAnsiTheme="minorHAnsi" w:cstheme="minorHAnsi"/>
                <w:color w:val="000000"/>
                <w:sz w:val="16"/>
                <w:szCs w:val="16"/>
              </w:rPr>
            </w:pPr>
            <w:r>
              <w:rPr>
                <w:color w:val="000000"/>
              </w:rPr>
              <w:t>-</w:t>
            </w:r>
            <w:r w:rsidR="00AF1A0D">
              <w:rPr>
                <w:color w:val="000000"/>
              </w:rPr>
              <w:t> </w:t>
            </w:r>
          </w:p>
        </w:tc>
        <w:tc>
          <w:tcPr>
            <w:tcW w:w="1042" w:type="dxa"/>
            <w:tcBorders>
              <w:bottom w:val="single" w:sz="4" w:space="0" w:color="auto"/>
            </w:tcBorders>
            <w:shd w:val="clear" w:color="auto" w:fill="A6A6A6" w:themeFill="background1" w:themeFillShade="A6"/>
            <w:noWrap/>
            <w:vAlign w:val="center"/>
          </w:tcPr>
          <w:p w14:paraId="5F048D5F" w14:textId="1E20847A" w:rsidR="00AF1A0D" w:rsidRPr="00CE16A0" w:rsidRDefault="00D31883">
            <w:pPr>
              <w:spacing w:after="0"/>
              <w:jc w:val="center"/>
              <w:rPr>
                <w:rFonts w:asciiTheme="minorHAnsi" w:eastAsia="Times New Roman" w:hAnsiTheme="minorHAnsi" w:cstheme="minorHAnsi"/>
                <w:color w:val="000000"/>
                <w:sz w:val="16"/>
                <w:szCs w:val="16"/>
              </w:rPr>
            </w:pPr>
            <w:r>
              <w:rPr>
                <w:color w:val="000000"/>
              </w:rPr>
              <w:t>-</w:t>
            </w:r>
            <w:r w:rsidR="00AF1A0D">
              <w:rPr>
                <w:color w:val="000000"/>
              </w:rPr>
              <w:t> </w:t>
            </w:r>
          </w:p>
        </w:tc>
      </w:tr>
      <w:tr w:rsidR="00AF1A0D" w:rsidRPr="00A77490" w14:paraId="17D3507D" w14:textId="77777777">
        <w:trPr>
          <w:trHeight w:val="520"/>
        </w:trPr>
        <w:tc>
          <w:tcPr>
            <w:tcW w:w="720" w:type="dxa"/>
            <w:shd w:val="clear" w:color="auto" w:fill="F2F2F2" w:themeFill="background1" w:themeFillShade="F2"/>
            <w:noWrap/>
          </w:tcPr>
          <w:p w14:paraId="254265F4" w14:textId="77777777" w:rsidR="00AF1A0D" w:rsidRPr="00A77490" w:rsidRDefault="00AF1A0D">
            <w:pPr>
              <w:spacing w:after="0"/>
              <w:jc w:val="center"/>
              <w:rPr>
                <w:rFonts w:asciiTheme="minorHAnsi" w:eastAsia="Times New Roman" w:hAnsiTheme="minorHAnsi" w:cstheme="minorHAnsi"/>
                <w:color w:val="000000"/>
                <w:sz w:val="16"/>
                <w:szCs w:val="16"/>
              </w:rPr>
            </w:pPr>
            <w:r w:rsidRPr="00597EE2">
              <w:rPr>
                <w:rFonts w:cs="Calibri"/>
                <w:color w:val="000000"/>
                <w:sz w:val="16"/>
                <w:szCs w:val="16"/>
              </w:rPr>
              <w:t xml:space="preserve">EOHHS </w:t>
            </w:r>
          </w:p>
        </w:tc>
        <w:tc>
          <w:tcPr>
            <w:tcW w:w="2700" w:type="dxa"/>
            <w:shd w:val="clear" w:color="auto" w:fill="F2F2F2" w:themeFill="background1" w:themeFillShade="F2"/>
          </w:tcPr>
          <w:p w14:paraId="7F4DFD5B" w14:textId="77777777" w:rsidR="00AF1A0D" w:rsidRPr="00A77490" w:rsidRDefault="00AF1A0D">
            <w:pPr>
              <w:spacing w:after="0"/>
              <w:rPr>
                <w:rFonts w:asciiTheme="minorHAnsi" w:eastAsia="Times New Roman" w:hAnsiTheme="minorHAnsi" w:cstheme="minorHAnsi"/>
                <w:sz w:val="16"/>
                <w:szCs w:val="16"/>
              </w:rPr>
            </w:pPr>
            <w:r w:rsidRPr="00597EE2">
              <w:rPr>
                <w:rFonts w:cs="Calibri"/>
                <w:color w:val="000000"/>
                <w:sz w:val="16"/>
                <w:szCs w:val="16"/>
              </w:rPr>
              <w:t>Adult: Person-Centered Integrated Care: Integration of Care</w:t>
            </w:r>
          </w:p>
        </w:tc>
        <w:tc>
          <w:tcPr>
            <w:tcW w:w="810" w:type="dxa"/>
            <w:shd w:val="clear" w:color="auto" w:fill="F2F2F2" w:themeFill="background1" w:themeFillShade="F2"/>
            <w:noWrap/>
            <w:vAlign w:val="center"/>
          </w:tcPr>
          <w:p w14:paraId="6DFD8358"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78.1%</w:t>
            </w:r>
          </w:p>
        </w:tc>
        <w:tc>
          <w:tcPr>
            <w:tcW w:w="662" w:type="dxa"/>
            <w:shd w:val="clear" w:color="auto" w:fill="F2F2F2" w:themeFill="background1" w:themeFillShade="F2"/>
            <w:noWrap/>
            <w:vAlign w:val="center"/>
          </w:tcPr>
          <w:p w14:paraId="31A4A767"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75.0%</w:t>
            </w:r>
          </w:p>
        </w:tc>
        <w:tc>
          <w:tcPr>
            <w:tcW w:w="662" w:type="dxa"/>
            <w:shd w:val="clear" w:color="auto" w:fill="F2F2F2" w:themeFill="background1" w:themeFillShade="F2"/>
            <w:noWrap/>
            <w:vAlign w:val="center"/>
          </w:tcPr>
          <w:p w14:paraId="14B6EB91"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80.6%</w:t>
            </w:r>
          </w:p>
        </w:tc>
        <w:tc>
          <w:tcPr>
            <w:tcW w:w="662" w:type="dxa"/>
            <w:shd w:val="clear" w:color="auto" w:fill="F2F2F2" w:themeFill="background1" w:themeFillShade="F2"/>
            <w:noWrap/>
            <w:vAlign w:val="center"/>
          </w:tcPr>
          <w:p w14:paraId="4877E8A6"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79.6%</w:t>
            </w:r>
          </w:p>
        </w:tc>
        <w:tc>
          <w:tcPr>
            <w:tcW w:w="662" w:type="dxa"/>
            <w:shd w:val="clear" w:color="auto" w:fill="F2F2F2" w:themeFill="background1" w:themeFillShade="F2"/>
            <w:noWrap/>
            <w:vAlign w:val="center"/>
          </w:tcPr>
          <w:p w14:paraId="3B251361"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71.7%</w:t>
            </w:r>
          </w:p>
        </w:tc>
        <w:tc>
          <w:tcPr>
            <w:tcW w:w="952" w:type="dxa"/>
            <w:shd w:val="clear" w:color="auto" w:fill="F2F2F2" w:themeFill="background1" w:themeFillShade="F2"/>
            <w:noWrap/>
            <w:vAlign w:val="center"/>
          </w:tcPr>
          <w:p w14:paraId="1865395F"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75.4%</w:t>
            </w:r>
          </w:p>
        </w:tc>
        <w:tc>
          <w:tcPr>
            <w:tcW w:w="868" w:type="dxa"/>
            <w:shd w:val="clear" w:color="auto" w:fill="F2F2F2" w:themeFill="background1" w:themeFillShade="F2"/>
            <w:noWrap/>
            <w:vAlign w:val="center"/>
          </w:tcPr>
          <w:p w14:paraId="7E56AFC6"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80.4%</w:t>
            </w:r>
          </w:p>
        </w:tc>
        <w:tc>
          <w:tcPr>
            <w:tcW w:w="662" w:type="dxa"/>
            <w:shd w:val="clear" w:color="auto" w:fill="F2F2F2" w:themeFill="background1" w:themeFillShade="F2"/>
            <w:noWrap/>
            <w:vAlign w:val="center"/>
          </w:tcPr>
          <w:p w14:paraId="5EA23CF5"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75.4%</w:t>
            </w:r>
          </w:p>
        </w:tc>
        <w:tc>
          <w:tcPr>
            <w:tcW w:w="688" w:type="dxa"/>
            <w:shd w:val="clear" w:color="auto" w:fill="F2F2F2" w:themeFill="background1" w:themeFillShade="F2"/>
            <w:noWrap/>
            <w:vAlign w:val="center"/>
          </w:tcPr>
          <w:p w14:paraId="110970ED"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72.4%</w:t>
            </w:r>
          </w:p>
        </w:tc>
        <w:tc>
          <w:tcPr>
            <w:tcW w:w="1000" w:type="dxa"/>
            <w:shd w:val="clear" w:color="auto" w:fill="F2F2F2" w:themeFill="background1" w:themeFillShade="F2"/>
            <w:noWrap/>
            <w:vAlign w:val="center"/>
          </w:tcPr>
          <w:p w14:paraId="323DF97C"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82.6%</w:t>
            </w:r>
          </w:p>
        </w:tc>
        <w:tc>
          <w:tcPr>
            <w:tcW w:w="890" w:type="dxa"/>
            <w:shd w:val="clear" w:color="auto" w:fill="F2F2F2" w:themeFill="background1" w:themeFillShade="F2"/>
            <w:noWrap/>
            <w:vAlign w:val="center"/>
          </w:tcPr>
          <w:p w14:paraId="0E98C52B"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74.8%</w:t>
            </w:r>
          </w:p>
        </w:tc>
        <w:tc>
          <w:tcPr>
            <w:tcW w:w="810" w:type="dxa"/>
            <w:shd w:val="clear" w:color="auto" w:fill="F2F2F2" w:themeFill="background1" w:themeFillShade="F2"/>
            <w:noWrap/>
            <w:vAlign w:val="center"/>
          </w:tcPr>
          <w:p w14:paraId="15D0C22A"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75.3%</w:t>
            </w:r>
          </w:p>
        </w:tc>
        <w:tc>
          <w:tcPr>
            <w:tcW w:w="662" w:type="dxa"/>
            <w:shd w:val="clear" w:color="auto" w:fill="F2F2F2" w:themeFill="background1" w:themeFillShade="F2"/>
            <w:noWrap/>
            <w:vAlign w:val="center"/>
          </w:tcPr>
          <w:p w14:paraId="04B579F0"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74.2%</w:t>
            </w:r>
          </w:p>
        </w:tc>
        <w:tc>
          <w:tcPr>
            <w:tcW w:w="737" w:type="dxa"/>
            <w:shd w:val="clear" w:color="auto" w:fill="F2F2F2" w:themeFill="background1" w:themeFillShade="F2"/>
            <w:noWrap/>
            <w:vAlign w:val="center"/>
          </w:tcPr>
          <w:p w14:paraId="411393E6"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80.2%</w:t>
            </w:r>
          </w:p>
        </w:tc>
        <w:tc>
          <w:tcPr>
            <w:tcW w:w="662" w:type="dxa"/>
            <w:shd w:val="clear" w:color="auto" w:fill="F2F2F2" w:themeFill="background1" w:themeFillShade="F2"/>
            <w:noWrap/>
            <w:vAlign w:val="center"/>
          </w:tcPr>
          <w:p w14:paraId="271DC2BC"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72.0%</w:t>
            </w:r>
          </w:p>
        </w:tc>
        <w:tc>
          <w:tcPr>
            <w:tcW w:w="662" w:type="dxa"/>
            <w:shd w:val="clear" w:color="auto" w:fill="F2F2F2" w:themeFill="background1" w:themeFillShade="F2"/>
            <w:noWrap/>
            <w:vAlign w:val="center"/>
          </w:tcPr>
          <w:p w14:paraId="3BC47A84"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78.0%</w:t>
            </w:r>
          </w:p>
        </w:tc>
        <w:tc>
          <w:tcPr>
            <w:tcW w:w="990" w:type="dxa"/>
            <w:shd w:val="clear" w:color="auto" w:fill="F2F2F2" w:themeFill="background1" w:themeFillShade="F2"/>
            <w:noWrap/>
            <w:vAlign w:val="center"/>
          </w:tcPr>
          <w:p w14:paraId="7B9CFA15"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78.0%</w:t>
            </w:r>
          </w:p>
        </w:tc>
        <w:tc>
          <w:tcPr>
            <w:tcW w:w="662" w:type="dxa"/>
            <w:tcBorders>
              <w:right w:val="single" w:sz="4" w:space="0" w:color="auto"/>
            </w:tcBorders>
            <w:shd w:val="clear" w:color="auto" w:fill="F2F2F2" w:themeFill="background1" w:themeFillShade="F2"/>
            <w:noWrap/>
            <w:vAlign w:val="center"/>
          </w:tcPr>
          <w:p w14:paraId="5032F98E"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78.8%</w:t>
            </w:r>
          </w:p>
        </w:tc>
        <w:tc>
          <w:tcPr>
            <w:tcW w:w="66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E9C953A" w14:textId="791EEE47" w:rsidR="00AF1A0D" w:rsidRPr="00CE16A0" w:rsidRDefault="00D31883">
            <w:pPr>
              <w:spacing w:after="0"/>
              <w:jc w:val="center"/>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w:t>
            </w:r>
          </w:p>
        </w:tc>
        <w:tc>
          <w:tcPr>
            <w:tcW w:w="75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815A756" w14:textId="1DE4C58A" w:rsidR="00AF1A0D" w:rsidRPr="00CE16A0" w:rsidRDefault="00D31883">
            <w:pPr>
              <w:spacing w:after="0"/>
              <w:jc w:val="center"/>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w:t>
            </w:r>
          </w:p>
        </w:tc>
        <w:tc>
          <w:tcPr>
            <w:tcW w:w="104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1C18335" w14:textId="0E171FB3" w:rsidR="00AF1A0D" w:rsidRPr="00CE16A0" w:rsidRDefault="00D31883">
            <w:pPr>
              <w:spacing w:after="0"/>
              <w:jc w:val="center"/>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w:t>
            </w:r>
          </w:p>
        </w:tc>
      </w:tr>
      <w:tr w:rsidR="00AF1A0D" w:rsidRPr="00A77490" w14:paraId="29E7DC3A" w14:textId="77777777">
        <w:trPr>
          <w:trHeight w:val="520"/>
        </w:trPr>
        <w:tc>
          <w:tcPr>
            <w:tcW w:w="720" w:type="dxa"/>
            <w:shd w:val="clear" w:color="auto" w:fill="auto"/>
            <w:noWrap/>
          </w:tcPr>
          <w:p w14:paraId="20C382C9" w14:textId="77777777" w:rsidR="00AF1A0D" w:rsidRPr="00A77490" w:rsidRDefault="00AF1A0D">
            <w:pPr>
              <w:spacing w:after="0"/>
              <w:jc w:val="center"/>
              <w:rPr>
                <w:rFonts w:asciiTheme="minorHAnsi" w:eastAsia="Times New Roman" w:hAnsiTheme="minorHAnsi" w:cstheme="minorHAnsi"/>
                <w:color w:val="000000"/>
                <w:sz w:val="16"/>
                <w:szCs w:val="16"/>
              </w:rPr>
            </w:pPr>
            <w:r w:rsidRPr="00597EE2">
              <w:rPr>
                <w:rFonts w:cs="Calibri"/>
                <w:color w:val="000000"/>
                <w:sz w:val="16"/>
                <w:szCs w:val="16"/>
              </w:rPr>
              <w:t xml:space="preserve">EOHHS </w:t>
            </w:r>
          </w:p>
        </w:tc>
        <w:tc>
          <w:tcPr>
            <w:tcW w:w="2700" w:type="dxa"/>
            <w:shd w:val="clear" w:color="auto" w:fill="auto"/>
          </w:tcPr>
          <w:p w14:paraId="077D156A" w14:textId="28405818" w:rsidR="00AF1A0D" w:rsidRPr="00A77490" w:rsidRDefault="00AF1A0D">
            <w:pPr>
              <w:spacing w:after="0"/>
              <w:rPr>
                <w:rFonts w:asciiTheme="minorHAnsi" w:eastAsia="Times New Roman" w:hAnsiTheme="minorHAnsi" w:cstheme="minorHAnsi"/>
                <w:sz w:val="16"/>
                <w:szCs w:val="16"/>
              </w:rPr>
            </w:pPr>
            <w:r w:rsidRPr="00597EE2">
              <w:rPr>
                <w:rFonts w:cs="Calibri"/>
                <w:color w:val="000000"/>
                <w:sz w:val="16"/>
                <w:szCs w:val="16"/>
              </w:rPr>
              <w:t>Child</w:t>
            </w:r>
            <w:r w:rsidR="00E37A7A" w:rsidRPr="00597EE2">
              <w:rPr>
                <w:rFonts w:cs="Calibri"/>
                <w:color w:val="000000"/>
                <w:sz w:val="16"/>
                <w:szCs w:val="16"/>
              </w:rPr>
              <w:t>: Person</w:t>
            </w:r>
            <w:r w:rsidRPr="00597EE2">
              <w:rPr>
                <w:rFonts w:cs="Calibri"/>
                <w:color w:val="000000"/>
                <w:sz w:val="16"/>
                <w:szCs w:val="16"/>
              </w:rPr>
              <w:t>-Centered Integrated Care: Integration of Care</w:t>
            </w:r>
          </w:p>
        </w:tc>
        <w:tc>
          <w:tcPr>
            <w:tcW w:w="810" w:type="dxa"/>
            <w:shd w:val="clear" w:color="auto" w:fill="auto"/>
            <w:noWrap/>
            <w:vAlign w:val="center"/>
          </w:tcPr>
          <w:p w14:paraId="64AB466B"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80.2%</w:t>
            </w:r>
          </w:p>
        </w:tc>
        <w:tc>
          <w:tcPr>
            <w:tcW w:w="662" w:type="dxa"/>
            <w:shd w:val="clear" w:color="auto" w:fill="auto"/>
            <w:noWrap/>
            <w:vAlign w:val="center"/>
          </w:tcPr>
          <w:p w14:paraId="19B95895"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84.5%</w:t>
            </w:r>
          </w:p>
        </w:tc>
        <w:tc>
          <w:tcPr>
            <w:tcW w:w="662" w:type="dxa"/>
            <w:shd w:val="clear" w:color="auto" w:fill="auto"/>
            <w:noWrap/>
            <w:vAlign w:val="center"/>
          </w:tcPr>
          <w:p w14:paraId="7687FA35"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81.7%</w:t>
            </w:r>
          </w:p>
        </w:tc>
        <w:tc>
          <w:tcPr>
            <w:tcW w:w="662" w:type="dxa"/>
            <w:shd w:val="clear" w:color="auto" w:fill="auto"/>
            <w:noWrap/>
            <w:vAlign w:val="center"/>
          </w:tcPr>
          <w:p w14:paraId="5996B84A"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75.6%</w:t>
            </w:r>
          </w:p>
        </w:tc>
        <w:tc>
          <w:tcPr>
            <w:tcW w:w="662" w:type="dxa"/>
            <w:shd w:val="clear" w:color="auto" w:fill="auto"/>
            <w:noWrap/>
            <w:vAlign w:val="center"/>
          </w:tcPr>
          <w:p w14:paraId="0628E499"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77.4%</w:t>
            </w:r>
          </w:p>
        </w:tc>
        <w:tc>
          <w:tcPr>
            <w:tcW w:w="952" w:type="dxa"/>
            <w:shd w:val="clear" w:color="auto" w:fill="auto"/>
            <w:noWrap/>
            <w:vAlign w:val="center"/>
          </w:tcPr>
          <w:p w14:paraId="69D682C4"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77.0%</w:t>
            </w:r>
          </w:p>
        </w:tc>
        <w:tc>
          <w:tcPr>
            <w:tcW w:w="868" w:type="dxa"/>
            <w:shd w:val="clear" w:color="auto" w:fill="auto"/>
            <w:noWrap/>
            <w:vAlign w:val="center"/>
          </w:tcPr>
          <w:p w14:paraId="65639A74"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83.2%</w:t>
            </w:r>
          </w:p>
        </w:tc>
        <w:tc>
          <w:tcPr>
            <w:tcW w:w="662" w:type="dxa"/>
            <w:shd w:val="clear" w:color="auto" w:fill="auto"/>
            <w:noWrap/>
            <w:vAlign w:val="center"/>
          </w:tcPr>
          <w:p w14:paraId="39293AA5"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78.4%</w:t>
            </w:r>
          </w:p>
        </w:tc>
        <w:tc>
          <w:tcPr>
            <w:tcW w:w="688" w:type="dxa"/>
            <w:shd w:val="clear" w:color="auto" w:fill="auto"/>
            <w:noWrap/>
            <w:vAlign w:val="center"/>
          </w:tcPr>
          <w:p w14:paraId="7DBB91FF"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74.7%</w:t>
            </w:r>
          </w:p>
        </w:tc>
        <w:tc>
          <w:tcPr>
            <w:tcW w:w="1000" w:type="dxa"/>
            <w:shd w:val="clear" w:color="auto" w:fill="auto"/>
            <w:noWrap/>
            <w:vAlign w:val="center"/>
          </w:tcPr>
          <w:p w14:paraId="1FDCDD79"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82.2%</w:t>
            </w:r>
          </w:p>
        </w:tc>
        <w:tc>
          <w:tcPr>
            <w:tcW w:w="890" w:type="dxa"/>
            <w:shd w:val="clear" w:color="auto" w:fill="auto"/>
            <w:noWrap/>
            <w:vAlign w:val="center"/>
          </w:tcPr>
          <w:p w14:paraId="77292BEB"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77.9%</w:t>
            </w:r>
          </w:p>
        </w:tc>
        <w:tc>
          <w:tcPr>
            <w:tcW w:w="810" w:type="dxa"/>
            <w:shd w:val="clear" w:color="auto" w:fill="auto"/>
            <w:noWrap/>
            <w:vAlign w:val="center"/>
          </w:tcPr>
          <w:p w14:paraId="0186C2B9"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79.7%</w:t>
            </w:r>
          </w:p>
        </w:tc>
        <w:tc>
          <w:tcPr>
            <w:tcW w:w="662" w:type="dxa"/>
            <w:shd w:val="clear" w:color="auto" w:fill="auto"/>
            <w:noWrap/>
            <w:vAlign w:val="center"/>
          </w:tcPr>
          <w:p w14:paraId="29E8D97F"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76.7%</w:t>
            </w:r>
          </w:p>
        </w:tc>
        <w:tc>
          <w:tcPr>
            <w:tcW w:w="737" w:type="dxa"/>
            <w:shd w:val="clear" w:color="auto" w:fill="auto"/>
            <w:noWrap/>
            <w:vAlign w:val="center"/>
          </w:tcPr>
          <w:p w14:paraId="64ECB002"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84.2%</w:t>
            </w:r>
          </w:p>
        </w:tc>
        <w:tc>
          <w:tcPr>
            <w:tcW w:w="662" w:type="dxa"/>
            <w:shd w:val="clear" w:color="auto" w:fill="auto"/>
            <w:noWrap/>
            <w:vAlign w:val="center"/>
          </w:tcPr>
          <w:p w14:paraId="67291E05"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73.3%</w:t>
            </w:r>
          </w:p>
        </w:tc>
        <w:tc>
          <w:tcPr>
            <w:tcW w:w="662" w:type="dxa"/>
            <w:shd w:val="clear" w:color="auto" w:fill="auto"/>
            <w:noWrap/>
            <w:vAlign w:val="center"/>
          </w:tcPr>
          <w:p w14:paraId="2F718D85"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78.4%</w:t>
            </w:r>
          </w:p>
        </w:tc>
        <w:tc>
          <w:tcPr>
            <w:tcW w:w="990" w:type="dxa"/>
            <w:shd w:val="clear" w:color="auto" w:fill="auto"/>
            <w:noWrap/>
            <w:vAlign w:val="center"/>
          </w:tcPr>
          <w:p w14:paraId="324EE9C7"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82.3%</w:t>
            </w:r>
          </w:p>
        </w:tc>
        <w:tc>
          <w:tcPr>
            <w:tcW w:w="662" w:type="dxa"/>
            <w:tcBorders>
              <w:right w:val="single" w:sz="4" w:space="0" w:color="auto"/>
            </w:tcBorders>
            <w:shd w:val="clear" w:color="auto" w:fill="auto"/>
            <w:noWrap/>
            <w:vAlign w:val="center"/>
          </w:tcPr>
          <w:p w14:paraId="186B558E"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64.3%</w:t>
            </w:r>
          </w:p>
        </w:tc>
        <w:tc>
          <w:tcPr>
            <w:tcW w:w="66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8BDEF64" w14:textId="216F16E0" w:rsidR="00AF1A0D" w:rsidRPr="00CE16A0" w:rsidRDefault="00D31883">
            <w:pPr>
              <w:spacing w:after="0"/>
              <w:jc w:val="center"/>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w:t>
            </w:r>
          </w:p>
        </w:tc>
        <w:tc>
          <w:tcPr>
            <w:tcW w:w="75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995C21E" w14:textId="0FDF87F5" w:rsidR="00AF1A0D" w:rsidRPr="00CE16A0" w:rsidRDefault="00D31883">
            <w:pPr>
              <w:spacing w:after="0"/>
              <w:jc w:val="center"/>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w:t>
            </w:r>
          </w:p>
        </w:tc>
        <w:tc>
          <w:tcPr>
            <w:tcW w:w="104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144DD3A" w14:textId="1335B380" w:rsidR="00AF1A0D" w:rsidRPr="00CE16A0" w:rsidRDefault="00D31883">
            <w:pPr>
              <w:spacing w:after="0"/>
              <w:jc w:val="center"/>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w:t>
            </w:r>
          </w:p>
        </w:tc>
      </w:tr>
      <w:tr w:rsidR="00AF1A0D" w:rsidRPr="00A77490" w14:paraId="2F6FF5DF" w14:textId="77777777">
        <w:trPr>
          <w:trHeight w:val="520"/>
        </w:trPr>
        <w:tc>
          <w:tcPr>
            <w:tcW w:w="720" w:type="dxa"/>
            <w:shd w:val="clear" w:color="auto" w:fill="F2F2F2" w:themeFill="background1" w:themeFillShade="F2"/>
            <w:noWrap/>
          </w:tcPr>
          <w:p w14:paraId="3EF874F6" w14:textId="77777777" w:rsidR="00AF1A0D" w:rsidRPr="00A77490" w:rsidRDefault="00AF1A0D">
            <w:pPr>
              <w:spacing w:after="0"/>
              <w:jc w:val="center"/>
              <w:rPr>
                <w:rFonts w:asciiTheme="minorHAnsi" w:eastAsia="Times New Roman" w:hAnsiTheme="minorHAnsi" w:cstheme="minorHAnsi"/>
                <w:color w:val="000000"/>
                <w:sz w:val="16"/>
                <w:szCs w:val="16"/>
              </w:rPr>
            </w:pPr>
            <w:r w:rsidRPr="00597EE2">
              <w:rPr>
                <w:rFonts w:cs="Calibri"/>
                <w:color w:val="000000"/>
                <w:sz w:val="16"/>
                <w:szCs w:val="16"/>
              </w:rPr>
              <w:t>EOHH</w:t>
            </w:r>
            <w:r>
              <w:rPr>
                <w:rFonts w:cs="Calibri"/>
                <w:color w:val="000000"/>
                <w:sz w:val="16"/>
                <w:szCs w:val="16"/>
              </w:rPr>
              <w:t>S</w:t>
            </w:r>
            <w:r w:rsidRPr="00597EE2">
              <w:rPr>
                <w:rFonts w:cs="Calibri"/>
                <w:color w:val="000000"/>
                <w:sz w:val="16"/>
                <w:szCs w:val="16"/>
              </w:rPr>
              <w:t xml:space="preserve"> </w:t>
            </w:r>
          </w:p>
        </w:tc>
        <w:tc>
          <w:tcPr>
            <w:tcW w:w="2700" w:type="dxa"/>
            <w:shd w:val="clear" w:color="auto" w:fill="F2F2F2" w:themeFill="background1" w:themeFillShade="F2"/>
            <w:vAlign w:val="bottom"/>
          </w:tcPr>
          <w:p w14:paraId="5CABDDAD" w14:textId="47804BFD" w:rsidR="00AF1A0D" w:rsidRPr="00A77490" w:rsidRDefault="00AF1A0D">
            <w:pPr>
              <w:rPr>
                <w:rFonts w:asciiTheme="minorHAnsi" w:eastAsia="Times New Roman" w:hAnsiTheme="minorHAnsi" w:cstheme="minorHAnsi"/>
                <w:sz w:val="16"/>
                <w:szCs w:val="16"/>
              </w:rPr>
            </w:pPr>
            <w:r w:rsidRPr="00597EE2">
              <w:rPr>
                <w:rFonts w:cs="Calibri"/>
                <w:color w:val="000000"/>
                <w:sz w:val="16"/>
                <w:szCs w:val="16"/>
              </w:rPr>
              <w:t>Adult</w:t>
            </w:r>
            <w:r w:rsidR="00E37A7A" w:rsidRPr="00597EE2">
              <w:rPr>
                <w:rFonts w:cs="Calibri"/>
                <w:color w:val="000000"/>
                <w:sz w:val="16"/>
                <w:szCs w:val="16"/>
              </w:rPr>
              <w:t>: Person</w:t>
            </w:r>
            <w:r w:rsidRPr="00597EE2">
              <w:rPr>
                <w:rFonts w:cs="Calibri"/>
                <w:color w:val="000000"/>
                <w:sz w:val="16"/>
                <w:szCs w:val="16"/>
              </w:rPr>
              <w:t>-Centered Integrated Care: Knowledge of Patient</w:t>
            </w:r>
          </w:p>
        </w:tc>
        <w:tc>
          <w:tcPr>
            <w:tcW w:w="810" w:type="dxa"/>
            <w:shd w:val="clear" w:color="auto" w:fill="F2F2F2" w:themeFill="background1" w:themeFillShade="F2"/>
            <w:noWrap/>
            <w:vAlign w:val="center"/>
          </w:tcPr>
          <w:p w14:paraId="48642DA8"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81.6%</w:t>
            </w:r>
          </w:p>
        </w:tc>
        <w:tc>
          <w:tcPr>
            <w:tcW w:w="662" w:type="dxa"/>
            <w:shd w:val="clear" w:color="auto" w:fill="F2F2F2" w:themeFill="background1" w:themeFillShade="F2"/>
            <w:noWrap/>
            <w:vAlign w:val="center"/>
          </w:tcPr>
          <w:p w14:paraId="463870E1"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80.1%</w:t>
            </w:r>
          </w:p>
        </w:tc>
        <w:tc>
          <w:tcPr>
            <w:tcW w:w="662" w:type="dxa"/>
            <w:shd w:val="clear" w:color="auto" w:fill="F2F2F2" w:themeFill="background1" w:themeFillShade="F2"/>
            <w:noWrap/>
            <w:vAlign w:val="center"/>
          </w:tcPr>
          <w:p w14:paraId="7E4F4253"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82.8%</w:t>
            </w:r>
          </w:p>
        </w:tc>
        <w:tc>
          <w:tcPr>
            <w:tcW w:w="662" w:type="dxa"/>
            <w:shd w:val="clear" w:color="auto" w:fill="F2F2F2" w:themeFill="background1" w:themeFillShade="F2"/>
            <w:noWrap/>
            <w:vAlign w:val="center"/>
          </w:tcPr>
          <w:p w14:paraId="41B05B25"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83.0%</w:t>
            </w:r>
          </w:p>
        </w:tc>
        <w:tc>
          <w:tcPr>
            <w:tcW w:w="662" w:type="dxa"/>
            <w:shd w:val="clear" w:color="auto" w:fill="F2F2F2" w:themeFill="background1" w:themeFillShade="F2"/>
            <w:noWrap/>
            <w:vAlign w:val="center"/>
          </w:tcPr>
          <w:p w14:paraId="25A570FC"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78.7%</w:t>
            </w:r>
          </w:p>
        </w:tc>
        <w:tc>
          <w:tcPr>
            <w:tcW w:w="952" w:type="dxa"/>
            <w:shd w:val="clear" w:color="auto" w:fill="F2F2F2" w:themeFill="background1" w:themeFillShade="F2"/>
            <w:noWrap/>
            <w:vAlign w:val="center"/>
          </w:tcPr>
          <w:p w14:paraId="56EC4584"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82.1%</w:t>
            </w:r>
          </w:p>
        </w:tc>
        <w:tc>
          <w:tcPr>
            <w:tcW w:w="868" w:type="dxa"/>
            <w:shd w:val="clear" w:color="auto" w:fill="F2F2F2" w:themeFill="background1" w:themeFillShade="F2"/>
            <w:noWrap/>
            <w:vAlign w:val="center"/>
          </w:tcPr>
          <w:p w14:paraId="4133CE37"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84.0%</w:t>
            </w:r>
          </w:p>
        </w:tc>
        <w:tc>
          <w:tcPr>
            <w:tcW w:w="662" w:type="dxa"/>
            <w:shd w:val="clear" w:color="auto" w:fill="F2F2F2" w:themeFill="background1" w:themeFillShade="F2"/>
            <w:noWrap/>
            <w:vAlign w:val="center"/>
          </w:tcPr>
          <w:p w14:paraId="7B7AF815"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80.4%</w:t>
            </w:r>
          </w:p>
        </w:tc>
        <w:tc>
          <w:tcPr>
            <w:tcW w:w="688" w:type="dxa"/>
            <w:shd w:val="clear" w:color="auto" w:fill="F2F2F2" w:themeFill="background1" w:themeFillShade="F2"/>
            <w:noWrap/>
            <w:vAlign w:val="center"/>
          </w:tcPr>
          <w:p w14:paraId="378C313E"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80.0%</w:t>
            </w:r>
          </w:p>
        </w:tc>
        <w:tc>
          <w:tcPr>
            <w:tcW w:w="1000" w:type="dxa"/>
            <w:shd w:val="clear" w:color="auto" w:fill="F2F2F2" w:themeFill="background1" w:themeFillShade="F2"/>
            <w:noWrap/>
            <w:vAlign w:val="center"/>
          </w:tcPr>
          <w:p w14:paraId="1849FBDB"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89.6%</w:t>
            </w:r>
          </w:p>
        </w:tc>
        <w:tc>
          <w:tcPr>
            <w:tcW w:w="890" w:type="dxa"/>
            <w:shd w:val="clear" w:color="auto" w:fill="F2F2F2" w:themeFill="background1" w:themeFillShade="F2"/>
            <w:noWrap/>
            <w:vAlign w:val="center"/>
          </w:tcPr>
          <w:p w14:paraId="694FBC59"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80.8%</w:t>
            </w:r>
          </w:p>
        </w:tc>
        <w:tc>
          <w:tcPr>
            <w:tcW w:w="810" w:type="dxa"/>
            <w:shd w:val="clear" w:color="auto" w:fill="F2F2F2" w:themeFill="background1" w:themeFillShade="F2"/>
            <w:noWrap/>
            <w:vAlign w:val="center"/>
          </w:tcPr>
          <w:p w14:paraId="32F9A096"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77.5%</w:t>
            </w:r>
          </w:p>
        </w:tc>
        <w:tc>
          <w:tcPr>
            <w:tcW w:w="662" w:type="dxa"/>
            <w:shd w:val="clear" w:color="auto" w:fill="F2F2F2" w:themeFill="background1" w:themeFillShade="F2"/>
            <w:noWrap/>
            <w:vAlign w:val="center"/>
          </w:tcPr>
          <w:p w14:paraId="2D9276CE"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79.8%</w:t>
            </w:r>
          </w:p>
        </w:tc>
        <w:tc>
          <w:tcPr>
            <w:tcW w:w="737" w:type="dxa"/>
            <w:shd w:val="clear" w:color="auto" w:fill="F2F2F2" w:themeFill="background1" w:themeFillShade="F2"/>
            <w:noWrap/>
            <w:vAlign w:val="center"/>
          </w:tcPr>
          <w:p w14:paraId="66E48E48"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83.6%</w:t>
            </w:r>
          </w:p>
        </w:tc>
        <w:tc>
          <w:tcPr>
            <w:tcW w:w="662" w:type="dxa"/>
            <w:shd w:val="clear" w:color="auto" w:fill="F2F2F2" w:themeFill="background1" w:themeFillShade="F2"/>
            <w:noWrap/>
            <w:vAlign w:val="center"/>
          </w:tcPr>
          <w:p w14:paraId="69334B00"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78.1%</w:t>
            </w:r>
          </w:p>
        </w:tc>
        <w:tc>
          <w:tcPr>
            <w:tcW w:w="662" w:type="dxa"/>
            <w:shd w:val="clear" w:color="auto" w:fill="F2F2F2" w:themeFill="background1" w:themeFillShade="F2"/>
            <w:noWrap/>
            <w:vAlign w:val="center"/>
          </w:tcPr>
          <w:p w14:paraId="6FD13FF3"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82.6%</w:t>
            </w:r>
          </w:p>
        </w:tc>
        <w:tc>
          <w:tcPr>
            <w:tcW w:w="990" w:type="dxa"/>
            <w:shd w:val="clear" w:color="auto" w:fill="F2F2F2" w:themeFill="background1" w:themeFillShade="F2"/>
            <w:noWrap/>
            <w:vAlign w:val="center"/>
          </w:tcPr>
          <w:p w14:paraId="498F3E45"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82.8%</w:t>
            </w:r>
          </w:p>
        </w:tc>
        <w:tc>
          <w:tcPr>
            <w:tcW w:w="662" w:type="dxa"/>
            <w:tcBorders>
              <w:right w:val="single" w:sz="4" w:space="0" w:color="auto"/>
            </w:tcBorders>
            <w:shd w:val="clear" w:color="auto" w:fill="F2F2F2" w:themeFill="background1" w:themeFillShade="F2"/>
            <w:noWrap/>
            <w:vAlign w:val="center"/>
          </w:tcPr>
          <w:p w14:paraId="1754B39D"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83.4%</w:t>
            </w:r>
          </w:p>
        </w:tc>
        <w:tc>
          <w:tcPr>
            <w:tcW w:w="66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77B39A5" w14:textId="6C2538BE" w:rsidR="00AF1A0D" w:rsidRPr="00CE16A0" w:rsidRDefault="00D31883">
            <w:pPr>
              <w:spacing w:after="0"/>
              <w:jc w:val="center"/>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w:t>
            </w:r>
          </w:p>
        </w:tc>
        <w:tc>
          <w:tcPr>
            <w:tcW w:w="75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D5F3DD7" w14:textId="09D6265D" w:rsidR="00AF1A0D" w:rsidRPr="00CE16A0" w:rsidRDefault="00D31883">
            <w:pPr>
              <w:spacing w:after="0"/>
              <w:jc w:val="center"/>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w:t>
            </w:r>
          </w:p>
        </w:tc>
        <w:tc>
          <w:tcPr>
            <w:tcW w:w="104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9D44537" w14:textId="29C10E96" w:rsidR="00AF1A0D" w:rsidRPr="00CE16A0" w:rsidRDefault="00D31883">
            <w:pPr>
              <w:spacing w:after="0"/>
              <w:jc w:val="center"/>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w:t>
            </w:r>
          </w:p>
        </w:tc>
      </w:tr>
      <w:tr w:rsidR="00AF1A0D" w:rsidRPr="00A77490" w14:paraId="0E6E48C1" w14:textId="77777777">
        <w:trPr>
          <w:trHeight w:val="520"/>
        </w:trPr>
        <w:tc>
          <w:tcPr>
            <w:tcW w:w="720" w:type="dxa"/>
            <w:shd w:val="clear" w:color="auto" w:fill="auto"/>
            <w:noWrap/>
          </w:tcPr>
          <w:p w14:paraId="753829E6" w14:textId="77777777" w:rsidR="00AF1A0D" w:rsidRPr="00A77490" w:rsidRDefault="00AF1A0D">
            <w:pPr>
              <w:spacing w:after="0"/>
              <w:jc w:val="center"/>
              <w:rPr>
                <w:rFonts w:asciiTheme="minorHAnsi" w:eastAsia="Times New Roman" w:hAnsiTheme="minorHAnsi" w:cstheme="minorHAnsi"/>
                <w:color w:val="000000"/>
                <w:sz w:val="16"/>
                <w:szCs w:val="16"/>
              </w:rPr>
            </w:pPr>
            <w:r w:rsidRPr="00597EE2">
              <w:rPr>
                <w:rFonts w:cs="Calibri"/>
                <w:color w:val="000000"/>
                <w:sz w:val="16"/>
                <w:szCs w:val="16"/>
              </w:rPr>
              <w:t>EOHH</w:t>
            </w:r>
            <w:r>
              <w:rPr>
                <w:rFonts w:cs="Calibri"/>
                <w:color w:val="000000"/>
                <w:sz w:val="16"/>
                <w:szCs w:val="16"/>
              </w:rPr>
              <w:t>S</w:t>
            </w:r>
            <w:r w:rsidRPr="00597EE2">
              <w:rPr>
                <w:rFonts w:cs="Calibri"/>
                <w:color w:val="000000"/>
                <w:sz w:val="16"/>
                <w:szCs w:val="16"/>
              </w:rPr>
              <w:t xml:space="preserve"> </w:t>
            </w:r>
          </w:p>
        </w:tc>
        <w:tc>
          <w:tcPr>
            <w:tcW w:w="2700" w:type="dxa"/>
            <w:shd w:val="clear" w:color="auto" w:fill="auto"/>
            <w:vAlign w:val="bottom"/>
          </w:tcPr>
          <w:p w14:paraId="06AC5E1C" w14:textId="1FEFF663" w:rsidR="00AF1A0D" w:rsidRPr="00A77490" w:rsidRDefault="00AF1A0D">
            <w:pPr>
              <w:rPr>
                <w:rFonts w:asciiTheme="minorHAnsi" w:eastAsia="Times New Roman" w:hAnsiTheme="minorHAnsi" w:cstheme="minorHAnsi"/>
                <w:sz w:val="16"/>
                <w:szCs w:val="16"/>
              </w:rPr>
            </w:pPr>
            <w:r w:rsidRPr="00597EE2">
              <w:rPr>
                <w:rFonts w:cs="Calibri"/>
                <w:color w:val="000000"/>
                <w:sz w:val="16"/>
                <w:szCs w:val="16"/>
              </w:rPr>
              <w:t>Child</w:t>
            </w:r>
            <w:r w:rsidR="00E37A7A" w:rsidRPr="00597EE2">
              <w:rPr>
                <w:rFonts w:cs="Calibri"/>
                <w:color w:val="000000"/>
                <w:sz w:val="16"/>
                <w:szCs w:val="16"/>
              </w:rPr>
              <w:t>: Person</w:t>
            </w:r>
            <w:r w:rsidRPr="00597EE2">
              <w:rPr>
                <w:rFonts w:cs="Calibri"/>
                <w:color w:val="000000"/>
                <w:sz w:val="16"/>
                <w:szCs w:val="16"/>
              </w:rPr>
              <w:t>-Centered Integrated Care: Knowledge of Patient</w:t>
            </w:r>
          </w:p>
        </w:tc>
        <w:tc>
          <w:tcPr>
            <w:tcW w:w="810" w:type="dxa"/>
            <w:shd w:val="clear" w:color="auto" w:fill="auto"/>
            <w:noWrap/>
            <w:vAlign w:val="center"/>
          </w:tcPr>
          <w:p w14:paraId="1DA30DE6"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87.2%</w:t>
            </w:r>
          </w:p>
        </w:tc>
        <w:tc>
          <w:tcPr>
            <w:tcW w:w="662" w:type="dxa"/>
            <w:shd w:val="clear" w:color="auto" w:fill="auto"/>
            <w:noWrap/>
            <w:vAlign w:val="center"/>
          </w:tcPr>
          <w:p w14:paraId="1358ED1A"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86.1%</w:t>
            </w:r>
          </w:p>
        </w:tc>
        <w:tc>
          <w:tcPr>
            <w:tcW w:w="662" w:type="dxa"/>
            <w:shd w:val="clear" w:color="auto" w:fill="auto"/>
            <w:noWrap/>
            <w:vAlign w:val="center"/>
          </w:tcPr>
          <w:p w14:paraId="558CA8EE"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87.5%</w:t>
            </w:r>
          </w:p>
        </w:tc>
        <w:tc>
          <w:tcPr>
            <w:tcW w:w="662" w:type="dxa"/>
            <w:shd w:val="clear" w:color="auto" w:fill="auto"/>
            <w:noWrap/>
            <w:vAlign w:val="center"/>
          </w:tcPr>
          <w:p w14:paraId="10398BEE"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87.9%</w:t>
            </w:r>
          </w:p>
        </w:tc>
        <w:tc>
          <w:tcPr>
            <w:tcW w:w="662" w:type="dxa"/>
            <w:shd w:val="clear" w:color="auto" w:fill="auto"/>
            <w:noWrap/>
            <w:vAlign w:val="center"/>
          </w:tcPr>
          <w:p w14:paraId="0AB9D84B"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85.6%</w:t>
            </w:r>
          </w:p>
        </w:tc>
        <w:tc>
          <w:tcPr>
            <w:tcW w:w="952" w:type="dxa"/>
            <w:shd w:val="clear" w:color="auto" w:fill="auto"/>
            <w:noWrap/>
            <w:vAlign w:val="center"/>
          </w:tcPr>
          <w:p w14:paraId="16AB7CE1"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84.9%</w:t>
            </w:r>
          </w:p>
        </w:tc>
        <w:tc>
          <w:tcPr>
            <w:tcW w:w="868" w:type="dxa"/>
            <w:shd w:val="clear" w:color="auto" w:fill="auto"/>
            <w:noWrap/>
            <w:vAlign w:val="center"/>
          </w:tcPr>
          <w:p w14:paraId="4BE29017"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89.8%</w:t>
            </w:r>
          </w:p>
        </w:tc>
        <w:tc>
          <w:tcPr>
            <w:tcW w:w="662" w:type="dxa"/>
            <w:shd w:val="clear" w:color="auto" w:fill="auto"/>
            <w:noWrap/>
            <w:vAlign w:val="center"/>
          </w:tcPr>
          <w:p w14:paraId="4DBE9FB7"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86.6%</w:t>
            </w:r>
          </w:p>
        </w:tc>
        <w:tc>
          <w:tcPr>
            <w:tcW w:w="688" w:type="dxa"/>
            <w:shd w:val="clear" w:color="auto" w:fill="auto"/>
            <w:noWrap/>
            <w:vAlign w:val="center"/>
          </w:tcPr>
          <w:p w14:paraId="250215C2"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86.7%</w:t>
            </w:r>
          </w:p>
        </w:tc>
        <w:tc>
          <w:tcPr>
            <w:tcW w:w="1000" w:type="dxa"/>
            <w:shd w:val="clear" w:color="auto" w:fill="auto"/>
            <w:noWrap/>
            <w:vAlign w:val="center"/>
          </w:tcPr>
          <w:p w14:paraId="5C098AFE"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89.1%</w:t>
            </w:r>
          </w:p>
        </w:tc>
        <w:tc>
          <w:tcPr>
            <w:tcW w:w="890" w:type="dxa"/>
            <w:shd w:val="clear" w:color="auto" w:fill="auto"/>
            <w:noWrap/>
            <w:vAlign w:val="center"/>
          </w:tcPr>
          <w:p w14:paraId="7526121B"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85.5%</w:t>
            </w:r>
          </w:p>
        </w:tc>
        <w:tc>
          <w:tcPr>
            <w:tcW w:w="810" w:type="dxa"/>
            <w:shd w:val="clear" w:color="auto" w:fill="auto"/>
            <w:noWrap/>
            <w:vAlign w:val="center"/>
          </w:tcPr>
          <w:p w14:paraId="50917BDC"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87.1%</w:t>
            </w:r>
          </w:p>
        </w:tc>
        <w:tc>
          <w:tcPr>
            <w:tcW w:w="662" w:type="dxa"/>
            <w:shd w:val="clear" w:color="auto" w:fill="auto"/>
            <w:noWrap/>
            <w:vAlign w:val="center"/>
          </w:tcPr>
          <w:p w14:paraId="7849900B"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83.8%</w:t>
            </w:r>
          </w:p>
        </w:tc>
        <w:tc>
          <w:tcPr>
            <w:tcW w:w="737" w:type="dxa"/>
            <w:shd w:val="clear" w:color="auto" w:fill="auto"/>
            <w:noWrap/>
            <w:vAlign w:val="center"/>
          </w:tcPr>
          <w:p w14:paraId="3927F021"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89.3%</w:t>
            </w:r>
          </w:p>
        </w:tc>
        <w:tc>
          <w:tcPr>
            <w:tcW w:w="662" w:type="dxa"/>
            <w:shd w:val="clear" w:color="auto" w:fill="auto"/>
            <w:noWrap/>
            <w:vAlign w:val="center"/>
          </w:tcPr>
          <w:p w14:paraId="4C33FED3"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84.0%</w:t>
            </w:r>
          </w:p>
        </w:tc>
        <w:tc>
          <w:tcPr>
            <w:tcW w:w="662" w:type="dxa"/>
            <w:shd w:val="clear" w:color="auto" w:fill="auto"/>
            <w:noWrap/>
            <w:vAlign w:val="center"/>
          </w:tcPr>
          <w:p w14:paraId="01C3C085"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88.1%</w:t>
            </w:r>
          </w:p>
        </w:tc>
        <w:tc>
          <w:tcPr>
            <w:tcW w:w="990" w:type="dxa"/>
            <w:shd w:val="clear" w:color="auto" w:fill="auto"/>
            <w:noWrap/>
            <w:vAlign w:val="center"/>
          </w:tcPr>
          <w:p w14:paraId="4DBD55F4"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89.2%</w:t>
            </w:r>
          </w:p>
        </w:tc>
        <w:tc>
          <w:tcPr>
            <w:tcW w:w="662" w:type="dxa"/>
            <w:tcBorders>
              <w:right w:val="single" w:sz="4" w:space="0" w:color="auto"/>
            </w:tcBorders>
            <w:shd w:val="clear" w:color="auto" w:fill="auto"/>
            <w:noWrap/>
            <w:vAlign w:val="center"/>
          </w:tcPr>
          <w:p w14:paraId="73974EDA" w14:textId="77777777" w:rsidR="00AF1A0D" w:rsidRPr="00FD6425" w:rsidRDefault="00AF1A0D">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71.8%</w:t>
            </w:r>
          </w:p>
        </w:tc>
        <w:tc>
          <w:tcPr>
            <w:tcW w:w="66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EB8F08B" w14:textId="7A2BB82E" w:rsidR="00AF1A0D" w:rsidRPr="00CE16A0" w:rsidRDefault="00D31883">
            <w:pPr>
              <w:spacing w:after="0"/>
              <w:jc w:val="center"/>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w:t>
            </w:r>
          </w:p>
        </w:tc>
        <w:tc>
          <w:tcPr>
            <w:tcW w:w="75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7F0B4F9" w14:textId="0D0DAC33" w:rsidR="00AF1A0D" w:rsidRPr="00CE16A0" w:rsidRDefault="00D31883">
            <w:pPr>
              <w:spacing w:after="0"/>
              <w:jc w:val="center"/>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w:t>
            </w:r>
          </w:p>
        </w:tc>
        <w:tc>
          <w:tcPr>
            <w:tcW w:w="104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85BA24E" w14:textId="06688F9D" w:rsidR="00AF1A0D" w:rsidRPr="00CE16A0" w:rsidRDefault="00D31883">
            <w:pPr>
              <w:spacing w:after="0"/>
              <w:jc w:val="center"/>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w:t>
            </w:r>
          </w:p>
        </w:tc>
      </w:tr>
    </w:tbl>
    <w:p w14:paraId="37E9D35B" w14:textId="77777777" w:rsidR="00AF1A0D" w:rsidRDefault="00AF1A0D" w:rsidP="00AF1A0D">
      <w:pPr>
        <w:spacing w:after="160" w:line="259" w:lineRule="auto"/>
        <w:ind w:left="-1170"/>
        <w:rPr>
          <w:rFonts w:eastAsia="Times New Roman" w:cs="Calibri"/>
          <w:b/>
          <w:bCs/>
          <w:color w:val="000000"/>
          <w:sz w:val="20"/>
          <w:szCs w:val="20"/>
        </w:rPr>
      </w:pPr>
    </w:p>
    <w:p w14:paraId="20BD8911" w14:textId="77777777" w:rsidR="00AF1A0D" w:rsidRDefault="00AF1A0D" w:rsidP="005D332F">
      <w:pPr>
        <w:ind w:left="-810"/>
        <w:rPr>
          <w:rFonts w:eastAsia="Times New Roman" w:cs="Calibri"/>
          <w:b/>
          <w:bCs/>
          <w:sz w:val="20"/>
          <w:szCs w:val="20"/>
        </w:rPr>
      </w:pPr>
    </w:p>
    <w:p w14:paraId="60478CEB" w14:textId="0043BD6A" w:rsidR="00D53CB8" w:rsidRDefault="00EF3C1C" w:rsidP="005D332F">
      <w:pPr>
        <w:ind w:left="-810"/>
        <w:rPr>
          <w:rFonts w:eastAsia="Times New Roman" w:cs="Calibri"/>
          <w:b/>
          <w:bCs/>
          <w:color w:val="000000"/>
          <w:sz w:val="20"/>
          <w:szCs w:val="20"/>
        </w:rPr>
      </w:pPr>
      <w:r w:rsidRPr="21CA7F43">
        <w:rPr>
          <w:rFonts w:eastAsia="Times New Roman" w:cs="Calibri"/>
          <w:b/>
          <w:bCs/>
          <w:sz w:val="20"/>
          <w:szCs w:val="20"/>
        </w:rPr>
        <w:t xml:space="preserve">Appendix </w:t>
      </w:r>
      <w:r w:rsidR="00F809BD" w:rsidRPr="21CA7F43">
        <w:rPr>
          <w:rFonts w:eastAsia="Times New Roman" w:cs="Calibri"/>
          <w:b/>
          <w:bCs/>
          <w:sz w:val="20"/>
          <w:szCs w:val="20"/>
        </w:rPr>
        <w:t>B</w:t>
      </w:r>
      <w:r w:rsidR="00284BE7" w:rsidRPr="21CA7F43">
        <w:rPr>
          <w:rFonts w:eastAsia="Times New Roman" w:cs="Calibri"/>
          <w:b/>
          <w:bCs/>
          <w:sz w:val="20"/>
          <w:szCs w:val="20"/>
        </w:rPr>
        <w:t xml:space="preserve">-1: </w:t>
      </w:r>
      <w:r w:rsidR="00624D2C" w:rsidRPr="21CA7F43">
        <w:rPr>
          <w:rFonts w:eastAsia="Times New Roman" w:cs="Calibri"/>
          <w:b/>
          <w:bCs/>
          <w:color w:val="000000" w:themeColor="text1"/>
          <w:sz w:val="20"/>
          <w:szCs w:val="20"/>
        </w:rPr>
        <w:t>Contract</w:t>
      </w:r>
      <w:r w:rsidR="00E56DC2" w:rsidRPr="21CA7F43">
        <w:rPr>
          <w:rFonts w:eastAsia="Times New Roman" w:cs="Calibri"/>
          <w:b/>
          <w:bCs/>
          <w:color w:val="000000" w:themeColor="text1"/>
          <w:sz w:val="20"/>
          <w:szCs w:val="20"/>
        </w:rPr>
        <w:t xml:space="preserve"> Level</w:t>
      </w:r>
      <w:r w:rsidR="00624D2C" w:rsidRPr="21CA7F43">
        <w:rPr>
          <w:rFonts w:eastAsia="Times New Roman" w:cs="Calibri"/>
          <w:b/>
          <w:bCs/>
          <w:color w:val="000000" w:themeColor="text1"/>
          <w:sz w:val="20"/>
          <w:szCs w:val="20"/>
        </w:rPr>
        <w:t xml:space="preserve"> Performance,</w:t>
      </w:r>
      <w:r w:rsidR="001C3A5F" w:rsidRPr="21CA7F43">
        <w:rPr>
          <w:rFonts w:eastAsia="Times New Roman" w:cs="Calibri"/>
          <w:b/>
          <w:bCs/>
          <w:color w:val="000000" w:themeColor="text1"/>
          <w:sz w:val="20"/>
          <w:szCs w:val="20"/>
        </w:rPr>
        <w:t xml:space="preserve"> </w:t>
      </w:r>
      <w:r w:rsidR="5461A1C1" w:rsidRPr="21CA7F43">
        <w:rPr>
          <w:rFonts w:eastAsia="Times New Roman" w:cs="Calibri"/>
          <w:b/>
          <w:bCs/>
          <w:color w:val="000000" w:themeColor="text1"/>
          <w:sz w:val="20"/>
          <w:szCs w:val="20"/>
        </w:rPr>
        <w:t>M</w:t>
      </w:r>
      <w:r w:rsidR="003D4231" w:rsidRPr="21CA7F43">
        <w:rPr>
          <w:rFonts w:eastAsia="Times New Roman" w:cs="Calibri"/>
          <w:b/>
          <w:bCs/>
          <w:color w:val="000000" w:themeColor="text1"/>
          <w:sz w:val="20"/>
          <w:szCs w:val="20"/>
        </w:rPr>
        <w:t>Y</w:t>
      </w:r>
      <w:r w:rsidR="00284BE7" w:rsidRPr="21CA7F43">
        <w:rPr>
          <w:rFonts w:eastAsia="Times New Roman" w:cs="Calibri"/>
          <w:b/>
          <w:bCs/>
          <w:color w:val="000000" w:themeColor="text1"/>
          <w:sz w:val="20"/>
          <w:szCs w:val="20"/>
        </w:rPr>
        <w:t>20</w:t>
      </w:r>
      <w:r w:rsidR="003011D6">
        <w:rPr>
          <w:rFonts w:eastAsia="Times New Roman" w:cs="Calibri"/>
          <w:b/>
          <w:bCs/>
          <w:color w:val="000000" w:themeColor="text1"/>
          <w:sz w:val="20"/>
          <w:szCs w:val="20"/>
        </w:rPr>
        <w:t>21</w:t>
      </w:r>
      <w:r w:rsidR="00E56DC2" w:rsidRPr="21CA7F43">
        <w:rPr>
          <w:rFonts w:eastAsia="Times New Roman" w:cs="Calibri"/>
          <w:b/>
          <w:bCs/>
          <w:color w:val="000000" w:themeColor="text1"/>
          <w:sz w:val="20"/>
          <w:szCs w:val="20"/>
        </w:rPr>
        <w:t xml:space="preserve"> (ACO and MCO Programs)</w:t>
      </w:r>
    </w:p>
    <w:p w14:paraId="7EB27090" w14:textId="24392743" w:rsidR="00C732AE" w:rsidRPr="00CE61A0" w:rsidRDefault="001A3881" w:rsidP="00CE61A0">
      <w:pPr>
        <w:ind w:left="-900"/>
        <w:rPr>
          <w:shd w:val="clear" w:color="auto" w:fill="FFFFFF"/>
        </w:rPr>
      </w:pPr>
      <w:r>
        <w:rPr>
          <w:rStyle w:val="normaltextrun"/>
          <w:shd w:val="clear" w:color="auto" w:fill="FFFFFF"/>
        </w:rPr>
        <w:t>20</w:t>
      </w:r>
      <w:r w:rsidR="001F335D">
        <w:rPr>
          <w:rStyle w:val="normaltextrun"/>
          <w:shd w:val="clear" w:color="auto" w:fill="FFFFFF"/>
        </w:rPr>
        <w:t>21</w:t>
      </w:r>
      <w:r>
        <w:rPr>
          <w:rStyle w:val="normaltextrun"/>
          <w:shd w:val="clear" w:color="auto" w:fill="FFFFFF"/>
        </w:rPr>
        <w:t xml:space="preserve"> </w:t>
      </w:r>
      <w:r w:rsidR="006A5CC6">
        <w:rPr>
          <w:rStyle w:val="normaltextrun"/>
          <w:shd w:val="clear" w:color="auto" w:fill="FFFFFF"/>
        </w:rPr>
        <w:t xml:space="preserve">quality measure performance </w:t>
      </w:r>
      <w:r>
        <w:rPr>
          <w:rStyle w:val="normaltextrun"/>
          <w:shd w:val="clear" w:color="auto" w:fill="FFFFFF"/>
        </w:rPr>
        <w:t xml:space="preserve">for individual ACO and MCO plans </w:t>
      </w:r>
      <w:r w:rsidR="006A5CC6">
        <w:rPr>
          <w:rStyle w:val="normaltextrun"/>
          <w:shd w:val="clear" w:color="auto" w:fill="FFFFFF"/>
        </w:rPr>
        <w:t xml:space="preserve">is presented in Table </w:t>
      </w:r>
      <w:r w:rsidR="00EC4DE0">
        <w:rPr>
          <w:rStyle w:val="normaltextrun"/>
          <w:shd w:val="clear" w:color="auto" w:fill="FFFFFF"/>
        </w:rPr>
        <w:t>B</w:t>
      </w:r>
      <w:r w:rsidR="006A5CC6">
        <w:rPr>
          <w:rStyle w:val="normaltextrun"/>
          <w:shd w:val="clear" w:color="auto" w:fill="FFFFFF"/>
        </w:rPr>
        <w:t>-1.</w:t>
      </w:r>
      <w:r w:rsidR="00EC4DE0">
        <w:rPr>
          <w:rStyle w:val="normaltextrun"/>
          <w:shd w:val="clear" w:color="auto" w:fill="FFFFFF"/>
        </w:rPr>
        <w:t xml:space="preserve"> Program-level totals are weighted means</w:t>
      </w:r>
      <w:r w:rsidR="003177BF">
        <w:rPr>
          <w:rStyle w:val="normaltextrun"/>
          <w:shd w:val="clear" w:color="auto" w:fill="FFFFFF"/>
        </w:rPr>
        <w:t xml:space="preserve"> (WM)</w:t>
      </w:r>
      <w:r w:rsidR="00EC4DE0">
        <w:rPr>
          <w:rStyle w:val="normaltextrun"/>
          <w:shd w:val="clear" w:color="auto" w:fill="FFFFFF"/>
        </w:rPr>
        <w:t>, or</w:t>
      </w:r>
      <w:r w:rsidR="003177BF">
        <w:rPr>
          <w:rStyle w:val="normaltextrun"/>
          <w:shd w:val="clear" w:color="auto" w:fill="FFFFFF"/>
        </w:rPr>
        <w:t xml:space="preserve"> medians when indicated with an asterisk (*).</w:t>
      </w:r>
      <w:r w:rsidR="006A5CC6">
        <w:rPr>
          <w:rStyle w:val="normaltextrun"/>
          <w:shd w:val="clear" w:color="auto" w:fill="FFFFFF"/>
        </w:rPr>
        <w:t xml:space="preserve"> </w:t>
      </w:r>
      <w:r w:rsidR="00C05B0C">
        <w:rPr>
          <w:rStyle w:val="normaltextrun"/>
          <w:shd w:val="clear" w:color="auto" w:fill="FFFFFF"/>
        </w:rPr>
        <w:t xml:space="preserve"> Please see Appendix </w:t>
      </w:r>
      <w:r w:rsidR="00EC4DE0">
        <w:rPr>
          <w:rStyle w:val="normaltextrun"/>
          <w:shd w:val="clear" w:color="auto" w:fill="FFFFFF"/>
        </w:rPr>
        <w:t>A</w:t>
      </w:r>
      <w:r w:rsidR="00C05B0C">
        <w:rPr>
          <w:rStyle w:val="normaltextrun"/>
          <w:shd w:val="clear" w:color="auto" w:fill="FFFFFF"/>
        </w:rPr>
        <w:t xml:space="preserve"> for a list of MassHealth’s managed care plans.</w:t>
      </w:r>
    </w:p>
    <w:p w14:paraId="39ABFDBD" w14:textId="3D5ED5AB" w:rsidR="00C25FFB" w:rsidRDefault="00C732AE">
      <w:pPr>
        <w:pStyle w:val="ListParagraph"/>
        <w:numPr>
          <w:ilvl w:val="0"/>
          <w:numId w:val="3"/>
        </w:numPr>
        <w:ind w:left="-360" w:firstLine="0"/>
        <w:rPr>
          <w:b/>
          <w:bCs/>
        </w:rPr>
      </w:pPr>
      <w:r w:rsidRPr="00137463">
        <w:rPr>
          <w:b/>
          <w:bCs/>
        </w:rPr>
        <w:t xml:space="preserve">“--” indicates that the measure </w:t>
      </w:r>
      <w:r>
        <w:rPr>
          <w:b/>
          <w:bCs/>
        </w:rPr>
        <w:t>or target was</w:t>
      </w:r>
      <w:r w:rsidRPr="00137463">
        <w:rPr>
          <w:b/>
          <w:bCs/>
        </w:rPr>
        <w:t xml:space="preserve"> not</w:t>
      </w:r>
      <w:r>
        <w:rPr>
          <w:b/>
          <w:bCs/>
        </w:rPr>
        <w:t xml:space="preserve"> available, not</w:t>
      </w:r>
      <w:r w:rsidRPr="00137463">
        <w:rPr>
          <w:b/>
          <w:bCs/>
        </w:rPr>
        <w:t xml:space="preserve"> required, not collected, or not calculated</w:t>
      </w:r>
      <w:r>
        <w:rPr>
          <w:b/>
          <w:bCs/>
        </w:rPr>
        <w:t>.</w:t>
      </w:r>
    </w:p>
    <w:p w14:paraId="45B1C631" w14:textId="4E5E4877" w:rsidR="00040212" w:rsidRPr="00C732AE" w:rsidRDefault="00040212">
      <w:pPr>
        <w:pStyle w:val="ListParagraph"/>
        <w:numPr>
          <w:ilvl w:val="0"/>
          <w:numId w:val="3"/>
        </w:numPr>
        <w:ind w:left="-360" w:firstLine="0"/>
        <w:rPr>
          <w:b/>
          <w:bCs/>
        </w:rPr>
      </w:pPr>
      <w:r>
        <w:rPr>
          <w:b/>
          <w:bCs/>
        </w:rPr>
        <w:t>“NA” indicates</w:t>
      </w:r>
      <w:r w:rsidR="009C70B2">
        <w:rPr>
          <w:b/>
          <w:bCs/>
        </w:rPr>
        <w:t xml:space="preserve"> that the rate was not included due to small denominator (</w:t>
      </w:r>
      <w:r w:rsidR="00E27D01">
        <w:rPr>
          <w:b/>
          <w:bCs/>
        </w:rPr>
        <w:t xml:space="preserve">n </w:t>
      </w:r>
      <w:r w:rsidR="009C70B2">
        <w:rPr>
          <w:b/>
          <w:bCs/>
        </w:rPr>
        <w:t>&lt;30).</w:t>
      </w:r>
    </w:p>
    <w:tbl>
      <w:tblPr>
        <w:tblW w:w="1989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0"/>
        <w:gridCol w:w="1650"/>
        <w:gridCol w:w="810"/>
        <w:gridCol w:w="720"/>
        <w:gridCol w:w="720"/>
        <w:gridCol w:w="720"/>
        <w:gridCol w:w="720"/>
        <w:gridCol w:w="720"/>
        <w:gridCol w:w="810"/>
        <w:gridCol w:w="720"/>
        <w:gridCol w:w="720"/>
        <w:gridCol w:w="1080"/>
        <w:gridCol w:w="720"/>
        <w:gridCol w:w="810"/>
        <w:gridCol w:w="810"/>
        <w:gridCol w:w="810"/>
        <w:gridCol w:w="720"/>
        <w:gridCol w:w="720"/>
        <w:gridCol w:w="990"/>
        <w:gridCol w:w="720"/>
        <w:gridCol w:w="720"/>
        <w:gridCol w:w="720"/>
        <w:gridCol w:w="720"/>
      </w:tblGrid>
      <w:tr w:rsidR="00DC70EE" w:rsidRPr="00884DD7" w14:paraId="24006B92" w14:textId="77777777" w:rsidTr="4EB40283">
        <w:trPr>
          <w:trHeight w:val="740"/>
          <w:tblHeader/>
        </w:trPr>
        <w:tc>
          <w:tcPr>
            <w:tcW w:w="2040" w:type="dxa"/>
            <w:shd w:val="clear" w:color="auto" w:fill="auto"/>
            <w:noWrap/>
            <w:vAlign w:val="center"/>
            <w:hideMark/>
          </w:tcPr>
          <w:p w14:paraId="29FDB3FF" w14:textId="60841FDB" w:rsidR="00884DD7" w:rsidRPr="00884DD7" w:rsidRDefault="00542FA0" w:rsidP="00884DD7">
            <w:pPr>
              <w:spacing w:after="0"/>
              <w:ind w:left="-110"/>
              <w:jc w:val="center"/>
              <w:rPr>
                <w:rFonts w:eastAsia="Times New Roman" w:cs="Calibri"/>
                <w:b/>
                <w:bCs/>
                <w:color w:val="000000"/>
                <w:sz w:val="17"/>
                <w:szCs w:val="17"/>
              </w:rPr>
            </w:pPr>
            <w:r>
              <w:rPr>
                <w:rFonts w:eastAsia="Times New Roman" w:cs="Calibri"/>
                <w:b/>
                <w:bCs/>
                <w:color w:val="000000"/>
                <w:sz w:val="17"/>
                <w:szCs w:val="17"/>
              </w:rPr>
              <w:t>Ref</w:t>
            </w:r>
          </w:p>
        </w:tc>
        <w:tc>
          <w:tcPr>
            <w:tcW w:w="1650" w:type="dxa"/>
            <w:shd w:val="clear" w:color="auto" w:fill="auto"/>
            <w:noWrap/>
            <w:vAlign w:val="center"/>
            <w:hideMark/>
          </w:tcPr>
          <w:p w14:paraId="04EEFE9A" w14:textId="5C032891" w:rsidR="00884DD7" w:rsidRPr="00884DD7" w:rsidRDefault="002F1182" w:rsidP="00884DD7">
            <w:pPr>
              <w:spacing w:after="0"/>
              <w:jc w:val="center"/>
              <w:rPr>
                <w:rFonts w:eastAsia="Times New Roman" w:cs="Calibri"/>
                <w:b/>
                <w:bCs/>
                <w:color w:val="000000"/>
                <w:sz w:val="17"/>
                <w:szCs w:val="17"/>
              </w:rPr>
            </w:pPr>
            <w:r>
              <w:rPr>
                <w:rFonts w:eastAsia="Times New Roman" w:cs="Calibri"/>
                <w:b/>
                <w:bCs/>
                <w:color w:val="000000"/>
                <w:sz w:val="17"/>
                <w:szCs w:val="17"/>
              </w:rPr>
              <w:t>20</w:t>
            </w:r>
            <w:r w:rsidR="003011D6">
              <w:rPr>
                <w:rFonts w:eastAsia="Times New Roman" w:cs="Calibri"/>
                <w:b/>
                <w:bCs/>
                <w:color w:val="000000"/>
                <w:sz w:val="17"/>
                <w:szCs w:val="17"/>
              </w:rPr>
              <w:t>21</w:t>
            </w:r>
            <w:r>
              <w:rPr>
                <w:rFonts w:eastAsia="Times New Roman" w:cs="Calibri"/>
                <w:b/>
                <w:bCs/>
                <w:color w:val="000000"/>
                <w:sz w:val="17"/>
                <w:szCs w:val="17"/>
              </w:rPr>
              <w:t xml:space="preserve"> </w:t>
            </w:r>
            <w:r w:rsidR="00884DD7" w:rsidRPr="00884DD7">
              <w:rPr>
                <w:rFonts w:eastAsia="Times New Roman" w:cs="Calibri"/>
                <w:b/>
                <w:bCs/>
                <w:color w:val="000000"/>
                <w:sz w:val="17"/>
                <w:szCs w:val="17"/>
              </w:rPr>
              <w:t>Measure</w:t>
            </w:r>
          </w:p>
        </w:tc>
        <w:tc>
          <w:tcPr>
            <w:tcW w:w="810" w:type="dxa"/>
            <w:shd w:val="clear" w:color="auto" w:fill="8EAADB" w:themeFill="accent1" w:themeFillTint="99"/>
            <w:noWrap/>
            <w:vAlign w:val="center"/>
            <w:hideMark/>
          </w:tcPr>
          <w:p w14:paraId="5FAA1FED" w14:textId="6CCA6495" w:rsidR="00884DD7" w:rsidRPr="00EC4DE0" w:rsidRDefault="00884DD7" w:rsidP="00884DD7">
            <w:pPr>
              <w:spacing w:after="0"/>
              <w:jc w:val="center"/>
              <w:rPr>
                <w:rFonts w:eastAsia="Times New Roman" w:cs="Calibri"/>
                <w:b/>
                <w:bCs/>
                <w:sz w:val="17"/>
                <w:szCs w:val="17"/>
              </w:rPr>
            </w:pPr>
            <w:r w:rsidRPr="00215802">
              <w:rPr>
                <w:rFonts w:eastAsia="Times New Roman" w:cs="Calibri"/>
                <w:b/>
                <w:bCs/>
                <w:sz w:val="17"/>
                <w:szCs w:val="17"/>
              </w:rPr>
              <w:t>ACO</w:t>
            </w:r>
            <w:r w:rsidR="00EC4DE0" w:rsidRPr="00215802">
              <w:rPr>
                <w:rFonts w:eastAsia="Times New Roman" w:cs="Calibri"/>
                <w:b/>
                <w:bCs/>
                <w:sz w:val="17"/>
                <w:szCs w:val="17"/>
              </w:rPr>
              <w:t xml:space="preserve"> WM</w:t>
            </w:r>
            <w:r w:rsidR="00EC4DE0" w:rsidRPr="35CAD603">
              <w:rPr>
                <w:rFonts w:eastAsia="Times New Roman" w:cs="Calibri"/>
                <w:b/>
                <w:bCs/>
                <w:sz w:val="17"/>
                <w:szCs w:val="17"/>
              </w:rPr>
              <w:t xml:space="preserve"> </w:t>
            </w:r>
          </w:p>
        </w:tc>
        <w:tc>
          <w:tcPr>
            <w:tcW w:w="720" w:type="dxa"/>
            <w:shd w:val="clear" w:color="auto" w:fill="8EAADB" w:themeFill="accent1" w:themeFillTint="99"/>
            <w:vAlign w:val="center"/>
            <w:hideMark/>
          </w:tcPr>
          <w:p w14:paraId="1C97B9F7" w14:textId="77777777" w:rsidR="00884DD7" w:rsidRPr="00884DD7" w:rsidRDefault="00884DD7" w:rsidP="00884DD7">
            <w:pPr>
              <w:spacing w:after="0"/>
              <w:jc w:val="center"/>
              <w:rPr>
                <w:rFonts w:eastAsia="Times New Roman" w:cs="Calibri"/>
                <w:b/>
                <w:bCs/>
                <w:color w:val="000000"/>
                <w:sz w:val="17"/>
                <w:szCs w:val="17"/>
              </w:rPr>
            </w:pPr>
            <w:r w:rsidRPr="00884DD7">
              <w:rPr>
                <w:rFonts w:eastAsia="Times New Roman" w:cs="Calibri"/>
                <w:b/>
                <w:bCs/>
                <w:color w:val="000000"/>
                <w:sz w:val="17"/>
                <w:szCs w:val="17"/>
              </w:rPr>
              <w:t>FH BERK</w:t>
            </w:r>
          </w:p>
        </w:tc>
        <w:tc>
          <w:tcPr>
            <w:tcW w:w="720" w:type="dxa"/>
            <w:shd w:val="clear" w:color="auto" w:fill="8EAADB" w:themeFill="accent1" w:themeFillTint="99"/>
            <w:vAlign w:val="center"/>
            <w:hideMark/>
          </w:tcPr>
          <w:p w14:paraId="03C5FDAB" w14:textId="77777777" w:rsidR="00884DD7" w:rsidRPr="00884DD7" w:rsidRDefault="00884DD7" w:rsidP="00884DD7">
            <w:pPr>
              <w:spacing w:after="0"/>
              <w:jc w:val="center"/>
              <w:rPr>
                <w:rFonts w:eastAsia="Times New Roman" w:cs="Calibri"/>
                <w:b/>
                <w:bCs/>
                <w:color w:val="000000"/>
                <w:sz w:val="17"/>
                <w:szCs w:val="17"/>
              </w:rPr>
            </w:pPr>
            <w:r w:rsidRPr="00884DD7">
              <w:rPr>
                <w:rFonts w:eastAsia="Times New Roman" w:cs="Calibri"/>
                <w:b/>
                <w:bCs/>
                <w:color w:val="000000"/>
                <w:sz w:val="17"/>
                <w:szCs w:val="17"/>
              </w:rPr>
              <w:t>FH 365</w:t>
            </w:r>
          </w:p>
        </w:tc>
        <w:tc>
          <w:tcPr>
            <w:tcW w:w="720" w:type="dxa"/>
            <w:shd w:val="clear" w:color="auto" w:fill="8EAADB" w:themeFill="accent1" w:themeFillTint="99"/>
            <w:vAlign w:val="center"/>
            <w:hideMark/>
          </w:tcPr>
          <w:p w14:paraId="5DA140CB" w14:textId="77777777" w:rsidR="00884DD7" w:rsidRPr="00884DD7" w:rsidRDefault="00884DD7" w:rsidP="00884DD7">
            <w:pPr>
              <w:spacing w:after="0"/>
              <w:jc w:val="center"/>
              <w:rPr>
                <w:rFonts w:eastAsia="Times New Roman" w:cs="Calibri"/>
                <w:b/>
                <w:bCs/>
                <w:color w:val="000000"/>
                <w:sz w:val="17"/>
                <w:szCs w:val="17"/>
              </w:rPr>
            </w:pPr>
            <w:r w:rsidRPr="00884DD7">
              <w:rPr>
                <w:rFonts w:eastAsia="Times New Roman" w:cs="Calibri"/>
                <w:b/>
                <w:bCs/>
                <w:color w:val="000000"/>
                <w:sz w:val="17"/>
                <w:szCs w:val="17"/>
              </w:rPr>
              <w:t>FH WFC</w:t>
            </w:r>
          </w:p>
        </w:tc>
        <w:tc>
          <w:tcPr>
            <w:tcW w:w="720" w:type="dxa"/>
            <w:shd w:val="clear" w:color="auto" w:fill="8EAADB" w:themeFill="accent1" w:themeFillTint="99"/>
            <w:vAlign w:val="center"/>
            <w:hideMark/>
          </w:tcPr>
          <w:p w14:paraId="0E3F8404" w14:textId="77777777" w:rsidR="00884DD7" w:rsidRPr="00884DD7" w:rsidRDefault="00884DD7" w:rsidP="00884DD7">
            <w:pPr>
              <w:spacing w:after="0"/>
              <w:jc w:val="center"/>
              <w:rPr>
                <w:rFonts w:eastAsia="Times New Roman" w:cs="Calibri"/>
                <w:b/>
                <w:bCs/>
                <w:color w:val="000000"/>
                <w:sz w:val="17"/>
                <w:szCs w:val="17"/>
              </w:rPr>
            </w:pPr>
            <w:r w:rsidRPr="00884DD7">
              <w:rPr>
                <w:rFonts w:eastAsia="Times New Roman" w:cs="Calibri"/>
                <w:b/>
                <w:bCs/>
                <w:color w:val="000000"/>
                <w:sz w:val="17"/>
                <w:szCs w:val="17"/>
              </w:rPr>
              <w:t>HNE</w:t>
            </w:r>
          </w:p>
        </w:tc>
        <w:tc>
          <w:tcPr>
            <w:tcW w:w="720" w:type="dxa"/>
            <w:shd w:val="clear" w:color="auto" w:fill="8EAADB" w:themeFill="accent1" w:themeFillTint="99"/>
            <w:vAlign w:val="center"/>
            <w:hideMark/>
          </w:tcPr>
          <w:p w14:paraId="35B83FE1" w14:textId="77777777" w:rsidR="00884DD7" w:rsidRPr="00884DD7" w:rsidRDefault="00884DD7" w:rsidP="00884DD7">
            <w:pPr>
              <w:spacing w:after="0"/>
              <w:jc w:val="center"/>
              <w:rPr>
                <w:rFonts w:eastAsia="Times New Roman" w:cs="Calibri"/>
                <w:b/>
                <w:bCs/>
                <w:color w:val="000000"/>
                <w:sz w:val="17"/>
                <w:szCs w:val="17"/>
              </w:rPr>
            </w:pPr>
            <w:r w:rsidRPr="00884DD7">
              <w:rPr>
                <w:rFonts w:eastAsia="Times New Roman" w:cs="Calibri"/>
                <w:b/>
                <w:bCs/>
                <w:color w:val="000000"/>
                <w:sz w:val="17"/>
                <w:szCs w:val="17"/>
              </w:rPr>
              <w:t>AHP</w:t>
            </w:r>
          </w:p>
        </w:tc>
        <w:tc>
          <w:tcPr>
            <w:tcW w:w="810" w:type="dxa"/>
            <w:shd w:val="clear" w:color="auto" w:fill="8EAADB" w:themeFill="accent1" w:themeFillTint="99"/>
            <w:vAlign w:val="center"/>
            <w:hideMark/>
          </w:tcPr>
          <w:p w14:paraId="78777DF1" w14:textId="305D2437" w:rsidR="00884DD7" w:rsidRPr="00884DD7" w:rsidRDefault="00884DD7" w:rsidP="00884DD7">
            <w:pPr>
              <w:spacing w:after="0"/>
              <w:jc w:val="center"/>
              <w:rPr>
                <w:rFonts w:eastAsia="Times New Roman" w:cs="Calibri"/>
                <w:b/>
                <w:bCs/>
                <w:color w:val="000000"/>
                <w:sz w:val="17"/>
                <w:szCs w:val="17"/>
              </w:rPr>
            </w:pPr>
            <w:r w:rsidRPr="00884DD7">
              <w:rPr>
                <w:rFonts w:eastAsia="Times New Roman" w:cs="Calibri"/>
                <w:b/>
                <w:bCs/>
                <w:color w:val="000000"/>
                <w:sz w:val="17"/>
                <w:szCs w:val="17"/>
              </w:rPr>
              <w:t>THP ATRIUS</w:t>
            </w:r>
          </w:p>
        </w:tc>
        <w:tc>
          <w:tcPr>
            <w:tcW w:w="720" w:type="dxa"/>
            <w:shd w:val="clear" w:color="auto" w:fill="8EAADB" w:themeFill="accent1" w:themeFillTint="99"/>
            <w:vAlign w:val="center"/>
            <w:hideMark/>
          </w:tcPr>
          <w:p w14:paraId="1B277346" w14:textId="77777777" w:rsidR="00884DD7" w:rsidRPr="00884DD7" w:rsidRDefault="00884DD7" w:rsidP="00884DD7">
            <w:pPr>
              <w:spacing w:after="0"/>
              <w:jc w:val="center"/>
              <w:rPr>
                <w:rFonts w:eastAsia="Times New Roman" w:cs="Calibri"/>
                <w:b/>
                <w:bCs/>
                <w:color w:val="000000"/>
                <w:sz w:val="17"/>
                <w:szCs w:val="17"/>
              </w:rPr>
            </w:pPr>
            <w:r w:rsidRPr="00884DD7">
              <w:rPr>
                <w:rFonts w:eastAsia="Times New Roman" w:cs="Calibri"/>
                <w:b/>
                <w:bCs/>
                <w:color w:val="000000"/>
                <w:sz w:val="17"/>
                <w:szCs w:val="17"/>
              </w:rPr>
              <w:t>THP BIDCO</w:t>
            </w:r>
          </w:p>
        </w:tc>
        <w:tc>
          <w:tcPr>
            <w:tcW w:w="720" w:type="dxa"/>
            <w:shd w:val="clear" w:color="auto" w:fill="8EAADB" w:themeFill="accent1" w:themeFillTint="99"/>
            <w:vAlign w:val="center"/>
            <w:hideMark/>
          </w:tcPr>
          <w:p w14:paraId="537E0D7C" w14:textId="77777777" w:rsidR="00884DD7" w:rsidRPr="00884DD7" w:rsidRDefault="00884DD7" w:rsidP="00884DD7">
            <w:pPr>
              <w:spacing w:after="0"/>
              <w:jc w:val="center"/>
              <w:rPr>
                <w:rFonts w:eastAsia="Times New Roman" w:cs="Calibri"/>
                <w:b/>
                <w:bCs/>
                <w:color w:val="000000"/>
                <w:sz w:val="17"/>
                <w:szCs w:val="17"/>
              </w:rPr>
            </w:pPr>
            <w:r w:rsidRPr="00884DD7">
              <w:rPr>
                <w:rFonts w:eastAsia="Times New Roman" w:cs="Calibri"/>
                <w:b/>
                <w:bCs/>
                <w:color w:val="000000"/>
                <w:sz w:val="17"/>
                <w:szCs w:val="17"/>
              </w:rPr>
              <w:t>THP CHA</w:t>
            </w:r>
          </w:p>
        </w:tc>
        <w:tc>
          <w:tcPr>
            <w:tcW w:w="1080" w:type="dxa"/>
            <w:shd w:val="clear" w:color="auto" w:fill="8EAADB" w:themeFill="accent1" w:themeFillTint="99"/>
            <w:vAlign w:val="center"/>
            <w:hideMark/>
          </w:tcPr>
          <w:p w14:paraId="25D82BB6" w14:textId="77777777" w:rsidR="00884DD7" w:rsidRPr="00884DD7" w:rsidRDefault="00884DD7" w:rsidP="00884DD7">
            <w:pPr>
              <w:spacing w:after="0"/>
              <w:jc w:val="center"/>
              <w:rPr>
                <w:rFonts w:eastAsia="Times New Roman" w:cs="Calibri"/>
                <w:b/>
                <w:bCs/>
                <w:color w:val="000000"/>
                <w:sz w:val="17"/>
                <w:szCs w:val="17"/>
              </w:rPr>
            </w:pPr>
            <w:r w:rsidRPr="00884DD7">
              <w:rPr>
                <w:rFonts w:eastAsia="Times New Roman" w:cs="Calibri"/>
                <w:b/>
                <w:bCs/>
                <w:color w:val="000000"/>
                <w:sz w:val="17"/>
                <w:szCs w:val="17"/>
              </w:rPr>
              <w:t>THP CHILDREN'S</w:t>
            </w:r>
          </w:p>
        </w:tc>
        <w:tc>
          <w:tcPr>
            <w:tcW w:w="720" w:type="dxa"/>
            <w:shd w:val="clear" w:color="auto" w:fill="8EAADB" w:themeFill="accent1" w:themeFillTint="99"/>
            <w:vAlign w:val="center"/>
            <w:hideMark/>
          </w:tcPr>
          <w:p w14:paraId="71119A8A" w14:textId="77777777" w:rsidR="00884DD7" w:rsidRPr="00884DD7" w:rsidRDefault="00884DD7" w:rsidP="00884DD7">
            <w:pPr>
              <w:spacing w:after="0"/>
              <w:jc w:val="center"/>
              <w:rPr>
                <w:rFonts w:eastAsia="Times New Roman" w:cs="Calibri"/>
                <w:b/>
                <w:bCs/>
                <w:color w:val="000000"/>
                <w:sz w:val="17"/>
                <w:szCs w:val="17"/>
              </w:rPr>
            </w:pPr>
            <w:r w:rsidRPr="00884DD7">
              <w:rPr>
                <w:rFonts w:eastAsia="Times New Roman" w:cs="Calibri"/>
                <w:b/>
                <w:bCs/>
                <w:color w:val="000000"/>
                <w:sz w:val="17"/>
                <w:szCs w:val="17"/>
              </w:rPr>
              <w:t>BMC BACO</w:t>
            </w:r>
          </w:p>
        </w:tc>
        <w:tc>
          <w:tcPr>
            <w:tcW w:w="810" w:type="dxa"/>
            <w:shd w:val="clear" w:color="auto" w:fill="8EAADB" w:themeFill="accent1" w:themeFillTint="99"/>
            <w:vAlign w:val="center"/>
            <w:hideMark/>
          </w:tcPr>
          <w:p w14:paraId="4B628D87" w14:textId="77777777" w:rsidR="00884DD7" w:rsidRPr="00884DD7" w:rsidRDefault="00884DD7" w:rsidP="00884DD7">
            <w:pPr>
              <w:spacing w:after="0"/>
              <w:jc w:val="center"/>
              <w:rPr>
                <w:rFonts w:eastAsia="Times New Roman" w:cs="Calibri"/>
                <w:b/>
                <w:bCs/>
                <w:color w:val="000000"/>
                <w:sz w:val="17"/>
                <w:szCs w:val="17"/>
              </w:rPr>
            </w:pPr>
            <w:r w:rsidRPr="00884DD7">
              <w:rPr>
                <w:rFonts w:eastAsia="Times New Roman" w:cs="Calibri"/>
                <w:b/>
                <w:bCs/>
                <w:color w:val="000000"/>
                <w:sz w:val="17"/>
                <w:szCs w:val="17"/>
              </w:rPr>
              <w:t>BMC MERCY</w:t>
            </w:r>
          </w:p>
        </w:tc>
        <w:tc>
          <w:tcPr>
            <w:tcW w:w="810" w:type="dxa"/>
            <w:shd w:val="clear" w:color="auto" w:fill="8EAADB" w:themeFill="accent1" w:themeFillTint="99"/>
            <w:vAlign w:val="center"/>
            <w:hideMark/>
          </w:tcPr>
          <w:p w14:paraId="1EDC5561" w14:textId="77777777" w:rsidR="00884DD7" w:rsidRPr="00884DD7" w:rsidRDefault="00884DD7" w:rsidP="00884DD7">
            <w:pPr>
              <w:spacing w:after="0"/>
              <w:jc w:val="center"/>
              <w:rPr>
                <w:rFonts w:eastAsia="Times New Roman" w:cs="Calibri"/>
                <w:b/>
                <w:bCs/>
                <w:color w:val="000000"/>
                <w:sz w:val="17"/>
                <w:szCs w:val="17"/>
              </w:rPr>
            </w:pPr>
            <w:r w:rsidRPr="00884DD7">
              <w:rPr>
                <w:rFonts w:eastAsia="Times New Roman" w:cs="Calibri"/>
                <w:b/>
                <w:bCs/>
                <w:color w:val="000000"/>
                <w:sz w:val="17"/>
                <w:szCs w:val="17"/>
              </w:rPr>
              <w:t>BMC SIGN</w:t>
            </w:r>
          </w:p>
        </w:tc>
        <w:tc>
          <w:tcPr>
            <w:tcW w:w="810" w:type="dxa"/>
            <w:shd w:val="clear" w:color="auto" w:fill="8EAADB" w:themeFill="accent1" w:themeFillTint="99"/>
            <w:vAlign w:val="center"/>
            <w:hideMark/>
          </w:tcPr>
          <w:p w14:paraId="05C41BD8" w14:textId="77777777" w:rsidR="00884DD7" w:rsidRPr="00884DD7" w:rsidRDefault="00884DD7" w:rsidP="00884DD7">
            <w:pPr>
              <w:spacing w:after="0"/>
              <w:jc w:val="center"/>
              <w:rPr>
                <w:rFonts w:eastAsia="Times New Roman" w:cs="Calibri"/>
                <w:b/>
                <w:bCs/>
                <w:color w:val="000000"/>
                <w:sz w:val="17"/>
                <w:szCs w:val="17"/>
              </w:rPr>
            </w:pPr>
            <w:r w:rsidRPr="00884DD7">
              <w:rPr>
                <w:rFonts w:eastAsia="Times New Roman" w:cs="Calibri"/>
                <w:b/>
                <w:bCs/>
                <w:color w:val="000000"/>
                <w:sz w:val="17"/>
                <w:szCs w:val="17"/>
              </w:rPr>
              <w:t>BMC SCOAST</w:t>
            </w:r>
          </w:p>
        </w:tc>
        <w:tc>
          <w:tcPr>
            <w:tcW w:w="720" w:type="dxa"/>
            <w:shd w:val="clear" w:color="auto" w:fill="8EAADB" w:themeFill="accent1" w:themeFillTint="99"/>
            <w:vAlign w:val="center"/>
            <w:hideMark/>
          </w:tcPr>
          <w:p w14:paraId="4F6CEA63" w14:textId="77777777" w:rsidR="00884DD7" w:rsidRPr="00884DD7" w:rsidRDefault="00884DD7" w:rsidP="00884DD7">
            <w:pPr>
              <w:spacing w:after="0"/>
              <w:jc w:val="center"/>
              <w:rPr>
                <w:rFonts w:eastAsia="Times New Roman" w:cs="Calibri"/>
                <w:b/>
                <w:bCs/>
                <w:color w:val="000000"/>
                <w:sz w:val="17"/>
                <w:szCs w:val="17"/>
              </w:rPr>
            </w:pPr>
            <w:r w:rsidRPr="00884DD7">
              <w:rPr>
                <w:rFonts w:eastAsia="Times New Roman" w:cs="Calibri"/>
                <w:b/>
                <w:bCs/>
                <w:color w:val="000000"/>
                <w:sz w:val="17"/>
                <w:szCs w:val="17"/>
              </w:rPr>
              <w:t>C3</w:t>
            </w:r>
          </w:p>
        </w:tc>
        <w:tc>
          <w:tcPr>
            <w:tcW w:w="720" w:type="dxa"/>
            <w:shd w:val="clear" w:color="auto" w:fill="8EAADB" w:themeFill="accent1" w:themeFillTint="99"/>
            <w:vAlign w:val="center"/>
            <w:hideMark/>
          </w:tcPr>
          <w:p w14:paraId="2068A54B" w14:textId="77777777" w:rsidR="00884DD7" w:rsidRPr="00884DD7" w:rsidRDefault="00884DD7" w:rsidP="00884DD7">
            <w:pPr>
              <w:spacing w:after="0"/>
              <w:jc w:val="center"/>
              <w:rPr>
                <w:rFonts w:eastAsia="Times New Roman" w:cs="Calibri"/>
                <w:b/>
                <w:bCs/>
                <w:color w:val="000000"/>
                <w:sz w:val="17"/>
                <w:szCs w:val="17"/>
              </w:rPr>
            </w:pPr>
            <w:r w:rsidRPr="00884DD7">
              <w:rPr>
                <w:rFonts w:eastAsia="Times New Roman" w:cs="Calibri"/>
                <w:b/>
                <w:bCs/>
                <w:color w:val="000000"/>
                <w:sz w:val="17"/>
                <w:szCs w:val="17"/>
              </w:rPr>
              <w:t>MGB</w:t>
            </w:r>
          </w:p>
        </w:tc>
        <w:tc>
          <w:tcPr>
            <w:tcW w:w="990" w:type="dxa"/>
            <w:shd w:val="clear" w:color="auto" w:fill="8EAADB" w:themeFill="accent1" w:themeFillTint="99"/>
            <w:vAlign w:val="center"/>
            <w:hideMark/>
          </w:tcPr>
          <w:p w14:paraId="6999F31A" w14:textId="77777777" w:rsidR="00884DD7" w:rsidRPr="00884DD7" w:rsidRDefault="00884DD7" w:rsidP="00884DD7">
            <w:pPr>
              <w:spacing w:after="0"/>
              <w:jc w:val="center"/>
              <w:rPr>
                <w:rFonts w:eastAsia="Times New Roman" w:cs="Calibri"/>
                <w:b/>
                <w:bCs/>
                <w:color w:val="000000"/>
                <w:sz w:val="17"/>
                <w:szCs w:val="17"/>
              </w:rPr>
            </w:pPr>
            <w:r w:rsidRPr="00884DD7">
              <w:rPr>
                <w:rFonts w:eastAsia="Times New Roman" w:cs="Calibri"/>
                <w:b/>
                <w:bCs/>
                <w:color w:val="000000"/>
                <w:sz w:val="17"/>
                <w:szCs w:val="17"/>
              </w:rPr>
              <w:t>STEWARD</w:t>
            </w:r>
          </w:p>
        </w:tc>
        <w:tc>
          <w:tcPr>
            <w:tcW w:w="720" w:type="dxa"/>
            <w:shd w:val="clear" w:color="auto" w:fill="8EAADB" w:themeFill="accent1" w:themeFillTint="99"/>
            <w:vAlign w:val="center"/>
            <w:hideMark/>
          </w:tcPr>
          <w:p w14:paraId="521029E0" w14:textId="77777777" w:rsidR="00884DD7" w:rsidRPr="00884DD7" w:rsidRDefault="00884DD7" w:rsidP="00884DD7">
            <w:pPr>
              <w:spacing w:after="0"/>
              <w:jc w:val="center"/>
              <w:rPr>
                <w:rFonts w:eastAsia="Times New Roman" w:cs="Calibri"/>
                <w:b/>
                <w:bCs/>
                <w:color w:val="000000"/>
                <w:sz w:val="17"/>
                <w:szCs w:val="17"/>
              </w:rPr>
            </w:pPr>
            <w:r w:rsidRPr="00884DD7">
              <w:rPr>
                <w:rFonts w:eastAsia="Times New Roman" w:cs="Calibri"/>
                <w:b/>
                <w:bCs/>
                <w:color w:val="000000"/>
                <w:sz w:val="17"/>
                <w:szCs w:val="17"/>
              </w:rPr>
              <w:t>LAHEY</w:t>
            </w:r>
          </w:p>
        </w:tc>
        <w:tc>
          <w:tcPr>
            <w:tcW w:w="720" w:type="dxa"/>
            <w:shd w:val="clear" w:color="auto" w:fill="2F5496" w:themeFill="accent1" w:themeFillShade="BF"/>
            <w:noWrap/>
            <w:vAlign w:val="center"/>
            <w:hideMark/>
          </w:tcPr>
          <w:p w14:paraId="512352C3" w14:textId="63F3D2AB" w:rsidR="00884DD7" w:rsidRPr="00A54D21" w:rsidRDefault="00884DD7" w:rsidP="35CAD603">
            <w:pPr>
              <w:spacing w:after="0"/>
              <w:jc w:val="center"/>
              <w:rPr>
                <w:rFonts w:eastAsia="Times New Roman" w:cs="Calibri"/>
                <w:b/>
                <w:bCs/>
                <w:color w:val="FFFFFF" w:themeColor="background1"/>
                <w:sz w:val="17"/>
                <w:szCs w:val="17"/>
                <w:highlight w:val="yellow"/>
              </w:rPr>
            </w:pPr>
            <w:r w:rsidRPr="00215802">
              <w:rPr>
                <w:rFonts w:eastAsia="Times New Roman" w:cs="Calibri"/>
                <w:b/>
                <w:bCs/>
                <w:color w:val="FFFFFF" w:themeColor="background1"/>
                <w:sz w:val="17"/>
                <w:szCs w:val="17"/>
              </w:rPr>
              <w:t>MCO</w:t>
            </w:r>
            <w:r w:rsidR="003177BF" w:rsidRPr="00215802">
              <w:rPr>
                <w:rFonts w:eastAsia="Times New Roman" w:cs="Calibri"/>
                <w:b/>
                <w:bCs/>
                <w:color w:val="FFFFFF" w:themeColor="background1"/>
                <w:sz w:val="17"/>
                <w:szCs w:val="17"/>
              </w:rPr>
              <w:t xml:space="preserve"> WM</w:t>
            </w:r>
          </w:p>
        </w:tc>
        <w:tc>
          <w:tcPr>
            <w:tcW w:w="720" w:type="dxa"/>
            <w:shd w:val="clear" w:color="auto" w:fill="2F5496" w:themeFill="accent1" w:themeFillShade="BF"/>
            <w:noWrap/>
            <w:vAlign w:val="center"/>
            <w:hideMark/>
          </w:tcPr>
          <w:p w14:paraId="532ADB41" w14:textId="77777777" w:rsidR="00884DD7" w:rsidRPr="00A54D21" w:rsidRDefault="00884DD7" w:rsidP="00884DD7">
            <w:pPr>
              <w:spacing w:after="0"/>
              <w:jc w:val="center"/>
              <w:rPr>
                <w:rFonts w:eastAsia="Times New Roman" w:cs="Calibri"/>
                <w:b/>
                <w:bCs/>
                <w:color w:val="FFFFFF" w:themeColor="background1"/>
                <w:sz w:val="17"/>
                <w:szCs w:val="17"/>
              </w:rPr>
            </w:pPr>
            <w:r w:rsidRPr="00A54D21">
              <w:rPr>
                <w:rFonts w:eastAsia="Times New Roman" w:cs="Calibri"/>
                <w:b/>
                <w:bCs/>
                <w:color w:val="FFFFFF" w:themeColor="background1"/>
                <w:sz w:val="17"/>
                <w:szCs w:val="17"/>
              </w:rPr>
              <w:t>BMC MCO</w:t>
            </w:r>
          </w:p>
        </w:tc>
        <w:tc>
          <w:tcPr>
            <w:tcW w:w="720" w:type="dxa"/>
            <w:shd w:val="clear" w:color="auto" w:fill="2F5496" w:themeFill="accent1" w:themeFillShade="BF"/>
            <w:noWrap/>
            <w:vAlign w:val="center"/>
            <w:hideMark/>
          </w:tcPr>
          <w:p w14:paraId="2E2A3357" w14:textId="36E861DD" w:rsidR="00884DD7" w:rsidRPr="00A54D21" w:rsidRDefault="00884DD7" w:rsidP="00884DD7">
            <w:pPr>
              <w:spacing w:after="0"/>
              <w:jc w:val="center"/>
              <w:rPr>
                <w:rFonts w:eastAsia="Times New Roman" w:cs="Calibri"/>
                <w:b/>
                <w:bCs/>
                <w:color w:val="FFFFFF" w:themeColor="background1"/>
                <w:sz w:val="17"/>
                <w:szCs w:val="17"/>
              </w:rPr>
            </w:pPr>
            <w:r w:rsidRPr="00A54D21">
              <w:rPr>
                <w:rFonts w:eastAsia="Times New Roman" w:cs="Calibri"/>
                <w:b/>
                <w:bCs/>
                <w:color w:val="FFFFFF" w:themeColor="background1"/>
                <w:sz w:val="17"/>
                <w:szCs w:val="17"/>
              </w:rPr>
              <w:t>T</w:t>
            </w:r>
            <w:r w:rsidR="00F31687">
              <w:rPr>
                <w:rFonts w:eastAsia="Times New Roman" w:cs="Calibri"/>
                <w:b/>
                <w:bCs/>
                <w:color w:val="FFFFFF" w:themeColor="background1"/>
                <w:sz w:val="17"/>
                <w:szCs w:val="17"/>
              </w:rPr>
              <w:t>HP</w:t>
            </w:r>
            <w:r w:rsidRPr="00A54D21">
              <w:rPr>
                <w:rFonts w:eastAsia="Times New Roman" w:cs="Calibri"/>
                <w:b/>
                <w:bCs/>
                <w:color w:val="FFFFFF" w:themeColor="background1"/>
                <w:sz w:val="17"/>
                <w:szCs w:val="17"/>
              </w:rPr>
              <w:t xml:space="preserve"> MCO</w:t>
            </w:r>
          </w:p>
        </w:tc>
      </w:tr>
      <w:tr w:rsidR="00EF4C5F" w:rsidRPr="00884DD7" w14:paraId="3CC9CA27" w14:textId="77777777" w:rsidTr="4EB40283">
        <w:trPr>
          <w:trHeight w:val="300"/>
        </w:trPr>
        <w:tc>
          <w:tcPr>
            <w:tcW w:w="2040" w:type="dxa"/>
            <w:shd w:val="clear" w:color="auto" w:fill="auto"/>
            <w:hideMark/>
          </w:tcPr>
          <w:p w14:paraId="3F2B8725" w14:textId="77777777" w:rsidR="00C537E5" w:rsidRPr="008D1B70" w:rsidRDefault="00C537E5" w:rsidP="00C537E5">
            <w:pPr>
              <w:spacing w:after="0"/>
              <w:jc w:val="center"/>
              <w:rPr>
                <w:rFonts w:eastAsia="Times New Roman" w:cs="Calibri"/>
                <w:sz w:val="16"/>
                <w:szCs w:val="16"/>
              </w:rPr>
            </w:pPr>
            <w:r w:rsidRPr="008D1B70">
              <w:rPr>
                <w:rFonts w:eastAsia="Times New Roman" w:cs="Calibri"/>
                <w:sz w:val="16"/>
                <w:szCs w:val="16"/>
              </w:rPr>
              <w:t>CIS</w:t>
            </w:r>
          </w:p>
        </w:tc>
        <w:tc>
          <w:tcPr>
            <w:tcW w:w="1650" w:type="dxa"/>
            <w:shd w:val="clear" w:color="auto" w:fill="auto"/>
            <w:hideMark/>
          </w:tcPr>
          <w:p w14:paraId="03EC7EBF" w14:textId="77777777" w:rsidR="00C537E5" w:rsidRPr="00884DD7" w:rsidRDefault="00C537E5" w:rsidP="00C537E5">
            <w:pPr>
              <w:spacing w:after="0"/>
              <w:rPr>
                <w:rFonts w:eastAsia="Times New Roman" w:cs="Calibri"/>
                <w:sz w:val="16"/>
                <w:szCs w:val="16"/>
              </w:rPr>
            </w:pPr>
            <w:r w:rsidRPr="00884DD7">
              <w:rPr>
                <w:rFonts w:eastAsia="Times New Roman" w:cs="Calibri"/>
                <w:sz w:val="16"/>
                <w:szCs w:val="16"/>
              </w:rPr>
              <w:t>Childhood Immunization Status (combo 10)</w:t>
            </w:r>
          </w:p>
        </w:tc>
        <w:tc>
          <w:tcPr>
            <w:tcW w:w="810" w:type="dxa"/>
            <w:shd w:val="clear" w:color="auto" w:fill="auto"/>
            <w:noWrap/>
            <w:vAlign w:val="center"/>
          </w:tcPr>
          <w:p w14:paraId="22C712DF" w14:textId="1D14F7CB" w:rsidR="00C537E5" w:rsidRPr="009520C8" w:rsidRDefault="00FD2881" w:rsidP="00C537E5">
            <w:pPr>
              <w:spacing w:after="0"/>
              <w:jc w:val="center"/>
              <w:rPr>
                <w:rFonts w:eastAsia="Times New Roman" w:cs="Calibri"/>
                <w:color w:val="000000"/>
                <w:sz w:val="18"/>
                <w:szCs w:val="18"/>
              </w:rPr>
            </w:pPr>
            <w:r>
              <w:rPr>
                <w:rFonts w:eastAsia="Times New Roman" w:cs="Calibri"/>
                <w:color w:val="000000"/>
                <w:sz w:val="18"/>
                <w:szCs w:val="18"/>
              </w:rPr>
              <w:t>55.7%</w:t>
            </w:r>
          </w:p>
        </w:tc>
        <w:tc>
          <w:tcPr>
            <w:tcW w:w="720" w:type="dxa"/>
            <w:shd w:val="clear" w:color="auto" w:fill="auto"/>
            <w:noWrap/>
            <w:vAlign w:val="center"/>
          </w:tcPr>
          <w:p w14:paraId="4A2BB24E" w14:textId="2F278C66" w:rsidR="00C537E5" w:rsidRPr="009520C8" w:rsidRDefault="49575CB1" w:rsidP="00C537E5">
            <w:pPr>
              <w:spacing w:after="0"/>
              <w:jc w:val="center"/>
              <w:rPr>
                <w:rFonts w:eastAsia="Times New Roman" w:cs="Calibri"/>
                <w:color w:val="000000"/>
                <w:sz w:val="18"/>
                <w:szCs w:val="18"/>
              </w:rPr>
            </w:pPr>
            <w:r w:rsidRPr="7E6C556D">
              <w:rPr>
                <w:rFonts w:eastAsia="Times New Roman" w:cs="Calibri"/>
                <w:color w:val="000000" w:themeColor="text1"/>
                <w:sz w:val="18"/>
                <w:szCs w:val="18"/>
              </w:rPr>
              <w:t>33.7%</w:t>
            </w:r>
          </w:p>
        </w:tc>
        <w:tc>
          <w:tcPr>
            <w:tcW w:w="720" w:type="dxa"/>
            <w:shd w:val="clear" w:color="auto" w:fill="auto"/>
            <w:noWrap/>
            <w:vAlign w:val="center"/>
          </w:tcPr>
          <w:p w14:paraId="09642425" w14:textId="5551713E" w:rsidR="00C537E5" w:rsidRPr="009520C8" w:rsidRDefault="19F0CCD1"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65.0</w:t>
            </w:r>
            <w:r w:rsidR="01074CA9" w:rsidRPr="68129C33">
              <w:rPr>
                <w:rFonts w:eastAsia="Times New Roman" w:cs="Calibri"/>
                <w:color w:val="000000" w:themeColor="text1"/>
                <w:sz w:val="18"/>
                <w:szCs w:val="18"/>
              </w:rPr>
              <w:t>%</w:t>
            </w:r>
          </w:p>
        </w:tc>
        <w:tc>
          <w:tcPr>
            <w:tcW w:w="720" w:type="dxa"/>
            <w:shd w:val="clear" w:color="auto" w:fill="auto"/>
            <w:noWrap/>
            <w:vAlign w:val="center"/>
          </w:tcPr>
          <w:p w14:paraId="61CB4FB2" w14:textId="77C689E4" w:rsidR="00C537E5" w:rsidRPr="009520C8" w:rsidRDefault="19F0CCD1"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46.9</w:t>
            </w:r>
            <w:r w:rsidR="106432D3" w:rsidRPr="68129C33">
              <w:rPr>
                <w:rFonts w:eastAsia="Times New Roman" w:cs="Calibri"/>
                <w:color w:val="000000" w:themeColor="text1"/>
                <w:sz w:val="18"/>
                <w:szCs w:val="18"/>
              </w:rPr>
              <w:t>%</w:t>
            </w:r>
          </w:p>
        </w:tc>
        <w:tc>
          <w:tcPr>
            <w:tcW w:w="720" w:type="dxa"/>
            <w:shd w:val="clear" w:color="auto" w:fill="auto"/>
            <w:noWrap/>
            <w:vAlign w:val="center"/>
          </w:tcPr>
          <w:p w14:paraId="4FBD389A" w14:textId="0F987E36" w:rsidR="00C537E5" w:rsidRPr="009520C8" w:rsidRDefault="4DE917F0"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41.4</w:t>
            </w:r>
            <w:r w:rsidR="7BE8B2A5" w:rsidRPr="68129C33">
              <w:rPr>
                <w:rFonts w:eastAsia="Times New Roman" w:cs="Calibri"/>
                <w:color w:val="000000" w:themeColor="text1"/>
                <w:sz w:val="18"/>
                <w:szCs w:val="18"/>
              </w:rPr>
              <w:t>%</w:t>
            </w:r>
          </w:p>
        </w:tc>
        <w:tc>
          <w:tcPr>
            <w:tcW w:w="720" w:type="dxa"/>
            <w:shd w:val="clear" w:color="auto" w:fill="auto"/>
            <w:noWrap/>
            <w:vAlign w:val="center"/>
          </w:tcPr>
          <w:p w14:paraId="29315D17" w14:textId="4FA810C2" w:rsidR="00C537E5" w:rsidRPr="009520C8" w:rsidRDefault="4DE917F0"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51.8</w:t>
            </w:r>
            <w:r w:rsidR="6545D1C2" w:rsidRPr="68129C33">
              <w:rPr>
                <w:rFonts w:eastAsia="Times New Roman" w:cs="Calibri"/>
                <w:color w:val="000000" w:themeColor="text1"/>
                <w:sz w:val="18"/>
                <w:szCs w:val="18"/>
              </w:rPr>
              <w:t>%</w:t>
            </w:r>
          </w:p>
        </w:tc>
        <w:tc>
          <w:tcPr>
            <w:tcW w:w="810" w:type="dxa"/>
            <w:shd w:val="clear" w:color="auto" w:fill="auto"/>
            <w:noWrap/>
            <w:vAlign w:val="center"/>
          </w:tcPr>
          <w:p w14:paraId="65CCF978" w14:textId="6779766D" w:rsidR="00C537E5" w:rsidRPr="009520C8" w:rsidRDefault="11DB751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62.5</w:t>
            </w:r>
            <w:r w:rsidR="2F21C5EA" w:rsidRPr="68129C33">
              <w:rPr>
                <w:rFonts w:eastAsia="Times New Roman" w:cs="Calibri"/>
                <w:color w:val="000000" w:themeColor="text1"/>
                <w:sz w:val="18"/>
                <w:szCs w:val="18"/>
              </w:rPr>
              <w:t>%</w:t>
            </w:r>
          </w:p>
        </w:tc>
        <w:tc>
          <w:tcPr>
            <w:tcW w:w="720" w:type="dxa"/>
            <w:shd w:val="clear" w:color="auto" w:fill="auto"/>
            <w:noWrap/>
            <w:vAlign w:val="center"/>
          </w:tcPr>
          <w:p w14:paraId="038B60B1" w14:textId="1864FABF" w:rsidR="00C537E5" w:rsidRPr="009520C8" w:rsidRDefault="11DB751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54.3</w:t>
            </w:r>
            <w:r w:rsidR="6FE2E6D3" w:rsidRPr="68129C33">
              <w:rPr>
                <w:rFonts w:eastAsia="Times New Roman" w:cs="Calibri"/>
                <w:color w:val="000000" w:themeColor="text1"/>
                <w:sz w:val="18"/>
                <w:szCs w:val="18"/>
              </w:rPr>
              <w:t>%</w:t>
            </w:r>
          </w:p>
        </w:tc>
        <w:tc>
          <w:tcPr>
            <w:tcW w:w="720" w:type="dxa"/>
            <w:shd w:val="clear" w:color="auto" w:fill="auto"/>
            <w:noWrap/>
            <w:vAlign w:val="center"/>
          </w:tcPr>
          <w:p w14:paraId="15090F97" w14:textId="55D0F141" w:rsidR="00C537E5" w:rsidRPr="009520C8" w:rsidRDefault="11DB751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64.2</w:t>
            </w:r>
            <w:r w:rsidR="01E06EBB" w:rsidRPr="68129C33">
              <w:rPr>
                <w:rFonts w:eastAsia="Times New Roman" w:cs="Calibri"/>
                <w:color w:val="000000" w:themeColor="text1"/>
                <w:sz w:val="18"/>
                <w:szCs w:val="18"/>
              </w:rPr>
              <w:t>%</w:t>
            </w:r>
          </w:p>
        </w:tc>
        <w:tc>
          <w:tcPr>
            <w:tcW w:w="1080" w:type="dxa"/>
            <w:shd w:val="clear" w:color="auto" w:fill="auto"/>
            <w:noWrap/>
            <w:vAlign w:val="center"/>
          </w:tcPr>
          <w:p w14:paraId="17A7CA8E" w14:textId="58F06B3C" w:rsidR="00C537E5" w:rsidRPr="009520C8" w:rsidRDefault="11DB751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57.3</w:t>
            </w:r>
            <w:r w:rsidR="077A5B79" w:rsidRPr="68129C33">
              <w:rPr>
                <w:rFonts w:eastAsia="Times New Roman" w:cs="Calibri"/>
                <w:color w:val="000000" w:themeColor="text1"/>
                <w:sz w:val="18"/>
                <w:szCs w:val="18"/>
              </w:rPr>
              <w:t>%</w:t>
            </w:r>
          </w:p>
        </w:tc>
        <w:tc>
          <w:tcPr>
            <w:tcW w:w="720" w:type="dxa"/>
            <w:shd w:val="clear" w:color="auto" w:fill="auto"/>
            <w:noWrap/>
            <w:vAlign w:val="center"/>
          </w:tcPr>
          <w:p w14:paraId="1B1273FE" w14:textId="2264893B" w:rsidR="00C537E5" w:rsidRPr="009520C8" w:rsidRDefault="11DB751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55.8</w:t>
            </w:r>
            <w:r w:rsidR="5C203B93" w:rsidRPr="68129C33">
              <w:rPr>
                <w:rFonts w:eastAsia="Times New Roman" w:cs="Calibri"/>
                <w:color w:val="000000" w:themeColor="text1"/>
                <w:sz w:val="18"/>
                <w:szCs w:val="18"/>
              </w:rPr>
              <w:t>%</w:t>
            </w:r>
          </w:p>
        </w:tc>
        <w:tc>
          <w:tcPr>
            <w:tcW w:w="810" w:type="dxa"/>
            <w:shd w:val="clear" w:color="auto" w:fill="auto"/>
            <w:noWrap/>
            <w:vAlign w:val="center"/>
          </w:tcPr>
          <w:p w14:paraId="2DF898E9" w14:textId="7213D042" w:rsidR="00C537E5" w:rsidRPr="009520C8" w:rsidRDefault="11DB751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45.9</w:t>
            </w:r>
            <w:r w:rsidR="7B6C012D" w:rsidRPr="68129C33">
              <w:rPr>
                <w:rFonts w:eastAsia="Times New Roman" w:cs="Calibri"/>
                <w:color w:val="000000" w:themeColor="text1"/>
                <w:sz w:val="18"/>
                <w:szCs w:val="18"/>
              </w:rPr>
              <w:t>%</w:t>
            </w:r>
          </w:p>
        </w:tc>
        <w:tc>
          <w:tcPr>
            <w:tcW w:w="810" w:type="dxa"/>
            <w:shd w:val="clear" w:color="auto" w:fill="auto"/>
            <w:noWrap/>
            <w:vAlign w:val="center"/>
          </w:tcPr>
          <w:p w14:paraId="350F00FB" w14:textId="57FDEC22" w:rsidR="00C537E5" w:rsidRPr="009520C8" w:rsidRDefault="11DB751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52.1</w:t>
            </w:r>
            <w:r w:rsidR="2FDDB5C9" w:rsidRPr="68129C33">
              <w:rPr>
                <w:rFonts w:eastAsia="Times New Roman" w:cs="Calibri"/>
                <w:color w:val="000000" w:themeColor="text1"/>
                <w:sz w:val="18"/>
                <w:szCs w:val="18"/>
              </w:rPr>
              <w:t>%</w:t>
            </w:r>
          </w:p>
        </w:tc>
        <w:tc>
          <w:tcPr>
            <w:tcW w:w="810" w:type="dxa"/>
            <w:shd w:val="clear" w:color="auto" w:fill="auto"/>
            <w:noWrap/>
            <w:vAlign w:val="center"/>
          </w:tcPr>
          <w:p w14:paraId="1BA56AF6" w14:textId="4A3F6610" w:rsidR="00C537E5" w:rsidRPr="009520C8" w:rsidRDefault="11DB751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47.7</w:t>
            </w:r>
            <w:r w:rsidR="0530A608" w:rsidRPr="68129C33">
              <w:rPr>
                <w:rFonts w:eastAsia="Times New Roman" w:cs="Calibri"/>
                <w:color w:val="000000" w:themeColor="text1"/>
                <w:sz w:val="18"/>
                <w:szCs w:val="18"/>
              </w:rPr>
              <w:t>%</w:t>
            </w:r>
          </w:p>
        </w:tc>
        <w:tc>
          <w:tcPr>
            <w:tcW w:w="720" w:type="dxa"/>
            <w:shd w:val="clear" w:color="auto" w:fill="auto"/>
            <w:noWrap/>
            <w:vAlign w:val="center"/>
          </w:tcPr>
          <w:p w14:paraId="340527AD" w14:textId="0FE1905B" w:rsidR="00C537E5" w:rsidRPr="009520C8" w:rsidRDefault="11DB751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61.4</w:t>
            </w:r>
            <w:r w:rsidR="08BC8EFC" w:rsidRPr="68129C33">
              <w:rPr>
                <w:rFonts w:eastAsia="Times New Roman" w:cs="Calibri"/>
                <w:color w:val="000000" w:themeColor="text1"/>
                <w:sz w:val="18"/>
                <w:szCs w:val="18"/>
              </w:rPr>
              <w:t>%</w:t>
            </w:r>
          </w:p>
        </w:tc>
        <w:tc>
          <w:tcPr>
            <w:tcW w:w="720" w:type="dxa"/>
            <w:shd w:val="clear" w:color="auto" w:fill="auto"/>
            <w:noWrap/>
            <w:vAlign w:val="center"/>
          </w:tcPr>
          <w:p w14:paraId="44CFD630" w14:textId="3CF48D74" w:rsidR="00C537E5" w:rsidRPr="009520C8" w:rsidRDefault="11DB751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55.3</w:t>
            </w:r>
            <w:r w:rsidR="7C26E315" w:rsidRPr="68129C33">
              <w:rPr>
                <w:rFonts w:eastAsia="Times New Roman" w:cs="Calibri"/>
                <w:color w:val="000000" w:themeColor="text1"/>
                <w:sz w:val="18"/>
                <w:szCs w:val="18"/>
              </w:rPr>
              <w:t>%</w:t>
            </w:r>
          </w:p>
        </w:tc>
        <w:tc>
          <w:tcPr>
            <w:tcW w:w="990" w:type="dxa"/>
            <w:shd w:val="clear" w:color="auto" w:fill="auto"/>
            <w:noWrap/>
            <w:vAlign w:val="center"/>
          </w:tcPr>
          <w:p w14:paraId="7458CE12" w14:textId="1FAC4C56" w:rsidR="00C537E5" w:rsidRPr="009520C8" w:rsidRDefault="11DB751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53.5</w:t>
            </w:r>
            <w:r w:rsidR="2B6F2231" w:rsidRPr="68129C33">
              <w:rPr>
                <w:rFonts w:eastAsia="Times New Roman" w:cs="Calibri"/>
                <w:color w:val="000000" w:themeColor="text1"/>
                <w:sz w:val="18"/>
                <w:szCs w:val="18"/>
              </w:rPr>
              <w:t>%</w:t>
            </w:r>
          </w:p>
        </w:tc>
        <w:tc>
          <w:tcPr>
            <w:tcW w:w="720" w:type="dxa"/>
            <w:shd w:val="clear" w:color="auto" w:fill="auto"/>
            <w:noWrap/>
            <w:vAlign w:val="center"/>
          </w:tcPr>
          <w:p w14:paraId="0DE67231" w14:textId="327F43A0" w:rsidR="00C537E5" w:rsidRPr="009520C8" w:rsidRDefault="11DB751F" w:rsidP="00C537E5">
            <w:pPr>
              <w:spacing w:after="0"/>
              <w:jc w:val="center"/>
              <w:rPr>
                <w:rFonts w:eastAsia="Times New Roman" w:cs="Calibri"/>
                <w:color w:val="000000"/>
                <w:sz w:val="18"/>
                <w:szCs w:val="18"/>
              </w:rPr>
            </w:pPr>
            <w:r w:rsidRPr="35CAD603">
              <w:rPr>
                <w:rFonts w:eastAsia="Times New Roman" w:cs="Calibri"/>
                <w:color w:val="000000" w:themeColor="text1"/>
                <w:sz w:val="18"/>
                <w:szCs w:val="18"/>
              </w:rPr>
              <w:t>NA</w:t>
            </w:r>
          </w:p>
        </w:tc>
        <w:tc>
          <w:tcPr>
            <w:tcW w:w="720" w:type="dxa"/>
            <w:shd w:val="clear" w:color="auto" w:fill="auto"/>
            <w:noWrap/>
            <w:vAlign w:val="center"/>
          </w:tcPr>
          <w:p w14:paraId="5CB779C5" w14:textId="0A2EAF92" w:rsidR="00C537E5" w:rsidRPr="009520C8" w:rsidRDefault="00986D82" w:rsidP="00C537E5">
            <w:pPr>
              <w:spacing w:after="0"/>
              <w:jc w:val="center"/>
              <w:rPr>
                <w:rFonts w:eastAsia="Times New Roman" w:cs="Calibri"/>
                <w:color w:val="000000"/>
                <w:sz w:val="18"/>
                <w:szCs w:val="18"/>
              </w:rPr>
            </w:pPr>
            <w:r>
              <w:rPr>
                <w:rFonts w:eastAsia="Times New Roman" w:cs="Calibri"/>
                <w:color w:val="000000"/>
                <w:sz w:val="18"/>
                <w:szCs w:val="18"/>
              </w:rPr>
              <w:t>40.4%</w:t>
            </w:r>
          </w:p>
        </w:tc>
        <w:tc>
          <w:tcPr>
            <w:tcW w:w="720" w:type="dxa"/>
            <w:shd w:val="clear" w:color="auto" w:fill="auto"/>
            <w:noWrap/>
            <w:vAlign w:val="center"/>
            <w:hideMark/>
          </w:tcPr>
          <w:p w14:paraId="05C76EB6" w14:textId="496E01F6" w:rsidR="00C537E5" w:rsidRPr="009520C8" w:rsidRDefault="00AD75FA" w:rsidP="00C537E5">
            <w:pPr>
              <w:spacing w:after="0"/>
              <w:jc w:val="center"/>
              <w:rPr>
                <w:rFonts w:eastAsia="Times New Roman" w:cs="Calibri"/>
                <w:color w:val="000000"/>
                <w:sz w:val="18"/>
                <w:szCs w:val="18"/>
              </w:rPr>
            </w:pPr>
            <w:r>
              <w:rPr>
                <w:rFonts w:cs="Calibri"/>
                <w:color w:val="000000"/>
                <w:sz w:val="18"/>
                <w:szCs w:val="18"/>
              </w:rPr>
              <w:t>35.7%</w:t>
            </w:r>
          </w:p>
        </w:tc>
        <w:tc>
          <w:tcPr>
            <w:tcW w:w="720" w:type="dxa"/>
            <w:shd w:val="clear" w:color="auto" w:fill="auto"/>
            <w:noWrap/>
            <w:vAlign w:val="center"/>
            <w:hideMark/>
          </w:tcPr>
          <w:p w14:paraId="4EEEDE0F" w14:textId="66067F03" w:rsidR="00C537E5" w:rsidRPr="009520C8" w:rsidRDefault="00986D82" w:rsidP="00C537E5">
            <w:pPr>
              <w:spacing w:after="0"/>
              <w:jc w:val="center"/>
              <w:rPr>
                <w:rFonts w:eastAsia="Times New Roman" w:cs="Calibri"/>
                <w:color w:val="000000"/>
                <w:sz w:val="18"/>
                <w:szCs w:val="18"/>
              </w:rPr>
            </w:pPr>
            <w:r>
              <w:rPr>
                <w:rFonts w:cs="Calibri"/>
                <w:color w:val="000000"/>
                <w:sz w:val="18"/>
                <w:szCs w:val="18"/>
              </w:rPr>
              <w:t>42.1%</w:t>
            </w:r>
          </w:p>
        </w:tc>
      </w:tr>
      <w:tr w:rsidR="00DC70EE" w:rsidRPr="00884DD7" w14:paraId="10405471" w14:textId="77777777" w:rsidTr="4EB40283">
        <w:trPr>
          <w:trHeight w:val="290"/>
        </w:trPr>
        <w:tc>
          <w:tcPr>
            <w:tcW w:w="2040" w:type="dxa"/>
            <w:shd w:val="clear" w:color="auto" w:fill="F2F2F2" w:themeFill="background1" w:themeFillShade="F2"/>
            <w:noWrap/>
            <w:vAlign w:val="bottom"/>
            <w:hideMark/>
          </w:tcPr>
          <w:p w14:paraId="245D18CE" w14:textId="77777777" w:rsidR="00C537E5" w:rsidRPr="008D1B70" w:rsidRDefault="00C537E5" w:rsidP="00911AAE">
            <w:pPr>
              <w:jc w:val="center"/>
              <w:rPr>
                <w:rFonts w:eastAsia="Times New Roman" w:cs="Calibri"/>
                <w:sz w:val="16"/>
                <w:szCs w:val="16"/>
              </w:rPr>
            </w:pPr>
            <w:r w:rsidRPr="008D1B70">
              <w:rPr>
                <w:rFonts w:eastAsia="Times New Roman" w:cs="Calibri"/>
                <w:sz w:val="16"/>
                <w:szCs w:val="16"/>
              </w:rPr>
              <w:t>PPC</w:t>
            </w:r>
          </w:p>
        </w:tc>
        <w:tc>
          <w:tcPr>
            <w:tcW w:w="1650" w:type="dxa"/>
            <w:shd w:val="clear" w:color="auto" w:fill="F2F2F2" w:themeFill="background1" w:themeFillShade="F2"/>
            <w:hideMark/>
          </w:tcPr>
          <w:p w14:paraId="228D5A20" w14:textId="77777777" w:rsidR="00C537E5" w:rsidRPr="00884DD7" w:rsidRDefault="00C537E5" w:rsidP="00C537E5">
            <w:pPr>
              <w:spacing w:after="0"/>
              <w:rPr>
                <w:rFonts w:eastAsia="Times New Roman" w:cs="Calibri"/>
                <w:sz w:val="16"/>
                <w:szCs w:val="16"/>
              </w:rPr>
            </w:pPr>
            <w:r w:rsidRPr="00884DD7">
              <w:rPr>
                <w:rFonts w:eastAsia="Times New Roman" w:cs="Calibri"/>
                <w:sz w:val="16"/>
                <w:szCs w:val="16"/>
              </w:rPr>
              <w:t>Timeliness of Prenatal Care</w:t>
            </w:r>
          </w:p>
        </w:tc>
        <w:tc>
          <w:tcPr>
            <w:tcW w:w="810" w:type="dxa"/>
            <w:shd w:val="clear" w:color="auto" w:fill="F2F2F2" w:themeFill="background1" w:themeFillShade="F2"/>
            <w:noWrap/>
            <w:vAlign w:val="center"/>
          </w:tcPr>
          <w:p w14:paraId="23C73573" w14:textId="526B83E9" w:rsidR="00C537E5" w:rsidRPr="009520C8" w:rsidRDefault="005B6E78" w:rsidP="00C537E5">
            <w:pPr>
              <w:spacing w:after="0"/>
              <w:jc w:val="center"/>
              <w:rPr>
                <w:rFonts w:eastAsia="Times New Roman" w:cs="Calibri"/>
                <w:color w:val="000000"/>
                <w:sz w:val="18"/>
                <w:szCs w:val="18"/>
              </w:rPr>
            </w:pPr>
            <w:r>
              <w:rPr>
                <w:rFonts w:eastAsia="Times New Roman" w:cs="Calibri"/>
                <w:color w:val="000000"/>
                <w:sz w:val="18"/>
                <w:szCs w:val="18"/>
              </w:rPr>
              <w:t>85.1%</w:t>
            </w:r>
          </w:p>
        </w:tc>
        <w:tc>
          <w:tcPr>
            <w:tcW w:w="720" w:type="dxa"/>
            <w:shd w:val="clear" w:color="auto" w:fill="F2F2F2" w:themeFill="background1" w:themeFillShade="F2"/>
            <w:noWrap/>
            <w:vAlign w:val="center"/>
          </w:tcPr>
          <w:p w14:paraId="2C5A3C9E" w14:textId="27FD8BF0" w:rsidR="00C537E5" w:rsidRPr="009520C8" w:rsidRDefault="54BE55BA"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88.1%</w:t>
            </w:r>
          </w:p>
        </w:tc>
        <w:tc>
          <w:tcPr>
            <w:tcW w:w="720" w:type="dxa"/>
            <w:shd w:val="clear" w:color="auto" w:fill="F2F2F2" w:themeFill="background1" w:themeFillShade="F2"/>
            <w:noWrap/>
            <w:vAlign w:val="center"/>
          </w:tcPr>
          <w:p w14:paraId="1CD449F3" w14:textId="3973ADB0" w:rsidR="00C537E5" w:rsidRPr="009520C8" w:rsidRDefault="54BE55BA"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93.3%</w:t>
            </w:r>
          </w:p>
        </w:tc>
        <w:tc>
          <w:tcPr>
            <w:tcW w:w="720" w:type="dxa"/>
            <w:shd w:val="clear" w:color="auto" w:fill="F2F2F2" w:themeFill="background1" w:themeFillShade="F2"/>
            <w:noWrap/>
            <w:vAlign w:val="center"/>
          </w:tcPr>
          <w:p w14:paraId="1725ACDF" w14:textId="239AAFDB" w:rsidR="00C537E5" w:rsidRPr="009520C8" w:rsidRDefault="54BE55BA"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73.7%</w:t>
            </w:r>
          </w:p>
        </w:tc>
        <w:tc>
          <w:tcPr>
            <w:tcW w:w="720" w:type="dxa"/>
            <w:shd w:val="clear" w:color="auto" w:fill="F2F2F2" w:themeFill="background1" w:themeFillShade="F2"/>
            <w:noWrap/>
            <w:vAlign w:val="center"/>
          </w:tcPr>
          <w:p w14:paraId="1B65A654" w14:textId="34453874" w:rsidR="00C537E5" w:rsidRPr="009520C8" w:rsidRDefault="54BE55BA"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88.5%</w:t>
            </w:r>
          </w:p>
        </w:tc>
        <w:tc>
          <w:tcPr>
            <w:tcW w:w="720" w:type="dxa"/>
            <w:shd w:val="clear" w:color="auto" w:fill="F2F2F2" w:themeFill="background1" w:themeFillShade="F2"/>
            <w:noWrap/>
            <w:vAlign w:val="center"/>
          </w:tcPr>
          <w:p w14:paraId="25AAAAA7" w14:textId="050E7864" w:rsidR="00C537E5" w:rsidRPr="009520C8" w:rsidRDefault="54BE55BA"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95.9%</w:t>
            </w:r>
          </w:p>
        </w:tc>
        <w:tc>
          <w:tcPr>
            <w:tcW w:w="810" w:type="dxa"/>
            <w:shd w:val="clear" w:color="auto" w:fill="F2F2F2" w:themeFill="background1" w:themeFillShade="F2"/>
            <w:noWrap/>
            <w:vAlign w:val="center"/>
          </w:tcPr>
          <w:p w14:paraId="1F617CBF" w14:textId="7EB887B2" w:rsidR="00C537E5" w:rsidRPr="009520C8" w:rsidRDefault="54BE55BA"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76.7%</w:t>
            </w:r>
          </w:p>
        </w:tc>
        <w:tc>
          <w:tcPr>
            <w:tcW w:w="720" w:type="dxa"/>
            <w:shd w:val="clear" w:color="auto" w:fill="F2F2F2" w:themeFill="background1" w:themeFillShade="F2"/>
            <w:noWrap/>
            <w:vAlign w:val="center"/>
          </w:tcPr>
          <w:p w14:paraId="79FB6813" w14:textId="16038EE8" w:rsidR="00C537E5" w:rsidRPr="009520C8" w:rsidRDefault="54BE55BA"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80.8%</w:t>
            </w:r>
          </w:p>
        </w:tc>
        <w:tc>
          <w:tcPr>
            <w:tcW w:w="720" w:type="dxa"/>
            <w:shd w:val="clear" w:color="auto" w:fill="F2F2F2" w:themeFill="background1" w:themeFillShade="F2"/>
            <w:noWrap/>
            <w:vAlign w:val="center"/>
          </w:tcPr>
          <w:p w14:paraId="3CD4A60D" w14:textId="68C8B4E4" w:rsidR="00C537E5" w:rsidRPr="009520C8" w:rsidRDefault="54BE55BA"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87.3%</w:t>
            </w:r>
          </w:p>
        </w:tc>
        <w:tc>
          <w:tcPr>
            <w:tcW w:w="1080" w:type="dxa"/>
            <w:shd w:val="clear" w:color="auto" w:fill="F2F2F2" w:themeFill="background1" w:themeFillShade="F2"/>
            <w:noWrap/>
            <w:vAlign w:val="center"/>
          </w:tcPr>
          <w:p w14:paraId="44F31205" w14:textId="6E5A9B08" w:rsidR="00C537E5" w:rsidRPr="009520C8" w:rsidRDefault="54BE55BA"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48.9%</w:t>
            </w:r>
          </w:p>
        </w:tc>
        <w:tc>
          <w:tcPr>
            <w:tcW w:w="720" w:type="dxa"/>
            <w:shd w:val="clear" w:color="auto" w:fill="F2F2F2" w:themeFill="background1" w:themeFillShade="F2"/>
            <w:noWrap/>
            <w:vAlign w:val="center"/>
          </w:tcPr>
          <w:p w14:paraId="3C0726BA" w14:textId="420D53C6" w:rsidR="00C537E5" w:rsidRPr="009520C8" w:rsidRDefault="54BE55BA"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84.9%</w:t>
            </w:r>
          </w:p>
        </w:tc>
        <w:tc>
          <w:tcPr>
            <w:tcW w:w="810" w:type="dxa"/>
            <w:shd w:val="clear" w:color="auto" w:fill="F2F2F2" w:themeFill="background1" w:themeFillShade="F2"/>
            <w:noWrap/>
            <w:vAlign w:val="center"/>
          </w:tcPr>
          <w:p w14:paraId="79659066" w14:textId="7B3362FC" w:rsidR="00C537E5" w:rsidRPr="009520C8" w:rsidRDefault="54BE55BA"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68.5%</w:t>
            </w:r>
          </w:p>
        </w:tc>
        <w:tc>
          <w:tcPr>
            <w:tcW w:w="810" w:type="dxa"/>
            <w:shd w:val="clear" w:color="auto" w:fill="F2F2F2" w:themeFill="background1" w:themeFillShade="F2"/>
            <w:noWrap/>
            <w:vAlign w:val="center"/>
          </w:tcPr>
          <w:p w14:paraId="4861894C" w14:textId="2CCE99F1" w:rsidR="00C537E5" w:rsidRPr="009520C8" w:rsidRDefault="54BE55BA"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85.2%</w:t>
            </w:r>
          </w:p>
        </w:tc>
        <w:tc>
          <w:tcPr>
            <w:tcW w:w="810" w:type="dxa"/>
            <w:shd w:val="clear" w:color="auto" w:fill="F2F2F2" w:themeFill="background1" w:themeFillShade="F2"/>
            <w:noWrap/>
            <w:vAlign w:val="center"/>
          </w:tcPr>
          <w:p w14:paraId="60DD0658" w14:textId="52911184" w:rsidR="00C537E5" w:rsidRPr="009520C8" w:rsidRDefault="54BE55BA"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88.8%</w:t>
            </w:r>
          </w:p>
        </w:tc>
        <w:tc>
          <w:tcPr>
            <w:tcW w:w="720" w:type="dxa"/>
            <w:shd w:val="clear" w:color="auto" w:fill="F2F2F2" w:themeFill="background1" w:themeFillShade="F2"/>
            <w:noWrap/>
            <w:vAlign w:val="center"/>
          </w:tcPr>
          <w:p w14:paraId="1A4940BA" w14:textId="760487CB" w:rsidR="00C537E5" w:rsidRPr="009520C8" w:rsidRDefault="54BE55BA"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90.6%</w:t>
            </w:r>
          </w:p>
        </w:tc>
        <w:tc>
          <w:tcPr>
            <w:tcW w:w="720" w:type="dxa"/>
            <w:shd w:val="clear" w:color="auto" w:fill="F2F2F2" w:themeFill="background1" w:themeFillShade="F2"/>
            <w:noWrap/>
            <w:vAlign w:val="center"/>
          </w:tcPr>
          <w:p w14:paraId="0744E27C" w14:textId="26363232" w:rsidR="00C537E5" w:rsidRPr="009520C8" w:rsidRDefault="54BE55BA"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81.1%</w:t>
            </w:r>
          </w:p>
        </w:tc>
        <w:tc>
          <w:tcPr>
            <w:tcW w:w="990" w:type="dxa"/>
            <w:shd w:val="clear" w:color="auto" w:fill="F2F2F2" w:themeFill="background1" w:themeFillShade="F2"/>
            <w:noWrap/>
            <w:vAlign w:val="center"/>
          </w:tcPr>
          <w:p w14:paraId="78B16A63" w14:textId="2DA5A5A5" w:rsidR="00C537E5" w:rsidRPr="009520C8" w:rsidRDefault="54BE55BA"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89.3%</w:t>
            </w:r>
          </w:p>
        </w:tc>
        <w:tc>
          <w:tcPr>
            <w:tcW w:w="720" w:type="dxa"/>
            <w:shd w:val="clear" w:color="auto" w:fill="F2F2F2" w:themeFill="background1" w:themeFillShade="F2"/>
            <w:noWrap/>
            <w:vAlign w:val="center"/>
          </w:tcPr>
          <w:p w14:paraId="494B52C6" w14:textId="1C8493E8" w:rsidR="00C537E5" w:rsidRPr="009520C8" w:rsidRDefault="54BE55BA"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58.0%</w:t>
            </w:r>
          </w:p>
        </w:tc>
        <w:tc>
          <w:tcPr>
            <w:tcW w:w="720" w:type="dxa"/>
            <w:shd w:val="clear" w:color="auto" w:fill="F2F2F2" w:themeFill="background1" w:themeFillShade="F2"/>
            <w:noWrap/>
            <w:vAlign w:val="center"/>
          </w:tcPr>
          <w:p w14:paraId="69B344AD" w14:textId="5F029788" w:rsidR="00C537E5" w:rsidRPr="009520C8" w:rsidRDefault="00D17BC6" w:rsidP="00C537E5">
            <w:pPr>
              <w:spacing w:after="0"/>
              <w:jc w:val="center"/>
              <w:rPr>
                <w:rFonts w:eastAsia="Times New Roman" w:cs="Calibri"/>
                <w:color w:val="000000"/>
                <w:sz w:val="18"/>
                <w:szCs w:val="18"/>
              </w:rPr>
            </w:pPr>
            <w:r>
              <w:rPr>
                <w:rFonts w:eastAsia="Times New Roman" w:cs="Calibri"/>
                <w:color w:val="000000"/>
                <w:sz w:val="18"/>
                <w:szCs w:val="18"/>
              </w:rPr>
              <w:t>82.7%</w:t>
            </w:r>
          </w:p>
        </w:tc>
        <w:tc>
          <w:tcPr>
            <w:tcW w:w="720" w:type="dxa"/>
            <w:shd w:val="clear" w:color="auto" w:fill="F2F2F2" w:themeFill="background1" w:themeFillShade="F2"/>
            <w:noWrap/>
            <w:vAlign w:val="center"/>
            <w:hideMark/>
          </w:tcPr>
          <w:p w14:paraId="1D5E9D62" w14:textId="3B5DA72D" w:rsidR="00C537E5" w:rsidRPr="009520C8" w:rsidRDefault="002C22BE" w:rsidP="00C537E5">
            <w:pPr>
              <w:spacing w:after="0"/>
              <w:jc w:val="center"/>
              <w:rPr>
                <w:rFonts w:eastAsia="Times New Roman" w:cs="Calibri"/>
                <w:color w:val="000000"/>
                <w:sz w:val="18"/>
                <w:szCs w:val="18"/>
              </w:rPr>
            </w:pPr>
            <w:r>
              <w:rPr>
                <w:rFonts w:cs="Calibri"/>
                <w:color w:val="000000"/>
                <w:sz w:val="18"/>
                <w:szCs w:val="18"/>
              </w:rPr>
              <w:t>63.6%</w:t>
            </w:r>
          </w:p>
        </w:tc>
        <w:tc>
          <w:tcPr>
            <w:tcW w:w="720" w:type="dxa"/>
            <w:shd w:val="clear" w:color="auto" w:fill="F2F2F2" w:themeFill="background1" w:themeFillShade="F2"/>
            <w:noWrap/>
            <w:vAlign w:val="center"/>
            <w:hideMark/>
          </w:tcPr>
          <w:p w14:paraId="51C867BB" w14:textId="6B86150A" w:rsidR="00C537E5" w:rsidRPr="009520C8" w:rsidRDefault="00A316A6" w:rsidP="00C537E5">
            <w:pPr>
              <w:spacing w:after="0"/>
              <w:jc w:val="center"/>
              <w:rPr>
                <w:rFonts w:eastAsia="Times New Roman" w:cs="Calibri"/>
                <w:color w:val="000000"/>
                <w:sz w:val="18"/>
                <w:szCs w:val="18"/>
              </w:rPr>
            </w:pPr>
            <w:r>
              <w:rPr>
                <w:rFonts w:cs="Calibri"/>
                <w:color w:val="000000"/>
                <w:sz w:val="18"/>
                <w:szCs w:val="18"/>
              </w:rPr>
              <w:t>94.4%</w:t>
            </w:r>
          </w:p>
        </w:tc>
      </w:tr>
      <w:tr w:rsidR="00EF4C5F" w:rsidRPr="00884DD7" w14:paraId="003BC7E5" w14:textId="77777777" w:rsidTr="4EB40283">
        <w:trPr>
          <w:trHeight w:val="290"/>
        </w:trPr>
        <w:tc>
          <w:tcPr>
            <w:tcW w:w="2040" w:type="dxa"/>
            <w:shd w:val="clear" w:color="auto" w:fill="auto"/>
            <w:noWrap/>
            <w:hideMark/>
          </w:tcPr>
          <w:p w14:paraId="0EF42EEC" w14:textId="77777777" w:rsidR="00C537E5" w:rsidRPr="008D1B70" w:rsidRDefault="00C537E5" w:rsidP="00C537E5">
            <w:pPr>
              <w:spacing w:after="0"/>
              <w:jc w:val="center"/>
              <w:rPr>
                <w:rFonts w:eastAsia="Times New Roman" w:cs="Calibri"/>
                <w:sz w:val="16"/>
                <w:szCs w:val="16"/>
              </w:rPr>
            </w:pPr>
            <w:r w:rsidRPr="008D1B70">
              <w:rPr>
                <w:rFonts w:eastAsia="Times New Roman" w:cs="Calibri"/>
                <w:sz w:val="16"/>
                <w:szCs w:val="16"/>
              </w:rPr>
              <w:t>IMA</w:t>
            </w:r>
          </w:p>
        </w:tc>
        <w:tc>
          <w:tcPr>
            <w:tcW w:w="1650" w:type="dxa"/>
            <w:shd w:val="clear" w:color="auto" w:fill="auto"/>
            <w:hideMark/>
          </w:tcPr>
          <w:p w14:paraId="48B8CC3B" w14:textId="77777777" w:rsidR="00C537E5" w:rsidRPr="00884DD7" w:rsidRDefault="00C537E5" w:rsidP="00C537E5">
            <w:pPr>
              <w:spacing w:after="0"/>
              <w:rPr>
                <w:rFonts w:eastAsia="Times New Roman" w:cs="Calibri"/>
                <w:sz w:val="16"/>
                <w:szCs w:val="16"/>
              </w:rPr>
            </w:pPr>
            <w:r w:rsidRPr="00884DD7">
              <w:rPr>
                <w:rFonts w:eastAsia="Times New Roman" w:cs="Calibri"/>
                <w:sz w:val="16"/>
                <w:szCs w:val="16"/>
              </w:rPr>
              <w:t>Immunization for Adolescents (combo 2)</w:t>
            </w:r>
          </w:p>
        </w:tc>
        <w:tc>
          <w:tcPr>
            <w:tcW w:w="810" w:type="dxa"/>
            <w:shd w:val="clear" w:color="auto" w:fill="auto"/>
            <w:noWrap/>
            <w:vAlign w:val="center"/>
          </w:tcPr>
          <w:p w14:paraId="747FCB9F" w14:textId="13910353" w:rsidR="00C537E5" w:rsidRPr="009520C8" w:rsidRDefault="003B3C21" w:rsidP="00C537E5">
            <w:pPr>
              <w:spacing w:after="0"/>
              <w:jc w:val="center"/>
              <w:rPr>
                <w:rFonts w:eastAsia="Times New Roman" w:cs="Calibri"/>
                <w:color w:val="000000"/>
                <w:sz w:val="18"/>
                <w:szCs w:val="18"/>
              </w:rPr>
            </w:pPr>
            <w:r>
              <w:rPr>
                <w:rFonts w:eastAsia="Times New Roman" w:cs="Calibri"/>
                <w:color w:val="000000"/>
                <w:sz w:val="18"/>
                <w:szCs w:val="18"/>
              </w:rPr>
              <w:t>47.1%</w:t>
            </w:r>
          </w:p>
        </w:tc>
        <w:tc>
          <w:tcPr>
            <w:tcW w:w="720" w:type="dxa"/>
            <w:shd w:val="clear" w:color="auto" w:fill="auto"/>
            <w:noWrap/>
            <w:vAlign w:val="center"/>
          </w:tcPr>
          <w:p w14:paraId="65B38AF2" w14:textId="4E232052" w:rsidR="00C537E5" w:rsidRPr="009520C8" w:rsidRDefault="2488EF0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14.2%</w:t>
            </w:r>
          </w:p>
        </w:tc>
        <w:tc>
          <w:tcPr>
            <w:tcW w:w="720" w:type="dxa"/>
            <w:shd w:val="clear" w:color="auto" w:fill="auto"/>
            <w:noWrap/>
            <w:vAlign w:val="center"/>
          </w:tcPr>
          <w:p w14:paraId="33E64D3E" w14:textId="259ECCF5" w:rsidR="00C537E5" w:rsidRPr="009520C8" w:rsidRDefault="2488EF0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50.4%</w:t>
            </w:r>
          </w:p>
        </w:tc>
        <w:tc>
          <w:tcPr>
            <w:tcW w:w="720" w:type="dxa"/>
            <w:shd w:val="clear" w:color="auto" w:fill="auto"/>
            <w:noWrap/>
            <w:vAlign w:val="center"/>
          </w:tcPr>
          <w:p w14:paraId="252E0982" w14:textId="34D7698A" w:rsidR="00C537E5" w:rsidRPr="009520C8" w:rsidRDefault="2488EF0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44.8%</w:t>
            </w:r>
          </w:p>
        </w:tc>
        <w:tc>
          <w:tcPr>
            <w:tcW w:w="720" w:type="dxa"/>
            <w:shd w:val="clear" w:color="auto" w:fill="auto"/>
            <w:noWrap/>
            <w:vAlign w:val="center"/>
          </w:tcPr>
          <w:p w14:paraId="722F8CBA" w14:textId="6E9047EB" w:rsidR="00C537E5" w:rsidRPr="009520C8" w:rsidRDefault="2488EF0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42.5%</w:t>
            </w:r>
          </w:p>
        </w:tc>
        <w:tc>
          <w:tcPr>
            <w:tcW w:w="720" w:type="dxa"/>
            <w:shd w:val="clear" w:color="auto" w:fill="auto"/>
            <w:noWrap/>
            <w:vAlign w:val="center"/>
          </w:tcPr>
          <w:p w14:paraId="2536A6DF" w14:textId="74C67868" w:rsidR="00C537E5" w:rsidRPr="009520C8" w:rsidRDefault="2488EF0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45.6%</w:t>
            </w:r>
          </w:p>
        </w:tc>
        <w:tc>
          <w:tcPr>
            <w:tcW w:w="810" w:type="dxa"/>
            <w:shd w:val="clear" w:color="auto" w:fill="auto"/>
            <w:noWrap/>
            <w:vAlign w:val="center"/>
          </w:tcPr>
          <w:p w14:paraId="3CAC70AF" w14:textId="0D15ACCA" w:rsidR="00C537E5" w:rsidRPr="009520C8" w:rsidRDefault="2488EF0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40.9%</w:t>
            </w:r>
          </w:p>
        </w:tc>
        <w:tc>
          <w:tcPr>
            <w:tcW w:w="720" w:type="dxa"/>
            <w:shd w:val="clear" w:color="auto" w:fill="auto"/>
            <w:noWrap/>
            <w:vAlign w:val="center"/>
          </w:tcPr>
          <w:p w14:paraId="3E6BC1D7" w14:textId="5D8106A1" w:rsidR="00C537E5" w:rsidRPr="009520C8" w:rsidRDefault="2488EF0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25.3%</w:t>
            </w:r>
          </w:p>
        </w:tc>
        <w:tc>
          <w:tcPr>
            <w:tcW w:w="720" w:type="dxa"/>
            <w:shd w:val="clear" w:color="auto" w:fill="auto"/>
            <w:noWrap/>
            <w:vAlign w:val="center"/>
          </w:tcPr>
          <w:p w14:paraId="46F82DE5" w14:textId="04B0F61D" w:rsidR="00C537E5" w:rsidRPr="009520C8" w:rsidRDefault="2488EF0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57.0%</w:t>
            </w:r>
          </w:p>
        </w:tc>
        <w:tc>
          <w:tcPr>
            <w:tcW w:w="1080" w:type="dxa"/>
            <w:shd w:val="clear" w:color="auto" w:fill="auto"/>
            <w:noWrap/>
            <w:vAlign w:val="center"/>
          </w:tcPr>
          <w:p w14:paraId="3A058D66" w14:textId="5341A21E" w:rsidR="00C537E5" w:rsidRPr="009520C8" w:rsidRDefault="2488EF0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50.9%</w:t>
            </w:r>
          </w:p>
        </w:tc>
        <w:tc>
          <w:tcPr>
            <w:tcW w:w="720" w:type="dxa"/>
            <w:shd w:val="clear" w:color="auto" w:fill="auto"/>
            <w:noWrap/>
            <w:vAlign w:val="center"/>
          </w:tcPr>
          <w:p w14:paraId="020E486B" w14:textId="41D80EC2" w:rsidR="00C537E5" w:rsidRPr="009520C8" w:rsidRDefault="2488EF0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53.4%</w:t>
            </w:r>
          </w:p>
        </w:tc>
        <w:tc>
          <w:tcPr>
            <w:tcW w:w="810" w:type="dxa"/>
            <w:shd w:val="clear" w:color="auto" w:fill="auto"/>
            <w:noWrap/>
            <w:vAlign w:val="center"/>
          </w:tcPr>
          <w:p w14:paraId="78FCD37C" w14:textId="5AE16F98" w:rsidR="00C537E5" w:rsidRPr="009520C8" w:rsidRDefault="2488EF0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43.1%</w:t>
            </w:r>
          </w:p>
        </w:tc>
        <w:tc>
          <w:tcPr>
            <w:tcW w:w="810" w:type="dxa"/>
            <w:shd w:val="clear" w:color="auto" w:fill="auto"/>
            <w:noWrap/>
            <w:vAlign w:val="center"/>
          </w:tcPr>
          <w:p w14:paraId="164A391B" w14:textId="5643E3A6" w:rsidR="00C537E5" w:rsidRPr="009520C8" w:rsidRDefault="2488EF0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49.3%</w:t>
            </w:r>
          </w:p>
        </w:tc>
        <w:tc>
          <w:tcPr>
            <w:tcW w:w="810" w:type="dxa"/>
            <w:shd w:val="clear" w:color="auto" w:fill="auto"/>
            <w:noWrap/>
            <w:vAlign w:val="center"/>
          </w:tcPr>
          <w:p w14:paraId="387D915B" w14:textId="165640FD" w:rsidR="00C537E5" w:rsidRPr="009520C8" w:rsidRDefault="2488EF0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53.8%</w:t>
            </w:r>
          </w:p>
        </w:tc>
        <w:tc>
          <w:tcPr>
            <w:tcW w:w="720" w:type="dxa"/>
            <w:shd w:val="clear" w:color="auto" w:fill="auto"/>
            <w:noWrap/>
            <w:vAlign w:val="center"/>
          </w:tcPr>
          <w:p w14:paraId="443E3403" w14:textId="7F16AD6B" w:rsidR="00C537E5" w:rsidRPr="009520C8" w:rsidRDefault="2488EF0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62.3%</w:t>
            </w:r>
          </w:p>
        </w:tc>
        <w:tc>
          <w:tcPr>
            <w:tcW w:w="720" w:type="dxa"/>
            <w:shd w:val="clear" w:color="auto" w:fill="auto"/>
            <w:noWrap/>
            <w:vAlign w:val="center"/>
          </w:tcPr>
          <w:p w14:paraId="215E3CC5" w14:textId="65240D53" w:rsidR="00C537E5" w:rsidRPr="009520C8" w:rsidRDefault="2488EF0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33.6%</w:t>
            </w:r>
          </w:p>
        </w:tc>
        <w:tc>
          <w:tcPr>
            <w:tcW w:w="990" w:type="dxa"/>
            <w:shd w:val="clear" w:color="auto" w:fill="auto"/>
            <w:noWrap/>
            <w:vAlign w:val="center"/>
          </w:tcPr>
          <w:p w14:paraId="374E17B3" w14:textId="755410DC" w:rsidR="00C537E5" w:rsidRPr="009520C8" w:rsidRDefault="2488EF0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40.6%</w:t>
            </w:r>
          </w:p>
        </w:tc>
        <w:tc>
          <w:tcPr>
            <w:tcW w:w="720" w:type="dxa"/>
            <w:shd w:val="clear" w:color="auto" w:fill="auto"/>
            <w:noWrap/>
            <w:vAlign w:val="center"/>
          </w:tcPr>
          <w:p w14:paraId="49F00877" w14:textId="6A82A46A" w:rsidR="00C537E5" w:rsidRPr="009520C8" w:rsidRDefault="2488EF0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NA</w:t>
            </w:r>
          </w:p>
        </w:tc>
        <w:tc>
          <w:tcPr>
            <w:tcW w:w="720" w:type="dxa"/>
            <w:shd w:val="clear" w:color="auto" w:fill="auto"/>
            <w:noWrap/>
            <w:vAlign w:val="center"/>
          </w:tcPr>
          <w:p w14:paraId="1881A04A" w14:textId="113A79D1" w:rsidR="00C537E5" w:rsidRPr="009520C8" w:rsidRDefault="00D0032B" w:rsidP="00C537E5">
            <w:pPr>
              <w:spacing w:after="0"/>
              <w:jc w:val="center"/>
              <w:rPr>
                <w:rFonts w:eastAsia="Times New Roman" w:cs="Calibri"/>
                <w:color w:val="000000"/>
                <w:sz w:val="18"/>
                <w:szCs w:val="18"/>
              </w:rPr>
            </w:pPr>
            <w:r>
              <w:rPr>
                <w:rFonts w:eastAsia="Times New Roman" w:cs="Calibri"/>
                <w:color w:val="000000"/>
                <w:sz w:val="18"/>
                <w:szCs w:val="18"/>
              </w:rPr>
              <w:t>33.0%</w:t>
            </w:r>
          </w:p>
        </w:tc>
        <w:tc>
          <w:tcPr>
            <w:tcW w:w="720" w:type="dxa"/>
            <w:shd w:val="clear" w:color="auto" w:fill="auto"/>
            <w:noWrap/>
            <w:vAlign w:val="center"/>
            <w:hideMark/>
          </w:tcPr>
          <w:p w14:paraId="3FEEEF4E" w14:textId="049FCF48" w:rsidR="00C537E5" w:rsidRPr="009520C8" w:rsidRDefault="00AF0FAE" w:rsidP="00C537E5">
            <w:pPr>
              <w:spacing w:after="0"/>
              <w:jc w:val="center"/>
              <w:rPr>
                <w:rFonts w:eastAsia="Times New Roman" w:cs="Calibri"/>
                <w:color w:val="000000"/>
                <w:sz w:val="18"/>
                <w:szCs w:val="18"/>
              </w:rPr>
            </w:pPr>
            <w:r>
              <w:rPr>
                <w:rFonts w:cs="Calibri"/>
                <w:color w:val="000000"/>
                <w:sz w:val="18"/>
                <w:szCs w:val="18"/>
              </w:rPr>
              <w:t>22.9%</w:t>
            </w:r>
          </w:p>
        </w:tc>
        <w:tc>
          <w:tcPr>
            <w:tcW w:w="720" w:type="dxa"/>
            <w:shd w:val="clear" w:color="auto" w:fill="auto"/>
            <w:noWrap/>
            <w:vAlign w:val="center"/>
            <w:hideMark/>
          </w:tcPr>
          <w:p w14:paraId="4C5F548F" w14:textId="439E9B91" w:rsidR="00C537E5" w:rsidRPr="009520C8" w:rsidRDefault="00AF0FAE" w:rsidP="00C537E5">
            <w:pPr>
              <w:spacing w:after="0"/>
              <w:jc w:val="center"/>
              <w:rPr>
                <w:rFonts w:eastAsia="Times New Roman" w:cs="Calibri"/>
                <w:color w:val="000000"/>
                <w:sz w:val="18"/>
                <w:szCs w:val="18"/>
              </w:rPr>
            </w:pPr>
            <w:r>
              <w:rPr>
                <w:rFonts w:cs="Calibri"/>
                <w:color w:val="000000"/>
                <w:sz w:val="18"/>
                <w:szCs w:val="18"/>
              </w:rPr>
              <w:t>36.2%</w:t>
            </w:r>
          </w:p>
        </w:tc>
      </w:tr>
      <w:tr w:rsidR="00DC70EE" w:rsidRPr="00884DD7" w14:paraId="378BB8AD" w14:textId="77777777" w:rsidTr="4EB40283">
        <w:trPr>
          <w:trHeight w:val="458"/>
        </w:trPr>
        <w:tc>
          <w:tcPr>
            <w:tcW w:w="2040" w:type="dxa"/>
            <w:shd w:val="clear" w:color="auto" w:fill="F2F2F2" w:themeFill="background1" w:themeFillShade="F2"/>
            <w:noWrap/>
            <w:hideMark/>
          </w:tcPr>
          <w:p w14:paraId="0F514FB8" w14:textId="77777777" w:rsidR="00C537E5" w:rsidRPr="008D1B70" w:rsidRDefault="00C537E5" w:rsidP="00C537E5">
            <w:pPr>
              <w:spacing w:after="0"/>
              <w:jc w:val="center"/>
              <w:rPr>
                <w:rFonts w:eastAsia="Times New Roman" w:cs="Calibri"/>
                <w:sz w:val="16"/>
                <w:szCs w:val="16"/>
              </w:rPr>
            </w:pPr>
            <w:r w:rsidRPr="008D1B70">
              <w:rPr>
                <w:rFonts w:eastAsia="Times New Roman" w:cs="Calibri"/>
                <w:sz w:val="16"/>
                <w:szCs w:val="16"/>
              </w:rPr>
              <w:t>CBP</w:t>
            </w:r>
          </w:p>
        </w:tc>
        <w:tc>
          <w:tcPr>
            <w:tcW w:w="1650" w:type="dxa"/>
            <w:shd w:val="clear" w:color="auto" w:fill="F2F2F2" w:themeFill="background1" w:themeFillShade="F2"/>
            <w:hideMark/>
          </w:tcPr>
          <w:p w14:paraId="3D6BECA8" w14:textId="77777777" w:rsidR="00C537E5" w:rsidRPr="00884DD7" w:rsidRDefault="00C537E5" w:rsidP="00C537E5">
            <w:pPr>
              <w:spacing w:after="0"/>
              <w:rPr>
                <w:rFonts w:eastAsia="Times New Roman" w:cs="Calibri"/>
                <w:sz w:val="16"/>
                <w:szCs w:val="16"/>
              </w:rPr>
            </w:pPr>
            <w:r w:rsidRPr="00884DD7">
              <w:rPr>
                <w:rFonts w:eastAsia="Times New Roman" w:cs="Calibri"/>
                <w:sz w:val="16"/>
                <w:szCs w:val="16"/>
              </w:rPr>
              <w:t>Controlling High Blood Pressure</w:t>
            </w:r>
          </w:p>
        </w:tc>
        <w:tc>
          <w:tcPr>
            <w:tcW w:w="810" w:type="dxa"/>
            <w:shd w:val="clear" w:color="auto" w:fill="F2F2F2" w:themeFill="background1" w:themeFillShade="F2"/>
            <w:noWrap/>
            <w:vAlign w:val="center"/>
          </w:tcPr>
          <w:p w14:paraId="7062C650" w14:textId="6B7E52CC" w:rsidR="00C537E5" w:rsidRPr="009520C8" w:rsidRDefault="00D06229" w:rsidP="00C537E5">
            <w:pPr>
              <w:spacing w:after="0"/>
              <w:jc w:val="center"/>
              <w:rPr>
                <w:rFonts w:eastAsia="Times New Roman" w:cs="Calibri"/>
                <w:color w:val="000000"/>
                <w:sz w:val="18"/>
                <w:szCs w:val="18"/>
              </w:rPr>
            </w:pPr>
            <w:r>
              <w:rPr>
                <w:rFonts w:eastAsia="Times New Roman" w:cs="Calibri"/>
                <w:color w:val="000000"/>
                <w:sz w:val="18"/>
                <w:szCs w:val="18"/>
              </w:rPr>
              <w:t>64.1%</w:t>
            </w:r>
          </w:p>
        </w:tc>
        <w:tc>
          <w:tcPr>
            <w:tcW w:w="720" w:type="dxa"/>
            <w:shd w:val="clear" w:color="auto" w:fill="F2F2F2" w:themeFill="background1" w:themeFillShade="F2"/>
            <w:noWrap/>
            <w:vAlign w:val="center"/>
          </w:tcPr>
          <w:p w14:paraId="185EF0BD" w14:textId="3BB97AAD" w:rsidR="00C537E5" w:rsidRPr="009520C8" w:rsidRDefault="005ACA7C"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66.4%</w:t>
            </w:r>
          </w:p>
        </w:tc>
        <w:tc>
          <w:tcPr>
            <w:tcW w:w="720" w:type="dxa"/>
            <w:shd w:val="clear" w:color="auto" w:fill="F2F2F2" w:themeFill="background1" w:themeFillShade="F2"/>
            <w:noWrap/>
            <w:vAlign w:val="center"/>
          </w:tcPr>
          <w:p w14:paraId="0D4637F0" w14:textId="09F52918" w:rsidR="00C537E5" w:rsidRPr="009520C8" w:rsidRDefault="005ACA7C"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73.2%</w:t>
            </w:r>
          </w:p>
        </w:tc>
        <w:tc>
          <w:tcPr>
            <w:tcW w:w="720" w:type="dxa"/>
            <w:shd w:val="clear" w:color="auto" w:fill="F2F2F2" w:themeFill="background1" w:themeFillShade="F2"/>
            <w:noWrap/>
            <w:vAlign w:val="center"/>
          </w:tcPr>
          <w:p w14:paraId="59DCAB48" w14:textId="1EF14849" w:rsidR="00C537E5" w:rsidRPr="009520C8" w:rsidRDefault="005ACA7C"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70.6%</w:t>
            </w:r>
          </w:p>
        </w:tc>
        <w:tc>
          <w:tcPr>
            <w:tcW w:w="720" w:type="dxa"/>
            <w:shd w:val="clear" w:color="auto" w:fill="F2F2F2" w:themeFill="background1" w:themeFillShade="F2"/>
            <w:noWrap/>
            <w:vAlign w:val="center"/>
          </w:tcPr>
          <w:p w14:paraId="01A3D2BC" w14:textId="04189BDF" w:rsidR="00C537E5" w:rsidRPr="009520C8" w:rsidRDefault="005ACA7C"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69.8%</w:t>
            </w:r>
          </w:p>
        </w:tc>
        <w:tc>
          <w:tcPr>
            <w:tcW w:w="720" w:type="dxa"/>
            <w:shd w:val="clear" w:color="auto" w:fill="F2F2F2" w:themeFill="background1" w:themeFillShade="F2"/>
            <w:noWrap/>
            <w:vAlign w:val="center"/>
          </w:tcPr>
          <w:p w14:paraId="04D82727" w14:textId="653B7C12" w:rsidR="00C537E5" w:rsidRPr="009520C8" w:rsidRDefault="005ACA7C"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58.6%</w:t>
            </w:r>
          </w:p>
        </w:tc>
        <w:tc>
          <w:tcPr>
            <w:tcW w:w="810" w:type="dxa"/>
            <w:shd w:val="clear" w:color="auto" w:fill="F2F2F2" w:themeFill="background1" w:themeFillShade="F2"/>
            <w:noWrap/>
            <w:vAlign w:val="center"/>
          </w:tcPr>
          <w:p w14:paraId="7362C720" w14:textId="32558298" w:rsidR="00C537E5" w:rsidRPr="009520C8" w:rsidRDefault="005ACA7C"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76.9%</w:t>
            </w:r>
          </w:p>
        </w:tc>
        <w:tc>
          <w:tcPr>
            <w:tcW w:w="720" w:type="dxa"/>
            <w:shd w:val="clear" w:color="auto" w:fill="F2F2F2" w:themeFill="background1" w:themeFillShade="F2"/>
            <w:noWrap/>
            <w:vAlign w:val="center"/>
          </w:tcPr>
          <w:p w14:paraId="2F7E18A9" w14:textId="7E45E325" w:rsidR="00C537E5" w:rsidRPr="009520C8" w:rsidRDefault="005ACA7C"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64.0%</w:t>
            </w:r>
          </w:p>
        </w:tc>
        <w:tc>
          <w:tcPr>
            <w:tcW w:w="720" w:type="dxa"/>
            <w:shd w:val="clear" w:color="auto" w:fill="F2F2F2" w:themeFill="background1" w:themeFillShade="F2"/>
            <w:noWrap/>
            <w:vAlign w:val="center"/>
          </w:tcPr>
          <w:p w14:paraId="1384D38E" w14:textId="2A8A4893" w:rsidR="00C537E5" w:rsidRPr="009520C8" w:rsidRDefault="005ACA7C"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67.2%</w:t>
            </w:r>
          </w:p>
        </w:tc>
        <w:tc>
          <w:tcPr>
            <w:tcW w:w="1080" w:type="dxa"/>
            <w:shd w:val="clear" w:color="auto" w:fill="F2F2F2" w:themeFill="background1" w:themeFillShade="F2"/>
            <w:noWrap/>
            <w:vAlign w:val="center"/>
          </w:tcPr>
          <w:p w14:paraId="69B49EFD" w14:textId="62B64743" w:rsidR="00C537E5" w:rsidRPr="009520C8" w:rsidRDefault="005ACA7C"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50.7%</w:t>
            </w:r>
          </w:p>
        </w:tc>
        <w:tc>
          <w:tcPr>
            <w:tcW w:w="720" w:type="dxa"/>
            <w:shd w:val="clear" w:color="auto" w:fill="F2F2F2" w:themeFill="background1" w:themeFillShade="F2"/>
            <w:noWrap/>
            <w:vAlign w:val="center"/>
          </w:tcPr>
          <w:p w14:paraId="514436C9" w14:textId="77604DD4" w:rsidR="00C537E5" w:rsidRPr="009520C8" w:rsidRDefault="005ACA7C"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60.3%</w:t>
            </w:r>
          </w:p>
        </w:tc>
        <w:tc>
          <w:tcPr>
            <w:tcW w:w="810" w:type="dxa"/>
            <w:shd w:val="clear" w:color="auto" w:fill="F2F2F2" w:themeFill="background1" w:themeFillShade="F2"/>
            <w:noWrap/>
            <w:vAlign w:val="center"/>
          </w:tcPr>
          <w:p w14:paraId="40F6A5EB" w14:textId="7768E697" w:rsidR="00C537E5" w:rsidRPr="009520C8" w:rsidRDefault="005ACA7C"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70.6%</w:t>
            </w:r>
          </w:p>
        </w:tc>
        <w:tc>
          <w:tcPr>
            <w:tcW w:w="810" w:type="dxa"/>
            <w:shd w:val="clear" w:color="auto" w:fill="F2F2F2" w:themeFill="background1" w:themeFillShade="F2"/>
            <w:noWrap/>
            <w:vAlign w:val="center"/>
          </w:tcPr>
          <w:p w14:paraId="51480D99" w14:textId="6C091703" w:rsidR="00C537E5" w:rsidRPr="009520C8" w:rsidRDefault="005ACA7C"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75.2%</w:t>
            </w:r>
          </w:p>
        </w:tc>
        <w:tc>
          <w:tcPr>
            <w:tcW w:w="810" w:type="dxa"/>
            <w:shd w:val="clear" w:color="auto" w:fill="F2F2F2" w:themeFill="background1" w:themeFillShade="F2"/>
            <w:noWrap/>
            <w:vAlign w:val="center"/>
          </w:tcPr>
          <w:p w14:paraId="543E8FA1" w14:textId="6CD7EC42" w:rsidR="00C537E5" w:rsidRPr="009520C8" w:rsidRDefault="005ACA7C"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73.5%</w:t>
            </w:r>
          </w:p>
        </w:tc>
        <w:tc>
          <w:tcPr>
            <w:tcW w:w="720" w:type="dxa"/>
            <w:shd w:val="clear" w:color="auto" w:fill="F2F2F2" w:themeFill="background1" w:themeFillShade="F2"/>
            <w:noWrap/>
            <w:vAlign w:val="center"/>
          </w:tcPr>
          <w:p w14:paraId="7F1906A6" w14:textId="752BF475" w:rsidR="00C537E5" w:rsidRPr="009520C8" w:rsidRDefault="005ACA7C"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56.0%</w:t>
            </w:r>
          </w:p>
        </w:tc>
        <w:tc>
          <w:tcPr>
            <w:tcW w:w="720" w:type="dxa"/>
            <w:shd w:val="clear" w:color="auto" w:fill="F2F2F2" w:themeFill="background1" w:themeFillShade="F2"/>
            <w:noWrap/>
            <w:vAlign w:val="center"/>
          </w:tcPr>
          <w:p w14:paraId="7E211579" w14:textId="49A59F66" w:rsidR="00C537E5" w:rsidRPr="009520C8" w:rsidRDefault="005ACA7C"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67.6%</w:t>
            </w:r>
          </w:p>
        </w:tc>
        <w:tc>
          <w:tcPr>
            <w:tcW w:w="990" w:type="dxa"/>
            <w:shd w:val="clear" w:color="auto" w:fill="F2F2F2" w:themeFill="background1" w:themeFillShade="F2"/>
            <w:noWrap/>
            <w:vAlign w:val="center"/>
          </w:tcPr>
          <w:p w14:paraId="5641B6DF" w14:textId="0FD70CE6" w:rsidR="00C537E5" w:rsidRPr="009520C8" w:rsidRDefault="005ACA7C"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61.3%</w:t>
            </w:r>
          </w:p>
        </w:tc>
        <w:tc>
          <w:tcPr>
            <w:tcW w:w="720" w:type="dxa"/>
            <w:shd w:val="clear" w:color="auto" w:fill="F2F2F2" w:themeFill="background1" w:themeFillShade="F2"/>
            <w:noWrap/>
            <w:vAlign w:val="center"/>
          </w:tcPr>
          <w:p w14:paraId="321162DA" w14:textId="20ECC3FC" w:rsidR="00C537E5" w:rsidRPr="009520C8" w:rsidRDefault="005ACA7C"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60.8%</w:t>
            </w:r>
          </w:p>
        </w:tc>
        <w:tc>
          <w:tcPr>
            <w:tcW w:w="720" w:type="dxa"/>
            <w:tcBorders>
              <w:top w:val="single" w:sz="4" w:space="0" w:color="auto"/>
            </w:tcBorders>
            <w:shd w:val="clear" w:color="auto" w:fill="F2F2F2" w:themeFill="background1" w:themeFillShade="F2"/>
            <w:noWrap/>
            <w:vAlign w:val="center"/>
          </w:tcPr>
          <w:p w14:paraId="600A16DE" w14:textId="0148AC28" w:rsidR="00C537E5" w:rsidRPr="009520C8" w:rsidRDefault="005935C9" w:rsidP="00C537E5">
            <w:pPr>
              <w:spacing w:after="0"/>
              <w:jc w:val="center"/>
              <w:rPr>
                <w:rFonts w:eastAsia="Times New Roman" w:cs="Calibri"/>
                <w:color w:val="000000"/>
                <w:sz w:val="18"/>
                <w:szCs w:val="18"/>
              </w:rPr>
            </w:pPr>
            <w:r>
              <w:rPr>
                <w:rFonts w:eastAsia="Times New Roman" w:cs="Calibri"/>
                <w:color w:val="000000"/>
                <w:sz w:val="18"/>
                <w:szCs w:val="18"/>
              </w:rPr>
              <w:t>55.8%</w:t>
            </w:r>
          </w:p>
        </w:tc>
        <w:tc>
          <w:tcPr>
            <w:tcW w:w="720" w:type="dxa"/>
            <w:tcBorders>
              <w:top w:val="single" w:sz="4" w:space="0" w:color="auto"/>
            </w:tcBorders>
            <w:shd w:val="clear" w:color="auto" w:fill="F2F2F2" w:themeFill="background1" w:themeFillShade="F2"/>
            <w:noWrap/>
            <w:vAlign w:val="center"/>
            <w:hideMark/>
          </w:tcPr>
          <w:p w14:paraId="2403DFE8" w14:textId="2EA2A2E4" w:rsidR="3E5DA59D" w:rsidRDefault="00D900F1" w:rsidP="3E5DA59D">
            <w:pPr>
              <w:spacing w:after="0"/>
              <w:jc w:val="center"/>
              <w:rPr>
                <w:rFonts w:eastAsia="Times New Roman" w:cs="Calibri"/>
                <w:color w:val="000000" w:themeColor="text1"/>
                <w:sz w:val="18"/>
                <w:szCs w:val="18"/>
              </w:rPr>
            </w:pPr>
            <w:r>
              <w:rPr>
                <w:rFonts w:cs="Calibri"/>
                <w:color w:val="000000" w:themeColor="text1"/>
                <w:sz w:val="18"/>
                <w:szCs w:val="18"/>
              </w:rPr>
              <w:t>52.2%</w:t>
            </w:r>
          </w:p>
        </w:tc>
        <w:tc>
          <w:tcPr>
            <w:tcW w:w="720" w:type="dxa"/>
            <w:tcBorders>
              <w:top w:val="single" w:sz="4" w:space="0" w:color="auto"/>
            </w:tcBorders>
            <w:shd w:val="clear" w:color="auto" w:fill="F2F2F2" w:themeFill="background1" w:themeFillShade="F2"/>
            <w:noWrap/>
            <w:vAlign w:val="center"/>
            <w:hideMark/>
          </w:tcPr>
          <w:p w14:paraId="6AFD7903" w14:textId="636C31D3" w:rsidR="3E5DA59D" w:rsidRDefault="00231492" w:rsidP="3E5DA59D">
            <w:pPr>
              <w:spacing w:after="0"/>
              <w:jc w:val="center"/>
              <w:rPr>
                <w:rFonts w:eastAsia="Times New Roman" w:cs="Calibri"/>
                <w:color w:val="000000" w:themeColor="text1"/>
                <w:sz w:val="18"/>
                <w:szCs w:val="18"/>
              </w:rPr>
            </w:pPr>
            <w:r>
              <w:rPr>
                <w:rFonts w:cs="Calibri"/>
                <w:color w:val="000000" w:themeColor="text1"/>
                <w:sz w:val="18"/>
                <w:szCs w:val="18"/>
              </w:rPr>
              <w:t>57.9%</w:t>
            </w:r>
          </w:p>
        </w:tc>
      </w:tr>
      <w:tr w:rsidR="00EF4C5F" w:rsidRPr="00884DD7" w14:paraId="074F4661" w14:textId="77777777" w:rsidTr="4EB40283">
        <w:trPr>
          <w:trHeight w:val="290"/>
        </w:trPr>
        <w:tc>
          <w:tcPr>
            <w:tcW w:w="2040" w:type="dxa"/>
            <w:shd w:val="clear" w:color="auto" w:fill="auto"/>
            <w:noWrap/>
            <w:hideMark/>
          </w:tcPr>
          <w:p w14:paraId="063890D4" w14:textId="77777777" w:rsidR="00C537E5" w:rsidRPr="008D1B70" w:rsidRDefault="00C537E5" w:rsidP="00C537E5">
            <w:pPr>
              <w:spacing w:after="0"/>
              <w:jc w:val="center"/>
              <w:rPr>
                <w:rFonts w:eastAsia="Times New Roman" w:cs="Calibri"/>
                <w:sz w:val="16"/>
                <w:szCs w:val="16"/>
              </w:rPr>
            </w:pPr>
            <w:r w:rsidRPr="008D1B70">
              <w:rPr>
                <w:rFonts w:eastAsia="Times New Roman" w:cs="Calibri"/>
                <w:sz w:val="16"/>
                <w:szCs w:val="16"/>
              </w:rPr>
              <w:lastRenderedPageBreak/>
              <w:t>AMR</w:t>
            </w:r>
          </w:p>
        </w:tc>
        <w:tc>
          <w:tcPr>
            <w:tcW w:w="1650" w:type="dxa"/>
            <w:shd w:val="clear" w:color="auto" w:fill="auto"/>
            <w:hideMark/>
          </w:tcPr>
          <w:p w14:paraId="4318CF89" w14:textId="77777777" w:rsidR="00C537E5" w:rsidRPr="00884DD7" w:rsidRDefault="00C537E5" w:rsidP="00C537E5">
            <w:pPr>
              <w:spacing w:after="0"/>
              <w:rPr>
                <w:rFonts w:eastAsia="Times New Roman" w:cs="Calibri"/>
                <w:sz w:val="16"/>
                <w:szCs w:val="16"/>
              </w:rPr>
            </w:pPr>
            <w:r w:rsidRPr="00884DD7">
              <w:rPr>
                <w:rFonts w:eastAsia="Times New Roman" w:cs="Calibri"/>
                <w:sz w:val="16"/>
                <w:szCs w:val="16"/>
              </w:rPr>
              <w:t>Asthma Medication Ratio</w:t>
            </w:r>
          </w:p>
        </w:tc>
        <w:tc>
          <w:tcPr>
            <w:tcW w:w="810" w:type="dxa"/>
            <w:shd w:val="clear" w:color="auto" w:fill="auto"/>
            <w:noWrap/>
            <w:vAlign w:val="center"/>
          </w:tcPr>
          <w:p w14:paraId="29DE8F4A" w14:textId="6CBCB156" w:rsidR="00C537E5" w:rsidRPr="009520C8" w:rsidRDefault="009001CE" w:rsidP="00C537E5">
            <w:pPr>
              <w:spacing w:after="0"/>
              <w:jc w:val="center"/>
              <w:rPr>
                <w:rFonts w:eastAsia="Times New Roman" w:cs="Calibri"/>
                <w:color w:val="000000"/>
                <w:sz w:val="18"/>
                <w:szCs w:val="18"/>
              </w:rPr>
            </w:pPr>
            <w:r>
              <w:rPr>
                <w:rFonts w:eastAsia="Times New Roman" w:cs="Calibri"/>
                <w:color w:val="000000"/>
                <w:sz w:val="18"/>
                <w:szCs w:val="18"/>
              </w:rPr>
              <w:t>56.7%</w:t>
            </w:r>
          </w:p>
        </w:tc>
        <w:tc>
          <w:tcPr>
            <w:tcW w:w="720" w:type="dxa"/>
            <w:shd w:val="clear" w:color="auto" w:fill="auto"/>
            <w:noWrap/>
            <w:vAlign w:val="center"/>
          </w:tcPr>
          <w:p w14:paraId="5A2BDF86" w14:textId="765A2C67" w:rsidR="00C537E5" w:rsidRPr="009520C8" w:rsidRDefault="1852D71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47.9%</w:t>
            </w:r>
          </w:p>
        </w:tc>
        <w:tc>
          <w:tcPr>
            <w:tcW w:w="720" w:type="dxa"/>
            <w:shd w:val="clear" w:color="auto" w:fill="auto"/>
            <w:noWrap/>
            <w:vAlign w:val="center"/>
          </w:tcPr>
          <w:p w14:paraId="602B091F" w14:textId="0D674BF3" w:rsidR="00C537E5" w:rsidRPr="009520C8" w:rsidRDefault="1852D71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56.1%</w:t>
            </w:r>
          </w:p>
        </w:tc>
        <w:tc>
          <w:tcPr>
            <w:tcW w:w="720" w:type="dxa"/>
            <w:shd w:val="clear" w:color="auto" w:fill="auto"/>
            <w:noWrap/>
            <w:vAlign w:val="center"/>
          </w:tcPr>
          <w:p w14:paraId="6E09C440" w14:textId="0982339A" w:rsidR="00C537E5" w:rsidRPr="009520C8" w:rsidRDefault="1852D71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56.5%</w:t>
            </w:r>
          </w:p>
        </w:tc>
        <w:tc>
          <w:tcPr>
            <w:tcW w:w="720" w:type="dxa"/>
            <w:shd w:val="clear" w:color="auto" w:fill="auto"/>
            <w:noWrap/>
            <w:vAlign w:val="center"/>
          </w:tcPr>
          <w:p w14:paraId="07BAAADD" w14:textId="5A77B152" w:rsidR="00C537E5" w:rsidRPr="009520C8" w:rsidRDefault="1852D71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54.0%</w:t>
            </w:r>
          </w:p>
        </w:tc>
        <w:tc>
          <w:tcPr>
            <w:tcW w:w="720" w:type="dxa"/>
            <w:shd w:val="clear" w:color="auto" w:fill="auto"/>
            <w:noWrap/>
            <w:vAlign w:val="center"/>
          </w:tcPr>
          <w:p w14:paraId="1F398B12" w14:textId="503937AD" w:rsidR="00C537E5" w:rsidRPr="009520C8" w:rsidRDefault="1852D71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56.7%</w:t>
            </w:r>
          </w:p>
        </w:tc>
        <w:tc>
          <w:tcPr>
            <w:tcW w:w="810" w:type="dxa"/>
            <w:shd w:val="clear" w:color="auto" w:fill="auto"/>
            <w:noWrap/>
            <w:vAlign w:val="center"/>
          </w:tcPr>
          <w:p w14:paraId="7D990083" w14:textId="4D22E692" w:rsidR="00C537E5" w:rsidRPr="009520C8" w:rsidRDefault="1852D71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58.4%</w:t>
            </w:r>
          </w:p>
        </w:tc>
        <w:tc>
          <w:tcPr>
            <w:tcW w:w="720" w:type="dxa"/>
            <w:shd w:val="clear" w:color="auto" w:fill="auto"/>
            <w:noWrap/>
            <w:vAlign w:val="center"/>
          </w:tcPr>
          <w:p w14:paraId="71B58CA9" w14:textId="7425A1D6" w:rsidR="00C537E5" w:rsidRPr="009520C8" w:rsidRDefault="1852D71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57.2%</w:t>
            </w:r>
          </w:p>
        </w:tc>
        <w:tc>
          <w:tcPr>
            <w:tcW w:w="720" w:type="dxa"/>
            <w:shd w:val="clear" w:color="auto" w:fill="auto"/>
            <w:noWrap/>
            <w:vAlign w:val="center"/>
          </w:tcPr>
          <w:p w14:paraId="5CE21EF6" w14:textId="2334CDF5" w:rsidR="00C537E5" w:rsidRPr="009520C8" w:rsidRDefault="1852D71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49.5%</w:t>
            </w:r>
          </w:p>
        </w:tc>
        <w:tc>
          <w:tcPr>
            <w:tcW w:w="1080" w:type="dxa"/>
            <w:shd w:val="clear" w:color="auto" w:fill="auto"/>
            <w:noWrap/>
            <w:vAlign w:val="center"/>
          </w:tcPr>
          <w:p w14:paraId="69CAAF09" w14:textId="30672F86" w:rsidR="00C537E5" w:rsidRPr="009520C8" w:rsidRDefault="1852D71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68.3%</w:t>
            </w:r>
          </w:p>
        </w:tc>
        <w:tc>
          <w:tcPr>
            <w:tcW w:w="720" w:type="dxa"/>
            <w:shd w:val="clear" w:color="auto" w:fill="auto"/>
            <w:noWrap/>
            <w:vAlign w:val="center"/>
          </w:tcPr>
          <w:p w14:paraId="1FA9ED26" w14:textId="2657BA10" w:rsidR="00C537E5" w:rsidRPr="009520C8" w:rsidRDefault="1852D71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54.2%</w:t>
            </w:r>
          </w:p>
        </w:tc>
        <w:tc>
          <w:tcPr>
            <w:tcW w:w="810" w:type="dxa"/>
            <w:shd w:val="clear" w:color="auto" w:fill="auto"/>
            <w:noWrap/>
            <w:vAlign w:val="center"/>
          </w:tcPr>
          <w:p w14:paraId="54FB8E77" w14:textId="2B0FE76D" w:rsidR="00C537E5" w:rsidRPr="009520C8" w:rsidRDefault="1852D71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65.2%</w:t>
            </w:r>
          </w:p>
        </w:tc>
        <w:tc>
          <w:tcPr>
            <w:tcW w:w="810" w:type="dxa"/>
            <w:shd w:val="clear" w:color="auto" w:fill="auto"/>
            <w:noWrap/>
            <w:vAlign w:val="center"/>
          </w:tcPr>
          <w:p w14:paraId="519545E5" w14:textId="5C87FF51" w:rsidR="00C537E5" w:rsidRPr="009520C8" w:rsidRDefault="1852D71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50.1%</w:t>
            </w:r>
          </w:p>
        </w:tc>
        <w:tc>
          <w:tcPr>
            <w:tcW w:w="810" w:type="dxa"/>
            <w:shd w:val="clear" w:color="auto" w:fill="auto"/>
            <w:noWrap/>
            <w:vAlign w:val="center"/>
          </w:tcPr>
          <w:p w14:paraId="66A733C9" w14:textId="4088A2EC" w:rsidR="00C537E5" w:rsidRPr="009520C8" w:rsidRDefault="1852D71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53.0%</w:t>
            </w:r>
          </w:p>
        </w:tc>
        <w:tc>
          <w:tcPr>
            <w:tcW w:w="720" w:type="dxa"/>
            <w:shd w:val="clear" w:color="auto" w:fill="auto"/>
            <w:noWrap/>
            <w:vAlign w:val="center"/>
          </w:tcPr>
          <w:p w14:paraId="377A9ECE" w14:textId="258F96F3" w:rsidR="00C537E5" w:rsidRPr="009520C8" w:rsidRDefault="1852D71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58.1%</w:t>
            </w:r>
          </w:p>
        </w:tc>
        <w:tc>
          <w:tcPr>
            <w:tcW w:w="720" w:type="dxa"/>
            <w:shd w:val="clear" w:color="auto" w:fill="auto"/>
            <w:noWrap/>
            <w:vAlign w:val="center"/>
          </w:tcPr>
          <w:p w14:paraId="762B172E" w14:textId="17D72A59" w:rsidR="00C537E5" w:rsidRPr="009520C8" w:rsidRDefault="1852D71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54.2%</w:t>
            </w:r>
          </w:p>
        </w:tc>
        <w:tc>
          <w:tcPr>
            <w:tcW w:w="990" w:type="dxa"/>
            <w:shd w:val="clear" w:color="auto" w:fill="auto"/>
            <w:noWrap/>
            <w:vAlign w:val="center"/>
          </w:tcPr>
          <w:p w14:paraId="6E253173" w14:textId="20528E12" w:rsidR="00C537E5" w:rsidRPr="009520C8" w:rsidRDefault="1852D71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54.2%</w:t>
            </w:r>
          </w:p>
        </w:tc>
        <w:tc>
          <w:tcPr>
            <w:tcW w:w="720" w:type="dxa"/>
            <w:shd w:val="clear" w:color="auto" w:fill="auto"/>
            <w:noWrap/>
            <w:vAlign w:val="center"/>
          </w:tcPr>
          <w:p w14:paraId="23E6FECB" w14:textId="2AA7C235" w:rsidR="00C537E5" w:rsidRPr="009520C8" w:rsidRDefault="1852D71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52.2%</w:t>
            </w:r>
          </w:p>
        </w:tc>
        <w:tc>
          <w:tcPr>
            <w:tcW w:w="720" w:type="dxa"/>
            <w:shd w:val="clear" w:color="auto" w:fill="auto"/>
            <w:noWrap/>
            <w:vAlign w:val="center"/>
          </w:tcPr>
          <w:p w14:paraId="6FC96884" w14:textId="4ED5E345" w:rsidR="00C537E5" w:rsidRPr="009520C8" w:rsidRDefault="00D042DB" w:rsidP="00C537E5">
            <w:pPr>
              <w:spacing w:after="0"/>
              <w:jc w:val="center"/>
              <w:rPr>
                <w:rFonts w:eastAsia="Times New Roman" w:cs="Calibri"/>
                <w:sz w:val="18"/>
                <w:szCs w:val="18"/>
              </w:rPr>
            </w:pPr>
            <w:r>
              <w:rPr>
                <w:rFonts w:eastAsia="Times New Roman" w:cs="Calibri"/>
                <w:sz w:val="18"/>
                <w:szCs w:val="18"/>
              </w:rPr>
              <w:t>52.7%</w:t>
            </w:r>
          </w:p>
        </w:tc>
        <w:tc>
          <w:tcPr>
            <w:tcW w:w="720" w:type="dxa"/>
            <w:shd w:val="clear" w:color="auto" w:fill="auto"/>
            <w:noWrap/>
            <w:vAlign w:val="center"/>
          </w:tcPr>
          <w:p w14:paraId="41B49441" w14:textId="1653E75F" w:rsidR="79710CC8" w:rsidRDefault="79710CC8" w:rsidP="3E5DA59D">
            <w:pPr>
              <w:spacing w:after="0" w:line="259" w:lineRule="auto"/>
              <w:jc w:val="center"/>
            </w:pPr>
            <w:r w:rsidRPr="3E5DA59D">
              <w:rPr>
                <w:rFonts w:cs="Calibri"/>
                <w:color w:val="000000" w:themeColor="text1"/>
                <w:sz w:val="18"/>
                <w:szCs w:val="18"/>
              </w:rPr>
              <w:t>54.2%</w:t>
            </w:r>
          </w:p>
        </w:tc>
        <w:tc>
          <w:tcPr>
            <w:tcW w:w="720" w:type="dxa"/>
            <w:shd w:val="clear" w:color="auto" w:fill="auto"/>
            <w:noWrap/>
            <w:vAlign w:val="center"/>
          </w:tcPr>
          <w:p w14:paraId="33809E50" w14:textId="2732E268" w:rsidR="79710CC8" w:rsidRDefault="79710CC8" w:rsidP="3E5DA59D">
            <w:pPr>
              <w:spacing w:after="0" w:line="259" w:lineRule="auto"/>
              <w:jc w:val="center"/>
            </w:pPr>
            <w:r w:rsidRPr="3E5DA59D">
              <w:rPr>
                <w:rFonts w:cs="Calibri"/>
                <w:color w:val="000000" w:themeColor="text1"/>
                <w:sz w:val="18"/>
                <w:szCs w:val="18"/>
              </w:rPr>
              <w:t>52.1%</w:t>
            </w:r>
          </w:p>
        </w:tc>
      </w:tr>
      <w:tr w:rsidR="00DC70EE" w:rsidRPr="00884DD7" w14:paraId="2A9B383E" w14:textId="77777777" w:rsidTr="4EB40283">
        <w:trPr>
          <w:trHeight w:val="465"/>
        </w:trPr>
        <w:tc>
          <w:tcPr>
            <w:tcW w:w="2040" w:type="dxa"/>
            <w:shd w:val="clear" w:color="auto" w:fill="F2F2F2" w:themeFill="background1" w:themeFillShade="F2"/>
            <w:noWrap/>
            <w:hideMark/>
          </w:tcPr>
          <w:p w14:paraId="074BB941" w14:textId="77777777" w:rsidR="00C537E5" w:rsidRPr="008D1B70" w:rsidRDefault="00C537E5" w:rsidP="00C537E5">
            <w:pPr>
              <w:spacing w:after="0"/>
              <w:jc w:val="center"/>
              <w:rPr>
                <w:rFonts w:eastAsia="Times New Roman" w:cs="Calibri"/>
                <w:sz w:val="16"/>
                <w:szCs w:val="16"/>
              </w:rPr>
            </w:pPr>
            <w:r w:rsidRPr="008D1B70">
              <w:rPr>
                <w:rFonts w:eastAsia="Times New Roman" w:cs="Calibri"/>
                <w:sz w:val="16"/>
                <w:szCs w:val="16"/>
              </w:rPr>
              <w:t>CDC</w:t>
            </w:r>
          </w:p>
        </w:tc>
        <w:tc>
          <w:tcPr>
            <w:tcW w:w="1650" w:type="dxa"/>
            <w:shd w:val="clear" w:color="auto" w:fill="F2F2F2" w:themeFill="background1" w:themeFillShade="F2"/>
            <w:hideMark/>
          </w:tcPr>
          <w:p w14:paraId="7F0EA70F" w14:textId="3613999B" w:rsidR="00C537E5" w:rsidRPr="00884DD7" w:rsidRDefault="00C537E5" w:rsidP="00C537E5">
            <w:pPr>
              <w:spacing w:after="0"/>
              <w:rPr>
                <w:rFonts w:eastAsia="Times New Roman" w:cs="Calibri"/>
                <w:sz w:val="16"/>
                <w:szCs w:val="16"/>
              </w:rPr>
            </w:pPr>
            <w:r w:rsidRPr="00884DD7">
              <w:rPr>
                <w:rFonts w:eastAsia="Times New Roman" w:cs="Calibri"/>
                <w:sz w:val="16"/>
                <w:szCs w:val="16"/>
              </w:rPr>
              <w:t xml:space="preserve">Comprehensive Diabetes Care: </w:t>
            </w:r>
            <w:r w:rsidR="00142A4B">
              <w:rPr>
                <w:rFonts w:eastAsia="Times New Roman" w:cs="Calibri"/>
                <w:sz w:val="16"/>
                <w:szCs w:val="16"/>
              </w:rPr>
              <w:t>A1C</w:t>
            </w:r>
            <w:r w:rsidRPr="00884DD7">
              <w:rPr>
                <w:rFonts w:eastAsia="Times New Roman" w:cs="Calibri"/>
                <w:sz w:val="16"/>
                <w:szCs w:val="16"/>
              </w:rPr>
              <w:t xml:space="preserve"> Poor Control (lower is better)</w:t>
            </w:r>
          </w:p>
        </w:tc>
        <w:tc>
          <w:tcPr>
            <w:tcW w:w="810" w:type="dxa"/>
            <w:shd w:val="clear" w:color="auto" w:fill="F2F2F2" w:themeFill="background1" w:themeFillShade="F2"/>
            <w:noWrap/>
            <w:vAlign w:val="center"/>
          </w:tcPr>
          <w:p w14:paraId="702BF058" w14:textId="65170628" w:rsidR="00C537E5" w:rsidRPr="009520C8" w:rsidRDefault="00D06229" w:rsidP="00C537E5">
            <w:pPr>
              <w:spacing w:after="0"/>
              <w:jc w:val="center"/>
              <w:rPr>
                <w:rFonts w:eastAsia="Times New Roman" w:cs="Calibri"/>
                <w:color w:val="000000"/>
                <w:sz w:val="18"/>
                <w:szCs w:val="18"/>
              </w:rPr>
            </w:pPr>
            <w:r>
              <w:rPr>
                <w:rFonts w:eastAsia="Times New Roman" w:cs="Calibri"/>
                <w:color w:val="000000"/>
                <w:sz w:val="18"/>
                <w:szCs w:val="18"/>
              </w:rPr>
              <w:t>34.7%</w:t>
            </w:r>
          </w:p>
        </w:tc>
        <w:tc>
          <w:tcPr>
            <w:tcW w:w="720" w:type="dxa"/>
            <w:shd w:val="clear" w:color="auto" w:fill="F2F2F2" w:themeFill="background1" w:themeFillShade="F2"/>
            <w:noWrap/>
            <w:vAlign w:val="center"/>
          </w:tcPr>
          <w:p w14:paraId="60B05096" w14:textId="47FE7CC3" w:rsidR="00C537E5" w:rsidRPr="009520C8" w:rsidRDefault="270A3A24"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33.2%</w:t>
            </w:r>
          </w:p>
        </w:tc>
        <w:tc>
          <w:tcPr>
            <w:tcW w:w="720" w:type="dxa"/>
            <w:shd w:val="clear" w:color="auto" w:fill="F2F2F2" w:themeFill="background1" w:themeFillShade="F2"/>
            <w:noWrap/>
            <w:vAlign w:val="center"/>
          </w:tcPr>
          <w:p w14:paraId="671064A1" w14:textId="5A42DE78" w:rsidR="00C537E5" w:rsidRPr="009520C8" w:rsidRDefault="270A3A24"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26.8%</w:t>
            </w:r>
          </w:p>
        </w:tc>
        <w:tc>
          <w:tcPr>
            <w:tcW w:w="720" w:type="dxa"/>
            <w:shd w:val="clear" w:color="auto" w:fill="F2F2F2" w:themeFill="background1" w:themeFillShade="F2"/>
            <w:noWrap/>
            <w:vAlign w:val="center"/>
          </w:tcPr>
          <w:p w14:paraId="7AF16208" w14:textId="167CB4CA" w:rsidR="00C537E5" w:rsidRPr="009520C8" w:rsidRDefault="270A3A24"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34.5%</w:t>
            </w:r>
          </w:p>
        </w:tc>
        <w:tc>
          <w:tcPr>
            <w:tcW w:w="720" w:type="dxa"/>
            <w:shd w:val="clear" w:color="auto" w:fill="F2F2F2" w:themeFill="background1" w:themeFillShade="F2"/>
            <w:noWrap/>
            <w:vAlign w:val="center"/>
          </w:tcPr>
          <w:p w14:paraId="194ABC2D" w14:textId="2D0E597F" w:rsidR="00C537E5" w:rsidRPr="009520C8" w:rsidRDefault="270A3A24"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43.2%</w:t>
            </w:r>
          </w:p>
        </w:tc>
        <w:tc>
          <w:tcPr>
            <w:tcW w:w="720" w:type="dxa"/>
            <w:shd w:val="clear" w:color="auto" w:fill="F2F2F2" w:themeFill="background1" w:themeFillShade="F2"/>
            <w:noWrap/>
            <w:vAlign w:val="center"/>
          </w:tcPr>
          <w:p w14:paraId="6321DA25" w14:textId="1B8AE3C6" w:rsidR="00C537E5" w:rsidRPr="009520C8" w:rsidRDefault="270A3A24"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32.5%</w:t>
            </w:r>
          </w:p>
        </w:tc>
        <w:tc>
          <w:tcPr>
            <w:tcW w:w="810" w:type="dxa"/>
            <w:shd w:val="clear" w:color="auto" w:fill="F2F2F2" w:themeFill="background1" w:themeFillShade="F2"/>
            <w:noWrap/>
            <w:vAlign w:val="center"/>
          </w:tcPr>
          <w:p w14:paraId="24BAA871" w14:textId="55BFDB44" w:rsidR="00C537E5" w:rsidRPr="009520C8" w:rsidRDefault="270A3A24"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31.9%</w:t>
            </w:r>
          </w:p>
        </w:tc>
        <w:tc>
          <w:tcPr>
            <w:tcW w:w="720" w:type="dxa"/>
            <w:shd w:val="clear" w:color="auto" w:fill="F2F2F2" w:themeFill="background1" w:themeFillShade="F2"/>
            <w:noWrap/>
            <w:vAlign w:val="center"/>
          </w:tcPr>
          <w:p w14:paraId="27DCB937" w14:textId="047DC9D4" w:rsidR="00C537E5" w:rsidRPr="009520C8" w:rsidRDefault="270A3A24"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26.2%</w:t>
            </w:r>
          </w:p>
        </w:tc>
        <w:tc>
          <w:tcPr>
            <w:tcW w:w="720" w:type="dxa"/>
            <w:shd w:val="clear" w:color="auto" w:fill="F2F2F2" w:themeFill="background1" w:themeFillShade="F2"/>
            <w:noWrap/>
            <w:vAlign w:val="center"/>
          </w:tcPr>
          <w:p w14:paraId="59BA355E" w14:textId="1AC5A670" w:rsidR="00C537E5" w:rsidRPr="009520C8" w:rsidRDefault="270A3A24"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35.8%</w:t>
            </w:r>
          </w:p>
        </w:tc>
        <w:tc>
          <w:tcPr>
            <w:tcW w:w="1080" w:type="dxa"/>
            <w:shd w:val="clear" w:color="auto" w:fill="F2F2F2" w:themeFill="background1" w:themeFillShade="F2"/>
            <w:noWrap/>
            <w:vAlign w:val="center"/>
          </w:tcPr>
          <w:p w14:paraId="579E2E70" w14:textId="3BA1A0FB" w:rsidR="00C537E5" w:rsidRPr="009520C8" w:rsidRDefault="270A3A24"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70.0%</w:t>
            </w:r>
          </w:p>
        </w:tc>
        <w:tc>
          <w:tcPr>
            <w:tcW w:w="720" w:type="dxa"/>
            <w:shd w:val="clear" w:color="auto" w:fill="F2F2F2" w:themeFill="background1" w:themeFillShade="F2"/>
            <w:noWrap/>
            <w:vAlign w:val="center"/>
          </w:tcPr>
          <w:p w14:paraId="6A686FFA" w14:textId="6E83E88F" w:rsidR="00C537E5" w:rsidRPr="009520C8" w:rsidRDefault="270A3A24"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32.8%</w:t>
            </w:r>
          </w:p>
        </w:tc>
        <w:tc>
          <w:tcPr>
            <w:tcW w:w="810" w:type="dxa"/>
            <w:shd w:val="clear" w:color="auto" w:fill="F2F2F2" w:themeFill="background1" w:themeFillShade="F2"/>
            <w:noWrap/>
            <w:vAlign w:val="center"/>
          </w:tcPr>
          <w:p w14:paraId="439CBC3C" w14:textId="2F50EF1E" w:rsidR="00C537E5" w:rsidRPr="009520C8" w:rsidRDefault="270A3A24"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39.0%</w:t>
            </w:r>
          </w:p>
        </w:tc>
        <w:tc>
          <w:tcPr>
            <w:tcW w:w="810" w:type="dxa"/>
            <w:shd w:val="clear" w:color="auto" w:fill="F2F2F2" w:themeFill="background1" w:themeFillShade="F2"/>
            <w:noWrap/>
            <w:vAlign w:val="center"/>
          </w:tcPr>
          <w:p w14:paraId="6EEE31A5" w14:textId="313A8361" w:rsidR="00C537E5" w:rsidRPr="009520C8" w:rsidRDefault="270A3A24"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21.3%</w:t>
            </w:r>
          </w:p>
        </w:tc>
        <w:tc>
          <w:tcPr>
            <w:tcW w:w="810" w:type="dxa"/>
            <w:shd w:val="clear" w:color="auto" w:fill="F2F2F2" w:themeFill="background1" w:themeFillShade="F2"/>
            <w:noWrap/>
            <w:vAlign w:val="center"/>
          </w:tcPr>
          <w:p w14:paraId="42F37DB4" w14:textId="0D0E2BA1" w:rsidR="00C537E5" w:rsidRPr="009520C8" w:rsidRDefault="270A3A24"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32.5%</w:t>
            </w:r>
          </w:p>
        </w:tc>
        <w:tc>
          <w:tcPr>
            <w:tcW w:w="720" w:type="dxa"/>
            <w:shd w:val="clear" w:color="auto" w:fill="F2F2F2" w:themeFill="background1" w:themeFillShade="F2"/>
            <w:noWrap/>
            <w:vAlign w:val="center"/>
          </w:tcPr>
          <w:p w14:paraId="122A387D" w14:textId="0B6D955E" w:rsidR="00C537E5" w:rsidRPr="009520C8" w:rsidRDefault="270A3A24"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39.9%</w:t>
            </w:r>
          </w:p>
        </w:tc>
        <w:tc>
          <w:tcPr>
            <w:tcW w:w="720" w:type="dxa"/>
            <w:shd w:val="clear" w:color="auto" w:fill="F2F2F2" w:themeFill="background1" w:themeFillShade="F2"/>
            <w:noWrap/>
            <w:vAlign w:val="center"/>
          </w:tcPr>
          <w:p w14:paraId="78C5BB92" w14:textId="3C3BED29" w:rsidR="00C537E5" w:rsidRPr="009520C8" w:rsidRDefault="270A3A24"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26.2%</w:t>
            </w:r>
          </w:p>
        </w:tc>
        <w:tc>
          <w:tcPr>
            <w:tcW w:w="990" w:type="dxa"/>
            <w:shd w:val="clear" w:color="auto" w:fill="F2F2F2" w:themeFill="background1" w:themeFillShade="F2"/>
            <w:noWrap/>
            <w:vAlign w:val="center"/>
          </w:tcPr>
          <w:p w14:paraId="54B9B7AA" w14:textId="16DA4C59" w:rsidR="00C537E5" w:rsidRPr="009520C8" w:rsidRDefault="270A3A24"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42.8%</w:t>
            </w:r>
          </w:p>
        </w:tc>
        <w:tc>
          <w:tcPr>
            <w:tcW w:w="720" w:type="dxa"/>
            <w:shd w:val="clear" w:color="auto" w:fill="F2F2F2" w:themeFill="background1" w:themeFillShade="F2"/>
            <w:noWrap/>
            <w:vAlign w:val="center"/>
          </w:tcPr>
          <w:p w14:paraId="73C7D6B0" w14:textId="2C246930" w:rsidR="00C537E5" w:rsidRPr="009520C8" w:rsidRDefault="270A3A24"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38.9%</w:t>
            </w:r>
          </w:p>
        </w:tc>
        <w:tc>
          <w:tcPr>
            <w:tcW w:w="720" w:type="dxa"/>
            <w:shd w:val="clear" w:color="auto" w:fill="F2F2F2" w:themeFill="background1" w:themeFillShade="F2"/>
            <w:noWrap/>
            <w:vAlign w:val="center"/>
          </w:tcPr>
          <w:p w14:paraId="54840749" w14:textId="0088B7A6" w:rsidR="00C537E5" w:rsidRPr="009520C8" w:rsidRDefault="00941956" w:rsidP="00C537E5">
            <w:pPr>
              <w:spacing w:after="0"/>
              <w:jc w:val="center"/>
              <w:rPr>
                <w:rFonts w:eastAsia="Times New Roman" w:cs="Calibri"/>
                <w:color w:val="000000"/>
                <w:sz w:val="18"/>
                <w:szCs w:val="18"/>
              </w:rPr>
            </w:pPr>
            <w:r>
              <w:rPr>
                <w:rFonts w:eastAsia="Times New Roman" w:cs="Calibri"/>
                <w:color w:val="000000"/>
                <w:sz w:val="18"/>
                <w:szCs w:val="18"/>
              </w:rPr>
              <w:t>50.7%</w:t>
            </w:r>
          </w:p>
        </w:tc>
        <w:tc>
          <w:tcPr>
            <w:tcW w:w="720" w:type="dxa"/>
            <w:shd w:val="clear" w:color="auto" w:fill="F2F2F2" w:themeFill="background1" w:themeFillShade="F2"/>
            <w:noWrap/>
            <w:vAlign w:val="center"/>
          </w:tcPr>
          <w:p w14:paraId="0C56412D" w14:textId="22275D68" w:rsidR="3E5DA59D" w:rsidRDefault="00AF524D" w:rsidP="3E5DA59D">
            <w:pPr>
              <w:spacing w:after="0"/>
              <w:jc w:val="center"/>
              <w:rPr>
                <w:rFonts w:eastAsia="Times New Roman" w:cs="Calibri"/>
                <w:color w:val="000000" w:themeColor="text1"/>
                <w:sz w:val="18"/>
                <w:szCs w:val="18"/>
              </w:rPr>
            </w:pPr>
            <w:r>
              <w:rPr>
                <w:rFonts w:cs="Calibri"/>
                <w:color w:val="000000" w:themeColor="text1"/>
                <w:sz w:val="18"/>
                <w:szCs w:val="18"/>
              </w:rPr>
              <w:t>53.3%</w:t>
            </w:r>
          </w:p>
        </w:tc>
        <w:tc>
          <w:tcPr>
            <w:tcW w:w="720" w:type="dxa"/>
            <w:shd w:val="clear" w:color="auto" w:fill="F2F2F2" w:themeFill="background1" w:themeFillShade="F2"/>
            <w:noWrap/>
            <w:vAlign w:val="center"/>
          </w:tcPr>
          <w:p w14:paraId="55A69C51" w14:textId="1550EF8F" w:rsidR="3E5DA59D" w:rsidRDefault="00AF524D" w:rsidP="3E5DA59D">
            <w:pPr>
              <w:spacing w:after="0"/>
              <w:jc w:val="center"/>
              <w:rPr>
                <w:rFonts w:eastAsia="Times New Roman" w:cs="Calibri"/>
                <w:color w:val="000000" w:themeColor="text1"/>
                <w:sz w:val="18"/>
                <w:szCs w:val="18"/>
              </w:rPr>
            </w:pPr>
            <w:r>
              <w:rPr>
                <w:rFonts w:cs="Calibri"/>
                <w:color w:val="000000" w:themeColor="text1"/>
                <w:sz w:val="18"/>
                <w:szCs w:val="18"/>
              </w:rPr>
              <w:t>49.2%</w:t>
            </w:r>
          </w:p>
        </w:tc>
      </w:tr>
      <w:tr w:rsidR="00DC70EE" w14:paraId="6A22329B" w14:textId="77777777" w:rsidTr="4EB40283">
        <w:trPr>
          <w:trHeight w:val="465"/>
        </w:trPr>
        <w:tc>
          <w:tcPr>
            <w:tcW w:w="2040" w:type="dxa"/>
            <w:shd w:val="clear" w:color="auto" w:fill="F2F2F2" w:themeFill="background1" w:themeFillShade="F2"/>
            <w:noWrap/>
            <w:hideMark/>
          </w:tcPr>
          <w:p w14:paraId="30F8489D" w14:textId="448C9782" w:rsidR="7AE7D2C3" w:rsidRDefault="0E7D6267" w:rsidP="3E5DA59D">
            <w:pPr>
              <w:spacing w:after="0"/>
              <w:jc w:val="center"/>
              <w:rPr>
                <w:rFonts w:eastAsia="Times New Roman" w:cs="Calibri"/>
                <w:sz w:val="16"/>
                <w:szCs w:val="16"/>
              </w:rPr>
            </w:pPr>
            <w:r w:rsidRPr="3E5DA59D">
              <w:rPr>
                <w:rFonts w:eastAsia="Times New Roman" w:cs="Calibri"/>
                <w:sz w:val="16"/>
                <w:szCs w:val="16"/>
              </w:rPr>
              <w:t>EOHHS/ADA</w:t>
            </w:r>
          </w:p>
        </w:tc>
        <w:tc>
          <w:tcPr>
            <w:tcW w:w="1650" w:type="dxa"/>
            <w:shd w:val="clear" w:color="auto" w:fill="F2F2F2" w:themeFill="background1" w:themeFillShade="F2"/>
            <w:hideMark/>
          </w:tcPr>
          <w:p w14:paraId="3036B836" w14:textId="459985FB" w:rsidR="7AE7D2C3" w:rsidRDefault="7AE7D2C3" w:rsidP="68129C33">
            <w:pPr>
              <w:rPr>
                <w:rFonts w:eastAsia="Times New Roman" w:cs="Calibri"/>
                <w:sz w:val="16"/>
                <w:szCs w:val="16"/>
              </w:rPr>
            </w:pPr>
            <w:r w:rsidRPr="68129C33">
              <w:rPr>
                <w:rFonts w:eastAsia="Times New Roman" w:cs="Calibri"/>
                <w:sz w:val="16"/>
                <w:szCs w:val="16"/>
              </w:rPr>
              <w:t xml:space="preserve">Oral Health </w:t>
            </w:r>
            <w:r w:rsidR="00C61B5D" w:rsidRPr="68129C33">
              <w:rPr>
                <w:rFonts w:eastAsia="Times New Roman" w:cs="Calibri"/>
                <w:sz w:val="16"/>
                <w:szCs w:val="16"/>
              </w:rPr>
              <w:t>Evaluation</w:t>
            </w:r>
            <w:r w:rsidRPr="68129C33">
              <w:rPr>
                <w:rFonts w:eastAsia="Times New Roman" w:cs="Calibri"/>
                <w:sz w:val="16"/>
                <w:szCs w:val="16"/>
              </w:rPr>
              <w:t xml:space="preserve"> </w:t>
            </w:r>
          </w:p>
        </w:tc>
        <w:tc>
          <w:tcPr>
            <w:tcW w:w="810" w:type="dxa"/>
            <w:shd w:val="clear" w:color="auto" w:fill="F2F2F2" w:themeFill="background1" w:themeFillShade="F2"/>
            <w:noWrap/>
            <w:vAlign w:val="center"/>
          </w:tcPr>
          <w:p w14:paraId="358AA6A1" w14:textId="204D37D6" w:rsidR="68129C33" w:rsidRDefault="00DB2CF8" w:rsidP="68129C33">
            <w:pPr>
              <w:jc w:val="center"/>
              <w:rPr>
                <w:rFonts w:eastAsia="Times New Roman" w:cs="Calibri"/>
                <w:color w:val="000000" w:themeColor="text1"/>
                <w:sz w:val="18"/>
                <w:szCs w:val="18"/>
              </w:rPr>
            </w:pPr>
            <w:r>
              <w:rPr>
                <w:rFonts w:eastAsia="Times New Roman" w:cs="Calibri"/>
                <w:color w:val="000000" w:themeColor="text1"/>
                <w:sz w:val="18"/>
                <w:szCs w:val="18"/>
              </w:rPr>
              <w:t>52.5%</w:t>
            </w:r>
          </w:p>
        </w:tc>
        <w:tc>
          <w:tcPr>
            <w:tcW w:w="720" w:type="dxa"/>
            <w:shd w:val="clear" w:color="auto" w:fill="F2F2F2" w:themeFill="background1" w:themeFillShade="F2"/>
            <w:noWrap/>
            <w:vAlign w:val="center"/>
          </w:tcPr>
          <w:p w14:paraId="442EC0A1" w14:textId="7773BA7D" w:rsidR="7AE7D2C3" w:rsidRDefault="7AE7D2C3" w:rsidP="68129C33">
            <w:pPr>
              <w:jc w:val="center"/>
              <w:rPr>
                <w:rFonts w:eastAsia="Times New Roman" w:cs="Calibri"/>
                <w:color w:val="000000" w:themeColor="text1"/>
                <w:sz w:val="18"/>
                <w:szCs w:val="18"/>
              </w:rPr>
            </w:pPr>
            <w:r w:rsidRPr="68129C33">
              <w:rPr>
                <w:rFonts w:eastAsia="Times New Roman" w:cs="Calibri"/>
                <w:color w:val="000000" w:themeColor="text1"/>
                <w:sz w:val="18"/>
                <w:szCs w:val="18"/>
              </w:rPr>
              <w:t>45.4%</w:t>
            </w:r>
          </w:p>
        </w:tc>
        <w:tc>
          <w:tcPr>
            <w:tcW w:w="720" w:type="dxa"/>
            <w:shd w:val="clear" w:color="auto" w:fill="F2F2F2" w:themeFill="background1" w:themeFillShade="F2"/>
            <w:noWrap/>
            <w:vAlign w:val="center"/>
          </w:tcPr>
          <w:p w14:paraId="3E6CFE6E" w14:textId="34EC0C98" w:rsidR="7AE7D2C3" w:rsidRDefault="7AE7D2C3" w:rsidP="68129C33">
            <w:pPr>
              <w:jc w:val="center"/>
              <w:rPr>
                <w:rFonts w:eastAsia="Times New Roman" w:cs="Calibri"/>
                <w:color w:val="000000" w:themeColor="text1"/>
                <w:sz w:val="18"/>
                <w:szCs w:val="18"/>
              </w:rPr>
            </w:pPr>
            <w:r w:rsidRPr="68129C33">
              <w:rPr>
                <w:rFonts w:eastAsia="Times New Roman" w:cs="Calibri"/>
                <w:color w:val="000000" w:themeColor="text1"/>
                <w:sz w:val="18"/>
                <w:szCs w:val="18"/>
              </w:rPr>
              <w:t>56.0%</w:t>
            </w:r>
          </w:p>
        </w:tc>
        <w:tc>
          <w:tcPr>
            <w:tcW w:w="720" w:type="dxa"/>
            <w:shd w:val="clear" w:color="auto" w:fill="F2F2F2" w:themeFill="background1" w:themeFillShade="F2"/>
            <w:noWrap/>
            <w:vAlign w:val="center"/>
          </w:tcPr>
          <w:p w14:paraId="2C49E7FD" w14:textId="078D994B" w:rsidR="7AE7D2C3" w:rsidRDefault="7AE7D2C3" w:rsidP="68129C33">
            <w:pPr>
              <w:jc w:val="center"/>
              <w:rPr>
                <w:rFonts w:eastAsia="Times New Roman" w:cs="Calibri"/>
                <w:color w:val="000000" w:themeColor="text1"/>
                <w:sz w:val="18"/>
                <w:szCs w:val="18"/>
              </w:rPr>
            </w:pPr>
            <w:r w:rsidRPr="68129C33">
              <w:rPr>
                <w:rFonts w:eastAsia="Times New Roman" w:cs="Calibri"/>
                <w:color w:val="000000" w:themeColor="text1"/>
                <w:sz w:val="18"/>
                <w:szCs w:val="18"/>
              </w:rPr>
              <w:t>55.1%</w:t>
            </w:r>
          </w:p>
        </w:tc>
        <w:tc>
          <w:tcPr>
            <w:tcW w:w="720" w:type="dxa"/>
            <w:shd w:val="clear" w:color="auto" w:fill="F2F2F2" w:themeFill="background1" w:themeFillShade="F2"/>
            <w:noWrap/>
            <w:vAlign w:val="center"/>
          </w:tcPr>
          <w:p w14:paraId="17E3191E" w14:textId="7CD0A657" w:rsidR="7AE7D2C3" w:rsidRDefault="7AE7D2C3" w:rsidP="68129C33">
            <w:pPr>
              <w:jc w:val="center"/>
              <w:rPr>
                <w:rFonts w:eastAsia="Times New Roman" w:cs="Calibri"/>
                <w:color w:val="000000" w:themeColor="text1"/>
                <w:sz w:val="18"/>
                <w:szCs w:val="18"/>
              </w:rPr>
            </w:pPr>
            <w:r w:rsidRPr="68129C33">
              <w:rPr>
                <w:rFonts w:eastAsia="Times New Roman" w:cs="Calibri"/>
                <w:color w:val="000000" w:themeColor="text1"/>
                <w:sz w:val="18"/>
                <w:szCs w:val="18"/>
              </w:rPr>
              <w:t>48.3%</w:t>
            </w:r>
          </w:p>
        </w:tc>
        <w:tc>
          <w:tcPr>
            <w:tcW w:w="720" w:type="dxa"/>
            <w:shd w:val="clear" w:color="auto" w:fill="F2F2F2" w:themeFill="background1" w:themeFillShade="F2"/>
            <w:noWrap/>
            <w:vAlign w:val="center"/>
          </w:tcPr>
          <w:p w14:paraId="1DBFEBF1" w14:textId="202E585F" w:rsidR="7AE7D2C3" w:rsidRDefault="7AE7D2C3" w:rsidP="68129C33">
            <w:pPr>
              <w:jc w:val="center"/>
              <w:rPr>
                <w:rFonts w:eastAsia="Times New Roman" w:cs="Calibri"/>
                <w:color w:val="000000" w:themeColor="text1"/>
                <w:sz w:val="18"/>
                <w:szCs w:val="18"/>
              </w:rPr>
            </w:pPr>
            <w:r w:rsidRPr="68129C33">
              <w:rPr>
                <w:rFonts w:eastAsia="Times New Roman" w:cs="Calibri"/>
                <w:color w:val="000000" w:themeColor="text1"/>
                <w:sz w:val="18"/>
                <w:szCs w:val="18"/>
              </w:rPr>
              <w:t>55.1%</w:t>
            </w:r>
          </w:p>
        </w:tc>
        <w:tc>
          <w:tcPr>
            <w:tcW w:w="810" w:type="dxa"/>
            <w:shd w:val="clear" w:color="auto" w:fill="F2F2F2" w:themeFill="background1" w:themeFillShade="F2"/>
            <w:noWrap/>
            <w:vAlign w:val="center"/>
          </w:tcPr>
          <w:p w14:paraId="6517E92B" w14:textId="33B896ED" w:rsidR="7AE7D2C3" w:rsidRDefault="7AE7D2C3" w:rsidP="68129C33">
            <w:pPr>
              <w:jc w:val="center"/>
              <w:rPr>
                <w:rFonts w:eastAsia="Times New Roman" w:cs="Calibri"/>
                <w:color w:val="000000" w:themeColor="text1"/>
                <w:sz w:val="18"/>
                <w:szCs w:val="18"/>
              </w:rPr>
            </w:pPr>
            <w:r w:rsidRPr="68129C33">
              <w:rPr>
                <w:rFonts w:eastAsia="Times New Roman" w:cs="Calibri"/>
                <w:color w:val="000000" w:themeColor="text1"/>
                <w:sz w:val="18"/>
                <w:szCs w:val="18"/>
              </w:rPr>
              <w:t>55.2%</w:t>
            </w:r>
          </w:p>
        </w:tc>
        <w:tc>
          <w:tcPr>
            <w:tcW w:w="720" w:type="dxa"/>
            <w:shd w:val="clear" w:color="auto" w:fill="F2F2F2" w:themeFill="background1" w:themeFillShade="F2"/>
            <w:noWrap/>
            <w:vAlign w:val="center"/>
          </w:tcPr>
          <w:p w14:paraId="00FF7B40" w14:textId="5137A300" w:rsidR="7AE7D2C3" w:rsidRDefault="7AE7D2C3" w:rsidP="68129C33">
            <w:pPr>
              <w:jc w:val="center"/>
              <w:rPr>
                <w:rFonts w:eastAsia="Times New Roman" w:cs="Calibri"/>
                <w:color w:val="000000" w:themeColor="text1"/>
                <w:sz w:val="18"/>
                <w:szCs w:val="18"/>
              </w:rPr>
            </w:pPr>
            <w:r w:rsidRPr="68129C33">
              <w:rPr>
                <w:rFonts w:eastAsia="Times New Roman" w:cs="Calibri"/>
                <w:color w:val="000000" w:themeColor="text1"/>
                <w:sz w:val="18"/>
                <w:szCs w:val="18"/>
              </w:rPr>
              <w:t>51.0%</w:t>
            </w:r>
          </w:p>
        </w:tc>
        <w:tc>
          <w:tcPr>
            <w:tcW w:w="720" w:type="dxa"/>
            <w:shd w:val="clear" w:color="auto" w:fill="F2F2F2" w:themeFill="background1" w:themeFillShade="F2"/>
            <w:noWrap/>
            <w:vAlign w:val="center"/>
          </w:tcPr>
          <w:p w14:paraId="39EA1E65" w14:textId="1A454C83" w:rsidR="7AE7D2C3" w:rsidRDefault="7AE7D2C3" w:rsidP="68129C33">
            <w:pPr>
              <w:jc w:val="center"/>
              <w:rPr>
                <w:rFonts w:eastAsia="Times New Roman" w:cs="Calibri"/>
                <w:color w:val="000000" w:themeColor="text1"/>
                <w:sz w:val="18"/>
                <w:szCs w:val="18"/>
              </w:rPr>
            </w:pPr>
            <w:r w:rsidRPr="68129C33">
              <w:rPr>
                <w:rFonts w:eastAsia="Times New Roman" w:cs="Calibri"/>
                <w:color w:val="000000" w:themeColor="text1"/>
                <w:sz w:val="18"/>
                <w:szCs w:val="18"/>
              </w:rPr>
              <w:t>53.6%</w:t>
            </w:r>
          </w:p>
        </w:tc>
        <w:tc>
          <w:tcPr>
            <w:tcW w:w="1080" w:type="dxa"/>
            <w:shd w:val="clear" w:color="auto" w:fill="F2F2F2" w:themeFill="background1" w:themeFillShade="F2"/>
            <w:noWrap/>
            <w:vAlign w:val="center"/>
          </w:tcPr>
          <w:p w14:paraId="1886C06B" w14:textId="58AA2BB8" w:rsidR="7AE7D2C3" w:rsidRDefault="7AE7D2C3" w:rsidP="68129C33">
            <w:pPr>
              <w:jc w:val="center"/>
              <w:rPr>
                <w:rFonts w:eastAsia="Times New Roman" w:cs="Calibri"/>
                <w:color w:val="000000" w:themeColor="text1"/>
                <w:sz w:val="18"/>
                <w:szCs w:val="18"/>
              </w:rPr>
            </w:pPr>
            <w:r w:rsidRPr="68129C33">
              <w:rPr>
                <w:rFonts w:eastAsia="Times New Roman" w:cs="Calibri"/>
                <w:color w:val="000000" w:themeColor="text1"/>
                <w:sz w:val="18"/>
                <w:szCs w:val="18"/>
              </w:rPr>
              <w:t>53.6%</w:t>
            </w:r>
          </w:p>
        </w:tc>
        <w:tc>
          <w:tcPr>
            <w:tcW w:w="720" w:type="dxa"/>
            <w:shd w:val="clear" w:color="auto" w:fill="F2F2F2" w:themeFill="background1" w:themeFillShade="F2"/>
            <w:noWrap/>
            <w:vAlign w:val="center"/>
          </w:tcPr>
          <w:p w14:paraId="11F227F3" w14:textId="521616AD" w:rsidR="7AE7D2C3" w:rsidRDefault="7AE7D2C3" w:rsidP="68129C33">
            <w:pPr>
              <w:jc w:val="center"/>
              <w:rPr>
                <w:rFonts w:eastAsia="Times New Roman" w:cs="Calibri"/>
                <w:color w:val="000000" w:themeColor="text1"/>
                <w:sz w:val="18"/>
                <w:szCs w:val="18"/>
              </w:rPr>
            </w:pPr>
            <w:r w:rsidRPr="68129C33">
              <w:rPr>
                <w:rFonts w:eastAsia="Times New Roman" w:cs="Calibri"/>
                <w:color w:val="000000" w:themeColor="text1"/>
                <w:sz w:val="18"/>
                <w:szCs w:val="18"/>
              </w:rPr>
              <w:t>46.8%</w:t>
            </w:r>
          </w:p>
        </w:tc>
        <w:tc>
          <w:tcPr>
            <w:tcW w:w="810" w:type="dxa"/>
            <w:shd w:val="clear" w:color="auto" w:fill="F2F2F2" w:themeFill="background1" w:themeFillShade="F2"/>
            <w:noWrap/>
            <w:vAlign w:val="center"/>
          </w:tcPr>
          <w:p w14:paraId="5C53BC75" w14:textId="7CB470F4" w:rsidR="7AE7D2C3" w:rsidRDefault="7AE7D2C3" w:rsidP="68129C33">
            <w:pPr>
              <w:jc w:val="center"/>
              <w:rPr>
                <w:rFonts w:eastAsia="Times New Roman" w:cs="Calibri"/>
                <w:color w:val="000000" w:themeColor="text1"/>
                <w:sz w:val="18"/>
                <w:szCs w:val="18"/>
              </w:rPr>
            </w:pPr>
            <w:r w:rsidRPr="68129C33">
              <w:rPr>
                <w:rFonts w:eastAsia="Times New Roman" w:cs="Calibri"/>
                <w:color w:val="000000" w:themeColor="text1"/>
                <w:sz w:val="18"/>
                <w:szCs w:val="18"/>
              </w:rPr>
              <w:t>52.2%</w:t>
            </w:r>
          </w:p>
        </w:tc>
        <w:tc>
          <w:tcPr>
            <w:tcW w:w="810" w:type="dxa"/>
            <w:shd w:val="clear" w:color="auto" w:fill="F2F2F2" w:themeFill="background1" w:themeFillShade="F2"/>
            <w:noWrap/>
            <w:vAlign w:val="center"/>
          </w:tcPr>
          <w:p w14:paraId="48A0250B" w14:textId="437EDCAD" w:rsidR="7AE7D2C3" w:rsidRDefault="7AE7D2C3" w:rsidP="68129C33">
            <w:pPr>
              <w:jc w:val="center"/>
              <w:rPr>
                <w:rFonts w:eastAsia="Times New Roman" w:cs="Calibri"/>
                <w:color w:val="000000" w:themeColor="text1"/>
                <w:sz w:val="18"/>
                <w:szCs w:val="18"/>
              </w:rPr>
            </w:pPr>
            <w:r w:rsidRPr="68129C33">
              <w:rPr>
                <w:rFonts w:eastAsia="Times New Roman" w:cs="Calibri"/>
                <w:color w:val="000000" w:themeColor="text1"/>
                <w:sz w:val="18"/>
                <w:szCs w:val="18"/>
              </w:rPr>
              <w:t>53.5%</w:t>
            </w:r>
          </w:p>
        </w:tc>
        <w:tc>
          <w:tcPr>
            <w:tcW w:w="810" w:type="dxa"/>
            <w:shd w:val="clear" w:color="auto" w:fill="F2F2F2" w:themeFill="background1" w:themeFillShade="F2"/>
            <w:noWrap/>
            <w:vAlign w:val="center"/>
          </w:tcPr>
          <w:p w14:paraId="2F8CA853" w14:textId="62753795" w:rsidR="7AE7D2C3" w:rsidRDefault="7AE7D2C3" w:rsidP="68129C33">
            <w:pPr>
              <w:jc w:val="center"/>
              <w:rPr>
                <w:rFonts w:eastAsia="Times New Roman" w:cs="Calibri"/>
                <w:color w:val="000000" w:themeColor="text1"/>
                <w:sz w:val="18"/>
                <w:szCs w:val="18"/>
              </w:rPr>
            </w:pPr>
            <w:r w:rsidRPr="68129C33">
              <w:rPr>
                <w:rFonts w:eastAsia="Times New Roman" w:cs="Calibri"/>
                <w:color w:val="000000" w:themeColor="text1"/>
                <w:sz w:val="18"/>
                <w:szCs w:val="18"/>
              </w:rPr>
              <w:t>44.2%</w:t>
            </w:r>
          </w:p>
        </w:tc>
        <w:tc>
          <w:tcPr>
            <w:tcW w:w="720" w:type="dxa"/>
            <w:shd w:val="clear" w:color="auto" w:fill="F2F2F2" w:themeFill="background1" w:themeFillShade="F2"/>
            <w:noWrap/>
            <w:vAlign w:val="center"/>
          </w:tcPr>
          <w:p w14:paraId="7AD4CB0F" w14:textId="05B70C81" w:rsidR="7AE7D2C3" w:rsidRDefault="7AE7D2C3" w:rsidP="68129C33">
            <w:pPr>
              <w:jc w:val="center"/>
              <w:rPr>
                <w:rFonts w:eastAsia="Times New Roman" w:cs="Calibri"/>
                <w:color w:val="000000" w:themeColor="text1"/>
                <w:sz w:val="18"/>
                <w:szCs w:val="18"/>
              </w:rPr>
            </w:pPr>
            <w:r w:rsidRPr="68129C33">
              <w:rPr>
                <w:rFonts w:eastAsia="Times New Roman" w:cs="Calibri"/>
                <w:color w:val="000000" w:themeColor="text1"/>
                <w:sz w:val="18"/>
                <w:szCs w:val="18"/>
              </w:rPr>
              <w:t>53.3%</w:t>
            </w:r>
          </w:p>
        </w:tc>
        <w:tc>
          <w:tcPr>
            <w:tcW w:w="720" w:type="dxa"/>
            <w:shd w:val="clear" w:color="auto" w:fill="F2F2F2" w:themeFill="background1" w:themeFillShade="F2"/>
            <w:noWrap/>
            <w:vAlign w:val="center"/>
          </w:tcPr>
          <w:p w14:paraId="71DE86CA" w14:textId="01951F22" w:rsidR="7AE7D2C3" w:rsidRDefault="7AE7D2C3" w:rsidP="68129C33">
            <w:pPr>
              <w:jc w:val="center"/>
              <w:rPr>
                <w:rFonts w:eastAsia="Times New Roman" w:cs="Calibri"/>
                <w:color w:val="000000" w:themeColor="text1"/>
                <w:sz w:val="18"/>
                <w:szCs w:val="18"/>
              </w:rPr>
            </w:pPr>
            <w:r w:rsidRPr="68129C33">
              <w:rPr>
                <w:rFonts w:eastAsia="Times New Roman" w:cs="Calibri"/>
                <w:color w:val="000000" w:themeColor="text1"/>
                <w:sz w:val="18"/>
                <w:szCs w:val="18"/>
              </w:rPr>
              <w:t>55.4%</w:t>
            </w:r>
          </w:p>
        </w:tc>
        <w:tc>
          <w:tcPr>
            <w:tcW w:w="990" w:type="dxa"/>
            <w:shd w:val="clear" w:color="auto" w:fill="F2F2F2" w:themeFill="background1" w:themeFillShade="F2"/>
            <w:noWrap/>
            <w:vAlign w:val="center"/>
          </w:tcPr>
          <w:p w14:paraId="3EA403D7" w14:textId="74D0A7A8" w:rsidR="7AE7D2C3" w:rsidRDefault="7AE7D2C3" w:rsidP="68129C33">
            <w:pPr>
              <w:jc w:val="center"/>
              <w:rPr>
                <w:rFonts w:eastAsia="Times New Roman" w:cs="Calibri"/>
                <w:color w:val="000000" w:themeColor="text1"/>
                <w:sz w:val="18"/>
                <w:szCs w:val="18"/>
              </w:rPr>
            </w:pPr>
            <w:r w:rsidRPr="68129C33">
              <w:rPr>
                <w:rFonts w:eastAsia="Times New Roman" w:cs="Calibri"/>
                <w:color w:val="000000" w:themeColor="text1"/>
                <w:sz w:val="18"/>
                <w:szCs w:val="18"/>
              </w:rPr>
              <w:t>49.8%</w:t>
            </w:r>
          </w:p>
        </w:tc>
        <w:tc>
          <w:tcPr>
            <w:tcW w:w="720" w:type="dxa"/>
            <w:shd w:val="clear" w:color="auto" w:fill="F2F2F2" w:themeFill="background1" w:themeFillShade="F2"/>
            <w:noWrap/>
            <w:vAlign w:val="center"/>
          </w:tcPr>
          <w:p w14:paraId="4E2107C5" w14:textId="01EF9580" w:rsidR="7AE7D2C3" w:rsidRDefault="7AE7D2C3" w:rsidP="68129C33">
            <w:pPr>
              <w:jc w:val="center"/>
              <w:rPr>
                <w:rFonts w:eastAsia="Times New Roman" w:cs="Calibri"/>
                <w:color w:val="000000" w:themeColor="text1"/>
                <w:sz w:val="18"/>
                <w:szCs w:val="18"/>
              </w:rPr>
            </w:pPr>
            <w:r w:rsidRPr="68129C33">
              <w:rPr>
                <w:rFonts w:eastAsia="Times New Roman" w:cs="Calibri"/>
                <w:color w:val="000000" w:themeColor="text1"/>
                <w:sz w:val="18"/>
                <w:szCs w:val="18"/>
              </w:rPr>
              <w:t>42.8%</w:t>
            </w:r>
          </w:p>
        </w:tc>
        <w:tc>
          <w:tcPr>
            <w:tcW w:w="720" w:type="dxa"/>
            <w:shd w:val="clear" w:color="auto" w:fill="F2F2F2" w:themeFill="background1" w:themeFillShade="F2"/>
            <w:noWrap/>
            <w:vAlign w:val="center"/>
          </w:tcPr>
          <w:p w14:paraId="32DE4B38" w14:textId="298B4CD0" w:rsidR="68129C33" w:rsidRDefault="00440CA2" w:rsidP="68129C33">
            <w:pPr>
              <w:jc w:val="center"/>
              <w:rPr>
                <w:rFonts w:eastAsia="Times New Roman" w:cs="Calibri"/>
                <w:color w:val="000000" w:themeColor="text1"/>
                <w:sz w:val="18"/>
                <w:szCs w:val="18"/>
              </w:rPr>
            </w:pPr>
            <w:r>
              <w:rPr>
                <w:rFonts w:eastAsia="Times New Roman" w:cs="Calibri"/>
                <w:color w:val="000000" w:themeColor="text1"/>
                <w:sz w:val="18"/>
                <w:szCs w:val="18"/>
              </w:rPr>
              <w:t>48.8%</w:t>
            </w:r>
          </w:p>
        </w:tc>
        <w:tc>
          <w:tcPr>
            <w:tcW w:w="720" w:type="dxa"/>
            <w:shd w:val="clear" w:color="auto" w:fill="F2F2F2" w:themeFill="background1" w:themeFillShade="F2"/>
            <w:noWrap/>
            <w:vAlign w:val="center"/>
          </w:tcPr>
          <w:p w14:paraId="3006E992" w14:textId="1DC68D87" w:rsidR="3E5DA59D" w:rsidRDefault="00B54925" w:rsidP="3E5DA59D">
            <w:pPr>
              <w:spacing w:after="0"/>
              <w:jc w:val="center"/>
              <w:rPr>
                <w:rFonts w:eastAsia="Times New Roman" w:cs="Calibri"/>
                <w:color w:val="000000" w:themeColor="text1"/>
                <w:sz w:val="18"/>
                <w:szCs w:val="18"/>
              </w:rPr>
            </w:pPr>
            <w:r>
              <w:rPr>
                <w:rFonts w:cs="Calibri"/>
                <w:color w:val="000000" w:themeColor="text1"/>
                <w:sz w:val="18"/>
                <w:szCs w:val="18"/>
              </w:rPr>
              <w:t>46.9%</w:t>
            </w:r>
          </w:p>
        </w:tc>
        <w:tc>
          <w:tcPr>
            <w:tcW w:w="720" w:type="dxa"/>
            <w:shd w:val="clear" w:color="auto" w:fill="F2F2F2" w:themeFill="background1" w:themeFillShade="F2"/>
            <w:noWrap/>
            <w:vAlign w:val="center"/>
          </w:tcPr>
          <w:p w14:paraId="2ACF986A" w14:textId="348E9D65" w:rsidR="3E5DA59D" w:rsidRDefault="00440CA2" w:rsidP="3E5DA59D">
            <w:pPr>
              <w:spacing w:after="0"/>
              <w:jc w:val="center"/>
              <w:rPr>
                <w:rFonts w:eastAsia="Times New Roman" w:cs="Calibri"/>
                <w:color w:val="000000" w:themeColor="text1"/>
                <w:sz w:val="18"/>
                <w:szCs w:val="18"/>
              </w:rPr>
            </w:pPr>
            <w:r>
              <w:rPr>
                <w:rFonts w:cs="Calibri"/>
                <w:color w:val="000000" w:themeColor="text1"/>
                <w:sz w:val="18"/>
                <w:szCs w:val="18"/>
              </w:rPr>
              <w:t>49.7%</w:t>
            </w:r>
          </w:p>
        </w:tc>
      </w:tr>
      <w:tr w:rsidR="00255A16" w:rsidRPr="00884DD7" w14:paraId="1DFAD007" w14:textId="77777777" w:rsidTr="4EB40283">
        <w:trPr>
          <w:trHeight w:val="300"/>
        </w:trPr>
        <w:tc>
          <w:tcPr>
            <w:tcW w:w="2040" w:type="dxa"/>
            <w:shd w:val="clear" w:color="auto" w:fill="auto"/>
            <w:noWrap/>
            <w:vAlign w:val="bottom"/>
            <w:hideMark/>
          </w:tcPr>
          <w:p w14:paraId="1FC96EF4" w14:textId="471C09B2" w:rsidR="00C537E5" w:rsidRPr="008D1B70" w:rsidRDefault="00911AAE" w:rsidP="00911AAE">
            <w:pPr>
              <w:jc w:val="center"/>
              <w:rPr>
                <w:rFonts w:eastAsia="Times New Roman" w:cs="Calibri"/>
                <w:sz w:val="16"/>
                <w:szCs w:val="16"/>
              </w:rPr>
            </w:pPr>
            <w:r w:rsidRPr="008D1B70">
              <w:rPr>
                <w:rFonts w:eastAsia="Times New Roman" w:cs="Calibri"/>
                <w:sz w:val="16"/>
                <w:szCs w:val="16"/>
              </w:rPr>
              <w:t>PCR-O/E</w:t>
            </w:r>
          </w:p>
        </w:tc>
        <w:tc>
          <w:tcPr>
            <w:tcW w:w="1650" w:type="dxa"/>
            <w:shd w:val="clear" w:color="auto" w:fill="auto"/>
            <w:hideMark/>
          </w:tcPr>
          <w:p w14:paraId="0DB2449C" w14:textId="77777777" w:rsidR="00C537E5" w:rsidRPr="00884DD7" w:rsidRDefault="00C537E5" w:rsidP="00C537E5">
            <w:pPr>
              <w:spacing w:after="0"/>
              <w:rPr>
                <w:rFonts w:eastAsia="Times New Roman" w:cs="Calibri"/>
                <w:sz w:val="16"/>
                <w:szCs w:val="16"/>
              </w:rPr>
            </w:pPr>
            <w:r w:rsidRPr="00884DD7">
              <w:rPr>
                <w:rFonts w:eastAsia="Times New Roman" w:cs="Calibri"/>
                <w:sz w:val="16"/>
                <w:szCs w:val="16"/>
              </w:rPr>
              <w:t>Plan All-Cause Readmissions (observed to expected ratio)</w:t>
            </w:r>
          </w:p>
        </w:tc>
        <w:tc>
          <w:tcPr>
            <w:tcW w:w="810" w:type="dxa"/>
            <w:shd w:val="clear" w:color="auto" w:fill="FFFFFF" w:themeFill="background1"/>
            <w:noWrap/>
            <w:vAlign w:val="center"/>
          </w:tcPr>
          <w:p w14:paraId="0AFED078" w14:textId="1AB9ECF7" w:rsidR="00C537E5" w:rsidRPr="009520C8" w:rsidRDefault="00DD6E01" w:rsidP="00C537E5">
            <w:pPr>
              <w:spacing w:after="0"/>
              <w:jc w:val="center"/>
              <w:rPr>
                <w:rFonts w:eastAsia="Times New Roman" w:cs="Calibri"/>
                <w:color w:val="000000"/>
                <w:sz w:val="18"/>
                <w:szCs w:val="18"/>
              </w:rPr>
            </w:pPr>
            <w:r>
              <w:rPr>
                <w:rFonts w:eastAsia="Times New Roman" w:cs="Calibri"/>
                <w:color w:val="000000"/>
                <w:sz w:val="18"/>
                <w:szCs w:val="18"/>
              </w:rPr>
              <w:t>1.2043</w:t>
            </w:r>
          </w:p>
        </w:tc>
        <w:tc>
          <w:tcPr>
            <w:tcW w:w="720" w:type="dxa"/>
            <w:shd w:val="clear" w:color="auto" w:fill="auto"/>
            <w:noWrap/>
            <w:vAlign w:val="center"/>
          </w:tcPr>
          <w:p w14:paraId="6C903D1E" w14:textId="1B0BAA3A" w:rsidR="00C537E5" w:rsidRPr="009520C8" w:rsidRDefault="08AB9D91"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1.674</w:t>
            </w:r>
          </w:p>
        </w:tc>
        <w:tc>
          <w:tcPr>
            <w:tcW w:w="720" w:type="dxa"/>
            <w:shd w:val="clear" w:color="auto" w:fill="auto"/>
            <w:noWrap/>
            <w:vAlign w:val="center"/>
          </w:tcPr>
          <w:p w14:paraId="7485AA92" w14:textId="298E426C" w:rsidR="00C537E5" w:rsidRPr="009520C8" w:rsidRDefault="08AB9D91"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1.517</w:t>
            </w:r>
          </w:p>
        </w:tc>
        <w:tc>
          <w:tcPr>
            <w:tcW w:w="720" w:type="dxa"/>
            <w:shd w:val="clear" w:color="auto" w:fill="auto"/>
            <w:noWrap/>
            <w:vAlign w:val="center"/>
          </w:tcPr>
          <w:p w14:paraId="46ED9AD9" w14:textId="5196EA6C" w:rsidR="00C537E5" w:rsidRPr="009520C8" w:rsidRDefault="08AB9D91"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1.644</w:t>
            </w:r>
          </w:p>
        </w:tc>
        <w:tc>
          <w:tcPr>
            <w:tcW w:w="720" w:type="dxa"/>
            <w:shd w:val="clear" w:color="auto" w:fill="auto"/>
            <w:noWrap/>
            <w:vAlign w:val="center"/>
          </w:tcPr>
          <w:p w14:paraId="245A61C2" w14:textId="25AC0C20" w:rsidR="00C537E5" w:rsidRPr="009520C8" w:rsidRDefault="08AB9D91"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1.222</w:t>
            </w:r>
          </w:p>
        </w:tc>
        <w:tc>
          <w:tcPr>
            <w:tcW w:w="720" w:type="dxa"/>
            <w:shd w:val="clear" w:color="auto" w:fill="auto"/>
            <w:noWrap/>
            <w:vAlign w:val="center"/>
          </w:tcPr>
          <w:p w14:paraId="3A650AAC" w14:textId="5459E7C3" w:rsidR="00C537E5" w:rsidRPr="009520C8" w:rsidRDefault="08AB9D91"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0.96</w:t>
            </w:r>
          </w:p>
        </w:tc>
        <w:tc>
          <w:tcPr>
            <w:tcW w:w="810" w:type="dxa"/>
            <w:shd w:val="clear" w:color="auto" w:fill="auto"/>
            <w:noWrap/>
            <w:vAlign w:val="center"/>
          </w:tcPr>
          <w:p w14:paraId="51572EFE" w14:textId="181D1044" w:rsidR="00C537E5" w:rsidRPr="009520C8" w:rsidRDefault="08AB9D91"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1.736</w:t>
            </w:r>
          </w:p>
        </w:tc>
        <w:tc>
          <w:tcPr>
            <w:tcW w:w="720" w:type="dxa"/>
            <w:shd w:val="clear" w:color="auto" w:fill="auto"/>
            <w:noWrap/>
            <w:vAlign w:val="center"/>
          </w:tcPr>
          <w:p w14:paraId="18B29D31" w14:textId="2E05ADD0" w:rsidR="00C537E5" w:rsidRPr="009520C8" w:rsidRDefault="08AB9D91"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1.538</w:t>
            </w:r>
          </w:p>
        </w:tc>
        <w:tc>
          <w:tcPr>
            <w:tcW w:w="720" w:type="dxa"/>
            <w:shd w:val="clear" w:color="auto" w:fill="auto"/>
            <w:noWrap/>
            <w:vAlign w:val="center"/>
          </w:tcPr>
          <w:p w14:paraId="17452F41" w14:textId="2AE9C561" w:rsidR="00C537E5" w:rsidRPr="009520C8" w:rsidRDefault="08AB9D91"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1.57</w:t>
            </w:r>
          </w:p>
        </w:tc>
        <w:tc>
          <w:tcPr>
            <w:tcW w:w="1080" w:type="dxa"/>
            <w:shd w:val="clear" w:color="auto" w:fill="auto"/>
            <w:noWrap/>
            <w:vAlign w:val="center"/>
          </w:tcPr>
          <w:p w14:paraId="54328AE8" w14:textId="6545D248" w:rsidR="00C537E5" w:rsidRPr="009520C8" w:rsidRDefault="08AB9D91"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1.548</w:t>
            </w:r>
          </w:p>
        </w:tc>
        <w:tc>
          <w:tcPr>
            <w:tcW w:w="720" w:type="dxa"/>
            <w:shd w:val="clear" w:color="auto" w:fill="auto"/>
            <w:noWrap/>
            <w:vAlign w:val="center"/>
          </w:tcPr>
          <w:p w14:paraId="3207CC43" w14:textId="42A10F43" w:rsidR="00C537E5" w:rsidRPr="009520C8" w:rsidRDefault="08AB9D91"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1.225</w:t>
            </w:r>
          </w:p>
        </w:tc>
        <w:tc>
          <w:tcPr>
            <w:tcW w:w="810" w:type="dxa"/>
            <w:shd w:val="clear" w:color="auto" w:fill="auto"/>
            <w:noWrap/>
            <w:vAlign w:val="center"/>
          </w:tcPr>
          <w:p w14:paraId="7033E1FB" w14:textId="37D367E4" w:rsidR="00C537E5" w:rsidRPr="009520C8" w:rsidRDefault="08AB9D91"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1.214</w:t>
            </w:r>
          </w:p>
        </w:tc>
        <w:tc>
          <w:tcPr>
            <w:tcW w:w="810" w:type="dxa"/>
            <w:shd w:val="clear" w:color="auto" w:fill="auto"/>
            <w:noWrap/>
            <w:vAlign w:val="center"/>
          </w:tcPr>
          <w:p w14:paraId="11714A81" w14:textId="4445548B" w:rsidR="00C537E5" w:rsidRPr="009520C8" w:rsidRDefault="08AB9D91"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1.262</w:t>
            </w:r>
          </w:p>
        </w:tc>
        <w:tc>
          <w:tcPr>
            <w:tcW w:w="810" w:type="dxa"/>
            <w:shd w:val="clear" w:color="auto" w:fill="auto"/>
            <w:noWrap/>
            <w:vAlign w:val="center"/>
          </w:tcPr>
          <w:p w14:paraId="4243F521" w14:textId="32C9339C" w:rsidR="00C537E5" w:rsidRPr="009520C8" w:rsidRDefault="08AB9D91"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1.151</w:t>
            </w:r>
          </w:p>
        </w:tc>
        <w:tc>
          <w:tcPr>
            <w:tcW w:w="720" w:type="dxa"/>
            <w:shd w:val="clear" w:color="auto" w:fill="auto"/>
            <w:noWrap/>
            <w:vAlign w:val="center"/>
          </w:tcPr>
          <w:p w14:paraId="441FCAA8" w14:textId="6BCDBCB7" w:rsidR="00C537E5" w:rsidRPr="009520C8" w:rsidRDefault="08AB9D91"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1.145</w:t>
            </w:r>
          </w:p>
        </w:tc>
        <w:tc>
          <w:tcPr>
            <w:tcW w:w="720" w:type="dxa"/>
            <w:shd w:val="clear" w:color="auto" w:fill="auto"/>
            <w:noWrap/>
            <w:vAlign w:val="center"/>
          </w:tcPr>
          <w:p w14:paraId="12AE5671" w14:textId="4ECD988A" w:rsidR="00C537E5" w:rsidRPr="009520C8" w:rsidRDefault="08AB9D91"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1.065</w:t>
            </w:r>
          </w:p>
        </w:tc>
        <w:tc>
          <w:tcPr>
            <w:tcW w:w="990" w:type="dxa"/>
            <w:shd w:val="clear" w:color="auto" w:fill="auto"/>
            <w:noWrap/>
            <w:vAlign w:val="center"/>
          </w:tcPr>
          <w:p w14:paraId="4536E47F" w14:textId="4061BAE1" w:rsidR="00C537E5" w:rsidRPr="009520C8" w:rsidRDefault="08AB9D91"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1.098</w:t>
            </w:r>
          </w:p>
        </w:tc>
        <w:tc>
          <w:tcPr>
            <w:tcW w:w="720" w:type="dxa"/>
            <w:shd w:val="clear" w:color="auto" w:fill="auto"/>
            <w:noWrap/>
            <w:vAlign w:val="center"/>
          </w:tcPr>
          <w:p w14:paraId="65E8C5DC" w14:textId="004B0DED" w:rsidR="00C537E5" w:rsidRPr="009520C8" w:rsidRDefault="08AB9D91"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1.132</w:t>
            </w:r>
          </w:p>
        </w:tc>
        <w:tc>
          <w:tcPr>
            <w:tcW w:w="720" w:type="dxa"/>
            <w:shd w:val="clear" w:color="auto" w:fill="auto"/>
            <w:noWrap/>
            <w:vAlign w:val="center"/>
          </w:tcPr>
          <w:p w14:paraId="2DFB6E14" w14:textId="313D03FC" w:rsidR="00C537E5" w:rsidRPr="009520C8" w:rsidRDefault="00270E23" w:rsidP="00C537E5">
            <w:pPr>
              <w:spacing w:after="0"/>
              <w:jc w:val="center"/>
              <w:rPr>
                <w:rFonts w:eastAsia="Times New Roman" w:cs="Calibri"/>
                <w:color w:val="000000"/>
                <w:sz w:val="18"/>
                <w:szCs w:val="18"/>
              </w:rPr>
            </w:pPr>
            <w:r>
              <w:rPr>
                <w:rFonts w:eastAsia="Times New Roman" w:cs="Calibri"/>
                <w:color w:val="000000"/>
                <w:sz w:val="18"/>
                <w:szCs w:val="18"/>
              </w:rPr>
              <w:t>--</w:t>
            </w:r>
          </w:p>
        </w:tc>
        <w:tc>
          <w:tcPr>
            <w:tcW w:w="720" w:type="dxa"/>
            <w:shd w:val="clear" w:color="auto" w:fill="auto"/>
            <w:noWrap/>
            <w:vAlign w:val="center"/>
          </w:tcPr>
          <w:p w14:paraId="642C041B" w14:textId="1341862F" w:rsidR="3E5DA59D" w:rsidRDefault="3E5DA59D" w:rsidP="3E5DA59D">
            <w:pPr>
              <w:spacing w:after="0"/>
              <w:jc w:val="center"/>
              <w:rPr>
                <w:rFonts w:eastAsia="Times New Roman" w:cs="Calibri"/>
                <w:color w:val="000000" w:themeColor="text1"/>
                <w:sz w:val="18"/>
                <w:szCs w:val="18"/>
              </w:rPr>
            </w:pPr>
            <w:r w:rsidRPr="3E5DA59D">
              <w:rPr>
                <w:rFonts w:cs="Calibri"/>
                <w:color w:val="000000" w:themeColor="text1"/>
                <w:sz w:val="18"/>
                <w:szCs w:val="18"/>
              </w:rPr>
              <w:t>--</w:t>
            </w:r>
          </w:p>
        </w:tc>
        <w:tc>
          <w:tcPr>
            <w:tcW w:w="720" w:type="dxa"/>
            <w:shd w:val="clear" w:color="auto" w:fill="auto"/>
            <w:noWrap/>
            <w:vAlign w:val="center"/>
          </w:tcPr>
          <w:p w14:paraId="03223633" w14:textId="5BD8E13E" w:rsidR="3E5DA59D" w:rsidRDefault="3E5DA59D" w:rsidP="3E5DA59D">
            <w:pPr>
              <w:spacing w:after="0"/>
              <w:jc w:val="center"/>
              <w:rPr>
                <w:rFonts w:eastAsia="Times New Roman" w:cs="Calibri"/>
                <w:color w:val="000000" w:themeColor="text1"/>
                <w:sz w:val="18"/>
                <w:szCs w:val="18"/>
              </w:rPr>
            </w:pPr>
            <w:r w:rsidRPr="3E5DA59D">
              <w:rPr>
                <w:rFonts w:cs="Calibri"/>
                <w:color w:val="000000" w:themeColor="text1"/>
                <w:sz w:val="18"/>
                <w:szCs w:val="18"/>
              </w:rPr>
              <w:t>--</w:t>
            </w:r>
          </w:p>
        </w:tc>
      </w:tr>
      <w:tr w:rsidR="68129C33" w14:paraId="4F1DA5A3" w14:textId="77777777" w:rsidTr="4EB40283">
        <w:trPr>
          <w:trHeight w:val="520"/>
        </w:trPr>
        <w:tc>
          <w:tcPr>
            <w:tcW w:w="2040" w:type="dxa"/>
            <w:shd w:val="clear" w:color="auto" w:fill="auto"/>
            <w:noWrap/>
            <w:hideMark/>
          </w:tcPr>
          <w:p w14:paraId="2EF77E32" w14:textId="77777777" w:rsidR="3E5DA59D" w:rsidRDefault="3E5DA59D" w:rsidP="3E5DA59D">
            <w:pPr>
              <w:spacing w:after="0"/>
              <w:jc w:val="center"/>
              <w:rPr>
                <w:rFonts w:eastAsia="Times New Roman" w:cs="Calibri"/>
                <w:sz w:val="16"/>
                <w:szCs w:val="16"/>
              </w:rPr>
            </w:pPr>
            <w:r w:rsidRPr="3E5DA59D">
              <w:rPr>
                <w:rFonts w:eastAsia="Times New Roman" w:cs="Calibri"/>
                <w:sz w:val="16"/>
                <w:szCs w:val="16"/>
              </w:rPr>
              <w:t>EOHHS</w:t>
            </w:r>
          </w:p>
        </w:tc>
        <w:tc>
          <w:tcPr>
            <w:tcW w:w="1650" w:type="dxa"/>
            <w:shd w:val="clear" w:color="auto" w:fill="auto"/>
            <w:hideMark/>
          </w:tcPr>
          <w:p w14:paraId="621086A9" w14:textId="77777777" w:rsidR="3E5DA59D" w:rsidRDefault="3E5DA59D" w:rsidP="3E5DA59D">
            <w:pPr>
              <w:spacing w:after="0"/>
              <w:rPr>
                <w:rFonts w:eastAsia="Times New Roman" w:cs="Calibri"/>
                <w:sz w:val="16"/>
                <w:szCs w:val="16"/>
              </w:rPr>
            </w:pPr>
            <w:r w:rsidRPr="3E5DA59D">
              <w:rPr>
                <w:rFonts w:eastAsia="Times New Roman" w:cs="Calibri"/>
                <w:sz w:val="16"/>
                <w:szCs w:val="16"/>
              </w:rPr>
              <w:t>Health-Related Social Needs Screening</w:t>
            </w:r>
          </w:p>
        </w:tc>
        <w:tc>
          <w:tcPr>
            <w:tcW w:w="810" w:type="dxa"/>
            <w:shd w:val="clear" w:color="auto" w:fill="auto"/>
            <w:noWrap/>
            <w:vAlign w:val="center"/>
          </w:tcPr>
          <w:p w14:paraId="66B33D8D" w14:textId="390C479F" w:rsidR="68129C33" w:rsidRDefault="00D725BF" w:rsidP="68129C33">
            <w:pPr>
              <w:jc w:val="center"/>
              <w:rPr>
                <w:rFonts w:eastAsia="Times New Roman" w:cs="Calibri"/>
                <w:color w:val="000000" w:themeColor="text1"/>
                <w:sz w:val="18"/>
                <w:szCs w:val="18"/>
              </w:rPr>
            </w:pPr>
            <w:r>
              <w:rPr>
                <w:rFonts w:eastAsia="Times New Roman" w:cs="Calibri"/>
                <w:color w:val="000000" w:themeColor="text1"/>
                <w:sz w:val="18"/>
                <w:szCs w:val="18"/>
              </w:rPr>
              <w:t>26.6%</w:t>
            </w:r>
          </w:p>
        </w:tc>
        <w:tc>
          <w:tcPr>
            <w:tcW w:w="720" w:type="dxa"/>
            <w:shd w:val="clear" w:color="auto" w:fill="auto"/>
            <w:noWrap/>
            <w:vAlign w:val="center"/>
          </w:tcPr>
          <w:p w14:paraId="0D108A93" w14:textId="73712E03" w:rsidR="443D371D" w:rsidRDefault="443D371D" w:rsidP="68129C33">
            <w:pPr>
              <w:jc w:val="center"/>
              <w:rPr>
                <w:rFonts w:eastAsia="Times New Roman" w:cs="Calibri"/>
                <w:color w:val="000000" w:themeColor="text1"/>
                <w:sz w:val="18"/>
                <w:szCs w:val="18"/>
              </w:rPr>
            </w:pPr>
            <w:r w:rsidRPr="68129C33">
              <w:rPr>
                <w:rFonts w:eastAsia="Times New Roman" w:cs="Calibri"/>
                <w:color w:val="000000" w:themeColor="text1"/>
                <w:sz w:val="18"/>
                <w:szCs w:val="18"/>
              </w:rPr>
              <w:t>2.7%</w:t>
            </w:r>
          </w:p>
        </w:tc>
        <w:tc>
          <w:tcPr>
            <w:tcW w:w="720" w:type="dxa"/>
            <w:shd w:val="clear" w:color="auto" w:fill="auto"/>
            <w:noWrap/>
            <w:vAlign w:val="center"/>
          </w:tcPr>
          <w:p w14:paraId="1F466D54" w14:textId="516080E6" w:rsidR="443D371D" w:rsidRDefault="443D371D" w:rsidP="68129C33">
            <w:pPr>
              <w:jc w:val="center"/>
              <w:rPr>
                <w:rFonts w:eastAsia="Times New Roman" w:cs="Calibri"/>
                <w:color w:val="000000" w:themeColor="text1"/>
                <w:sz w:val="18"/>
                <w:szCs w:val="18"/>
              </w:rPr>
            </w:pPr>
            <w:r w:rsidRPr="68129C33">
              <w:rPr>
                <w:rFonts w:eastAsia="Times New Roman" w:cs="Calibri"/>
                <w:color w:val="000000" w:themeColor="text1"/>
                <w:sz w:val="18"/>
                <w:szCs w:val="18"/>
              </w:rPr>
              <w:t>25.1%</w:t>
            </w:r>
          </w:p>
        </w:tc>
        <w:tc>
          <w:tcPr>
            <w:tcW w:w="720" w:type="dxa"/>
            <w:shd w:val="clear" w:color="auto" w:fill="auto"/>
            <w:noWrap/>
            <w:vAlign w:val="center"/>
          </w:tcPr>
          <w:p w14:paraId="738757FE" w14:textId="764E6EB2" w:rsidR="443D371D" w:rsidRDefault="443D371D" w:rsidP="68129C33">
            <w:pPr>
              <w:jc w:val="center"/>
              <w:rPr>
                <w:rFonts w:eastAsia="Times New Roman" w:cs="Calibri"/>
                <w:color w:val="000000" w:themeColor="text1"/>
                <w:sz w:val="18"/>
                <w:szCs w:val="18"/>
              </w:rPr>
            </w:pPr>
            <w:r w:rsidRPr="68129C33">
              <w:rPr>
                <w:rFonts w:eastAsia="Times New Roman" w:cs="Calibri"/>
                <w:color w:val="000000" w:themeColor="text1"/>
                <w:sz w:val="18"/>
                <w:szCs w:val="18"/>
              </w:rPr>
              <w:t>32.1%</w:t>
            </w:r>
          </w:p>
        </w:tc>
        <w:tc>
          <w:tcPr>
            <w:tcW w:w="720" w:type="dxa"/>
            <w:shd w:val="clear" w:color="auto" w:fill="auto"/>
            <w:noWrap/>
            <w:vAlign w:val="center"/>
          </w:tcPr>
          <w:p w14:paraId="0B7CEC3D" w14:textId="46F8E7BC" w:rsidR="443D371D" w:rsidRDefault="443D371D" w:rsidP="68129C33">
            <w:pPr>
              <w:jc w:val="center"/>
              <w:rPr>
                <w:rFonts w:eastAsia="Times New Roman" w:cs="Calibri"/>
                <w:color w:val="000000" w:themeColor="text1"/>
                <w:sz w:val="18"/>
                <w:szCs w:val="18"/>
              </w:rPr>
            </w:pPr>
            <w:r w:rsidRPr="68129C33">
              <w:rPr>
                <w:rFonts w:eastAsia="Times New Roman" w:cs="Calibri"/>
                <w:color w:val="000000" w:themeColor="text1"/>
                <w:sz w:val="18"/>
                <w:szCs w:val="18"/>
              </w:rPr>
              <w:t>22.1%</w:t>
            </w:r>
          </w:p>
        </w:tc>
        <w:tc>
          <w:tcPr>
            <w:tcW w:w="720" w:type="dxa"/>
            <w:shd w:val="clear" w:color="auto" w:fill="auto"/>
            <w:noWrap/>
            <w:vAlign w:val="center"/>
          </w:tcPr>
          <w:p w14:paraId="43BB5768" w14:textId="2332E039" w:rsidR="443D371D" w:rsidRDefault="443D371D" w:rsidP="68129C33">
            <w:pPr>
              <w:jc w:val="center"/>
              <w:rPr>
                <w:rFonts w:eastAsia="Times New Roman" w:cs="Calibri"/>
                <w:color w:val="000000" w:themeColor="text1"/>
                <w:sz w:val="18"/>
                <w:szCs w:val="18"/>
              </w:rPr>
            </w:pPr>
            <w:r w:rsidRPr="68129C33">
              <w:rPr>
                <w:rFonts w:eastAsia="Times New Roman" w:cs="Calibri"/>
                <w:color w:val="000000" w:themeColor="text1"/>
                <w:sz w:val="18"/>
                <w:szCs w:val="18"/>
              </w:rPr>
              <w:t>7.5%</w:t>
            </w:r>
          </w:p>
        </w:tc>
        <w:tc>
          <w:tcPr>
            <w:tcW w:w="810" w:type="dxa"/>
            <w:shd w:val="clear" w:color="auto" w:fill="auto"/>
            <w:noWrap/>
            <w:vAlign w:val="center"/>
          </w:tcPr>
          <w:p w14:paraId="4F17F136" w14:textId="7D6ACC00" w:rsidR="443D371D" w:rsidRDefault="443D371D" w:rsidP="68129C33">
            <w:pPr>
              <w:jc w:val="center"/>
              <w:rPr>
                <w:rFonts w:eastAsia="Times New Roman" w:cs="Calibri"/>
                <w:color w:val="000000" w:themeColor="text1"/>
                <w:sz w:val="18"/>
                <w:szCs w:val="18"/>
              </w:rPr>
            </w:pPr>
            <w:r w:rsidRPr="68129C33">
              <w:rPr>
                <w:rFonts w:eastAsia="Times New Roman" w:cs="Calibri"/>
                <w:color w:val="000000" w:themeColor="text1"/>
                <w:sz w:val="18"/>
                <w:szCs w:val="18"/>
              </w:rPr>
              <w:t>21.9%</w:t>
            </w:r>
          </w:p>
        </w:tc>
        <w:tc>
          <w:tcPr>
            <w:tcW w:w="720" w:type="dxa"/>
            <w:shd w:val="clear" w:color="auto" w:fill="auto"/>
            <w:noWrap/>
            <w:vAlign w:val="center"/>
          </w:tcPr>
          <w:p w14:paraId="6EFB2C3C" w14:textId="05BC9E5F" w:rsidR="443D371D" w:rsidRDefault="443D371D" w:rsidP="68129C33">
            <w:pPr>
              <w:jc w:val="center"/>
              <w:rPr>
                <w:rFonts w:eastAsia="Times New Roman" w:cs="Calibri"/>
                <w:color w:val="000000" w:themeColor="text1"/>
                <w:sz w:val="18"/>
                <w:szCs w:val="18"/>
              </w:rPr>
            </w:pPr>
            <w:r w:rsidRPr="68129C33">
              <w:rPr>
                <w:rFonts w:eastAsia="Times New Roman" w:cs="Calibri"/>
                <w:color w:val="000000" w:themeColor="text1"/>
                <w:sz w:val="18"/>
                <w:szCs w:val="18"/>
              </w:rPr>
              <w:t>11.0%</w:t>
            </w:r>
          </w:p>
        </w:tc>
        <w:tc>
          <w:tcPr>
            <w:tcW w:w="720" w:type="dxa"/>
            <w:shd w:val="clear" w:color="auto" w:fill="auto"/>
            <w:noWrap/>
            <w:vAlign w:val="center"/>
          </w:tcPr>
          <w:p w14:paraId="2DD6DC8F" w14:textId="5BE5EE7C" w:rsidR="443D371D" w:rsidRDefault="443D371D" w:rsidP="68129C33">
            <w:pPr>
              <w:jc w:val="center"/>
              <w:rPr>
                <w:rFonts w:eastAsia="Times New Roman" w:cs="Calibri"/>
                <w:color w:val="000000" w:themeColor="text1"/>
                <w:sz w:val="18"/>
                <w:szCs w:val="18"/>
              </w:rPr>
            </w:pPr>
            <w:r w:rsidRPr="68129C33">
              <w:rPr>
                <w:rFonts w:eastAsia="Times New Roman" w:cs="Calibri"/>
                <w:color w:val="000000" w:themeColor="text1"/>
                <w:sz w:val="18"/>
                <w:szCs w:val="18"/>
              </w:rPr>
              <w:t>28.0%</w:t>
            </w:r>
          </w:p>
        </w:tc>
        <w:tc>
          <w:tcPr>
            <w:tcW w:w="1080" w:type="dxa"/>
            <w:shd w:val="clear" w:color="auto" w:fill="auto"/>
            <w:noWrap/>
            <w:vAlign w:val="center"/>
          </w:tcPr>
          <w:p w14:paraId="548EFB80" w14:textId="305CAF81" w:rsidR="443D371D" w:rsidRDefault="443D371D" w:rsidP="68129C33">
            <w:pPr>
              <w:jc w:val="center"/>
              <w:rPr>
                <w:rFonts w:eastAsia="Times New Roman" w:cs="Calibri"/>
                <w:color w:val="000000" w:themeColor="text1"/>
                <w:sz w:val="18"/>
                <w:szCs w:val="18"/>
              </w:rPr>
            </w:pPr>
            <w:r w:rsidRPr="68129C33">
              <w:rPr>
                <w:rFonts w:eastAsia="Times New Roman" w:cs="Calibri"/>
                <w:color w:val="000000" w:themeColor="text1"/>
                <w:sz w:val="18"/>
                <w:szCs w:val="18"/>
              </w:rPr>
              <w:t>58.2%</w:t>
            </w:r>
          </w:p>
        </w:tc>
        <w:tc>
          <w:tcPr>
            <w:tcW w:w="720" w:type="dxa"/>
            <w:shd w:val="clear" w:color="auto" w:fill="auto"/>
            <w:noWrap/>
            <w:vAlign w:val="center"/>
          </w:tcPr>
          <w:p w14:paraId="03D7DB29" w14:textId="34661583" w:rsidR="443D371D" w:rsidRDefault="443D371D" w:rsidP="68129C33">
            <w:pPr>
              <w:jc w:val="center"/>
              <w:rPr>
                <w:rFonts w:eastAsia="Times New Roman" w:cs="Calibri"/>
                <w:color w:val="000000" w:themeColor="text1"/>
                <w:sz w:val="18"/>
                <w:szCs w:val="18"/>
              </w:rPr>
            </w:pPr>
            <w:r w:rsidRPr="68129C33">
              <w:rPr>
                <w:rFonts w:eastAsia="Times New Roman" w:cs="Calibri"/>
                <w:color w:val="000000" w:themeColor="text1"/>
                <w:sz w:val="18"/>
                <w:szCs w:val="18"/>
              </w:rPr>
              <w:t>34.8%</w:t>
            </w:r>
          </w:p>
        </w:tc>
        <w:tc>
          <w:tcPr>
            <w:tcW w:w="810" w:type="dxa"/>
            <w:shd w:val="clear" w:color="auto" w:fill="auto"/>
            <w:noWrap/>
            <w:vAlign w:val="center"/>
          </w:tcPr>
          <w:p w14:paraId="0C40D0F9" w14:textId="247C9BB2" w:rsidR="443D371D" w:rsidRDefault="443D371D" w:rsidP="68129C33">
            <w:pPr>
              <w:jc w:val="center"/>
              <w:rPr>
                <w:rFonts w:eastAsia="Times New Roman" w:cs="Calibri"/>
                <w:color w:val="000000" w:themeColor="text1"/>
                <w:sz w:val="18"/>
                <w:szCs w:val="18"/>
              </w:rPr>
            </w:pPr>
            <w:r w:rsidRPr="68129C33">
              <w:rPr>
                <w:rFonts w:eastAsia="Times New Roman" w:cs="Calibri"/>
                <w:color w:val="000000" w:themeColor="text1"/>
                <w:sz w:val="18"/>
                <w:szCs w:val="18"/>
              </w:rPr>
              <w:t>25.3%</w:t>
            </w:r>
          </w:p>
        </w:tc>
        <w:tc>
          <w:tcPr>
            <w:tcW w:w="810" w:type="dxa"/>
            <w:shd w:val="clear" w:color="auto" w:fill="auto"/>
            <w:noWrap/>
            <w:vAlign w:val="center"/>
          </w:tcPr>
          <w:p w14:paraId="045A0306" w14:textId="7D633BF3" w:rsidR="443D371D" w:rsidRDefault="443D371D" w:rsidP="68129C33">
            <w:pPr>
              <w:jc w:val="center"/>
              <w:rPr>
                <w:rFonts w:eastAsia="Times New Roman" w:cs="Calibri"/>
                <w:color w:val="000000" w:themeColor="text1"/>
                <w:sz w:val="18"/>
                <w:szCs w:val="18"/>
              </w:rPr>
            </w:pPr>
            <w:r w:rsidRPr="68129C33">
              <w:rPr>
                <w:rFonts w:eastAsia="Times New Roman" w:cs="Calibri"/>
                <w:color w:val="000000" w:themeColor="text1"/>
                <w:sz w:val="18"/>
                <w:szCs w:val="18"/>
              </w:rPr>
              <w:t>38.0%</w:t>
            </w:r>
          </w:p>
        </w:tc>
        <w:tc>
          <w:tcPr>
            <w:tcW w:w="810" w:type="dxa"/>
            <w:shd w:val="clear" w:color="auto" w:fill="auto"/>
            <w:noWrap/>
            <w:vAlign w:val="center"/>
          </w:tcPr>
          <w:p w14:paraId="012F83EC" w14:textId="0470510C" w:rsidR="443D371D" w:rsidRDefault="443D371D" w:rsidP="68129C33">
            <w:pPr>
              <w:jc w:val="center"/>
              <w:rPr>
                <w:rFonts w:eastAsia="Times New Roman" w:cs="Calibri"/>
                <w:color w:val="000000" w:themeColor="text1"/>
                <w:sz w:val="18"/>
                <w:szCs w:val="18"/>
              </w:rPr>
            </w:pPr>
            <w:r w:rsidRPr="68129C33">
              <w:rPr>
                <w:rFonts w:eastAsia="Times New Roman" w:cs="Calibri"/>
                <w:color w:val="000000" w:themeColor="text1"/>
                <w:sz w:val="18"/>
                <w:szCs w:val="18"/>
              </w:rPr>
              <w:t>38.1%</w:t>
            </w:r>
          </w:p>
        </w:tc>
        <w:tc>
          <w:tcPr>
            <w:tcW w:w="720" w:type="dxa"/>
            <w:shd w:val="clear" w:color="auto" w:fill="auto"/>
            <w:noWrap/>
            <w:vAlign w:val="center"/>
          </w:tcPr>
          <w:p w14:paraId="2F437730" w14:textId="007421AB" w:rsidR="443D371D" w:rsidRDefault="443D371D" w:rsidP="68129C33">
            <w:pPr>
              <w:jc w:val="center"/>
              <w:rPr>
                <w:rFonts w:eastAsia="Times New Roman" w:cs="Calibri"/>
                <w:color w:val="000000" w:themeColor="text1"/>
                <w:sz w:val="18"/>
                <w:szCs w:val="18"/>
              </w:rPr>
            </w:pPr>
            <w:r w:rsidRPr="68129C33">
              <w:rPr>
                <w:rFonts w:eastAsia="Times New Roman" w:cs="Calibri"/>
                <w:color w:val="000000" w:themeColor="text1"/>
                <w:sz w:val="18"/>
                <w:szCs w:val="18"/>
              </w:rPr>
              <w:t>26.3%</w:t>
            </w:r>
          </w:p>
        </w:tc>
        <w:tc>
          <w:tcPr>
            <w:tcW w:w="720" w:type="dxa"/>
            <w:shd w:val="clear" w:color="auto" w:fill="auto"/>
            <w:noWrap/>
            <w:vAlign w:val="center"/>
          </w:tcPr>
          <w:p w14:paraId="3D93CCBA" w14:textId="20817809" w:rsidR="443D371D" w:rsidRDefault="443D371D" w:rsidP="68129C33">
            <w:pPr>
              <w:jc w:val="center"/>
              <w:rPr>
                <w:rFonts w:eastAsia="Times New Roman" w:cs="Calibri"/>
                <w:color w:val="000000" w:themeColor="text1"/>
                <w:sz w:val="18"/>
                <w:szCs w:val="18"/>
              </w:rPr>
            </w:pPr>
            <w:r w:rsidRPr="68129C33">
              <w:rPr>
                <w:rFonts w:eastAsia="Times New Roman" w:cs="Calibri"/>
                <w:color w:val="000000" w:themeColor="text1"/>
                <w:sz w:val="18"/>
                <w:szCs w:val="18"/>
              </w:rPr>
              <w:t>22.1%</w:t>
            </w:r>
          </w:p>
        </w:tc>
        <w:tc>
          <w:tcPr>
            <w:tcW w:w="990" w:type="dxa"/>
            <w:shd w:val="clear" w:color="auto" w:fill="auto"/>
            <w:noWrap/>
            <w:vAlign w:val="center"/>
          </w:tcPr>
          <w:p w14:paraId="7560C16F" w14:textId="5821CF01" w:rsidR="443D371D" w:rsidRDefault="443D371D" w:rsidP="68129C33">
            <w:pPr>
              <w:jc w:val="center"/>
              <w:rPr>
                <w:rFonts w:eastAsia="Times New Roman" w:cs="Calibri"/>
                <w:color w:val="000000" w:themeColor="text1"/>
                <w:sz w:val="18"/>
                <w:szCs w:val="18"/>
              </w:rPr>
            </w:pPr>
            <w:r w:rsidRPr="68129C33">
              <w:rPr>
                <w:rFonts w:eastAsia="Times New Roman" w:cs="Calibri"/>
                <w:color w:val="000000" w:themeColor="text1"/>
                <w:sz w:val="18"/>
                <w:szCs w:val="18"/>
              </w:rPr>
              <w:t>8.8%</w:t>
            </w:r>
          </w:p>
        </w:tc>
        <w:tc>
          <w:tcPr>
            <w:tcW w:w="720" w:type="dxa"/>
            <w:shd w:val="clear" w:color="auto" w:fill="auto"/>
            <w:noWrap/>
            <w:vAlign w:val="center"/>
          </w:tcPr>
          <w:p w14:paraId="2F1B7B85" w14:textId="4067DD21" w:rsidR="443D371D" w:rsidRDefault="443D371D" w:rsidP="68129C33">
            <w:pPr>
              <w:jc w:val="center"/>
              <w:rPr>
                <w:rFonts w:eastAsia="Times New Roman" w:cs="Calibri"/>
                <w:color w:val="000000" w:themeColor="text1"/>
                <w:sz w:val="18"/>
                <w:szCs w:val="18"/>
              </w:rPr>
            </w:pPr>
            <w:r w:rsidRPr="68129C33">
              <w:rPr>
                <w:rFonts w:eastAsia="Times New Roman" w:cs="Calibri"/>
                <w:color w:val="000000" w:themeColor="text1"/>
                <w:sz w:val="18"/>
                <w:szCs w:val="18"/>
              </w:rPr>
              <w:t>0.0%</w:t>
            </w:r>
          </w:p>
        </w:tc>
        <w:tc>
          <w:tcPr>
            <w:tcW w:w="720" w:type="dxa"/>
            <w:shd w:val="clear" w:color="auto" w:fill="auto"/>
            <w:noWrap/>
            <w:vAlign w:val="center"/>
          </w:tcPr>
          <w:p w14:paraId="14D573BA" w14:textId="03C721D4" w:rsidR="68129C33" w:rsidRDefault="00C51E33" w:rsidP="68129C33">
            <w:pPr>
              <w:jc w:val="center"/>
              <w:rPr>
                <w:rFonts w:eastAsia="Times New Roman" w:cs="Calibri"/>
                <w:sz w:val="18"/>
                <w:szCs w:val="18"/>
              </w:rPr>
            </w:pPr>
            <w:r>
              <w:rPr>
                <w:rFonts w:eastAsia="Times New Roman" w:cs="Calibri"/>
                <w:sz w:val="18"/>
                <w:szCs w:val="18"/>
              </w:rPr>
              <w:t>--</w:t>
            </w:r>
          </w:p>
        </w:tc>
        <w:tc>
          <w:tcPr>
            <w:tcW w:w="720" w:type="dxa"/>
            <w:shd w:val="clear" w:color="auto" w:fill="auto"/>
            <w:noWrap/>
            <w:vAlign w:val="center"/>
          </w:tcPr>
          <w:p w14:paraId="2E29D251" w14:textId="1341862F" w:rsidR="3E5DA59D" w:rsidRDefault="3E5DA59D" w:rsidP="3E5DA59D">
            <w:pPr>
              <w:spacing w:after="0"/>
              <w:jc w:val="center"/>
              <w:rPr>
                <w:rFonts w:eastAsia="Times New Roman" w:cs="Calibri"/>
                <w:color w:val="000000" w:themeColor="text1"/>
                <w:sz w:val="18"/>
                <w:szCs w:val="18"/>
              </w:rPr>
            </w:pPr>
            <w:r w:rsidRPr="3E5DA59D">
              <w:rPr>
                <w:rFonts w:cs="Calibri"/>
                <w:color w:val="000000" w:themeColor="text1"/>
                <w:sz w:val="18"/>
                <w:szCs w:val="18"/>
              </w:rPr>
              <w:t>--</w:t>
            </w:r>
          </w:p>
        </w:tc>
        <w:tc>
          <w:tcPr>
            <w:tcW w:w="720" w:type="dxa"/>
            <w:shd w:val="clear" w:color="auto" w:fill="auto"/>
            <w:noWrap/>
            <w:vAlign w:val="center"/>
          </w:tcPr>
          <w:p w14:paraId="3C5CFE68" w14:textId="5BD8E13E" w:rsidR="3E5DA59D" w:rsidRDefault="3E5DA59D" w:rsidP="3E5DA59D">
            <w:pPr>
              <w:spacing w:after="0"/>
              <w:jc w:val="center"/>
              <w:rPr>
                <w:rFonts w:eastAsia="Times New Roman" w:cs="Calibri"/>
                <w:color w:val="000000" w:themeColor="text1"/>
                <w:sz w:val="18"/>
                <w:szCs w:val="18"/>
              </w:rPr>
            </w:pPr>
            <w:r w:rsidRPr="3E5DA59D">
              <w:rPr>
                <w:rFonts w:cs="Calibri"/>
                <w:color w:val="000000" w:themeColor="text1"/>
                <w:sz w:val="18"/>
                <w:szCs w:val="18"/>
              </w:rPr>
              <w:t>--</w:t>
            </w:r>
          </w:p>
        </w:tc>
      </w:tr>
      <w:tr w:rsidR="00DC70EE" w:rsidRPr="00884DD7" w14:paraId="75A5130C" w14:textId="77777777" w:rsidTr="4EB40283">
        <w:trPr>
          <w:trHeight w:val="570"/>
        </w:trPr>
        <w:tc>
          <w:tcPr>
            <w:tcW w:w="2040" w:type="dxa"/>
            <w:shd w:val="clear" w:color="auto" w:fill="F2F2F2" w:themeFill="background1" w:themeFillShade="F2"/>
            <w:noWrap/>
            <w:hideMark/>
          </w:tcPr>
          <w:p w14:paraId="0D93A0C9" w14:textId="77777777" w:rsidR="00C537E5" w:rsidRPr="008D1B70" w:rsidRDefault="00C537E5" w:rsidP="00C537E5">
            <w:pPr>
              <w:spacing w:after="0"/>
              <w:jc w:val="center"/>
              <w:rPr>
                <w:rFonts w:eastAsia="Times New Roman" w:cs="Calibri"/>
                <w:sz w:val="16"/>
                <w:szCs w:val="16"/>
              </w:rPr>
            </w:pPr>
            <w:r w:rsidRPr="008D1B70">
              <w:rPr>
                <w:rFonts w:eastAsia="Times New Roman" w:cs="Calibri"/>
                <w:sz w:val="16"/>
                <w:szCs w:val="16"/>
              </w:rPr>
              <w:t>IET-I</w:t>
            </w:r>
          </w:p>
        </w:tc>
        <w:tc>
          <w:tcPr>
            <w:tcW w:w="1650" w:type="dxa"/>
            <w:shd w:val="clear" w:color="auto" w:fill="F2F2F2" w:themeFill="background1" w:themeFillShade="F2"/>
            <w:hideMark/>
          </w:tcPr>
          <w:p w14:paraId="738BFFD4" w14:textId="5BAB1E47" w:rsidR="00C537E5" w:rsidRPr="00884DD7" w:rsidRDefault="00C537E5" w:rsidP="00C537E5">
            <w:pPr>
              <w:spacing w:after="0"/>
              <w:rPr>
                <w:rFonts w:eastAsia="Times New Roman" w:cs="Calibri"/>
                <w:sz w:val="16"/>
                <w:szCs w:val="16"/>
              </w:rPr>
            </w:pPr>
            <w:r w:rsidRPr="00884DD7">
              <w:rPr>
                <w:rFonts w:eastAsia="Times New Roman" w:cs="Calibri"/>
                <w:sz w:val="16"/>
                <w:szCs w:val="16"/>
              </w:rPr>
              <w:t>Initiation and Engagement of Alcohol, Opioid, or Other Drug Abuse or Dependence Treatment (Initiation)</w:t>
            </w:r>
          </w:p>
        </w:tc>
        <w:tc>
          <w:tcPr>
            <w:tcW w:w="810" w:type="dxa"/>
            <w:shd w:val="clear" w:color="auto" w:fill="F2F2F2" w:themeFill="background1" w:themeFillShade="F2"/>
            <w:noWrap/>
            <w:vAlign w:val="center"/>
          </w:tcPr>
          <w:p w14:paraId="5CE26CCA" w14:textId="32EE45E2" w:rsidR="00C537E5" w:rsidRPr="009520C8" w:rsidRDefault="00F36D35" w:rsidP="00C537E5">
            <w:pPr>
              <w:spacing w:after="0"/>
              <w:jc w:val="center"/>
              <w:rPr>
                <w:rFonts w:eastAsia="Times New Roman" w:cs="Calibri"/>
                <w:color w:val="000000"/>
                <w:sz w:val="18"/>
                <w:szCs w:val="18"/>
              </w:rPr>
            </w:pPr>
            <w:r>
              <w:rPr>
                <w:rFonts w:eastAsia="Times New Roman" w:cs="Calibri"/>
                <w:color w:val="000000"/>
                <w:sz w:val="18"/>
                <w:szCs w:val="18"/>
              </w:rPr>
              <w:t>47.2%</w:t>
            </w:r>
          </w:p>
        </w:tc>
        <w:tc>
          <w:tcPr>
            <w:tcW w:w="720" w:type="dxa"/>
            <w:shd w:val="clear" w:color="auto" w:fill="F2F2F2" w:themeFill="background1" w:themeFillShade="F2"/>
            <w:noWrap/>
            <w:vAlign w:val="center"/>
          </w:tcPr>
          <w:p w14:paraId="75745620" w14:textId="6A61BAF6" w:rsidR="00C537E5" w:rsidRPr="009520C8" w:rsidRDefault="27E42DD7"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61.0%</w:t>
            </w:r>
          </w:p>
        </w:tc>
        <w:tc>
          <w:tcPr>
            <w:tcW w:w="720" w:type="dxa"/>
            <w:shd w:val="clear" w:color="auto" w:fill="F2F2F2" w:themeFill="background1" w:themeFillShade="F2"/>
            <w:noWrap/>
            <w:vAlign w:val="center"/>
          </w:tcPr>
          <w:p w14:paraId="0B18F42D" w14:textId="24AD3B07" w:rsidR="00C537E5" w:rsidRPr="009520C8" w:rsidRDefault="27E42DD7"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76.1%</w:t>
            </w:r>
          </w:p>
        </w:tc>
        <w:tc>
          <w:tcPr>
            <w:tcW w:w="720" w:type="dxa"/>
            <w:shd w:val="clear" w:color="auto" w:fill="F2F2F2" w:themeFill="background1" w:themeFillShade="F2"/>
            <w:noWrap/>
            <w:vAlign w:val="center"/>
          </w:tcPr>
          <w:p w14:paraId="575C2136" w14:textId="050C40D9" w:rsidR="00C537E5" w:rsidRPr="009520C8" w:rsidRDefault="27E42DD7"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37.0%</w:t>
            </w:r>
          </w:p>
        </w:tc>
        <w:tc>
          <w:tcPr>
            <w:tcW w:w="720" w:type="dxa"/>
            <w:shd w:val="clear" w:color="auto" w:fill="F2F2F2" w:themeFill="background1" w:themeFillShade="F2"/>
            <w:noWrap/>
            <w:vAlign w:val="center"/>
          </w:tcPr>
          <w:p w14:paraId="0472FDAC" w14:textId="012B7D59" w:rsidR="00C537E5" w:rsidRPr="009520C8" w:rsidRDefault="27E42DD7"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49.8%</w:t>
            </w:r>
          </w:p>
        </w:tc>
        <w:tc>
          <w:tcPr>
            <w:tcW w:w="720" w:type="dxa"/>
            <w:shd w:val="clear" w:color="auto" w:fill="F2F2F2" w:themeFill="background1" w:themeFillShade="F2"/>
            <w:noWrap/>
            <w:vAlign w:val="center"/>
          </w:tcPr>
          <w:p w14:paraId="4A7A55EC" w14:textId="449C3CDE" w:rsidR="00C537E5" w:rsidRPr="009520C8" w:rsidRDefault="27E42DD7"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35.9%</w:t>
            </w:r>
          </w:p>
        </w:tc>
        <w:tc>
          <w:tcPr>
            <w:tcW w:w="810" w:type="dxa"/>
            <w:shd w:val="clear" w:color="auto" w:fill="F2F2F2" w:themeFill="background1" w:themeFillShade="F2"/>
            <w:noWrap/>
            <w:vAlign w:val="center"/>
          </w:tcPr>
          <w:p w14:paraId="523F1F8A" w14:textId="268EDBEE" w:rsidR="00C537E5" w:rsidRPr="009520C8" w:rsidRDefault="27E42DD7"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37.2%</w:t>
            </w:r>
          </w:p>
        </w:tc>
        <w:tc>
          <w:tcPr>
            <w:tcW w:w="720" w:type="dxa"/>
            <w:shd w:val="clear" w:color="auto" w:fill="F2F2F2" w:themeFill="background1" w:themeFillShade="F2"/>
            <w:noWrap/>
            <w:vAlign w:val="center"/>
          </w:tcPr>
          <w:p w14:paraId="5AA9E50C" w14:textId="2684563D" w:rsidR="00C537E5" w:rsidRPr="009520C8" w:rsidRDefault="27E42DD7"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50.9%</w:t>
            </w:r>
          </w:p>
        </w:tc>
        <w:tc>
          <w:tcPr>
            <w:tcW w:w="720" w:type="dxa"/>
            <w:shd w:val="clear" w:color="auto" w:fill="F2F2F2" w:themeFill="background1" w:themeFillShade="F2"/>
            <w:noWrap/>
            <w:vAlign w:val="center"/>
          </w:tcPr>
          <w:p w14:paraId="42C4D720" w14:textId="4E4EFBC0" w:rsidR="00C537E5" w:rsidRPr="009520C8" w:rsidRDefault="27E42DD7"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63.2%</w:t>
            </w:r>
          </w:p>
        </w:tc>
        <w:tc>
          <w:tcPr>
            <w:tcW w:w="1080" w:type="dxa"/>
            <w:shd w:val="clear" w:color="auto" w:fill="F2F2F2" w:themeFill="background1" w:themeFillShade="F2"/>
            <w:noWrap/>
            <w:vAlign w:val="center"/>
          </w:tcPr>
          <w:p w14:paraId="147DB155" w14:textId="626CB969" w:rsidR="00C537E5" w:rsidRPr="009520C8" w:rsidRDefault="27E42DD7"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35.5%</w:t>
            </w:r>
          </w:p>
        </w:tc>
        <w:tc>
          <w:tcPr>
            <w:tcW w:w="720" w:type="dxa"/>
            <w:shd w:val="clear" w:color="auto" w:fill="F2F2F2" w:themeFill="background1" w:themeFillShade="F2"/>
            <w:noWrap/>
            <w:vAlign w:val="center"/>
          </w:tcPr>
          <w:p w14:paraId="3508C107" w14:textId="381F05A8" w:rsidR="00C537E5" w:rsidRPr="009520C8" w:rsidRDefault="27E42DD7"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51.0%</w:t>
            </w:r>
          </w:p>
        </w:tc>
        <w:tc>
          <w:tcPr>
            <w:tcW w:w="810" w:type="dxa"/>
            <w:shd w:val="clear" w:color="auto" w:fill="F2F2F2" w:themeFill="background1" w:themeFillShade="F2"/>
            <w:noWrap/>
            <w:vAlign w:val="center"/>
          </w:tcPr>
          <w:p w14:paraId="2BE1F765" w14:textId="1A7105DE" w:rsidR="00C537E5" w:rsidRPr="009520C8" w:rsidRDefault="27E42DD7"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43.1%</w:t>
            </w:r>
          </w:p>
        </w:tc>
        <w:tc>
          <w:tcPr>
            <w:tcW w:w="810" w:type="dxa"/>
            <w:shd w:val="clear" w:color="auto" w:fill="F2F2F2" w:themeFill="background1" w:themeFillShade="F2"/>
            <w:noWrap/>
            <w:vAlign w:val="center"/>
          </w:tcPr>
          <w:p w14:paraId="16DCACF8" w14:textId="79E1C4AD" w:rsidR="00C537E5" w:rsidRPr="009520C8" w:rsidRDefault="27E42DD7"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63.1%</w:t>
            </w:r>
          </w:p>
        </w:tc>
        <w:tc>
          <w:tcPr>
            <w:tcW w:w="810" w:type="dxa"/>
            <w:shd w:val="clear" w:color="auto" w:fill="F2F2F2" w:themeFill="background1" w:themeFillShade="F2"/>
            <w:noWrap/>
            <w:vAlign w:val="center"/>
          </w:tcPr>
          <w:p w14:paraId="2AE46051" w14:textId="3457E1EA" w:rsidR="00C537E5" w:rsidRPr="009520C8" w:rsidRDefault="27E42DD7"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42.5%</w:t>
            </w:r>
          </w:p>
        </w:tc>
        <w:tc>
          <w:tcPr>
            <w:tcW w:w="720" w:type="dxa"/>
            <w:shd w:val="clear" w:color="auto" w:fill="F2F2F2" w:themeFill="background1" w:themeFillShade="F2"/>
            <w:noWrap/>
            <w:vAlign w:val="center"/>
          </w:tcPr>
          <w:p w14:paraId="164FBC13" w14:textId="780788D0" w:rsidR="00C537E5" w:rsidRPr="009520C8" w:rsidRDefault="27E42DD7"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45.5%</w:t>
            </w:r>
          </w:p>
        </w:tc>
        <w:tc>
          <w:tcPr>
            <w:tcW w:w="720" w:type="dxa"/>
            <w:shd w:val="clear" w:color="auto" w:fill="F2F2F2" w:themeFill="background1" w:themeFillShade="F2"/>
            <w:noWrap/>
            <w:vAlign w:val="center"/>
          </w:tcPr>
          <w:p w14:paraId="0BEEE4AB" w14:textId="144D6896" w:rsidR="00C537E5" w:rsidRPr="009520C8" w:rsidRDefault="27E42DD7"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42.4%</w:t>
            </w:r>
          </w:p>
        </w:tc>
        <w:tc>
          <w:tcPr>
            <w:tcW w:w="990" w:type="dxa"/>
            <w:shd w:val="clear" w:color="auto" w:fill="F2F2F2" w:themeFill="background1" w:themeFillShade="F2"/>
            <w:noWrap/>
            <w:vAlign w:val="center"/>
          </w:tcPr>
          <w:p w14:paraId="66C73DB3" w14:textId="2FA8526F" w:rsidR="00C537E5" w:rsidRPr="009520C8" w:rsidRDefault="27E42DD7"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41.5%</w:t>
            </w:r>
          </w:p>
        </w:tc>
        <w:tc>
          <w:tcPr>
            <w:tcW w:w="720" w:type="dxa"/>
            <w:shd w:val="clear" w:color="auto" w:fill="F2F2F2" w:themeFill="background1" w:themeFillShade="F2"/>
            <w:noWrap/>
            <w:vAlign w:val="center"/>
          </w:tcPr>
          <w:p w14:paraId="0496E41B" w14:textId="1A1B539E" w:rsidR="00C537E5" w:rsidRPr="009520C8" w:rsidRDefault="27E42DD7"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53.7%</w:t>
            </w:r>
          </w:p>
        </w:tc>
        <w:tc>
          <w:tcPr>
            <w:tcW w:w="720" w:type="dxa"/>
            <w:shd w:val="clear" w:color="auto" w:fill="F2F2F2" w:themeFill="background1" w:themeFillShade="F2"/>
            <w:noWrap/>
            <w:vAlign w:val="center"/>
          </w:tcPr>
          <w:p w14:paraId="2BB99EC0" w14:textId="72CDE028" w:rsidR="00C537E5" w:rsidRPr="009520C8" w:rsidRDefault="00DB1C77" w:rsidP="00C537E5">
            <w:pPr>
              <w:spacing w:after="0"/>
              <w:jc w:val="center"/>
              <w:rPr>
                <w:rFonts w:eastAsia="Times New Roman" w:cs="Calibri"/>
                <w:color w:val="000000"/>
                <w:sz w:val="18"/>
                <w:szCs w:val="18"/>
              </w:rPr>
            </w:pPr>
            <w:r>
              <w:rPr>
                <w:rFonts w:eastAsia="Times New Roman" w:cs="Calibri"/>
                <w:color w:val="000000"/>
                <w:sz w:val="18"/>
                <w:szCs w:val="18"/>
              </w:rPr>
              <w:t>52.1%</w:t>
            </w:r>
          </w:p>
        </w:tc>
        <w:tc>
          <w:tcPr>
            <w:tcW w:w="720" w:type="dxa"/>
            <w:shd w:val="clear" w:color="auto" w:fill="F2F2F2" w:themeFill="background1" w:themeFillShade="F2"/>
            <w:noWrap/>
            <w:vAlign w:val="center"/>
          </w:tcPr>
          <w:p w14:paraId="0B0BF568" w14:textId="6CCCA182" w:rsidR="00C537E5" w:rsidRPr="009520C8" w:rsidRDefault="76B41011" w:rsidP="00C537E5">
            <w:pPr>
              <w:spacing w:after="0"/>
              <w:jc w:val="center"/>
              <w:rPr>
                <w:rFonts w:eastAsia="Times New Roman" w:cs="Calibri"/>
                <w:color w:val="000000"/>
                <w:sz w:val="18"/>
                <w:szCs w:val="18"/>
              </w:rPr>
            </w:pPr>
            <w:r w:rsidRPr="3E5DA59D">
              <w:rPr>
                <w:rFonts w:eastAsia="Times New Roman" w:cs="Calibri"/>
                <w:color w:val="000000" w:themeColor="text1"/>
                <w:sz w:val="18"/>
                <w:szCs w:val="18"/>
              </w:rPr>
              <w:t>52.4%</w:t>
            </w:r>
          </w:p>
        </w:tc>
        <w:tc>
          <w:tcPr>
            <w:tcW w:w="720" w:type="dxa"/>
            <w:shd w:val="clear" w:color="auto" w:fill="F2F2F2" w:themeFill="background1" w:themeFillShade="F2"/>
            <w:noWrap/>
            <w:vAlign w:val="center"/>
          </w:tcPr>
          <w:p w14:paraId="64D25F76" w14:textId="50670D62" w:rsidR="00C537E5" w:rsidRPr="00226A99" w:rsidRDefault="76B41011" w:rsidP="00C537E5">
            <w:pPr>
              <w:spacing w:after="0"/>
              <w:jc w:val="center"/>
              <w:rPr>
                <w:rFonts w:eastAsia="Times New Roman" w:cs="Calibri"/>
                <w:color w:val="000000"/>
                <w:sz w:val="16"/>
                <w:szCs w:val="16"/>
              </w:rPr>
            </w:pPr>
            <w:r w:rsidRPr="3E5DA59D">
              <w:rPr>
                <w:rFonts w:eastAsia="Times New Roman" w:cs="Calibri"/>
                <w:color w:val="000000" w:themeColor="text1"/>
                <w:sz w:val="16"/>
                <w:szCs w:val="16"/>
              </w:rPr>
              <w:t>51.9%</w:t>
            </w:r>
          </w:p>
        </w:tc>
      </w:tr>
      <w:tr w:rsidR="00255A16" w:rsidRPr="00884DD7" w14:paraId="37566EB5" w14:textId="77777777" w:rsidTr="4EB40283">
        <w:trPr>
          <w:trHeight w:val="525"/>
        </w:trPr>
        <w:tc>
          <w:tcPr>
            <w:tcW w:w="2040" w:type="dxa"/>
            <w:shd w:val="clear" w:color="auto" w:fill="auto"/>
            <w:noWrap/>
            <w:hideMark/>
          </w:tcPr>
          <w:p w14:paraId="58D8A3C0" w14:textId="77777777" w:rsidR="00C537E5" w:rsidRPr="008D1B70" w:rsidRDefault="00C537E5" w:rsidP="00C537E5">
            <w:pPr>
              <w:spacing w:after="0"/>
              <w:jc w:val="center"/>
              <w:rPr>
                <w:rFonts w:eastAsia="Times New Roman" w:cs="Calibri"/>
                <w:sz w:val="16"/>
                <w:szCs w:val="16"/>
              </w:rPr>
            </w:pPr>
            <w:r w:rsidRPr="008D1B70">
              <w:rPr>
                <w:rFonts w:eastAsia="Times New Roman" w:cs="Calibri"/>
                <w:sz w:val="16"/>
                <w:szCs w:val="16"/>
              </w:rPr>
              <w:t>IET-E</w:t>
            </w:r>
          </w:p>
        </w:tc>
        <w:tc>
          <w:tcPr>
            <w:tcW w:w="1650" w:type="dxa"/>
            <w:shd w:val="clear" w:color="auto" w:fill="auto"/>
            <w:hideMark/>
          </w:tcPr>
          <w:p w14:paraId="0A0EE847" w14:textId="4EB5758A" w:rsidR="00C537E5" w:rsidRPr="00884DD7" w:rsidRDefault="00C537E5" w:rsidP="00C537E5">
            <w:pPr>
              <w:spacing w:after="0"/>
              <w:rPr>
                <w:rFonts w:eastAsia="Times New Roman" w:cs="Calibri"/>
                <w:sz w:val="16"/>
                <w:szCs w:val="16"/>
              </w:rPr>
            </w:pPr>
            <w:r w:rsidRPr="00884DD7">
              <w:rPr>
                <w:rFonts w:eastAsia="Times New Roman" w:cs="Calibri"/>
                <w:sz w:val="16"/>
                <w:szCs w:val="16"/>
              </w:rPr>
              <w:t>Initiation and Engagement of Alcohol, Opioid, or Other Drug Abuse or Dependence Treatment (Engagement)</w:t>
            </w:r>
          </w:p>
        </w:tc>
        <w:tc>
          <w:tcPr>
            <w:tcW w:w="810" w:type="dxa"/>
            <w:shd w:val="clear" w:color="auto" w:fill="auto"/>
            <w:noWrap/>
            <w:vAlign w:val="center"/>
          </w:tcPr>
          <w:p w14:paraId="78F19201" w14:textId="4284E726" w:rsidR="00C537E5" w:rsidRPr="009520C8" w:rsidRDefault="00576BCD" w:rsidP="00C537E5">
            <w:pPr>
              <w:spacing w:after="0"/>
              <w:jc w:val="center"/>
              <w:rPr>
                <w:rFonts w:eastAsia="Times New Roman" w:cs="Calibri"/>
                <w:color w:val="000000"/>
                <w:sz w:val="18"/>
                <w:szCs w:val="18"/>
              </w:rPr>
            </w:pPr>
            <w:r>
              <w:rPr>
                <w:rFonts w:eastAsia="Times New Roman" w:cs="Calibri"/>
                <w:color w:val="000000"/>
                <w:sz w:val="18"/>
                <w:szCs w:val="18"/>
              </w:rPr>
              <w:t>15.8%</w:t>
            </w:r>
          </w:p>
        </w:tc>
        <w:tc>
          <w:tcPr>
            <w:tcW w:w="720" w:type="dxa"/>
            <w:shd w:val="clear" w:color="auto" w:fill="auto"/>
            <w:noWrap/>
            <w:vAlign w:val="center"/>
          </w:tcPr>
          <w:p w14:paraId="667B22A0" w14:textId="0BDA6DAB" w:rsidR="00C537E5" w:rsidRPr="009520C8" w:rsidRDefault="11A2AA9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19.6%</w:t>
            </w:r>
          </w:p>
        </w:tc>
        <w:tc>
          <w:tcPr>
            <w:tcW w:w="720" w:type="dxa"/>
            <w:shd w:val="clear" w:color="auto" w:fill="auto"/>
            <w:noWrap/>
            <w:vAlign w:val="center"/>
          </w:tcPr>
          <w:p w14:paraId="1CEC547B" w14:textId="73A0A422" w:rsidR="00C537E5" w:rsidRPr="009520C8" w:rsidRDefault="11A2AA9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17.1%</w:t>
            </w:r>
          </w:p>
        </w:tc>
        <w:tc>
          <w:tcPr>
            <w:tcW w:w="720" w:type="dxa"/>
            <w:shd w:val="clear" w:color="auto" w:fill="auto"/>
            <w:noWrap/>
            <w:vAlign w:val="center"/>
          </w:tcPr>
          <w:p w14:paraId="3171ABEE" w14:textId="420772E3" w:rsidR="00C537E5" w:rsidRPr="009520C8" w:rsidRDefault="11A2AA9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12.5%</w:t>
            </w:r>
          </w:p>
        </w:tc>
        <w:tc>
          <w:tcPr>
            <w:tcW w:w="720" w:type="dxa"/>
            <w:shd w:val="clear" w:color="auto" w:fill="auto"/>
            <w:noWrap/>
            <w:vAlign w:val="center"/>
          </w:tcPr>
          <w:p w14:paraId="70DD9A9B" w14:textId="72E2F80C" w:rsidR="00C537E5" w:rsidRPr="009520C8" w:rsidRDefault="11A2AA9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15.4%</w:t>
            </w:r>
          </w:p>
        </w:tc>
        <w:tc>
          <w:tcPr>
            <w:tcW w:w="720" w:type="dxa"/>
            <w:shd w:val="clear" w:color="auto" w:fill="auto"/>
            <w:noWrap/>
            <w:vAlign w:val="center"/>
          </w:tcPr>
          <w:p w14:paraId="008121A7" w14:textId="7B051742" w:rsidR="00C537E5" w:rsidRPr="009520C8" w:rsidRDefault="11A2AA9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11.3%</w:t>
            </w:r>
          </w:p>
        </w:tc>
        <w:tc>
          <w:tcPr>
            <w:tcW w:w="810" w:type="dxa"/>
            <w:shd w:val="clear" w:color="auto" w:fill="auto"/>
            <w:noWrap/>
            <w:vAlign w:val="center"/>
          </w:tcPr>
          <w:p w14:paraId="74F4A229" w14:textId="0A500B75" w:rsidR="00C537E5" w:rsidRPr="009520C8" w:rsidRDefault="11A2AA9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13.6%</w:t>
            </w:r>
          </w:p>
        </w:tc>
        <w:tc>
          <w:tcPr>
            <w:tcW w:w="720" w:type="dxa"/>
            <w:shd w:val="clear" w:color="auto" w:fill="auto"/>
            <w:noWrap/>
            <w:vAlign w:val="center"/>
          </w:tcPr>
          <w:p w14:paraId="67FDFC53" w14:textId="74E00F68" w:rsidR="00C537E5" w:rsidRPr="009520C8" w:rsidRDefault="11A2AA9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15.4%</w:t>
            </w:r>
          </w:p>
        </w:tc>
        <w:tc>
          <w:tcPr>
            <w:tcW w:w="720" w:type="dxa"/>
            <w:shd w:val="clear" w:color="auto" w:fill="auto"/>
            <w:noWrap/>
            <w:vAlign w:val="center"/>
          </w:tcPr>
          <w:p w14:paraId="15C5E415" w14:textId="1386F5F1" w:rsidR="00C537E5" w:rsidRPr="009520C8" w:rsidRDefault="11A2AA9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18.7%</w:t>
            </w:r>
          </w:p>
        </w:tc>
        <w:tc>
          <w:tcPr>
            <w:tcW w:w="1080" w:type="dxa"/>
            <w:shd w:val="clear" w:color="auto" w:fill="auto"/>
            <w:noWrap/>
            <w:vAlign w:val="center"/>
          </w:tcPr>
          <w:p w14:paraId="63CBAAA1" w14:textId="571D1AD4" w:rsidR="00C537E5" w:rsidRPr="009520C8" w:rsidRDefault="11A2AA9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9.7%</w:t>
            </w:r>
          </w:p>
        </w:tc>
        <w:tc>
          <w:tcPr>
            <w:tcW w:w="720" w:type="dxa"/>
            <w:shd w:val="clear" w:color="auto" w:fill="auto"/>
            <w:noWrap/>
            <w:vAlign w:val="center"/>
          </w:tcPr>
          <w:p w14:paraId="175DDAC0" w14:textId="5C5C687E" w:rsidR="00C537E5" w:rsidRPr="009520C8" w:rsidRDefault="11A2AA9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18.6%</w:t>
            </w:r>
          </w:p>
        </w:tc>
        <w:tc>
          <w:tcPr>
            <w:tcW w:w="810" w:type="dxa"/>
            <w:shd w:val="clear" w:color="auto" w:fill="auto"/>
            <w:noWrap/>
            <w:vAlign w:val="center"/>
          </w:tcPr>
          <w:p w14:paraId="069DBFAF" w14:textId="614FB93A" w:rsidR="00C537E5" w:rsidRPr="009520C8" w:rsidRDefault="11A2AA9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19.0%</w:t>
            </w:r>
          </w:p>
        </w:tc>
        <w:tc>
          <w:tcPr>
            <w:tcW w:w="810" w:type="dxa"/>
            <w:shd w:val="clear" w:color="auto" w:fill="auto"/>
            <w:noWrap/>
            <w:vAlign w:val="center"/>
          </w:tcPr>
          <w:p w14:paraId="6CCF5E6F" w14:textId="26915CBB" w:rsidR="00C537E5" w:rsidRPr="009520C8" w:rsidRDefault="11A2AA9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20.8%</w:t>
            </w:r>
          </w:p>
        </w:tc>
        <w:tc>
          <w:tcPr>
            <w:tcW w:w="810" w:type="dxa"/>
            <w:shd w:val="clear" w:color="auto" w:fill="auto"/>
            <w:noWrap/>
            <w:vAlign w:val="center"/>
          </w:tcPr>
          <w:p w14:paraId="6A66BB90" w14:textId="2B487628" w:rsidR="00C537E5" w:rsidRPr="009520C8" w:rsidRDefault="11A2AA9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16.6%</w:t>
            </w:r>
          </w:p>
        </w:tc>
        <w:tc>
          <w:tcPr>
            <w:tcW w:w="720" w:type="dxa"/>
            <w:shd w:val="clear" w:color="auto" w:fill="auto"/>
            <w:noWrap/>
            <w:vAlign w:val="center"/>
          </w:tcPr>
          <w:p w14:paraId="02366B3E" w14:textId="257585B4" w:rsidR="00C537E5" w:rsidRPr="009520C8" w:rsidRDefault="11A2AA9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16.1%</w:t>
            </w:r>
          </w:p>
        </w:tc>
        <w:tc>
          <w:tcPr>
            <w:tcW w:w="720" w:type="dxa"/>
            <w:shd w:val="clear" w:color="auto" w:fill="auto"/>
            <w:noWrap/>
            <w:vAlign w:val="center"/>
          </w:tcPr>
          <w:p w14:paraId="7CBCDA86" w14:textId="455DCC7A" w:rsidR="00C537E5" w:rsidRPr="009520C8" w:rsidRDefault="11A2AA9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13.8%</w:t>
            </w:r>
          </w:p>
        </w:tc>
        <w:tc>
          <w:tcPr>
            <w:tcW w:w="990" w:type="dxa"/>
            <w:shd w:val="clear" w:color="auto" w:fill="auto"/>
            <w:noWrap/>
            <w:vAlign w:val="center"/>
          </w:tcPr>
          <w:p w14:paraId="74183EF0" w14:textId="26565D99" w:rsidR="00C537E5" w:rsidRPr="009520C8" w:rsidRDefault="11A2AA9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14.3%</w:t>
            </w:r>
          </w:p>
        </w:tc>
        <w:tc>
          <w:tcPr>
            <w:tcW w:w="720" w:type="dxa"/>
            <w:shd w:val="clear" w:color="auto" w:fill="auto"/>
            <w:noWrap/>
            <w:vAlign w:val="center"/>
          </w:tcPr>
          <w:p w14:paraId="6133827C" w14:textId="0A70A357" w:rsidR="00C537E5" w:rsidRPr="009520C8" w:rsidRDefault="11A2AA9F" w:rsidP="00C537E5">
            <w:pPr>
              <w:spacing w:after="0"/>
              <w:jc w:val="center"/>
              <w:rPr>
                <w:rFonts w:eastAsia="Times New Roman" w:cs="Calibri"/>
                <w:color w:val="000000"/>
                <w:sz w:val="18"/>
                <w:szCs w:val="18"/>
              </w:rPr>
            </w:pPr>
            <w:r w:rsidRPr="68129C33">
              <w:rPr>
                <w:rFonts w:eastAsia="Times New Roman" w:cs="Calibri"/>
                <w:color w:val="000000" w:themeColor="text1"/>
                <w:sz w:val="18"/>
                <w:szCs w:val="18"/>
              </w:rPr>
              <w:t>15.8%</w:t>
            </w:r>
          </w:p>
        </w:tc>
        <w:tc>
          <w:tcPr>
            <w:tcW w:w="720" w:type="dxa"/>
            <w:shd w:val="clear" w:color="auto" w:fill="FFFFFF" w:themeFill="background1"/>
            <w:noWrap/>
            <w:vAlign w:val="center"/>
          </w:tcPr>
          <w:p w14:paraId="1021AE49" w14:textId="6B8167BF" w:rsidR="00C537E5" w:rsidRPr="009520C8" w:rsidRDefault="00CA7437" w:rsidP="00C537E5">
            <w:pPr>
              <w:spacing w:after="0"/>
              <w:jc w:val="center"/>
              <w:rPr>
                <w:rFonts w:eastAsia="Times New Roman" w:cs="Calibri"/>
                <w:color w:val="000000"/>
                <w:sz w:val="18"/>
                <w:szCs w:val="18"/>
              </w:rPr>
            </w:pPr>
            <w:r>
              <w:rPr>
                <w:rFonts w:eastAsia="Times New Roman" w:cs="Calibri"/>
                <w:color w:val="000000"/>
                <w:sz w:val="18"/>
                <w:szCs w:val="18"/>
              </w:rPr>
              <w:t>20.4%</w:t>
            </w:r>
          </w:p>
        </w:tc>
        <w:tc>
          <w:tcPr>
            <w:tcW w:w="720" w:type="dxa"/>
            <w:shd w:val="clear" w:color="auto" w:fill="auto"/>
            <w:noWrap/>
            <w:vAlign w:val="center"/>
          </w:tcPr>
          <w:p w14:paraId="7727D4D2" w14:textId="2E5BC2AA" w:rsidR="00C537E5" w:rsidRPr="009520C8" w:rsidRDefault="490C597F" w:rsidP="00C537E5">
            <w:pPr>
              <w:spacing w:after="0"/>
              <w:jc w:val="center"/>
              <w:rPr>
                <w:rFonts w:eastAsia="Times New Roman" w:cs="Calibri"/>
                <w:color w:val="000000"/>
                <w:sz w:val="18"/>
                <w:szCs w:val="18"/>
              </w:rPr>
            </w:pPr>
            <w:r w:rsidRPr="3E5DA59D">
              <w:rPr>
                <w:rFonts w:eastAsia="Times New Roman" w:cs="Calibri"/>
                <w:color w:val="000000" w:themeColor="text1"/>
                <w:sz w:val="18"/>
                <w:szCs w:val="18"/>
              </w:rPr>
              <w:t>20.3%</w:t>
            </w:r>
          </w:p>
        </w:tc>
        <w:tc>
          <w:tcPr>
            <w:tcW w:w="720" w:type="dxa"/>
            <w:shd w:val="clear" w:color="auto" w:fill="auto"/>
            <w:noWrap/>
            <w:vAlign w:val="center"/>
          </w:tcPr>
          <w:p w14:paraId="4E1C863B" w14:textId="25A88F91" w:rsidR="00C537E5" w:rsidRPr="00226A99" w:rsidRDefault="490C597F" w:rsidP="00C537E5">
            <w:pPr>
              <w:spacing w:after="0"/>
              <w:jc w:val="center"/>
              <w:rPr>
                <w:rFonts w:eastAsia="Times New Roman" w:cs="Calibri"/>
                <w:color w:val="000000"/>
                <w:sz w:val="16"/>
                <w:szCs w:val="16"/>
              </w:rPr>
            </w:pPr>
            <w:r w:rsidRPr="3E5DA59D">
              <w:rPr>
                <w:rFonts w:eastAsia="Times New Roman" w:cs="Calibri"/>
                <w:color w:val="000000" w:themeColor="text1"/>
                <w:sz w:val="16"/>
                <w:szCs w:val="16"/>
              </w:rPr>
              <w:t>20.4%</w:t>
            </w:r>
          </w:p>
        </w:tc>
      </w:tr>
      <w:tr w:rsidR="00DC70EE" w:rsidRPr="00884DD7" w14:paraId="3CFBD296" w14:textId="77777777" w:rsidTr="4EB40283">
        <w:trPr>
          <w:trHeight w:val="290"/>
        </w:trPr>
        <w:tc>
          <w:tcPr>
            <w:tcW w:w="2040" w:type="dxa"/>
            <w:shd w:val="clear" w:color="auto" w:fill="F2F2F2" w:themeFill="background1" w:themeFillShade="F2"/>
            <w:noWrap/>
            <w:hideMark/>
          </w:tcPr>
          <w:p w14:paraId="09E1F777" w14:textId="77777777" w:rsidR="00C537E5" w:rsidRPr="008D1B70" w:rsidRDefault="00C537E5" w:rsidP="00C537E5">
            <w:pPr>
              <w:spacing w:after="0"/>
              <w:jc w:val="center"/>
              <w:rPr>
                <w:rFonts w:eastAsia="Times New Roman" w:cs="Calibri"/>
                <w:sz w:val="16"/>
                <w:szCs w:val="16"/>
              </w:rPr>
            </w:pPr>
            <w:r w:rsidRPr="008D1B70">
              <w:rPr>
                <w:rFonts w:eastAsia="Times New Roman" w:cs="Calibri"/>
                <w:sz w:val="16"/>
                <w:szCs w:val="16"/>
              </w:rPr>
              <w:t>FUH-7</w:t>
            </w:r>
          </w:p>
        </w:tc>
        <w:tc>
          <w:tcPr>
            <w:tcW w:w="1650" w:type="dxa"/>
            <w:shd w:val="clear" w:color="auto" w:fill="F2F2F2" w:themeFill="background1" w:themeFillShade="F2"/>
            <w:hideMark/>
          </w:tcPr>
          <w:p w14:paraId="3CDF3E50" w14:textId="77777777" w:rsidR="00C537E5" w:rsidRPr="00884DD7" w:rsidRDefault="00C537E5" w:rsidP="00C537E5">
            <w:pPr>
              <w:spacing w:after="0"/>
              <w:rPr>
                <w:rFonts w:eastAsia="Times New Roman" w:cs="Calibri"/>
                <w:sz w:val="16"/>
                <w:szCs w:val="16"/>
              </w:rPr>
            </w:pPr>
            <w:r w:rsidRPr="00884DD7">
              <w:rPr>
                <w:rFonts w:eastAsia="Times New Roman" w:cs="Calibri"/>
                <w:sz w:val="16"/>
                <w:szCs w:val="16"/>
              </w:rPr>
              <w:t>Follow-Up After Hospitalization for Mental Illness (7 days)</w:t>
            </w:r>
          </w:p>
        </w:tc>
        <w:tc>
          <w:tcPr>
            <w:tcW w:w="810" w:type="dxa"/>
            <w:shd w:val="clear" w:color="auto" w:fill="F2F2F2" w:themeFill="background1" w:themeFillShade="F2"/>
            <w:noWrap/>
            <w:vAlign w:val="center"/>
          </w:tcPr>
          <w:p w14:paraId="5B6651BC" w14:textId="5B8E1841" w:rsidR="00C537E5" w:rsidRPr="00394EC7" w:rsidRDefault="00D618B7" w:rsidP="00C537E5">
            <w:pPr>
              <w:spacing w:after="0"/>
              <w:jc w:val="center"/>
              <w:rPr>
                <w:rFonts w:eastAsia="Times New Roman" w:cs="Calibri"/>
                <w:color w:val="000000"/>
                <w:sz w:val="16"/>
                <w:szCs w:val="16"/>
              </w:rPr>
            </w:pPr>
            <w:r>
              <w:rPr>
                <w:rFonts w:eastAsia="Times New Roman" w:cs="Calibri"/>
                <w:color w:val="000000"/>
                <w:sz w:val="16"/>
                <w:szCs w:val="16"/>
              </w:rPr>
              <w:t>49.8%</w:t>
            </w:r>
          </w:p>
        </w:tc>
        <w:tc>
          <w:tcPr>
            <w:tcW w:w="720" w:type="dxa"/>
            <w:shd w:val="clear" w:color="auto" w:fill="F2F2F2" w:themeFill="background1" w:themeFillShade="F2"/>
            <w:noWrap/>
            <w:vAlign w:val="center"/>
          </w:tcPr>
          <w:p w14:paraId="7F5A8EDB" w14:textId="6E039D25" w:rsidR="00C537E5" w:rsidRPr="00394EC7" w:rsidRDefault="08EE0F6E"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45.5%</w:t>
            </w:r>
          </w:p>
        </w:tc>
        <w:tc>
          <w:tcPr>
            <w:tcW w:w="720" w:type="dxa"/>
            <w:shd w:val="clear" w:color="auto" w:fill="F2F2F2" w:themeFill="background1" w:themeFillShade="F2"/>
            <w:noWrap/>
            <w:vAlign w:val="center"/>
          </w:tcPr>
          <w:p w14:paraId="50276789" w14:textId="11FDBFF7" w:rsidR="00C537E5" w:rsidRPr="00394EC7" w:rsidRDefault="08EE0F6E"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59.6%</w:t>
            </w:r>
          </w:p>
        </w:tc>
        <w:tc>
          <w:tcPr>
            <w:tcW w:w="720" w:type="dxa"/>
            <w:shd w:val="clear" w:color="auto" w:fill="F2F2F2" w:themeFill="background1" w:themeFillShade="F2"/>
            <w:noWrap/>
            <w:vAlign w:val="center"/>
          </w:tcPr>
          <w:p w14:paraId="12BBD5E7" w14:textId="3FB0DC24" w:rsidR="00C537E5" w:rsidRPr="00394EC7" w:rsidRDefault="08EE0F6E"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41.0%</w:t>
            </w:r>
          </w:p>
        </w:tc>
        <w:tc>
          <w:tcPr>
            <w:tcW w:w="720" w:type="dxa"/>
            <w:shd w:val="clear" w:color="auto" w:fill="F2F2F2" w:themeFill="background1" w:themeFillShade="F2"/>
            <w:noWrap/>
            <w:vAlign w:val="center"/>
          </w:tcPr>
          <w:p w14:paraId="4B09BE4F" w14:textId="1304B465" w:rsidR="00C537E5" w:rsidRPr="00394EC7" w:rsidRDefault="08EE0F6E"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50.3%</w:t>
            </w:r>
          </w:p>
        </w:tc>
        <w:tc>
          <w:tcPr>
            <w:tcW w:w="720" w:type="dxa"/>
            <w:shd w:val="clear" w:color="auto" w:fill="F2F2F2" w:themeFill="background1" w:themeFillShade="F2"/>
            <w:noWrap/>
            <w:vAlign w:val="center"/>
          </w:tcPr>
          <w:p w14:paraId="4FD6A9CD" w14:textId="71AB0952" w:rsidR="00C537E5" w:rsidRPr="00394EC7" w:rsidRDefault="08EE0F6E"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28.8%</w:t>
            </w:r>
          </w:p>
        </w:tc>
        <w:tc>
          <w:tcPr>
            <w:tcW w:w="810" w:type="dxa"/>
            <w:shd w:val="clear" w:color="auto" w:fill="F2F2F2" w:themeFill="background1" w:themeFillShade="F2"/>
            <w:noWrap/>
            <w:vAlign w:val="center"/>
          </w:tcPr>
          <w:p w14:paraId="793CF3C9" w14:textId="4DC7E3DD" w:rsidR="00C537E5" w:rsidRPr="00394EC7" w:rsidRDefault="08EE0F6E"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45.2%</w:t>
            </w:r>
          </w:p>
        </w:tc>
        <w:tc>
          <w:tcPr>
            <w:tcW w:w="720" w:type="dxa"/>
            <w:shd w:val="clear" w:color="auto" w:fill="F2F2F2" w:themeFill="background1" w:themeFillShade="F2"/>
            <w:noWrap/>
            <w:vAlign w:val="center"/>
          </w:tcPr>
          <w:p w14:paraId="32616FD0" w14:textId="379C0CD1" w:rsidR="00C537E5" w:rsidRPr="00394EC7" w:rsidRDefault="08EE0F6E"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41.2%</w:t>
            </w:r>
          </w:p>
        </w:tc>
        <w:tc>
          <w:tcPr>
            <w:tcW w:w="720" w:type="dxa"/>
            <w:shd w:val="clear" w:color="auto" w:fill="F2F2F2" w:themeFill="background1" w:themeFillShade="F2"/>
            <w:noWrap/>
            <w:vAlign w:val="center"/>
          </w:tcPr>
          <w:p w14:paraId="5F0B59E6" w14:textId="4FD1B858" w:rsidR="00C537E5" w:rsidRPr="00394EC7" w:rsidRDefault="08EE0F6E"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60.2%</w:t>
            </w:r>
          </w:p>
        </w:tc>
        <w:tc>
          <w:tcPr>
            <w:tcW w:w="1080" w:type="dxa"/>
            <w:shd w:val="clear" w:color="auto" w:fill="F2F2F2" w:themeFill="background1" w:themeFillShade="F2"/>
            <w:noWrap/>
            <w:vAlign w:val="center"/>
          </w:tcPr>
          <w:p w14:paraId="5184B681" w14:textId="1EF7FC79" w:rsidR="00C537E5" w:rsidRPr="00394EC7" w:rsidRDefault="08EE0F6E"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48.5%</w:t>
            </w:r>
          </w:p>
        </w:tc>
        <w:tc>
          <w:tcPr>
            <w:tcW w:w="720" w:type="dxa"/>
            <w:shd w:val="clear" w:color="auto" w:fill="F2F2F2" w:themeFill="background1" w:themeFillShade="F2"/>
            <w:noWrap/>
            <w:vAlign w:val="center"/>
          </w:tcPr>
          <w:p w14:paraId="6B5A468E" w14:textId="37C24F33" w:rsidR="00C537E5" w:rsidRPr="00394EC7" w:rsidRDefault="08EE0F6E"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47.4%</w:t>
            </w:r>
          </w:p>
        </w:tc>
        <w:tc>
          <w:tcPr>
            <w:tcW w:w="810" w:type="dxa"/>
            <w:shd w:val="clear" w:color="auto" w:fill="F2F2F2" w:themeFill="background1" w:themeFillShade="F2"/>
            <w:noWrap/>
            <w:vAlign w:val="center"/>
          </w:tcPr>
          <w:p w14:paraId="0151B1AC" w14:textId="7B7BF489" w:rsidR="00C537E5" w:rsidRPr="00394EC7" w:rsidRDefault="08EE0F6E"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50.9%</w:t>
            </w:r>
          </w:p>
        </w:tc>
        <w:tc>
          <w:tcPr>
            <w:tcW w:w="810" w:type="dxa"/>
            <w:shd w:val="clear" w:color="auto" w:fill="F2F2F2" w:themeFill="background1" w:themeFillShade="F2"/>
            <w:noWrap/>
            <w:vAlign w:val="center"/>
          </w:tcPr>
          <w:p w14:paraId="3619BF2B" w14:textId="24C7435D" w:rsidR="00C537E5" w:rsidRPr="00394EC7" w:rsidRDefault="08EE0F6E"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47.5%</w:t>
            </w:r>
          </w:p>
        </w:tc>
        <w:tc>
          <w:tcPr>
            <w:tcW w:w="810" w:type="dxa"/>
            <w:shd w:val="clear" w:color="auto" w:fill="F2F2F2" w:themeFill="background1" w:themeFillShade="F2"/>
            <w:noWrap/>
            <w:vAlign w:val="center"/>
          </w:tcPr>
          <w:p w14:paraId="14C7AA7E" w14:textId="14544A1A" w:rsidR="00C537E5" w:rsidRPr="00394EC7" w:rsidRDefault="08EE0F6E"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45.9%</w:t>
            </w:r>
          </w:p>
        </w:tc>
        <w:tc>
          <w:tcPr>
            <w:tcW w:w="720" w:type="dxa"/>
            <w:shd w:val="clear" w:color="auto" w:fill="F2F2F2" w:themeFill="background1" w:themeFillShade="F2"/>
            <w:noWrap/>
            <w:vAlign w:val="center"/>
          </w:tcPr>
          <w:p w14:paraId="4AE468DB" w14:textId="7F85E7FE" w:rsidR="00C537E5" w:rsidRPr="00394EC7" w:rsidRDefault="08EE0F6E"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54.9%</w:t>
            </w:r>
          </w:p>
        </w:tc>
        <w:tc>
          <w:tcPr>
            <w:tcW w:w="720" w:type="dxa"/>
            <w:shd w:val="clear" w:color="auto" w:fill="F2F2F2" w:themeFill="background1" w:themeFillShade="F2"/>
            <w:noWrap/>
            <w:vAlign w:val="center"/>
          </w:tcPr>
          <w:p w14:paraId="37978588" w14:textId="4039B004" w:rsidR="00C537E5" w:rsidRPr="00394EC7" w:rsidRDefault="08EE0F6E"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54.2%</w:t>
            </w:r>
          </w:p>
        </w:tc>
        <w:tc>
          <w:tcPr>
            <w:tcW w:w="990" w:type="dxa"/>
            <w:shd w:val="clear" w:color="auto" w:fill="F2F2F2" w:themeFill="background1" w:themeFillShade="F2"/>
            <w:noWrap/>
            <w:vAlign w:val="center"/>
          </w:tcPr>
          <w:p w14:paraId="4AEA826E" w14:textId="641589BB" w:rsidR="00C537E5" w:rsidRPr="00394EC7" w:rsidRDefault="08EE0F6E"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50.4%</w:t>
            </w:r>
          </w:p>
        </w:tc>
        <w:tc>
          <w:tcPr>
            <w:tcW w:w="720" w:type="dxa"/>
            <w:shd w:val="clear" w:color="auto" w:fill="F2F2F2" w:themeFill="background1" w:themeFillShade="F2"/>
            <w:noWrap/>
            <w:vAlign w:val="center"/>
          </w:tcPr>
          <w:p w14:paraId="219A8F81" w14:textId="79BC9E0F" w:rsidR="00C537E5" w:rsidRPr="00394EC7" w:rsidRDefault="08EE0F6E"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45.8%</w:t>
            </w:r>
          </w:p>
        </w:tc>
        <w:tc>
          <w:tcPr>
            <w:tcW w:w="720" w:type="dxa"/>
            <w:shd w:val="clear" w:color="auto" w:fill="F2F2F2" w:themeFill="background1" w:themeFillShade="F2"/>
            <w:noWrap/>
            <w:vAlign w:val="center"/>
          </w:tcPr>
          <w:p w14:paraId="417FFDA9" w14:textId="4394568B" w:rsidR="00C537E5" w:rsidRPr="00394EC7" w:rsidRDefault="00E357F8" w:rsidP="00C537E5">
            <w:pPr>
              <w:spacing w:after="0"/>
              <w:jc w:val="center"/>
              <w:rPr>
                <w:rFonts w:eastAsia="Times New Roman" w:cs="Calibri"/>
                <w:color w:val="000000"/>
                <w:sz w:val="16"/>
                <w:szCs w:val="16"/>
              </w:rPr>
            </w:pPr>
            <w:r>
              <w:rPr>
                <w:rFonts w:eastAsia="Times New Roman" w:cs="Calibri"/>
                <w:color w:val="000000"/>
                <w:sz w:val="16"/>
                <w:szCs w:val="16"/>
              </w:rPr>
              <w:t>41.5%</w:t>
            </w:r>
          </w:p>
        </w:tc>
        <w:tc>
          <w:tcPr>
            <w:tcW w:w="720" w:type="dxa"/>
            <w:shd w:val="clear" w:color="auto" w:fill="F2F2F2" w:themeFill="background1" w:themeFillShade="F2"/>
            <w:noWrap/>
            <w:vAlign w:val="center"/>
          </w:tcPr>
          <w:p w14:paraId="66332644" w14:textId="75559D06" w:rsidR="00C537E5" w:rsidRPr="00394EC7" w:rsidRDefault="37D78B1F" w:rsidP="00C537E5">
            <w:pPr>
              <w:spacing w:after="0"/>
              <w:jc w:val="center"/>
              <w:rPr>
                <w:rFonts w:eastAsia="Times New Roman" w:cs="Calibri"/>
                <w:color w:val="000000"/>
                <w:sz w:val="16"/>
                <w:szCs w:val="16"/>
              </w:rPr>
            </w:pPr>
            <w:r w:rsidRPr="3E5DA59D">
              <w:rPr>
                <w:rFonts w:eastAsia="Times New Roman" w:cs="Calibri"/>
                <w:color w:val="000000" w:themeColor="text1"/>
                <w:sz w:val="16"/>
                <w:szCs w:val="16"/>
              </w:rPr>
              <w:t>40.5%</w:t>
            </w:r>
          </w:p>
        </w:tc>
        <w:tc>
          <w:tcPr>
            <w:tcW w:w="720" w:type="dxa"/>
            <w:shd w:val="clear" w:color="auto" w:fill="F2F2F2" w:themeFill="background1" w:themeFillShade="F2"/>
            <w:noWrap/>
            <w:vAlign w:val="center"/>
          </w:tcPr>
          <w:p w14:paraId="534FF1CB" w14:textId="5764FDB8" w:rsidR="00C537E5" w:rsidRPr="00394EC7" w:rsidRDefault="37D78B1F" w:rsidP="00C537E5">
            <w:pPr>
              <w:spacing w:after="0"/>
              <w:jc w:val="center"/>
              <w:rPr>
                <w:rFonts w:eastAsia="Times New Roman" w:cs="Calibri"/>
                <w:color w:val="000000"/>
                <w:sz w:val="16"/>
                <w:szCs w:val="16"/>
              </w:rPr>
            </w:pPr>
            <w:r w:rsidRPr="3E5DA59D">
              <w:rPr>
                <w:rFonts w:eastAsia="Times New Roman" w:cs="Calibri"/>
                <w:color w:val="000000" w:themeColor="text1"/>
                <w:sz w:val="16"/>
                <w:szCs w:val="16"/>
              </w:rPr>
              <w:t>42.4%</w:t>
            </w:r>
          </w:p>
        </w:tc>
      </w:tr>
      <w:tr w:rsidR="00255A16" w:rsidRPr="00884DD7" w14:paraId="5EADF5F0" w14:textId="77777777" w:rsidTr="4EB40283">
        <w:trPr>
          <w:trHeight w:val="520"/>
        </w:trPr>
        <w:tc>
          <w:tcPr>
            <w:tcW w:w="2040" w:type="dxa"/>
            <w:shd w:val="clear" w:color="auto" w:fill="auto"/>
            <w:noWrap/>
            <w:hideMark/>
          </w:tcPr>
          <w:p w14:paraId="23CA962B" w14:textId="77777777" w:rsidR="00C537E5" w:rsidRPr="008D1B70" w:rsidRDefault="00C537E5" w:rsidP="00C537E5">
            <w:pPr>
              <w:spacing w:after="0"/>
              <w:jc w:val="center"/>
              <w:rPr>
                <w:rFonts w:eastAsia="Times New Roman" w:cs="Calibri"/>
                <w:sz w:val="16"/>
                <w:szCs w:val="16"/>
              </w:rPr>
            </w:pPr>
            <w:r w:rsidRPr="008D1B70">
              <w:rPr>
                <w:rFonts w:eastAsia="Times New Roman" w:cs="Calibri"/>
                <w:sz w:val="16"/>
                <w:szCs w:val="16"/>
              </w:rPr>
              <w:t>FUM-7</w:t>
            </w:r>
          </w:p>
        </w:tc>
        <w:tc>
          <w:tcPr>
            <w:tcW w:w="1650" w:type="dxa"/>
            <w:shd w:val="clear" w:color="auto" w:fill="auto"/>
            <w:hideMark/>
          </w:tcPr>
          <w:p w14:paraId="2DEFA2A6" w14:textId="77777777" w:rsidR="00C537E5" w:rsidRPr="00884DD7" w:rsidRDefault="00C537E5" w:rsidP="00C537E5">
            <w:pPr>
              <w:spacing w:after="0"/>
              <w:rPr>
                <w:rFonts w:eastAsia="Times New Roman" w:cs="Calibri"/>
                <w:sz w:val="16"/>
                <w:szCs w:val="16"/>
              </w:rPr>
            </w:pPr>
            <w:r w:rsidRPr="00884DD7">
              <w:rPr>
                <w:rFonts w:eastAsia="Times New Roman" w:cs="Calibri"/>
                <w:sz w:val="16"/>
                <w:szCs w:val="16"/>
              </w:rPr>
              <w:t>Follow-Up After Emergency Department Visit for Mental Illness (7 days)</w:t>
            </w:r>
          </w:p>
        </w:tc>
        <w:tc>
          <w:tcPr>
            <w:tcW w:w="810" w:type="dxa"/>
            <w:shd w:val="clear" w:color="auto" w:fill="auto"/>
            <w:noWrap/>
            <w:vAlign w:val="center"/>
          </w:tcPr>
          <w:p w14:paraId="5D3F8887" w14:textId="019B2531" w:rsidR="00C537E5" w:rsidRPr="00394EC7" w:rsidRDefault="00953EB4" w:rsidP="00C537E5">
            <w:pPr>
              <w:spacing w:after="0"/>
              <w:jc w:val="center"/>
              <w:rPr>
                <w:rFonts w:eastAsia="Times New Roman" w:cs="Calibri"/>
                <w:color w:val="000000"/>
                <w:sz w:val="16"/>
                <w:szCs w:val="16"/>
              </w:rPr>
            </w:pPr>
            <w:r>
              <w:rPr>
                <w:rFonts w:eastAsia="Times New Roman" w:cs="Calibri"/>
                <w:color w:val="000000"/>
                <w:sz w:val="16"/>
                <w:szCs w:val="16"/>
              </w:rPr>
              <w:t>76.2%</w:t>
            </w:r>
          </w:p>
        </w:tc>
        <w:tc>
          <w:tcPr>
            <w:tcW w:w="720" w:type="dxa"/>
            <w:shd w:val="clear" w:color="auto" w:fill="auto"/>
            <w:noWrap/>
            <w:vAlign w:val="center"/>
          </w:tcPr>
          <w:p w14:paraId="69659528" w14:textId="3DE6E8AE" w:rsidR="00C537E5" w:rsidRPr="00394EC7" w:rsidRDefault="15C45115"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75.8%</w:t>
            </w:r>
          </w:p>
        </w:tc>
        <w:tc>
          <w:tcPr>
            <w:tcW w:w="720" w:type="dxa"/>
            <w:shd w:val="clear" w:color="auto" w:fill="auto"/>
            <w:noWrap/>
            <w:vAlign w:val="center"/>
          </w:tcPr>
          <w:p w14:paraId="791811DE" w14:textId="0899D82D" w:rsidR="00C537E5" w:rsidRPr="00394EC7" w:rsidRDefault="15C45115"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85.5%</w:t>
            </w:r>
          </w:p>
        </w:tc>
        <w:tc>
          <w:tcPr>
            <w:tcW w:w="720" w:type="dxa"/>
            <w:shd w:val="clear" w:color="auto" w:fill="auto"/>
            <w:noWrap/>
            <w:vAlign w:val="center"/>
          </w:tcPr>
          <w:p w14:paraId="2B7278E5" w14:textId="4A1540C1" w:rsidR="00C537E5" w:rsidRPr="00394EC7" w:rsidRDefault="15C45115"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78.4%</w:t>
            </w:r>
          </w:p>
        </w:tc>
        <w:tc>
          <w:tcPr>
            <w:tcW w:w="720" w:type="dxa"/>
            <w:shd w:val="clear" w:color="auto" w:fill="auto"/>
            <w:noWrap/>
            <w:vAlign w:val="center"/>
          </w:tcPr>
          <w:p w14:paraId="6194BDC9" w14:textId="07156065" w:rsidR="00C537E5" w:rsidRPr="00394EC7" w:rsidRDefault="15C45115"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73.4%</w:t>
            </w:r>
          </w:p>
        </w:tc>
        <w:tc>
          <w:tcPr>
            <w:tcW w:w="720" w:type="dxa"/>
            <w:shd w:val="clear" w:color="auto" w:fill="auto"/>
            <w:noWrap/>
            <w:vAlign w:val="center"/>
          </w:tcPr>
          <w:p w14:paraId="2241A4A2" w14:textId="4939019E" w:rsidR="00C537E5" w:rsidRPr="00394EC7" w:rsidRDefault="15C45115"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77.4%</w:t>
            </w:r>
          </w:p>
        </w:tc>
        <w:tc>
          <w:tcPr>
            <w:tcW w:w="810" w:type="dxa"/>
            <w:shd w:val="clear" w:color="auto" w:fill="auto"/>
            <w:noWrap/>
            <w:vAlign w:val="center"/>
          </w:tcPr>
          <w:p w14:paraId="4B55A1CF" w14:textId="7D5FB3E2" w:rsidR="00C537E5" w:rsidRPr="00394EC7" w:rsidRDefault="15C45115"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80.8%</w:t>
            </w:r>
          </w:p>
        </w:tc>
        <w:tc>
          <w:tcPr>
            <w:tcW w:w="720" w:type="dxa"/>
            <w:shd w:val="clear" w:color="auto" w:fill="auto"/>
            <w:noWrap/>
            <w:vAlign w:val="center"/>
          </w:tcPr>
          <w:p w14:paraId="2F2D5C90" w14:textId="059E0A4F" w:rsidR="00C537E5" w:rsidRPr="00394EC7" w:rsidRDefault="15C45115"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66.5%</w:t>
            </w:r>
          </w:p>
        </w:tc>
        <w:tc>
          <w:tcPr>
            <w:tcW w:w="720" w:type="dxa"/>
            <w:shd w:val="clear" w:color="auto" w:fill="auto"/>
            <w:noWrap/>
            <w:vAlign w:val="center"/>
          </w:tcPr>
          <w:p w14:paraId="7A44DC65" w14:textId="531CF6E3" w:rsidR="00C537E5" w:rsidRPr="00394EC7" w:rsidRDefault="15C45115"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80.6%</w:t>
            </w:r>
          </w:p>
        </w:tc>
        <w:tc>
          <w:tcPr>
            <w:tcW w:w="1080" w:type="dxa"/>
            <w:shd w:val="clear" w:color="auto" w:fill="auto"/>
            <w:noWrap/>
            <w:vAlign w:val="center"/>
          </w:tcPr>
          <w:p w14:paraId="3EC817F6" w14:textId="7194F288" w:rsidR="00C537E5" w:rsidRPr="00394EC7" w:rsidRDefault="15C45115"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86.5%</w:t>
            </w:r>
          </w:p>
        </w:tc>
        <w:tc>
          <w:tcPr>
            <w:tcW w:w="720" w:type="dxa"/>
            <w:shd w:val="clear" w:color="auto" w:fill="auto"/>
            <w:noWrap/>
            <w:vAlign w:val="center"/>
          </w:tcPr>
          <w:p w14:paraId="1D4C0938" w14:textId="3C83DB10" w:rsidR="00C537E5" w:rsidRPr="00394EC7" w:rsidRDefault="15C45115"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72.9%</w:t>
            </w:r>
          </w:p>
        </w:tc>
        <w:tc>
          <w:tcPr>
            <w:tcW w:w="810" w:type="dxa"/>
            <w:shd w:val="clear" w:color="auto" w:fill="auto"/>
            <w:noWrap/>
            <w:vAlign w:val="center"/>
          </w:tcPr>
          <w:p w14:paraId="090A5C73" w14:textId="653445FE" w:rsidR="00C537E5" w:rsidRPr="00394EC7" w:rsidRDefault="15C45115"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74.3%</w:t>
            </w:r>
          </w:p>
        </w:tc>
        <w:tc>
          <w:tcPr>
            <w:tcW w:w="810" w:type="dxa"/>
            <w:shd w:val="clear" w:color="auto" w:fill="auto"/>
            <w:noWrap/>
            <w:vAlign w:val="center"/>
          </w:tcPr>
          <w:p w14:paraId="6D89569B" w14:textId="4ED33EA1" w:rsidR="00C537E5" w:rsidRPr="00394EC7" w:rsidRDefault="15C45115"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82.2%</w:t>
            </w:r>
          </w:p>
        </w:tc>
        <w:tc>
          <w:tcPr>
            <w:tcW w:w="810" w:type="dxa"/>
            <w:shd w:val="clear" w:color="auto" w:fill="auto"/>
            <w:noWrap/>
            <w:vAlign w:val="center"/>
          </w:tcPr>
          <w:p w14:paraId="48CC664E" w14:textId="2B0D3BAB" w:rsidR="00C537E5" w:rsidRPr="00394EC7" w:rsidRDefault="15C45115"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73.9%</w:t>
            </w:r>
          </w:p>
        </w:tc>
        <w:tc>
          <w:tcPr>
            <w:tcW w:w="720" w:type="dxa"/>
            <w:shd w:val="clear" w:color="auto" w:fill="auto"/>
            <w:noWrap/>
            <w:vAlign w:val="center"/>
          </w:tcPr>
          <w:p w14:paraId="647D8AB0" w14:textId="5E9DDB2C" w:rsidR="00C537E5" w:rsidRPr="00394EC7" w:rsidRDefault="15C45115"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72.5%</w:t>
            </w:r>
          </w:p>
        </w:tc>
        <w:tc>
          <w:tcPr>
            <w:tcW w:w="720" w:type="dxa"/>
            <w:shd w:val="clear" w:color="auto" w:fill="auto"/>
            <w:noWrap/>
            <w:vAlign w:val="center"/>
          </w:tcPr>
          <w:p w14:paraId="3F3E5F4C" w14:textId="6769D5BF" w:rsidR="00C537E5" w:rsidRPr="00394EC7" w:rsidRDefault="15C45115"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76.3%</w:t>
            </w:r>
          </w:p>
        </w:tc>
        <w:tc>
          <w:tcPr>
            <w:tcW w:w="990" w:type="dxa"/>
            <w:shd w:val="clear" w:color="auto" w:fill="auto"/>
            <w:noWrap/>
            <w:vAlign w:val="center"/>
          </w:tcPr>
          <w:p w14:paraId="56DACCE3" w14:textId="6278BB5B" w:rsidR="00C537E5" w:rsidRPr="00394EC7" w:rsidRDefault="15C45115"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74.3%</w:t>
            </w:r>
          </w:p>
        </w:tc>
        <w:tc>
          <w:tcPr>
            <w:tcW w:w="720" w:type="dxa"/>
            <w:shd w:val="clear" w:color="auto" w:fill="auto"/>
            <w:noWrap/>
            <w:vAlign w:val="center"/>
          </w:tcPr>
          <w:p w14:paraId="22F2F7FC" w14:textId="67CCC836" w:rsidR="00C537E5" w:rsidRPr="00394EC7" w:rsidRDefault="15C45115"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79.3%</w:t>
            </w:r>
          </w:p>
        </w:tc>
        <w:tc>
          <w:tcPr>
            <w:tcW w:w="720" w:type="dxa"/>
            <w:shd w:val="clear" w:color="auto" w:fill="FFFFFF" w:themeFill="background1"/>
            <w:noWrap/>
            <w:vAlign w:val="center"/>
          </w:tcPr>
          <w:p w14:paraId="5E203804" w14:textId="7AFA0A79" w:rsidR="00C537E5" w:rsidRPr="00394EC7" w:rsidRDefault="004B10FD" w:rsidP="00C537E5">
            <w:pPr>
              <w:spacing w:after="0"/>
              <w:jc w:val="center"/>
              <w:rPr>
                <w:rFonts w:eastAsia="Times New Roman" w:cs="Calibri"/>
                <w:color w:val="000000"/>
                <w:sz w:val="16"/>
                <w:szCs w:val="16"/>
              </w:rPr>
            </w:pPr>
            <w:r>
              <w:rPr>
                <w:rFonts w:eastAsia="Times New Roman" w:cs="Calibri"/>
                <w:color w:val="000000"/>
                <w:sz w:val="16"/>
                <w:szCs w:val="16"/>
              </w:rPr>
              <w:t>77.2%</w:t>
            </w:r>
          </w:p>
        </w:tc>
        <w:tc>
          <w:tcPr>
            <w:tcW w:w="720" w:type="dxa"/>
            <w:shd w:val="clear" w:color="auto" w:fill="auto"/>
            <w:noWrap/>
            <w:vAlign w:val="center"/>
          </w:tcPr>
          <w:p w14:paraId="1511D782" w14:textId="3C85206E" w:rsidR="00C537E5" w:rsidRPr="00394EC7" w:rsidRDefault="6E65AD08" w:rsidP="00C537E5">
            <w:pPr>
              <w:spacing w:after="0"/>
              <w:jc w:val="center"/>
              <w:rPr>
                <w:rFonts w:eastAsia="Times New Roman" w:cs="Calibri"/>
                <w:color w:val="000000"/>
                <w:sz w:val="16"/>
                <w:szCs w:val="16"/>
              </w:rPr>
            </w:pPr>
            <w:r w:rsidRPr="3E5DA59D">
              <w:rPr>
                <w:rFonts w:eastAsia="Times New Roman" w:cs="Calibri"/>
                <w:color w:val="000000" w:themeColor="text1"/>
                <w:sz w:val="16"/>
                <w:szCs w:val="16"/>
              </w:rPr>
              <w:t>74.1%</w:t>
            </w:r>
          </w:p>
        </w:tc>
        <w:tc>
          <w:tcPr>
            <w:tcW w:w="720" w:type="dxa"/>
            <w:shd w:val="clear" w:color="auto" w:fill="auto"/>
            <w:noWrap/>
            <w:vAlign w:val="center"/>
          </w:tcPr>
          <w:p w14:paraId="688558D6" w14:textId="0FDBFE68" w:rsidR="00C537E5" w:rsidRPr="00394EC7" w:rsidRDefault="6E65AD08" w:rsidP="00C537E5">
            <w:pPr>
              <w:spacing w:after="0"/>
              <w:jc w:val="center"/>
              <w:rPr>
                <w:rFonts w:eastAsia="Times New Roman" w:cs="Calibri"/>
                <w:color w:val="000000"/>
                <w:sz w:val="16"/>
                <w:szCs w:val="16"/>
              </w:rPr>
            </w:pPr>
            <w:r w:rsidRPr="3E5DA59D">
              <w:rPr>
                <w:rFonts w:eastAsia="Times New Roman" w:cs="Calibri"/>
                <w:color w:val="000000" w:themeColor="text1"/>
                <w:sz w:val="16"/>
                <w:szCs w:val="16"/>
              </w:rPr>
              <w:t>79.3%</w:t>
            </w:r>
          </w:p>
        </w:tc>
      </w:tr>
      <w:tr w:rsidR="00255A16" w:rsidRPr="00884DD7" w14:paraId="179FE99B" w14:textId="77777777" w:rsidTr="4EB40283">
        <w:trPr>
          <w:trHeight w:val="405"/>
        </w:trPr>
        <w:tc>
          <w:tcPr>
            <w:tcW w:w="2040" w:type="dxa"/>
            <w:shd w:val="clear" w:color="auto" w:fill="auto"/>
            <w:noWrap/>
            <w:hideMark/>
          </w:tcPr>
          <w:p w14:paraId="52C0DD1D" w14:textId="77777777" w:rsidR="00C537E5" w:rsidRPr="008D1B70" w:rsidRDefault="00C537E5" w:rsidP="00C537E5">
            <w:pPr>
              <w:spacing w:after="0"/>
              <w:jc w:val="center"/>
              <w:rPr>
                <w:rFonts w:eastAsia="Times New Roman" w:cs="Calibri"/>
                <w:sz w:val="16"/>
                <w:szCs w:val="16"/>
              </w:rPr>
            </w:pPr>
            <w:r w:rsidRPr="008D1B70">
              <w:rPr>
                <w:rFonts w:eastAsia="Times New Roman" w:cs="Calibri"/>
                <w:sz w:val="16"/>
                <w:szCs w:val="16"/>
              </w:rPr>
              <w:t>APM</w:t>
            </w:r>
          </w:p>
        </w:tc>
        <w:tc>
          <w:tcPr>
            <w:tcW w:w="1650" w:type="dxa"/>
            <w:shd w:val="clear" w:color="auto" w:fill="auto"/>
            <w:hideMark/>
          </w:tcPr>
          <w:p w14:paraId="4BEF9513" w14:textId="77777777" w:rsidR="00C537E5" w:rsidRPr="00884DD7" w:rsidRDefault="00C537E5" w:rsidP="00C537E5">
            <w:pPr>
              <w:spacing w:after="0"/>
              <w:rPr>
                <w:rFonts w:eastAsia="Times New Roman" w:cs="Calibri"/>
                <w:sz w:val="16"/>
                <w:szCs w:val="16"/>
              </w:rPr>
            </w:pPr>
            <w:r w:rsidRPr="00884DD7">
              <w:rPr>
                <w:rFonts w:eastAsia="Times New Roman" w:cs="Calibri"/>
                <w:sz w:val="16"/>
                <w:szCs w:val="16"/>
              </w:rPr>
              <w:t>Metabolic Monitoring for Children and Adolescents on Antipsychotics</w:t>
            </w:r>
          </w:p>
        </w:tc>
        <w:tc>
          <w:tcPr>
            <w:tcW w:w="810" w:type="dxa"/>
            <w:shd w:val="clear" w:color="auto" w:fill="auto"/>
            <w:noWrap/>
            <w:vAlign w:val="center"/>
          </w:tcPr>
          <w:p w14:paraId="4136D730" w14:textId="3C568B22" w:rsidR="00C537E5" w:rsidRPr="00394EC7" w:rsidRDefault="002144F1" w:rsidP="00C537E5">
            <w:pPr>
              <w:spacing w:after="0"/>
              <w:jc w:val="center"/>
              <w:rPr>
                <w:rFonts w:eastAsia="Times New Roman" w:cs="Calibri"/>
                <w:color w:val="000000"/>
                <w:sz w:val="16"/>
                <w:szCs w:val="16"/>
              </w:rPr>
            </w:pPr>
            <w:r>
              <w:rPr>
                <w:rFonts w:eastAsia="Times New Roman" w:cs="Calibri"/>
                <w:color w:val="000000"/>
                <w:sz w:val="16"/>
                <w:szCs w:val="16"/>
              </w:rPr>
              <w:t>42.7%</w:t>
            </w:r>
          </w:p>
        </w:tc>
        <w:tc>
          <w:tcPr>
            <w:tcW w:w="720" w:type="dxa"/>
            <w:shd w:val="clear" w:color="auto" w:fill="auto"/>
            <w:noWrap/>
            <w:vAlign w:val="center"/>
          </w:tcPr>
          <w:p w14:paraId="6FEA2BBE" w14:textId="63BC617E" w:rsidR="00C537E5" w:rsidRPr="00394EC7" w:rsidRDefault="651DC8B0"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35.5%</w:t>
            </w:r>
          </w:p>
        </w:tc>
        <w:tc>
          <w:tcPr>
            <w:tcW w:w="720" w:type="dxa"/>
            <w:shd w:val="clear" w:color="auto" w:fill="auto"/>
            <w:noWrap/>
            <w:vAlign w:val="center"/>
          </w:tcPr>
          <w:p w14:paraId="059D1A07" w14:textId="566B45F4" w:rsidR="00C537E5" w:rsidRPr="00394EC7" w:rsidRDefault="651DC8B0"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57.0%</w:t>
            </w:r>
          </w:p>
        </w:tc>
        <w:tc>
          <w:tcPr>
            <w:tcW w:w="720" w:type="dxa"/>
            <w:shd w:val="clear" w:color="auto" w:fill="auto"/>
            <w:noWrap/>
            <w:vAlign w:val="center"/>
          </w:tcPr>
          <w:p w14:paraId="76FC37B6" w14:textId="7B5EFE28" w:rsidR="00C537E5" w:rsidRPr="00394EC7" w:rsidRDefault="651DC8B0"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29.0%</w:t>
            </w:r>
          </w:p>
        </w:tc>
        <w:tc>
          <w:tcPr>
            <w:tcW w:w="720" w:type="dxa"/>
            <w:shd w:val="clear" w:color="auto" w:fill="auto"/>
            <w:noWrap/>
            <w:vAlign w:val="center"/>
          </w:tcPr>
          <w:p w14:paraId="44F231A9" w14:textId="0000C256" w:rsidR="00C537E5" w:rsidRPr="00394EC7" w:rsidRDefault="651DC8B0"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37.6%</w:t>
            </w:r>
          </w:p>
        </w:tc>
        <w:tc>
          <w:tcPr>
            <w:tcW w:w="720" w:type="dxa"/>
            <w:shd w:val="clear" w:color="auto" w:fill="auto"/>
            <w:noWrap/>
            <w:vAlign w:val="center"/>
          </w:tcPr>
          <w:p w14:paraId="1A67F3A4" w14:textId="263A0BA0" w:rsidR="00C537E5" w:rsidRPr="00394EC7" w:rsidRDefault="651DC8B0"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33.3%</w:t>
            </w:r>
          </w:p>
        </w:tc>
        <w:tc>
          <w:tcPr>
            <w:tcW w:w="810" w:type="dxa"/>
            <w:shd w:val="clear" w:color="auto" w:fill="auto"/>
            <w:noWrap/>
            <w:vAlign w:val="center"/>
          </w:tcPr>
          <w:p w14:paraId="20FAACDA" w14:textId="05E779BE" w:rsidR="00C537E5" w:rsidRPr="00394EC7" w:rsidRDefault="651DC8B0"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39.4%</w:t>
            </w:r>
          </w:p>
        </w:tc>
        <w:tc>
          <w:tcPr>
            <w:tcW w:w="720" w:type="dxa"/>
            <w:shd w:val="clear" w:color="auto" w:fill="auto"/>
            <w:noWrap/>
            <w:vAlign w:val="center"/>
          </w:tcPr>
          <w:p w14:paraId="4BC5EB9B" w14:textId="04B4023C" w:rsidR="00C537E5" w:rsidRPr="00394EC7" w:rsidRDefault="651DC8B0"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30.0%</w:t>
            </w:r>
          </w:p>
        </w:tc>
        <w:tc>
          <w:tcPr>
            <w:tcW w:w="720" w:type="dxa"/>
            <w:shd w:val="clear" w:color="auto" w:fill="auto"/>
            <w:noWrap/>
            <w:vAlign w:val="center"/>
          </w:tcPr>
          <w:p w14:paraId="02EC6CEF" w14:textId="6469E2E6" w:rsidR="00C537E5" w:rsidRPr="00394EC7" w:rsidRDefault="651DC8B0"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23.0%</w:t>
            </w:r>
          </w:p>
        </w:tc>
        <w:tc>
          <w:tcPr>
            <w:tcW w:w="1080" w:type="dxa"/>
            <w:shd w:val="clear" w:color="auto" w:fill="auto"/>
            <w:noWrap/>
            <w:vAlign w:val="center"/>
          </w:tcPr>
          <w:p w14:paraId="431BB536" w14:textId="6821F3CE" w:rsidR="00C537E5" w:rsidRPr="00394EC7" w:rsidRDefault="651DC8B0"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40.7%</w:t>
            </w:r>
          </w:p>
        </w:tc>
        <w:tc>
          <w:tcPr>
            <w:tcW w:w="720" w:type="dxa"/>
            <w:shd w:val="clear" w:color="auto" w:fill="auto"/>
            <w:noWrap/>
            <w:vAlign w:val="center"/>
          </w:tcPr>
          <w:p w14:paraId="1903AECA" w14:textId="3DD1651F" w:rsidR="00C537E5" w:rsidRPr="00394EC7" w:rsidRDefault="651DC8B0"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49.6%</w:t>
            </w:r>
          </w:p>
        </w:tc>
        <w:tc>
          <w:tcPr>
            <w:tcW w:w="810" w:type="dxa"/>
            <w:shd w:val="clear" w:color="auto" w:fill="auto"/>
            <w:noWrap/>
            <w:vAlign w:val="center"/>
          </w:tcPr>
          <w:p w14:paraId="3D554184" w14:textId="641CD6DC" w:rsidR="00C537E5" w:rsidRPr="00394EC7" w:rsidRDefault="651DC8B0"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46.5%</w:t>
            </w:r>
          </w:p>
        </w:tc>
        <w:tc>
          <w:tcPr>
            <w:tcW w:w="810" w:type="dxa"/>
            <w:shd w:val="clear" w:color="auto" w:fill="auto"/>
            <w:noWrap/>
            <w:vAlign w:val="center"/>
          </w:tcPr>
          <w:p w14:paraId="0ABF3F65" w14:textId="18C9066B" w:rsidR="00C537E5" w:rsidRPr="00394EC7" w:rsidRDefault="651DC8B0"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63.6%</w:t>
            </w:r>
          </w:p>
        </w:tc>
        <w:tc>
          <w:tcPr>
            <w:tcW w:w="810" w:type="dxa"/>
            <w:shd w:val="clear" w:color="auto" w:fill="auto"/>
            <w:noWrap/>
            <w:vAlign w:val="center"/>
          </w:tcPr>
          <w:p w14:paraId="65EFC262" w14:textId="6D672874" w:rsidR="00C537E5" w:rsidRPr="00394EC7" w:rsidRDefault="651DC8B0"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53.3%</w:t>
            </w:r>
          </w:p>
        </w:tc>
        <w:tc>
          <w:tcPr>
            <w:tcW w:w="720" w:type="dxa"/>
            <w:shd w:val="clear" w:color="auto" w:fill="auto"/>
            <w:noWrap/>
            <w:vAlign w:val="center"/>
          </w:tcPr>
          <w:p w14:paraId="3A010863" w14:textId="398B1B32" w:rsidR="00C537E5" w:rsidRPr="00394EC7" w:rsidRDefault="651DC8B0"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60.8%</w:t>
            </w:r>
          </w:p>
        </w:tc>
        <w:tc>
          <w:tcPr>
            <w:tcW w:w="720" w:type="dxa"/>
            <w:shd w:val="clear" w:color="auto" w:fill="auto"/>
            <w:noWrap/>
            <w:vAlign w:val="center"/>
          </w:tcPr>
          <w:p w14:paraId="54AB8F30" w14:textId="205D2FB1" w:rsidR="00C537E5" w:rsidRPr="00394EC7" w:rsidRDefault="651DC8B0"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34.3%</w:t>
            </w:r>
          </w:p>
        </w:tc>
        <w:tc>
          <w:tcPr>
            <w:tcW w:w="990" w:type="dxa"/>
            <w:shd w:val="clear" w:color="auto" w:fill="auto"/>
            <w:noWrap/>
            <w:vAlign w:val="center"/>
          </w:tcPr>
          <w:p w14:paraId="54A0FA61" w14:textId="76C28873" w:rsidR="00C537E5" w:rsidRPr="00394EC7" w:rsidRDefault="651DC8B0"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46.4%</w:t>
            </w:r>
          </w:p>
        </w:tc>
        <w:tc>
          <w:tcPr>
            <w:tcW w:w="720" w:type="dxa"/>
            <w:shd w:val="clear" w:color="auto" w:fill="auto"/>
            <w:noWrap/>
            <w:vAlign w:val="center"/>
          </w:tcPr>
          <w:p w14:paraId="3EB24231" w14:textId="6819AA3F" w:rsidR="00C537E5" w:rsidRPr="00394EC7" w:rsidRDefault="651DC8B0"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NA</w:t>
            </w:r>
          </w:p>
        </w:tc>
        <w:tc>
          <w:tcPr>
            <w:tcW w:w="720" w:type="dxa"/>
            <w:tcBorders>
              <w:bottom w:val="single" w:sz="4" w:space="0" w:color="auto"/>
            </w:tcBorders>
            <w:shd w:val="clear" w:color="auto" w:fill="FFFFFF" w:themeFill="background1"/>
            <w:noWrap/>
            <w:vAlign w:val="center"/>
          </w:tcPr>
          <w:p w14:paraId="57A21B4E" w14:textId="321D8837" w:rsidR="00C537E5" w:rsidRPr="00394EC7" w:rsidRDefault="00F71711" w:rsidP="00C537E5">
            <w:pPr>
              <w:spacing w:after="0"/>
              <w:jc w:val="center"/>
              <w:rPr>
                <w:rFonts w:eastAsia="Times New Roman" w:cs="Calibri"/>
                <w:color w:val="000000"/>
                <w:sz w:val="16"/>
                <w:szCs w:val="16"/>
              </w:rPr>
            </w:pPr>
            <w:r>
              <w:rPr>
                <w:rFonts w:eastAsia="Times New Roman" w:cs="Calibri"/>
                <w:color w:val="000000"/>
                <w:sz w:val="16"/>
                <w:szCs w:val="16"/>
              </w:rPr>
              <w:t>28.1%</w:t>
            </w:r>
          </w:p>
        </w:tc>
        <w:tc>
          <w:tcPr>
            <w:tcW w:w="720" w:type="dxa"/>
            <w:tcBorders>
              <w:bottom w:val="single" w:sz="4" w:space="0" w:color="auto"/>
            </w:tcBorders>
            <w:shd w:val="clear" w:color="auto" w:fill="auto"/>
            <w:noWrap/>
            <w:vAlign w:val="center"/>
          </w:tcPr>
          <w:p w14:paraId="00FE6072" w14:textId="6AD7BB52" w:rsidR="00C537E5" w:rsidRPr="00394EC7" w:rsidRDefault="2185BCCD" w:rsidP="00C537E5">
            <w:pPr>
              <w:spacing w:after="0"/>
              <w:jc w:val="center"/>
              <w:rPr>
                <w:rFonts w:eastAsia="Times New Roman" w:cs="Calibri"/>
                <w:color w:val="000000"/>
                <w:sz w:val="16"/>
                <w:szCs w:val="16"/>
              </w:rPr>
            </w:pPr>
            <w:r w:rsidRPr="3E5DA59D">
              <w:rPr>
                <w:rFonts w:eastAsia="Times New Roman" w:cs="Calibri"/>
                <w:color w:val="000000" w:themeColor="text1"/>
                <w:sz w:val="16"/>
                <w:szCs w:val="16"/>
              </w:rPr>
              <w:t>31.9%</w:t>
            </w:r>
          </w:p>
        </w:tc>
        <w:tc>
          <w:tcPr>
            <w:tcW w:w="720" w:type="dxa"/>
            <w:tcBorders>
              <w:bottom w:val="single" w:sz="4" w:space="0" w:color="auto"/>
            </w:tcBorders>
            <w:shd w:val="clear" w:color="auto" w:fill="auto"/>
            <w:noWrap/>
            <w:vAlign w:val="center"/>
          </w:tcPr>
          <w:p w14:paraId="39C6B87A" w14:textId="1E64208C" w:rsidR="00C537E5" w:rsidRPr="00394EC7" w:rsidRDefault="2185BCCD" w:rsidP="00C537E5">
            <w:pPr>
              <w:spacing w:after="0"/>
              <w:jc w:val="center"/>
              <w:rPr>
                <w:rFonts w:eastAsia="Times New Roman" w:cs="Calibri"/>
                <w:color w:val="000000"/>
                <w:sz w:val="16"/>
                <w:szCs w:val="16"/>
              </w:rPr>
            </w:pPr>
            <w:r w:rsidRPr="3E5DA59D">
              <w:rPr>
                <w:rFonts w:eastAsia="Times New Roman" w:cs="Calibri"/>
                <w:color w:val="000000" w:themeColor="text1"/>
                <w:sz w:val="16"/>
                <w:szCs w:val="16"/>
              </w:rPr>
              <w:t>27.0%</w:t>
            </w:r>
          </w:p>
        </w:tc>
      </w:tr>
      <w:tr w:rsidR="68129C33" w14:paraId="014924E4" w14:textId="77777777" w:rsidTr="4EB40283">
        <w:trPr>
          <w:trHeight w:val="405"/>
        </w:trPr>
        <w:tc>
          <w:tcPr>
            <w:tcW w:w="2040" w:type="dxa"/>
            <w:shd w:val="clear" w:color="auto" w:fill="auto"/>
            <w:noWrap/>
            <w:hideMark/>
          </w:tcPr>
          <w:p w14:paraId="6C69FB32" w14:textId="4CE7F1C0" w:rsidR="33124291" w:rsidRDefault="33124291" w:rsidP="68129C33">
            <w:pPr>
              <w:jc w:val="center"/>
              <w:rPr>
                <w:rFonts w:eastAsia="Times New Roman" w:cs="Calibri"/>
                <w:sz w:val="16"/>
                <w:szCs w:val="16"/>
              </w:rPr>
            </w:pPr>
            <w:r w:rsidRPr="68129C33">
              <w:rPr>
                <w:rFonts w:eastAsia="Times New Roman" w:cs="Calibri"/>
                <w:sz w:val="16"/>
                <w:szCs w:val="16"/>
              </w:rPr>
              <w:t>ED-SMI</w:t>
            </w:r>
          </w:p>
        </w:tc>
        <w:tc>
          <w:tcPr>
            <w:tcW w:w="1650" w:type="dxa"/>
            <w:shd w:val="clear" w:color="auto" w:fill="auto"/>
            <w:hideMark/>
          </w:tcPr>
          <w:p w14:paraId="3E54774C" w14:textId="079F2511" w:rsidR="68129C33" w:rsidRDefault="48FF81DE" w:rsidP="3E5DA59D">
            <w:pPr>
              <w:rPr>
                <w:rFonts w:eastAsia="Times New Roman" w:cs="Calibri"/>
                <w:color w:val="000000" w:themeColor="text1"/>
                <w:sz w:val="16"/>
                <w:szCs w:val="16"/>
              </w:rPr>
            </w:pPr>
            <w:r w:rsidRPr="3E5DA59D">
              <w:rPr>
                <w:rFonts w:eastAsia="Times New Roman" w:cs="Calibri"/>
                <w:color w:val="000000" w:themeColor="text1"/>
                <w:sz w:val="16"/>
                <w:szCs w:val="16"/>
              </w:rPr>
              <w:t>Risk adjusted ratio (</w:t>
            </w:r>
            <w:proofErr w:type="spellStart"/>
            <w:r w:rsidRPr="3E5DA59D">
              <w:rPr>
                <w:rFonts w:eastAsia="Times New Roman" w:cs="Calibri"/>
                <w:color w:val="000000" w:themeColor="text1"/>
                <w:sz w:val="16"/>
                <w:szCs w:val="16"/>
              </w:rPr>
              <w:t>obs</w:t>
            </w:r>
            <w:proofErr w:type="spellEnd"/>
            <w:r w:rsidRPr="3E5DA59D">
              <w:rPr>
                <w:rFonts w:eastAsia="Times New Roman" w:cs="Calibri"/>
                <w:color w:val="000000" w:themeColor="text1"/>
                <w:sz w:val="16"/>
                <w:szCs w:val="16"/>
              </w:rPr>
              <w:t xml:space="preserve">/exp) of ED visits </w:t>
            </w:r>
            <w:r w:rsidRPr="3E5DA59D">
              <w:rPr>
                <w:rFonts w:eastAsia="Times New Roman" w:cs="Calibri"/>
                <w:color w:val="000000" w:themeColor="text1"/>
                <w:sz w:val="16"/>
                <w:szCs w:val="16"/>
              </w:rPr>
              <w:lastRenderedPageBreak/>
              <w:t>for members 18-65 identified with a diagnosis of serious mental illness, substance addiction, or co-occurring conditions</w:t>
            </w:r>
          </w:p>
        </w:tc>
        <w:tc>
          <w:tcPr>
            <w:tcW w:w="810" w:type="dxa"/>
            <w:shd w:val="clear" w:color="auto" w:fill="auto"/>
            <w:noWrap/>
            <w:vAlign w:val="center"/>
          </w:tcPr>
          <w:p w14:paraId="2BAFF78E" w14:textId="5D33549B" w:rsidR="68129C33" w:rsidRDefault="00DD20CF" w:rsidP="68129C33">
            <w:pPr>
              <w:jc w:val="center"/>
              <w:rPr>
                <w:rFonts w:eastAsia="Times New Roman" w:cs="Calibri"/>
                <w:color w:val="000000" w:themeColor="text1"/>
                <w:sz w:val="16"/>
                <w:szCs w:val="16"/>
              </w:rPr>
            </w:pPr>
            <w:r>
              <w:rPr>
                <w:rFonts w:eastAsia="Times New Roman" w:cs="Calibri"/>
                <w:color w:val="000000" w:themeColor="text1"/>
                <w:sz w:val="16"/>
                <w:szCs w:val="16"/>
              </w:rPr>
              <w:lastRenderedPageBreak/>
              <w:t>1.5088</w:t>
            </w:r>
          </w:p>
        </w:tc>
        <w:tc>
          <w:tcPr>
            <w:tcW w:w="720" w:type="dxa"/>
            <w:shd w:val="clear" w:color="auto" w:fill="auto"/>
            <w:noWrap/>
            <w:vAlign w:val="center"/>
          </w:tcPr>
          <w:p w14:paraId="61BAA5EA" w14:textId="4D82D6E6" w:rsidR="33124291" w:rsidRDefault="33124291" w:rsidP="68129C33">
            <w:pPr>
              <w:jc w:val="center"/>
              <w:rPr>
                <w:rFonts w:eastAsia="Times New Roman" w:cs="Calibri"/>
                <w:color w:val="000000" w:themeColor="text1"/>
                <w:sz w:val="16"/>
                <w:szCs w:val="16"/>
              </w:rPr>
            </w:pPr>
            <w:r w:rsidRPr="68129C33">
              <w:rPr>
                <w:rFonts w:eastAsia="Times New Roman" w:cs="Calibri"/>
                <w:color w:val="000000" w:themeColor="text1"/>
                <w:sz w:val="16"/>
                <w:szCs w:val="16"/>
              </w:rPr>
              <w:t>1.432</w:t>
            </w:r>
          </w:p>
        </w:tc>
        <w:tc>
          <w:tcPr>
            <w:tcW w:w="720" w:type="dxa"/>
            <w:shd w:val="clear" w:color="auto" w:fill="auto"/>
            <w:noWrap/>
            <w:vAlign w:val="center"/>
          </w:tcPr>
          <w:p w14:paraId="190B4692" w14:textId="33F667CF" w:rsidR="33124291" w:rsidRDefault="00E37A7A" w:rsidP="68129C33">
            <w:pPr>
              <w:jc w:val="center"/>
              <w:rPr>
                <w:rFonts w:eastAsia="Times New Roman" w:cs="Calibri"/>
                <w:color w:val="000000" w:themeColor="text1"/>
                <w:sz w:val="16"/>
                <w:szCs w:val="16"/>
              </w:rPr>
            </w:pPr>
            <w:r>
              <w:rPr>
                <w:rFonts w:eastAsia="Times New Roman" w:cs="Calibri"/>
                <w:color w:val="000000" w:themeColor="text1"/>
                <w:sz w:val="16"/>
                <w:szCs w:val="16"/>
              </w:rPr>
              <w:t>1</w:t>
            </w:r>
            <w:r w:rsidR="33124291" w:rsidRPr="68129C33">
              <w:rPr>
                <w:rFonts w:eastAsia="Times New Roman" w:cs="Calibri"/>
                <w:color w:val="000000" w:themeColor="text1"/>
                <w:sz w:val="16"/>
                <w:szCs w:val="16"/>
              </w:rPr>
              <w:t>1.189</w:t>
            </w:r>
          </w:p>
        </w:tc>
        <w:tc>
          <w:tcPr>
            <w:tcW w:w="720" w:type="dxa"/>
            <w:shd w:val="clear" w:color="auto" w:fill="auto"/>
            <w:noWrap/>
            <w:vAlign w:val="center"/>
          </w:tcPr>
          <w:p w14:paraId="78F578B1" w14:textId="201E5AF3" w:rsidR="33124291" w:rsidRDefault="33124291" w:rsidP="68129C33">
            <w:pPr>
              <w:jc w:val="center"/>
              <w:rPr>
                <w:rFonts w:eastAsia="Times New Roman" w:cs="Calibri"/>
                <w:color w:val="000000" w:themeColor="text1"/>
                <w:sz w:val="16"/>
                <w:szCs w:val="16"/>
              </w:rPr>
            </w:pPr>
            <w:r w:rsidRPr="68129C33">
              <w:rPr>
                <w:rFonts w:eastAsia="Times New Roman" w:cs="Calibri"/>
                <w:color w:val="000000" w:themeColor="text1"/>
                <w:sz w:val="16"/>
                <w:szCs w:val="16"/>
              </w:rPr>
              <w:t>1.552</w:t>
            </w:r>
          </w:p>
        </w:tc>
        <w:tc>
          <w:tcPr>
            <w:tcW w:w="720" w:type="dxa"/>
            <w:shd w:val="clear" w:color="auto" w:fill="auto"/>
            <w:noWrap/>
            <w:vAlign w:val="center"/>
          </w:tcPr>
          <w:p w14:paraId="3F7A8AA4" w14:textId="4793E9AE" w:rsidR="33124291" w:rsidRDefault="33124291" w:rsidP="68129C33">
            <w:pPr>
              <w:jc w:val="center"/>
              <w:rPr>
                <w:rFonts w:eastAsia="Times New Roman" w:cs="Calibri"/>
                <w:color w:val="000000" w:themeColor="text1"/>
                <w:sz w:val="16"/>
                <w:szCs w:val="16"/>
              </w:rPr>
            </w:pPr>
            <w:r w:rsidRPr="68129C33">
              <w:rPr>
                <w:rFonts w:eastAsia="Times New Roman" w:cs="Calibri"/>
                <w:color w:val="000000" w:themeColor="text1"/>
                <w:sz w:val="16"/>
                <w:szCs w:val="16"/>
              </w:rPr>
              <w:t>1.2</w:t>
            </w:r>
          </w:p>
        </w:tc>
        <w:tc>
          <w:tcPr>
            <w:tcW w:w="720" w:type="dxa"/>
            <w:shd w:val="clear" w:color="auto" w:fill="auto"/>
            <w:noWrap/>
            <w:vAlign w:val="center"/>
          </w:tcPr>
          <w:p w14:paraId="2C4E1B2F" w14:textId="1078840B" w:rsidR="33124291" w:rsidRDefault="33124291" w:rsidP="68129C33">
            <w:pPr>
              <w:jc w:val="center"/>
              <w:rPr>
                <w:rFonts w:eastAsia="Times New Roman" w:cs="Calibri"/>
                <w:color w:val="000000" w:themeColor="text1"/>
                <w:sz w:val="16"/>
                <w:szCs w:val="16"/>
              </w:rPr>
            </w:pPr>
            <w:r w:rsidRPr="68129C33">
              <w:rPr>
                <w:rFonts w:eastAsia="Times New Roman" w:cs="Calibri"/>
                <w:color w:val="000000" w:themeColor="text1"/>
                <w:sz w:val="16"/>
                <w:szCs w:val="16"/>
              </w:rPr>
              <w:t>1.494</w:t>
            </w:r>
          </w:p>
        </w:tc>
        <w:tc>
          <w:tcPr>
            <w:tcW w:w="810" w:type="dxa"/>
            <w:shd w:val="clear" w:color="auto" w:fill="auto"/>
            <w:noWrap/>
            <w:vAlign w:val="center"/>
          </w:tcPr>
          <w:p w14:paraId="395F2D04" w14:textId="7A6E4693" w:rsidR="33124291" w:rsidRDefault="33124291" w:rsidP="68129C33">
            <w:pPr>
              <w:jc w:val="center"/>
              <w:rPr>
                <w:rFonts w:eastAsia="Times New Roman" w:cs="Calibri"/>
                <w:color w:val="000000" w:themeColor="text1"/>
                <w:sz w:val="16"/>
                <w:szCs w:val="16"/>
              </w:rPr>
            </w:pPr>
            <w:r w:rsidRPr="68129C33">
              <w:rPr>
                <w:rFonts w:eastAsia="Times New Roman" w:cs="Calibri"/>
                <w:color w:val="000000" w:themeColor="text1"/>
                <w:sz w:val="16"/>
                <w:szCs w:val="16"/>
              </w:rPr>
              <w:t>1.29</w:t>
            </w:r>
          </w:p>
        </w:tc>
        <w:tc>
          <w:tcPr>
            <w:tcW w:w="720" w:type="dxa"/>
            <w:shd w:val="clear" w:color="auto" w:fill="auto"/>
            <w:noWrap/>
            <w:vAlign w:val="center"/>
          </w:tcPr>
          <w:p w14:paraId="5AE4F999" w14:textId="73967886" w:rsidR="33124291" w:rsidRDefault="33124291" w:rsidP="68129C33">
            <w:pPr>
              <w:jc w:val="center"/>
              <w:rPr>
                <w:rFonts w:eastAsia="Times New Roman" w:cs="Calibri"/>
                <w:color w:val="000000" w:themeColor="text1"/>
                <w:sz w:val="16"/>
                <w:szCs w:val="16"/>
              </w:rPr>
            </w:pPr>
            <w:r w:rsidRPr="68129C33">
              <w:rPr>
                <w:rFonts w:eastAsia="Times New Roman" w:cs="Calibri"/>
                <w:color w:val="000000" w:themeColor="text1"/>
                <w:sz w:val="16"/>
                <w:szCs w:val="16"/>
              </w:rPr>
              <w:t>1.474</w:t>
            </w:r>
          </w:p>
        </w:tc>
        <w:tc>
          <w:tcPr>
            <w:tcW w:w="720" w:type="dxa"/>
            <w:shd w:val="clear" w:color="auto" w:fill="auto"/>
            <w:noWrap/>
            <w:vAlign w:val="center"/>
          </w:tcPr>
          <w:p w14:paraId="557DD115" w14:textId="6E9AA816" w:rsidR="33124291" w:rsidRDefault="33124291" w:rsidP="68129C33">
            <w:pPr>
              <w:jc w:val="center"/>
              <w:rPr>
                <w:rFonts w:eastAsia="Times New Roman" w:cs="Calibri"/>
                <w:color w:val="000000" w:themeColor="text1"/>
                <w:sz w:val="16"/>
                <w:szCs w:val="16"/>
              </w:rPr>
            </w:pPr>
            <w:r w:rsidRPr="68129C33">
              <w:rPr>
                <w:rFonts w:eastAsia="Times New Roman" w:cs="Calibri"/>
                <w:color w:val="000000" w:themeColor="text1"/>
                <w:sz w:val="16"/>
                <w:szCs w:val="16"/>
              </w:rPr>
              <w:t>1.642</w:t>
            </w:r>
          </w:p>
        </w:tc>
        <w:tc>
          <w:tcPr>
            <w:tcW w:w="1080" w:type="dxa"/>
            <w:shd w:val="clear" w:color="auto" w:fill="auto"/>
            <w:noWrap/>
            <w:vAlign w:val="center"/>
          </w:tcPr>
          <w:p w14:paraId="67C8BF2D" w14:textId="3E2F3420" w:rsidR="33124291" w:rsidRDefault="33124291" w:rsidP="68129C33">
            <w:pPr>
              <w:jc w:val="center"/>
              <w:rPr>
                <w:rFonts w:eastAsia="Times New Roman" w:cs="Calibri"/>
                <w:color w:val="000000" w:themeColor="text1"/>
                <w:sz w:val="16"/>
                <w:szCs w:val="16"/>
              </w:rPr>
            </w:pPr>
            <w:r w:rsidRPr="68129C33">
              <w:rPr>
                <w:rFonts w:eastAsia="Times New Roman" w:cs="Calibri"/>
                <w:color w:val="000000" w:themeColor="text1"/>
                <w:sz w:val="16"/>
                <w:szCs w:val="16"/>
              </w:rPr>
              <w:t>1.574</w:t>
            </w:r>
          </w:p>
        </w:tc>
        <w:tc>
          <w:tcPr>
            <w:tcW w:w="720" w:type="dxa"/>
            <w:shd w:val="clear" w:color="auto" w:fill="auto"/>
            <w:noWrap/>
            <w:vAlign w:val="center"/>
          </w:tcPr>
          <w:p w14:paraId="1913982B" w14:textId="33EF8B43" w:rsidR="33124291" w:rsidRDefault="33124291" w:rsidP="68129C33">
            <w:pPr>
              <w:jc w:val="center"/>
              <w:rPr>
                <w:rFonts w:eastAsia="Times New Roman" w:cs="Calibri"/>
                <w:color w:val="000000" w:themeColor="text1"/>
                <w:sz w:val="16"/>
                <w:szCs w:val="16"/>
              </w:rPr>
            </w:pPr>
            <w:r w:rsidRPr="68129C33">
              <w:rPr>
                <w:rFonts w:eastAsia="Times New Roman" w:cs="Calibri"/>
                <w:color w:val="000000" w:themeColor="text1"/>
                <w:sz w:val="16"/>
                <w:szCs w:val="16"/>
              </w:rPr>
              <w:t>1.561</w:t>
            </w:r>
          </w:p>
        </w:tc>
        <w:tc>
          <w:tcPr>
            <w:tcW w:w="810" w:type="dxa"/>
            <w:shd w:val="clear" w:color="auto" w:fill="auto"/>
            <w:noWrap/>
            <w:vAlign w:val="center"/>
          </w:tcPr>
          <w:p w14:paraId="6B95A8EB" w14:textId="07BE68CD" w:rsidR="33124291" w:rsidRDefault="33124291" w:rsidP="68129C33">
            <w:pPr>
              <w:jc w:val="center"/>
              <w:rPr>
                <w:rFonts w:eastAsia="Times New Roman" w:cs="Calibri"/>
                <w:color w:val="000000" w:themeColor="text1"/>
                <w:sz w:val="16"/>
                <w:szCs w:val="16"/>
              </w:rPr>
            </w:pPr>
            <w:r w:rsidRPr="68129C33">
              <w:rPr>
                <w:rFonts w:eastAsia="Times New Roman" w:cs="Calibri"/>
                <w:color w:val="000000" w:themeColor="text1"/>
                <w:sz w:val="16"/>
                <w:szCs w:val="16"/>
              </w:rPr>
              <w:t>1.249</w:t>
            </w:r>
          </w:p>
        </w:tc>
        <w:tc>
          <w:tcPr>
            <w:tcW w:w="810" w:type="dxa"/>
            <w:shd w:val="clear" w:color="auto" w:fill="auto"/>
            <w:noWrap/>
            <w:vAlign w:val="center"/>
          </w:tcPr>
          <w:p w14:paraId="25EF4EE9" w14:textId="2EC743AF" w:rsidR="33124291" w:rsidRDefault="33124291" w:rsidP="68129C33">
            <w:pPr>
              <w:jc w:val="center"/>
              <w:rPr>
                <w:rFonts w:eastAsia="Times New Roman" w:cs="Calibri"/>
                <w:color w:val="000000" w:themeColor="text1"/>
                <w:sz w:val="16"/>
                <w:szCs w:val="16"/>
              </w:rPr>
            </w:pPr>
            <w:r w:rsidRPr="68129C33">
              <w:rPr>
                <w:rFonts w:eastAsia="Times New Roman" w:cs="Calibri"/>
                <w:color w:val="000000" w:themeColor="text1"/>
                <w:sz w:val="16"/>
                <w:szCs w:val="16"/>
              </w:rPr>
              <w:t>1.529</w:t>
            </w:r>
          </w:p>
        </w:tc>
        <w:tc>
          <w:tcPr>
            <w:tcW w:w="810" w:type="dxa"/>
            <w:shd w:val="clear" w:color="auto" w:fill="auto"/>
            <w:noWrap/>
            <w:vAlign w:val="center"/>
          </w:tcPr>
          <w:p w14:paraId="395B4B79" w14:textId="2D7C67CB" w:rsidR="33124291" w:rsidRDefault="33124291" w:rsidP="68129C33">
            <w:pPr>
              <w:jc w:val="center"/>
              <w:rPr>
                <w:rFonts w:eastAsia="Times New Roman" w:cs="Calibri"/>
                <w:color w:val="000000" w:themeColor="text1"/>
                <w:sz w:val="16"/>
                <w:szCs w:val="16"/>
              </w:rPr>
            </w:pPr>
            <w:r w:rsidRPr="68129C33">
              <w:rPr>
                <w:rFonts w:eastAsia="Times New Roman" w:cs="Calibri"/>
                <w:color w:val="000000" w:themeColor="text1"/>
                <w:sz w:val="16"/>
                <w:szCs w:val="16"/>
              </w:rPr>
              <w:t>1.298</w:t>
            </w:r>
          </w:p>
        </w:tc>
        <w:tc>
          <w:tcPr>
            <w:tcW w:w="720" w:type="dxa"/>
            <w:shd w:val="clear" w:color="auto" w:fill="auto"/>
            <w:noWrap/>
            <w:vAlign w:val="center"/>
          </w:tcPr>
          <w:p w14:paraId="01E46AC2" w14:textId="18A69AB5" w:rsidR="33124291" w:rsidRDefault="33124291" w:rsidP="68129C33">
            <w:pPr>
              <w:jc w:val="center"/>
              <w:rPr>
                <w:rFonts w:eastAsia="Times New Roman" w:cs="Calibri"/>
                <w:color w:val="000000" w:themeColor="text1"/>
                <w:sz w:val="16"/>
                <w:szCs w:val="16"/>
              </w:rPr>
            </w:pPr>
            <w:r w:rsidRPr="68129C33">
              <w:rPr>
                <w:rFonts w:eastAsia="Times New Roman" w:cs="Calibri"/>
                <w:color w:val="000000" w:themeColor="text1"/>
                <w:sz w:val="16"/>
                <w:szCs w:val="16"/>
              </w:rPr>
              <w:t>1.639</w:t>
            </w:r>
          </w:p>
        </w:tc>
        <w:tc>
          <w:tcPr>
            <w:tcW w:w="720" w:type="dxa"/>
            <w:shd w:val="clear" w:color="auto" w:fill="auto"/>
            <w:noWrap/>
            <w:vAlign w:val="center"/>
          </w:tcPr>
          <w:p w14:paraId="0CCAAAEF" w14:textId="4A89E1ED" w:rsidR="33124291" w:rsidRDefault="33124291" w:rsidP="68129C33">
            <w:pPr>
              <w:jc w:val="center"/>
              <w:rPr>
                <w:rFonts w:eastAsia="Times New Roman" w:cs="Calibri"/>
                <w:color w:val="000000" w:themeColor="text1"/>
                <w:sz w:val="16"/>
                <w:szCs w:val="16"/>
              </w:rPr>
            </w:pPr>
            <w:r w:rsidRPr="68129C33">
              <w:rPr>
                <w:rFonts w:eastAsia="Times New Roman" w:cs="Calibri"/>
                <w:color w:val="000000" w:themeColor="text1"/>
                <w:sz w:val="16"/>
                <w:szCs w:val="16"/>
              </w:rPr>
              <w:t>1.474</w:t>
            </w:r>
          </w:p>
        </w:tc>
        <w:tc>
          <w:tcPr>
            <w:tcW w:w="990" w:type="dxa"/>
            <w:shd w:val="clear" w:color="auto" w:fill="auto"/>
            <w:noWrap/>
            <w:vAlign w:val="center"/>
          </w:tcPr>
          <w:p w14:paraId="673D1C1A" w14:textId="26AD2893" w:rsidR="33124291" w:rsidRDefault="33124291" w:rsidP="68129C33">
            <w:pPr>
              <w:jc w:val="center"/>
              <w:rPr>
                <w:rFonts w:eastAsia="Times New Roman" w:cs="Calibri"/>
                <w:color w:val="000000" w:themeColor="text1"/>
                <w:sz w:val="16"/>
                <w:szCs w:val="16"/>
              </w:rPr>
            </w:pPr>
            <w:r w:rsidRPr="68129C33">
              <w:rPr>
                <w:rFonts w:eastAsia="Times New Roman" w:cs="Calibri"/>
                <w:color w:val="000000" w:themeColor="text1"/>
                <w:sz w:val="16"/>
                <w:szCs w:val="16"/>
              </w:rPr>
              <w:t>1.631</w:t>
            </w:r>
          </w:p>
        </w:tc>
        <w:tc>
          <w:tcPr>
            <w:tcW w:w="720" w:type="dxa"/>
            <w:shd w:val="clear" w:color="auto" w:fill="auto"/>
            <w:noWrap/>
            <w:vAlign w:val="center"/>
          </w:tcPr>
          <w:p w14:paraId="3C9596C1" w14:textId="5BFA6352" w:rsidR="33124291" w:rsidRDefault="33124291" w:rsidP="68129C33">
            <w:pPr>
              <w:jc w:val="center"/>
              <w:rPr>
                <w:rFonts w:eastAsia="Times New Roman" w:cs="Calibri"/>
                <w:color w:val="000000" w:themeColor="text1"/>
                <w:sz w:val="16"/>
                <w:szCs w:val="16"/>
              </w:rPr>
            </w:pPr>
            <w:r w:rsidRPr="68129C33">
              <w:rPr>
                <w:rFonts w:eastAsia="Times New Roman" w:cs="Calibri"/>
                <w:color w:val="000000" w:themeColor="text1"/>
                <w:sz w:val="16"/>
                <w:szCs w:val="16"/>
              </w:rPr>
              <w:t>1.467</w:t>
            </w:r>
          </w:p>
        </w:tc>
        <w:tc>
          <w:tcPr>
            <w:tcW w:w="720" w:type="dxa"/>
            <w:tcBorders>
              <w:bottom w:val="single" w:sz="4" w:space="0" w:color="auto"/>
            </w:tcBorders>
            <w:shd w:val="clear" w:color="auto" w:fill="FFFFFF" w:themeFill="background1"/>
            <w:noWrap/>
            <w:vAlign w:val="center"/>
          </w:tcPr>
          <w:p w14:paraId="6690ADA5" w14:textId="20CD11A1" w:rsidR="68129C33" w:rsidRDefault="0066752F" w:rsidP="68129C33">
            <w:pPr>
              <w:jc w:val="center"/>
              <w:rPr>
                <w:rFonts w:eastAsia="Times New Roman" w:cs="Calibri"/>
                <w:color w:val="000000" w:themeColor="text1"/>
                <w:sz w:val="16"/>
                <w:szCs w:val="16"/>
              </w:rPr>
            </w:pPr>
            <w:r>
              <w:rPr>
                <w:rFonts w:eastAsia="Times New Roman" w:cs="Calibri"/>
                <w:color w:val="000000" w:themeColor="text1"/>
                <w:sz w:val="16"/>
                <w:szCs w:val="16"/>
              </w:rPr>
              <w:t>0.8009</w:t>
            </w:r>
          </w:p>
        </w:tc>
        <w:tc>
          <w:tcPr>
            <w:tcW w:w="720" w:type="dxa"/>
            <w:tcBorders>
              <w:bottom w:val="single" w:sz="4" w:space="0" w:color="auto"/>
            </w:tcBorders>
            <w:shd w:val="clear" w:color="auto" w:fill="auto"/>
            <w:noWrap/>
            <w:vAlign w:val="center"/>
          </w:tcPr>
          <w:p w14:paraId="22F99C33" w14:textId="63CF245E" w:rsidR="3E5DA59D" w:rsidRDefault="00B011FB" w:rsidP="3E5DA59D">
            <w:pPr>
              <w:spacing w:after="0"/>
              <w:jc w:val="center"/>
              <w:rPr>
                <w:rFonts w:eastAsia="Times New Roman" w:cs="Calibri"/>
                <w:color w:val="000000" w:themeColor="text1"/>
                <w:sz w:val="18"/>
                <w:szCs w:val="18"/>
              </w:rPr>
            </w:pPr>
            <w:r>
              <w:rPr>
                <w:rFonts w:eastAsia="Times New Roman" w:cs="Calibri"/>
                <w:color w:val="000000" w:themeColor="text1"/>
                <w:sz w:val="16"/>
                <w:szCs w:val="16"/>
              </w:rPr>
              <w:t>0.8058</w:t>
            </w:r>
          </w:p>
        </w:tc>
        <w:tc>
          <w:tcPr>
            <w:tcW w:w="720" w:type="dxa"/>
            <w:tcBorders>
              <w:bottom w:val="single" w:sz="4" w:space="0" w:color="auto"/>
            </w:tcBorders>
            <w:shd w:val="clear" w:color="auto" w:fill="auto"/>
            <w:noWrap/>
            <w:vAlign w:val="center"/>
          </w:tcPr>
          <w:p w14:paraId="7EF303A7" w14:textId="3C41B8C1" w:rsidR="3E5DA59D" w:rsidRDefault="00B011FB" w:rsidP="3E5DA59D">
            <w:pPr>
              <w:spacing w:after="0"/>
              <w:jc w:val="center"/>
              <w:rPr>
                <w:rFonts w:eastAsia="Times New Roman" w:cs="Calibri"/>
                <w:color w:val="000000" w:themeColor="text1"/>
                <w:sz w:val="18"/>
                <w:szCs w:val="18"/>
              </w:rPr>
            </w:pPr>
            <w:r>
              <w:rPr>
                <w:rFonts w:cs="Calibri"/>
                <w:color w:val="000000" w:themeColor="text1"/>
                <w:sz w:val="18"/>
                <w:szCs w:val="18"/>
              </w:rPr>
              <w:t>0.7970</w:t>
            </w:r>
          </w:p>
        </w:tc>
      </w:tr>
      <w:tr w:rsidR="00255A16" w:rsidRPr="00884DD7" w14:paraId="2294142B" w14:textId="77777777" w:rsidTr="4EB40283">
        <w:trPr>
          <w:trHeight w:val="300"/>
        </w:trPr>
        <w:tc>
          <w:tcPr>
            <w:tcW w:w="2040" w:type="dxa"/>
            <w:shd w:val="clear" w:color="auto" w:fill="auto"/>
            <w:noWrap/>
            <w:hideMark/>
          </w:tcPr>
          <w:p w14:paraId="7799BCB5" w14:textId="77777777" w:rsidR="00C537E5" w:rsidRPr="008D1B70" w:rsidRDefault="00C537E5" w:rsidP="00C537E5">
            <w:pPr>
              <w:spacing w:after="0"/>
              <w:jc w:val="center"/>
              <w:rPr>
                <w:rFonts w:eastAsia="Times New Roman" w:cs="Calibri"/>
                <w:sz w:val="16"/>
                <w:szCs w:val="16"/>
              </w:rPr>
            </w:pPr>
            <w:r w:rsidRPr="008D1B70">
              <w:rPr>
                <w:rFonts w:eastAsia="Times New Roman" w:cs="Calibri"/>
                <w:sz w:val="16"/>
                <w:szCs w:val="16"/>
              </w:rPr>
              <w:t>DRR</w:t>
            </w:r>
          </w:p>
        </w:tc>
        <w:tc>
          <w:tcPr>
            <w:tcW w:w="1650" w:type="dxa"/>
            <w:shd w:val="clear" w:color="auto" w:fill="auto"/>
            <w:hideMark/>
          </w:tcPr>
          <w:p w14:paraId="5FE9588C" w14:textId="77777777" w:rsidR="00C537E5" w:rsidRPr="00884DD7" w:rsidRDefault="00C537E5" w:rsidP="00C537E5">
            <w:pPr>
              <w:spacing w:after="0"/>
              <w:rPr>
                <w:rFonts w:eastAsia="Times New Roman" w:cs="Calibri"/>
                <w:sz w:val="16"/>
                <w:szCs w:val="16"/>
              </w:rPr>
            </w:pPr>
            <w:r w:rsidRPr="00884DD7">
              <w:rPr>
                <w:rFonts w:eastAsia="Times New Roman" w:cs="Calibri"/>
                <w:sz w:val="16"/>
                <w:szCs w:val="16"/>
              </w:rPr>
              <w:t>Depression Remission or Response</w:t>
            </w:r>
          </w:p>
        </w:tc>
        <w:tc>
          <w:tcPr>
            <w:tcW w:w="810" w:type="dxa"/>
            <w:shd w:val="clear" w:color="auto" w:fill="auto"/>
            <w:noWrap/>
            <w:vAlign w:val="center"/>
          </w:tcPr>
          <w:p w14:paraId="15F6E92D" w14:textId="69051212" w:rsidR="00C537E5" w:rsidRPr="00394EC7" w:rsidRDefault="00004D71" w:rsidP="00C537E5">
            <w:pPr>
              <w:spacing w:after="0"/>
              <w:jc w:val="center"/>
              <w:rPr>
                <w:rFonts w:eastAsia="Times New Roman" w:cs="Calibri"/>
                <w:color w:val="000000"/>
                <w:sz w:val="16"/>
                <w:szCs w:val="16"/>
              </w:rPr>
            </w:pPr>
            <w:r>
              <w:rPr>
                <w:rFonts w:eastAsia="Times New Roman" w:cs="Calibri"/>
                <w:color w:val="000000"/>
                <w:sz w:val="16"/>
                <w:szCs w:val="16"/>
              </w:rPr>
              <w:t>6.4%</w:t>
            </w:r>
          </w:p>
        </w:tc>
        <w:tc>
          <w:tcPr>
            <w:tcW w:w="720" w:type="dxa"/>
            <w:shd w:val="clear" w:color="auto" w:fill="auto"/>
            <w:noWrap/>
            <w:vAlign w:val="center"/>
          </w:tcPr>
          <w:p w14:paraId="3C5C0F8E" w14:textId="493364D8" w:rsidR="00C537E5" w:rsidRPr="00394EC7" w:rsidRDefault="113E744F"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13.9%</w:t>
            </w:r>
          </w:p>
        </w:tc>
        <w:tc>
          <w:tcPr>
            <w:tcW w:w="720" w:type="dxa"/>
            <w:shd w:val="clear" w:color="auto" w:fill="auto"/>
            <w:noWrap/>
            <w:vAlign w:val="center"/>
          </w:tcPr>
          <w:p w14:paraId="32CD9ADF" w14:textId="6F79BFF1" w:rsidR="00C537E5" w:rsidRPr="00394EC7" w:rsidRDefault="113E744F"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8.2%</w:t>
            </w:r>
          </w:p>
        </w:tc>
        <w:tc>
          <w:tcPr>
            <w:tcW w:w="720" w:type="dxa"/>
            <w:shd w:val="clear" w:color="auto" w:fill="auto"/>
            <w:noWrap/>
            <w:vAlign w:val="center"/>
          </w:tcPr>
          <w:p w14:paraId="14BB2027" w14:textId="63DFD884" w:rsidR="00C537E5" w:rsidRPr="00394EC7" w:rsidRDefault="113E744F"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0.5%</w:t>
            </w:r>
          </w:p>
        </w:tc>
        <w:tc>
          <w:tcPr>
            <w:tcW w:w="720" w:type="dxa"/>
            <w:shd w:val="clear" w:color="auto" w:fill="auto"/>
            <w:noWrap/>
            <w:vAlign w:val="center"/>
          </w:tcPr>
          <w:p w14:paraId="69CD220D" w14:textId="21A57FB9" w:rsidR="00C537E5" w:rsidRPr="00394EC7" w:rsidRDefault="113E744F"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3.4%</w:t>
            </w:r>
          </w:p>
        </w:tc>
        <w:tc>
          <w:tcPr>
            <w:tcW w:w="720" w:type="dxa"/>
            <w:shd w:val="clear" w:color="auto" w:fill="auto"/>
            <w:noWrap/>
            <w:vAlign w:val="center"/>
          </w:tcPr>
          <w:p w14:paraId="7DA03B2A" w14:textId="7B034C0C" w:rsidR="00C537E5" w:rsidRPr="00394EC7" w:rsidRDefault="113E744F"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2.4%</w:t>
            </w:r>
          </w:p>
        </w:tc>
        <w:tc>
          <w:tcPr>
            <w:tcW w:w="810" w:type="dxa"/>
            <w:shd w:val="clear" w:color="auto" w:fill="auto"/>
            <w:noWrap/>
            <w:vAlign w:val="center"/>
          </w:tcPr>
          <w:p w14:paraId="070AB06C" w14:textId="4E7EDC55" w:rsidR="00C537E5" w:rsidRPr="00394EC7" w:rsidRDefault="113E744F"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5.6%</w:t>
            </w:r>
          </w:p>
        </w:tc>
        <w:tc>
          <w:tcPr>
            <w:tcW w:w="720" w:type="dxa"/>
            <w:shd w:val="clear" w:color="auto" w:fill="auto"/>
            <w:noWrap/>
            <w:vAlign w:val="center"/>
          </w:tcPr>
          <w:p w14:paraId="401EE3F2" w14:textId="6740B4BE" w:rsidR="00C537E5" w:rsidRPr="00394EC7" w:rsidRDefault="113E744F"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8.1%</w:t>
            </w:r>
          </w:p>
        </w:tc>
        <w:tc>
          <w:tcPr>
            <w:tcW w:w="720" w:type="dxa"/>
            <w:shd w:val="clear" w:color="auto" w:fill="auto"/>
            <w:noWrap/>
            <w:vAlign w:val="center"/>
          </w:tcPr>
          <w:p w14:paraId="7C1B840A" w14:textId="02CD984A" w:rsidR="00C537E5" w:rsidRPr="00394EC7" w:rsidRDefault="113E744F"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1.5%</w:t>
            </w:r>
          </w:p>
        </w:tc>
        <w:tc>
          <w:tcPr>
            <w:tcW w:w="1080" w:type="dxa"/>
            <w:shd w:val="clear" w:color="auto" w:fill="auto"/>
            <w:noWrap/>
            <w:vAlign w:val="center"/>
          </w:tcPr>
          <w:p w14:paraId="46A57EA0" w14:textId="41F42EA3" w:rsidR="00C537E5" w:rsidRPr="00394EC7" w:rsidRDefault="113E744F"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11.2%</w:t>
            </w:r>
          </w:p>
        </w:tc>
        <w:tc>
          <w:tcPr>
            <w:tcW w:w="720" w:type="dxa"/>
            <w:shd w:val="clear" w:color="auto" w:fill="auto"/>
            <w:noWrap/>
            <w:vAlign w:val="center"/>
          </w:tcPr>
          <w:p w14:paraId="55F797DD" w14:textId="50007B5C" w:rsidR="00C537E5" w:rsidRPr="00394EC7" w:rsidRDefault="113E744F"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10.8%</w:t>
            </w:r>
          </w:p>
        </w:tc>
        <w:tc>
          <w:tcPr>
            <w:tcW w:w="810" w:type="dxa"/>
            <w:shd w:val="clear" w:color="auto" w:fill="auto"/>
            <w:noWrap/>
            <w:vAlign w:val="center"/>
          </w:tcPr>
          <w:p w14:paraId="1689EE07" w14:textId="203D2B76" w:rsidR="00C537E5" w:rsidRPr="00394EC7" w:rsidRDefault="113E744F"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4.9%</w:t>
            </w:r>
          </w:p>
        </w:tc>
        <w:tc>
          <w:tcPr>
            <w:tcW w:w="810" w:type="dxa"/>
            <w:shd w:val="clear" w:color="auto" w:fill="auto"/>
            <w:noWrap/>
            <w:vAlign w:val="center"/>
          </w:tcPr>
          <w:p w14:paraId="447D35DE" w14:textId="2C285AB6" w:rsidR="00C537E5" w:rsidRPr="00394EC7" w:rsidRDefault="113E744F"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28.8%</w:t>
            </w:r>
          </w:p>
        </w:tc>
        <w:tc>
          <w:tcPr>
            <w:tcW w:w="810" w:type="dxa"/>
            <w:shd w:val="clear" w:color="auto" w:fill="auto"/>
            <w:noWrap/>
            <w:vAlign w:val="center"/>
          </w:tcPr>
          <w:p w14:paraId="12886FC0" w14:textId="318BB632" w:rsidR="00C537E5" w:rsidRPr="00394EC7" w:rsidRDefault="113E744F"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11.5%</w:t>
            </w:r>
          </w:p>
        </w:tc>
        <w:tc>
          <w:tcPr>
            <w:tcW w:w="720" w:type="dxa"/>
            <w:shd w:val="clear" w:color="auto" w:fill="auto"/>
            <w:noWrap/>
            <w:vAlign w:val="center"/>
          </w:tcPr>
          <w:p w14:paraId="1733D405" w14:textId="7BE6A98F" w:rsidR="00C537E5" w:rsidRPr="00394EC7" w:rsidRDefault="113E744F"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9.5%</w:t>
            </w:r>
          </w:p>
        </w:tc>
        <w:tc>
          <w:tcPr>
            <w:tcW w:w="720" w:type="dxa"/>
            <w:shd w:val="clear" w:color="auto" w:fill="auto"/>
            <w:noWrap/>
            <w:vAlign w:val="center"/>
          </w:tcPr>
          <w:p w14:paraId="3A59914B" w14:textId="6B2128CF" w:rsidR="00C537E5" w:rsidRPr="00394EC7" w:rsidRDefault="113E744F"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0.8%</w:t>
            </w:r>
          </w:p>
        </w:tc>
        <w:tc>
          <w:tcPr>
            <w:tcW w:w="990" w:type="dxa"/>
            <w:shd w:val="clear" w:color="auto" w:fill="auto"/>
            <w:noWrap/>
            <w:vAlign w:val="center"/>
          </w:tcPr>
          <w:p w14:paraId="1927BD0B" w14:textId="28EC13D3" w:rsidR="00C537E5" w:rsidRPr="00394EC7" w:rsidRDefault="113E744F"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1.3%</w:t>
            </w:r>
          </w:p>
        </w:tc>
        <w:tc>
          <w:tcPr>
            <w:tcW w:w="720" w:type="dxa"/>
            <w:tcBorders>
              <w:right w:val="single" w:sz="4" w:space="0" w:color="auto"/>
            </w:tcBorders>
            <w:shd w:val="clear" w:color="auto" w:fill="auto"/>
            <w:noWrap/>
            <w:vAlign w:val="center"/>
          </w:tcPr>
          <w:p w14:paraId="248C1DD3" w14:textId="6347A01E" w:rsidR="00C537E5" w:rsidRPr="00394EC7" w:rsidRDefault="113E744F"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2.8%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0DE6D" w14:textId="568A24BF" w:rsidR="00C537E5" w:rsidRPr="00394EC7" w:rsidRDefault="00C537E5" w:rsidP="00C537E5">
            <w:pPr>
              <w:spacing w:after="0"/>
              <w:jc w:val="center"/>
              <w:rPr>
                <w:rFonts w:eastAsia="Times New Roman" w:cs="Calibri"/>
                <w:color w:val="000000"/>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86196" w14:textId="756D118D" w:rsidR="3E5DA59D" w:rsidRDefault="3E5DA59D" w:rsidP="3E5DA59D">
            <w:pPr>
              <w:spacing w:after="0"/>
              <w:jc w:val="center"/>
              <w:rPr>
                <w:rFonts w:eastAsia="Times New Roman" w:cs="Calibri"/>
                <w:color w:val="000000" w:themeColor="text1"/>
                <w:sz w:val="18"/>
                <w:szCs w:val="18"/>
              </w:rPr>
            </w:pPr>
            <w:r w:rsidRPr="3E5DA59D">
              <w:rPr>
                <w:rFonts w:cs="Calibri"/>
                <w:color w:val="000000" w:themeColor="text1"/>
                <w:sz w:val="18"/>
                <w:szCs w:val="18"/>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ECA4E" w14:textId="6A822C6B" w:rsidR="3E5DA59D" w:rsidRDefault="3E5DA59D" w:rsidP="3E5DA59D">
            <w:pPr>
              <w:spacing w:after="0"/>
              <w:jc w:val="center"/>
              <w:rPr>
                <w:rFonts w:eastAsia="Times New Roman" w:cs="Calibri"/>
                <w:color w:val="000000" w:themeColor="text1"/>
                <w:sz w:val="18"/>
                <w:szCs w:val="18"/>
              </w:rPr>
            </w:pPr>
            <w:r w:rsidRPr="3E5DA59D">
              <w:rPr>
                <w:rFonts w:cs="Calibri"/>
                <w:color w:val="000000" w:themeColor="text1"/>
                <w:sz w:val="18"/>
                <w:szCs w:val="18"/>
              </w:rPr>
              <w:t>--</w:t>
            </w:r>
          </w:p>
        </w:tc>
      </w:tr>
      <w:tr w:rsidR="00DC70EE" w:rsidRPr="00884DD7" w14:paraId="000FC589" w14:textId="77777777" w:rsidTr="4EB40283">
        <w:trPr>
          <w:trHeight w:val="320"/>
        </w:trPr>
        <w:tc>
          <w:tcPr>
            <w:tcW w:w="2040" w:type="dxa"/>
            <w:shd w:val="clear" w:color="auto" w:fill="F2F2F2" w:themeFill="background1" w:themeFillShade="F2"/>
            <w:noWrap/>
            <w:hideMark/>
          </w:tcPr>
          <w:p w14:paraId="25D67FE1" w14:textId="77777777" w:rsidR="00C537E5" w:rsidRPr="008D1B70" w:rsidRDefault="00C537E5" w:rsidP="00C537E5">
            <w:pPr>
              <w:spacing w:after="0"/>
              <w:jc w:val="center"/>
              <w:rPr>
                <w:rFonts w:eastAsia="Times New Roman" w:cs="Calibri"/>
                <w:sz w:val="16"/>
                <w:szCs w:val="16"/>
              </w:rPr>
            </w:pPr>
            <w:r w:rsidRPr="008D1B70">
              <w:rPr>
                <w:rFonts w:eastAsia="Times New Roman" w:cs="Calibri"/>
                <w:sz w:val="16"/>
                <w:szCs w:val="16"/>
              </w:rPr>
              <w:t>EOHHS</w:t>
            </w:r>
          </w:p>
        </w:tc>
        <w:tc>
          <w:tcPr>
            <w:tcW w:w="1650" w:type="dxa"/>
            <w:shd w:val="clear" w:color="auto" w:fill="F2F2F2" w:themeFill="background1" w:themeFillShade="F2"/>
            <w:hideMark/>
          </w:tcPr>
          <w:p w14:paraId="30F48E71" w14:textId="77777777" w:rsidR="00C537E5" w:rsidRPr="00884DD7" w:rsidRDefault="00C537E5" w:rsidP="00C537E5">
            <w:pPr>
              <w:spacing w:after="0"/>
              <w:rPr>
                <w:rFonts w:eastAsia="Times New Roman" w:cs="Calibri"/>
                <w:sz w:val="16"/>
                <w:szCs w:val="16"/>
              </w:rPr>
            </w:pPr>
            <w:r w:rsidRPr="00884DD7">
              <w:rPr>
                <w:rFonts w:eastAsia="Times New Roman" w:cs="Calibri"/>
                <w:sz w:val="16"/>
                <w:szCs w:val="16"/>
              </w:rPr>
              <w:t>LTSS Community Partner Engagement </w:t>
            </w:r>
          </w:p>
        </w:tc>
        <w:tc>
          <w:tcPr>
            <w:tcW w:w="810" w:type="dxa"/>
            <w:shd w:val="clear" w:color="auto" w:fill="F2F2F2" w:themeFill="background1" w:themeFillShade="F2"/>
            <w:noWrap/>
            <w:vAlign w:val="center"/>
          </w:tcPr>
          <w:p w14:paraId="31094544" w14:textId="52084B51" w:rsidR="00C537E5" w:rsidRPr="00394EC7" w:rsidRDefault="00A7402D" w:rsidP="00C537E5">
            <w:pPr>
              <w:spacing w:after="0"/>
              <w:jc w:val="center"/>
              <w:rPr>
                <w:rFonts w:eastAsia="Times New Roman" w:cs="Calibri"/>
                <w:color w:val="000000"/>
                <w:sz w:val="16"/>
                <w:szCs w:val="16"/>
              </w:rPr>
            </w:pPr>
            <w:r>
              <w:rPr>
                <w:rFonts w:eastAsia="Times New Roman" w:cs="Calibri"/>
                <w:color w:val="000000"/>
                <w:sz w:val="16"/>
                <w:szCs w:val="16"/>
              </w:rPr>
              <w:t>8.1%</w:t>
            </w:r>
          </w:p>
        </w:tc>
        <w:tc>
          <w:tcPr>
            <w:tcW w:w="720" w:type="dxa"/>
            <w:shd w:val="clear" w:color="auto" w:fill="F2F2F2" w:themeFill="background1" w:themeFillShade="F2"/>
            <w:noWrap/>
            <w:vAlign w:val="center"/>
          </w:tcPr>
          <w:p w14:paraId="4BB30EBB" w14:textId="6AB0CA98" w:rsidR="00C537E5" w:rsidRPr="00394EC7" w:rsidRDefault="1BCC2EBF"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17.2%</w:t>
            </w:r>
          </w:p>
        </w:tc>
        <w:tc>
          <w:tcPr>
            <w:tcW w:w="720" w:type="dxa"/>
            <w:shd w:val="clear" w:color="auto" w:fill="F2F2F2" w:themeFill="background1" w:themeFillShade="F2"/>
            <w:noWrap/>
            <w:vAlign w:val="center"/>
          </w:tcPr>
          <w:p w14:paraId="2F48EB49" w14:textId="267C632B" w:rsidR="00C537E5" w:rsidRPr="00394EC7" w:rsidRDefault="1BCC2EBF"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4.6%</w:t>
            </w:r>
          </w:p>
        </w:tc>
        <w:tc>
          <w:tcPr>
            <w:tcW w:w="720" w:type="dxa"/>
            <w:shd w:val="clear" w:color="auto" w:fill="F2F2F2" w:themeFill="background1" w:themeFillShade="F2"/>
            <w:noWrap/>
            <w:vAlign w:val="center"/>
          </w:tcPr>
          <w:p w14:paraId="1B7710B6" w14:textId="316D1FFB" w:rsidR="00C537E5" w:rsidRPr="00394EC7" w:rsidRDefault="1BCC2EBF"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12.4%</w:t>
            </w:r>
          </w:p>
        </w:tc>
        <w:tc>
          <w:tcPr>
            <w:tcW w:w="720" w:type="dxa"/>
            <w:shd w:val="clear" w:color="auto" w:fill="F2F2F2" w:themeFill="background1" w:themeFillShade="F2"/>
            <w:noWrap/>
            <w:vAlign w:val="center"/>
          </w:tcPr>
          <w:p w14:paraId="41C8CAA4" w14:textId="0F56D625" w:rsidR="00C537E5" w:rsidRPr="00394EC7" w:rsidRDefault="1BCC2EBF"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6.6%</w:t>
            </w:r>
          </w:p>
        </w:tc>
        <w:tc>
          <w:tcPr>
            <w:tcW w:w="720" w:type="dxa"/>
            <w:shd w:val="clear" w:color="auto" w:fill="F2F2F2" w:themeFill="background1" w:themeFillShade="F2"/>
            <w:noWrap/>
            <w:vAlign w:val="center"/>
          </w:tcPr>
          <w:p w14:paraId="4F12DC14" w14:textId="1C87C0BF" w:rsidR="00C537E5" w:rsidRPr="00394EC7" w:rsidRDefault="1BCC2EBF"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12.7%</w:t>
            </w:r>
          </w:p>
        </w:tc>
        <w:tc>
          <w:tcPr>
            <w:tcW w:w="810" w:type="dxa"/>
            <w:shd w:val="clear" w:color="auto" w:fill="F2F2F2" w:themeFill="background1" w:themeFillShade="F2"/>
            <w:noWrap/>
            <w:vAlign w:val="center"/>
          </w:tcPr>
          <w:p w14:paraId="2191D7B0" w14:textId="61B92DFD" w:rsidR="00C537E5" w:rsidRPr="00394EC7" w:rsidRDefault="1BCC2EBF"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17.4%</w:t>
            </w:r>
          </w:p>
        </w:tc>
        <w:tc>
          <w:tcPr>
            <w:tcW w:w="720" w:type="dxa"/>
            <w:shd w:val="clear" w:color="auto" w:fill="F2F2F2" w:themeFill="background1" w:themeFillShade="F2"/>
            <w:noWrap/>
            <w:vAlign w:val="center"/>
          </w:tcPr>
          <w:p w14:paraId="730C4E68" w14:textId="6A80C065" w:rsidR="00C537E5" w:rsidRPr="00394EC7" w:rsidRDefault="1BCC2EBF"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8.7%</w:t>
            </w:r>
          </w:p>
        </w:tc>
        <w:tc>
          <w:tcPr>
            <w:tcW w:w="720" w:type="dxa"/>
            <w:shd w:val="clear" w:color="auto" w:fill="F2F2F2" w:themeFill="background1" w:themeFillShade="F2"/>
            <w:noWrap/>
            <w:vAlign w:val="center"/>
          </w:tcPr>
          <w:p w14:paraId="3A28D2F5" w14:textId="7C46D4AE" w:rsidR="00C537E5" w:rsidRPr="00394EC7" w:rsidRDefault="1BCC2EBF"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6.3%</w:t>
            </w:r>
          </w:p>
        </w:tc>
        <w:tc>
          <w:tcPr>
            <w:tcW w:w="1080" w:type="dxa"/>
            <w:shd w:val="clear" w:color="auto" w:fill="F2F2F2" w:themeFill="background1" w:themeFillShade="F2"/>
            <w:noWrap/>
            <w:vAlign w:val="center"/>
          </w:tcPr>
          <w:p w14:paraId="4B31DF7D" w14:textId="0522B001" w:rsidR="00C537E5" w:rsidRPr="00394EC7" w:rsidRDefault="1BCC2EBF"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9.7%</w:t>
            </w:r>
          </w:p>
        </w:tc>
        <w:tc>
          <w:tcPr>
            <w:tcW w:w="720" w:type="dxa"/>
            <w:shd w:val="clear" w:color="auto" w:fill="F2F2F2" w:themeFill="background1" w:themeFillShade="F2"/>
            <w:noWrap/>
            <w:vAlign w:val="center"/>
          </w:tcPr>
          <w:p w14:paraId="53579A1F" w14:textId="31BAA752" w:rsidR="00C537E5" w:rsidRPr="00394EC7" w:rsidRDefault="1BCC2EBF"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7.6%</w:t>
            </w:r>
          </w:p>
        </w:tc>
        <w:tc>
          <w:tcPr>
            <w:tcW w:w="810" w:type="dxa"/>
            <w:shd w:val="clear" w:color="auto" w:fill="F2F2F2" w:themeFill="background1" w:themeFillShade="F2"/>
            <w:noWrap/>
            <w:vAlign w:val="center"/>
          </w:tcPr>
          <w:p w14:paraId="62C07DB0" w14:textId="3EDD88ED" w:rsidR="00C537E5" w:rsidRPr="00394EC7" w:rsidRDefault="1BCC2EBF"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6.3%</w:t>
            </w:r>
          </w:p>
        </w:tc>
        <w:tc>
          <w:tcPr>
            <w:tcW w:w="810" w:type="dxa"/>
            <w:shd w:val="clear" w:color="auto" w:fill="F2F2F2" w:themeFill="background1" w:themeFillShade="F2"/>
            <w:noWrap/>
            <w:vAlign w:val="center"/>
          </w:tcPr>
          <w:p w14:paraId="0DA2AE65" w14:textId="33C42B4B" w:rsidR="00C537E5" w:rsidRPr="00394EC7" w:rsidRDefault="1BCC2EBF"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7.0%</w:t>
            </w:r>
          </w:p>
        </w:tc>
        <w:tc>
          <w:tcPr>
            <w:tcW w:w="810" w:type="dxa"/>
            <w:shd w:val="clear" w:color="auto" w:fill="F2F2F2" w:themeFill="background1" w:themeFillShade="F2"/>
            <w:noWrap/>
            <w:vAlign w:val="center"/>
          </w:tcPr>
          <w:p w14:paraId="350909EC" w14:textId="68850B61" w:rsidR="00C537E5" w:rsidRPr="00394EC7" w:rsidRDefault="1BCC2EBF"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10.6%</w:t>
            </w:r>
          </w:p>
        </w:tc>
        <w:tc>
          <w:tcPr>
            <w:tcW w:w="720" w:type="dxa"/>
            <w:shd w:val="clear" w:color="auto" w:fill="F2F2F2" w:themeFill="background1" w:themeFillShade="F2"/>
            <w:noWrap/>
            <w:vAlign w:val="center"/>
          </w:tcPr>
          <w:p w14:paraId="36CE632C" w14:textId="2B6739E1" w:rsidR="00C537E5" w:rsidRPr="00394EC7" w:rsidRDefault="1BCC2EBF"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9.8%</w:t>
            </w:r>
          </w:p>
        </w:tc>
        <w:tc>
          <w:tcPr>
            <w:tcW w:w="720" w:type="dxa"/>
            <w:shd w:val="clear" w:color="auto" w:fill="F2F2F2" w:themeFill="background1" w:themeFillShade="F2"/>
            <w:noWrap/>
            <w:vAlign w:val="center"/>
          </w:tcPr>
          <w:p w14:paraId="26BF70EB" w14:textId="1DC65672" w:rsidR="00C537E5" w:rsidRPr="00394EC7" w:rsidRDefault="1BCC2EBF"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3.9%</w:t>
            </w:r>
          </w:p>
        </w:tc>
        <w:tc>
          <w:tcPr>
            <w:tcW w:w="990" w:type="dxa"/>
            <w:shd w:val="clear" w:color="auto" w:fill="F2F2F2" w:themeFill="background1" w:themeFillShade="F2"/>
            <w:noWrap/>
            <w:vAlign w:val="center"/>
          </w:tcPr>
          <w:p w14:paraId="195BAA5C" w14:textId="2D5CFB36" w:rsidR="00C537E5" w:rsidRPr="00394EC7" w:rsidRDefault="1BCC2EBF"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5.95</w:t>
            </w:r>
          </w:p>
        </w:tc>
        <w:tc>
          <w:tcPr>
            <w:tcW w:w="720" w:type="dxa"/>
            <w:shd w:val="clear" w:color="auto" w:fill="F2F2F2" w:themeFill="background1" w:themeFillShade="F2"/>
            <w:noWrap/>
            <w:vAlign w:val="center"/>
          </w:tcPr>
          <w:p w14:paraId="6CA34DBB" w14:textId="790AC64C" w:rsidR="00C537E5" w:rsidRPr="00394EC7" w:rsidRDefault="1BCC2EBF"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10.2%</w:t>
            </w:r>
          </w:p>
        </w:tc>
        <w:tc>
          <w:tcPr>
            <w:tcW w:w="720" w:type="dxa"/>
            <w:tcBorders>
              <w:top w:val="single" w:sz="4" w:space="0" w:color="auto"/>
            </w:tcBorders>
            <w:shd w:val="clear" w:color="auto" w:fill="F2F2F2" w:themeFill="background1" w:themeFillShade="F2"/>
            <w:noWrap/>
            <w:vAlign w:val="center"/>
          </w:tcPr>
          <w:p w14:paraId="4FE9F59F" w14:textId="49C2521F" w:rsidR="00C537E5" w:rsidRPr="00394EC7" w:rsidRDefault="00A74809" w:rsidP="00C537E5">
            <w:pPr>
              <w:spacing w:after="0"/>
              <w:jc w:val="center"/>
              <w:rPr>
                <w:rFonts w:eastAsia="Times New Roman" w:cs="Calibri"/>
                <w:color w:val="000000"/>
                <w:sz w:val="16"/>
                <w:szCs w:val="16"/>
              </w:rPr>
            </w:pPr>
            <w:r>
              <w:rPr>
                <w:rFonts w:eastAsia="Times New Roman" w:cs="Calibri"/>
                <w:color w:val="000000"/>
                <w:sz w:val="16"/>
                <w:szCs w:val="16"/>
              </w:rPr>
              <w:t>6.7%</w:t>
            </w:r>
          </w:p>
        </w:tc>
        <w:tc>
          <w:tcPr>
            <w:tcW w:w="720" w:type="dxa"/>
            <w:tcBorders>
              <w:top w:val="single" w:sz="4" w:space="0" w:color="auto"/>
            </w:tcBorders>
            <w:shd w:val="clear" w:color="auto" w:fill="F2F2F2" w:themeFill="background1" w:themeFillShade="F2"/>
            <w:noWrap/>
            <w:vAlign w:val="center"/>
          </w:tcPr>
          <w:p w14:paraId="3827AA45" w14:textId="0FE24467" w:rsidR="3E5DA59D" w:rsidRDefault="00A74809" w:rsidP="3E5DA59D">
            <w:pPr>
              <w:spacing w:after="0"/>
              <w:jc w:val="center"/>
              <w:rPr>
                <w:rFonts w:eastAsia="Times New Roman" w:cs="Calibri"/>
                <w:color w:val="000000" w:themeColor="text1"/>
                <w:sz w:val="18"/>
                <w:szCs w:val="18"/>
              </w:rPr>
            </w:pPr>
            <w:r>
              <w:rPr>
                <w:rFonts w:cs="Calibri"/>
                <w:color w:val="000000" w:themeColor="text1"/>
                <w:sz w:val="18"/>
                <w:szCs w:val="18"/>
              </w:rPr>
              <w:t>3.7%</w:t>
            </w:r>
          </w:p>
        </w:tc>
        <w:tc>
          <w:tcPr>
            <w:tcW w:w="720" w:type="dxa"/>
            <w:tcBorders>
              <w:top w:val="single" w:sz="4" w:space="0" w:color="auto"/>
            </w:tcBorders>
            <w:shd w:val="clear" w:color="auto" w:fill="F2F2F2" w:themeFill="background1" w:themeFillShade="F2"/>
            <w:noWrap/>
            <w:vAlign w:val="center"/>
          </w:tcPr>
          <w:p w14:paraId="57AA8C08" w14:textId="5C04B235" w:rsidR="3E5DA59D" w:rsidRDefault="00A74809" w:rsidP="3E5DA59D">
            <w:pPr>
              <w:spacing w:after="0"/>
              <w:jc w:val="center"/>
              <w:rPr>
                <w:rFonts w:eastAsia="Times New Roman" w:cs="Calibri"/>
                <w:color w:val="000000" w:themeColor="text1"/>
                <w:sz w:val="18"/>
                <w:szCs w:val="18"/>
              </w:rPr>
            </w:pPr>
            <w:r>
              <w:rPr>
                <w:rFonts w:cs="Calibri"/>
                <w:color w:val="000000" w:themeColor="text1"/>
                <w:sz w:val="18"/>
                <w:szCs w:val="18"/>
              </w:rPr>
              <w:t>9.3%</w:t>
            </w:r>
          </w:p>
        </w:tc>
      </w:tr>
      <w:tr w:rsidR="00255A16" w:rsidRPr="00884DD7" w14:paraId="2D0AD569" w14:textId="77777777" w:rsidTr="4EB40283">
        <w:trPr>
          <w:trHeight w:val="285"/>
        </w:trPr>
        <w:tc>
          <w:tcPr>
            <w:tcW w:w="2040" w:type="dxa"/>
            <w:shd w:val="clear" w:color="auto" w:fill="auto"/>
            <w:noWrap/>
            <w:hideMark/>
          </w:tcPr>
          <w:p w14:paraId="16789D9E" w14:textId="77777777" w:rsidR="00C537E5" w:rsidRPr="008D1B70" w:rsidRDefault="00C537E5" w:rsidP="00C537E5">
            <w:pPr>
              <w:spacing w:after="0"/>
              <w:jc w:val="center"/>
              <w:rPr>
                <w:rFonts w:eastAsia="Times New Roman" w:cs="Calibri"/>
                <w:sz w:val="16"/>
                <w:szCs w:val="16"/>
              </w:rPr>
            </w:pPr>
            <w:r w:rsidRPr="008D1B70">
              <w:rPr>
                <w:rFonts w:eastAsia="Times New Roman" w:cs="Calibri"/>
                <w:sz w:val="16"/>
                <w:szCs w:val="16"/>
              </w:rPr>
              <w:t>EOHHS</w:t>
            </w:r>
          </w:p>
        </w:tc>
        <w:tc>
          <w:tcPr>
            <w:tcW w:w="1650" w:type="dxa"/>
            <w:shd w:val="clear" w:color="auto" w:fill="auto"/>
            <w:hideMark/>
          </w:tcPr>
          <w:p w14:paraId="2C437BC9" w14:textId="77777777" w:rsidR="00C537E5" w:rsidRPr="00884DD7" w:rsidRDefault="00C537E5" w:rsidP="00C537E5">
            <w:pPr>
              <w:spacing w:after="0"/>
              <w:rPr>
                <w:rFonts w:eastAsia="Times New Roman" w:cs="Calibri"/>
                <w:sz w:val="16"/>
                <w:szCs w:val="16"/>
              </w:rPr>
            </w:pPr>
            <w:r w:rsidRPr="00884DD7">
              <w:rPr>
                <w:rFonts w:eastAsia="Times New Roman" w:cs="Calibri"/>
                <w:sz w:val="16"/>
                <w:szCs w:val="16"/>
              </w:rPr>
              <w:t>Behavioral Health Community Partner Engagement </w:t>
            </w:r>
          </w:p>
        </w:tc>
        <w:tc>
          <w:tcPr>
            <w:tcW w:w="810" w:type="dxa"/>
            <w:shd w:val="clear" w:color="auto" w:fill="auto"/>
            <w:noWrap/>
            <w:vAlign w:val="center"/>
          </w:tcPr>
          <w:p w14:paraId="33F08924" w14:textId="1915E075" w:rsidR="00C537E5" w:rsidRPr="00394EC7" w:rsidRDefault="00996419" w:rsidP="00C537E5">
            <w:pPr>
              <w:spacing w:after="0"/>
              <w:jc w:val="center"/>
              <w:rPr>
                <w:rFonts w:eastAsia="Times New Roman" w:cs="Calibri"/>
                <w:color w:val="000000"/>
                <w:sz w:val="16"/>
                <w:szCs w:val="16"/>
              </w:rPr>
            </w:pPr>
            <w:r>
              <w:rPr>
                <w:rFonts w:eastAsia="Times New Roman" w:cs="Calibri"/>
                <w:color w:val="000000"/>
                <w:sz w:val="16"/>
                <w:szCs w:val="16"/>
              </w:rPr>
              <w:t>11.8%</w:t>
            </w:r>
          </w:p>
        </w:tc>
        <w:tc>
          <w:tcPr>
            <w:tcW w:w="720" w:type="dxa"/>
            <w:shd w:val="clear" w:color="auto" w:fill="auto"/>
            <w:noWrap/>
            <w:vAlign w:val="center"/>
          </w:tcPr>
          <w:p w14:paraId="2DC9E99E" w14:textId="7D28B415" w:rsidR="00C537E5" w:rsidRPr="00394EC7" w:rsidRDefault="38DB38BB"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8.7%</w:t>
            </w:r>
          </w:p>
        </w:tc>
        <w:tc>
          <w:tcPr>
            <w:tcW w:w="720" w:type="dxa"/>
            <w:shd w:val="clear" w:color="auto" w:fill="auto"/>
            <w:noWrap/>
            <w:vAlign w:val="center"/>
          </w:tcPr>
          <w:p w14:paraId="36142D70" w14:textId="59776E90" w:rsidR="00C537E5" w:rsidRPr="00394EC7" w:rsidRDefault="38DB38BB"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22.2%</w:t>
            </w:r>
          </w:p>
        </w:tc>
        <w:tc>
          <w:tcPr>
            <w:tcW w:w="720" w:type="dxa"/>
            <w:shd w:val="clear" w:color="auto" w:fill="auto"/>
            <w:noWrap/>
            <w:vAlign w:val="center"/>
          </w:tcPr>
          <w:p w14:paraId="3F1FEFC3" w14:textId="2519FE28" w:rsidR="00C537E5" w:rsidRPr="00394EC7" w:rsidRDefault="38DB38BB"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23.7%</w:t>
            </w:r>
          </w:p>
        </w:tc>
        <w:tc>
          <w:tcPr>
            <w:tcW w:w="720" w:type="dxa"/>
            <w:shd w:val="clear" w:color="auto" w:fill="auto"/>
            <w:noWrap/>
            <w:vAlign w:val="center"/>
          </w:tcPr>
          <w:p w14:paraId="473DF005" w14:textId="5AB7F48E" w:rsidR="00C537E5" w:rsidRPr="00394EC7" w:rsidRDefault="38DB38BB"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10.7%</w:t>
            </w:r>
          </w:p>
        </w:tc>
        <w:tc>
          <w:tcPr>
            <w:tcW w:w="720" w:type="dxa"/>
            <w:shd w:val="clear" w:color="auto" w:fill="auto"/>
            <w:noWrap/>
            <w:vAlign w:val="center"/>
          </w:tcPr>
          <w:p w14:paraId="2E2DC40A" w14:textId="3A4AF751" w:rsidR="00C537E5" w:rsidRPr="00394EC7" w:rsidRDefault="38DB38BB"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17.3%</w:t>
            </w:r>
          </w:p>
        </w:tc>
        <w:tc>
          <w:tcPr>
            <w:tcW w:w="810" w:type="dxa"/>
            <w:shd w:val="clear" w:color="auto" w:fill="auto"/>
            <w:noWrap/>
            <w:vAlign w:val="center"/>
          </w:tcPr>
          <w:p w14:paraId="2CC66D67" w14:textId="58F5088D" w:rsidR="00C537E5" w:rsidRPr="00394EC7" w:rsidRDefault="38DB38BB"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26.6%</w:t>
            </w:r>
          </w:p>
        </w:tc>
        <w:tc>
          <w:tcPr>
            <w:tcW w:w="720" w:type="dxa"/>
            <w:shd w:val="clear" w:color="auto" w:fill="auto"/>
            <w:noWrap/>
            <w:vAlign w:val="center"/>
          </w:tcPr>
          <w:p w14:paraId="535FE3FB" w14:textId="702AA1C0" w:rsidR="00C537E5" w:rsidRPr="00394EC7" w:rsidRDefault="38DB38BB"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16.5%</w:t>
            </w:r>
          </w:p>
        </w:tc>
        <w:tc>
          <w:tcPr>
            <w:tcW w:w="720" w:type="dxa"/>
            <w:shd w:val="clear" w:color="auto" w:fill="auto"/>
            <w:noWrap/>
            <w:vAlign w:val="center"/>
          </w:tcPr>
          <w:p w14:paraId="20B9ECAD" w14:textId="63B419A6" w:rsidR="00C537E5" w:rsidRPr="00394EC7" w:rsidRDefault="38DB38BB"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10.8%</w:t>
            </w:r>
          </w:p>
        </w:tc>
        <w:tc>
          <w:tcPr>
            <w:tcW w:w="1080" w:type="dxa"/>
            <w:shd w:val="clear" w:color="auto" w:fill="auto"/>
            <w:noWrap/>
            <w:vAlign w:val="center"/>
          </w:tcPr>
          <w:p w14:paraId="17B9702F" w14:textId="4D54175B" w:rsidR="00C537E5" w:rsidRPr="00394EC7" w:rsidRDefault="38DB38BB"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NA</w:t>
            </w:r>
          </w:p>
        </w:tc>
        <w:tc>
          <w:tcPr>
            <w:tcW w:w="720" w:type="dxa"/>
            <w:shd w:val="clear" w:color="auto" w:fill="auto"/>
            <w:noWrap/>
            <w:vAlign w:val="center"/>
          </w:tcPr>
          <w:p w14:paraId="40116B8E" w14:textId="14E27661" w:rsidR="00C537E5" w:rsidRPr="00394EC7" w:rsidRDefault="38DB38BB"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12.5%</w:t>
            </w:r>
          </w:p>
        </w:tc>
        <w:tc>
          <w:tcPr>
            <w:tcW w:w="810" w:type="dxa"/>
            <w:shd w:val="clear" w:color="auto" w:fill="auto"/>
            <w:noWrap/>
            <w:vAlign w:val="center"/>
          </w:tcPr>
          <w:p w14:paraId="7757EE11" w14:textId="11418C08" w:rsidR="00C537E5" w:rsidRPr="00394EC7" w:rsidRDefault="38DB38BB"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9.7%</w:t>
            </w:r>
          </w:p>
        </w:tc>
        <w:tc>
          <w:tcPr>
            <w:tcW w:w="810" w:type="dxa"/>
            <w:shd w:val="clear" w:color="auto" w:fill="auto"/>
            <w:noWrap/>
            <w:vAlign w:val="center"/>
          </w:tcPr>
          <w:p w14:paraId="0354E6F5" w14:textId="1808B5A3" w:rsidR="00C537E5" w:rsidRPr="00394EC7" w:rsidRDefault="38DB38BB"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15.7%</w:t>
            </w:r>
          </w:p>
        </w:tc>
        <w:tc>
          <w:tcPr>
            <w:tcW w:w="810" w:type="dxa"/>
            <w:shd w:val="clear" w:color="auto" w:fill="auto"/>
            <w:noWrap/>
            <w:vAlign w:val="center"/>
          </w:tcPr>
          <w:p w14:paraId="6B2D0451" w14:textId="34C076E7" w:rsidR="00C537E5" w:rsidRPr="00394EC7" w:rsidRDefault="38DB38BB"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10.3%</w:t>
            </w:r>
          </w:p>
        </w:tc>
        <w:tc>
          <w:tcPr>
            <w:tcW w:w="720" w:type="dxa"/>
            <w:shd w:val="clear" w:color="auto" w:fill="auto"/>
            <w:noWrap/>
            <w:vAlign w:val="center"/>
          </w:tcPr>
          <w:p w14:paraId="390B83ED" w14:textId="25C47217" w:rsidR="00C537E5" w:rsidRPr="00394EC7" w:rsidRDefault="38DB38BB"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10.1%</w:t>
            </w:r>
          </w:p>
        </w:tc>
        <w:tc>
          <w:tcPr>
            <w:tcW w:w="720" w:type="dxa"/>
            <w:shd w:val="clear" w:color="auto" w:fill="auto"/>
            <w:noWrap/>
            <w:vAlign w:val="center"/>
          </w:tcPr>
          <w:p w14:paraId="09D0E641" w14:textId="502E00C4" w:rsidR="00C537E5" w:rsidRPr="00394EC7" w:rsidRDefault="38DB38BB"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11.5%</w:t>
            </w:r>
          </w:p>
        </w:tc>
        <w:tc>
          <w:tcPr>
            <w:tcW w:w="990" w:type="dxa"/>
            <w:shd w:val="clear" w:color="auto" w:fill="auto"/>
            <w:noWrap/>
            <w:vAlign w:val="center"/>
          </w:tcPr>
          <w:p w14:paraId="2E1E0635" w14:textId="29C991AB" w:rsidR="00C537E5" w:rsidRPr="00394EC7" w:rsidRDefault="38DB38BB"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9.2%</w:t>
            </w:r>
          </w:p>
        </w:tc>
        <w:tc>
          <w:tcPr>
            <w:tcW w:w="720" w:type="dxa"/>
            <w:shd w:val="clear" w:color="auto" w:fill="auto"/>
            <w:noWrap/>
            <w:vAlign w:val="center"/>
          </w:tcPr>
          <w:p w14:paraId="50E0FABE" w14:textId="177C304D" w:rsidR="00C537E5" w:rsidRPr="00394EC7" w:rsidRDefault="38DB38BB" w:rsidP="00C537E5">
            <w:pPr>
              <w:spacing w:after="0"/>
              <w:jc w:val="center"/>
              <w:rPr>
                <w:rFonts w:eastAsia="Times New Roman" w:cs="Calibri"/>
                <w:color w:val="000000"/>
                <w:sz w:val="16"/>
                <w:szCs w:val="16"/>
              </w:rPr>
            </w:pPr>
            <w:r w:rsidRPr="68129C33">
              <w:rPr>
                <w:rFonts w:eastAsia="Times New Roman" w:cs="Calibri"/>
                <w:color w:val="000000" w:themeColor="text1"/>
                <w:sz w:val="16"/>
                <w:szCs w:val="16"/>
              </w:rPr>
              <w:t>7.3%</w:t>
            </w:r>
          </w:p>
        </w:tc>
        <w:tc>
          <w:tcPr>
            <w:tcW w:w="720" w:type="dxa"/>
            <w:tcBorders>
              <w:bottom w:val="single" w:sz="4" w:space="0" w:color="auto"/>
            </w:tcBorders>
            <w:shd w:val="clear" w:color="auto" w:fill="auto"/>
            <w:noWrap/>
            <w:vAlign w:val="center"/>
          </w:tcPr>
          <w:p w14:paraId="62001C8B" w14:textId="47B7695A" w:rsidR="00C537E5" w:rsidRPr="00394EC7" w:rsidRDefault="00CC3C64" w:rsidP="00C537E5">
            <w:pPr>
              <w:spacing w:after="0"/>
              <w:jc w:val="center"/>
              <w:rPr>
                <w:rFonts w:eastAsia="Times New Roman" w:cs="Calibri"/>
                <w:color w:val="000000"/>
                <w:sz w:val="16"/>
                <w:szCs w:val="16"/>
              </w:rPr>
            </w:pPr>
            <w:r>
              <w:rPr>
                <w:rFonts w:eastAsia="Times New Roman" w:cs="Calibri"/>
                <w:color w:val="000000"/>
                <w:sz w:val="16"/>
                <w:szCs w:val="16"/>
              </w:rPr>
              <w:t>4.8%</w:t>
            </w:r>
          </w:p>
        </w:tc>
        <w:tc>
          <w:tcPr>
            <w:tcW w:w="720" w:type="dxa"/>
            <w:tcBorders>
              <w:bottom w:val="single" w:sz="4" w:space="0" w:color="auto"/>
            </w:tcBorders>
            <w:shd w:val="clear" w:color="auto" w:fill="auto"/>
            <w:noWrap/>
            <w:vAlign w:val="center"/>
          </w:tcPr>
          <w:p w14:paraId="60753361" w14:textId="555F0B96" w:rsidR="3E5DA59D" w:rsidRDefault="00FB2849" w:rsidP="3E5DA59D">
            <w:pPr>
              <w:spacing w:after="0"/>
              <w:jc w:val="center"/>
              <w:rPr>
                <w:rFonts w:eastAsia="Times New Roman" w:cs="Calibri"/>
                <w:color w:val="000000" w:themeColor="text1"/>
                <w:sz w:val="18"/>
                <w:szCs w:val="18"/>
              </w:rPr>
            </w:pPr>
            <w:r>
              <w:rPr>
                <w:rFonts w:cs="Calibri"/>
                <w:color w:val="000000" w:themeColor="text1"/>
                <w:sz w:val="18"/>
                <w:szCs w:val="18"/>
              </w:rPr>
              <w:t>4.5%</w:t>
            </w:r>
          </w:p>
        </w:tc>
        <w:tc>
          <w:tcPr>
            <w:tcW w:w="720" w:type="dxa"/>
            <w:tcBorders>
              <w:bottom w:val="single" w:sz="4" w:space="0" w:color="auto"/>
            </w:tcBorders>
            <w:shd w:val="clear" w:color="auto" w:fill="auto"/>
            <w:noWrap/>
            <w:vAlign w:val="center"/>
          </w:tcPr>
          <w:p w14:paraId="05E228A9" w14:textId="771C34D9" w:rsidR="3E5DA59D" w:rsidRDefault="00FB2849" w:rsidP="3E5DA59D">
            <w:pPr>
              <w:spacing w:after="0"/>
              <w:jc w:val="center"/>
              <w:rPr>
                <w:rFonts w:eastAsia="Times New Roman" w:cs="Calibri"/>
                <w:color w:val="000000" w:themeColor="text1"/>
                <w:sz w:val="18"/>
                <w:szCs w:val="18"/>
              </w:rPr>
            </w:pPr>
            <w:r>
              <w:rPr>
                <w:rFonts w:cs="Calibri"/>
                <w:color w:val="000000" w:themeColor="text1"/>
                <w:sz w:val="18"/>
                <w:szCs w:val="18"/>
              </w:rPr>
              <w:t>5.3%</w:t>
            </w:r>
          </w:p>
        </w:tc>
      </w:tr>
      <w:tr w:rsidR="00DC70EE" w:rsidRPr="00884DD7" w14:paraId="1DF1877D" w14:textId="77777777" w:rsidTr="4EB40283">
        <w:trPr>
          <w:trHeight w:val="285"/>
        </w:trPr>
        <w:tc>
          <w:tcPr>
            <w:tcW w:w="2040" w:type="dxa"/>
            <w:shd w:val="clear" w:color="auto" w:fill="F2F2F2" w:themeFill="background1" w:themeFillShade="F2"/>
            <w:noWrap/>
          </w:tcPr>
          <w:p w14:paraId="08FF867B" w14:textId="3BE62610" w:rsidR="0049760A" w:rsidRPr="00597EE2" w:rsidRDefault="0049760A" w:rsidP="0049760A">
            <w:pPr>
              <w:spacing w:after="0"/>
              <w:jc w:val="center"/>
              <w:rPr>
                <w:rFonts w:eastAsia="Times New Roman" w:cs="Calibri"/>
                <w:color w:val="000000"/>
                <w:sz w:val="16"/>
                <w:szCs w:val="16"/>
              </w:rPr>
            </w:pPr>
            <w:r w:rsidRPr="00597EE2">
              <w:rPr>
                <w:rFonts w:cs="Calibri"/>
                <w:color w:val="000000"/>
                <w:sz w:val="16"/>
                <w:szCs w:val="16"/>
              </w:rPr>
              <w:t>EOHH</w:t>
            </w:r>
            <w:r>
              <w:rPr>
                <w:rFonts w:cs="Calibri"/>
                <w:color w:val="000000"/>
                <w:sz w:val="16"/>
                <w:szCs w:val="16"/>
              </w:rPr>
              <w:t>S</w:t>
            </w:r>
          </w:p>
        </w:tc>
        <w:tc>
          <w:tcPr>
            <w:tcW w:w="1650" w:type="dxa"/>
            <w:shd w:val="clear" w:color="auto" w:fill="F2F2F2" w:themeFill="background1" w:themeFillShade="F2"/>
          </w:tcPr>
          <w:p w14:paraId="4DD6D16F" w14:textId="27358CC8" w:rsidR="0049760A" w:rsidRPr="00597EE2" w:rsidRDefault="0049760A" w:rsidP="0049760A">
            <w:pPr>
              <w:spacing w:after="0"/>
              <w:rPr>
                <w:rFonts w:eastAsia="Times New Roman" w:cs="Calibri"/>
                <w:sz w:val="16"/>
                <w:szCs w:val="16"/>
              </w:rPr>
            </w:pPr>
            <w:r w:rsidRPr="00597EE2">
              <w:rPr>
                <w:rFonts w:cs="Calibri"/>
                <w:color w:val="000000"/>
                <w:sz w:val="16"/>
                <w:szCs w:val="16"/>
              </w:rPr>
              <w:t>Adult: Overall Rating and Care Delivery: Willingness to recommend</w:t>
            </w:r>
          </w:p>
        </w:tc>
        <w:tc>
          <w:tcPr>
            <w:tcW w:w="810" w:type="dxa"/>
            <w:shd w:val="clear" w:color="auto" w:fill="F2F2F2" w:themeFill="background1" w:themeFillShade="F2"/>
            <w:noWrap/>
            <w:vAlign w:val="center"/>
          </w:tcPr>
          <w:p w14:paraId="452D645E" w14:textId="38C07CDE" w:rsidR="0049760A" w:rsidRPr="00394EC7" w:rsidRDefault="000E51B6" w:rsidP="0049760A">
            <w:pPr>
              <w:spacing w:after="0"/>
              <w:jc w:val="center"/>
              <w:rPr>
                <w:rFonts w:eastAsia="Times New Roman" w:cs="Calibri"/>
                <w:color w:val="000000"/>
                <w:sz w:val="16"/>
                <w:szCs w:val="16"/>
              </w:rPr>
            </w:pPr>
            <w:r>
              <w:rPr>
                <w:rFonts w:eastAsia="Times New Roman" w:cs="Calibri"/>
                <w:color w:val="000000"/>
                <w:sz w:val="16"/>
                <w:szCs w:val="16"/>
              </w:rPr>
              <w:t>85.3%</w:t>
            </w:r>
          </w:p>
        </w:tc>
        <w:tc>
          <w:tcPr>
            <w:tcW w:w="720" w:type="dxa"/>
            <w:shd w:val="clear" w:color="auto" w:fill="F2F2F2" w:themeFill="background1" w:themeFillShade="F2"/>
            <w:noWrap/>
            <w:vAlign w:val="center"/>
          </w:tcPr>
          <w:p w14:paraId="79704A34" w14:textId="09F29BBC" w:rsidR="0049760A" w:rsidRPr="00394EC7" w:rsidRDefault="3CBF9804" w:rsidP="0049760A">
            <w:pPr>
              <w:spacing w:after="0"/>
              <w:jc w:val="center"/>
              <w:rPr>
                <w:rFonts w:eastAsia="Times New Roman" w:cs="Calibri"/>
                <w:color w:val="000000"/>
                <w:sz w:val="16"/>
                <w:szCs w:val="16"/>
              </w:rPr>
            </w:pPr>
            <w:r w:rsidRPr="1BA4FCB6">
              <w:rPr>
                <w:rFonts w:eastAsia="Times New Roman" w:cs="Calibri"/>
                <w:color w:val="000000" w:themeColor="text1"/>
                <w:sz w:val="16"/>
                <w:szCs w:val="16"/>
              </w:rPr>
              <w:t>87.3%</w:t>
            </w:r>
          </w:p>
        </w:tc>
        <w:tc>
          <w:tcPr>
            <w:tcW w:w="720" w:type="dxa"/>
            <w:shd w:val="clear" w:color="auto" w:fill="F2F2F2" w:themeFill="background1" w:themeFillShade="F2"/>
            <w:noWrap/>
            <w:vAlign w:val="center"/>
          </w:tcPr>
          <w:p w14:paraId="63DBA7D9" w14:textId="7CE0C243" w:rsidR="0049760A" w:rsidRPr="00394EC7" w:rsidRDefault="3CBF9804" w:rsidP="0049760A">
            <w:pPr>
              <w:spacing w:after="0"/>
              <w:jc w:val="center"/>
              <w:rPr>
                <w:rFonts w:eastAsia="Times New Roman" w:cs="Calibri"/>
                <w:color w:val="000000"/>
                <w:sz w:val="16"/>
                <w:szCs w:val="16"/>
              </w:rPr>
            </w:pPr>
            <w:r w:rsidRPr="1BA4FCB6">
              <w:rPr>
                <w:rFonts w:eastAsia="Times New Roman" w:cs="Calibri"/>
                <w:color w:val="000000" w:themeColor="text1"/>
                <w:sz w:val="16"/>
                <w:szCs w:val="16"/>
              </w:rPr>
              <w:t>87.5%</w:t>
            </w:r>
          </w:p>
        </w:tc>
        <w:tc>
          <w:tcPr>
            <w:tcW w:w="720" w:type="dxa"/>
            <w:shd w:val="clear" w:color="auto" w:fill="F2F2F2" w:themeFill="background1" w:themeFillShade="F2"/>
            <w:noWrap/>
            <w:vAlign w:val="center"/>
          </w:tcPr>
          <w:p w14:paraId="7CC30C84" w14:textId="093E621B" w:rsidR="0049760A" w:rsidRPr="00394EC7" w:rsidRDefault="3CBF9804" w:rsidP="0049760A">
            <w:pPr>
              <w:spacing w:after="0"/>
              <w:jc w:val="center"/>
              <w:rPr>
                <w:rFonts w:eastAsia="Times New Roman" w:cs="Calibri"/>
                <w:color w:val="000000"/>
                <w:sz w:val="16"/>
                <w:szCs w:val="16"/>
              </w:rPr>
            </w:pPr>
            <w:r w:rsidRPr="1BA4FCB6">
              <w:rPr>
                <w:rFonts w:eastAsia="Times New Roman" w:cs="Calibri"/>
                <w:color w:val="000000" w:themeColor="text1"/>
                <w:sz w:val="16"/>
                <w:szCs w:val="16"/>
              </w:rPr>
              <w:t>86.3%</w:t>
            </w:r>
          </w:p>
        </w:tc>
        <w:tc>
          <w:tcPr>
            <w:tcW w:w="720" w:type="dxa"/>
            <w:shd w:val="clear" w:color="auto" w:fill="F2F2F2" w:themeFill="background1" w:themeFillShade="F2"/>
            <w:noWrap/>
            <w:vAlign w:val="center"/>
          </w:tcPr>
          <w:p w14:paraId="61C4183D" w14:textId="4B44C232" w:rsidR="0049760A" w:rsidRPr="00394EC7" w:rsidRDefault="3CBF9804" w:rsidP="0049760A">
            <w:pPr>
              <w:spacing w:after="0"/>
              <w:jc w:val="center"/>
              <w:rPr>
                <w:rFonts w:eastAsia="Times New Roman" w:cs="Calibri"/>
                <w:color w:val="000000"/>
                <w:sz w:val="16"/>
                <w:szCs w:val="16"/>
              </w:rPr>
            </w:pPr>
            <w:r w:rsidRPr="1BA4FCB6">
              <w:rPr>
                <w:rFonts w:eastAsia="Times New Roman" w:cs="Calibri"/>
                <w:color w:val="000000" w:themeColor="text1"/>
                <w:sz w:val="16"/>
                <w:szCs w:val="16"/>
              </w:rPr>
              <w:t>82.5%</w:t>
            </w:r>
          </w:p>
        </w:tc>
        <w:tc>
          <w:tcPr>
            <w:tcW w:w="720" w:type="dxa"/>
            <w:shd w:val="clear" w:color="auto" w:fill="F2F2F2" w:themeFill="background1" w:themeFillShade="F2"/>
            <w:noWrap/>
            <w:vAlign w:val="center"/>
          </w:tcPr>
          <w:p w14:paraId="3AE2D8C4" w14:textId="2420F524" w:rsidR="0049760A" w:rsidRPr="00394EC7" w:rsidRDefault="3CBF9804" w:rsidP="0049760A">
            <w:pPr>
              <w:spacing w:after="0"/>
              <w:jc w:val="center"/>
              <w:rPr>
                <w:rFonts w:eastAsia="Times New Roman" w:cs="Calibri"/>
                <w:color w:val="000000"/>
                <w:sz w:val="16"/>
                <w:szCs w:val="16"/>
              </w:rPr>
            </w:pPr>
            <w:r w:rsidRPr="1BA4FCB6">
              <w:rPr>
                <w:rFonts w:eastAsia="Times New Roman" w:cs="Calibri"/>
                <w:color w:val="000000" w:themeColor="text1"/>
                <w:sz w:val="16"/>
                <w:szCs w:val="16"/>
              </w:rPr>
              <w:t>84.4%</w:t>
            </w:r>
          </w:p>
        </w:tc>
        <w:tc>
          <w:tcPr>
            <w:tcW w:w="810" w:type="dxa"/>
            <w:shd w:val="clear" w:color="auto" w:fill="F2F2F2" w:themeFill="background1" w:themeFillShade="F2"/>
            <w:noWrap/>
            <w:vAlign w:val="center"/>
          </w:tcPr>
          <w:p w14:paraId="2BA2B3AB" w14:textId="68451E0D" w:rsidR="0049760A" w:rsidRPr="00394EC7" w:rsidRDefault="3CBF9804" w:rsidP="0049760A">
            <w:pPr>
              <w:spacing w:after="0"/>
              <w:jc w:val="center"/>
              <w:rPr>
                <w:rFonts w:eastAsia="Times New Roman" w:cs="Calibri"/>
                <w:color w:val="000000"/>
                <w:sz w:val="16"/>
                <w:szCs w:val="16"/>
              </w:rPr>
            </w:pPr>
            <w:r w:rsidRPr="1BA4FCB6">
              <w:rPr>
                <w:rFonts w:eastAsia="Times New Roman" w:cs="Calibri"/>
                <w:color w:val="000000" w:themeColor="text1"/>
                <w:sz w:val="16"/>
                <w:szCs w:val="16"/>
              </w:rPr>
              <w:t>87.4%</w:t>
            </w:r>
          </w:p>
        </w:tc>
        <w:tc>
          <w:tcPr>
            <w:tcW w:w="720" w:type="dxa"/>
            <w:shd w:val="clear" w:color="auto" w:fill="F2F2F2" w:themeFill="background1" w:themeFillShade="F2"/>
            <w:noWrap/>
            <w:vAlign w:val="center"/>
          </w:tcPr>
          <w:p w14:paraId="1BD36025" w14:textId="705BB4A2" w:rsidR="0049760A" w:rsidRPr="00394EC7" w:rsidRDefault="3CBF9804" w:rsidP="0049760A">
            <w:pPr>
              <w:spacing w:after="0"/>
              <w:jc w:val="center"/>
              <w:rPr>
                <w:rFonts w:eastAsia="Times New Roman" w:cs="Calibri"/>
                <w:color w:val="000000"/>
                <w:sz w:val="16"/>
                <w:szCs w:val="16"/>
              </w:rPr>
            </w:pPr>
            <w:r w:rsidRPr="41491350">
              <w:rPr>
                <w:rFonts w:eastAsia="Times New Roman" w:cs="Calibri"/>
                <w:color w:val="000000" w:themeColor="text1"/>
                <w:sz w:val="16"/>
                <w:szCs w:val="16"/>
              </w:rPr>
              <w:t>84.7%</w:t>
            </w:r>
          </w:p>
        </w:tc>
        <w:tc>
          <w:tcPr>
            <w:tcW w:w="720" w:type="dxa"/>
            <w:shd w:val="clear" w:color="auto" w:fill="F2F2F2" w:themeFill="background1" w:themeFillShade="F2"/>
            <w:noWrap/>
            <w:vAlign w:val="center"/>
          </w:tcPr>
          <w:p w14:paraId="171C27B0" w14:textId="4A18CD1C" w:rsidR="0049760A" w:rsidRPr="00394EC7" w:rsidRDefault="3CBF9804" w:rsidP="0049760A">
            <w:pPr>
              <w:spacing w:after="0"/>
              <w:jc w:val="center"/>
              <w:rPr>
                <w:rFonts w:eastAsia="Times New Roman" w:cs="Calibri"/>
                <w:color w:val="000000"/>
                <w:sz w:val="16"/>
                <w:szCs w:val="16"/>
              </w:rPr>
            </w:pPr>
            <w:r w:rsidRPr="1E90AA1C">
              <w:rPr>
                <w:rFonts w:eastAsia="Times New Roman" w:cs="Calibri"/>
                <w:color w:val="000000" w:themeColor="text1"/>
                <w:sz w:val="16"/>
                <w:szCs w:val="16"/>
              </w:rPr>
              <w:t>86.2%</w:t>
            </w:r>
          </w:p>
        </w:tc>
        <w:tc>
          <w:tcPr>
            <w:tcW w:w="1080" w:type="dxa"/>
            <w:shd w:val="clear" w:color="auto" w:fill="F2F2F2" w:themeFill="background1" w:themeFillShade="F2"/>
            <w:noWrap/>
            <w:vAlign w:val="center"/>
          </w:tcPr>
          <w:p w14:paraId="2E2B3FEA" w14:textId="2BCA180A" w:rsidR="0049760A" w:rsidRPr="00394EC7" w:rsidRDefault="3CBF9804" w:rsidP="0049760A">
            <w:pPr>
              <w:spacing w:after="0"/>
              <w:jc w:val="center"/>
              <w:rPr>
                <w:rFonts w:eastAsia="Times New Roman" w:cs="Calibri"/>
                <w:color w:val="000000"/>
                <w:sz w:val="16"/>
                <w:szCs w:val="16"/>
              </w:rPr>
            </w:pPr>
            <w:r w:rsidRPr="1E90AA1C">
              <w:rPr>
                <w:rFonts w:eastAsia="Times New Roman" w:cs="Calibri"/>
                <w:color w:val="000000" w:themeColor="text1"/>
                <w:sz w:val="16"/>
                <w:szCs w:val="16"/>
              </w:rPr>
              <w:t>90.9%</w:t>
            </w:r>
          </w:p>
        </w:tc>
        <w:tc>
          <w:tcPr>
            <w:tcW w:w="720" w:type="dxa"/>
            <w:shd w:val="clear" w:color="auto" w:fill="F2F2F2" w:themeFill="background1" w:themeFillShade="F2"/>
            <w:noWrap/>
            <w:vAlign w:val="center"/>
          </w:tcPr>
          <w:p w14:paraId="4C3FB798" w14:textId="038F241A" w:rsidR="0049760A" w:rsidRPr="00394EC7" w:rsidRDefault="3CBF9804" w:rsidP="0049760A">
            <w:pPr>
              <w:spacing w:after="0"/>
              <w:jc w:val="center"/>
              <w:rPr>
                <w:rFonts w:eastAsia="Times New Roman" w:cs="Calibri"/>
                <w:color w:val="000000"/>
                <w:sz w:val="16"/>
                <w:szCs w:val="16"/>
              </w:rPr>
            </w:pPr>
            <w:r w:rsidRPr="1E90AA1C">
              <w:rPr>
                <w:rFonts w:eastAsia="Times New Roman" w:cs="Calibri"/>
                <w:color w:val="000000" w:themeColor="text1"/>
                <w:sz w:val="16"/>
                <w:szCs w:val="16"/>
              </w:rPr>
              <w:t>84.6%</w:t>
            </w:r>
          </w:p>
        </w:tc>
        <w:tc>
          <w:tcPr>
            <w:tcW w:w="810" w:type="dxa"/>
            <w:shd w:val="clear" w:color="auto" w:fill="F2F2F2" w:themeFill="background1" w:themeFillShade="F2"/>
            <w:noWrap/>
            <w:vAlign w:val="center"/>
          </w:tcPr>
          <w:p w14:paraId="437315EA" w14:textId="23DFAE8A" w:rsidR="0049760A" w:rsidRPr="00394EC7" w:rsidRDefault="3CBF9804" w:rsidP="0049760A">
            <w:pPr>
              <w:spacing w:after="0"/>
              <w:jc w:val="center"/>
              <w:rPr>
                <w:rFonts w:eastAsia="Times New Roman" w:cs="Calibri"/>
                <w:color w:val="000000"/>
                <w:sz w:val="16"/>
                <w:szCs w:val="16"/>
              </w:rPr>
            </w:pPr>
            <w:r w:rsidRPr="1E90AA1C">
              <w:rPr>
                <w:rFonts w:eastAsia="Times New Roman" w:cs="Calibri"/>
                <w:color w:val="000000" w:themeColor="text1"/>
                <w:sz w:val="16"/>
                <w:szCs w:val="16"/>
              </w:rPr>
              <w:t>78.6%</w:t>
            </w:r>
          </w:p>
        </w:tc>
        <w:tc>
          <w:tcPr>
            <w:tcW w:w="810" w:type="dxa"/>
            <w:shd w:val="clear" w:color="auto" w:fill="F2F2F2" w:themeFill="background1" w:themeFillShade="F2"/>
            <w:noWrap/>
            <w:vAlign w:val="center"/>
          </w:tcPr>
          <w:p w14:paraId="311C87BA" w14:textId="16694784" w:rsidR="0049760A" w:rsidRPr="00394EC7" w:rsidRDefault="3CBF9804" w:rsidP="0049760A">
            <w:pPr>
              <w:spacing w:after="0"/>
              <w:jc w:val="center"/>
              <w:rPr>
                <w:rFonts w:eastAsia="Times New Roman" w:cs="Calibri"/>
                <w:color w:val="000000"/>
                <w:sz w:val="16"/>
                <w:szCs w:val="16"/>
              </w:rPr>
            </w:pPr>
            <w:r w:rsidRPr="2C6C338C">
              <w:rPr>
                <w:rFonts w:eastAsia="Times New Roman" w:cs="Calibri"/>
                <w:color w:val="000000" w:themeColor="text1"/>
                <w:sz w:val="16"/>
                <w:szCs w:val="16"/>
              </w:rPr>
              <w:t>83.6%</w:t>
            </w:r>
          </w:p>
        </w:tc>
        <w:tc>
          <w:tcPr>
            <w:tcW w:w="810" w:type="dxa"/>
            <w:shd w:val="clear" w:color="auto" w:fill="F2F2F2" w:themeFill="background1" w:themeFillShade="F2"/>
            <w:noWrap/>
            <w:vAlign w:val="center"/>
          </w:tcPr>
          <w:p w14:paraId="2E8FBC9E" w14:textId="5B39D367" w:rsidR="0049760A" w:rsidRPr="00394EC7" w:rsidRDefault="6100CA64" w:rsidP="0049760A">
            <w:pPr>
              <w:spacing w:after="0"/>
              <w:jc w:val="center"/>
              <w:rPr>
                <w:rFonts w:eastAsia="Times New Roman" w:cs="Calibri"/>
                <w:color w:val="000000"/>
                <w:sz w:val="16"/>
                <w:szCs w:val="16"/>
              </w:rPr>
            </w:pPr>
            <w:r w:rsidRPr="364095EC">
              <w:rPr>
                <w:rFonts w:eastAsia="Times New Roman" w:cs="Calibri"/>
                <w:color w:val="000000" w:themeColor="text1"/>
                <w:sz w:val="16"/>
                <w:szCs w:val="16"/>
              </w:rPr>
              <w:t>86.5%</w:t>
            </w:r>
          </w:p>
        </w:tc>
        <w:tc>
          <w:tcPr>
            <w:tcW w:w="720" w:type="dxa"/>
            <w:shd w:val="clear" w:color="auto" w:fill="F2F2F2" w:themeFill="background1" w:themeFillShade="F2"/>
            <w:noWrap/>
            <w:vAlign w:val="center"/>
          </w:tcPr>
          <w:p w14:paraId="5B43CF44" w14:textId="58E06CB6" w:rsidR="0049760A" w:rsidRPr="00394EC7" w:rsidRDefault="6100CA64" w:rsidP="0049760A">
            <w:pPr>
              <w:spacing w:after="0"/>
              <w:jc w:val="center"/>
              <w:rPr>
                <w:rFonts w:eastAsia="Times New Roman" w:cs="Calibri"/>
                <w:color w:val="000000"/>
                <w:sz w:val="16"/>
                <w:szCs w:val="16"/>
              </w:rPr>
            </w:pPr>
            <w:r w:rsidRPr="364095EC">
              <w:rPr>
                <w:rFonts w:eastAsia="Times New Roman" w:cs="Calibri"/>
                <w:color w:val="000000" w:themeColor="text1"/>
                <w:sz w:val="16"/>
                <w:szCs w:val="16"/>
              </w:rPr>
              <w:t>81.9%</w:t>
            </w:r>
          </w:p>
        </w:tc>
        <w:tc>
          <w:tcPr>
            <w:tcW w:w="720" w:type="dxa"/>
            <w:shd w:val="clear" w:color="auto" w:fill="F2F2F2" w:themeFill="background1" w:themeFillShade="F2"/>
            <w:noWrap/>
            <w:vAlign w:val="center"/>
          </w:tcPr>
          <w:p w14:paraId="537343AF" w14:textId="2DA37AD2" w:rsidR="0049760A" w:rsidRPr="00394EC7" w:rsidRDefault="6100CA64" w:rsidP="0049760A">
            <w:pPr>
              <w:spacing w:after="0"/>
              <w:jc w:val="center"/>
              <w:rPr>
                <w:rFonts w:eastAsia="Times New Roman" w:cs="Calibri"/>
                <w:color w:val="000000"/>
                <w:sz w:val="16"/>
                <w:szCs w:val="16"/>
              </w:rPr>
            </w:pPr>
            <w:r w:rsidRPr="364095EC">
              <w:rPr>
                <w:rFonts w:eastAsia="Times New Roman" w:cs="Calibri"/>
                <w:color w:val="000000" w:themeColor="text1"/>
                <w:sz w:val="16"/>
                <w:szCs w:val="16"/>
              </w:rPr>
              <w:t>88.7%</w:t>
            </w:r>
          </w:p>
        </w:tc>
        <w:tc>
          <w:tcPr>
            <w:tcW w:w="990" w:type="dxa"/>
            <w:shd w:val="clear" w:color="auto" w:fill="F2F2F2" w:themeFill="background1" w:themeFillShade="F2"/>
            <w:noWrap/>
            <w:vAlign w:val="center"/>
          </w:tcPr>
          <w:p w14:paraId="07F88491" w14:textId="05D019C8" w:rsidR="0049760A" w:rsidRPr="00394EC7" w:rsidRDefault="6100CA64" w:rsidP="0049760A">
            <w:pPr>
              <w:spacing w:after="0"/>
              <w:jc w:val="center"/>
              <w:rPr>
                <w:rFonts w:eastAsia="Times New Roman" w:cs="Calibri"/>
                <w:color w:val="000000"/>
                <w:sz w:val="16"/>
                <w:szCs w:val="16"/>
              </w:rPr>
            </w:pPr>
            <w:r w:rsidRPr="364095EC">
              <w:rPr>
                <w:rFonts w:eastAsia="Times New Roman" w:cs="Calibri"/>
                <w:color w:val="000000" w:themeColor="text1"/>
                <w:sz w:val="16"/>
                <w:szCs w:val="16"/>
              </w:rPr>
              <w:t>85.3%</w:t>
            </w:r>
          </w:p>
        </w:tc>
        <w:tc>
          <w:tcPr>
            <w:tcW w:w="720" w:type="dxa"/>
            <w:tcBorders>
              <w:right w:val="single" w:sz="4" w:space="0" w:color="auto"/>
            </w:tcBorders>
            <w:shd w:val="clear" w:color="auto" w:fill="F2F2F2" w:themeFill="background1" w:themeFillShade="F2"/>
            <w:noWrap/>
            <w:vAlign w:val="center"/>
          </w:tcPr>
          <w:p w14:paraId="6402690B" w14:textId="35255EBF" w:rsidR="0049760A" w:rsidRPr="00394EC7" w:rsidRDefault="6100CA64" w:rsidP="0049760A">
            <w:pPr>
              <w:spacing w:after="0"/>
              <w:jc w:val="center"/>
              <w:rPr>
                <w:rFonts w:eastAsia="Times New Roman" w:cs="Calibri"/>
                <w:color w:val="000000"/>
                <w:sz w:val="16"/>
                <w:szCs w:val="16"/>
              </w:rPr>
            </w:pPr>
            <w:r w:rsidRPr="364095EC">
              <w:rPr>
                <w:rFonts w:eastAsia="Times New Roman" w:cs="Calibri"/>
                <w:color w:val="000000" w:themeColor="text1"/>
                <w:sz w:val="16"/>
                <w:szCs w:val="16"/>
              </w:rPr>
              <w:t>85.1%</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B84B7F1" w14:textId="4D9E5187" w:rsidR="0049760A" w:rsidRPr="00394EC7" w:rsidRDefault="00255B4E" w:rsidP="0049760A">
            <w:pPr>
              <w:spacing w:after="0"/>
              <w:jc w:val="center"/>
              <w:rPr>
                <w:rFonts w:eastAsia="Times New Roman" w:cs="Calibri"/>
                <w:color w:val="000000"/>
                <w:sz w:val="16"/>
                <w:szCs w:val="16"/>
              </w:rPr>
            </w:pPr>
            <w:r>
              <w:rPr>
                <w:rFonts w:eastAsia="Times New Roman" w:cs="Calibri"/>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AD846E2" w14:textId="1341862F" w:rsidR="3E5DA59D" w:rsidRDefault="3E5DA59D" w:rsidP="3E5DA59D">
            <w:pPr>
              <w:spacing w:after="0"/>
              <w:jc w:val="center"/>
              <w:rPr>
                <w:rFonts w:eastAsia="Times New Roman" w:cs="Calibri"/>
                <w:color w:val="000000" w:themeColor="text1"/>
                <w:sz w:val="18"/>
                <w:szCs w:val="18"/>
              </w:rPr>
            </w:pPr>
            <w:r w:rsidRPr="3E5DA59D">
              <w:rPr>
                <w:rFonts w:cs="Calibri"/>
                <w:color w:val="000000" w:themeColor="text1"/>
                <w:sz w:val="18"/>
                <w:szCs w:val="18"/>
              </w:rPr>
              <w:t>--</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7AA03A8" w14:textId="5BD8E13E" w:rsidR="3E5DA59D" w:rsidRDefault="3E5DA59D" w:rsidP="3E5DA59D">
            <w:pPr>
              <w:spacing w:after="0"/>
              <w:jc w:val="center"/>
              <w:rPr>
                <w:rFonts w:eastAsia="Times New Roman" w:cs="Calibri"/>
                <w:color w:val="000000" w:themeColor="text1"/>
                <w:sz w:val="18"/>
                <w:szCs w:val="18"/>
              </w:rPr>
            </w:pPr>
            <w:r w:rsidRPr="3E5DA59D">
              <w:rPr>
                <w:rFonts w:cs="Calibri"/>
                <w:color w:val="000000" w:themeColor="text1"/>
                <w:sz w:val="18"/>
                <w:szCs w:val="18"/>
              </w:rPr>
              <w:t>--</w:t>
            </w:r>
          </w:p>
        </w:tc>
      </w:tr>
      <w:tr w:rsidR="00255A16" w:rsidRPr="00884DD7" w14:paraId="1109FA3B" w14:textId="77777777" w:rsidTr="4EB40283">
        <w:trPr>
          <w:trHeight w:val="285"/>
        </w:trPr>
        <w:tc>
          <w:tcPr>
            <w:tcW w:w="2040" w:type="dxa"/>
            <w:shd w:val="clear" w:color="auto" w:fill="auto"/>
            <w:noWrap/>
          </w:tcPr>
          <w:p w14:paraId="39A40AA6" w14:textId="5EF57F92" w:rsidR="0049760A" w:rsidRPr="00597EE2" w:rsidRDefault="0049760A" w:rsidP="0049760A">
            <w:pPr>
              <w:spacing w:after="0"/>
              <w:jc w:val="center"/>
              <w:rPr>
                <w:rFonts w:eastAsia="Times New Roman" w:cs="Calibri"/>
                <w:color w:val="000000"/>
                <w:sz w:val="16"/>
                <w:szCs w:val="16"/>
              </w:rPr>
            </w:pPr>
            <w:r w:rsidRPr="00597EE2">
              <w:rPr>
                <w:rFonts w:cs="Calibri"/>
                <w:color w:val="000000"/>
                <w:sz w:val="16"/>
                <w:szCs w:val="16"/>
              </w:rPr>
              <w:t>EOHH</w:t>
            </w:r>
            <w:r>
              <w:rPr>
                <w:rFonts w:cs="Calibri"/>
                <w:color w:val="000000"/>
                <w:sz w:val="16"/>
                <w:szCs w:val="16"/>
              </w:rPr>
              <w:t>S</w:t>
            </w:r>
          </w:p>
        </w:tc>
        <w:tc>
          <w:tcPr>
            <w:tcW w:w="1650" w:type="dxa"/>
            <w:shd w:val="clear" w:color="auto" w:fill="auto"/>
          </w:tcPr>
          <w:p w14:paraId="65394BCF" w14:textId="19891817" w:rsidR="0049760A" w:rsidRPr="00597EE2" w:rsidRDefault="0049760A" w:rsidP="0049760A">
            <w:pPr>
              <w:spacing w:after="0"/>
              <w:rPr>
                <w:rFonts w:eastAsia="Times New Roman" w:cs="Calibri"/>
                <w:sz w:val="16"/>
                <w:szCs w:val="16"/>
              </w:rPr>
            </w:pPr>
            <w:r w:rsidRPr="00597EE2">
              <w:rPr>
                <w:rFonts w:cs="Calibri"/>
                <w:color w:val="000000"/>
                <w:sz w:val="16"/>
                <w:szCs w:val="16"/>
              </w:rPr>
              <w:t>Child: Overall Rating and Care Delivery: Willingness to recommend</w:t>
            </w:r>
          </w:p>
        </w:tc>
        <w:tc>
          <w:tcPr>
            <w:tcW w:w="810" w:type="dxa"/>
            <w:shd w:val="clear" w:color="auto" w:fill="auto"/>
            <w:noWrap/>
            <w:vAlign w:val="center"/>
          </w:tcPr>
          <w:p w14:paraId="621E254E" w14:textId="0C8C6E35" w:rsidR="0049760A" w:rsidRPr="00394EC7" w:rsidRDefault="000E51B6" w:rsidP="0049760A">
            <w:pPr>
              <w:spacing w:after="0"/>
              <w:jc w:val="center"/>
              <w:rPr>
                <w:rFonts w:eastAsia="Times New Roman" w:cs="Calibri"/>
                <w:color w:val="000000"/>
                <w:sz w:val="16"/>
                <w:szCs w:val="16"/>
              </w:rPr>
            </w:pPr>
            <w:r>
              <w:rPr>
                <w:rFonts w:eastAsia="Times New Roman" w:cs="Calibri"/>
                <w:color w:val="000000"/>
                <w:sz w:val="16"/>
                <w:szCs w:val="16"/>
              </w:rPr>
              <w:t>90.2%</w:t>
            </w:r>
          </w:p>
        </w:tc>
        <w:tc>
          <w:tcPr>
            <w:tcW w:w="720" w:type="dxa"/>
            <w:shd w:val="clear" w:color="auto" w:fill="auto"/>
            <w:noWrap/>
            <w:vAlign w:val="center"/>
          </w:tcPr>
          <w:p w14:paraId="398A0AC3" w14:textId="0B89B22B" w:rsidR="0049760A" w:rsidRPr="00394EC7" w:rsidRDefault="57526E47" w:rsidP="0049760A">
            <w:pPr>
              <w:spacing w:after="0"/>
              <w:jc w:val="center"/>
              <w:rPr>
                <w:rFonts w:eastAsia="Times New Roman" w:cs="Calibri"/>
                <w:color w:val="000000"/>
                <w:sz w:val="16"/>
                <w:szCs w:val="16"/>
              </w:rPr>
            </w:pPr>
            <w:r w:rsidRPr="06921810">
              <w:rPr>
                <w:rFonts w:eastAsia="Times New Roman" w:cs="Calibri"/>
                <w:color w:val="000000" w:themeColor="text1"/>
                <w:sz w:val="16"/>
                <w:szCs w:val="16"/>
              </w:rPr>
              <w:t>88.9%</w:t>
            </w:r>
          </w:p>
        </w:tc>
        <w:tc>
          <w:tcPr>
            <w:tcW w:w="720" w:type="dxa"/>
            <w:shd w:val="clear" w:color="auto" w:fill="auto"/>
            <w:noWrap/>
            <w:vAlign w:val="center"/>
          </w:tcPr>
          <w:p w14:paraId="7FCBA41E" w14:textId="5675C956" w:rsidR="0049760A" w:rsidRPr="00394EC7" w:rsidRDefault="57526E47" w:rsidP="0049760A">
            <w:pPr>
              <w:spacing w:after="0"/>
              <w:jc w:val="center"/>
              <w:rPr>
                <w:rFonts w:eastAsia="Times New Roman" w:cs="Calibri"/>
                <w:color w:val="000000"/>
                <w:sz w:val="16"/>
                <w:szCs w:val="16"/>
              </w:rPr>
            </w:pPr>
            <w:r w:rsidRPr="06921810">
              <w:rPr>
                <w:rFonts w:eastAsia="Times New Roman" w:cs="Calibri"/>
                <w:color w:val="000000" w:themeColor="text1"/>
                <w:sz w:val="16"/>
                <w:szCs w:val="16"/>
              </w:rPr>
              <w:t>91.8%</w:t>
            </w:r>
          </w:p>
        </w:tc>
        <w:tc>
          <w:tcPr>
            <w:tcW w:w="720" w:type="dxa"/>
            <w:shd w:val="clear" w:color="auto" w:fill="auto"/>
            <w:noWrap/>
            <w:vAlign w:val="center"/>
          </w:tcPr>
          <w:p w14:paraId="42640577" w14:textId="46F4A274" w:rsidR="0049760A" w:rsidRPr="00394EC7" w:rsidRDefault="57526E47" w:rsidP="0049760A">
            <w:pPr>
              <w:spacing w:after="0"/>
              <w:jc w:val="center"/>
              <w:rPr>
                <w:rFonts w:eastAsia="Times New Roman" w:cs="Calibri"/>
                <w:color w:val="000000"/>
                <w:sz w:val="16"/>
                <w:szCs w:val="16"/>
              </w:rPr>
            </w:pPr>
            <w:r w:rsidRPr="06921810">
              <w:rPr>
                <w:rFonts w:eastAsia="Times New Roman" w:cs="Calibri"/>
                <w:color w:val="000000" w:themeColor="text1"/>
                <w:sz w:val="16"/>
                <w:szCs w:val="16"/>
              </w:rPr>
              <w:t>91.4%</w:t>
            </w:r>
          </w:p>
        </w:tc>
        <w:tc>
          <w:tcPr>
            <w:tcW w:w="720" w:type="dxa"/>
            <w:shd w:val="clear" w:color="auto" w:fill="auto"/>
            <w:noWrap/>
            <w:vAlign w:val="center"/>
          </w:tcPr>
          <w:p w14:paraId="123275BC" w14:textId="6B4A1BFD" w:rsidR="0049760A" w:rsidRPr="00394EC7" w:rsidRDefault="57526E47" w:rsidP="0049760A">
            <w:pPr>
              <w:spacing w:after="0"/>
              <w:jc w:val="center"/>
              <w:rPr>
                <w:rFonts w:eastAsia="Times New Roman" w:cs="Calibri"/>
                <w:color w:val="000000"/>
                <w:sz w:val="16"/>
                <w:szCs w:val="16"/>
              </w:rPr>
            </w:pPr>
            <w:r w:rsidRPr="06921810">
              <w:rPr>
                <w:rFonts w:eastAsia="Times New Roman" w:cs="Calibri"/>
                <w:color w:val="000000" w:themeColor="text1"/>
                <w:sz w:val="16"/>
                <w:szCs w:val="16"/>
              </w:rPr>
              <w:t>89.6%</w:t>
            </w:r>
          </w:p>
        </w:tc>
        <w:tc>
          <w:tcPr>
            <w:tcW w:w="720" w:type="dxa"/>
            <w:shd w:val="clear" w:color="auto" w:fill="auto"/>
            <w:noWrap/>
            <w:vAlign w:val="center"/>
          </w:tcPr>
          <w:p w14:paraId="34DB560F" w14:textId="54416A2A" w:rsidR="0049760A" w:rsidRPr="00394EC7" w:rsidRDefault="57526E47" w:rsidP="0049760A">
            <w:pPr>
              <w:spacing w:after="0"/>
              <w:jc w:val="center"/>
              <w:rPr>
                <w:rFonts w:eastAsia="Times New Roman" w:cs="Calibri"/>
                <w:color w:val="000000"/>
                <w:sz w:val="16"/>
                <w:szCs w:val="16"/>
              </w:rPr>
            </w:pPr>
            <w:r w:rsidRPr="06921810">
              <w:rPr>
                <w:rFonts w:eastAsia="Times New Roman" w:cs="Calibri"/>
                <w:color w:val="000000" w:themeColor="text1"/>
                <w:sz w:val="16"/>
                <w:szCs w:val="16"/>
              </w:rPr>
              <w:t>87.1%</w:t>
            </w:r>
          </w:p>
        </w:tc>
        <w:tc>
          <w:tcPr>
            <w:tcW w:w="810" w:type="dxa"/>
            <w:shd w:val="clear" w:color="auto" w:fill="auto"/>
            <w:noWrap/>
            <w:vAlign w:val="center"/>
          </w:tcPr>
          <w:p w14:paraId="5D815018" w14:textId="37FE7F56" w:rsidR="0049760A" w:rsidRPr="00394EC7" w:rsidRDefault="57526E47" w:rsidP="0049760A">
            <w:pPr>
              <w:spacing w:after="0"/>
              <w:jc w:val="center"/>
              <w:rPr>
                <w:rFonts w:eastAsia="Times New Roman" w:cs="Calibri"/>
                <w:color w:val="000000"/>
                <w:sz w:val="16"/>
                <w:szCs w:val="16"/>
              </w:rPr>
            </w:pPr>
            <w:r w:rsidRPr="06921810">
              <w:rPr>
                <w:rFonts w:eastAsia="Times New Roman" w:cs="Calibri"/>
                <w:color w:val="000000" w:themeColor="text1"/>
                <w:sz w:val="16"/>
                <w:szCs w:val="16"/>
              </w:rPr>
              <w:t>92.3%</w:t>
            </w:r>
          </w:p>
        </w:tc>
        <w:tc>
          <w:tcPr>
            <w:tcW w:w="720" w:type="dxa"/>
            <w:shd w:val="clear" w:color="auto" w:fill="auto"/>
            <w:noWrap/>
            <w:vAlign w:val="center"/>
          </w:tcPr>
          <w:p w14:paraId="44EA8FF8" w14:textId="0616595D" w:rsidR="0049760A" w:rsidRPr="00394EC7" w:rsidRDefault="57526E47" w:rsidP="0049760A">
            <w:pPr>
              <w:spacing w:after="0"/>
              <w:jc w:val="center"/>
              <w:rPr>
                <w:rFonts w:eastAsia="Times New Roman" w:cs="Calibri"/>
                <w:color w:val="000000"/>
                <w:sz w:val="16"/>
                <w:szCs w:val="16"/>
              </w:rPr>
            </w:pPr>
            <w:r w:rsidRPr="4712E1A2">
              <w:rPr>
                <w:rFonts w:eastAsia="Times New Roman" w:cs="Calibri"/>
                <w:color w:val="000000" w:themeColor="text1"/>
                <w:sz w:val="16"/>
                <w:szCs w:val="16"/>
              </w:rPr>
              <w:t>87.3%</w:t>
            </w:r>
          </w:p>
        </w:tc>
        <w:tc>
          <w:tcPr>
            <w:tcW w:w="720" w:type="dxa"/>
            <w:shd w:val="clear" w:color="auto" w:fill="auto"/>
            <w:noWrap/>
            <w:vAlign w:val="center"/>
          </w:tcPr>
          <w:p w14:paraId="75A20278" w14:textId="096B9779" w:rsidR="0049760A" w:rsidRPr="00394EC7" w:rsidRDefault="57526E47" w:rsidP="0049760A">
            <w:pPr>
              <w:spacing w:after="0"/>
              <w:jc w:val="center"/>
              <w:rPr>
                <w:rFonts w:eastAsia="Times New Roman" w:cs="Calibri"/>
                <w:color w:val="000000"/>
                <w:sz w:val="16"/>
                <w:szCs w:val="16"/>
              </w:rPr>
            </w:pPr>
            <w:r w:rsidRPr="4712E1A2">
              <w:rPr>
                <w:rFonts w:eastAsia="Times New Roman" w:cs="Calibri"/>
                <w:color w:val="000000" w:themeColor="text1"/>
                <w:sz w:val="16"/>
                <w:szCs w:val="16"/>
              </w:rPr>
              <w:t>90.2%</w:t>
            </w:r>
          </w:p>
        </w:tc>
        <w:tc>
          <w:tcPr>
            <w:tcW w:w="1080" w:type="dxa"/>
            <w:shd w:val="clear" w:color="auto" w:fill="auto"/>
            <w:noWrap/>
            <w:vAlign w:val="center"/>
          </w:tcPr>
          <w:p w14:paraId="6345AC94" w14:textId="0D81E836" w:rsidR="0049760A" w:rsidRPr="00394EC7" w:rsidRDefault="57526E47" w:rsidP="0049760A">
            <w:pPr>
              <w:spacing w:after="0"/>
              <w:jc w:val="center"/>
              <w:rPr>
                <w:rFonts w:eastAsia="Times New Roman" w:cs="Calibri"/>
                <w:color w:val="000000"/>
                <w:sz w:val="16"/>
                <w:szCs w:val="16"/>
              </w:rPr>
            </w:pPr>
            <w:r w:rsidRPr="4712E1A2">
              <w:rPr>
                <w:rFonts w:eastAsia="Times New Roman" w:cs="Calibri"/>
                <w:color w:val="000000" w:themeColor="text1"/>
                <w:sz w:val="16"/>
                <w:szCs w:val="16"/>
              </w:rPr>
              <w:t>92.5%</w:t>
            </w:r>
          </w:p>
        </w:tc>
        <w:tc>
          <w:tcPr>
            <w:tcW w:w="720" w:type="dxa"/>
            <w:shd w:val="clear" w:color="auto" w:fill="auto"/>
            <w:noWrap/>
            <w:vAlign w:val="center"/>
          </w:tcPr>
          <w:p w14:paraId="02FA94B1" w14:textId="6DFB1DED" w:rsidR="0049760A" w:rsidRPr="00394EC7" w:rsidRDefault="57526E47" w:rsidP="0049760A">
            <w:pPr>
              <w:spacing w:after="0"/>
              <w:jc w:val="center"/>
              <w:rPr>
                <w:rFonts w:eastAsia="Times New Roman" w:cs="Calibri"/>
                <w:color w:val="000000"/>
                <w:sz w:val="16"/>
                <w:szCs w:val="16"/>
              </w:rPr>
            </w:pPr>
            <w:r w:rsidRPr="4712E1A2">
              <w:rPr>
                <w:rFonts w:eastAsia="Times New Roman" w:cs="Calibri"/>
                <w:color w:val="000000" w:themeColor="text1"/>
                <w:sz w:val="16"/>
                <w:szCs w:val="16"/>
              </w:rPr>
              <w:t>88.9%</w:t>
            </w:r>
          </w:p>
        </w:tc>
        <w:tc>
          <w:tcPr>
            <w:tcW w:w="810" w:type="dxa"/>
            <w:shd w:val="clear" w:color="auto" w:fill="auto"/>
            <w:noWrap/>
            <w:vAlign w:val="center"/>
          </w:tcPr>
          <w:p w14:paraId="6227057E" w14:textId="070F6D42" w:rsidR="0049760A" w:rsidRPr="00394EC7" w:rsidRDefault="57526E47" w:rsidP="0049760A">
            <w:pPr>
              <w:spacing w:after="0"/>
              <w:jc w:val="center"/>
              <w:rPr>
                <w:rFonts w:eastAsia="Times New Roman" w:cs="Calibri"/>
                <w:color w:val="000000"/>
                <w:sz w:val="16"/>
                <w:szCs w:val="16"/>
              </w:rPr>
            </w:pPr>
            <w:r w:rsidRPr="4712E1A2">
              <w:rPr>
                <w:rFonts w:eastAsia="Times New Roman" w:cs="Calibri"/>
                <w:color w:val="000000" w:themeColor="text1"/>
                <w:sz w:val="16"/>
                <w:szCs w:val="16"/>
              </w:rPr>
              <w:t>86.0%</w:t>
            </w:r>
          </w:p>
        </w:tc>
        <w:tc>
          <w:tcPr>
            <w:tcW w:w="810" w:type="dxa"/>
            <w:shd w:val="clear" w:color="auto" w:fill="auto"/>
            <w:noWrap/>
            <w:vAlign w:val="center"/>
          </w:tcPr>
          <w:p w14:paraId="0E0A9FA6" w14:textId="2935903F" w:rsidR="0049760A" w:rsidRPr="00394EC7" w:rsidRDefault="57526E47" w:rsidP="0049760A">
            <w:pPr>
              <w:spacing w:after="0"/>
              <w:jc w:val="center"/>
              <w:rPr>
                <w:rFonts w:eastAsia="Times New Roman" w:cs="Calibri"/>
                <w:color w:val="000000"/>
                <w:sz w:val="16"/>
                <w:szCs w:val="16"/>
              </w:rPr>
            </w:pPr>
            <w:r w:rsidRPr="4712E1A2">
              <w:rPr>
                <w:rFonts w:eastAsia="Times New Roman" w:cs="Calibri"/>
                <w:color w:val="000000" w:themeColor="text1"/>
                <w:sz w:val="16"/>
                <w:szCs w:val="16"/>
              </w:rPr>
              <w:t>91.1%</w:t>
            </w:r>
          </w:p>
        </w:tc>
        <w:tc>
          <w:tcPr>
            <w:tcW w:w="810" w:type="dxa"/>
            <w:shd w:val="clear" w:color="auto" w:fill="auto"/>
            <w:noWrap/>
            <w:vAlign w:val="center"/>
          </w:tcPr>
          <w:p w14:paraId="489B6ADC" w14:textId="46C26BF0" w:rsidR="0049760A" w:rsidRPr="00394EC7" w:rsidRDefault="57526E47" w:rsidP="0049760A">
            <w:pPr>
              <w:spacing w:after="0"/>
              <w:jc w:val="center"/>
              <w:rPr>
                <w:rFonts w:eastAsia="Times New Roman" w:cs="Calibri"/>
                <w:color w:val="000000"/>
                <w:sz w:val="16"/>
                <w:szCs w:val="16"/>
              </w:rPr>
            </w:pPr>
            <w:r w:rsidRPr="4712E1A2">
              <w:rPr>
                <w:rFonts w:eastAsia="Times New Roman" w:cs="Calibri"/>
                <w:color w:val="000000" w:themeColor="text1"/>
                <w:sz w:val="16"/>
                <w:szCs w:val="16"/>
              </w:rPr>
              <w:t>90.4%</w:t>
            </w:r>
          </w:p>
        </w:tc>
        <w:tc>
          <w:tcPr>
            <w:tcW w:w="720" w:type="dxa"/>
            <w:shd w:val="clear" w:color="auto" w:fill="auto"/>
            <w:noWrap/>
            <w:vAlign w:val="center"/>
          </w:tcPr>
          <w:p w14:paraId="0D5F65AC" w14:textId="36CBFD50" w:rsidR="0049760A" w:rsidRPr="00394EC7" w:rsidRDefault="57526E47" w:rsidP="0049760A">
            <w:pPr>
              <w:spacing w:after="0"/>
              <w:jc w:val="center"/>
              <w:rPr>
                <w:rFonts w:eastAsia="Times New Roman" w:cs="Calibri"/>
                <w:color w:val="000000"/>
                <w:sz w:val="16"/>
                <w:szCs w:val="16"/>
              </w:rPr>
            </w:pPr>
            <w:r w:rsidRPr="4712E1A2">
              <w:rPr>
                <w:rFonts w:eastAsia="Times New Roman" w:cs="Calibri"/>
                <w:color w:val="000000" w:themeColor="text1"/>
                <w:sz w:val="16"/>
                <w:szCs w:val="16"/>
              </w:rPr>
              <w:t>86.4%</w:t>
            </w:r>
          </w:p>
        </w:tc>
        <w:tc>
          <w:tcPr>
            <w:tcW w:w="720" w:type="dxa"/>
            <w:shd w:val="clear" w:color="auto" w:fill="auto"/>
            <w:noWrap/>
            <w:vAlign w:val="center"/>
          </w:tcPr>
          <w:p w14:paraId="1FCC329B" w14:textId="4537B5AE" w:rsidR="0049760A" w:rsidRPr="00394EC7" w:rsidRDefault="57526E47" w:rsidP="0049760A">
            <w:pPr>
              <w:spacing w:after="0"/>
              <w:jc w:val="center"/>
              <w:rPr>
                <w:rFonts w:eastAsia="Times New Roman" w:cs="Calibri"/>
                <w:color w:val="000000"/>
                <w:sz w:val="16"/>
                <w:szCs w:val="16"/>
              </w:rPr>
            </w:pPr>
            <w:r w:rsidRPr="4712E1A2">
              <w:rPr>
                <w:rFonts w:eastAsia="Times New Roman" w:cs="Calibri"/>
                <w:color w:val="000000" w:themeColor="text1"/>
                <w:sz w:val="16"/>
                <w:szCs w:val="16"/>
              </w:rPr>
              <w:t>92.4%</w:t>
            </w:r>
          </w:p>
        </w:tc>
        <w:tc>
          <w:tcPr>
            <w:tcW w:w="990" w:type="dxa"/>
            <w:shd w:val="clear" w:color="auto" w:fill="auto"/>
            <w:noWrap/>
            <w:vAlign w:val="center"/>
          </w:tcPr>
          <w:p w14:paraId="77BE23D8" w14:textId="1BC23FEC" w:rsidR="0049760A" w:rsidRPr="00394EC7" w:rsidRDefault="57526E47" w:rsidP="0049760A">
            <w:pPr>
              <w:spacing w:after="0"/>
              <w:jc w:val="center"/>
              <w:rPr>
                <w:rFonts w:eastAsia="Times New Roman" w:cs="Calibri"/>
                <w:color w:val="000000"/>
                <w:sz w:val="16"/>
                <w:szCs w:val="16"/>
              </w:rPr>
            </w:pPr>
            <w:r w:rsidRPr="2B796EF1">
              <w:rPr>
                <w:rFonts w:eastAsia="Times New Roman" w:cs="Calibri"/>
                <w:color w:val="000000" w:themeColor="text1"/>
                <w:sz w:val="16"/>
                <w:szCs w:val="16"/>
              </w:rPr>
              <w:t>91.3%</w:t>
            </w:r>
          </w:p>
        </w:tc>
        <w:tc>
          <w:tcPr>
            <w:tcW w:w="720" w:type="dxa"/>
            <w:tcBorders>
              <w:right w:val="single" w:sz="4" w:space="0" w:color="auto"/>
            </w:tcBorders>
            <w:shd w:val="clear" w:color="auto" w:fill="auto"/>
            <w:noWrap/>
            <w:vAlign w:val="center"/>
          </w:tcPr>
          <w:p w14:paraId="547216DE" w14:textId="20FF76EC" w:rsidR="0049760A" w:rsidRPr="00394EC7" w:rsidRDefault="57526E47" w:rsidP="0049760A">
            <w:pPr>
              <w:spacing w:after="0"/>
              <w:jc w:val="center"/>
              <w:rPr>
                <w:rFonts w:eastAsia="Times New Roman" w:cs="Calibri"/>
                <w:color w:val="000000"/>
                <w:sz w:val="16"/>
                <w:szCs w:val="16"/>
              </w:rPr>
            </w:pPr>
            <w:r w:rsidRPr="68DEC910">
              <w:rPr>
                <w:rFonts w:eastAsia="Times New Roman" w:cs="Calibri"/>
                <w:color w:val="000000" w:themeColor="text1"/>
                <w:sz w:val="16"/>
                <w:szCs w:val="16"/>
              </w:rPr>
              <w:t>79.1%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4372A" w14:textId="243C6AA2" w:rsidR="0049760A" w:rsidRPr="00394EC7" w:rsidRDefault="00255B4E" w:rsidP="0049760A">
            <w:pPr>
              <w:spacing w:after="0"/>
              <w:jc w:val="center"/>
              <w:rPr>
                <w:rFonts w:eastAsia="Times New Roman" w:cs="Calibri"/>
                <w:color w:val="000000"/>
                <w:sz w:val="16"/>
                <w:szCs w:val="16"/>
              </w:rPr>
            </w:pPr>
            <w:r>
              <w:rPr>
                <w:rFonts w:eastAsia="Times New Roman" w:cs="Calibri"/>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60E72" w14:textId="756D118D" w:rsidR="3E5DA59D" w:rsidRDefault="3E5DA59D" w:rsidP="3E5DA59D">
            <w:pPr>
              <w:spacing w:after="0"/>
              <w:jc w:val="center"/>
              <w:rPr>
                <w:rFonts w:eastAsia="Times New Roman" w:cs="Calibri"/>
                <w:color w:val="000000" w:themeColor="text1"/>
                <w:sz w:val="18"/>
                <w:szCs w:val="18"/>
              </w:rPr>
            </w:pPr>
            <w:r w:rsidRPr="3E5DA59D">
              <w:rPr>
                <w:rFonts w:cs="Calibri"/>
                <w:color w:val="000000" w:themeColor="text1"/>
                <w:sz w:val="18"/>
                <w:szCs w:val="18"/>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1C99A" w14:textId="6A822C6B" w:rsidR="3E5DA59D" w:rsidRDefault="3E5DA59D" w:rsidP="3E5DA59D">
            <w:pPr>
              <w:spacing w:after="0"/>
              <w:jc w:val="center"/>
              <w:rPr>
                <w:rFonts w:eastAsia="Times New Roman" w:cs="Calibri"/>
                <w:color w:val="000000" w:themeColor="text1"/>
                <w:sz w:val="18"/>
                <w:szCs w:val="18"/>
              </w:rPr>
            </w:pPr>
            <w:r w:rsidRPr="3E5DA59D">
              <w:rPr>
                <w:rFonts w:cs="Calibri"/>
                <w:color w:val="000000" w:themeColor="text1"/>
                <w:sz w:val="18"/>
                <w:szCs w:val="18"/>
              </w:rPr>
              <w:t>--</w:t>
            </w:r>
          </w:p>
        </w:tc>
      </w:tr>
      <w:tr w:rsidR="00DC70EE" w:rsidRPr="00884DD7" w14:paraId="4613B7E1" w14:textId="77777777" w:rsidTr="4EB40283">
        <w:trPr>
          <w:trHeight w:val="285"/>
        </w:trPr>
        <w:tc>
          <w:tcPr>
            <w:tcW w:w="2040" w:type="dxa"/>
            <w:shd w:val="clear" w:color="auto" w:fill="F2F2F2" w:themeFill="background1" w:themeFillShade="F2"/>
            <w:noWrap/>
          </w:tcPr>
          <w:p w14:paraId="6B2DCAFA" w14:textId="2948B8C5" w:rsidR="0049760A" w:rsidRPr="00597EE2" w:rsidRDefault="0049760A" w:rsidP="0049760A">
            <w:pPr>
              <w:spacing w:after="0"/>
              <w:jc w:val="center"/>
              <w:rPr>
                <w:rFonts w:eastAsia="Times New Roman" w:cs="Calibri"/>
                <w:color w:val="000000"/>
                <w:sz w:val="16"/>
                <w:szCs w:val="16"/>
              </w:rPr>
            </w:pPr>
            <w:r w:rsidRPr="00597EE2">
              <w:rPr>
                <w:rFonts w:cs="Calibri"/>
                <w:color w:val="000000"/>
                <w:sz w:val="16"/>
                <w:szCs w:val="16"/>
              </w:rPr>
              <w:t>EOHH</w:t>
            </w:r>
            <w:r>
              <w:rPr>
                <w:rFonts w:cs="Calibri"/>
                <w:color w:val="000000"/>
                <w:sz w:val="16"/>
                <w:szCs w:val="16"/>
              </w:rPr>
              <w:t>S</w:t>
            </w:r>
            <w:r w:rsidRPr="00597EE2">
              <w:rPr>
                <w:rFonts w:cs="Calibri"/>
                <w:color w:val="000000"/>
                <w:sz w:val="16"/>
                <w:szCs w:val="16"/>
              </w:rPr>
              <w:t xml:space="preserve"> </w:t>
            </w:r>
          </w:p>
        </w:tc>
        <w:tc>
          <w:tcPr>
            <w:tcW w:w="1650" w:type="dxa"/>
            <w:shd w:val="clear" w:color="auto" w:fill="F2F2F2" w:themeFill="background1" w:themeFillShade="F2"/>
          </w:tcPr>
          <w:p w14:paraId="56D0CD7C" w14:textId="001ACF1C" w:rsidR="0049760A" w:rsidRPr="00597EE2" w:rsidRDefault="0049760A" w:rsidP="0049760A">
            <w:pPr>
              <w:spacing w:after="0"/>
              <w:rPr>
                <w:rFonts w:eastAsia="Times New Roman" w:cs="Calibri"/>
                <w:sz w:val="16"/>
                <w:szCs w:val="16"/>
              </w:rPr>
            </w:pPr>
            <w:r w:rsidRPr="00597EE2">
              <w:rPr>
                <w:rFonts w:cs="Calibri"/>
                <w:color w:val="000000"/>
                <w:sz w:val="16"/>
                <w:szCs w:val="16"/>
              </w:rPr>
              <w:t>Adult: Overall Rating and Care Delivery: Communication</w:t>
            </w:r>
          </w:p>
        </w:tc>
        <w:tc>
          <w:tcPr>
            <w:tcW w:w="810" w:type="dxa"/>
            <w:shd w:val="clear" w:color="auto" w:fill="F2F2F2" w:themeFill="background1" w:themeFillShade="F2"/>
            <w:noWrap/>
            <w:vAlign w:val="center"/>
          </w:tcPr>
          <w:p w14:paraId="2367E0D8" w14:textId="7C0B45DC" w:rsidR="0049760A" w:rsidRPr="00394EC7" w:rsidRDefault="00C85DDD" w:rsidP="0049760A">
            <w:pPr>
              <w:spacing w:after="0"/>
              <w:jc w:val="center"/>
              <w:rPr>
                <w:rFonts w:eastAsia="Times New Roman" w:cs="Calibri"/>
                <w:color w:val="000000"/>
                <w:sz w:val="16"/>
                <w:szCs w:val="16"/>
              </w:rPr>
            </w:pPr>
            <w:r>
              <w:rPr>
                <w:rFonts w:eastAsia="Times New Roman" w:cs="Calibri"/>
                <w:color w:val="000000"/>
                <w:sz w:val="16"/>
                <w:szCs w:val="16"/>
              </w:rPr>
              <w:t>87.6%</w:t>
            </w:r>
          </w:p>
        </w:tc>
        <w:tc>
          <w:tcPr>
            <w:tcW w:w="720" w:type="dxa"/>
            <w:shd w:val="clear" w:color="auto" w:fill="F2F2F2" w:themeFill="background1" w:themeFillShade="F2"/>
            <w:noWrap/>
            <w:vAlign w:val="center"/>
          </w:tcPr>
          <w:p w14:paraId="63298D4B" w14:textId="732C1252" w:rsidR="0049760A" w:rsidRPr="00394EC7" w:rsidRDefault="601CDF92" w:rsidP="0049760A">
            <w:pPr>
              <w:spacing w:after="0"/>
              <w:jc w:val="center"/>
              <w:rPr>
                <w:rFonts w:eastAsia="Times New Roman" w:cs="Calibri"/>
                <w:color w:val="000000"/>
                <w:sz w:val="16"/>
                <w:szCs w:val="16"/>
              </w:rPr>
            </w:pPr>
            <w:r w:rsidRPr="6180C22A">
              <w:rPr>
                <w:rFonts w:eastAsia="Times New Roman" w:cs="Calibri"/>
                <w:color w:val="000000" w:themeColor="text1"/>
                <w:sz w:val="16"/>
                <w:szCs w:val="16"/>
              </w:rPr>
              <w:t>88.9%</w:t>
            </w:r>
          </w:p>
        </w:tc>
        <w:tc>
          <w:tcPr>
            <w:tcW w:w="720" w:type="dxa"/>
            <w:shd w:val="clear" w:color="auto" w:fill="F2F2F2" w:themeFill="background1" w:themeFillShade="F2"/>
            <w:noWrap/>
            <w:vAlign w:val="center"/>
          </w:tcPr>
          <w:p w14:paraId="4C1E5362" w14:textId="0AC9CC5D" w:rsidR="0049760A" w:rsidRPr="00394EC7" w:rsidRDefault="601CDF92" w:rsidP="0049760A">
            <w:pPr>
              <w:spacing w:after="0"/>
              <w:jc w:val="center"/>
              <w:rPr>
                <w:rFonts w:eastAsia="Times New Roman" w:cs="Calibri"/>
                <w:color w:val="000000"/>
                <w:sz w:val="16"/>
                <w:szCs w:val="16"/>
              </w:rPr>
            </w:pPr>
            <w:r w:rsidRPr="6180C22A">
              <w:rPr>
                <w:rFonts w:eastAsia="Times New Roman" w:cs="Calibri"/>
                <w:color w:val="000000" w:themeColor="text1"/>
                <w:sz w:val="16"/>
                <w:szCs w:val="16"/>
              </w:rPr>
              <w:t>89.9%</w:t>
            </w:r>
          </w:p>
        </w:tc>
        <w:tc>
          <w:tcPr>
            <w:tcW w:w="720" w:type="dxa"/>
            <w:shd w:val="clear" w:color="auto" w:fill="F2F2F2" w:themeFill="background1" w:themeFillShade="F2"/>
            <w:noWrap/>
            <w:vAlign w:val="center"/>
          </w:tcPr>
          <w:p w14:paraId="4271A7F9" w14:textId="6C8BA634" w:rsidR="0049760A" w:rsidRPr="00394EC7" w:rsidRDefault="601CDF92" w:rsidP="0049760A">
            <w:pPr>
              <w:spacing w:after="0"/>
              <w:jc w:val="center"/>
              <w:rPr>
                <w:rFonts w:eastAsia="Times New Roman" w:cs="Calibri"/>
                <w:color w:val="000000"/>
                <w:sz w:val="16"/>
                <w:szCs w:val="16"/>
              </w:rPr>
            </w:pPr>
            <w:r w:rsidRPr="6180C22A">
              <w:rPr>
                <w:rFonts w:eastAsia="Times New Roman" w:cs="Calibri"/>
                <w:color w:val="000000" w:themeColor="text1"/>
                <w:sz w:val="16"/>
                <w:szCs w:val="16"/>
              </w:rPr>
              <w:t>88.3%</w:t>
            </w:r>
          </w:p>
        </w:tc>
        <w:tc>
          <w:tcPr>
            <w:tcW w:w="720" w:type="dxa"/>
            <w:shd w:val="clear" w:color="auto" w:fill="F2F2F2" w:themeFill="background1" w:themeFillShade="F2"/>
            <w:noWrap/>
            <w:vAlign w:val="center"/>
          </w:tcPr>
          <w:p w14:paraId="1D45DF57" w14:textId="3DD45446" w:rsidR="0049760A" w:rsidRPr="00394EC7" w:rsidRDefault="601CDF92" w:rsidP="0049760A">
            <w:pPr>
              <w:spacing w:after="0"/>
              <w:jc w:val="center"/>
              <w:rPr>
                <w:rFonts w:eastAsia="Times New Roman" w:cs="Calibri"/>
                <w:color w:val="000000"/>
                <w:sz w:val="16"/>
                <w:szCs w:val="16"/>
              </w:rPr>
            </w:pPr>
            <w:r w:rsidRPr="6180C22A">
              <w:rPr>
                <w:rFonts w:eastAsia="Times New Roman" w:cs="Calibri"/>
                <w:color w:val="000000" w:themeColor="text1"/>
                <w:sz w:val="16"/>
                <w:szCs w:val="16"/>
              </w:rPr>
              <w:t>84.8%</w:t>
            </w:r>
          </w:p>
        </w:tc>
        <w:tc>
          <w:tcPr>
            <w:tcW w:w="720" w:type="dxa"/>
            <w:shd w:val="clear" w:color="auto" w:fill="F2F2F2" w:themeFill="background1" w:themeFillShade="F2"/>
            <w:noWrap/>
            <w:vAlign w:val="center"/>
          </w:tcPr>
          <w:p w14:paraId="1C95C4F4" w14:textId="573A83E9" w:rsidR="0049760A" w:rsidRPr="00394EC7" w:rsidRDefault="601CDF92" w:rsidP="0049760A">
            <w:pPr>
              <w:spacing w:after="0"/>
              <w:jc w:val="center"/>
              <w:rPr>
                <w:rFonts w:eastAsia="Times New Roman" w:cs="Calibri"/>
                <w:color w:val="000000"/>
                <w:sz w:val="16"/>
                <w:szCs w:val="16"/>
              </w:rPr>
            </w:pPr>
            <w:r w:rsidRPr="6180C22A">
              <w:rPr>
                <w:rFonts w:eastAsia="Times New Roman" w:cs="Calibri"/>
                <w:color w:val="000000" w:themeColor="text1"/>
                <w:sz w:val="16"/>
                <w:szCs w:val="16"/>
              </w:rPr>
              <w:t>87.0%</w:t>
            </w:r>
          </w:p>
        </w:tc>
        <w:tc>
          <w:tcPr>
            <w:tcW w:w="810" w:type="dxa"/>
            <w:shd w:val="clear" w:color="auto" w:fill="F2F2F2" w:themeFill="background1" w:themeFillShade="F2"/>
            <w:noWrap/>
            <w:vAlign w:val="center"/>
          </w:tcPr>
          <w:p w14:paraId="38B18EE5" w14:textId="266F36D6" w:rsidR="0049760A" w:rsidRPr="00394EC7" w:rsidRDefault="601CDF92" w:rsidP="0049760A">
            <w:pPr>
              <w:spacing w:after="0"/>
              <w:jc w:val="center"/>
              <w:rPr>
                <w:rFonts w:eastAsia="Times New Roman" w:cs="Calibri"/>
                <w:color w:val="000000"/>
                <w:sz w:val="16"/>
                <w:szCs w:val="16"/>
              </w:rPr>
            </w:pPr>
            <w:r w:rsidRPr="6180C22A">
              <w:rPr>
                <w:rFonts w:eastAsia="Times New Roman" w:cs="Calibri"/>
                <w:color w:val="000000" w:themeColor="text1"/>
                <w:sz w:val="16"/>
                <w:szCs w:val="16"/>
              </w:rPr>
              <w:t>88.5%</w:t>
            </w:r>
          </w:p>
        </w:tc>
        <w:tc>
          <w:tcPr>
            <w:tcW w:w="720" w:type="dxa"/>
            <w:shd w:val="clear" w:color="auto" w:fill="F2F2F2" w:themeFill="background1" w:themeFillShade="F2"/>
            <w:noWrap/>
            <w:vAlign w:val="center"/>
          </w:tcPr>
          <w:p w14:paraId="0EC3C142" w14:textId="3118238C" w:rsidR="0049760A" w:rsidRPr="00394EC7" w:rsidRDefault="601CDF92" w:rsidP="0049760A">
            <w:pPr>
              <w:spacing w:after="0"/>
              <w:jc w:val="center"/>
              <w:rPr>
                <w:rFonts w:eastAsia="Times New Roman" w:cs="Calibri"/>
                <w:color w:val="000000"/>
                <w:sz w:val="16"/>
                <w:szCs w:val="16"/>
              </w:rPr>
            </w:pPr>
            <w:r w:rsidRPr="6180C22A">
              <w:rPr>
                <w:rFonts w:eastAsia="Times New Roman" w:cs="Calibri"/>
                <w:color w:val="000000" w:themeColor="text1"/>
                <w:sz w:val="16"/>
                <w:szCs w:val="16"/>
              </w:rPr>
              <w:t>86.8%</w:t>
            </w:r>
          </w:p>
        </w:tc>
        <w:tc>
          <w:tcPr>
            <w:tcW w:w="720" w:type="dxa"/>
            <w:shd w:val="clear" w:color="auto" w:fill="F2F2F2" w:themeFill="background1" w:themeFillShade="F2"/>
            <w:noWrap/>
            <w:vAlign w:val="center"/>
          </w:tcPr>
          <w:p w14:paraId="06D9C132" w14:textId="616DFA8E" w:rsidR="0049760A" w:rsidRPr="00394EC7" w:rsidRDefault="601CDF92" w:rsidP="0049760A">
            <w:pPr>
              <w:spacing w:after="0"/>
              <w:jc w:val="center"/>
              <w:rPr>
                <w:rFonts w:eastAsia="Times New Roman" w:cs="Calibri"/>
                <w:color w:val="000000"/>
                <w:sz w:val="16"/>
                <w:szCs w:val="16"/>
              </w:rPr>
            </w:pPr>
            <w:r w:rsidRPr="03C36381">
              <w:rPr>
                <w:rFonts w:eastAsia="Times New Roman" w:cs="Calibri"/>
                <w:color w:val="000000" w:themeColor="text1"/>
                <w:sz w:val="16"/>
                <w:szCs w:val="16"/>
              </w:rPr>
              <w:t>88.1%</w:t>
            </w:r>
          </w:p>
        </w:tc>
        <w:tc>
          <w:tcPr>
            <w:tcW w:w="1080" w:type="dxa"/>
            <w:shd w:val="clear" w:color="auto" w:fill="F2F2F2" w:themeFill="background1" w:themeFillShade="F2"/>
            <w:noWrap/>
            <w:vAlign w:val="center"/>
          </w:tcPr>
          <w:p w14:paraId="6AD541D3" w14:textId="1966AB64" w:rsidR="0049760A" w:rsidRPr="00394EC7" w:rsidRDefault="601CDF92" w:rsidP="0049760A">
            <w:pPr>
              <w:spacing w:after="0"/>
              <w:jc w:val="center"/>
              <w:rPr>
                <w:rFonts w:eastAsia="Times New Roman" w:cs="Calibri"/>
                <w:color w:val="000000"/>
                <w:sz w:val="16"/>
                <w:szCs w:val="16"/>
              </w:rPr>
            </w:pPr>
            <w:r w:rsidRPr="03C36381">
              <w:rPr>
                <w:rFonts w:eastAsia="Times New Roman" w:cs="Calibri"/>
                <w:color w:val="000000" w:themeColor="text1"/>
                <w:sz w:val="16"/>
                <w:szCs w:val="16"/>
              </w:rPr>
              <w:t>91.9%</w:t>
            </w:r>
          </w:p>
        </w:tc>
        <w:tc>
          <w:tcPr>
            <w:tcW w:w="720" w:type="dxa"/>
            <w:shd w:val="clear" w:color="auto" w:fill="F2F2F2" w:themeFill="background1" w:themeFillShade="F2"/>
            <w:noWrap/>
            <w:vAlign w:val="center"/>
          </w:tcPr>
          <w:p w14:paraId="124B315E" w14:textId="32C4E97D" w:rsidR="0049760A" w:rsidRPr="00394EC7" w:rsidRDefault="601CDF92" w:rsidP="0049760A">
            <w:pPr>
              <w:spacing w:after="0"/>
              <w:jc w:val="center"/>
              <w:rPr>
                <w:rFonts w:eastAsia="Times New Roman" w:cs="Calibri"/>
                <w:color w:val="000000"/>
                <w:sz w:val="16"/>
                <w:szCs w:val="16"/>
              </w:rPr>
            </w:pPr>
            <w:r w:rsidRPr="03C36381">
              <w:rPr>
                <w:rFonts w:eastAsia="Times New Roman" w:cs="Calibri"/>
                <w:color w:val="000000" w:themeColor="text1"/>
                <w:sz w:val="16"/>
                <w:szCs w:val="16"/>
              </w:rPr>
              <w:t>87.8%</w:t>
            </w:r>
          </w:p>
        </w:tc>
        <w:tc>
          <w:tcPr>
            <w:tcW w:w="810" w:type="dxa"/>
            <w:shd w:val="clear" w:color="auto" w:fill="F2F2F2" w:themeFill="background1" w:themeFillShade="F2"/>
            <w:noWrap/>
            <w:vAlign w:val="center"/>
          </w:tcPr>
          <w:p w14:paraId="69B1A469" w14:textId="34E954E3" w:rsidR="0049760A" w:rsidRPr="00394EC7" w:rsidRDefault="601CDF92" w:rsidP="0049760A">
            <w:pPr>
              <w:spacing w:after="0"/>
              <w:jc w:val="center"/>
              <w:rPr>
                <w:rFonts w:eastAsia="Times New Roman" w:cs="Calibri"/>
                <w:color w:val="000000"/>
                <w:sz w:val="16"/>
                <w:szCs w:val="16"/>
              </w:rPr>
            </w:pPr>
            <w:r w:rsidRPr="03C36381">
              <w:rPr>
                <w:rFonts w:eastAsia="Times New Roman" w:cs="Calibri"/>
                <w:color w:val="000000" w:themeColor="text1"/>
                <w:sz w:val="16"/>
                <w:szCs w:val="16"/>
              </w:rPr>
              <w:t>81.8%</w:t>
            </w:r>
          </w:p>
        </w:tc>
        <w:tc>
          <w:tcPr>
            <w:tcW w:w="810" w:type="dxa"/>
            <w:shd w:val="clear" w:color="auto" w:fill="F2F2F2" w:themeFill="background1" w:themeFillShade="F2"/>
            <w:noWrap/>
            <w:vAlign w:val="center"/>
          </w:tcPr>
          <w:p w14:paraId="5EFD3200" w14:textId="2126224B" w:rsidR="0049760A" w:rsidRPr="00394EC7" w:rsidRDefault="601CDF92" w:rsidP="0049760A">
            <w:pPr>
              <w:spacing w:after="0"/>
              <w:jc w:val="center"/>
              <w:rPr>
                <w:rFonts w:eastAsia="Times New Roman" w:cs="Calibri"/>
                <w:color w:val="000000"/>
                <w:sz w:val="16"/>
                <w:szCs w:val="16"/>
              </w:rPr>
            </w:pPr>
            <w:r w:rsidRPr="03C36381">
              <w:rPr>
                <w:rFonts w:eastAsia="Times New Roman" w:cs="Calibri"/>
                <w:color w:val="000000" w:themeColor="text1"/>
                <w:sz w:val="16"/>
                <w:szCs w:val="16"/>
              </w:rPr>
              <w:t>85.5%</w:t>
            </w:r>
          </w:p>
        </w:tc>
        <w:tc>
          <w:tcPr>
            <w:tcW w:w="810" w:type="dxa"/>
            <w:shd w:val="clear" w:color="auto" w:fill="F2F2F2" w:themeFill="background1" w:themeFillShade="F2"/>
            <w:noWrap/>
            <w:vAlign w:val="center"/>
          </w:tcPr>
          <w:p w14:paraId="32740C62" w14:textId="3F2FEF02" w:rsidR="0049760A" w:rsidRPr="00394EC7" w:rsidRDefault="601CDF92" w:rsidP="0049760A">
            <w:pPr>
              <w:spacing w:after="0"/>
              <w:jc w:val="center"/>
              <w:rPr>
                <w:rFonts w:eastAsia="Times New Roman" w:cs="Calibri"/>
                <w:color w:val="000000"/>
                <w:sz w:val="16"/>
                <w:szCs w:val="16"/>
              </w:rPr>
            </w:pPr>
            <w:r w:rsidRPr="03C36381">
              <w:rPr>
                <w:rFonts w:eastAsia="Times New Roman" w:cs="Calibri"/>
                <w:color w:val="000000" w:themeColor="text1"/>
                <w:sz w:val="16"/>
                <w:szCs w:val="16"/>
              </w:rPr>
              <w:t>88.8%</w:t>
            </w:r>
          </w:p>
        </w:tc>
        <w:tc>
          <w:tcPr>
            <w:tcW w:w="720" w:type="dxa"/>
            <w:shd w:val="clear" w:color="auto" w:fill="F2F2F2" w:themeFill="background1" w:themeFillShade="F2"/>
            <w:noWrap/>
            <w:vAlign w:val="center"/>
          </w:tcPr>
          <w:p w14:paraId="290BD209" w14:textId="0B9BC7F5" w:rsidR="0049760A" w:rsidRPr="00394EC7" w:rsidRDefault="601CDF92" w:rsidP="0049760A">
            <w:pPr>
              <w:spacing w:after="0"/>
              <w:jc w:val="center"/>
              <w:rPr>
                <w:rFonts w:eastAsia="Times New Roman" w:cs="Calibri"/>
                <w:color w:val="000000"/>
                <w:sz w:val="16"/>
                <w:szCs w:val="16"/>
              </w:rPr>
            </w:pPr>
            <w:r w:rsidRPr="03C36381">
              <w:rPr>
                <w:rFonts w:eastAsia="Times New Roman" w:cs="Calibri"/>
                <w:color w:val="000000" w:themeColor="text1"/>
                <w:sz w:val="16"/>
                <w:szCs w:val="16"/>
              </w:rPr>
              <w:t>86.0%</w:t>
            </w:r>
          </w:p>
        </w:tc>
        <w:tc>
          <w:tcPr>
            <w:tcW w:w="720" w:type="dxa"/>
            <w:shd w:val="clear" w:color="auto" w:fill="F2F2F2" w:themeFill="background1" w:themeFillShade="F2"/>
            <w:noWrap/>
            <w:vAlign w:val="center"/>
          </w:tcPr>
          <w:p w14:paraId="45857338" w14:textId="01A76A56" w:rsidR="0049760A" w:rsidRPr="00394EC7" w:rsidRDefault="601CDF92" w:rsidP="0049760A">
            <w:pPr>
              <w:spacing w:after="0"/>
              <w:jc w:val="center"/>
              <w:rPr>
                <w:rFonts w:eastAsia="Times New Roman" w:cs="Calibri"/>
                <w:color w:val="000000"/>
                <w:sz w:val="16"/>
                <w:szCs w:val="16"/>
              </w:rPr>
            </w:pPr>
            <w:r w:rsidRPr="03C36381">
              <w:rPr>
                <w:rFonts w:eastAsia="Times New Roman" w:cs="Calibri"/>
                <w:color w:val="000000" w:themeColor="text1"/>
                <w:sz w:val="16"/>
                <w:szCs w:val="16"/>
              </w:rPr>
              <w:t>89.6%</w:t>
            </w:r>
          </w:p>
        </w:tc>
        <w:tc>
          <w:tcPr>
            <w:tcW w:w="990" w:type="dxa"/>
            <w:shd w:val="clear" w:color="auto" w:fill="F2F2F2" w:themeFill="background1" w:themeFillShade="F2"/>
            <w:noWrap/>
            <w:vAlign w:val="center"/>
          </w:tcPr>
          <w:p w14:paraId="2BA1FDEB" w14:textId="18A549DC" w:rsidR="0049760A" w:rsidRPr="00394EC7" w:rsidRDefault="601CDF92" w:rsidP="0049760A">
            <w:pPr>
              <w:spacing w:after="0"/>
              <w:jc w:val="center"/>
              <w:rPr>
                <w:rFonts w:eastAsia="Times New Roman" w:cs="Calibri"/>
                <w:color w:val="000000"/>
                <w:sz w:val="16"/>
                <w:szCs w:val="16"/>
              </w:rPr>
            </w:pPr>
            <w:r w:rsidRPr="7C22ECCB">
              <w:rPr>
                <w:rFonts w:eastAsia="Times New Roman" w:cs="Calibri"/>
                <w:color w:val="000000" w:themeColor="text1"/>
                <w:sz w:val="16"/>
                <w:szCs w:val="16"/>
              </w:rPr>
              <w:t>87.8%</w:t>
            </w:r>
          </w:p>
        </w:tc>
        <w:tc>
          <w:tcPr>
            <w:tcW w:w="720" w:type="dxa"/>
            <w:tcBorders>
              <w:right w:val="single" w:sz="4" w:space="0" w:color="auto"/>
            </w:tcBorders>
            <w:shd w:val="clear" w:color="auto" w:fill="F2F2F2" w:themeFill="background1" w:themeFillShade="F2"/>
            <w:noWrap/>
            <w:vAlign w:val="center"/>
          </w:tcPr>
          <w:p w14:paraId="0096DA4B" w14:textId="7EF8287E" w:rsidR="0049760A" w:rsidRPr="00394EC7" w:rsidRDefault="601CDF92" w:rsidP="0049760A">
            <w:pPr>
              <w:spacing w:after="0"/>
              <w:jc w:val="center"/>
              <w:rPr>
                <w:rFonts w:eastAsia="Times New Roman" w:cs="Calibri"/>
                <w:color w:val="000000"/>
                <w:sz w:val="16"/>
                <w:szCs w:val="16"/>
              </w:rPr>
            </w:pPr>
            <w:r w:rsidRPr="7C22ECCB">
              <w:rPr>
                <w:rFonts w:eastAsia="Times New Roman" w:cs="Calibri"/>
                <w:color w:val="000000" w:themeColor="text1"/>
                <w:sz w:val="16"/>
                <w:szCs w:val="16"/>
              </w:rPr>
              <w:t>86.2%</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6413262" w14:textId="1BF30A8C"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 </w:t>
            </w:r>
            <w:r w:rsidR="00255B4E">
              <w:rPr>
                <w:rFonts w:cs="Calibri"/>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A5FD1B2" w14:textId="7531268F" w:rsidR="3E5DA59D" w:rsidRDefault="3E5DA59D" w:rsidP="3E5DA59D">
            <w:pPr>
              <w:spacing w:after="0"/>
              <w:jc w:val="center"/>
              <w:rPr>
                <w:rFonts w:eastAsia="Times New Roman" w:cs="Calibri"/>
                <w:color w:val="000000" w:themeColor="text1"/>
                <w:sz w:val="18"/>
                <w:szCs w:val="18"/>
              </w:rPr>
            </w:pPr>
            <w:r w:rsidRPr="3E5DA59D">
              <w:rPr>
                <w:rFonts w:cs="Calibri"/>
                <w:color w:val="000000" w:themeColor="text1"/>
                <w:sz w:val="18"/>
                <w:szCs w:val="18"/>
              </w:rPr>
              <w:t>--</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D0042AE" w14:textId="39CF9304" w:rsidR="3E5DA59D" w:rsidRDefault="3E5DA59D" w:rsidP="3E5DA59D">
            <w:pPr>
              <w:spacing w:after="0"/>
              <w:jc w:val="center"/>
              <w:rPr>
                <w:rFonts w:eastAsia="Times New Roman" w:cs="Calibri"/>
                <w:color w:val="000000" w:themeColor="text1"/>
                <w:sz w:val="18"/>
                <w:szCs w:val="18"/>
              </w:rPr>
            </w:pPr>
            <w:r w:rsidRPr="3E5DA59D">
              <w:rPr>
                <w:rFonts w:cs="Calibri"/>
                <w:color w:val="000000" w:themeColor="text1"/>
                <w:sz w:val="18"/>
                <w:szCs w:val="18"/>
              </w:rPr>
              <w:t>--</w:t>
            </w:r>
          </w:p>
        </w:tc>
      </w:tr>
      <w:tr w:rsidR="00255A16" w:rsidRPr="00884DD7" w14:paraId="161FD3DA" w14:textId="77777777" w:rsidTr="4EB40283">
        <w:trPr>
          <w:trHeight w:val="285"/>
        </w:trPr>
        <w:tc>
          <w:tcPr>
            <w:tcW w:w="2040" w:type="dxa"/>
            <w:shd w:val="clear" w:color="auto" w:fill="auto"/>
            <w:noWrap/>
          </w:tcPr>
          <w:p w14:paraId="7D8213FE" w14:textId="258F0463" w:rsidR="0049760A" w:rsidRPr="00597EE2" w:rsidRDefault="0049760A" w:rsidP="0049760A">
            <w:pPr>
              <w:spacing w:after="0"/>
              <w:jc w:val="center"/>
              <w:rPr>
                <w:rFonts w:eastAsia="Times New Roman" w:cs="Calibri"/>
                <w:color w:val="000000"/>
                <w:sz w:val="16"/>
                <w:szCs w:val="16"/>
              </w:rPr>
            </w:pPr>
            <w:r w:rsidRPr="00597EE2">
              <w:rPr>
                <w:rFonts w:cs="Calibri"/>
                <w:color w:val="000000"/>
                <w:sz w:val="16"/>
                <w:szCs w:val="16"/>
              </w:rPr>
              <w:t>EOHH</w:t>
            </w:r>
            <w:r>
              <w:rPr>
                <w:rFonts w:cs="Calibri"/>
                <w:color w:val="000000"/>
                <w:sz w:val="16"/>
                <w:szCs w:val="16"/>
              </w:rPr>
              <w:t>S</w:t>
            </w:r>
          </w:p>
        </w:tc>
        <w:tc>
          <w:tcPr>
            <w:tcW w:w="1650" w:type="dxa"/>
            <w:shd w:val="clear" w:color="auto" w:fill="auto"/>
          </w:tcPr>
          <w:p w14:paraId="0245EEA3" w14:textId="40520A92" w:rsidR="0049760A" w:rsidRPr="00597EE2" w:rsidRDefault="0049760A" w:rsidP="0049760A">
            <w:pPr>
              <w:spacing w:after="0"/>
              <w:rPr>
                <w:rFonts w:eastAsia="Times New Roman" w:cs="Calibri"/>
                <w:sz w:val="16"/>
                <w:szCs w:val="16"/>
              </w:rPr>
            </w:pPr>
            <w:r w:rsidRPr="00597EE2">
              <w:rPr>
                <w:rFonts w:cs="Calibri"/>
                <w:color w:val="000000"/>
                <w:sz w:val="16"/>
                <w:szCs w:val="16"/>
              </w:rPr>
              <w:t>Child: Overall Rating and Care Delivery: Communication</w:t>
            </w:r>
          </w:p>
        </w:tc>
        <w:tc>
          <w:tcPr>
            <w:tcW w:w="810" w:type="dxa"/>
            <w:shd w:val="clear" w:color="auto" w:fill="auto"/>
            <w:noWrap/>
            <w:vAlign w:val="center"/>
          </w:tcPr>
          <w:p w14:paraId="4FE0A454" w14:textId="7F918A41" w:rsidR="0049760A" w:rsidRPr="00394EC7" w:rsidRDefault="00F2291C" w:rsidP="0049760A">
            <w:pPr>
              <w:spacing w:after="0"/>
              <w:jc w:val="center"/>
              <w:rPr>
                <w:rFonts w:eastAsia="Times New Roman" w:cs="Calibri"/>
                <w:color w:val="000000"/>
                <w:sz w:val="16"/>
                <w:szCs w:val="16"/>
              </w:rPr>
            </w:pPr>
            <w:r>
              <w:rPr>
                <w:rFonts w:eastAsia="Times New Roman" w:cs="Calibri"/>
                <w:color w:val="000000"/>
                <w:sz w:val="16"/>
                <w:szCs w:val="16"/>
              </w:rPr>
              <w:t>90.8%</w:t>
            </w:r>
          </w:p>
        </w:tc>
        <w:tc>
          <w:tcPr>
            <w:tcW w:w="720" w:type="dxa"/>
            <w:shd w:val="clear" w:color="auto" w:fill="auto"/>
            <w:noWrap/>
            <w:vAlign w:val="center"/>
          </w:tcPr>
          <w:p w14:paraId="780CFE6F" w14:textId="37218458" w:rsidR="0049760A" w:rsidRPr="00394EC7" w:rsidRDefault="7F8F4634" w:rsidP="0049760A">
            <w:pPr>
              <w:spacing w:after="0"/>
              <w:jc w:val="center"/>
              <w:rPr>
                <w:rFonts w:eastAsia="Times New Roman" w:cs="Calibri"/>
                <w:color w:val="000000"/>
                <w:sz w:val="16"/>
                <w:szCs w:val="16"/>
              </w:rPr>
            </w:pPr>
            <w:r w:rsidRPr="3458BADE">
              <w:rPr>
                <w:rFonts w:eastAsia="Times New Roman" w:cs="Calibri"/>
                <w:color w:val="000000" w:themeColor="text1"/>
                <w:sz w:val="16"/>
                <w:szCs w:val="16"/>
              </w:rPr>
              <w:t>91.2%</w:t>
            </w:r>
          </w:p>
        </w:tc>
        <w:tc>
          <w:tcPr>
            <w:tcW w:w="720" w:type="dxa"/>
            <w:shd w:val="clear" w:color="auto" w:fill="auto"/>
            <w:noWrap/>
            <w:vAlign w:val="center"/>
          </w:tcPr>
          <w:p w14:paraId="2589E9F4" w14:textId="213527C2" w:rsidR="0049760A" w:rsidRPr="00394EC7" w:rsidRDefault="7F8F4634" w:rsidP="0049760A">
            <w:pPr>
              <w:spacing w:after="0"/>
              <w:jc w:val="center"/>
              <w:rPr>
                <w:rFonts w:eastAsia="Times New Roman" w:cs="Calibri"/>
                <w:color w:val="000000"/>
                <w:sz w:val="16"/>
                <w:szCs w:val="16"/>
              </w:rPr>
            </w:pPr>
            <w:r w:rsidRPr="3458BADE">
              <w:rPr>
                <w:rFonts w:eastAsia="Times New Roman" w:cs="Calibri"/>
                <w:color w:val="000000" w:themeColor="text1"/>
                <w:sz w:val="16"/>
                <w:szCs w:val="16"/>
              </w:rPr>
              <w:t>91.8%</w:t>
            </w:r>
          </w:p>
        </w:tc>
        <w:tc>
          <w:tcPr>
            <w:tcW w:w="720" w:type="dxa"/>
            <w:shd w:val="clear" w:color="auto" w:fill="auto"/>
            <w:noWrap/>
            <w:vAlign w:val="center"/>
          </w:tcPr>
          <w:p w14:paraId="36E0F269" w14:textId="4C7B6B45" w:rsidR="0049760A" w:rsidRPr="00394EC7" w:rsidRDefault="6CE3C977" w:rsidP="0049760A">
            <w:pPr>
              <w:spacing w:after="0"/>
              <w:jc w:val="center"/>
              <w:rPr>
                <w:rFonts w:eastAsia="Times New Roman" w:cs="Calibri"/>
                <w:color w:val="000000"/>
                <w:sz w:val="16"/>
                <w:szCs w:val="16"/>
              </w:rPr>
            </w:pPr>
            <w:r w:rsidRPr="0EDA115D">
              <w:rPr>
                <w:rFonts w:eastAsia="Times New Roman" w:cs="Calibri"/>
                <w:color w:val="000000" w:themeColor="text1"/>
                <w:sz w:val="16"/>
                <w:szCs w:val="16"/>
              </w:rPr>
              <w:t>90.1</w:t>
            </w:r>
            <w:r w:rsidR="4172191F" w:rsidRPr="0EDA115D">
              <w:rPr>
                <w:rFonts w:eastAsia="Times New Roman" w:cs="Calibri"/>
                <w:color w:val="000000" w:themeColor="text1"/>
                <w:sz w:val="16"/>
                <w:szCs w:val="16"/>
              </w:rPr>
              <w:t>%</w:t>
            </w:r>
          </w:p>
        </w:tc>
        <w:tc>
          <w:tcPr>
            <w:tcW w:w="720" w:type="dxa"/>
            <w:shd w:val="clear" w:color="auto" w:fill="auto"/>
            <w:noWrap/>
            <w:vAlign w:val="center"/>
          </w:tcPr>
          <w:p w14:paraId="6EC06588" w14:textId="5A049A23" w:rsidR="0049760A" w:rsidRPr="00394EC7" w:rsidRDefault="7F8F4634" w:rsidP="0049760A">
            <w:pPr>
              <w:spacing w:after="0"/>
              <w:jc w:val="center"/>
              <w:rPr>
                <w:rFonts w:eastAsia="Times New Roman" w:cs="Calibri"/>
                <w:color w:val="000000"/>
                <w:sz w:val="16"/>
                <w:szCs w:val="16"/>
              </w:rPr>
            </w:pPr>
            <w:r w:rsidRPr="3458BADE">
              <w:rPr>
                <w:rFonts w:eastAsia="Times New Roman" w:cs="Calibri"/>
                <w:color w:val="000000" w:themeColor="text1"/>
                <w:sz w:val="16"/>
                <w:szCs w:val="16"/>
              </w:rPr>
              <w:t>89.9%</w:t>
            </w:r>
          </w:p>
        </w:tc>
        <w:tc>
          <w:tcPr>
            <w:tcW w:w="720" w:type="dxa"/>
            <w:shd w:val="clear" w:color="auto" w:fill="auto"/>
            <w:noWrap/>
            <w:vAlign w:val="center"/>
          </w:tcPr>
          <w:p w14:paraId="660405DE" w14:textId="6203B12D" w:rsidR="0049760A" w:rsidRPr="00394EC7" w:rsidRDefault="7F8F4634" w:rsidP="0049760A">
            <w:pPr>
              <w:spacing w:after="0"/>
              <w:jc w:val="center"/>
              <w:rPr>
                <w:rFonts w:eastAsia="Times New Roman" w:cs="Calibri"/>
                <w:color w:val="000000"/>
                <w:sz w:val="16"/>
                <w:szCs w:val="16"/>
              </w:rPr>
            </w:pPr>
            <w:r w:rsidRPr="3458BADE">
              <w:rPr>
                <w:rFonts w:eastAsia="Times New Roman" w:cs="Calibri"/>
                <w:color w:val="000000" w:themeColor="text1"/>
                <w:sz w:val="16"/>
                <w:szCs w:val="16"/>
              </w:rPr>
              <w:t>90.0%</w:t>
            </w:r>
          </w:p>
        </w:tc>
        <w:tc>
          <w:tcPr>
            <w:tcW w:w="810" w:type="dxa"/>
            <w:shd w:val="clear" w:color="auto" w:fill="auto"/>
            <w:noWrap/>
            <w:vAlign w:val="center"/>
          </w:tcPr>
          <w:p w14:paraId="43621267" w14:textId="70760356" w:rsidR="0049760A" w:rsidRPr="00394EC7" w:rsidRDefault="7F8F4634" w:rsidP="0049760A">
            <w:pPr>
              <w:spacing w:after="0"/>
              <w:jc w:val="center"/>
              <w:rPr>
                <w:rFonts w:eastAsia="Times New Roman" w:cs="Calibri"/>
                <w:color w:val="000000"/>
                <w:sz w:val="16"/>
                <w:szCs w:val="16"/>
              </w:rPr>
            </w:pPr>
            <w:r w:rsidRPr="3458BADE">
              <w:rPr>
                <w:rFonts w:eastAsia="Times New Roman" w:cs="Calibri"/>
                <w:color w:val="000000" w:themeColor="text1"/>
                <w:sz w:val="16"/>
                <w:szCs w:val="16"/>
              </w:rPr>
              <w:t>92.4%</w:t>
            </w:r>
          </w:p>
        </w:tc>
        <w:tc>
          <w:tcPr>
            <w:tcW w:w="720" w:type="dxa"/>
            <w:shd w:val="clear" w:color="auto" w:fill="auto"/>
            <w:noWrap/>
            <w:vAlign w:val="center"/>
          </w:tcPr>
          <w:p w14:paraId="2468E3D1" w14:textId="7B8A85FC" w:rsidR="0049760A" w:rsidRPr="00394EC7" w:rsidRDefault="7F8F4634" w:rsidP="0049760A">
            <w:pPr>
              <w:spacing w:after="0"/>
              <w:jc w:val="center"/>
              <w:rPr>
                <w:rFonts w:eastAsia="Times New Roman" w:cs="Calibri"/>
                <w:color w:val="000000"/>
                <w:sz w:val="16"/>
                <w:szCs w:val="16"/>
              </w:rPr>
            </w:pPr>
            <w:r w:rsidRPr="2177DFC1">
              <w:rPr>
                <w:rFonts w:eastAsia="Times New Roman" w:cs="Calibri"/>
                <w:color w:val="000000" w:themeColor="text1"/>
                <w:sz w:val="16"/>
                <w:szCs w:val="16"/>
              </w:rPr>
              <w:t>88.5%</w:t>
            </w:r>
          </w:p>
        </w:tc>
        <w:tc>
          <w:tcPr>
            <w:tcW w:w="720" w:type="dxa"/>
            <w:shd w:val="clear" w:color="auto" w:fill="auto"/>
            <w:noWrap/>
            <w:vAlign w:val="center"/>
          </w:tcPr>
          <w:p w14:paraId="66F8A011" w14:textId="6B2F68F6" w:rsidR="0049760A" w:rsidRPr="00394EC7" w:rsidRDefault="7F8F4634" w:rsidP="0049760A">
            <w:pPr>
              <w:spacing w:after="0"/>
              <w:jc w:val="center"/>
              <w:rPr>
                <w:rFonts w:eastAsia="Times New Roman" w:cs="Calibri"/>
                <w:color w:val="000000"/>
                <w:sz w:val="16"/>
                <w:szCs w:val="16"/>
              </w:rPr>
            </w:pPr>
            <w:r w:rsidRPr="2177DFC1">
              <w:rPr>
                <w:rFonts w:eastAsia="Times New Roman" w:cs="Calibri"/>
                <w:color w:val="000000" w:themeColor="text1"/>
                <w:sz w:val="16"/>
                <w:szCs w:val="16"/>
              </w:rPr>
              <w:t>91.1%</w:t>
            </w:r>
          </w:p>
        </w:tc>
        <w:tc>
          <w:tcPr>
            <w:tcW w:w="1080" w:type="dxa"/>
            <w:shd w:val="clear" w:color="auto" w:fill="auto"/>
            <w:noWrap/>
            <w:vAlign w:val="center"/>
          </w:tcPr>
          <w:p w14:paraId="6B218F87" w14:textId="12188D74" w:rsidR="0049760A" w:rsidRPr="00394EC7" w:rsidRDefault="7F8F4634" w:rsidP="0049760A">
            <w:pPr>
              <w:spacing w:after="0"/>
              <w:jc w:val="center"/>
              <w:rPr>
                <w:rFonts w:eastAsia="Times New Roman" w:cs="Calibri"/>
                <w:color w:val="000000"/>
                <w:sz w:val="16"/>
                <w:szCs w:val="16"/>
              </w:rPr>
            </w:pPr>
            <w:r w:rsidRPr="2177DFC1">
              <w:rPr>
                <w:rFonts w:eastAsia="Times New Roman" w:cs="Calibri"/>
                <w:color w:val="000000" w:themeColor="text1"/>
                <w:sz w:val="16"/>
                <w:szCs w:val="16"/>
              </w:rPr>
              <w:t>92.2%</w:t>
            </w:r>
          </w:p>
        </w:tc>
        <w:tc>
          <w:tcPr>
            <w:tcW w:w="720" w:type="dxa"/>
            <w:shd w:val="clear" w:color="auto" w:fill="auto"/>
            <w:noWrap/>
            <w:vAlign w:val="center"/>
          </w:tcPr>
          <w:p w14:paraId="018C28B4" w14:textId="4A170D8D" w:rsidR="0049760A" w:rsidRPr="00394EC7" w:rsidRDefault="7F8F4634" w:rsidP="0049760A">
            <w:pPr>
              <w:spacing w:after="0"/>
              <w:jc w:val="center"/>
              <w:rPr>
                <w:rFonts w:eastAsia="Times New Roman" w:cs="Calibri"/>
                <w:color w:val="000000"/>
                <w:sz w:val="16"/>
                <w:szCs w:val="16"/>
              </w:rPr>
            </w:pPr>
            <w:r w:rsidRPr="2177DFC1">
              <w:rPr>
                <w:rFonts w:eastAsia="Times New Roman" w:cs="Calibri"/>
                <w:color w:val="000000" w:themeColor="text1"/>
                <w:sz w:val="16"/>
                <w:szCs w:val="16"/>
              </w:rPr>
              <w:t>90.6%</w:t>
            </w:r>
          </w:p>
        </w:tc>
        <w:tc>
          <w:tcPr>
            <w:tcW w:w="810" w:type="dxa"/>
            <w:shd w:val="clear" w:color="auto" w:fill="auto"/>
            <w:noWrap/>
            <w:vAlign w:val="center"/>
          </w:tcPr>
          <w:p w14:paraId="79024233" w14:textId="1510A34A" w:rsidR="0049760A" w:rsidRPr="00394EC7" w:rsidRDefault="7F8F4634" w:rsidP="0049760A">
            <w:pPr>
              <w:spacing w:after="0"/>
              <w:jc w:val="center"/>
              <w:rPr>
                <w:rFonts w:eastAsia="Times New Roman" w:cs="Calibri"/>
                <w:color w:val="000000"/>
                <w:sz w:val="16"/>
                <w:szCs w:val="16"/>
              </w:rPr>
            </w:pPr>
            <w:r w:rsidRPr="2177DFC1">
              <w:rPr>
                <w:rFonts w:eastAsia="Times New Roman" w:cs="Calibri"/>
                <w:color w:val="000000" w:themeColor="text1"/>
                <w:sz w:val="16"/>
                <w:szCs w:val="16"/>
              </w:rPr>
              <w:t>89.1%</w:t>
            </w:r>
          </w:p>
        </w:tc>
        <w:tc>
          <w:tcPr>
            <w:tcW w:w="810" w:type="dxa"/>
            <w:shd w:val="clear" w:color="auto" w:fill="auto"/>
            <w:noWrap/>
            <w:vAlign w:val="center"/>
          </w:tcPr>
          <w:p w14:paraId="66B2A34D" w14:textId="46C5814A" w:rsidR="0049760A" w:rsidRPr="00394EC7" w:rsidRDefault="7F8F4634" w:rsidP="0049760A">
            <w:pPr>
              <w:spacing w:after="0"/>
              <w:jc w:val="center"/>
              <w:rPr>
                <w:rFonts w:eastAsia="Times New Roman" w:cs="Calibri"/>
                <w:color w:val="000000"/>
                <w:sz w:val="16"/>
                <w:szCs w:val="16"/>
              </w:rPr>
            </w:pPr>
            <w:r w:rsidRPr="2177DFC1">
              <w:rPr>
                <w:rFonts w:eastAsia="Times New Roman" w:cs="Calibri"/>
                <w:color w:val="000000" w:themeColor="text1"/>
                <w:sz w:val="16"/>
                <w:szCs w:val="16"/>
              </w:rPr>
              <w:t>87.9%</w:t>
            </w:r>
          </w:p>
        </w:tc>
        <w:tc>
          <w:tcPr>
            <w:tcW w:w="810" w:type="dxa"/>
            <w:shd w:val="clear" w:color="auto" w:fill="auto"/>
            <w:noWrap/>
            <w:vAlign w:val="center"/>
          </w:tcPr>
          <w:p w14:paraId="6E2FA141" w14:textId="225E5094" w:rsidR="0049760A" w:rsidRPr="00394EC7" w:rsidRDefault="7F8F4634" w:rsidP="0049760A">
            <w:pPr>
              <w:spacing w:after="0"/>
              <w:jc w:val="center"/>
              <w:rPr>
                <w:rFonts w:eastAsia="Times New Roman" w:cs="Calibri"/>
                <w:color w:val="000000"/>
                <w:sz w:val="16"/>
                <w:szCs w:val="16"/>
              </w:rPr>
            </w:pPr>
            <w:r w:rsidRPr="2177DFC1">
              <w:rPr>
                <w:rFonts w:eastAsia="Times New Roman" w:cs="Calibri"/>
                <w:color w:val="000000" w:themeColor="text1"/>
                <w:sz w:val="16"/>
                <w:szCs w:val="16"/>
              </w:rPr>
              <w:t>93.0%</w:t>
            </w:r>
          </w:p>
        </w:tc>
        <w:tc>
          <w:tcPr>
            <w:tcW w:w="720" w:type="dxa"/>
            <w:shd w:val="clear" w:color="auto" w:fill="auto"/>
            <w:noWrap/>
            <w:vAlign w:val="center"/>
          </w:tcPr>
          <w:p w14:paraId="344A241D" w14:textId="7157F676" w:rsidR="0049760A" w:rsidRPr="00394EC7" w:rsidRDefault="7F8F4634" w:rsidP="0049760A">
            <w:pPr>
              <w:spacing w:after="0"/>
              <w:jc w:val="center"/>
              <w:rPr>
                <w:rFonts w:eastAsia="Times New Roman" w:cs="Calibri"/>
                <w:color w:val="000000"/>
                <w:sz w:val="16"/>
                <w:szCs w:val="16"/>
              </w:rPr>
            </w:pPr>
            <w:r w:rsidRPr="2177DFC1">
              <w:rPr>
                <w:rFonts w:eastAsia="Times New Roman" w:cs="Calibri"/>
                <w:color w:val="000000" w:themeColor="text1"/>
                <w:sz w:val="16"/>
                <w:szCs w:val="16"/>
              </w:rPr>
              <w:t>87.8%</w:t>
            </w:r>
          </w:p>
        </w:tc>
        <w:tc>
          <w:tcPr>
            <w:tcW w:w="720" w:type="dxa"/>
            <w:shd w:val="clear" w:color="auto" w:fill="auto"/>
            <w:noWrap/>
            <w:vAlign w:val="center"/>
          </w:tcPr>
          <w:p w14:paraId="1B583CC9" w14:textId="719E687F" w:rsidR="0049760A" w:rsidRPr="00394EC7" w:rsidRDefault="7F8F4634" w:rsidP="0049760A">
            <w:pPr>
              <w:spacing w:after="0"/>
              <w:jc w:val="center"/>
              <w:rPr>
                <w:rFonts w:eastAsia="Times New Roman" w:cs="Calibri"/>
                <w:color w:val="000000"/>
                <w:sz w:val="16"/>
                <w:szCs w:val="16"/>
              </w:rPr>
            </w:pPr>
            <w:r w:rsidRPr="2177DFC1">
              <w:rPr>
                <w:rFonts w:eastAsia="Times New Roman" w:cs="Calibri"/>
                <w:color w:val="000000" w:themeColor="text1"/>
                <w:sz w:val="16"/>
                <w:szCs w:val="16"/>
              </w:rPr>
              <w:t>92.7%</w:t>
            </w:r>
          </w:p>
        </w:tc>
        <w:tc>
          <w:tcPr>
            <w:tcW w:w="990" w:type="dxa"/>
            <w:shd w:val="clear" w:color="auto" w:fill="auto"/>
            <w:noWrap/>
            <w:vAlign w:val="center"/>
          </w:tcPr>
          <w:p w14:paraId="2320B31A" w14:textId="5A0F54B3" w:rsidR="0049760A" w:rsidRPr="00394EC7" w:rsidRDefault="7F8F4634" w:rsidP="0049760A">
            <w:pPr>
              <w:spacing w:after="0"/>
              <w:jc w:val="center"/>
              <w:rPr>
                <w:rFonts w:eastAsia="Times New Roman" w:cs="Calibri"/>
                <w:color w:val="000000"/>
                <w:sz w:val="16"/>
                <w:szCs w:val="16"/>
              </w:rPr>
            </w:pPr>
            <w:r w:rsidRPr="7A5A1D58">
              <w:rPr>
                <w:rFonts w:eastAsia="Times New Roman" w:cs="Calibri"/>
                <w:color w:val="000000" w:themeColor="text1"/>
                <w:sz w:val="16"/>
                <w:szCs w:val="16"/>
              </w:rPr>
              <w:t>91.9%</w:t>
            </w:r>
          </w:p>
        </w:tc>
        <w:tc>
          <w:tcPr>
            <w:tcW w:w="720" w:type="dxa"/>
            <w:tcBorders>
              <w:right w:val="single" w:sz="4" w:space="0" w:color="auto"/>
            </w:tcBorders>
            <w:shd w:val="clear" w:color="auto" w:fill="auto"/>
            <w:noWrap/>
            <w:vAlign w:val="center"/>
          </w:tcPr>
          <w:p w14:paraId="3883BC3F" w14:textId="4EA47266" w:rsidR="0049760A" w:rsidRPr="00394EC7" w:rsidRDefault="7F8F4634" w:rsidP="0049760A">
            <w:pPr>
              <w:spacing w:after="0"/>
              <w:jc w:val="center"/>
              <w:rPr>
                <w:rFonts w:eastAsia="Times New Roman" w:cs="Calibri"/>
                <w:color w:val="000000"/>
                <w:sz w:val="16"/>
                <w:szCs w:val="16"/>
              </w:rPr>
            </w:pPr>
            <w:r w:rsidRPr="7A5A1D58">
              <w:rPr>
                <w:rFonts w:eastAsia="Times New Roman" w:cs="Calibri"/>
                <w:color w:val="000000" w:themeColor="text1"/>
                <w:sz w:val="16"/>
                <w:szCs w:val="16"/>
              </w:rPr>
              <w:t>96.4%</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D98186" w14:textId="4EA92A88" w:rsidR="0049760A" w:rsidRPr="00394EC7" w:rsidRDefault="00255B4E" w:rsidP="0049760A">
            <w:pPr>
              <w:spacing w:after="0"/>
              <w:jc w:val="center"/>
              <w:rPr>
                <w:rFonts w:eastAsia="Times New Roman" w:cs="Calibri"/>
                <w:color w:val="000000"/>
                <w:sz w:val="16"/>
                <w:szCs w:val="16"/>
              </w:rPr>
            </w:pPr>
            <w:r>
              <w:rPr>
                <w:rFonts w:cs="Calibri"/>
                <w:color w:val="000000"/>
                <w:sz w:val="16"/>
                <w:szCs w:val="16"/>
              </w:rPr>
              <w:t>--</w:t>
            </w:r>
            <w:r w:rsidR="0049760A" w:rsidRPr="00394EC7">
              <w:rPr>
                <w:rFonts w:cs="Calibri"/>
                <w:color w:val="000000"/>
                <w:sz w:val="16"/>
                <w:szCs w:val="16"/>
              </w:rPr>
              <w:t> </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11B1AE" w14:textId="1341862F" w:rsidR="3E5DA59D" w:rsidRDefault="3E5DA59D" w:rsidP="3E5DA59D">
            <w:pPr>
              <w:spacing w:after="0"/>
              <w:jc w:val="center"/>
              <w:rPr>
                <w:rFonts w:eastAsia="Times New Roman" w:cs="Calibri"/>
                <w:color w:val="000000" w:themeColor="text1"/>
                <w:sz w:val="18"/>
                <w:szCs w:val="18"/>
              </w:rPr>
            </w:pPr>
            <w:r w:rsidRPr="3E5DA59D">
              <w:rPr>
                <w:rFonts w:cs="Calibri"/>
                <w:color w:val="000000" w:themeColor="text1"/>
                <w:sz w:val="18"/>
                <w:szCs w:val="18"/>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CABF40" w14:textId="5BD8E13E" w:rsidR="3E5DA59D" w:rsidRDefault="3E5DA59D" w:rsidP="3E5DA59D">
            <w:pPr>
              <w:spacing w:after="0"/>
              <w:jc w:val="center"/>
              <w:rPr>
                <w:rFonts w:eastAsia="Times New Roman" w:cs="Calibri"/>
                <w:color w:val="000000" w:themeColor="text1"/>
                <w:sz w:val="18"/>
                <w:szCs w:val="18"/>
              </w:rPr>
            </w:pPr>
            <w:r w:rsidRPr="3E5DA59D">
              <w:rPr>
                <w:rFonts w:cs="Calibri"/>
                <w:color w:val="000000" w:themeColor="text1"/>
                <w:sz w:val="18"/>
                <w:szCs w:val="18"/>
              </w:rPr>
              <w:t>--</w:t>
            </w:r>
          </w:p>
        </w:tc>
      </w:tr>
      <w:tr w:rsidR="00DC70EE" w:rsidRPr="00884DD7" w14:paraId="1ACF2CBA" w14:textId="77777777" w:rsidTr="4EB40283">
        <w:trPr>
          <w:trHeight w:val="285"/>
        </w:trPr>
        <w:tc>
          <w:tcPr>
            <w:tcW w:w="2040" w:type="dxa"/>
            <w:shd w:val="clear" w:color="auto" w:fill="F2F2F2" w:themeFill="background1" w:themeFillShade="F2"/>
            <w:noWrap/>
          </w:tcPr>
          <w:p w14:paraId="6FB74B93" w14:textId="096403E4" w:rsidR="0049760A" w:rsidRPr="00597EE2" w:rsidRDefault="0049760A" w:rsidP="0049760A">
            <w:pPr>
              <w:spacing w:after="0"/>
              <w:jc w:val="center"/>
              <w:rPr>
                <w:rFonts w:eastAsia="Times New Roman" w:cs="Calibri"/>
                <w:color w:val="000000"/>
                <w:sz w:val="16"/>
                <w:szCs w:val="16"/>
              </w:rPr>
            </w:pPr>
            <w:r w:rsidRPr="00597EE2">
              <w:rPr>
                <w:rFonts w:cs="Calibri"/>
                <w:color w:val="000000"/>
                <w:sz w:val="16"/>
                <w:szCs w:val="16"/>
              </w:rPr>
              <w:t xml:space="preserve">EOHHS </w:t>
            </w:r>
          </w:p>
        </w:tc>
        <w:tc>
          <w:tcPr>
            <w:tcW w:w="1650" w:type="dxa"/>
            <w:shd w:val="clear" w:color="auto" w:fill="F2F2F2" w:themeFill="background1" w:themeFillShade="F2"/>
          </w:tcPr>
          <w:p w14:paraId="65DB42A2" w14:textId="22F25AEB" w:rsidR="0049760A" w:rsidRPr="00597EE2" w:rsidRDefault="0049760A" w:rsidP="0049760A">
            <w:pPr>
              <w:spacing w:after="0"/>
              <w:rPr>
                <w:rFonts w:eastAsia="Times New Roman" w:cs="Calibri"/>
                <w:sz w:val="16"/>
                <w:szCs w:val="16"/>
              </w:rPr>
            </w:pPr>
            <w:r w:rsidRPr="00597EE2">
              <w:rPr>
                <w:rFonts w:cs="Calibri"/>
                <w:color w:val="000000"/>
                <w:sz w:val="16"/>
                <w:szCs w:val="16"/>
              </w:rPr>
              <w:t>Adult: Person-Centered Integrated Care: Integration of Care</w:t>
            </w:r>
          </w:p>
        </w:tc>
        <w:tc>
          <w:tcPr>
            <w:tcW w:w="810" w:type="dxa"/>
            <w:shd w:val="clear" w:color="auto" w:fill="F2F2F2" w:themeFill="background1" w:themeFillShade="F2"/>
            <w:noWrap/>
            <w:vAlign w:val="center"/>
          </w:tcPr>
          <w:p w14:paraId="279820FD" w14:textId="349969FD" w:rsidR="0049760A" w:rsidRPr="00394EC7" w:rsidRDefault="00F2291C" w:rsidP="0049760A">
            <w:pPr>
              <w:spacing w:after="0"/>
              <w:jc w:val="center"/>
              <w:rPr>
                <w:rFonts w:eastAsia="Times New Roman" w:cs="Calibri"/>
                <w:color w:val="000000"/>
                <w:sz w:val="16"/>
                <w:szCs w:val="16"/>
              </w:rPr>
            </w:pPr>
            <w:r>
              <w:rPr>
                <w:rFonts w:eastAsia="Times New Roman" w:cs="Calibri"/>
                <w:color w:val="000000"/>
                <w:sz w:val="16"/>
                <w:szCs w:val="16"/>
              </w:rPr>
              <w:t>78.6%</w:t>
            </w:r>
          </w:p>
        </w:tc>
        <w:tc>
          <w:tcPr>
            <w:tcW w:w="720" w:type="dxa"/>
            <w:shd w:val="clear" w:color="auto" w:fill="F2F2F2" w:themeFill="background1" w:themeFillShade="F2"/>
            <w:noWrap/>
            <w:vAlign w:val="center"/>
          </w:tcPr>
          <w:p w14:paraId="12363F1D" w14:textId="1327659B" w:rsidR="0049760A" w:rsidRPr="00394EC7" w:rsidRDefault="3FD56281" w:rsidP="0049760A">
            <w:pPr>
              <w:spacing w:after="0"/>
              <w:jc w:val="center"/>
              <w:rPr>
                <w:rFonts w:eastAsia="Times New Roman" w:cs="Calibri"/>
                <w:color w:val="000000"/>
                <w:sz w:val="16"/>
                <w:szCs w:val="16"/>
              </w:rPr>
            </w:pPr>
            <w:r w:rsidRPr="450DBF91">
              <w:rPr>
                <w:rFonts w:eastAsia="Times New Roman" w:cs="Calibri"/>
                <w:color w:val="000000" w:themeColor="text1"/>
                <w:sz w:val="16"/>
                <w:szCs w:val="16"/>
              </w:rPr>
              <w:t>79.9%</w:t>
            </w:r>
          </w:p>
        </w:tc>
        <w:tc>
          <w:tcPr>
            <w:tcW w:w="720" w:type="dxa"/>
            <w:shd w:val="clear" w:color="auto" w:fill="F2F2F2" w:themeFill="background1" w:themeFillShade="F2"/>
            <w:noWrap/>
            <w:vAlign w:val="center"/>
          </w:tcPr>
          <w:p w14:paraId="461FEDAA" w14:textId="00EDD202" w:rsidR="0049760A" w:rsidRPr="00394EC7" w:rsidRDefault="3FD56281" w:rsidP="0049760A">
            <w:pPr>
              <w:spacing w:after="0"/>
              <w:jc w:val="center"/>
              <w:rPr>
                <w:rFonts w:eastAsia="Times New Roman" w:cs="Calibri"/>
                <w:color w:val="000000"/>
                <w:sz w:val="16"/>
                <w:szCs w:val="16"/>
              </w:rPr>
            </w:pPr>
            <w:r w:rsidRPr="450DBF91">
              <w:rPr>
                <w:rFonts w:eastAsia="Times New Roman" w:cs="Calibri"/>
                <w:color w:val="000000" w:themeColor="text1"/>
                <w:sz w:val="16"/>
                <w:szCs w:val="16"/>
              </w:rPr>
              <w:t>80.5%</w:t>
            </w:r>
          </w:p>
        </w:tc>
        <w:tc>
          <w:tcPr>
            <w:tcW w:w="720" w:type="dxa"/>
            <w:shd w:val="clear" w:color="auto" w:fill="F2F2F2" w:themeFill="background1" w:themeFillShade="F2"/>
            <w:noWrap/>
            <w:vAlign w:val="center"/>
          </w:tcPr>
          <w:p w14:paraId="51ED5A17" w14:textId="65747643" w:rsidR="0049760A" w:rsidRPr="00394EC7" w:rsidRDefault="3FD56281" w:rsidP="0049760A">
            <w:pPr>
              <w:spacing w:after="0"/>
              <w:jc w:val="center"/>
              <w:rPr>
                <w:rFonts w:eastAsia="Times New Roman" w:cs="Calibri"/>
                <w:color w:val="000000"/>
                <w:sz w:val="16"/>
                <w:szCs w:val="16"/>
              </w:rPr>
            </w:pPr>
            <w:r w:rsidRPr="0EDA115D">
              <w:rPr>
                <w:rFonts w:eastAsia="Times New Roman" w:cs="Calibri"/>
                <w:color w:val="000000" w:themeColor="text1"/>
                <w:sz w:val="16"/>
                <w:szCs w:val="16"/>
              </w:rPr>
              <w:t>78.7</w:t>
            </w:r>
            <w:r w:rsidR="52916B3F" w:rsidRPr="0EDA115D">
              <w:rPr>
                <w:rFonts w:eastAsia="Times New Roman" w:cs="Calibri"/>
                <w:color w:val="000000" w:themeColor="text1"/>
                <w:sz w:val="16"/>
                <w:szCs w:val="16"/>
              </w:rPr>
              <w:t>%</w:t>
            </w:r>
          </w:p>
        </w:tc>
        <w:tc>
          <w:tcPr>
            <w:tcW w:w="720" w:type="dxa"/>
            <w:shd w:val="clear" w:color="auto" w:fill="F2F2F2" w:themeFill="background1" w:themeFillShade="F2"/>
            <w:noWrap/>
            <w:vAlign w:val="center"/>
          </w:tcPr>
          <w:p w14:paraId="19A5FB33" w14:textId="640DCF15" w:rsidR="0049760A" w:rsidRPr="00394EC7" w:rsidRDefault="52916B3F" w:rsidP="0049760A">
            <w:pPr>
              <w:spacing w:after="0"/>
              <w:jc w:val="center"/>
              <w:rPr>
                <w:rFonts w:eastAsia="Times New Roman" w:cs="Calibri"/>
                <w:color w:val="000000"/>
                <w:sz w:val="16"/>
                <w:szCs w:val="16"/>
              </w:rPr>
            </w:pPr>
            <w:r w:rsidRPr="0EDA115D">
              <w:rPr>
                <w:rFonts w:eastAsia="Times New Roman" w:cs="Calibri"/>
                <w:color w:val="000000" w:themeColor="text1"/>
                <w:sz w:val="16"/>
                <w:szCs w:val="16"/>
              </w:rPr>
              <w:t>72.7%</w:t>
            </w:r>
          </w:p>
        </w:tc>
        <w:tc>
          <w:tcPr>
            <w:tcW w:w="720" w:type="dxa"/>
            <w:shd w:val="clear" w:color="auto" w:fill="F2F2F2" w:themeFill="background1" w:themeFillShade="F2"/>
            <w:noWrap/>
            <w:vAlign w:val="center"/>
          </w:tcPr>
          <w:p w14:paraId="0FA29B03" w14:textId="7DCB1D03" w:rsidR="0049760A" w:rsidRPr="00394EC7" w:rsidRDefault="52916B3F" w:rsidP="0049760A">
            <w:pPr>
              <w:spacing w:after="0"/>
              <w:jc w:val="center"/>
              <w:rPr>
                <w:rFonts w:eastAsia="Times New Roman" w:cs="Calibri"/>
                <w:color w:val="000000"/>
                <w:sz w:val="16"/>
                <w:szCs w:val="16"/>
              </w:rPr>
            </w:pPr>
            <w:r w:rsidRPr="0EDA115D">
              <w:rPr>
                <w:rFonts w:eastAsia="Times New Roman" w:cs="Calibri"/>
                <w:color w:val="000000" w:themeColor="text1"/>
                <w:sz w:val="16"/>
                <w:szCs w:val="16"/>
              </w:rPr>
              <w:t>72.8%</w:t>
            </w:r>
          </w:p>
        </w:tc>
        <w:tc>
          <w:tcPr>
            <w:tcW w:w="810" w:type="dxa"/>
            <w:shd w:val="clear" w:color="auto" w:fill="F2F2F2" w:themeFill="background1" w:themeFillShade="F2"/>
            <w:noWrap/>
            <w:vAlign w:val="center"/>
          </w:tcPr>
          <w:p w14:paraId="6C218081" w14:textId="3CF464BC" w:rsidR="0049760A" w:rsidRPr="00394EC7" w:rsidRDefault="52916B3F" w:rsidP="0049760A">
            <w:pPr>
              <w:spacing w:after="0"/>
              <w:jc w:val="center"/>
              <w:rPr>
                <w:rFonts w:eastAsia="Times New Roman" w:cs="Calibri"/>
                <w:color w:val="000000"/>
                <w:sz w:val="16"/>
                <w:szCs w:val="16"/>
              </w:rPr>
            </w:pPr>
            <w:r w:rsidRPr="0EDA115D">
              <w:rPr>
                <w:rFonts w:eastAsia="Times New Roman" w:cs="Calibri"/>
                <w:color w:val="000000" w:themeColor="text1"/>
                <w:sz w:val="16"/>
                <w:szCs w:val="16"/>
              </w:rPr>
              <w:t>81.2%</w:t>
            </w:r>
          </w:p>
        </w:tc>
        <w:tc>
          <w:tcPr>
            <w:tcW w:w="720" w:type="dxa"/>
            <w:shd w:val="clear" w:color="auto" w:fill="F2F2F2" w:themeFill="background1" w:themeFillShade="F2"/>
            <w:noWrap/>
            <w:vAlign w:val="center"/>
          </w:tcPr>
          <w:p w14:paraId="5C4BBA77" w14:textId="5A9A528A" w:rsidR="0049760A" w:rsidRPr="00394EC7" w:rsidRDefault="52916B3F" w:rsidP="0049760A">
            <w:pPr>
              <w:spacing w:after="0"/>
              <w:jc w:val="center"/>
              <w:rPr>
                <w:rFonts w:eastAsia="Times New Roman" w:cs="Calibri"/>
                <w:color w:val="000000"/>
                <w:sz w:val="16"/>
                <w:szCs w:val="16"/>
              </w:rPr>
            </w:pPr>
            <w:r w:rsidRPr="0EDA115D">
              <w:rPr>
                <w:rFonts w:eastAsia="Times New Roman" w:cs="Calibri"/>
                <w:color w:val="000000" w:themeColor="text1"/>
                <w:sz w:val="16"/>
                <w:szCs w:val="16"/>
              </w:rPr>
              <w:t>76.8%</w:t>
            </w:r>
          </w:p>
        </w:tc>
        <w:tc>
          <w:tcPr>
            <w:tcW w:w="720" w:type="dxa"/>
            <w:shd w:val="clear" w:color="auto" w:fill="F2F2F2" w:themeFill="background1" w:themeFillShade="F2"/>
            <w:noWrap/>
            <w:vAlign w:val="center"/>
          </w:tcPr>
          <w:p w14:paraId="603D4CC2" w14:textId="43D94B43" w:rsidR="0049760A" w:rsidRPr="00394EC7" w:rsidRDefault="52916B3F" w:rsidP="0049760A">
            <w:pPr>
              <w:spacing w:after="0"/>
              <w:jc w:val="center"/>
              <w:rPr>
                <w:rFonts w:eastAsia="Times New Roman" w:cs="Calibri"/>
                <w:color w:val="000000"/>
                <w:sz w:val="16"/>
                <w:szCs w:val="16"/>
              </w:rPr>
            </w:pPr>
            <w:r w:rsidRPr="4EAEFA6D">
              <w:rPr>
                <w:rFonts w:eastAsia="Times New Roman" w:cs="Calibri"/>
                <w:color w:val="000000" w:themeColor="text1"/>
                <w:sz w:val="16"/>
                <w:szCs w:val="16"/>
              </w:rPr>
              <w:t>76.3%</w:t>
            </w:r>
          </w:p>
        </w:tc>
        <w:tc>
          <w:tcPr>
            <w:tcW w:w="1080" w:type="dxa"/>
            <w:shd w:val="clear" w:color="auto" w:fill="F2F2F2" w:themeFill="background1" w:themeFillShade="F2"/>
            <w:noWrap/>
            <w:vAlign w:val="center"/>
          </w:tcPr>
          <w:p w14:paraId="2AB68D0A" w14:textId="6F964C71" w:rsidR="0049760A" w:rsidRPr="00394EC7" w:rsidRDefault="52916B3F" w:rsidP="0049760A">
            <w:pPr>
              <w:spacing w:after="0"/>
              <w:jc w:val="center"/>
              <w:rPr>
                <w:rFonts w:eastAsia="Times New Roman" w:cs="Calibri"/>
                <w:color w:val="000000"/>
                <w:sz w:val="16"/>
                <w:szCs w:val="16"/>
              </w:rPr>
            </w:pPr>
            <w:r w:rsidRPr="4EAEFA6D">
              <w:rPr>
                <w:rFonts w:eastAsia="Times New Roman" w:cs="Calibri"/>
                <w:color w:val="000000" w:themeColor="text1"/>
                <w:sz w:val="16"/>
                <w:szCs w:val="16"/>
              </w:rPr>
              <w:t>80.6%</w:t>
            </w:r>
          </w:p>
        </w:tc>
        <w:tc>
          <w:tcPr>
            <w:tcW w:w="720" w:type="dxa"/>
            <w:shd w:val="clear" w:color="auto" w:fill="F2F2F2" w:themeFill="background1" w:themeFillShade="F2"/>
            <w:noWrap/>
            <w:vAlign w:val="center"/>
          </w:tcPr>
          <w:p w14:paraId="384D74F3" w14:textId="5F1B57F9" w:rsidR="0049760A" w:rsidRPr="00394EC7" w:rsidRDefault="52916B3F" w:rsidP="0049760A">
            <w:pPr>
              <w:spacing w:after="0"/>
              <w:jc w:val="center"/>
              <w:rPr>
                <w:rFonts w:eastAsia="Times New Roman" w:cs="Calibri"/>
                <w:color w:val="000000"/>
                <w:sz w:val="16"/>
                <w:szCs w:val="16"/>
              </w:rPr>
            </w:pPr>
            <w:r w:rsidRPr="3B10BCC7">
              <w:rPr>
                <w:rFonts w:eastAsia="Times New Roman" w:cs="Calibri"/>
                <w:color w:val="000000" w:themeColor="text1"/>
                <w:sz w:val="16"/>
                <w:szCs w:val="16"/>
              </w:rPr>
              <w:t>76.4%</w:t>
            </w:r>
          </w:p>
        </w:tc>
        <w:tc>
          <w:tcPr>
            <w:tcW w:w="810" w:type="dxa"/>
            <w:shd w:val="clear" w:color="auto" w:fill="F2F2F2" w:themeFill="background1" w:themeFillShade="F2"/>
            <w:noWrap/>
            <w:vAlign w:val="center"/>
          </w:tcPr>
          <w:p w14:paraId="0E8C7096" w14:textId="40E20AD6" w:rsidR="0049760A" w:rsidRPr="00394EC7" w:rsidRDefault="52916B3F" w:rsidP="0049760A">
            <w:pPr>
              <w:spacing w:after="0"/>
              <w:jc w:val="center"/>
              <w:rPr>
                <w:rFonts w:eastAsia="Times New Roman" w:cs="Calibri"/>
                <w:color w:val="000000"/>
                <w:sz w:val="16"/>
                <w:szCs w:val="16"/>
              </w:rPr>
            </w:pPr>
            <w:r w:rsidRPr="3B10BCC7">
              <w:rPr>
                <w:rFonts w:eastAsia="Times New Roman" w:cs="Calibri"/>
                <w:color w:val="000000" w:themeColor="text1"/>
                <w:sz w:val="16"/>
                <w:szCs w:val="16"/>
              </w:rPr>
              <w:t>73.2%</w:t>
            </w:r>
          </w:p>
        </w:tc>
        <w:tc>
          <w:tcPr>
            <w:tcW w:w="810" w:type="dxa"/>
            <w:shd w:val="clear" w:color="auto" w:fill="F2F2F2" w:themeFill="background1" w:themeFillShade="F2"/>
            <w:noWrap/>
            <w:vAlign w:val="center"/>
          </w:tcPr>
          <w:p w14:paraId="3CC7E9F5" w14:textId="01062BE5" w:rsidR="0049760A" w:rsidRPr="00394EC7" w:rsidRDefault="52916B3F" w:rsidP="0049760A">
            <w:pPr>
              <w:spacing w:after="0"/>
              <w:jc w:val="center"/>
              <w:rPr>
                <w:rFonts w:eastAsia="Times New Roman" w:cs="Calibri"/>
                <w:color w:val="000000"/>
                <w:sz w:val="16"/>
                <w:szCs w:val="16"/>
              </w:rPr>
            </w:pPr>
            <w:r w:rsidRPr="3B10BCC7">
              <w:rPr>
                <w:rFonts w:eastAsia="Times New Roman" w:cs="Calibri"/>
                <w:color w:val="000000" w:themeColor="text1"/>
                <w:sz w:val="16"/>
                <w:szCs w:val="16"/>
              </w:rPr>
              <w:t>76.8%</w:t>
            </w:r>
          </w:p>
        </w:tc>
        <w:tc>
          <w:tcPr>
            <w:tcW w:w="810" w:type="dxa"/>
            <w:shd w:val="clear" w:color="auto" w:fill="F2F2F2" w:themeFill="background1" w:themeFillShade="F2"/>
            <w:noWrap/>
            <w:vAlign w:val="center"/>
          </w:tcPr>
          <w:p w14:paraId="5C673012" w14:textId="207B5718" w:rsidR="0049760A" w:rsidRPr="00394EC7" w:rsidRDefault="52916B3F" w:rsidP="0049760A">
            <w:pPr>
              <w:spacing w:after="0"/>
              <w:jc w:val="center"/>
              <w:rPr>
                <w:rFonts w:eastAsia="Times New Roman" w:cs="Calibri"/>
                <w:color w:val="000000"/>
                <w:sz w:val="16"/>
                <w:szCs w:val="16"/>
              </w:rPr>
            </w:pPr>
            <w:r w:rsidRPr="77E53E16">
              <w:rPr>
                <w:rFonts w:eastAsia="Times New Roman" w:cs="Calibri"/>
                <w:color w:val="000000" w:themeColor="text1"/>
                <w:sz w:val="16"/>
                <w:szCs w:val="16"/>
              </w:rPr>
              <w:t>79.4%</w:t>
            </w:r>
          </w:p>
        </w:tc>
        <w:tc>
          <w:tcPr>
            <w:tcW w:w="720" w:type="dxa"/>
            <w:shd w:val="clear" w:color="auto" w:fill="F2F2F2" w:themeFill="background1" w:themeFillShade="F2"/>
            <w:noWrap/>
            <w:vAlign w:val="center"/>
          </w:tcPr>
          <w:p w14:paraId="7DAC1B18" w14:textId="07570BC6" w:rsidR="0049760A" w:rsidRPr="00394EC7" w:rsidRDefault="52916B3F" w:rsidP="0049760A">
            <w:pPr>
              <w:spacing w:after="0"/>
              <w:jc w:val="center"/>
              <w:rPr>
                <w:rFonts w:eastAsia="Times New Roman" w:cs="Calibri"/>
                <w:color w:val="000000"/>
                <w:sz w:val="16"/>
                <w:szCs w:val="16"/>
              </w:rPr>
            </w:pPr>
            <w:r w:rsidRPr="77E53E16">
              <w:rPr>
                <w:rFonts w:eastAsia="Times New Roman" w:cs="Calibri"/>
                <w:color w:val="000000" w:themeColor="text1"/>
                <w:sz w:val="16"/>
                <w:szCs w:val="16"/>
              </w:rPr>
              <w:t>75.2%</w:t>
            </w:r>
          </w:p>
        </w:tc>
        <w:tc>
          <w:tcPr>
            <w:tcW w:w="720" w:type="dxa"/>
            <w:shd w:val="clear" w:color="auto" w:fill="F2F2F2" w:themeFill="background1" w:themeFillShade="F2"/>
            <w:noWrap/>
            <w:vAlign w:val="center"/>
          </w:tcPr>
          <w:p w14:paraId="4E9871E3" w14:textId="76322BDF" w:rsidR="0049760A" w:rsidRPr="00394EC7" w:rsidRDefault="52916B3F" w:rsidP="0049760A">
            <w:pPr>
              <w:spacing w:after="0"/>
              <w:jc w:val="center"/>
              <w:rPr>
                <w:rFonts w:eastAsia="Times New Roman" w:cs="Calibri"/>
                <w:color w:val="000000"/>
                <w:sz w:val="16"/>
                <w:szCs w:val="16"/>
              </w:rPr>
            </w:pPr>
            <w:r w:rsidRPr="77E53E16">
              <w:rPr>
                <w:rFonts w:eastAsia="Times New Roman" w:cs="Calibri"/>
                <w:color w:val="000000" w:themeColor="text1"/>
                <w:sz w:val="16"/>
                <w:szCs w:val="16"/>
              </w:rPr>
              <w:t>79.7%</w:t>
            </w:r>
          </w:p>
        </w:tc>
        <w:tc>
          <w:tcPr>
            <w:tcW w:w="990" w:type="dxa"/>
            <w:shd w:val="clear" w:color="auto" w:fill="F2F2F2" w:themeFill="background1" w:themeFillShade="F2"/>
            <w:noWrap/>
            <w:vAlign w:val="center"/>
          </w:tcPr>
          <w:p w14:paraId="4955E935" w14:textId="60903631" w:rsidR="0049760A" w:rsidRPr="00394EC7" w:rsidRDefault="52916B3F" w:rsidP="0049760A">
            <w:pPr>
              <w:spacing w:after="0"/>
              <w:jc w:val="center"/>
              <w:rPr>
                <w:rFonts w:eastAsia="Times New Roman" w:cs="Calibri"/>
                <w:color w:val="000000"/>
                <w:sz w:val="16"/>
                <w:szCs w:val="16"/>
              </w:rPr>
            </w:pPr>
            <w:r w:rsidRPr="4EAEFA6D">
              <w:rPr>
                <w:rFonts w:eastAsia="Times New Roman" w:cs="Calibri"/>
                <w:color w:val="000000" w:themeColor="text1"/>
                <w:sz w:val="16"/>
                <w:szCs w:val="16"/>
              </w:rPr>
              <w:t>78.0%</w:t>
            </w:r>
          </w:p>
        </w:tc>
        <w:tc>
          <w:tcPr>
            <w:tcW w:w="720" w:type="dxa"/>
            <w:tcBorders>
              <w:right w:val="single" w:sz="4" w:space="0" w:color="auto"/>
            </w:tcBorders>
            <w:shd w:val="clear" w:color="auto" w:fill="F2F2F2" w:themeFill="background1" w:themeFillShade="F2"/>
            <w:noWrap/>
            <w:vAlign w:val="center"/>
          </w:tcPr>
          <w:p w14:paraId="7FE064A0" w14:textId="341BBE63" w:rsidR="0049760A" w:rsidRPr="00394EC7" w:rsidRDefault="52916B3F" w:rsidP="0049760A">
            <w:pPr>
              <w:spacing w:after="0"/>
              <w:jc w:val="center"/>
              <w:rPr>
                <w:rFonts w:eastAsia="Times New Roman" w:cs="Calibri"/>
                <w:color w:val="000000"/>
                <w:sz w:val="16"/>
                <w:szCs w:val="16"/>
              </w:rPr>
            </w:pPr>
            <w:r w:rsidRPr="4EAEFA6D">
              <w:rPr>
                <w:rFonts w:eastAsia="Times New Roman" w:cs="Calibri"/>
                <w:color w:val="000000" w:themeColor="text1"/>
                <w:sz w:val="16"/>
                <w:szCs w:val="16"/>
              </w:rPr>
              <w:t>75.3%</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E814E2D" w14:textId="622BE6A4" w:rsidR="0049760A" w:rsidRPr="00394EC7" w:rsidRDefault="00255B4E" w:rsidP="0049760A">
            <w:pPr>
              <w:spacing w:after="0"/>
              <w:jc w:val="center"/>
              <w:rPr>
                <w:rFonts w:eastAsia="Times New Roman" w:cs="Calibri"/>
                <w:color w:val="000000"/>
                <w:sz w:val="16"/>
                <w:szCs w:val="16"/>
              </w:rPr>
            </w:pPr>
            <w:r>
              <w:rPr>
                <w:rFonts w:cs="Calibri"/>
                <w:color w:val="000000"/>
                <w:sz w:val="16"/>
                <w:szCs w:val="16"/>
              </w:rPr>
              <w:t>--</w:t>
            </w:r>
            <w:r w:rsidR="0049760A" w:rsidRPr="00394EC7">
              <w:rPr>
                <w:rFonts w:cs="Calibri"/>
                <w:color w:val="000000"/>
                <w:sz w:val="16"/>
                <w:szCs w:val="16"/>
              </w:rPr>
              <w:t> </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7627C5F" w14:textId="756D118D" w:rsidR="3E5DA59D" w:rsidRDefault="3E5DA59D" w:rsidP="3E5DA59D">
            <w:pPr>
              <w:spacing w:after="0"/>
              <w:jc w:val="center"/>
              <w:rPr>
                <w:rFonts w:eastAsia="Times New Roman" w:cs="Calibri"/>
                <w:color w:val="000000" w:themeColor="text1"/>
                <w:sz w:val="18"/>
                <w:szCs w:val="18"/>
              </w:rPr>
            </w:pPr>
            <w:r w:rsidRPr="3E5DA59D">
              <w:rPr>
                <w:rFonts w:cs="Calibri"/>
                <w:color w:val="000000" w:themeColor="text1"/>
                <w:sz w:val="18"/>
                <w:szCs w:val="18"/>
              </w:rPr>
              <w:t>--</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B598C5F" w14:textId="6A822C6B" w:rsidR="3E5DA59D" w:rsidRDefault="3E5DA59D" w:rsidP="3E5DA59D">
            <w:pPr>
              <w:spacing w:after="0"/>
              <w:jc w:val="center"/>
              <w:rPr>
                <w:rFonts w:eastAsia="Times New Roman" w:cs="Calibri"/>
                <w:color w:val="000000" w:themeColor="text1"/>
                <w:sz w:val="18"/>
                <w:szCs w:val="18"/>
              </w:rPr>
            </w:pPr>
            <w:r w:rsidRPr="3E5DA59D">
              <w:rPr>
                <w:rFonts w:cs="Calibri"/>
                <w:color w:val="000000" w:themeColor="text1"/>
                <w:sz w:val="18"/>
                <w:szCs w:val="18"/>
              </w:rPr>
              <w:t>--</w:t>
            </w:r>
          </w:p>
        </w:tc>
      </w:tr>
      <w:tr w:rsidR="00255A16" w:rsidRPr="00884DD7" w14:paraId="011BA2DD" w14:textId="77777777" w:rsidTr="4EB40283">
        <w:trPr>
          <w:trHeight w:val="285"/>
        </w:trPr>
        <w:tc>
          <w:tcPr>
            <w:tcW w:w="2040" w:type="dxa"/>
            <w:shd w:val="clear" w:color="auto" w:fill="auto"/>
            <w:noWrap/>
          </w:tcPr>
          <w:p w14:paraId="18F3AEBE" w14:textId="29BA7805" w:rsidR="0049760A" w:rsidRPr="00597EE2" w:rsidRDefault="0049760A" w:rsidP="0049760A">
            <w:pPr>
              <w:spacing w:after="0"/>
              <w:jc w:val="center"/>
              <w:rPr>
                <w:rFonts w:eastAsia="Times New Roman" w:cs="Calibri"/>
                <w:color w:val="000000"/>
                <w:sz w:val="16"/>
                <w:szCs w:val="16"/>
              </w:rPr>
            </w:pPr>
            <w:r w:rsidRPr="00597EE2">
              <w:rPr>
                <w:rFonts w:cs="Calibri"/>
                <w:color w:val="000000"/>
                <w:sz w:val="16"/>
                <w:szCs w:val="16"/>
              </w:rPr>
              <w:t xml:space="preserve">EOHHS </w:t>
            </w:r>
          </w:p>
        </w:tc>
        <w:tc>
          <w:tcPr>
            <w:tcW w:w="1650" w:type="dxa"/>
            <w:shd w:val="clear" w:color="auto" w:fill="auto"/>
          </w:tcPr>
          <w:p w14:paraId="57837A53" w14:textId="53CC06C2" w:rsidR="0049760A" w:rsidRPr="00597EE2" w:rsidRDefault="0049760A" w:rsidP="0049760A">
            <w:pPr>
              <w:spacing w:after="0"/>
              <w:rPr>
                <w:rFonts w:eastAsia="Times New Roman" w:cs="Calibri"/>
                <w:sz w:val="16"/>
                <w:szCs w:val="16"/>
              </w:rPr>
            </w:pPr>
            <w:r w:rsidRPr="00597EE2">
              <w:rPr>
                <w:rFonts w:cs="Calibri"/>
                <w:color w:val="000000"/>
                <w:sz w:val="16"/>
                <w:szCs w:val="16"/>
              </w:rPr>
              <w:t>Child</w:t>
            </w:r>
            <w:r w:rsidR="00015454" w:rsidRPr="00597EE2">
              <w:rPr>
                <w:rFonts w:cs="Calibri"/>
                <w:color w:val="000000"/>
                <w:sz w:val="16"/>
                <w:szCs w:val="16"/>
              </w:rPr>
              <w:t>: Person</w:t>
            </w:r>
            <w:r w:rsidRPr="00597EE2">
              <w:rPr>
                <w:rFonts w:cs="Calibri"/>
                <w:color w:val="000000"/>
                <w:sz w:val="16"/>
                <w:szCs w:val="16"/>
              </w:rPr>
              <w:t>-Centered Integrated Care: Integration of Care</w:t>
            </w:r>
          </w:p>
        </w:tc>
        <w:tc>
          <w:tcPr>
            <w:tcW w:w="810" w:type="dxa"/>
            <w:shd w:val="clear" w:color="auto" w:fill="auto"/>
            <w:noWrap/>
            <w:vAlign w:val="center"/>
          </w:tcPr>
          <w:p w14:paraId="69F8B10B" w14:textId="1E950D9B" w:rsidR="0049760A" w:rsidRPr="00394EC7" w:rsidRDefault="00CB3184" w:rsidP="0049760A">
            <w:pPr>
              <w:spacing w:after="0"/>
              <w:jc w:val="center"/>
              <w:rPr>
                <w:rFonts w:eastAsia="Times New Roman" w:cs="Calibri"/>
                <w:color w:val="000000"/>
                <w:sz w:val="16"/>
                <w:szCs w:val="16"/>
              </w:rPr>
            </w:pPr>
            <w:r>
              <w:rPr>
                <w:rFonts w:eastAsia="Times New Roman" w:cs="Calibri"/>
                <w:color w:val="000000"/>
                <w:sz w:val="16"/>
                <w:szCs w:val="16"/>
              </w:rPr>
              <w:t>79.3%</w:t>
            </w:r>
          </w:p>
        </w:tc>
        <w:tc>
          <w:tcPr>
            <w:tcW w:w="720" w:type="dxa"/>
            <w:shd w:val="clear" w:color="auto" w:fill="auto"/>
            <w:noWrap/>
            <w:vAlign w:val="center"/>
          </w:tcPr>
          <w:p w14:paraId="04ACEC9C" w14:textId="43DB539E" w:rsidR="0049760A" w:rsidRPr="00394EC7" w:rsidRDefault="32B870A8" w:rsidP="0049760A">
            <w:pPr>
              <w:spacing w:after="0"/>
              <w:jc w:val="center"/>
              <w:rPr>
                <w:rFonts w:eastAsia="Times New Roman" w:cs="Calibri"/>
                <w:color w:val="000000"/>
                <w:sz w:val="16"/>
                <w:szCs w:val="16"/>
              </w:rPr>
            </w:pPr>
            <w:r w:rsidRPr="408120BE">
              <w:rPr>
                <w:rFonts w:eastAsia="Times New Roman" w:cs="Calibri"/>
                <w:color w:val="000000" w:themeColor="text1"/>
                <w:sz w:val="16"/>
                <w:szCs w:val="16"/>
              </w:rPr>
              <w:t>77.0%</w:t>
            </w:r>
          </w:p>
        </w:tc>
        <w:tc>
          <w:tcPr>
            <w:tcW w:w="720" w:type="dxa"/>
            <w:shd w:val="clear" w:color="auto" w:fill="auto"/>
            <w:noWrap/>
            <w:vAlign w:val="center"/>
          </w:tcPr>
          <w:p w14:paraId="78FDC894" w14:textId="577C963B" w:rsidR="0049760A" w:rsidRPr="00394EC7" w:rsidRDefault="32B870A8" w:rsidP="0049760A">
            <w:pPr>
              <w:spacing w:after="0"/>
              <w:jc w:val="center"/>
              <w:rPr>
                <w:rFonts w:eastAsia="Times New Roman" w:cs="Calibri"/>
                <w:color w:val="000000"/>
                <w:sz w:val="16"/>
                <w:szCs w:val="16"/>
              </w:rPr>
            </w:pPr>
            <w:r w:rsidRPr="408120BE">
              <w:rPr>
                <w:rFonts w:eastAsia="Times New Roman" w:cs="Calibri"/>
                <w:color w:val="000000" w:themeColor="text1"/>
                <w:sz w:val="16"/>
                <w:szCs w:val="16"/>
              </w:rPr>
              <w:t>80.0%</w:t>
            </w:r>
          </w:p>
        </w:tc>
        <w:tc>
          <w:tcPr>
            <w:tcW w:w="720" w:type="dxa"/>
            <w:shd w:val="clear" w:color="auto" w:fill="auto"/>
            <w:noWrap/>
            <w:vAlign w:val="center"/>
          </w:tcPr>
          <w:p w14:paraId="3B04C08A" w14:textId="1D7F3272" w:rsidR="0049760A" w:rsidRPr="00394EC7" w:rsidRDefault="32B870A8" w:rsidP="0049760A">
            <w:pPr>
              <w:spacing w:after="0"/>
              <w:jc w:val="center"/>
              <w:rPr>
                <w:rFonts w:eastAsia="Times New Roman" w:cs="Calibri"/>
                <w:color w:val="000000"/>
                <w:sz w:val="16"/>
                <w:szCs w:val="16"/>
              </w:rPr>
            </w:pPr>
            <w:r w:rsidRPr="408120BE">
              <w:rPr>
                <w:rFonts w:eastAsia="Times New Roman" w:cs="Calibri"/>
                <w:color w:val="000000" w:themeColor="text1"/>
                <w:sz w:val="16"/>
                <w:szCs w:val="16"/>
              </w:rPr>
              <w:t>78.0%</w:t>
            </w:r>
          </w:p>
        </w:tc>
        <w:tc>
          <w:tcPr>
            <w:tcW w:w="720" w:type="dxa"/>
            <w:shd w:val="clear" w:color="auto" w:fill="auto"/>
            <w:noWrap/>
            <w:vAlign w:val="center"/>
          </w:tcPr>
          <w:p w14:paraId="405B41D4" w14:textId="77D8EC92" w:rsidR="0049760A" w:rsidRPr="00394EC7" w:rsidRDefault="32B870A8" w:rsidP="0049760A">
            <w:pPr>
              <w:spacing w:after="0"/>
              <w:jc w:val="center"/>
              <w:rPr>
                <w:rFonts w:eastAsia="Times New Roman" w:cs="Calibri"/>
                <w:color w:val="000000"/>
                <w:sz w:val="16"/>
                <w:szCs w:val="16"/>
              </w:rPr>
            </w:pPr>
            <w:r w:rsidRPr="2BD5D1E4">
              <w:rPr>
                <w:rFonts w:eastAsia="Times New Roman" w:cs="Calibri"/>
                <w:color w:val="000000" w:themeColor="text1"/>
                <w:sz w:val="16"/>
                <w:szCs w:val="16"/>
              </w:rPr>
              <w:t>78.4%</w:t>
            </w:r>
          </w:p>
        </w:tc>
        <w:tc>
          <w:tcPr>
            <w:tcW w:w="720" w:type="dxa"/>
            <w:shd w:val="clear" w:color="auto" w:fill="auto"/>
            <w:noWrap/>
            <w:vAlign w:val="center"/>
          </w:tcPr>
          <w:p w14:paraId="07F937BD" w14:textId="3744A22C" w:rsidR="0049760A" w:rsidRPr="00394EC7" w:rsidRDefault="32B870A8" w:rsidP="0049760A">
            <w:pPr>
              <w:spacing w:after="0"/>
              <w:jc w:val="center"/>
              <w:rPr>
                <w:rFonts w:eastAsia="Times New Roman" w:cs="Calibri"/>
                <w:color w:val="000000"/>
                <w:sz w:val="16"/>
                <w:szCs w:val="16"/>
              </w:rPr>
            </w:pPr>
            <w:r w:rsidRPr="2BD5D1E4">
              <w:rPr>
                <w:rFonts w:eastAsia="Times New Roman" w:cs="Calibri"/>
                <w:color w:val="000000" w:themeColor="text1"/>
                <w:sz w:val="16"/>
                <w:szCs w:val="16"/>
              </w:rPr>
              <w:t>74.0%</w:t>
            </w:r>
          </w:p>
        </w:tc>
        <w:tc>
          <w:tcPr>
            <w:tcW w:w="810" w:type="dxa"/>
            <w:shd w:val="clear" w:color="auto" w:fill="auto"/>
            <w:noWrap/>
            <w:vAlign w:val="center"/>
          </w:tcPr>
          <w:p w14:paraId="7EDBF957" w14:textId="61CD4283" w:rsidR="0049760A" w:rsidRPr="00394EC7" w:rsidRDefault="32B870A8" w:rsidP="0049760A">
            <w:pPr>
              <w:spacing w:after="0"/>
              <w:jc w:val="center"/>
              <w:rPr>
                <w:rFonts w:eastAsia="Times New Roman" w:cs="Calibri"/>
                <w:color w:val="000000"/>
                <w:sz w:val="16"/>
                <w:szCs w:val="16"/>
              </w:rPr>
            </w:pPr>
            <w:r w:rsidRPr="2BD5D1E4">
              <w:rPr>
                <w:rFonts w:eastAsia="Times New Roman" w:cs="Calibri"/>
                <w:color w:val="000000" w:themeColor="text1"/>
                <w:sz w:val="16"/>
                <w:szCs w:val="16"/>
              </w:rPr>
              <w:t>79.1%</w:t>
            </w:r>
          </w:p>
        </w:tc>
        <w:tc>
          <w:tcPr>
            <w:tcW w:w="720" w:type="dxa"/>
            <w:shd w:val="clear" w:color="auto" w:fill="auto"/>
            <w:noWrap/>
            <w:vAlign w:val="center"/>
          </w:tcPr>
          <w:p w14:paraId="57F97AD6" w14:textId="16E39B5B" w:rsidR="0049760A" w:rsidRPr="00394EC7" w:rsidRDefault="32B870A8" w:rsidP="0049760A">
            <w:pPr>
              <w:spacing w:after="0"/>
              <w:jc w:val="center"/>
              <w:rPr>
                <w:rFonts w:eastAsia="Times New Roman" w:cs="Calibri"/>
                <w:color w:val="000000"/>
                <w:sz w:val="16"/>
                <w:szCs w:val="16"/>
              </w:rPr>
            </w:pPr>
            <w:r w:rsidRPr="2BD5D1E4">
              <w:rPr>
                <w:rFonts w:eastAsia="Times New Roman" w:cs="Calibri"/>
                <w:color w:val="000000" w:themeColor="text1"/>
                <w:sz w:val="16"/>
                <w:szCs w:val="16"/>
              </w:rPr>
              <w:t>74.9%</w:t>
            </w:r>
          </w:p>
        </w:tc>
        <w:tc>
          <w:tcPr>
            <w:tcW w:w="720" w:type="dxa"/>
            <w:shd w:val="clear" w:color="auto" w:fill="auto"/>
            <w:noWrap/>
            <w:vAlign w:val="center"/>
          </w:tcPr>
          <w:p w14:paraId="18EA43E1" w14:textId="6EE81594" w:rsidR="0049760A" w:rsidRPr="00394EC7" w:rsidRDefault="32B870A8" w:rsidP="0049760A">
            <w:pPr>
              <w:spacing w:after="0"/>
              <w:jc w:val="center"/>
              <w:rPr>
                <w:rFonts w:eastAsia="Times New Roman" w:cs="Calibri"/>
                <w:color w:val="000000"/>
                <w:sz w:val="16"/>
                <w:szCs w:val="16"/>
              </w:rPr>
            </w:pPr>
            <w:r w:rsidRPr="187DFEBC">
              <w:rPr>
                <w:rFonts w:eastAsia="Times New Roman" w:cs="Calibri"/>
                <w:color w:val="000000" w:themeColor="text1"/>
                <w:sz w:val="16"/>
                <w:szCs w:val="16"/>
              </w:rPr>
              <w:t>77.4%</w:t>
            </w:r>
          </w:p>
        </w:tc>
        <w:tc>
          <w:tcPr>
            <w:tcW w:w="1080" w:type="dxa"/>
            <w:shd w:val="clear" w:color="auto" w:fill="auto"/>
            <w:noWrap/>
            <w:vAlign w:val="center"/>
          </w:tcPr>
          <w:p w14:paraId="6E3AC3EF" w14:textId="19F32910" w:rsidR="0049760A" w:rsidRPr="00394EC7" w:rsidRDefault="32B870A8" w:rsidP="0049760A">
            <w:pPr>
              <w:spacing w:after="0"/>
              <w:jc w:val="center"/>
              <w:rPr>
                <w:rFonts w:eastAsia="Times New Roman" w:cs="Calibri"/>
                <w:color w:val="000000"/>
                <w:sz w:val="16"/>
                <w:szCs w:val="16"/>
              </w:rPr>
            </w:pPr>
            <w:r w:rsidRPr="187DFEBC">
              <w:rPr>
                <w:rFonts w:eastAsia="Times New Roman" w:cs="Calibri"/>
                <w:color w:val="000000" w:themeColor="text1"/>
                <w:sz w:val="16"/>
                <w:szCs w:val="16"/>
              </w:rPr>
              <w:t>80.2%</w:t>
            </w:r>
          </w:p>
        </w:tc>
        <w:tc>
          <w:tcPr>
            <w:tcW w:w="720" w:type="dxa"/>
            <w:shd w:val="clear" w:color="auto" w:fill="auto"/>
            <w:noWrap/>
            <w:vAlign w:val="center"/>
          </w:tcPr>
          <w:p w14:paraId="5F7BA6AD" w14:textId="5CA18209" w:rsidR="0049760A" w:rsidRPr="00394EC7" w:rsidRDefault="32B870A8" w:rsidP="0049760A">
            <w:pPr>
              <w:spacing w:after="0"/>
              <w:jc w:val="center"/>
              <w:rPr>
                <w:rFonts w:eastAsia="Times New Roman" w:cs="Calibri"/>
                <w:color w:val="000000"/>
                <w:sz w:val="16"/>
                <w:szCs w:val="16"/>
              </w:rPr>
            </w:pPr>
            <w:r w:rsidRPr="187DFEBC">
              <w:rPr>
                <w:rFonts w:eastAsia="Times New Roman" w:cs="Calibri"/>
                <w:color w:val="000000" w:themeColor="text1"/>
                <w:sz w:val="16"/>
                <w:szCs w:val="16"/>
              </w:rPr>
              <w:t>78.4%</w:t>
            </w:r>
          </w:p>
        </w:tc>
        <w:tc>
          <w:tcPr>
            <w:tcW w:w="810" w:type="dxa"/>
            <w:shd w:val="clear" w:color="auto" w:fill="auto"/>
            <w:noWrap/>
            <w:vAlign w:val="center"/>
          </w:tcPr>
          <w:p w14:paraId="25B6289F" w14:textId="2DA5AA19" w:rsidR="0049760A" w:rsidRPr="00394EC7" w:rsidRDefault="32B870A8" w:rsidP="0049760A">
            <w:pPr>
              <w:spacing w:after="0"/>
              <w:jc w:val="center"/>
              <w:rPr>
                <w:rFonts w:eastAsia="Times New Roman" w:cs="Calibri"/>
                <w:color w:val="000000"/>
                <w:sz w:val="16"/>
                <w:szCs w:val="16"/>
              </w:rPr>
            </w:pPr>
            <w:r w:rsidRPr="187DFEBC">
              <w:rPr>
                <w:rFonts w:eastAsia="Times New Roman" w:cs="Calibri"/>
                <w:color w:val="000000" w:themeColor="text1"/>
                <w:sz w:val="16"/>
                <w:szCs w:val="16"/>
              </w:rPr>
              <w:t>79.3%</w:t>
            </w:r>
          </w:p>
        </w:tc>
        <w:tc>
          <w:tcPr>
            <w:tcW w:w="810" w:type="dxa"/>
            <w:shd w:val="clear" w:color="auto" w:fill="auto"/>
            <w:noWrap/>
            <w:vAlign w:val="center"/>
          </w:tcPr>
          <w:p w14:paraId="58411335" w14:textId="37637A1F" w:rsidR="0049760A" w:rsidRPr="00394EC7" w:rsidRDefault="32B870A8" w:rsidP="0049760A">
            <w:pPr>
              <w:spacing w:after="0"/>
              <w:jc w:val="center"/>
              <w:rPr>
                <w:rFonts w:eastAsia="Times New Roman" w:cs="Calibri"/>
                <w:color w:val="000000"/>
                <w:sz w:val="16"/>
                <w:szCs w:val="16"/>
              </w:rPr>
            </w:pPr>
            <w:r w:rsidRPr="187DFEBC">
              <w:rPr>
                <w:rFonts w:eastAsia="Times New Roman" w:cs="Calibri"/>
                <w:color w:val="000000" w:themeColor="text1"/>
                <w:sz w:val="16"/>
                <w:szCs w:val="16"/>
              </w:rPr>
              <w:t>82.4%</w:t>
            </w:r>
          </w:p>
        </w:tc>
        <w:tc>
          <w:tcPr>
            <w:tcW w:w="810" w:type="dxa"/>
            <w:shd w:val="clear" w:color="auto" w:fill="auto"/>
            <w:noWrap/>
            <w:vAlign w:val="center"/>
          </w:tcPr>
          <w:p w14:paraId="538AC1FA" w14:textId="24F0C498" w:rsidR="0049760A" w:rsidRPr="00394EC7" w:rsidRDefault="32B870A8" w:rsidP="0049760A">
            <w:pPr>
              <w:spacing w:after="0"/>
              <w:jc w:val="center"/>
              <w:rPr>
                <w:rFonts w:eastAsia="Times New Roman" w:cs="Calibri"/>
                <w:color w:val="000000"/>
                <w:sz w:val="16"/>
                <w:szCs w:val="16"/>
              </w:rPr>
            </w:pPr>
            <w:r w:rsidRPr="187DFEBC">
              <w:rPr>
                <w:rFonts w:eastAsia="Times New Roman" w:cs="Calibri"/>
                <w:color w:val="000000" w:themeColor="text1"/>
                <w:sz w:val="16"/>
                <w:szCs w:val="16"/>
              </w:rPr>
              <w:t>78.2%</w:t>
            </w:r>
          </w:p>
        </w:tc>
        <w:tc>
          <w:tcPr>
            <w:tcW w:w="720" w:type="dxa"/>
            <w:shd w:val="clear" w:color="auto" w:fill="auto"/>
            <w:noWrap/>
            <w:vAlign w:val="center"/>
          </w:tcPr>
          <w:p w14:paraId="0D4078FA" w14:textId="1BB85686" w:rsidR="0049760A" w:rsidRPr="00394EC7" w:rsidRDefault="32B870A8" w:rsidP="0049760A">
            <w:pPr>
              <w:spacing w:after="0"/>
              <w:jc w:val="center"/>
              <w:rPr>
                <w:rFonts w:eastAsia="Times New Roman" w:cs="Calibri"/>
                <w:color w:val="000000"/>
                <w:sz w:val="16"/>
                <w:szCs w:val="16"/>
              </w:rPr>
            </w:pPr>
            <w:r w:rsidRPr="7D09B9DC">
              <w:rPr>
                <w:rFonts w:eastAsia="Times New Roman" w:cs="Calibri"/>
                <w:color w:val="000000" w:themeColor="text1"/>
                <w:sz w:val="16"/>
                <w:szCs w:val="16"/>
              </w:rPr>
              <w:t>73.5%</w:t>
            </w:r>
          </w:p>
        </w:tc>
        <w:tc>
          <w:tcPr>
            <w:tcW w:w="720" w:type="dxa"/>
            <w:shd w:val="clear" w:color="auto" w:fill="auto"/>
            <w:noWrap/>
            <w:vAlign w:val="center"/>
          </w:tcPr>
          <w:p w14:paraId="7D6DCA89" w14:textId="462B931B" w:rsidR="0049760A" w:rsidRPr="00394EC7" w:rsidRDefault="32B870A8" w:rsidP="0049760A">
            <w:pPr>
              <w:spacing w:after="0"/>
              <w:jc w:val="center"/>
              <w:rPr>
                <w:rFonts w:eastAsia="Times New Roman" w:cs="Calibri"/>
                <w:color w:val="000000"/>
                <w:sz w:val="16"/>
                <w:szCs w:val="16"/>
              </w:rPr>
            </w:pPr>
            <w:r w:rsidRPr="7D09B9DC">
              <w:rPr>
                <w:rFonts w:eastAsia="Times New Roman" w:cs="Calibri"/>
                <w:color w:val="000000" w:themeColor="text1"/>
                <w:sz w:val="16"/>
                <w:szCs w:val="16"/>
              </w:rPr>
              <w:t>78.3%</w:t>
            </w:r>
          </w:p>
        </w:tc>
        <w:tc>
          <w:tcPr>
            <w:tcW w:w="990" w:type="dxa"/>
            <w:shd w:val="clear" w:color="auto" w:fill="auto"/>
            <w:noWrap/>
            <w:vAlign w:val="center"/>
          </w:tcPr>
          <w:p w14:paraId="77FFE10D" w14:textId="5F3F3CB0" w:rsidR="0049760A" w:rsidRPr="00394EC7" w:rsidRDefault="32B870A8" w:rsidP="0049760A">
            <w:pPr>
              <w:spacing w:after="0"/>
              <w:jc w:val="center"/>
              <w:rPr>
                <w:rFonts w:eastAsia="Times New Roman" w:cs="Calibri"/>
                <w:color w:val="000000"/>
                <w:sz w:val="16"/>
                <w:szCs w:val="16"/>
              </w:rPr>
            </w:pPr>
            <w:r w:rsidRPr="7D09B9DC">
              <w:rPr>
                <w:rFonts w:eastAsia="Times New Roman" w:cs="Calibri"/>
                <w:color w:val="000000" w:themeColor="text1"/>
                <w:sz w:val="16"/>
                <w:szCs w:val="16"/>
              </w:rPr>
              <w:t>79.7%</w:t>
            </w:r>
          </w:p>
        </w:tc>
        <w:tc>
          <w:tcPr>
            <w:tcW w:w="720" w:type="dxa"/>
            <w:tcBorders>
              <w:right w:val="single" w:sz="4" w:space="0" w:color="auto"/>
            </w:tcBorders>
            <w:shd w:val="clear" w:color="auto" w:fill="auto"/>
            <w:noWrap/>
            <w:vAlign w:val="center"/>
          </w:tcPr>
          <w:p w14:paraId="2E69B685" w14:textId="718E3BE2" w:rsidR="0049760A" w:rsidRPr="00394EC7" w:rsidRDefault="32B870A8" w:rsidP="0049760A">
            <w:pPr>
              <w:spacing w:after="0"/>
              <w:jc w:val="center"/>
              <w:rPr>
                <w:rFonts w:eastAsia="Times New Roman" w:cs="Calibri"/>
                <w:color w:val="000000"/>
                <w:sz w:val="16"/>
                <w:szCs w:val="16"/>
              </w:rPr>
            </w:pPr>
            <w:r w:rsidRPr="7D09B9DC">
              <w:rPr>
                <w:rFonts w:eastAsia="Times New Roman" w:cs="Calibri"/>
                <w:color w:val="000000" w:themeColor="text1"/>
                <w:sz w:val="16"/>
                <w:szCs w:val="16"/>
              </w:rPr>
              <w:t>89.2%</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8BDD77" w14:textId="225ECD8A" w:rsidR="0049760A" w:rsidRPr="00394EC7" w:rsidRDefault="00255B4E" w:rsidP="0049760A">
            <w:pPr>
              <w:spacing w:after="0"/>
              <w:jc w:val="center"/>
              <w:rPr>
                <w:rFonts w:eastAsia="Times New Roman" w:cs="Calibri"/>
                <w:color w:val="000000"/>
                <w:sz w:val="16"/>
                <w:szCs w:val="16"/>
              </w:rPr>
            </w:pPr>
            <w:r>
              <w:rPr>
                <w:rFonts w:cs="Calibri"/>
                <w:color w:val="000000"/>
                <w:sz w:val="16"/>
                <w:szCs w:val="16"/>
              </w:rPr>
              <w:t>--</w:t>
            </w:r>
            <w:r w:rsidR="0049760A" w:rsidRPr="00394EC7">
              <w:rPr>
                <w:rFonts w:cs="Calibri"/>
                <w:color w:val="000000"/>
                <w:sz w:val="16"/>
                <w:szCs w:val="16"/>
              </w:rPr>
              <w:t> </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71E142" w14:textId="7531268F" w:rsidR="3E5DA59D" w:rsidRDefault="3E5DA59D" w:rsidP="3E5DA59D">
            <w:pPr>
              <w:spacing w:after="0"/>
              <w:jc w:val="center"/>
              <w:rPr>
                <w:rFonts w:eastAsia="Times New Roman" w:cs="Calibri"/>
                <w:color w:val="000000" w:themeColor="text1"/>
                <w:sz w:val="18"/>
                <w:szCs w:val="18"/>
              </w:rPr>
            </w:pPr>
            <w:r w:rsidRPr="3E5DA59D">
              <w:rPr>
                <w:rFonts w:cs="Calibri"/>
                <w:color w:val="000000" w:themeColor="text1"/>
                <w:sz w:val="18"/>
                <w:szCs w:val="18"/>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11C23F" w14:textId="39CF9304" w:rsidR="3E5DA59D" w:rsidRDefault="3E5DA59D" w:rsidP="3E5DA59D">
            <w:pPr>
              <w:spacing w:after="0"/>
              <w:jc w:val="center"/>
              <w:rPr>
                <w:rFonts w:eastAsia="Times New Roman" w:cs="Calibri"/>
                <w:color w:val="000000" w:themeColor="text1"/>
                <w:sz w:val="18"/>
                <w:szCs w:val="18"/>
              </w:rPr>
            </w:pPr>
            <w:r w:rsidRPr="3E5DA59D">
              <w:rPr>
                <w:rFonts w:cs="Calibri"/>
                <w:color w:val="000000" w:themeColor="text1"/>
                <w:sz w:val="18"/>
                <w:szCs w:val="18"/>
              </w:rPr>
              <w:t>--</w:t>
            </w:r>
          </w:p>
        </w:tc>
      </w:tr>
      <w:tr w:rsidR="00DC70EE" w:rsidRPr="00884DD7" w14:paraId="7C64530E" w14:textId="77777777" w:rsidTr="4EB40283">
        <w:trPr>
          <w:trHeight w:val="285"/>
        </w:trPr>
        <w:tc>
          <w:tcPr>
            <w:tcW w:w="2040" w:type="dxa"/>
            <w:shd w:val="clear" w:color="auto" w:fill="F2F2F2" w:themeFill="background1" w:themeFillShade="F2"/>
            <w:noWrap/>
          </w:tcPr>
          <w:p w14:paraId="1C43B68E" w14:textId="481A2BF8" w:rsidR="0049760A" w:rsidRPr="00597EE2" w:rsidRDefault="0049760A" w:rsidP="0049760A">
            <w:pPr>
              <w:spacing w:after="0"/>
              <w:jc w:val="center"/>
              <w:rPr>
                <w:rFonts w:eastAsia="Times New Roman" w:cs="Calibri"/>
                <w:color w:val="000000"/>
                <w:sz w:val="16"/>
                <w:szCs w:val="16"/>
              </w:rPr>
            </w:pPr>
            <w:r w:rsidRPr="00597EE2">
              <w:rPr>
                <w:rFonts w:cs="Calibri"/>
                <w:color w:val="000000"/>
                <w:sz w:val="16"/>
                <w:szCs w:val="16"/>
              </w:rPr>
              <w:t>EOHH</w:t>
            </w:r>
            <w:r>
              <w:rPr>
                <w:rFonts w:cs="Calibri"/>
                <w:color w:val="000000"/>
                <w:sz w:val="16"/>
                <w:szCs w:val="16"/>
              </w:rPr>
              <w:t>S</w:t>
            </w:r>
            <w:r w:rsidRPr="00597EE2">
              <w:rPr>
                <w:rFonts w:cs="Calibri"/>
                <w:color w:val="000000"/>
                <w:sz w:val="16"/>
                <w:szCs w:val="16"/>
              </w:rPr>
              <w:t xml:space="preserve"> </w:t>
            </w:r>
          </w:p>
        </w:tc>
        <w:tc>
          <w:tcPr>
            <w:tcW w:w="1650" w:type="dxa"/>
            <w:shd w:val="clear" w:color="auto" w:fill="F2F2F2" w:themeFill="background1" w:themeFillShade="F2"/>
            <w:vAlign w:val="bottom"/>
          </w:tcPr>
          <w:p w14:paraId="6CBF16E3" w14:textId="552C35AA" w:rsidR="0049760A" w:rsidRPr="00597EE2" w:rsidRDefault="0049760A" w:rsidP="0049760A">
            <w:pPr>
              <w:spacing w:after="0"/>
              <w:rPr>
                <w:rFonts w:eastAsia="Times New Roman" w:cs="Calibri"/>
                <w:sz w:val="16"/>
                <w:szCs w:val="16"/>
              </w:rPr>
            </w:pPr>
            <w:r w:rsidRPr="00597EE2">
              <w:rPr>
                <w:rFonts w:cs="Calibri"/>
                <w:color w:val="000000"/>
                <w:sz w:val="16"/>
                <w:szCs w:val="16"/>
              </w:rPr>
              <w:t>Adult</w:t>
            </w:r>
            <w:r w:rsidR="00015454" w:rsidRPr="00597EE2">
              <w:rPr>
                <w:rFonts w:cs="Calibri"/>
                <w:color w:val="000000"/>
                <w:sz w:val="16"/>
                <w:szCs w:val="16"/>
              </w:rPr>
              <w:t>: Person</w:t>
            </w:r>
            <w:r w:rsidRPr="00597EE2">
              <w:rPr>
                <w:rFonts w:cs="Calibri"/>
                <w:color w:val="000000"/>
                <w:sz w:val="16"/>
                <w:szCs w:val="16"/>
              </w:rPr>
              <w:t>-Centered Integrated Care: Knowledge of Patient</w:t>
            </w:r>
          </w:p>
        </w:tc>
        <w:tc>
          <w:tcPr>
            <w:tcW w:w="810" w:type="dxa"/>
            <w:shd w:val="clear" w:color="auto" w:fill="F2F2F2" w:themeFill="background1" w:themeFillShade="F2"/>
            <w:noWrap/>
            <w:vAlign w:val="center"/>
          </w:tcPr>
          <w:p w14:paraId="79DDFBBC" w14:textId="4F83E39E" w:rsidR="0049760A" w:rsidRPr="00394EC7" w:rsidRDefault="00CB3184" w:rsidP="0049760A">
            <w:pPr>
              <w:spacing w:after="0"/>
              <w:jc w:val="center"/>
              <w:rPr>
                <w:rFonts w:eastAsia="Times New Roman" w:cs="Calibri"/>
                <w:color w:val="000000"/>
                <w:sz w:val="16"/>
                <w:szCs w:val="16"/>
              </w:rPr>
            </w:pPr>
            <w:r>
              <w:rPr>
                <w:rFonts w:eastAsia="Times New Roman" w:cs="Calibri"/>
                <w:color w:val="000000"/>
                <w:sz w:val="16"/>
                <w:szCs w:val="16"/>
              </w:rPr>
              <w:t>82.0%</w:t>
            </w:r>
          </w:p>
        </w:tc>
        <w:tc>
          <w:tcPr>
            <w:tcW w:w="720" w:type="dxa"/>
            <w:shd w:val="clear" w:color="auto" w:fill="F2F2F2" w:themeFill="background1" w:themeFillShade="F2"/>
            <w:noWrap/>
            <w:vAlign w:val="center"/>
          </w:tcPr>
          <w:p w14:paraId="540F47DE" w14:textId="3B071A24" w:rsidR="0049760A" w:rsidRPr="00394EC7" w:rsidRDefault="520A53A8" w:rsidP="0049760A">
            <w:pPr>
              <w:spacing w:after="0"/>
              <w:jc w:val="center"/>
              <w:rPr>
                <w:rFonts w:eastAsia="Times New Roman" w:cs="Calibri"/>
                <w:color w:val="000000"/>
                <w:sz w:val="16"/>
                <w:szCs w:val="16"/>
              </w:rPr>
            </w:pPr>
            <w:r w:rsidRPr="271E7C15">
              <w:rPr>
                <w:rFonts w:eastAsia="Times New Roman" w:cs="Calibri"/>
                <w:color w:val="000000" w:themeColor="text1"/>
                <w:sz w:val="16"/>
                <w:szCs w:val="16"/>
              </w:rPr>
              <w:t>83.1%</w:t>
            </w:r>
          </w:p>
        </w:tc>
        <w:tc>
          <w:tcPr>
            <w:tcW w:w="720" w:type="dxa"/>
            <w:shd w:val="clear" w:color="auto" w:fill="F2F2F2" w:themeFill="background1" w:themeFillShade="F2"/>
            <w:noWrap/>
            <w:vAlign w:val="center"/>
          </w:tcPr>
          <w:p w14:paraId="6944F121" w14:textId="760BA2AF" w:rsidR="0049760A" w:rsidRPr="00394EC7" w:rsidRDefault="520A53A8" w:rsidP="0049760A">
            <w:pPr>
              <w:spacing w:after="0"/>
              <w:jc w:val="center"/>
              <w:rPr>
                <w:rFonts w:eastAsia="Times New Roman" w:cs="Calibri"/>
                <w:color w:val="000000"/>
                <w:sz w:val="16"/>
                <w:szCs w:val="16"/>
              </w:rPr>
            </w:pPr>
            <w:r w:rsidRPr="271E7C15">
              <w:rPr>
                <w:rFonts w:eastAsia="Times New Roman" w:cs="Calibri"/>
                <w:color w:val="000000" w:themeColor="text1"/>
                <w:sz w:val="16"/>
                <w:szCs w:val="16"/>
              </w:rPr>
              <w:t>83.2%</w:t>
            </w:r>
          </w:p>
        </w:tc>
        <w:tc>
          <w:tcPr>
            <w:tcW w:w="720" w:type="dxa"/>
            <w:shd w:val="clear" w:color="auto" w:fill="F2F2F2" w:themeFill="background1" w:themeFillShade="F2"/>
            <w:noWrap/>
            <w:vAlign w:val="center"/>
          </w:tcPr>
          <w:p w14:paraId="14E364E5" w14:textId="7880EACD" w:rsidR="0049760A" w:rsidRPr="00394EC7" w:rsidRDefault="520A53A8" w:rsidP="0049760A">
            <w:pPr>
              <w:spacing w:after="0"/>
              <w:jc w:val="center"/>
              <w:rPr>
                <w:rFonts w:eastAsia="Times New Roman" w:cs="Calibri"/>
                <w:color w:val="000000"/>
                <w:sz w:val="16"/>
                <w:szCs w:val="16"/>
              </w:rPr>
            </w:pPr>
            <w:r w:rsidRPr="271E7C15">
              <w:rPr>
                <w:rFonts w:eastAsia="Times New Roman" w:cs="Calibri"/>
                <w:color w:val="000000" w:themeColor="text1"/>
                <w:sz w:val="16"/>
                <w:szCs w:val="16"/>
              </w:rPr>
              <w:t>83.2%</w:t>
            </w:r>
          </w:p>
        </w:tc>
        <w:tc>
          <w:tcPr>
            <w:tcW w:w="720" w:type="dxa"/>
            <w:shd w:val="clear" w:color="auto" w:fill="F2F2F2" w:themeFill="background1" w:themeFillShade="F2"/>
            <w:noWrap/>
            <w:vAlign w:val="center"/>
          </w:tcPr>
          <w:p w14:paraId="72A259DD" w14:textId="5A89ED50" w:rsidR="0049760A" w:rsidRPr="00394EC7" w:rsidRDefault="520A53A8" w:rsidP="0049760A">
            <w:pPr>
              <w:spacing w:after="0"/>
              <w:jc w:val="center"/>
              <w:rPr>
                <w:rFonts w:eastAsia="Times New Roman" w:cs="Calibri"/>
                <w:color w:val="000000"/>
                <w:sz w:val="16"/>
                <w:szCs w:val="16"/>
              </w:rPr>
            </w:pPr>
            <w:r w:rsidRPr="271E7C15">
              <w:rPr>
                <w:rFonts w:eastAsia="Times New Roman" w:cs="Calibri"/>
                <w:color w:val="000000" w:themeColor="text1"/>
                <w:sz w:val="16"/>
                <w:szCs w:val="16"/>
              </w:rPr>
              <w:t>79.4%</w:t>
            </w:r>
          </w:p>
        </w:tc>
        <w:tc>
          <w:tcPr>
            <w:tcW w:w="720" w:type="dxa"/>
            <w:shd w:val="clear" w:color="auto" w:fill="F2F2F2" w:themeFill="background1" w:themeFillShade="F2"/>
            <w:noWrap/>
            <w:vAlign w:val="center"/>
          </w:tcPr>
          <w:p w14:paraId="595E67B9" w14:textId="2577C213" w:rsidR="0049760A" w:rsidRPr="00394EC7" w:rsidRDefault="520A53A8" w:rsidP="0049760A">
            <w:pPr>
              <w:spacing w:after="0"/>
              <w:jc w:val="center"/>
              <w:rPr>
                <w:rFonts w:eastAsia="Times New Roman" w:cs="Calibri"/>
                <w:color w:val="000000"/>
                <w:sz w:val="16"/>
                <w:szCs w:val="16"/>
              </w:rPr>
            </w:pPr>
            <w:r w:rsidRPr="48A6F37D">
              <w:rPr>
                <w:rFonts w:eastAsia="Times New Roman" w:cs="Calibri"/>
                <w:color w:val="000000" w:themeColor="text1"/>
                <w:sz w:val="16"/>
                <w:szCs w:val="16"/>
              </w:rPr>
              <w:t>81.7%</w:t>
            </w:r>
          </w:p>
        </w:tc>
        <w:tc>
          <w:tcPr>
            <w:tcW w:w="810" w:type="dxa"/>
            <w:shd w:val="clear" w:color="auto" w:fill="F2F2F2" w:themeFill="background1" w:themeFillShade="F2"/>
            <w:noWrap/>
            <w:vAlign w:val="center"/>
          </w:tcPr>
          <w:p w14:paraId="15BE088A" w14:textId="44C4F30F" w:rsidR="0049760A" w:rsidRPr="00394EC7" w:rsidRDefault="520A53A8" w:rsidP="0049760A">
            <w:pPr>
              <w:spacing w:after="0"/>
              <w:jc w:val="center"/>
              <w:rPr>
                <w:rFonts w:eastAsia="Times New Roman" w:cs="Calibri"/>
                <w:color w:val="000000"/>
                <w:sz w:val="16"/>
                <w:szCs w:val="16"/>
              </w:rPr>
            </w:pPr>
            <w:r w:rsidRPr="48A6F37D">
              <w:rPr>
                <w:rFonts w:eastAsia="Times New Roman" w:cs="Calibri"/>
                <w:color w:val="000000" w:themeColor="text1"/>
                <w:sz w:val="16"/>
                <w:szCs w:val="16"/>
              </w:rPr>
              <w:t>82.8%</w:t>
            </w:r>
          </w:p>
        </w:tc>
        <w:tc>
          <w:tcPr>
            <w:tcW w:w="720" w:type="dxa"/>
            <w:shd w:val="clear" w:color="auto" w:fill="F2F2F2" w:themeFill="background1" w:themeFillShade="F2"/>
            <w:noWrap/>
            <w:vAlign w:val="center"/>
          </w:tcPr>
          <w:p w14:paraId="365A51ED" w14:textId="613E8269" w:rsidR="0049760A" w:rsidRPr="00394EC7" w:rsidRDefault="520A53A8" w:rsidP="0049760A">
            <w:pPr>
              <w:spacing w:after="0"/>
              <w:jc w:val="center"/>
              <w:rPr>
                <w:rFonts w:eastAsia="Times New Roman" w:cs="Calibri"/>
                <w:color w:val="000000"/>
                <w:sz w:val="16"/>
                <w:szCs w:val="16"/>
              </w:rPr>
            </w:pPr>
            <w:r w:rsidRPr="48A6F37D">
              <w:rPr>
                <w:rFonts w:eastAsia="Times New Roman" w:cs="Calibri"/>
                <w:color w:val="000000" w:themeColor="text1"/>
                <w:sz w:val="16"/>
                <w:szCs w:val="16"/>
              </w:rPr>
              <w:t>81.7%</w:t>
            </w:r>
          </w:p>
        </w:tc>
        <w:tc>
          <w:tcPr>
            <w:tcW w:w="720" w:type="dxa"/>
            <w:shd w:val="clear" w:color="auto" w:fill="F2F2F2" w:themeFill="background1" w:themeFillShade="F2"/>
            <w:noWrap/>
            <w:vAlign w:val="center"/>
          </w:tcPr>
          <w:p w14:paraId="4205C8FD" w14:textId="597FC288" w:rsidR="0049760A" w:rsidRPr="00394EC7" w:rsidRDefault="520A53A8" w:rsidP="0049760A">
            <w:pPr>
              <w:spacing w:after="0"/>
              <w:jc w:val="center"/>
              <w:rPr>
                <w:rFonts w:eastAsia="Times New Roman" w:cs="Calibri"/>
                <w:color w:val="000000"/>
                <w:sz w:val="16"/>
                <w:szCs w:val="16"/>
              </w:rPr>
            </w:pPr>
            <w:r w:rsidRPr="48A6F37D">
              <w:rPr>
                <w:rFonts w:eastAsia="Times New Roman" w:cs="Calibri"/>
                <w:color w:val="000000" w:themeColor="text1"/>
                <w:sz w:val="16"/>
                <w:szCs w:val="16"/>
              </w:rPr>
              <w:t>82.9%</w:t>
            </w:r>
          </w:p>
        </w:tc>
        <w:tc>
          <w:tcPr>
            <w:tcW w:w="1080" w:type="dxa"/>
            <w:shd w:val="clear" w:color="auto" w:fill="F2F2F2" w:themeFill="background1" w:themeFillShade="F2"/>
            <w:noWrap/>
            <w:vAlign w:val="center"/>
          </w:tcPr>
          <w:p w14:paraId="72FC6E38" w14:textId="6AB804D3" w:rsidR="0049760A" w:rsidRPr="00394EC7" w:rsidRDefault="520A53A8" w:rsidP="0049760A">
            <w:pPr>
              <w:spacing w:after="0"/>
              <w:jc w:val="center"/>
              <w:rPr>
                <w:rFonts w:eastAsia="Times New Roman" w:cs="Calibri"/>
                <w:color w:val="000000"/>
                <w:sz w:val="16"/>
                <w:szCs w:val="16"/>
              </w:rPr>
            </w:pPr>
            <w:r w:rsidRPr="48A6F37D">
              <w:rPr>
                <w:rFonts w:eastAsia="Times New Roman" w:cs="Calibri"/>
                <w:color w:val="000000" w:themeColor="text1"/>
                <w:sz w:val="16"/>
                <w:szCs w:val="16"/>
              </w:rPr>
              <w:t>87.7%</w:t>
            </w:r>
          </w:p>
        </w:tc>
        <w:tc>
          <w:tcPr>
            <w:tcW w:w="720" w:type="dxa"/>
            <w:shd w:val="clear" w:color="auto" w:fill="F2F2F2" w:themeFill="background1" w:themeFillShade="F2"/>
            <w:noWrap/>
            <w:vAlign w:val="center"/>
          </w:tcPr>
          <w:p w14:paraId="591D5227" w14:textId="4D8D8365" w:rsidR="0049760A" w:rsidRPr="00394EC7" w:rsidRDefault="520A53A8" w:rsidP="0049760A">
            <w:pPr>
              <w:spacing w:after="0"/>
              <w:jc w:val="center"/>
              <w:rPr>
                <w:rFonts w:eastAsia="Times New Roman" w:cs="Calibri"/>
                <w:color w:val="000000"/>
                <w:sz w:val="16"/>
                <w:szCs w:val="16"/>
              </w:rPr>
            </w:pPr>
            <w:r w:rsidRPr="48A6F37D">
              <w:rPr>
                <w:rFonts w:eastAsia="Times New Roman" w:cs="Calibri"/>
                <w:color w:val="000000" w:themeColor="text1"/>
                <w:sz w:val="16"/>
                <w:szCs w:val="16"/>
              </w:rPr>
              <w:t>81.3%</w:t>
            </w:r>
          </w:p>
        </w:tc>
        <w:tc>
          <w:tcPr>
            <w:tcW w:w="810" w:type="dxa"/>
            <w:shd w:val="clear" w:color="auto" w:fill="F2F2F2" w:themeFill="background1" w:themeFillShade="F2"/>
            <w:noWrap/>
            <w:vAlign w:val="center"/>
          </w:tcPr>
          <w:p w14:paraId="54E58D17" w14:textId="10C3CC61" w:rsidR="0049760A" w:rsidRPr="00394EC7" w:rsidRDefault="520A53A8" w:rsidP="0049760A">
            <w:pPr>
              <w:spacing w:after="0"/>
              <w:jc w:val="center"/>
              <w:rPr>
                <w:rFonts w:eastAsia="Times New Roman" w:cs="Calibri"/>
                <w:color w:val="000000"/>
                <w:sz w:val="16"/>
                <w:szCs w:val="16"/>
              </w:rPr>
            </w:pPr>
            <w:r w:rsidRPr="7A0A5554">
              <w:rPr>
                <w:rFonts w:eastAsia="Times New Roman" w:cs="Calibri"/>
                <w:color w:val="000000" w:themeColor="text1"/>
                <w:sz w:val="16"/>
                <w:szCs w:val="16"/>
              </w:rPr>
              <w:t>75.3%</w:t>
            </w:r>
          </w:p>
        </w:tc>
        <w:tc>
          <w:tcPr>
            <w:tcW w:w="810" w:type="dxa"/>
            <w:shd w:val="clear" w:color="auto" w:fill="F2F2F2" w:themeFill="background1" w:themeFillShade="F2"/>
            <w:noWrap/>
            <w:vAlign w:val="center"/>
          </w:tcPr>
          <w:p w14:paraId="05628CEA" w14:textId="3FA6C915" w:rsidR="0049760A" w:rsidRPr="00394EC7" w:rsidRDefault="520A53A8" w:rsidP="0049760A">
            <w:pPr>
              <w:spacing w:after="0"/>
              <w:jc w:val="center"/>
              <w:rPr>
                <w:rFonts w:eastAsia="Times New Roman" w:cs="Calibri"/>
                <w:color w:val="000000"/>
                <w:sz w:val="16"/>
                <w:szCs w:val="16"/>
              </w:rPr>
            </w:pPr>
            <w:r w:rsidRPr="7A0A5554">
              <w:rPr>
                <w:rFonts w:eastAsia="Times New Roman" w:cs="Calibri"/>
                <w:color w:val="000000" w:themeColor="text1"/>
                <w:sz w:val="16"/>
                <w:szCs w:val="16"/>
              </w:rPr>
              <w:t>79.3%</w:t>
            </w:r>
          </w:p>
        </w:tc>
        <w:tc>
          <w:tcPr>
            <w:tcW w:w="810" w:type="dxa"/>
            <w:shd w:val="clear" w:color="auto" w:fill="F2F2F2" w:themeFill="background1" w:themeFillShade="F2"/>
            <w:noWrap/>
            <w:vAlign w:val="center"/>
          </w:tcPr>
          <w:p w14:paraId="30C4B384" w14:textId="660C2F63" w:rsidR="0049760A" w:rsidRPr="00394EC7" w:rsidRDefault="520A53A8" w:rsidP="0049760A">
            <w:pPr>
              <w:spacing w:after="0"/>
              <w:jc w:val="center"/>
              <w:rPr>
                <w:rFonts w:eastAsia="Times New Roman" w:cs="Calibri"/>
                <w:color w:val="000000"/>
                <w:sz w:val="16"/>
                <w:szCs w:val="16"/>
              </w:rPr>
            </w:pPr>
            <w:r w:rsidRPr="7A0A5554">
              <w:rPr>
                <w:rFonts w:eastAsia="Times New Roman" w:cs="Calibri"/>
                <w:color w:val="000000" w:themeColor="text1"/>
                <w:sz w:val="16"/>
                <w:szCs w:val="16"/>
              </w:rPr>
              <w:t>82.5%</w:t>
            </w:r>
          </w:p>
        </w:tc>
        <w:tc>
          <w:tcPr>
            <w:tcW w:w="720" w:type="dxa"/>
            <w:shd w:val="clear" w:color="auto" w:fill="F2F2F2" w:themeFill="background1" w:themeFillShade="F2"/>
            <w:noWrap/>
            <w:vAlign w:val="center"/>
          </w:tcPr>
          <w:p w14:paraId="0527A5E0" w14:textId="2A202EE9" w:rsidR="0049760A" w:rsidRPr="00394EC7" w:rsidRDefault="520A53A8" w:rsidP="0049760A">
            <w:pPr>
              <w:spacing w:after="0"/>
              <w:jc w:val="center"/>
              <w:rPr>
                <w:rFonts w:eastAsia="Times New Roman" w:cs="Calibri"/>
                <w:color w:val="000000"/>
                <w:sz w:val="16"/>
                <w:szCs w:val="16"/>
              </w:rPr>
            </w:pPr>
            <w:r w:rsidRPr="7A0A5554">
              <w:rPr>
                <w:rFonts w:eastAsia="Times New Roman" w:cs="Calibri"/>
                <w:color w:val="000000" w:themeColor="text1"/>
                <w:sz w:val="16"/>
                <w:szCs w:val="16"/>
              </w:rPr>
              <w:t>79.9%</w:t>
            </w:r>
          </w:p>
        </w:tc>
        <w:tc>
          <w:tcPr>
            <w:tcW w:w="720" w:type="dxa"/>
            <w:shd w:val="clear" w:color="auto" w:fill="F2F2F2" w:themeFill="background1" w:themeFillShade="F2"/>
            <w:noWrap/>
            <w:vAlign w:val="center"/>
          </w:tcPr>
          <w:p w14:paraId="5D132A76" w14:textId="37197784" w:rsidR="0049760A" w:rsidRPr="00394EC7" w:rsidRDefault="520A53A8" w:rsidP="0049760A">
            <w:pPr>
              <w:spacing w:after="0"/>
              <w:jc w:val="center"/>
              <w:rPr>
                <w:rFonts w:eastAsia="Times New Roman" w:cs="Calibri"/>
                <w:color w:val="000000"/>
                <w:sz w:val="16"/>
                <w:szCs w:val="16"/>
              </w:rPr>
            </w:pPr>
            <w:r w:rsidRPr="7A0A5554">
              <w:rPr>
                <w:rFonts w:eastAsia="Times New Roman" w:cs="Calibri"/>
                <w:color w:val="000000" w:themeColor="text1"/>
                <w:sz w:val="16"/>
                <w:szCs w:val="16"/>
              </w:rPr>
              <w:t>85.0%</w:t>
            </w:r>
          </w:p>
        </w:tc>
        <w:tc>
          <w:tcPr>
            <w:tcW w:w="990" w:type="dxa"/>
            <w:shd w:val="clear" w:color="auto" w:fill="F2F2F2" w:themeFill="background1" w:themeFillShade="F2"/>
            <w:noWrap/>
            <w:vAlign w:val="center"/>
          </w:tcPr>
          <w:p w14:paraId="4350D186" w14:textId="4D38101F" w:rsidR="0049760A" w:rsidRPr="00394EC7" w:rsidRDefault="520A53A8" w:rsidP="0049760A">
            <w:pPr>
              <w:spacing w:after="0"/>
              <w:jc w:val="center"/>
              <w:rPr>
                <w:rFonts w:eastAsia="Times New Roman" w:cs="Calibri"/>
                <w:color w:val="000000"/>
                <w:sz w:val="16"/>
                <w:szCs w:val="16"/>
              </w:rPr>
            </w:pPr>
            <w:r w:rsidRPr="7A0A5554">
              <w:rPr>
                <w:rFonts w:eastAsia="Times New Roman" w:cs="Calibri"/>
                <w:color w:val="000000" w:themeColor="text1"/>
                <w:sz w:val="16"/>
                <w:szCs w:val="16"/>
              </w:rPr>
              <w:t>82.3%</w:t>
            </w:r>
          </w:p>
        </w:tc>
        <w:tc>
          <w:tcPr>
            <w:tcW w:w="720" w:type="dxa"/>
            <w:tcBorders>
              <w:right w:val="single" w:sz="4" w:space="0" w:color="auto"/>
            </w:tcBorders>
            <w:shd w:val="clear" w:color="auto" w:fill="F2F2F2" w:themeFill="background1" w:themeFillShade="F2"/>
            <w:noWrap/>
            <w:vAlign w:val="center"/>
          </w:tcPr>
          <w:p w14:paraId="0E82E7A9" w14:textId="6034C0A9" w:rsidR="0049760A" w:rsidRPr="00394EC7" w:rsidRDefault="520A53A8" w:rsidP="0049760A">
            <w:pPr>
              <w:spacing w:after="0"/>
              <w:jc w:val="center"/>
              <w:rPr>
                <w:rFonts w:eastAsia="Times New Roman" w:cs="Calibri"/>
                <w:color w:val="000000"/>
                <w:sz w:val="16"/>
                <w:szCs w:val="16"/>
              </w:rPr>
            </w:pPr>
            <w:r w:rsidRPr="7A0A5554">
              <w:rPr>
                <w:rFonts w:eastAsia="Times New Roman" w:cs="Calibri"/>
                <w:color w:val="000000" w:themeColor="text1"/>
                <w:sz w:val="16"/>
                <w:szCs w:val="16"/>
              </w:rPr>
              <w:t>81.4%</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EFDFA09" w14:textId="58471AC6"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 </w:t>
            </w:r>
            <w:r w:rsidR="00255B4E">
              <w:rPr>
                <w:rFonts w:cs="Calibri"/>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6BE29A6" w14:textId="1341862F" w:rsidR="3E5DA59D" w:rsidRDefault="3E5DA59D" w:rsidP="3E5DA59D">
            <w:pPr>
              <w:spacing w:after="0"/>
              <w:jc w:val="center"/>
              <w:rPr>
                <w:rFonts w:eastAsia="Times New Roman" w:cs="Calibri"/>
                <w:color w:val="000000" w:themeColor="text1"/>
                <w:sz w:val="18"/>
                <w:szCs w:val="18"/>
              </w:rPr>
            </w:pPr>
            <w:r w:rsidRPr="3E5DA59D">
              <w:rPr>
                <w:rFonts w:cs="Calibri"/>
                <w:color w:val="000000" w:themeColor="text1"/>
                <w:sz w:val="18"/>
                <w:szCs w:val="18"/>
              </w:rPr>
              <w:t>--</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FF3295C" w14:textId="5BD8E13E" w:rsidR="3E5DA59D" w:rsidRDefault="3E5DA59D" w:rsidP="3E5DA59D">
            <w:pPr>
              <w:spacing w:after="0"/>
              <w:jc w:val="center"/>
              <w:rPr>
                <w:rFonts w:eastAsia="Times New Roman" w:cs="Calibri"/>
                <w:color w:val="000000" w:themeColor="text1"/>
                <w:sz w:val="18"/>
                <w:szCs w:val="18"/>
              </w:rPr>
            </w:pPr>
            <w:r w:rsidRPr="3E5DA59D">
              <w:rPr>
                <w:rFonts w:cs="Calibri"/>
                <w:color w:val="000000" w:themeColor="text1"/>
                <w:sz w:val="18"/>
                <w:szCs w:val="18"/>
              </w:rPr>
              <w:t>--</w:t>
            </w:r>
          </w:p>
        </w:tc>
      </w:tr>
      <w:tr w:rsidR="00255A16" w:rsidRPr="00884DD7" w14:paraId="709D5178" w14:textId="77777777" w:rsidTr="4EB40283">
        <w:trPr>
          <w:trHeight w:val="285"/>
        </w:trPr>
        <w:tc>
          <w:tcPr>
            <w:tcW w:w="2040" w:type="dxa"/>
            <w:shd w:val="clear" w:color="auto" w:fill="auto"/>
            <w:noWrap/>
          </w:tcPr>
          <w:p w14:paraId="2FD33D7B" w14:textId="03726AB2" w:rsidR="0049760A" w:rsidRPr="00597EE2" w:rsidRDefault="0049760A" w:rsidP="0049760A">
            <w:pPr>
              <w:spacing w:after="0"/>
              <w:jc w:val="center"/>
              <w:rPr>
                <w:rFonts w:eastAsia="Times New Roman" w:cs="Calibri"/>
                <w:color w:val="000000"/>
                <w:sz w:val="16"/>
                <w:szCs w:val="16"/>
              </w:rPr>
            </w:pPr>
            <w:r w:rsidRPr="00597EE2">
              <w:rPr>
                <w:rFonts w:cs="Calibri"/>
                <w:color w:val="000000"/>
                <w:sz w:val="16"/>
                <w:szCs w:val="16"/>
              </w:rPr>
              <w:t>EOHH</w:t>
            </w:r>
            <w:r>
              <w:rPr>
                <w:rFonts w:cs="Calibri"/>
                <w:color w:val="000000"/>
                <w:sz w:val="16"/>
                <w:szCs w:val="16"/>
              </w:rPr>
              <w:t>S</w:t>
            </w:r>
            <w:r w:rsidRPr="00597EE2">
              <w:rPr>
                <w:rFonts w:cs="Calibri"/>
                <w:color w:val="000000"/>
                <w:sz w:val="16"/>
                <w:szCs w:val="16"/>
              </w:rPr>
              <w:t xml:space="preserve"> </w:t>
            </w:r>
          </w:p>
        </w:tc>
        <w:tc>
          <w:tcPr>
            <w:tcW w:w="1650" w:type="dxa"/>
            <w:shd w:val="clear" w:color="auto" w:fill="auto"/>
            <w:vAlign w:val="bottom"/>
          </w:tcPr>
          <w:p w14:paraId="55EA5D71" w14:textId="1C1397E5" w:rsidR="0049760A" w:rsidRPr="00597EE2" w:rsidRDefault="0049760A" w:rsidP="0049760A">
            <w:pPr>
              <w:spacing w:after="0"/>
              <w:rPr>
                <w:rFonts w:eastAsia="Times New Roman" w:cs="Calibri"/>
                <w:sz w:val="16"/>
                <w:szCs w:val="16"/>
              </w:rPr>
            </w:pPr>
            <w:r w:rsidRPr="73B63CC4">
              <w:rPr>
                <w:rFonts w:cs="Calibri"/>
                <w:color w:val="000000" w:themeColor="text1"/>
                <w:sz w:val="16"/>
                <w:szCs w:val="16"/>
              </w:rPr>
              <w:t>Child</w:t>
            </w:r>
            <w:r w:rsidR="00015454" w:rsidRPr="73B63CC4">
              <w:rPr>
                <w:rFonts w:cs="Calibri"/>
                <w:color w:val="000000" w:themeColor="text1"/>
                <w:sz w:val="16"/>
                <w:szCs w:val="16"/>
              </w:rPr>
              <w:t>: Person</w:t>
            </w:r>
            <w:r w:rsidRPr="73B63CC4">
              <w:rPr>
                <w:rFonts w:cs="Calibri"/>
                <w:color w:val="000000" w:themeColor="text1"/>
                <w:sz w:val="16"/>
                <w:szCs w:val="16"/>
              </w:rPr>
              <w:t xml:space="preserve">-Centered Integrated </w:t>
            </w:r>
            <w:r w:rsidRPr="73B63CC4">
              <w:rPr>
                <w:rFonts w:cs="Calibri"/>
                <w:color w:val="000000" w:themeColor="text1"/>
                <w:sz w:val="16"/>
                <w:szCs w:val="16"/>
              </w:rPr>
              <w:lastRenderedPageBreak/>
              <w:t>Care: Knowledge of Patient</w:t>
            </w:r>
          </w:p>
        </w:tc>
        <w:tc>
          <w:tcPr>
            <w:tcW w:w="810" w:type="dxa"/>
            <w:shd w:val="clear" w:color="auto" w:fill="auto"/>
            <w:noWrap/>
            <w:vAlign w:val="center"/>
          </w:tcPr>
          <w:p w14:paraId="1B0F9603" w14:textId="599B92DE" w:rsidR="0049760A" w:rsidRPr="00394EC7" w:rsidRDefault="00CB3184" w:rsidP="0049760A">
            <w:pPr>
              <w:spacing w:after="0"/>
              <w:jc w:val="center"/>
              <w:rPr>
                <w:rFonts w:eastAsia="Times New Roman" w:cs="Calibri"/>
                <w:color w:val="000000"/>
                <w:sz w:val="16"/>
                <w:szCs w:val="16"/>
              </w:rPr>
            </w:pPr>
            <w:r>
              <w:rPr>
                <w:rFonts w:eastAsia="Times New Roman" w:cs="Calibri"/>
                <w:color w:val="000000"/>
                <w:sz w:val="16"/>
                <w:szCs w:val="16"/>
              </w:rPr>
              <w:lastRenderedPageBreak/>
              <w:t>86.6%</w:t>
            </w:r>
          </w:p>
        </w:tc>
        <w:tc>
          <w:tcPr>
            <w:tcW w:w="720" w:type="dxa"/>
            <w:shd w:val="clear" w:color="auto" w:fill="auto"/>
            <w:noWrap/>
            <w:vAlign w:val="center"/>
          </w:tcPr>
          <w:p w14:paraId="3FFAC263" w14:textId="0D1E3122" w:rsidR="0049760A" w:rsidRPr="00394EC7" w:rsidRDefault="58587571" w:rsidP="0049760A">
            <w:pPr>
              <w:spacing w:after="0"/>
              <w:jc w:val="center"/>
              <w:rPr>
                <w:rFonts w:eastAsia="Times New Roman" w:cs="Calibri"/>
                <w:color w:val="000000"/>
                <w:sz w:val="16"/>
                <w:szCs w:val="16"/>
              </w:rPr>
            </w:pPr>
            <w:r w:rsidRPr="2F6038B8">
              <w:rPr>
                <w:rFonts w:eastAsia="Times New Roman" w:cs="Calibri"/>
                <w:color w:val="000000" w:themeColor="text1"/>
                <w:sz w:val="16"/>
                <w:szCs w:val="16"/>
              </w:rPr>
              <w:t>84.5%</w:t>
            </w:r>
          </w:p>
        </w:tc>
        <w:tc>
          <w:tcPr>
            <w:tcW w:w="720" w:type="dxa"/>
            <w:shd w:val="clear" w:color="auto" w:fill="auto"/>
            <w:noWrap/>
            <w:vAlign w:val="center"/>
          </w:tcPr>
          <w:p w14:paraId="12002CE1" w14:textId="23C92637" w:rsidR="0049760A" w:rsidRPr="00394EC7" w:rsidRDefault="58587571" w:rsidP="0049760A">
            <w:pPr>
              <w:spacing w:after="0"/>
              <w:jc w:val="center"/>
              <w:rPr>
                <w:rFonts w:eastAsia="Times New Roman" w:cs="Calibri"/>
                <w:color w:val="000000"/>
                <w:sz w:val="16"/>
                <w:szCs w:val="16"/>
              </w:rPr>
            </w:pPr>
            <w:r w:rsidRPr="2F6038B8">
              <w:rPr>
                <w:rFonts w:eastAsia="Times New Roman" w:cs="Calibri"/>
                <w:color w:val="000000" w:themeColor="text1"/>
                <w:sz w:val="16"/>
                <w:szCs w:val="16"/>
              </w:rPr>
              <w:t>87.9%</w:t>
            </w:r>
          </w:p>
        </w:tc>
        <w:tc>
          <w:tcPr>
            <w:tcW w:w="720" w:type="dxa"/>
            <w:shd w:val="clear" w:color="auto" w:fill="auto"/>
            <w:noWrap/>
            <w:vAlign w:val="center"/>
          </w:tcPr>
          <w:p w14:paraId="2BC67035" w14:textId="462AFF68" w:rsidR="0049760A" w:rsidRPr="00394EC7" w:rsidRDefault="58587571" w:rsidP="0049760A">
            <w:pPr>
              <w:spacing w:after="0"/>
              <w:jc w:val="center"/>
              <w:rPr>
                <w:rFonts w:eastAsia="Times New Roman" w:cs="Calibri"/>
                <w:color w:val="000000"/>
                <w:sz w:val="16"/>
                <w:szCs w:val="16"/>
              </w:rPr>
            </w:pPr>
            <w:r w:rsidRPr="2F6038B8">
              <w:rPr>
                <w:rFonts w:eastAsia="Times New Roman" w:cs="Calibri"/>
                <w:color w:val="000000" w:themeColor="text1"/>
                <w:sz w:val="16"/>
                <w:szCs w:val="16"/>
              </w:rPr>
              <w:t>86.3%</w:t>
            </w:r>
          </w:p>
        </w:tc>
        <w:tc>
          <w:tcPr>
            <w:tcW w:w="720" w:type="dxa"/>
            <w:shd w:val="clear" w:color="auto" w:fill="auto"/>
            <w:noWrap/>
            <w:vAlign w:val="center"/>
          </w:tcPr>
          <w:p w14:paraId="76CB6B21" w14:textId="0A7F1EE3" w:rsidR="0049760A" w:rsidRPr="00394EC7" w:rsidRDefault="58587571" w:rsidP="0049760A">
            <w:pPr>
              <w:spacing w:after="0"/>
              <w:jc w:val="center"/>
              <w:rPr>
                <w:rFonts w:eastAsia="Times New Roman" w:cs="Calibri"/>
                <w:color w:val="000000"/>
                <w:sz w:val="16"/>
                <w:szCs w:val="16"/>
              </w:rPr>
            </w:pPr>
            <w:r w:rsidRPr="2F6038B8">
              <w:rPr>
                <w:rFonts w:eastAsia="Times New Roman" w:cs="Calibri"/>
                <w:color w:val="000000" w:themeColor="text1"/>
                <w:sz w:val="16"/>
                <w:szCs w:val="16"/>
              </w:rPr>
              <w:t>84.7%</w:t>
            </w:r>
          </w:p>
        </w:tc>
        <w:tc>
          <w:tcPr>
            <w:tcW w:w="720" w:type="dxa"/>
            <w:shd w:val="clear" w:color="auto" w:fill="auto"/>
            <w:noWrap/>
            <w:vAlign w:val="center"/>
          </w:tcPr>
          <w:p w14:paraId="74D9D4EF" w14:textId="1C66CC32" w:rsidR="0049760A" w:rsidRPr="00394EC7" w:rsidRDefault="58587571" w:rsidP="0049760A">
            <w:pPr>
              <w:spacing w:after="0"/>
              <w:jc w:val="center"/>
              <w:rPr>
                <w:rFonts w:eastAsia="Times New Roman" w:cs="Calibri"/>
                <w:color w:val="000000"/>
                <w:sz w:val="16"/>
                <w:szCs w:val="16"/>
              </w:rPr>
            </w:pPr>
            <w:r w:rsidRPr="2F6038B8">
              <w:rPr>
                <w:rFonts w:eastAsia="Times New Roman" w:cs="Calibri"/>
                <w:color w:val="000000" w:themeColor="text1"/>
                <w:sz w:val="16"/>
                <w:szCs w:val="16"/>
              </w:rPr>
              <w:t>84.9%</w:t>
            </w:r>
          </w:p>
        </w:tc>
        <w:tc>
          <w:tcPr>
            <w:tcW w:w="810" w:type="dxa"/>
            <w:shd w:val="clear" w:color="auto" w:fill="auto"/>
            <w:noWrap/>
            <w:vAlign w:val="center"/>
          </w:tcPr>
          <w:p w14:paraId="63CAD014" w14:textId="262ACB40" w:rsidR="0049760A" w:rsidRPr="00394EC7" w:rsidRDefault="58587571" w:rsidP="0049760A">
            <w:pPr>
              <w:spacing w:after="0"/>
              <w:jc w:val="center"/>
              <w:rPr>
                <w:rFonts w:eastAsia="Times New Roman" w:cs="Calibri"/>
                <w:color w:val="000000"/>
                <w:sz w:val="16"/>
                <w:szCs w:val="16"/>
              </w:rPr>
            </w:pPr>
            <w:r w:rsidRPr="2F6038B8">
              <w:rPr>
                <w:rFonts w:eastAsia="Times New Roman" w:cs="Calibri"/>
                <w:color w:val="000000" w:themeColor="text1"/>
                <w:sz w:val="16"/>
                <w:szCs w:val="16"/>
              </w:rPr>
              <w:t>88.7%</w:t>
            </w:r>
          </w:p>
        </w:tc>
        <w:tc>
          <w:tcPr>
            <w:tcW w:w="720" w:type="dxa"/>
            <w:shd w:val="clear" w:color="auto" w:fill="auto"/>
            <w:noWrap/>
            <w:vAlign w:val="center"/>
          </w:tcPr>
          <w:p w14:paraId="769D87D2" w14:textId="507237E6" w:rsidR="0049760A" w:rsidRPr="00394EC7" w:rsidRDefault="58587571" w:rsidP="0049760A">
            <w:pPr>
              <w:spacing w:after="0"/>
              <w:jc w:val="center"/>
              <w:rPr>
                <w:rFonts w:eastAsia="Times New Roman" w:cs="Calibri"/>
                <w:color w:val="000000"/>
                <w:sz w:val="16"/>
                <w:szCs w:val="16"/>
              </w:rPr>
            </w:pPr>
            <w:r w:rsidRPr="2F6038B8">
              <w:rPr>
                <w:rFonts w:eastAsia="Times New Roman" w:cs="Calibri"/>
                <w:color w:val="000000" w:themeColor="text1"/>
                <w:sz w:val="16"/>
                <w:szCs w:val="16"/>
              </w:rPr>
              <w:t>85.1%</w:t>
            </w:r>
          </w:p>
        </w:tc>
        <w:tc>
          <w:tcPr>
            <w:tcW w:w="720" w:type="dxa"/>
            <w:shd w:val="clear" w:color="auto" w:fill="auto"/>
            <w:noWrap/>
            <w:vAlign w:val="center"/>
          </w:tcPr>
          <w:p w14:paraId="14708D76" w14:textId="073B0B12" w:rsidR="0049760A" w:rsidRPr="00394EC7" w:rsidRDefault="58587571" w:rsidP="0049760A">
            <w:pPr>
              <w:spacing w:after="0"/>
              <w:jc w:val="center"/>
              <w:rPr>
                <w:rFonts w:eastAsia="Times New Roman" w:cs="Calibri"/>
                <w:color w:val="000000"/>
                <w:sz w:val="16"/>
                <w:szCs w:val="16"/>
              </w:rPr>
            </w:pPr>
            <w:r w:rsidRPr="786C73B3">
              <w:rPr>
                <w:rFonts w:eastAsia="Times New Roman" w:cs="Calibri"/>
                <w:color w:val="000000" w:themeColor="text1"/>
                <w:sz w:val="16"/>
                <w:szCs w:val="16"/>
              </w:rPr>
              <w:t>86.0%</w:t>
            </w:r>
          </w:p>
        </w:tc>
        <w:tc>
          <w:tcPr>
            <w:tcW w:w="1080" w:type="dxa"/>
            <w:shd w:val="clear" w:color="auto" w:fill="auto"/>
            <w:noWrap/>
            <w:vAlign w:val="center"/>
          </w:tcPr>
          <w:p w14:paraId="3CEF993F" w14:textId="55162B59" w:rsidR="0049760A" w:rsidRPr="00394EC7" w:rsidRDefault="58587571" w:rsidP="0049760A">
            <w:pPr>
              <w:spacing w:after="0"/>
              <w:jc w:val="center"/>
              <w:rPr>
                <w:rFonts w:eastAsia="Times New Roman" w:cs="Calibri"/>
                <w:color w:val="000000"/>
                <w:sz w:val="16"/>
                <w:szCs w:val="16"/>
              </w:rPr>
            </w:pPr>
            <w:r w:rsidRPr="786C73B3">
              <w:rPr>
                <w:rFonts w:eastAsia="Times New Roman" w:cs="Calibri"/>
                <w:color w:val="000000" w:themeColor="text1"/>
                <w:sz w:val="16"/>
                <w:szCs w:val="16"/>
              </w:rPr>
              <w:t>88.6%</w:t>
            </w:r>
          </w:p>
        </w:tc>
        <w:tc>
          <w:tcPr>
            <w:tcW w:w="720" w:type="dxa"/>
            <w:shd w:val="clear" w:color="auto" w:fill="auto"/>
            <w:noWrap/>
            <w:vAlign w:val="center"/>
          </w:tcPr>
          <w:p w14:paraId="4ED6D443" w14:textId="3CB1BDD3" w:rsidR="0049760A" w:rsidRPr="00394EC7" w:rsidRDefault="58587571" w:rsidP="0049760A">
            <w:pPr>
              <w:spacing w:after="0"/>
              <w:jc w:val="center"/>
              <w:rPr>
                <w:rFonts w:eastAsia="Times New Roman" w:cs="Calibri"/>
                <w:color w:val="000000"/>
                <w:sz w:val="16"/>
                <w:szCs w:val="16"/>
              </w:rPr>
            </w:pPr>
            <w:r w:rsidRPr="786C73B3">
              <w:rPr>
                <w:rFonts w:eastAsia="Times New Roman" w:cs="Calibri"/>
                <w:color w:val="000000" w:themeColor="text1"/>
                <w:sz w:val="16"/>
                <w:szCs w:val="16"/>
              </w:rPr>
              <w:t>85.9%</w:t>
            </w:r>
          </w:p>
        </w:tc>
        <w:tc>
          <w:tcPr>
            <w:tcW w:w="810" w:type="dxa"/>
            <w:shd w:val="clear" w:color="auto" w:fill="auto"/>
            <w:noWrap/>
            <w:vAlign w:val="center"/>
          </w:tcPr>
          <w:p w14:paraId="2299E808" w14:textId="493F1F86" w:rsidR="0049760A" w:rsidRPr="00394EC7" w:rsidRDefault="58587571" w:rsidP="0049760A">
            <w:pPr>
              <w:spacing w:after="0"/>
              <w:jc w:val="center"/>
              <w:rPr>
                <w:rFonts w:eastAsia="Times New Roman" w:cs="Calibri"/>
                <w:color w:val="000000"/>
                <w:sz w:val="16"/>
                <w:szCs w:val="16"/>
              </w:rPr>
            </w:pPr>
            <w:r w:rsidRPr="786C73B3">
              <w:rPr>
                <w:rFonts w:eastAsia="Times New Roman" w:cs="Calibri"/>
                <w:color w:val="000000" w:themeColor="text1"/>
                <w:sz w:val="16"/>
                <w:szCs w:val="16"/>
              </w:rPr>
              <w:t>84.2%</w:t>
            </w:r>
          </w:p>
        </w:tc>
        <w:tc>
          <w:tcPr>
            <w:tcW w:w="810" w:type="dxa"/>
            <w:shd w:val="clear" w:color="auto" w:fill="auto"/>
            <w:noWrap/>
            <w:vAlign w:val="center"/>
          </w:tcPr>
          <w:p w14:paraId="05673EA5" w14:textId="08676134" w:rsidR="0049760A" w:rsidRPr="00394EC7" w:rsidRDefault="58587571" w:rsidP="0049760A">
            <w:pPr>
              <w:spacing w:after="0"/>
              <w:jc w:val="center"/>
              <w:rPr>
                <w:rFonts w:eastAsia="Times New Roman" w:cs="Calibri"/>
                <w:color w:val="000000"/>
                <w:sz w:val="16"/>
                <w:szCs w:val="16"/>
              </w:rPr>
            </w:pPr>
            <w:r w:rsidRPr="786C73B3">
              <w:rPr>
                <w:rFonts w:eastAsia="Times New Roman" w:cs="Calibri"/>
                <w:color w:val="000000" w:themeColor="text1"/>
                <w:sz w:val="16"/>
                <w:szCs w:val="16"/>
              </w:rPr>
              <w:t>86.1%</w:t>
            </w:r>
          </w:p>
        </w:tc>
        <w:tc>
          <w:tcPr>
            <w:tcW w:w="810" w:type="dxa"/>
            <w:shd w:val="clear" w:color="auto" w:fill="auto"/>
            <w:noWrap/>
            <w:vAlign w:val="center"/>
          </w:tcPr>
          <w:p w14:paraId="64DAFB35" w14:textId="7BB2E241" w:rsidR="0049760A" w:rsidRPr="00394EC7" w:rsidRDefault="58587571" w:rsidP="0049760A">
            <w:pPr>
              <w:spacing w:after="0"/>
              <w:jc w:val="center"/>
              <w:rPr>
                <w:rFonts w:eastAsia="Times New Roman" w:cs="Calibri"/>
                <w:color w:val="000000"/>
                <w:sz w:val="16"/>
                <w:szCs w:val="16"/>
              </w:rPr>
            </w:pPr>
            <w:r w:rsidRPr="786C73B3">
              <w:rPr>
                <w:rFonts w:eastAsia="Times New Roman" w:cs="Calibri"/>
                <w:color w:val="000000" w:themeColor="text1"/>
                <w:sz w:val="16"/>
                <w:szCs w:val="16"/>
              </w:rPr>
              <w:t>87.6%</w:t>
            </w:r>
          </w:p>
        </w:tc>
        <w:tc>
          <w:tcPr>
            <w:tcW w:w="720" w:type="dxa"/>
            <w:shd w:val="clear" w:color="auto" w:fill="auto"/>
            <w:noWrap/>
            <w:vAlign w:val="center"/>
          </w:tcPr>
          <w:p w14:paraId="3FE41418" w14:textId="1F82D77D" w:rsidR="0049760A" w:rsidRPr="00394EC7" w:rsidRDefault="58587571" w:rsidP="0049760A">
            <w:pPr>
              <w:spacing w:after="0"/>
              <w:jc w:val="center"/>
              <w:rPr>
                <w:rFonts w:eastAsia="Times New Roman" w:cs="Calibri"/>
                <w:color w:val="000000"/>
                <w:sz w:val="16"/>
                <w:szCs w:val="16"/>
              </w:rPr>
            </w:pPr>
            <w:r w:rsidRPr="519D7258">
              <w:rPr>
                <w:rFonts w:eastAsia="Times New Roman" w:cs="Calibri"/>
                <w:color w:val="000000" w:themeColor="text1"/>
                <w:sz w:val="16"/>
                <w:szCs w:val="16"/>
              </w:rPr>
              <w:t>83.0%</w:t>
            </w:r>
          </w:p>
        </w:tc>
        <w:tc>
          <w:tcPr>
            <w:tcW w:w="720" w:type="dxa"/>
            <w:shd w:val="clear" w:color="auto" w:fill="auto"/>
            <w:noWrap/>
            <w:vAlign w:val="center"/>
          </w:tcPr>
          <w:p w14:paraId="2BE3AF84" w14:textId="0FF59B57" w:rsidR="0049760A" w:rsidRPr="00394EC7" w:rsidRDefault="58587571" w:rsidP="0049760A">
            <w:pPr>
              <w:spacing w:after="0"/>
              <w:jc w:val="center"/>
              <w:rPr>
                <w:rFonts w:eastAsia="Times New Roman" w:cs="Calibri"/>
                <w:color w:val="000000"/>
                <w:sz w:val="16"/>
                <w:szCs w:val="16"/>
              </w:rPr>
            </w:pPr>
            <w:r w:rsidRPr="519D7258">
              <w:rPr>
                <w:rFonts w:eastAsia="Times New Roman" w:cs="Calibri"/>
                <w:color w:val="000000" w:themeColor="text1"/>
                <w:sz w:val="16"/>
                <w:szCs w:val="16"/>
              </w:rPr>
              <w:t>88.9%</w:t>
            </w:r>
          </w:p>
        </w:tc>
        <w:tc>
          <w:tcPr>
            <w:tcW w:w="990" w:type="dxa"/>
            <w:shd w:val="clear" w:color="auto" w:fill="auto"/>
            <w:noWrap/>
            <w:vAlign w:val="center"/>
          </w:tcPr>
          <w:p w14:paraId="58D129C7" w14:textId="1BF92924" w:rsidR="0049760A" w:rsidRPr="00394EC7" w:rsidRDefault="58587571" w:rsidP="0049760A">
            <w:pPr>
              <w:spacing w:after="0"/>
              <w:jc w:val="center"/>
              <w:rPr>
                <w:rFonts w:eastAsia="Times New Roman" w:cs="Calibri"/>
                <w:color w:val="000000"/>
                <w:sz w:val="16"/>
                <w:szCs w:val="16"/>
              </w:rPr>
            </w:pPr>
            <w:r w:rsidRPr="519D7258">
              <w:rPr>
                <w:rFonts w:eastAsia="Times New Roman" w:cs="Calibri"/>
                <w:color w:val="000000" w:themeColor="text1"/>
                <w:sz w:val="16"/>
                <w:szCs w:val="16"/>
              </w:rPr>
              <w:t>87.7%</w:t>
            </w:r>
          </w:p>
        </w:tc>
        <w:tc>
          <w:tcPr>
            <w:tcW w:w="720" w:type="dxa"/>
            <w:tcBorders>
              <w:right w:val="single" w:sz="4" w:space="0" w:color="auto"/>
            </w:tcBorders>
            <w:shd w:val="clear" w:color="auto" w:fill="auto"/>
            <w:noWrap/>
            <w:vAlign w:val="center"/>
          </w:tcPr>
          <w:p w14:paraId="6B3C946D" w14:textId="165511C5" w:rsidR="0049760A" w:rsidRPr="00394EC7" w:rsidRDefault="58587571" w:rsidP="0049760A">
            <w:pPr>
              <w:spacing w:after="0"/>
              <w:jc w:val="center"/>
              <w:rPr>
                <w:rFonts w:eastAsia="Times New Roman" w:cs="Calibri"/>
                <w:color w:val="000000"/>
                <w:sz w:val="16"/>
                <w:szCs w:val="16"/>
              </w:rPr>
            </w:pPr>
            <w:r w:rsidRPr="519D7258">
              <w:rPr>
                <w:rFonts w:eastAsia="Times New Roman" w:cs="Calibri"/>
                <w:color w:val="000000" w:themeColor="text1"/>
                <w:sz w:val="16"/>
                <w:szCs w:val="16"/>
              </w:rPr>
              <w:t>91.4%</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171156" w14:textId="7D998FA6"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 </w:t>
            </w:r>
            <w:r w:rsidR="00255B4E">
              <w:rPr>
                <w:rFonts w:cs="Calibri"/>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C97047" w14:textId="756D118D" w:rsidR="3E5DA59D" w:rsidRDefault="3E5DA59D" w:rsidP="3E5DA59D">
            <w:pPr>
              <w:spacing w:after="0"/>
              <w:jc w:val="center"/>
              <w:rPr>
                <w:rFonts w:eastAsia="Times New Roman" w:cs="Calibri"/>
                <w:color w:val="000000" w:themeColor="text1"/>
                <w:sz w:val="18"/>
                <w:szCs w:val="18"/>
              </w:rPr>
            </w:pPr>
            <w:r w:rsidRPr="3E5DA59D">
              <w:rPr>
                <w:rFonts w:cs="Calibri"/>
                <w:color w:val="000000" w:themeColor="text1"/>
                <w:sz w:val="18"/>
                <w:szCs w:val="18"/>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C30E1B" w14:textId="6A822C6B" w:rsidR="3E5DA59D" w:rsidRDefault="3E5DA59D" w:rsidP="3E5DA59D">
            <w:pPr>
              <w:spacing w:after="0"/>
              <w:jc w:val="center"/>
              <w:rPr>
                <w:rFonts w:eastAsia="Times New Roman" w:cs="Calibri"/>
                <w:color w:val="000000" w:themeColor="text1"/>
                <w:sz w:val="18"/>
                <w:szCs w:val="18"/>
              </w:rPr>
            </w:pPr>
            <w:r w:rsidRPr="3E5DA59D">
              <w:rPr>
                <w:rFonts w:cs="Calibri"/>
                <w:color w:val="000000" w:themeColor="text1"/>
                <w:sz w:val="18"/>
                <w:szCs w:val="18"/>
              </w:rPr>
              <w:t>--</w:t>
            </w:r>
          </w:p>
        </w:tc>
      </w:tr>
    </w:tbl>
    <w:p w14:paraId="03F22C78" w14:textId="4F8799CC" w:rsidR="00426FB8" w:rsidRDefault="00426FB8">
      <w:pPr>
        <w:spacing w:after="160" w:line="259" w:lineRule="auto"/>
        <w:rPr>
          <w:rFonts w:eastAsia="Times New Roman" w:cs="Calibri"/>
          <w:b/>
          <w:bCs/>
          <w:color w:val="000000"/>
          <w:sz w:val="20"/>
          <w:szCs w:val="20"/>
        </w:rPr>
      </w:pPr>
    </w:p>
    <w:p w14:paraId="02639EE8" w14:textId="1C0EFCA7" w:rsidR="005B4367" w:rsidRDefault="005B4367" w:rsidP="005B4367">
      <w:pPr>
        <w:ind w:left="-810"/>
        <w:rPr>
          <w:rFonts w:eastAsia="Times New Roman" w:cs="Calibri"/>
          <w:b/>
          <w:bCs/>
          <w:color w:val="000000"/>
          <w:sz w:val="20"/>
          <w:szCs w:val="20"/>
        </w:rPr>
      </w:pPr>
      <w:r w:rsidRPr="21CA7F43">
        <w:rPr>
          <w:rFonts w:eastAsia="Times New Roman" w:cs="Calibri"/>
          <w:b/>
          <w:bCs/>
          <w:color w:val="000000" w:themeColor="text1"/>
          <w:sz w:val="20"/>
          <w:szCs w:val="20"/>
        </w:rPr>
        <w:t xml:space="preserve">Appendix </w:t>
      </w:r>
      <w:r w:rsidR="003177BF" w:rsidRPr="21CA7F43">
        <w:rPr>
          <w:rFonts w:eastAsia="Times New Roman" w:cs="Calibri"/>
          <w:b/>
          <w:bCs/>
          <w:color w:val="000000" w:themeColor="text1"/>
          <w:sz w:val="20"/>
          <w:szCs w:val="20"/>
        </w:rPr>
        <w:t>B</w:t>
      </w:r>
      <w:r w:rsidRPr="21CA7F43">
        <w:rPr>
          <w:rFonts w:eastAsia="Times New Roman" w:cs="Calibri"/>
          <w:b/>
          <w:bCs/>
          <w:color w:val="000000" w:themeColor="text1"/>
          <w:sz w:val="20"/>
          <w:szCs w:val="20"/>
        </w:rPr>
        <w:t>-</w:t>
      </w:r>
      <w:r w:rsidR="00BE5434" w:rsidRPr="21CA7F43">
        <w:rPr>
          <w:rFonts w:eastAsia="Times New Roman" w:cs="Calibri"/>
          <w:b/>
          <w:bCs/>
          <w:color w:val="000000" w:themeColor="text1"/>
          <w:sz w:val="20"/>
          <w:szCs w:val="20"/>
        </w:rPr>
        <w:t>2</w:t>
      </w:r>
      <w:r w:rsidRPr="21CA7F43">
        <w:rPr>
          <w:rFonts w:eastAsia="Times New Roman" w:cs="Calibri"/>
          <w:b/>
          <w:bCs/>
          <w:color w:val="000000" w:themeColor="text1"/>
          <w:sz w:val="20"/>
          <w:szCs w:val="20"/>
        </w:rPr>
        <w:t>: Contract</w:t>
      </w:r>
      <w:r w:rsidR="009B7DDD" w:rsidRPr="21CA7F43">
        <w:rPr>
          <w:rFonts w:eastAsia="Times New Roman" w:cs="Calibri"/>
          <w:b/>
          <w:bCs/>
          <w:color w:val="000000" w:themeColor="text1"/>
          <w:sz w:val="20"/>
          <w:szCs w:val="20"/>
        </w:rPr>
        <w:t xml:space="preserve"> Level</w:t>
      </w:r>
      <w:r w:rsidRPr="21CA7F43">
        <w:rPr>
          <w:rFonts w:eastAsia="Times New Roman" w:cs="Calibri"/>
          <w:b/>
          <w:bCs/>
          <w:color w:val="000000" w:themeColor="text1"/>
          <w:sz w:val="20"/>
          <w:szCs w:val="20"/>
        </w:rPr>
        <w:t xml:space="preserve"> Performance, </w:t>
      </w:r>
      <w:r w:rsidR="7020102A" w:rsidRPr="21CA7F43">
        <w:rPr>
          <w:rFonts w:eastAsia="Times New Roman" w:cs="Calibri"/>
          <w:b/>
          <w:bCs/>
          <w:color w:val="000000" w:themeColor="text1"/>
          <w:sz w:val="20"/>
          <w:szCs w:val="20"/>
        </w:rPr>
        <w:t>M</w:t>
      </w:r>
      <w:r w:rsidR="003D4231" w:rsidRPr="21CA7F43">
        <w:rPr>
          <w:rFonts w:eastAsia="Times New Roman" w:cs="Calibri"/>
          <w:b/>
          <w:bCs/>
          <w:color w:val="000000" w:themeColor="text1"/>
          <w:sz w:val="20"/>
          <w:szCs w:val="20"/>
        </w:rPr>
        <w:t xml:space="preserve">Y </w:t>
      </w:r>
      <w:r w:rsidRPr="21CA7F43">
        <w:rPr>
          <w:rFonts w:eastAsia="Times New Roman" w:cs="Calibri"/>
          <w:b/>
          <w:bCs/>
          <w:color w:val="000000" w:themeColor="text1"/>
          <w:sz w:val="20"/>
          <w:szCs w:val="20"/>
        </w:rPr>
        <w:t>20</w:t>
      </w:r>
      <w:r w:rsidR="008A5A85">
        <w:rPr>
          <w:rFonts w:eastAsia="Times New Roman" w:cs="Calibri"/>
          <w:b/>
          <w:bCs/>
          <w:color w:val="000000" w:themeColor="text1"/>
          <w:sz w:val="20"/>
          <w:szCs w:val="20"/>
        </w:rPr>
        <w:t>22</w:t>
      </w:r>
      <w:r w:rsidR="009B7DDD" w:rsidRPr="21CA7F43">
        <w:rPr>
          <w:rFonts w:eastAsia="Times New Roman" w:cs="Calibri"/>
          <w:b/>
          <w:bCs/>
          <w:color w:val="000000" w:themeColor="text1"/>
          <w:sz w:val="20"/>
          <w:szCs w:val="20"/>
        </w:rPr>
        <w:t xml:space="preserve"> (ACO and MCO Programs)</w:t>
      </w:r>
    </w:p>
    <w:p w14:paraId="6C7EB721" w14:textId="4314E2AD" w:rsidR="00E27D01" w:rsidRPr="00CE61A0" w:rsidRDefault="001A3881" w:rsidP="00C7442E">
      <w:pPr>
        <w:ind w:left="-900"/>
        <w:rPr>
          <w:shd w:val="clear" w:color="auto" w:fill="FFFFFF"/>
        </w:rPr>
      </w:pPr>
      <w:r>
        <w:rPr>
          <w:rStyle w:val="normaltextrun"/>
          <w:shd w:val="clear" w:color="auto" w:fill="FFFFFF"/>
        </w:rPr>
        <w:t>20</w:t>
      </w:r>
      <w:r w:rsidR="001F335D">
        <w:rPr>
          <w:rStyle w:val="normaltextrun"/>
          <w:shd w:val="clear" w:color="auto" w:fill="FFFFFF"/>
        </w:rPr>
        <w:t>22</w:t>
      </w:r>
      <w:r>
        <w:rPr>
          <w:rStyle w:val="normaltextrun"/>
          <w:shd w:val="clear" w:color="auto" w:fill="FFFFFF"/>
        </w:rPr>
        <w:t xml:space="preserve"> </w:t>
      </w:r>
      <w:r w:rsidR="00E27D01">
        <w:rPr>
          <w:rStyle w:val="normaltextrun"/>
          <w:shd w:val="clear" w:color="auto" w:fill="FFFFFF"/>
        </w:rPr>
        <w:t>quality measure performance</w:t>
      </w:r>
      <w:r>
        <w:rPr>
          <w:rStyle w:val="normaltextrun"/>
          <w:shd w:val="clear" w:color="auto" w:fill="FFFFFF"/>
        </w:rPr>
        <w:t xml:space="preserve"> for individual ACO and MCO plans</w:t>
      </w:r>
      <w:r w:rsidR="00E27D01">
        <w:rPr>
          <w:rStyle w:val="normaltextrun"/>
          <w:shd w:val="clear" w:color="auto" w:fill="FFFFFF"/>
        </w:rPr>
        <w:t xml:space="preserve"> is presented in Table </w:t>
      </w:r>
      <w:r w:rsidR="003177BF">
        <w:rPr>
          <w:rStyle w:val="normaltextrun"/>
          <w:shd w:val="clear" w:color="auto" w:fill="FFFFFF"/>
        </w:rPr>
        <w:t>B</w:t>
      </w:r>
      <w:r w:rsidR="00E27D01">
        <w:rPr>
          <w:rStyle w:val="normaltextrun"/>
          <w:shd w:val="clear" w:color="auto" w:fill="FFFFFF"/>
        </w:rPr>
        <w:t>-</w:t>
      </w:r>
      <w:r w:rsidR="00DB1E8E">
        <w:rPr>
          <w:rStyle w:val="normaltextrun"/>
          <w:shd w:val="clear" w:color="auto" w:fill="FFFFFF"/>
        </w:rPr>
        <w:t>2</w:t>
      </w:r>
      <w:r w:rsidR="00E27D01">
        <w:rPr>
          <w:rStyle w:val="normaltextrun"/>
          <w:shd w:val="clear" w:color="auto" w:fill="FFFFFF"/>
        </w:rPr>
        <w:t xml:space="preserve">. </w:t>
      </w:r>
      <w:r w:rsidR="003177BF">
        <w:rPr>
          <w:rStyle w:val="normaltextrun"/>
          <w:shd w:val="clear" w:color="auto" w:fill="FFFFFF"/>
        </w:rPr>
        <w:t xml:space="preserve">Program-level totals are weighted means (WM). </w:t>
      </w:r>
      <w:r w:rsidR="00C7442E">
        <w:rPr>
          <w:rStyle w:val="normaltextrun"/>
          <w:shd w:val="clear" w:color="auto" w:fill="FFFFFF"/>
        </w:rPr>
        <w:t xml:space="preserve">Please see Appendix </w:t>
      </w:r>
      <w:r w:rsidR="003177BF">
        <w:rPr>
          <w:rStyle w:val="normaltextrun"/>
          <w:shd w:val="clear" w:color="auto" w:fill="FFFFFF"/>
        </w:rPr>
        <w:t>A</w:t>
      </w:r>
      <w:r w:rsidR="00C7442E">
        <w:rPr>
          <w:rStyle w:val="normaltextrun"/>
          <w:shd w:val="clear" w:color="auto" w:fill="FFFFFF"/>
        </w:rPr>
        <w:t xml:space="preserve"> for a list of MassHealth’s managed care plans.</w:t>
      </w:r>
    </w:p>
    <w:p w14:paraId="54445045" w14:textId="77777777" w:rsidR="00E27D01" w:rsidRDefault="00E27D01">
      <w:pPr>
        <w:pStyle w:val="ListParagraph"/>
        <w:numPr>
          <w:ilvl w:val="0"/>
          <w:numId w:val="3"/>
        </w:numPr>
        <w:ind w:left="-360" w:firstLine="0"/>
        <w:rPr>
          <w:b/>
          <w:bCs/>
        </w:rPr>
      </w:pPr>
      <w:r w:rsidRPr="00137463">
        <w:rPr>
          <w:b/>
          <w:bCs/>
        </w:rPr>
        <w:t xml:space="preserve">“--” indicates that the measure </w:t>
      </w:r>
      <w:r>
        <w:rPr>
          <w:b/>
          <w:bCs/>
        </w:rPr>
        <w:t>or target was</w:t>
      </w:r>
      <w:r w:rsidRPr="00137463">
        <w:rPr>
          <w:b/>
          <w:bCs/>
        </w:rPr>
        <w:t xml:space="preserve"> not</w:t>
      </w:r>
      <w:r>
        <w:rPr>
          <w:b/>
          <w:bCs/>
        </w:rPr>
        <w:t xml:space="preserve"> available, not</w:t>
      </w:r>
      <w:r w:rsidRPr="00137463">
        <w:rPr>
          <w:b/>
          <w:bCs/>
        </w:rPr>
        <w:t xml:space="preserve"> required, not collected, or not calculated</w:t>
      </w:r>
      <w:r>
        <w:rPr>
          <w:b/>
          <w:bCs/>
        </w:rPr>
        <w:t>.</w:t>
      </w:r>
    </w:p>
    <w:p w14:paraId="608A5D00" w14:textId="479BC85F" w:rsidR="000A2B5D" w:rsidRPr="009A6958" w:rsidRDefault="00E27D01" w:rsidP="00DB0871">
      <w:pPr>
        <w:pStyle w:val="ListParagraph"/>
        <w:numPr>
          <w:ilvl w:val="0"/>
          <w:numId w:val="3"/>
        </w:numPr>
        <w:ind w:left="-360" w:firstLine="0"/>
        <w:rPr>
          <w:b/>
          <w:bCs/>
        </w:rPr>
      </w:pPr>
      <w:r>
        <w:rPr>
          <w:b/>
          <w:bCs/>
        </w:rPr>
        <w:t>“NA” indicates that the rate was not included due to small denominator (n &lt;30).</w:t>
      </w:r>
    </w:p>
    <w:p w14:paraId="45A9278B" w14:textId="77777777" w:rsidR="000A2B5D" w:rsidRDefault="000A2B5D" w:rsidP="00DB0871">
      <w:pPr>
        <w:rPr>
          <w:rFonts w:eastAsia="Times New Roman" w:cs="Calibri"/>
          <w:b/>
          <w:bCs/>
          <w:color w:val="000000"/>
          <w:sz w:val="20"/>
          <w:szCs w:val="20"/>
        </w:rPr>
      </w:pPr>
    </w:p>
    <w:tbl>
      <w:tblPr>
        <w:tblW w:w="1989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2880"/>
        <w:gridCol w:w="810"/>
        <w:gridCol w:w="720"/>
        <w:gridCol w:w="720"/>
        <w:gridCol w:w="720"/>
        <w:gridCol w:w="720"/>
        <w:gridCol w:w="720"/>
        <w:gridCol w:w="810"/>
        <w:gridCol w:w="720"/>
        <w:gridCol w:w="720"/>
        <w:gridCol w:w="1080"/>
        <w:gridCol w:w="720"/>
        <w:gridCol w:w="810"/>
        <w:gridCol w:w="810"/>
        <w:gridCol w:w="810"/>
        <w:gridCol w:w="720"/>
        <w:gridCol w:w="720"/>
        <w:gridCol w:w="990"/>
        <w:gridCol w:w="720"/>
        <w:gridCol w:w="720"/>
        <w:gridCol w:w="720"/>
        <w:gridCol w:w="720"/>
      </w:tblGrid>
      <w:tr w:rsidR="000A2B5D" w:rsidRPr="00A54D21" w14:paraId="67F82FE6" w14:textId="77777777" w:rsidTr="44871088">
        <w:trPr>
          <w:trHeight w:val="740"/>
          <w:tblHeader/>
        </w:trPr>
        <w:tc>
          <w:tcPr>
            <w:tcW w:w="810" w:type="dxa"/>
            <w:shd w:val="clear" w:color="auto" w:fill="auto"/>
            <w:noWrap/>
            <w:vAlign w:val="center"/>
            <w:hideMark/>
          </w:tcPr>
          <w:p w14:paraId="6CB97786" w14:textId="77777777" w:rsidR="000A2B5D" w:rsidRPr="00884DD7" w:rsidRDefault="000A2B5D" w:rsidP="00A922DA">
            <w:pPr>
              <w:spacing w:after="0"/>
              <w:ind w:left="-110"/>
              <w:jc w:val="center"/>
              <w:rPr>
                <w:rFonts w:eastAsia="Times New Roman" w:cs="Calibri"/>
                <w:b/>
                <w:bCs/>
                <w:color w:val="000000"/>
                <w:sz w:val="17"/>
                <w:szCs w:val="17"/>
              </w:rPr>
            </w:pPr>
            <w:r>
              <w:rPr>
                <w:rFonts w:eastAsia="Times New Roman" w:cs="Calibri"/>
                <w:b/>
                <w:bCs/>
                <w:color w:val="000000"/>
                <w:sz w:val="17"/>
                <w:szCs w:val="17"/>
              </w:rPr>
              <w:t>Ref</w:t>
            </w:r>
          </w:p>
        </w:tc>
        <w:tc>
          <w:tcPr>
            <w:tcW w:w="2880" w:type="dxa"/>
            <w:shd w:val="clear" w:color="auto" w:fill="auto"/>
            <w:noWrap/>
            <w:vAlign w:val="center"/>
            <w:hideMark/>
          </w:tcPr>
          <w:p w14:paraId="222B38E2" w14:textId="56A57379" w:rsidR="000A2B5D" w:rsidRPr="00884DD7" w:rsidRDefault="000A2B5D" w:rsidP="00A922DA">
            <w:pPr>
              <w:spacing w:after="0"/>
              <w:jc w:val="center"/>
              <w:rPr>
                <w:rFonts w:eastAsia="Times New Roman" w:cs="Calibri"/>
                <w:b/>
                <w:bCs/>
                <w:color w:val="000000"/>
                <w:sz w:val="17"/>
                <w:szCs w:val="17"/>
              </w:rPr>
            </w:pPr>
            <w:r>
              <w:rPr>
                <w:rFonts w:eastAsia="Times New Roman" w:cs="Calibri"/>
                <w:b/>
                <w:bCs/>
                <w:color w:val="000000"/>
                <w:sz w:val="17"/>
                <w:szCs w:val="17"/>
              </w:rPr>
              <w:t>202</w:t>
            </w:r>
            <w:r w:rsidR="00A055DC">
              <w:rPr>
                <w:rFonts w:eastAsia="Times New Roman" w:cs="Calibri"/>
                <w:b/>
                <w:bCs/>
                <w:color w:val="000000"/>
                <w:sz w:val="17"/>
                <w:szCs w:val="17"/>
              </w:rPr>
              <w:t>2</w:t>
            </w:r>
            <w:r>
              <w:rPr>
                <w:rFonts w:eastAsia="Times New Roman" w:cs="Calibri"/>
                <w:b/>
                <w:bCs/>
                <w:color w:val="000000"/>
                <w:sz w:val="17"/>
                <w:szCs w:val="17"/>
              </w:rPr>
              <w:t xml:space="preserve"> </w:t>
            </w:r>
            <w:r w:rsidRPr="00884DD7">
              <w:rPr>
                <w:rFonts w:eastAsia="Times New Roman" w:cs="Calibri"/>
                <w:b/>
                <w:bCs/>
                <w:color w:val="000000"/>
                <w:sz w:val="17"/>
                <w:szCs w:val="17"/>
              </w:rPr>
              <w:t>Measure</w:t>
            </w:r>
          </w:p>
        </w:tc>
        <w:tc>
          <w:tcPr>
            <w:tcW w:w="810" w:type="dxa"/>
            <w:shd w:val="clear" w:color="auto" w:fill="8EAADB" w:themeFill="accent1" w:themeFillTint="99"/>
            <w:noWrap/>
            <w:vAlign w:val="center"/>
            <w:hideMark/>
          </w:tcPr>
          <w:p w14:paraId="6F31EA79" w14:textId="77777777" w:rsidR="000A2B5D" w:rsidRPr="00EC4DE0" w:rsidRDefault="000A2B5D" w:rsidP="00A922DA">
            <w:pPr>
              <w:spacing w:after="0"/>
              <w:jc w:val="center"/>
              <w:rPr>
                <w:rFonts w:eastAsia="Times New Roman" w:cs="Calibri"/>
                <w:b/>
                <w:bCs/>
                <w:sz w:val="17"/>
                <w:szCs w:val="17"/>
              </w:rPr>
            </w:pPr>
            <w:r w:rsidRPr="00A04255">
              <w:rPr>
                <w:rFonts w:eastAsia="Times New Roman" w:cs="Calibri"/>
                <w:b/>
                <w:sz w:val="17"/>
                <w:szCs w:val="17"/>
              </w:rPr>
              <w:t>ACO WM</w:t>
            </w:r>
            <w:r w:rsidRPr="35CAD603">
              <w:rPr>
                <w:rFonts w:eastAsia="Times New Roman" w:cs="Calibri"/>
                <w:b/>
                <w:bCs/>
                <w:sz w:val="17"/>
                <w:szCs w:val="17"/>
              </w:rPr>
              <w:t xml:space="preserve"> </w:t>
            </w:r>
          </w:p>
        </w:tc>
        <w:tc>
          <w:tcPr>
            <w:tcW w:w="720" w:type="dxa"/>
            <w:shd w:val="clear" w:color="auto" w:fill="8EAADB" w:themeFill="accent1" w:themeFillTint="99"/>
            <w:vAlign w:val="center"/>
            <w:hideMark/>
          </w:tcPr>
          <w:p w14:paraId="68FD22E2" w14:textId="77777777" w:rsidR="000A2B5D" w:rsidRPr="00884DD7" w:rsidRDefault="000A2B5D" w:rsidP="00A922DA">
            <w:pPr>
              <w:spacing w:after="0"/>
              <w:jc w:val="center"/>
              <w:rPr>
                <w:rFonts w:eastAsia="Times New Roman" w:cs="Calibri"/>
                <w:b/>
                <w:bCs/>
                <w:color w:val="000000"/>
                <w:sz w:val="17"/>
                <w:szCs w:val="17"/>
              </w:rPr>
            </w:pPr>
            <w:r w:rsidRPr="00884DD7">
              <w:rPr>
                <w:rFonts w:eastAsia="Times New Roman" w:cs="Calibri"/>
                <w:b/>
                <w:bCs/>
                <w:color w:val="000000"/>
                <w:sz w:val="17"/>
                <w:szCs w:val="17"/>
              </w:rPr>
              <w:t>FH BERK</w:t>
            </w:r>
          </w:p>
        </w:tc>
        <w:tc>
          <w:tcPr>
            <w:tcW w:w="720" w:type="dxa"/>
            <w:shd w:val="clear" w:color="auto" w:fill="8EAADB" w:themeFill="accent1" w:themeFillTint="99"/>
            <w:vAlign w:val="center"/>
            <w:hideMark/>
          </w:tcPr>
          <w:p w14:paraId="52302CEA" w14:textId="77777777" w:rsidR="000A2B5D" w:rsidRPr="00884DD7" w:rsidRDefault="000A2B5D" w:rsidP="00A922DA">
            <w:pPr>
              <w:spacing w:after="0"/>
              <w:jc w:val="center"/>
              <w:rPr>
                <w:rFonts w:eastAsia="Times New Roman" w:cs="Calibri"/>
                <w:b/>
                <w:bCs/>
                <w:color w:val="000000"/>
                <w:sz w:val="17"/>
                <w:szCs w:val="17"/>
              </w:rPr>
            </w:pPr>
            <w:r w:rsidRPr="00884DD7">
              <w:rPr>
                <w:rFonts w:eastAsia="Times New Roman" w:cs="Calibri"/>
                <w:b/>
                <w:bCs/>
                <w:color w:val="000000"/>
                <w:sz w:val="17"/>
                <w:szCs w:val="17"/>
              </w:rPr>
              <w:t>FH 365</w:t>
            </w:r>
          </w:p>
        </w:tc>
        <w:tc>
          <w:tcPr>
            <w:tcW w:w="720" w:type="dxa"/>
            <w:shd w:val="clear" w:color="auto" w:fill="8EAADB" w:themeFill="accent1" w:themeFillTint="99"/>
            <w:vAlign w:val="center"/>
            <w:hideMark/>
          </w:tcPr>
          <w:p w14:paraId="1D37EDAB" w14:textId="77777777" w:rsidR="000A2B5D" w:rsidRPr="00884DD7" w:rsidRDefault="000A2B5D" w:rsidP="00A922DA">
            <w:pPr>
              <w:spacing w:after="0"/>
              <w:jc w:val="center"/>
              <w:rPr>
                <w:rFonts w:eastAsia="Times New Roman" w:cs="Calibri"/>
                <w:b/>
                <w:bCs/>
                <w:color w:val="000000"/>
                <w:sz w:val="17"/>
                <w:szCs w:val="17"/>
              </w:rPr>
            </w:pPr>
            <w:r w:rsidRPr="00884DD7">
              <w:rPr>
                <w:rFonts w:eastAsia="Times New Roman" w:cs="Calibri"/>
                <w:b/>
                <w:bCs/>
                <w:color w:val="000000"/>
                <w:sz w:val="17"/>
                <w:szCs w:val="17"/>
              </w:rPr>
              <w:t>FH WFC</w:t>
            </w:r>
          </w:p>
        </w:tc>
        <w:tc>
          <w:tcPr>
            <w:tcW w:w="720" w:type="dxa"/>
            <w:shd w:val="clear" w:color="auto" w:fill="8EAADB" w:themeFill="accent1" w:themeFillTint="99"/>
            <w:vAlign w:val="center"/>
            <w:hideMark/>
          </w:tcPr>
          <w:p w14:paraId="05A578BD" w14:textId="77777777" w:rsidR="000A2B5D" w:rsidRPr="00884DD7" w:rsidRDefault="000A2B5D" w:rsidP="00A922DA">
            <w:pPr>
              <w:spacing w:after="0"/>
              <w:jc w:val="center"/>
              <w:rPr>
                <w:rFonts w:eastAsia="Times New Roman" w:cs="Calibri"/>
                <w:b/>
                <w:bCs/>
                <w:color w:val="000000"/>
                <w:sz w:val="17"/>
                <w:szCs w:val="17"/>
              </w:rPr>
            </w:pPr>
            <w:r w:rsidRPr="00884DD7">
              <w:rPr>
                <w:rFonts w:eastAsia="Times New Roman" w:cs="Calibri"/>
                <w:b/>
                <w:bCs/>
                <w:color w:val="000000"/>
                <w:sz w:val="17"/>
                <w:szCs w:val="17"/>
              </w:rPr>
              <w:t>HNE</w:t>
            </w:r>
          </w:p>
        </w:tc>
        <w:tc>
          <w:tcPr>
            <w:tcW w:w="720" w:type="dxa"/>
            <w:shd w:val="clear" w:color="auto" w:fill="8EAADB" w:themeFill="accent1" w:themeFillTint="99"/>
            <w:vAlign w:val="center"/>
            <w:hideMark/>
          </w:tcPr>
          <w:p w14:paraId="3815A64E" w14:textId="77777777" w:rsidR="000A2B5D" w:rsidRPr="00884DD7" w:rsidRDefault="000A2B5D" w:rsidP="00A922DA">
            <w:pPr>
              <w:spacing w:after="0"/>
              <w:jc w:val="center"/>
              <w:rPr>
                <w:rFonts w:eastAsia="Times New Roman" w:cs="Calibri"/>
                <w:b/>
                <w:bCs/>
                <w:color w:val="000000"/>
                <w:sz w:val="17"/>
                <w:szCs w:val="17"/>
              </w:rPr>
            </w:pPr>
            <w:r w:rsidRPr="00884DD7">
              <w:rPr>
                <w:rFonts w:eastAsia="Times New Roman" w:cs="Calibri"/>
                <w:b/>
                <w:bCs/>
                <w:color w:val="000000"/>
                <w:sz w:val="17"/>
                <w:szCs w:val="17"/>
              </w:rPr>
              <w:t>AHP</w:t>
            </w:r>
          </w:p>
        </w:tc>
        <w:tc>
          <w:tcPr>
            <w:tcW w:w="810" w:type="dxa"/>
            <w:shd w:val="clear" w:color="auto" w:fill="8EAADB" w:themeFill="accent1" w:themeFillTint="99"/>
            <w:vAlign w:val="center"/>
            <w:hideMark/>
          </w:tcPr>
          <w:p w14:paraId="3199C84B" w14:textId="77777777" w:rsidR="000A2B5D" w:rsidRPr="00884DD7" w:rsidRDefault="000A2B5D" w:rsidP="00A922DA">
            <w:pPr>
              <w:spacing w:after="0"/>
              <w:jc w:val="center"/>
              <w:rPr>
                <w:rFonts w:eastAsia="Times New Roman" w:cs="Calibri"/>
                <w:b/>
                <w:bCs/>
                <w:color w:val="000000"/>
                <w:sz w:val="17"/>
                <w:szCs w:val="17"/>
              </w:rPr>
            </w:pPr>
            <w:r w:rsidRPr="00884DD7">
              <w:rPr>
                <w:rFonts w:eastAsia="Times New Roman" w:cs="Calibri"/>
                <w:b/>
                <w:bCs/>
                <w:color w:val="000000"/>
                <w:sz w:val="17"/>
                <w:szCs w:val="17"/>
              </w:rPr>
              <w:t>THP ATRIUS</w:t>
            </w:r>
          </w:p>
        </w:tc>
        <w:tc>
          <w:tcPr>
            <w:tcW w:w="720" w:type="dxa"/>
            <w:shd w:val="clear" w:color="auto" w:fill="8EAADB" w:themeFill="accent1" w:themeFillTint="99"/>
            <w:vAlign w:val="center"/>
            <w:hideMark/>
          </w:tcPr>
          <w:p w14:paraId="73A5A36F" w14:textId="77777777" w:rsidR="000A2B5D" w:rsidRPr="00884DD7" w:rsidRDefault="000A2B5D" w:rsidP="00A922DA">
            <w:pPr>
              <w:spacing w:after="0"/>
              <w:jc w:val="center"/>
              <w:rPr>
                <w:rFonts w:eastAsia="Times New Roman" w:cs="Calibri"/>
                <w:b/>
                <w:bCs/>
                <w:color w:val="000000"/>
                <w:sz w:val="17"/>
                <w:szCs w:val="17"/>
              </w:rPr>
            </w:pPr>
            <w:r w:rsidRPr="00884DD7">
              <w:rPr>
                <w:rFonts w:eastAsia="Times New Roman" w:cs="Calibri"/>
                <w:b/>
                <w:bCs/>
                <w:color w:val="000000"/>
                <w:sz w:val="17"/>
                <w:szCs w:val="17"/>
              </w:rPr>
              <w:t>THP BIDCO</w:t>
            </w:r>
          </w:p>
        </w:tc>
        <w:tc>
          <w:tcPr>
            <w:tcW w:w="720" w:type="dxa"/>
            <w:shd w:val="clear" w:color="auto" w:fill="8EAADB" w:themeFill="accent1" w:themeFillTint="99"/>
            <w:vAlign w:val="center"/>
            <w:hideMark/>
          </w:tcPr>
          <w:p w14:paraId="347BD063" w14:textId="77777777" w:rsidR="000A2B5D" w:rsidRPr="00884DD7" w:rsidRDefault="000A2B5D" w:rsidP="00A922DA">
            <w:pPr>
              <w:spacing w:after="0"/>
              <w:jc w:val="center"/>
              <w:rPr>
                <w:rFonts w:eastAsia="Times New Roman" w:cs="Calibri"/>
                <w:b/>
                <w:bCs/>
                <w:color w:val="000000"/>
                <w:sz w:val="17"/>
                <w:szCs w:val="17"/>
              </w:rPr>
            </w:pPr>
            <w:r w:rsidRPr="00884DD7">
              <w:rPr>
                <w:rFonts w:eastAsia="Times New Roman" w:cs="Calibri"/>
                <w:b/>
                <w:bCs/>
                <w:color w:val="000000"/>
                <w:sz w:val="17"/>
                <w:szCs w:val="17"/>
              </w:rPr>
              <w:t>THP CHA</w:t>
            </w:r>
          </w:p>
        </w:tc>
        <w:tc>
          <w:tcPr>
            <w:tcW w:w="1080" w:type="dxa"/>
            <w:shd w:val="clear" w:color="auto" w:fill="8EAADB" w:themeFill="accent1" w:themeFillTint="99"/>
            <w:vAlign w:val="center"/>
            <w:hideMark/>
          </w:tcPr>
          <w:p w14:paraId="0CF63192" w14:textId="77777777" w:rsidR="000A2B5D" w:rsidRPr="00884DD7" w:rsidRDefault="000A2B5D" w:rsidP="00A922DA">
            <w:pPr>
              <w:spacing w:after="0"/>
              <w:jc w:val="center"/>
              <w:rPr>
                <w:rFonts w:eastAsia="Times New Roman" w:cs="Calibri"/>
                <w:b/>
                <w:bCs/>
                <w:color w:val="000000"/>
                <w:sz w:val="17"/>
                <w:szCs w:val="17"/>
              </w:rPr>
            </w:pPr>
            <w:r w:rsidRPr="00884DD7">
              <w:rPr>
                <w:rFonts w:eastAsia="Times New Roman" w:cs="Calibri"/>
                <w:b/>
                <w:bCs/>
                <w:color w:val="000000"/>
                <w:sz w:val="17"/>
                <w:szCs w:val="17"/>
              </w:rPr>
              <w:t>THP CHILDREN'S</w:t>
            </w:r>
          </w:p>
        </w:tc>
        <w:tc>
          <w:tcPr>
            <w:tcW w:w="720" w:type="dxa"/>
            <w:shd w:val="clear" w:color="auto" w:fill="8EAADB" w:themeFill="accent1" w:themeFillTint="99"/>
            <w:vAlign w:val="center"/>
            <w:hideMark/>
          </w:tcPr>
          <w:p w14:paraId="5BD86C14" w14:textId="77777777" w:rsidR="000A2B5D" w:rsidRPr="00884DD7" w:rsidRDefault="000A2B5D" w:rsidP="00A922DA">
            <w:pPr>
              <w:spacing w:after="0"/>
              <w:jc w:val="center"/>
              <w:rPr>
                <w:rFonts w:eastAsia="Times New Roman" w:cs="Calibri"/>
                <w:b/>
                <w:bCs/>
                <w:color w:val="000000"/>
                <w:sz w:val="17"/>
                <w:szCs w:val="17"/>
              </w:rPr>
            </w:pPr>
            <w:r w:rsidRPr="00884DD7">
              <w:rPr>
                <w:rFonts w:eastAsia="Times New Roman" w:cs="Calibri"/>
                <w:b/>
                <w:bCs/>
                <w:color w:val="000000"/>
                <w:sz w:val="17"/>
                <w:szCs w:val="17"/>
              </w:rPr>
              <w:t>BMC BACO</w:t>
            </w:r>
          </w:p>
        </w:tc>
        <w:tc>
          <w:tcPr>
            <w:tcW w:w="810" w:type="dxa"/>
            <w:shd w:val="clear" w:color="auto" w:fill="8EAADB" w:themeFill="accent1" w:themeFillTint="99"/>
            <w:vAlign w:val="center"/>
            <w:hideMark/>
          </w:tcPr>
          <w:p w14:paraId="18B72465" w14:textId="77777777" w:rsidR="000A2B5D" w:rsidRPr="00884DD7" w:rsidRDefault="000A2B5D" w:rsidP="00A922DA">
            <w:pPr>
              <w:spacing w:after="0"/>
              <w:jc w:val="center"/>
              <w:rPr>
                <w:rFonts w:eastAsia="Times New Roman" w:cs="Calibri"/>
                <w:b/>
                <w:bCs/>
                <w:color w:val="000000"/>
                <w:sz w:val="17"/>
                <w:szCs w:val="17"/>
              </w:rPr>
            </w:pPr>
            <w:r w:rsidRPr="00884DD7">
              <w:rPr>
                <w:rFonts w:eastAsia="Times New Roman" w:cs="Calibri"/>
                <w:b/>
                <w:bCs/>
                <w:color w:val="000000"/>
                <w:sz w:val="17"/>
                <w:szCs w:val="17"/>
              </w:rPr>
              <w:t>BMC MERCY</w:t>
            </w:r>
          </w:p>
        </w:tc>
        <w:tc>
          <w:tcPr>
            <w:tcW w:w="810" w:type="dxa"/>
            <w:shd w:val="clear" w:color="auto" w:fill="8EAADB" w:themeFill="accent1" w:themeFillTint="99"/>
            <w:vAlign w:val="center"/>
            <w:hideMark/>
          </w:tcPr>
          <w:p w14:paraId="44FBE419" w14:textId="77777777" w:rsidR="000A2B5D" w:rsidRPr="00884DD7" w:rsidRDefault="000A2B5D" w:rsidP="00A922DA">
            <w:pPr>
              <w:spacing w:after="0"/>
              <w:jc w:val="center"/>
              <w:rPr>
                <w:rFonts w:eastAsia="Times New Roman" w:cs="Calibri"/>
                <w:b/>
                <w:bCs/>
                <w:color w:val="000000"/>
                <w:sz w:val="17"/>
                <w:szCs w:val="17"/>
              </w:rPr>
            </w:pPr>
            <w:r w:rsidRPr="00884DD7">
              <w:rPr>
                <w:rFonts w:eastAsia="Times New Roman" w:cs="Calibri"/>
                <w:b/>
                <w:bCs/>
                <w:color w:val="000000"/>
                <w:sz w:val="17"/>
                <w:szCs w:val="17"/>
              </w:rPr>
              <w:t>BMC SIGN</w:t>
            </w:r>
          </w:p>
        </w:tc>
        <w:tc>
          <w:tcPr>
            <w:tcW w:w="810" w:type="dxa"/>
            <w:shd w:val="clear" w:color="auto" w:fill="8EAADB" w:themeFill="accent1" w:themeFillTint="99"/>
            <w:vAlign w:val="center"/>
            <w:hideMark/>
          </w:tcPr>
          <w:p w14:paraId="0E6A6FC6" w14:textId="77777777" w:rsidR="000A2B5D" w:rsidRPr="00884DD7" w:rsidRDefault="000A2B5D" w:rsidP="00A922DA">
            <w:pPr>
              <w:spacing w:after="0"/>
              <w:jc w:val="center"/>
              <w:rPr>
                <w:rFonts w:eastAsia="Times New Roman" w:cs="Calibri"/>
                <w:b/>
                <w:bCs/>
                <w:color w:val="000000"/>
                <w:sz w:val="17"/>
                <w:szCs w:val="17"/>
              </w:rPr>
            </w:pPr>
            <w:r w:rsidRPr="00884DD7">
              <w:rPr>
                <w:rFonts w:eastAsia="Times New Roman" w:cs="Calibri"/>
                <w:b/>
                <w:bCs/>
                <w:color w:val="000000"/>
                <w:sz w:val="17"/>
                <w:szCs w:val="17"/>
              </w:rPr>
              <w:t>BMC SCOAST</w:t>
            </w:r>
          </w:p>
        </w:tc>
        <w:tc>
          <w:tcPr>
            <w:tcW w:w="720" w:type="dxa"/>
            <w:shd w:val="clear" w:color="auto" w:fill="8EAADB" w:themeFill="accent1" w:themeFillTint="99"/>
            <w:vAlign w:val="center"/>
            <w:hideMark/>
          </w:tcPr>
          <w:p w14:paraId="244EA67E" w14:textId="77777777" w:rsidR="000A2B5D" w:rsidRPr="00884DD7" w:rsidRDefault="000A2B5D" w:rsidP="00A922DA">
            <w:pPr>
              <w:spacing w:after="0"/>
              <w:jc w:val="center"/>
              <w:rPr>
                <w:rFonts w:eastAsia="Times New Roman" w:cs="Calibri"/>
                <w:b/>
                <w:bCs/>
                <w:color w:val="000000"/>
                <w:sz w:val="17"/>
                <w:szCs w:val="17"/>
              </w:rPr>
            </w:pPr>
            <w:r w:rsidRPr="00884DD7">
              <w:rPr>
                <w:rFonts w:eastAsia="Times New Roman" w:cs="Calibri"/>
                <w:b/>
                <w:bCs/>
                <w:color w:val="000000"/>
                <w:sz w:val="17"/>
                <w:szCs w:val="17"/>
              </w:rPr>
              <w:t>C3</w:t>
            </w:r>
          </w:p>
        </w:tc>
        <w:tc>
          <w:tcPr>
            <w:tcW w:w="720" w:type="dxa"/>
            <w:shd w:val="clear" w:color="auto" w:fill="8EAADB" w:themeFill="accent1" w:themeFillTint="99"/>
            <w:vAlign w:val="center"/>
            <w:hideMark/>
          </w:tcPr>
          <w:p w14:paraId="78560603" w14:textId="77777777" w:rsidR="000A2B5D" w:rsidRPr="00884DD7" w:rsidRDefault="000A2B5D" w:rsidP="00A922DA">
            <w:pPr>
              <w:spacing w:after="0"/>
              <w:jc w:val="center"/>
              <w:rPr>
                <w:rFonts w:eastAsia="Times New Roman" w:cs="Calibri"/>
                <w:b/>
                <w:bCs/>
                <w:color w:val="000000"/>
                <w:sz w:val="17"/>
                <w:szCs w:val="17"/>
              </w:rPr>
            </w:pPr>
            <w:r w:rsidRPr="00884DD7">
              <w:rPr>
                <w:rFonts w:eastAsia="Times New Roman" w:cs="Calibri"/>
                <w:b/>
                <w:bCs/>
                <w:color w:val="000000"/>
                <w:sz w:val="17"/>
                <w:szCs w:val="17"/>
              </w:rPr>
              <w:t>MGB</w:t>
            </w:r>
          </w:p>
        </w:tc>
        <w:tc>
          <w:tcPr>
            <w:tcW w:w="990" w:type="dxa"/>
            <w:shd w:val="clear" w:color="auto" w:fill="8EAADB" w:themeFill="accent1" w:themeFillTint="99"/>
            <w:vAlign w:val="center"/>
            <w:hideMark/>
          </w:tcPr>
          <w:p w14:paraId="1731A3EB" w14:textId="77777777" w:rsidR="000A2B5D" w:rsidRPr="00884DD7" w:rsidRDefault="000A2B5D" w:rsidP="00A922DA">
            <w:pPr>
              <w:spacing w:after="0"/>
              <w:jc w:val="center"/>
              <w:rPr>
                <w:rFonts w:eastAsia="Times New Roman" w:cs="Calibri"/>
                <w:b/>
                <w:bCs/>
                <w:color w:val="000000"/>
                <w:sz w:val="17"/>
                <w:szCs w:val="17"/>
              </w:rPr>
            </w:pPr>
            <w:r w:rsidRPr="00884DD7">
              <w:rPr>
                <w:rFonts w:eastAsia="Times New Roman" w:cs="Calibri"/>
                <w:b/>
                <w:bCs/>
                <w:color w:val="000000"/>
                <w:sz w:val="17"/>
                <w:szCs w:val="17"/>
              </w:rPr>
              <w:t>STEWARD</w:t>
            </w:r>
          </w:p>
        </w:tc>
        <w:tc>
          <w:tcPr>
            <w:tcW w:w="720" w:type="dxa"/>
            <w:shd w:val="clear" w:color="auto" w:fill="8EAADB" w:themeFill="accent1" w:themeFillTint="99"/>
            <w:vAlign w:val="center"/>
            <w:hideMark/>
          </w:tcPr>
          <w:p w14:paraId="666A278A" w14:textId="77777777" w:rsidR="000A2B5D" w:rsidRPr="00884DD7" w:rsidRDefault="000A2B5D" w:rsidP="00A922DA">
            <w:pPr>
              <w:spacing w:after="0"/>
              <w:jc w:val="center"/>
              <w:rPr>
                <w:rFonts w:eastAsia="Times New Roman" w:cs="Calibri"/>
                <w:b/>
                <w:bCs/>
                <w:color w:val="000000"/>
                <w:sz w:val="17"/>
                <w:szCs w:val="17"/>
              </w:rPr>
            </w:pPr>
            <w:r w:rsidRPr="00884DD7">
              <w:rPr>
                <w:rFonts w:eastAsia="Times New Roman" w:cs="Calibri"/>
                <w:b/>
                <w:bCs/>
                <w:color w:val="000000"/>
                <w:sz w:val="17"/>
                <w:szCs w:val="17"/>
              </w:rPr>
              <w:t>LAHEY</w:t>
            </w:r>
          </w:p>
        </w:tc>
        <w:tc>
          <w:tcPr>
            <w:tcW w:w="720" w:type="dxa"/>
            <w:shd w:val="clear" w:color="auto" w:fill="2F5496" w:themeFill="accent1" w:themeFillShade="BF"/>
            <w:noWrap/>
            <w:vAlign w:val="center"/>
            <w:hideMark/>
          </w:tcPr>
          <w:p w14:paraId="117BC9AE" w14:textId="77777777" w:rsidR="000A2B5D" w:rsidRPr="00A54D21" w:rsidRDefault="000A2B5D" w:rsidP="00A922DA">
            <w:pPr>
              <w:spacing w:after="0"/>
              <w:jc w:val="center"/>
              <w:rPr>
                <w:rFonts w:eastAsia="Times New Roman" w:cs="Calibri"/>
                <w:b/>
                <w:bCs/>
                <w:color w:val="FFFFFF" w:themeColor="background1"/>
                <w:sz w:val="17"/>
                <w:szCs w:val="17"/>
                <w:highlight w:val="yellow"/>
              </w:rPr>
            </w:pPr>
            <w:r w:rsidRPr="00A04255">
              <w:rPr>
                <w:rFonts w:eastAsia="Times New Roman" w:cs="Calibri"/>
                <w:b/>
                <w:color w:val="FFFFFF" w:themeColor="background1"/>
                <w:sz w:val="17"/>
                <w:szCs w:val="17"/>
              </w:rPr>
              <w:t>MCO WM</w:t>
            </w:r>
          </w:p>
        </w:tc>
        <w:tc>
          <w:tcPr>
            <w:tcW w:w="720" w:type="dxa"/>
            <w:shd w:val="clear" w:color="auto" w:fill="2F5496" w:themeFill="accent1" w:themeFillShade="BF"/>
            <w:noWrap/>
            <w:vAlign w:val="center"/>
            <w:hideMark/>
          </w:tcPr>
          <w:p w14:paraId="54F4C4F1" w14:textId="77777777" w:rsidR="000A2B5D" w:rsidRPr="00A54D21" w:rsidRDefault="000A2B5D" w:rsidP="00A922DA">
            <w:pPr>
              <w:spacing w:after="0"/>
              <w:jc w:val="center"/>
              <w:rPr>
                <w:rFonts w:eastAsia="Times New Roman" w:cs="Calibri"/>
                <w:b/>
                <w:bCs/>
                <w:color w:val="FFFFFF" w:themeColor="background1"/>
                <w:sz w:val="17"/>
                <w:szCs w:val="17"/>
              </w:rPr>
            </w:pPr>
            <w:r w:rsidRPr="00A54D21">
              <w:rPr>
                <w:rFonts w:eastAsia="Times New Roman" w:cs="Calibri"/>
                <w:b/>
                <w:bCs/>
                <w:color w:val="FFFFFF" w:themeColor="background1"/>
                <w:sz w:val="17"/>
                <w:szCs w:val="17"/>
              </w:rPr>
              <w:t>BMC MCO</w:t>
            </w:r>
          </w:p>
        </w:tc>
        <w:tc>
          <w:tcPr>
            <w:tcW w:w="720" w:type="dxa"/>
            <w:shd w:val="clear" w:color="auto" w:fill="2F5496" w:themeFill="accent1" w:themeFillShade="BF"/>
            <w:noWrap/>
            <w:vAlign w:val="center"/>
            <w:hideMark/>
          </w:tcPr>
          <w:p w14:paraId="4D343C40" w14:textId="77777777" w:rsidR="000A2B5D" w:rsidRPr="00A54D21" w:rsidRDefault="000A2B5D" w:rsidP="00A922DA">
            <w:pPr>
              <w:spacing w:after="0"/>
              <w:jc w:val="center"/>
              <w:rPr>
                <w:rFonts w:eastAsia="Times New Roman" w:cs="Calibri"/>
                <w:b/>
                <w:bCs/>
                <w:color w:val="FFFFFF" w:themeColor="background1"/>
                <w:sz w:val="17"/>
                <w:szCs w:val="17"/>
              </w:rPr>
            </w:pPr>
            <w:r w:rsidRPr="00A54D21">
              <w:rPr>
                <w:rFonts w:eastAsia="Times New Roman" w:cs="Calibri"/>
                <w:b/>
                <w:bCs/>
                <w:color w:val="FFFFFF" w:themeColor="background1"/>
                <w:sz w:val="17"/>
                <w:szCs w:val="17"/>
              </w:rPr>
              <w:t>T</w:t>
            </w:r>
            <w:r>
              <w:rPr>
                <w:rFonts w:eastAsia="Times New Roman" w:cs="Calibri"/>
                <w:b/>
                <w:bCs/>
                <w:color w:val="FFFFFF" w:themeColor="background1"/>
                <w:sz w:val="17"/>
                <w:szCs w:val="17"/>
              </w:rPr>
              <w:t>HP</w:t>
            </w:r>
            <w:r w:rsidRPr="00A54D21">
              <w:rPr>
                <w:rFonts w:eastAsia="Times New Roman" w:cs="Calibri"/>
                <w:b/>
                <w:bCs/>
                <w:color w:val="FFFFFF" w:themeColor="background1"/>
                <w:sz w:val="17"/>
                <w:szCs w:val="17"/>
              </w:rPr>
              <w:t xml:space="preserve"> MCO</w:t>
            </w:r>
          </w:p>
        </w:tc>
      </w:tr>
      <w:tr w:rsidR="00795B25" w:rsidRPr="009520C8" w14:paraId="5933133B" w14:textId="77777777" w:rsidTr="44871088">
        <w:trPr>
          <w:trHeight w:val="300"/>
        </w:trPr>
        <w:tc>
          <w:tcPr>
            <w:tcW w:w="810" w:type="dxa"/>
            <w:shd w:val="clear" w:color="auto" w:fill="auto"/>
            <w:hideMark/>
          </w:tcPr>
          <w:p w14:paraId="375283CA" w14:textId="77777777" w:rsidR="00795B25" w:rsidRPr="008D1B70" w:rsidRDefault="00795B25" w:rsidP="00795B25">
            <w:pPr>
              <w:spacing w:after="0"/>
              <w:jc w:val="center"/>
              <w:rPr>
                <w:rFonts w:eastAsia="Times New Roman" w:cs="Calibri"/>
                <w:sz w:val="16"/>
                <w:szCs w:val="16"/>
              </w:rPr>
            </w:pPr>
            <w:r w:rsidRPr="008D1B70">
              <w:rPr>
                <w:rFonts w:eastAsia="Times New Roman" w:cs="Calibri"/>
                <w:sz w:val="16"/>
                <w:szCs w:val="16"/>
              </w:rPr>
              <w:t>CIS</w:t>
            </w:r>
          </w:p>
        </w:tc>
        <w:tc>
          <w:tcPr>
            <w:tcW w:w="2880" w:type="dxa"/>
            <w:shd w:val="clear" w:color="auto" w:fill="auto"/>
            <w:hideMark/>
          </w:tcPr>
          <w:p w14:paraId="7396B22C" w14:textId="77777777" w:rsidR="00795B25" w:rsidRPr="00884DD7" w:rsidRDefault="00795B25" w:rsidP="00795B25">
            <w:pPr>
              <w:spacing w:after="0"/>
              <w:rPr>
                <w:rFonts w:eastAsia="Times New Roman" w:cs="Calibri"/>
                <w:sz w:val="16"/>
                <w:szCs w:val="16"/>
              </w:rPr>
            </w:pPr>
            <w:r w:rsidRPr="00884DD7">
              <w:rPr>
                <w:rFonts w:eastAsia="Times New Roman" w:cs="Calibri"/>
                <w:sz w:val="16"/>
                <w:szCs w:val="16"/>
              </w:rPr>
              <w:t>Childhood Immunization Status (combo 10)</w:t>
            </w:r>
          </w:p>
        </w:tc>
        <w:tc>
          <w:tcPr>
            <w:tcW w:w="810" w:type="dxa"/>
            <w:shd w:val="clear" w:color="auto" w:fill="auto"/>
            <w:noWrap/>
            <w:vAlign w:val="center"/>
          </w:tcPr>
          <w:p w14:paraId="773E415C" w14:textId="63745B7D" w:rsidR="00795B25" w:rsidRPr="00D81BAB" w:rsidRDefault="009006F6" w:rsidP="00795B25">
            <w:pPr>
              <w:spacing w:after="0"/>
              <w:jc w:val="center"/>
              <w:rPr>
                <w:rFonts w:eastAsia="Times New Roman" w:cs="Calibri"/>
                <w:color w:val="000000"/>
                <w:sz w:val="16"/>
                <w:szCs w:val="16"/>
              </w:rPr>
            </w:pPr>
            <w:r w:rsidRPr="00D81BAB">
              <w:rPr>
                <w:rFonts w:eastAsia="Times New Roman" w:cs="Calibri"/>
                <w:color w:val="000000"/>
                <w:sz w:val="16"/>
                <w:szCs w:val="16"/>
              </w:rPr>
              <w:t>52.</w:t>
            </w:r>
            <w:r w:rsidR="00D81BAB" w:rsidRPr="00D81BAB">
              <w:rPr>
                <w:rFonts w:eastAsia="Times New Roman" w:cs="Calibri"/>
                <w:color w:val="000000"/>
                <w:sz w:val="16"/>
                <w:szCs w:val="16"/>
              </w:rPr>
              <w:t>5%</w:t>
            </w:r>
          </w:p>
        </w:tc>
        <w:tc>
          <w:tcPr>
            <w:tcW w:w="720" w:type="dxa"/>
            <w:shd w:val="clear" w:color="auto" w:fill="auto"/>
            <w:noWrap/>
            <w:vAlign w:val="center"/>
          </w:tcPr>
          <w:p w14:paraId="2A5E5E89" w14:textId="7DAD0617" w:rsidR="00795B25" w:rsidRPr="009520C8" w:rsidRDefault="00795B25" w:rsidP="00795B25">
            <w:pPr>
              <w:spacing w:after="0"/>
              <w:jc w:val="center"/>
              <w:rPr>
                <w:rFonts w:eastAsia="Times New Roman" w:cs="Calibri"/>
                <w:color w:val="000000"/>
                <w:sz w:val="18"/>
                <w:szCs w:val="18"/>
              </w:rPr>
            </w:pPr>
            <w:r w:rsidRPr="51BBFDA5">
              <w:rPr>
                <w:rFonts w:eastAsia="Times New Roman" w:cs="Calibri"/>
                <w:color w:val="000000" w:themeColor="text1"/>
                <w:sz w:val="16"/>
                <w:szCs w:val="16"/>
              </w:rPr>
              <w:t>45.1%</w:t>
            </w:r>
          </w:p>
        </w:tc>
        <w:tc>
          <w:tcPr>
            <w:tcW w:w="720" w:type="dxa"/>
            <w:shd w:val="clear" w:color="auto" w:fill="auto"/>
            <w:noWrap/>
            <w:vAlign w:val="center"/>
          </w:tcPr>
          <w:p w14:paraId="015D67D8" w14:textId="71CF9371" w:rsidR="00795B25" w:rsidRPr="009520C8" w:rsidRDefault="00795B25" w:rsidP="00795B25">
            <w:pPr>
              <w:spacing w:after="0"/>
              <w:jc w:val="center"/>
              <w:rPr>
                <w:rFonts w:eastAsia="Times New Roman" w:cs="Calibri"/>
                <w:color w:val="000000"/>
                <w:sz w:val="18"/>
                <w:szCs w:val="18"/>
              </w:rPr>
            </w:pPr>
            <w:r w:rsidRPr="49BF56E5">
              <w:rPr>
                <w:rFonts w:eastAsia="Times New Roman" w:cs="Calibri"/>
                <w:color w:val="000000" w:themeColor="text1"/>
                <w:sz w:val="16"/>
                <w:szCs w:val="16"/>
              </w:rPr>
              <w:t>60.4%</w:t>
            </w:r>
          </w:p>
        </w:tc>
        <w:tc>
          <w:tcPr>
            <w:tcW w:w="720" w:type="dxa"/>
            <w:shd w:val="clear" w:color="auto" w:fill="auto"/>
            <w:noWrap/>
            <w:vAlign w:val="center"/>
          </w:tcPr>
          <w:p w14:paraId="7765742D" w14:textId="43585641" w:rsidR="00795B25" w:rsidRPr="009520C8" w:rsidRDefault="00795B25" w:rsidP="00795B25">
            <w:pPr>
              <w:spacing w:after="0"/>
              <w:jc w:val="center"/>
              <w:rPr>
                <w:rFonts w:eastAsia="Times New Roman" w:cs="Calibri"/>
                <w:color w:val="000000"/>
                <w:sz w:val="18"/>
                <w:szCs w:val="18"/>
              </w:rPr>
            </w:pPr>
            <w:r w:rsidRPr="49BF56E5">
              <w:rPr>
                <w:rFonts w:eastAsia="Times New Roman" w:cs="Calibri"/>
                <w:color w:val="000000" w:themeColor="text1"/>
                <w:sz w:val="16"/>
                <w:szCs w:val="16"/>
              </w:rPr>
              <w:t>49.4%</w:t>
            </w:r>
          </w:p>
        </w:tc>
        <w:tc>
          <w:tcPr>
            <w:tcW w:w="720" w:type="dxa"/>
            <w:shd w:val="clear" w:color="auto" w:fill="auto"/>
            <w:noWrap/>
            <w:vAlign w:val="center"/>
          </w:tcPr>
          <w:p w14:paraId="0A26D0B9" w14:textId="2EF1CD5D" w:rsidR="00795B25" w:rsidRPr="009520C8" w:rsidRDefault="00795B25" w:rsidP="00795B25">
            <w:pPr>
              <w:spacing w:after="0"/>
              <w:jc w:val="center"/>
              <w:rPr>
                <w:rFonts w:eastAsia="Times New Roman" w:cs="Calibri"/>
                <w:color w:val="000000"/>
                <w:sz w:val="18"/>
                <w:szCs w:val="18"/>
              </w:rPr>
            </w:pPr>
            <w:r w:rsidRPr="49BF56E5">
              <w:rPr>
                <w:rFonts w:eastAsia="Times New Roman" w:cs="Calibri"/>
                <w:color w:val="000000" w:themeColor="text1"/>
                <w:sz w:val="16"/>
                <w:szCs w:val="16"/>
              </w:rPr>
              <w:t>36.0%</w:t>
            </w:r>
          </w:p>
        </w:tc>
        <w:tc>
          <w:tcPr>
            <w:tcW w:w="720" w:type="dxa"/>
            <w:shd w:val="clear" w:color="auto" w:fill="auto"/>
            <w:noWrap/>
            <w:vAlign w:val="center"/>
          </w:tcPr>
          <w:p w14:paraId="0E21F74B" w14:textId="0D6022C8" w:rsidR="00795B25" w:rsidRPr="009520C8" w:rsidRDefault="00795B25" w:rsidP="00795B25">
            <w:pPr>
              <w:spacing w:after="0"/>
              <w:jc w:val="center"/>
              <w:rPr>
                <w:rFonts w:eastAsia="Times New Roman" w:cs="Calibri"/>
                <w:color w:val="000000"/>
                <w:sz w:val="18"/>
                <w:szCs w:val="18"/>
              </w:rPr>
            </w:pPr>
            <w:r w:rsidRPr="49BF56E5">
              <w:rPr>
                <w:rFonts w:eastAsia="Times New Roman" w:cs="Calibri"/>
                <w:color w:val="000000" w:themeColor="text1"/>
                <w:sz w:val="16"/>
                <w:szCs w:val="16"/>
              </w:rPr>
              <w:t>33.1%</w:t>
            </w:r>
          </w:p>
        </w:tc>
        <w:tc>
          <w:tcPr>
            <w:tcW w:w="810" w:type="dxa"/>
            <w:shd w:val="clear" w:color="auto" w:fill="auto"/>
            <w:noWrap/>
            <w:vAlign w:val="center"/>
          </w:tcPr>
          <w:p w14:paraId="4818A08F" w14:textId="3C231CC3" w:rsidR="00795B25" w:rsidRPr="009520C8" w:rsidRDefault="00795B25" w:rsidP="00795B25">
            <w:pPr>
              <w:spacing w:after="0"/>
              <w:jc w:val="center"/>
              <w:rPr>
                <w:rFonts w:eastAsia="Times New Roman" w:cs="Calibri"/>
                <w:color w:val="000000"/>
                <w:sz w:val="18"/>
                <w:szCs w:val="18"/>
              </w:rPr>
            </w:pPr>
            <w:r w:rsidRPr="49BF56E5">
              <w:rPr>
                <w:rFonts w:eastAsia="Times New Roman" w:cs="Calibri"/>
                <w:color w:val="000000" w:themeColor="text1"/>
                <w:sz w:val="16"/>
                <w:szCs w:val="16"/>
              </w:rPr>
              <w:t>56.2%</w:t>
            </w:r>
          </w:p>
        </w:tc>
        <w:tc>
          <w:tcPr>
            <w:tcW w:w="720" w:type="dxa"/>
            <w:shd w:val="clear" w:color="auto" w:fill="auto"/>
            <w:noWrap/>
            <w:vAlign w:val="center"/>
          </w:tcPr>
          <w:p w14:paraId="73D45D25" w14:textId="2A1330F8" w:rsidR="00795B25" w:rsidRPr="009520C8" w:rsidRDefault="00795B25" w:rsidP="00795B25">
            <w:pPr>
              <w:spacing w:after="0"/>
              <w:jc w:val="center"/>
              <w:rPr>
                <w:rFonts w:eastAsia="Times New Roman" w:cs="Calibri"/>
                <w:color w:val="000000"/>
                <w:sz w:val="18"/>
                <w:szCs w:val="18"/>
              </w:rPr>
            </w:pPr>
            <w:r w:rsidRPr="49BF56E5">
              <w:rPr>
                <w:rFonts w:eastAsia="Times New Roman" w:cs="Calibri"/>
                <w:color w:val="000000" w:themeColor="text1"/>
                <w:sz w:val="16"/>
                <w:szCs w:val="16"/>
              </w:rPr>
              <w:t>55.7%</w:t>
            </w:r>
          </w:p>
        </w:tc>
        <w:tc>
          <w:tcPr>
            <w:tcW w:w="720" w:type="dxa"/>
            <w:shd w:val="clear" w:color="auto" w:fill="auto"/>
            <w:noWrap/>
            <w:vAlign w:val="center"/>
          </w:tcPr>
          <w:p w14:paraId="3506546B" w14:textId="3D4A628D" w:rsidR="00795B25" w:rsidRPr="009520C8" w:rsidRDefault="00795B25" w:rsidP="00795B25">
            <w:pPr>
              <w:spacing w:after="0"/>
              <w:jc w:val="center"/>
              <w:rPr>
                <w:rFonts w:eastAsia="Times New Roman" w:cs="Calibri"/>
                <w:color w:val="000000"/>
                <w:sz w:val="18"/>
                <w:szCs w:val="18"/>
              </w:rPr>
            </w:pPr>
            <w:r w:rsidRPr="49BF56E5">
              <w:rPr>
                <w:rFonts w:eastAsia="Times New Roman" w:cs="Calibri"/>
                <w:color w:val="000000" w:themeColor="text1"/>
                <w:sz w:val="16"/>
                <w:szCs w:val="16"/>
              </w:rPr>
              <w:t>56.1%</w:t>
            </w:r>
          </w:p>
        </w:tc>
        <w:tc>
          <w:tcPr>
            <w:tcW w:w="1080" w:type="dxa"/>
            <w:shd w:val="clear" w:color="auto" w:fill="auto"/>
            <w:noWrap/>
            <w:vAlign w:val="center"/>
          </w:tcPr>
          <w:p w14:paraId="4EE17000" w14:textId="69B3877F" w:rsidR="00795B25" w:rsidRPr="009520C8" w:rsidRDefault="00795B25" w:rsidP="00795B25">
            <w:pPr>
              <w:spacing w:after="0"/>
              <w:jc w:val="center"/>
              <w:rPr>
                <w:rFonts w:eastAsia="Times New Roman" w:cs="Calibri"/>
                <w:color w:val="000000"/>
                <w:sz w:val="18"/>
                <w:szCs w:val="18"/>
              </w:rPr>
            </w:pPr>
            <w:r w:rsidRPr="49BF56E5">
              <w:rPr>
                <w:rFonts w:eastAsia="Times New Roman" w:cs="Calibri"/>
                <w:color w:val="000000" w:themeColor="text1"/>
                <w:sz w:val="16"/>
                <w:szCs w:val="16"/>
              </w:rPr>
              <w:t>56.1%</w:t>
            </w:r>
          </w:p>
        </w:tc>
        <w:tc>
          <w:tcPr>
            <w:tcW w:w="720" w:type="dxa"/>
            <w:shd w:val="clear" w:color="auto" w:fill="auto"/>
            <w:noWrap/>
            <w:vAlign w:val="center"/>
          </w:tcPr>
          <w:p w14:paraId="399295C1" w14:textId="27620FE5" w:rsidR="00795B25" w:rsidRPr="009520C8" w:rsidRDefault="00795B25" w:rsidP="00795B25">
            <w:pPr>
              <w:spacing w:after="0"/>
              <w:jc w:val="center"/>
              <w:rPr>
                <w:rFonts w:eastAsia="Times New Roman" w:cs="Calibri"/>
                <w:color w:val="000000"/>
                <w:sz w:val="18"/>
                <w:szCs w:val="18"/>
              </w:rPr>
            </w:pPr>
            <w:r w:rsidRPr="49BF56E5">
              <w:rPr>
                <w:rFonts w:eastAsia="Times New Roman" w:cs="Calibri"/>
                <w:color w:val="000000" w:themeColor="text1"/>
                <w:sz w:val="16"/>
                <w:szCs w:val="16"/>
              </w:rPr>
              <w:t>53.6%</w:t>
            </w:r>
          </w:p>
        </w:tc>
        <w:tc>
          <w:tcPr>
            <w:tcW w:w="810" w:type="dxa"/>
            <w:shd w:val="clear" w:color="auto" w:fill="auto"/>
            <w:noWrap/>
            <w:vAlign w:val="center"/>
          </w:tcPr>
          <w:p w14:paraId="4787DA37" w14:textId="78088839" w:rsidR="00795B25" w:rsidRPr="009520C8" w:rsidRDefault="00795B25" w:rsidP="00795B25">
            <w:pPr>
              <w:spacing w:after="0"/>
              <w:jc w:val="center"/>
              <w:rPr>
                <w:rFonts w:eastAsia="Times New Roman" w:cs="Calibri"/>
                <w:color w:val="000000"/>
                <w:sz w:val="18"/>
                <w:szCs w:val="18"/>
              </w:rPr>
            </w:pPr>
            <w:r w:rsidRPr="49BF56E5">
              <w:rPr>
                <w:rFonts w:eastAsia="Times New Roman" w:cs="Calibri"/>
                <w:color w:val="000000" w:themeColor="text1"/>
                <w:sz w:val="16"/>
                <w:szCs w:val="16"/>
              </w:rPr>
              <w:t>36.5%</w:t>
            </w:r>
          </w:p>
        </w:tc>
        <w:tc>
          <w:tcPr>
            <w:tcW w:w="810" w:type="dxa"/>
            <w:shd w:val="clear" w:color="auto" w:fill="auto"/>
            <w:noWrap/>
            <w:vAlign w:val="center"/>
          </w:tcPr>
          <w:p w14:paraId="41CB464C" w14:textId="7A5EF035" w:rsidR="00795B25" w:rsidRPr="009520C8" w:rsidRDefault="00795B25" w:rsidP="00795B25">
            <w:pPr>
              <w:spacing w:after="0"/>
              <w:jc w:val="center"/>
              <w:rPr>
                <w:rFonts w:eastAsia="Times New Roman" w:cs="Calibri"/>
                <w:color w:val="000000"/>
                <w:sz w:val="18"/>
                <w:szCs w:val="18"/>
              </w:rPr>
            </w:pPr>
            <w:r w:rsidRPr="38BEEFE6">
              <w:rPr>
                <w:rFonts w:eastAsia="Times New Roman" w:cs="Calibri"/>
                <w:color w:val="000000" w:themeColor="text1"/>
                <w:sz w:val="16"/>
                <w:szCs w:val="16"/>
              </w:rPr>
              <w:t>49.3%</w:t>
            </w:r>
          </w:p>
        </w:tc>
        <w:tc>
          <w:tcPr>
            <w:tcW w:w="810" w:type="dxa"/>
            <w:shd w:val="clear" w:color="auto" w:fill="auto"/>
            <w:noWrap/>
            <w:vAlign w:val="center"/>
          </w:tcPr>
          <w:p w14:paraId="2E54B50A" w14:textId="27322B0D" w:rsidR="00795B25" w:rsidRPr="009520C8" w:rsidRDefault="00795B25" w:rsidP="00795B25">
            <w:pPr>
              <w:spacing w:after="0"/>
              <w:jc w:val="center"/>
              <w:rPr>
                <w:rFonts w:eastAsia="Times New Roman" w:cs="Calibri"/>
                <w:color w:val="000000"/>
                <w:sz w:val="18"/>
                <w:szCs w:val="18"/>
              </w:rPr>
            </w:pPr>
            <w:r w:rsidRPr="38BEEFE6">
              <w:rPr>
                <w:rFonts w:eastAsia="Times New Roman" w:cs="Calibri"/>
                <w:color w:val="000000" w:themeColor="text1"/>
                <w:sz w:val="16"/>
                <w:szCs w:val="16"/>
              </w:rPr>
              <w:t>34.3%</w:t>
            </w:r>
          </w:p>
        </w:tc>
        <w:tc>
          <w:tcPr>
            <w:tcW w:w="720" w:type="dxa"/>
            <w:shd w:val="clear" w:color="auto" w:fill="auto"/>
            <w:noWrap/>
            <w:vAlign w:val="center"/>
          </w:tcPr>
          <w:p w14:paraId="02B21BE6" w14:textId="4AAA46B2" w:rsidR="00795B25" w:rsidRPr="009520C8" w:rsidRDefault="00795B25" w:rsidP="00795B25">
            <w:pPr>
              <w:spacing w:after="0"/>
              <w:jc w:val="center"/>
              <w:rPr>
                <w:rFonts w:eastAsia="Times New Roman" w:cs="Calibri"/>
                <w:color w:val="000000"/>
                <w:sz w:val="18"/>
                <w:szCs w:val="18"/>
              </w:rPr>
            </w:pPr>
            <w:r w:rsidRPr="38BEEFE6">
              <w:rPr>
                <w:rFonts w:eastAsia="Times New Roman" w:cs="Calibri"/>
                <w:color w:val="000000" w:themeColor="text1"/>
                <w:sz w:val="16"/>
                <w:szCs w:val="16"/>
              </w:rPr>
              <w:t>58.2%</w:t>
            </w:r>
          </w:p>
        </w:tc>
        <w:tc>
          <w:tcPr>
            <w:tcW w:w="720" w:type="dxa"/>
            <w:shd w:val="clear" w:color="auto" w:fill="auto"/>
            <w:noWrap/>
            <w:vAlign w:val="center"/>
          </w:tcPr>
          <w:p w14:paraId="05E5032D" w14:textId="43D8E391" w:rsidR="00795B25" w:rsidRPr="009520C8" w:rsidRDefault="4501D858" w:rsidP="79FF21F0">
            <w:pPr>
              <w:spacing w:after="0"/>
              <w:jc w:val="center"/>
              <w:rPr>
                <w:rFonts w:eastAsia="Times New Roman" w:cs="Calibri"/>
                <w:color w:val="000000"/>
                <w:sz w:val="16"/>
                <w:szCs w:val="16"/>
              </w:rPr>
            </w:pPr>
            <w:r w:rsidRPr="79FF21F0">
              <w:rPr>
                <w:rFonts w:eastAsia="Times New Roman" w:cs="Calibri"/>
                <w:color w:val="000000" w:themeColor="text1"/>
                <w:sz w:val="16"/>
                <w:szCs w:val="16"/>
              </w:rPr>
              <w:t>54.6%</w:t>
            </w:r>
          </w:p>
        </w:tc>
        <w:tc>
          <w:tcPr>
            <w:tcW w:w="990" w:type="dxa"/>
            <w:shd w:val="clear" w:color="auto" w:fill="auto"/>
            <w:noWrap/>
            <w:vAlign w:val="center"/>
          </w:tcPr>
          <w:p w14:paraId="3DB786CE" w14:textId="6BB6CED7" w:rsidR="00795B25" w:rsidRPr="009520C8" w:rsidRDefault="4501D858" w:rsidP="79FF21F0">
            <w:pPr>
              <w:spacing w:after="0"/>
              <w:jc w:val="center"/>
              <w:rPr>
                <w:rFonts w:eastAsia="Times New Roman" w:cs="Calibri"/>
                <w:color w:val="000000"/>
                <w:sz w:val="16"/>
                <w:szCs w:val="16"/>
              </w:rPr>
            </w:pPr>
            <w:r w:rsidRPr="79FF21F0">
              <w:rPr>
                <w:rFonts w:eastAsia="Times New Roman" w:cs="Calibri"/>
                <w:color w:val="000000" w:themeColor="text1"/>
                <w:sz w:val="16"/>
                <w:szCs w:val="16"/>
              </w:rPr>
              <w:t>48.3%</w:t>
            </w:r>
          </w:p>
        </w:tc>
        <w:tc>
          <w:tcPr>
            <w:tcW w:w="720" w:type="dxa"/>
            <w:shd w:val="clear" w:color="auto" w:fill="auto"/>
            <w:noWrap/>
            <w:vAlign w:val="center"/>
          </w:tcPr>
          <w:p w14:paraId="44BB52CF" w14:textId="64F90658" w:rsidR="00795B25" w:rsidRPr="009520C8" w:rsidRDefault="4501D858" w:rsidP="79FF21F0">
            <w:pPr>
              <w:spacing w:after="0"/>
              <w:jc w:val="center"/>
              <w:rPr>
                <w:rFonts w:eastAsia="Times New Roman" w:cs="Calibri"/>
                <w:color w:val="000000"/>
                <w:sz w:val="16"/>
                <w:szCs w:val="16"/>
              </w:rPr>
            </w:pPr>
            <w:r w:rsidRPr="79FF21F0">
              <w:rPr>
                <w:rFonts w:eastAsia="Times New Roman" w:cs="Calibri"/>
                <w:color w:val="000000" w:themeColor="text1"/>
                <w:sz w:val="16"/>
                <w:szCs w:val="16"/>
              </w:rPr>
              <w:t xml:space="preserve"> NA</w:t>
            </w:r>
          </w:p>
        </w:tc>
        <w:tc>
          <w:tcPr>
            <w:tcW w:w="720" w:type="dxa"/>
            <w:shd w:val="clear" w:color="auto" w:fill="auto"/>
            <w:noWrap/>
            <w:vAlign w:val="center"/>
          </w:tcPr>
          <w:p w14:paraId="6164B2C7" w14:textId="4DE4180B" w:rsidR="00795B25" w:rsidRPr="00C93A92" w:rsidRDefault="00C93A92" w:rsidP="00795B25">
            <w:pPr>
              <w:spacing w:after="0"/>
              <w:jc w:val="center"/>
              <w:rPr>
                <w:rFonts w:eastAsia="Times New Roman" w:cs="Calibri"/>
                <w:color w:val="000000"/>
                <w:sz w:val="16"/>
                <w:szCs w:val="16"/>
              </w:rPr>
            </w:pPr>
            <w:r w:rsidRPr="00C93A92">
              <w:rPr>
                <w:rFonts w:eastAsia="Times New Roman" w:cs="Calibri"/>
                <w:color w:val="000000"/>
                <w:sz w:val="16"/>
                <w:szCs w:val="16"/>
              </w:rPr>
              <w:t>32.7%</w:t>
            </w:r>
          </w:p>
        </w:tc>
        <w:tc>
          <w:tcPr>
            <w:tcW w:w="720" w:type="dxa"/>
            <w:shd w:val="clear" w:color="auto" w:fill="auto"/>
            <w:noWrap/>
            <w:vAlign w:val="center"/>
            <w:hideMark/>
          </w:tcPr>
          <w:p w14:paraId="6F2B657D" w14:textId="7539D470" w:rsidR="00795B25" w:rsidRPr="00C93A92" w:rsidRDefault="002147D3" w:rsidP="00795B25">
            <w:pPr>
              <w:spacing w:after="0"/>
              <w:jc w:val="center"/>
              <w:rPr>
                <w:rFonts w:eastAsia="Times New Roman" w:cs="Calibri"/>
                <w:color w:val="000000"/>
                <w:sz w:val="16"/>
                <w:szCs w:val="16"/>
              </w:rPr>
            </w:pPr>
            <w:r>
              <w:rPr>
                <w:rFonts w:eastAsia="Times New Roman" w:cs="Calibri"/>
                <w:color w:val="000000" w:themeColor="text1"/>
                <w:sz w:val="16"/>
                <w:szCs w:val="16"/>
              </w:rPr>
              <w:t>32.6%</w:t>
            </w:r>
            <w:r w:rsidR="4527B526" w:rsidRPr="00C93A92">
              <w:rPr>
                <w:rFonts w:eastAsia="Times New Roman" w:cs="Calibri"/>
                <w:color w:val="000000" w:themeColor="text1"/>
                <w:sz w:val="16"/>
                <w:szCs w:val="16"/>
              </w:rPr>
              <w:t xml:space="preserve">  </w:t>
            </w:r>
          </w:p>
        </w:tc>
        <w:tc>
          <w:tcPr>
            <w:tcW w:w="720" w:type="dxa"/>
            <w:shd w:val="clear" w:color="auto" w:fill="auto"/>
            <w:noWrap/>
            <w:vAlign w:val="center"/>
            <w:hideMark/>
          </w:tcPr>
          <w:p w14:paraId="6EE16D82" w14:textId="0D6E9BA2" w:rsidR="00795B25" w:rsidRPr="00C93A92" w:rsidRDefault="002147D3" w:rsidP="00795B25">
            <w:pPr>
              <w:spacing w:after="0"/>
              <w:jc w:val="center"/>
              <w:rPr>
                <w:rFonts w:eastAsia="Times New Roman" w:cs="Calibri"/>
                <w:color w:val="000000"/>
                <w:sz w:val="16"/>
                <w:szCs w:val="16"/>
              </w:rPr>
            </w:pPr>
            <w:r>
              <w:rPr>
                <w:rFonts w:eastAsia="Times New Roman" w:cs="Calibri"/>
                <w:color w:val="000000" w:themeColor="text1"/>
                <w:sz w:val="16"/>
                <w:szCs w:val="16"/>
              </w:rPr>
              <w:t>32.8%</w:t>
            </w:r>
            <w:r w:rsidR="4527B526" w:rsidRPr="00C93A92">
              <w:rPr>
                <w:rFonts w:eastAsia="Times New Roman" w:cs="Calibri"/>
                <w:color w:val="000000" w:themeColor="text1"/>
                <w:sz w:val="16"/>
                <w:szCs w:val="16"/>
              </w:rPr>
              <w:t xml:space="preserve">  </w:t>
            </w:r>
          </w:p>
        </w:tc>
      </w:tr>
      <w:tr w:rsidR="00795B25" w:rsidRPr="009520C8" w14:paraId="50C1F6A5" w14:textId="77777777" w:rsidTr="44871088">
        <w:trPr>
          <w:trHeight w:val="290"/>
        </w:trPr>
        <w:tc>
          <w:tcPr>
            <w:tcW w:w="810" w:type="dxa"/>
            <w:shd w:val="clear" w:color="auto" w:fill="F2F2F2" w:themeFill="background1" w:themeFillShade="F2"/>
            <w:noWrap/>
            <w:vAlign w:val="bottom"/>
            <w:hideMark/>
          </w:tcPr>
          <w:p w14:paraId="177593C8" w14:textId="77777777" w:rsidR="00795B25" w:rsidRPr="008D1B70" w:rsidRDefault="00795B25" w:rsidP="00795B25">
            <w:pPr>
              <w:jc w:val="center"/>
              <w:rPr>
                <w:rFonts w:eastAsia="Times New Roman" w:cs="Calibri"/>
                <w:sz w:val="16"/>
                <w:szCs w:val="16"/>
              </w:rPr>
            </w:pPr>
            <w:r w:rsidRPr="008D1B70">
              <w:rPr>
                <w:rFonts w:eastAsia="Times New Roman" w:cs="Calibri"/>
                <w:sz w:val="16"/>
                <w:szCs w:val="16"/>
              </w:rPr>
              <w:t>PPC</w:t>
            </w:r>
          </w:p>
        </w:tc>
        <w:tc>
          <w:tcPr>
            <w:tcW w:w="2880" w:type="dxa"/>
            <w:shd w:val="clear" w:color="auto" w:fill="F2F2F2" w:themeFill="background1" w:themeFillShade="F2"/>
            <w:hideMark/>
          </w:tcPr>
          <w:p w14:paraId="14B30EDD" w14:textId="77777777" w:rsidR="00795B25" w:rsidRPr="00884DD7" w:rsidRDefault="00795B25" w:rsidP="00795B25">
            <w:pPr>
              <w:spacing w:after="0"/>
              <w:rPr>
                <w:rFonts w:eastAsia="Times New Roman" w:cs="Calibri"/>
                <w:sz w:val="16"/>
                <w:szCs w:val="16"/>
              </w:rPr>
            </w:pPr>
            <w:r w:rsidRPr="00884DD7">
              <w:rPr>
                <w:rFonts w:eastAsia="Times New Roman" w:cs="Calibri"/>
                <w:sz w:val="16"/>
                <w:szCs w:val="16"/>
              </w:rPr>
              <w:t>Timeliness of Prenatal Care</w:t>
            </w:r>
          </w:p>
        </w:tc>
        <w:tc>
          <w:tcPr>
            <w:tcW w:w="810" w:type="dxa"/>
            <w:shd w:val="clear" w:color="auto" w:fill="F2F2F2" w:themeFill="background1" w:themeFillShade="F2"/>
            <w:noWrap/>
            <w:vAlign w:val="center"/>
          </w:tcPr>
          <w:p w14:paraId="344DF865" w14:textId="45DDABAE" w:rsidR="00795B25" w:rsidRPr="0085353E" w:rsidRDefault="0085353E" w:rsidP="00795B25">
            <w:pPr>
              <w:spacing w:after="0"/>
              <w:jc w:val="center"/>
              <w:rPr>
                <w:rFonts w:eastAsia="Times New Roman" w:cs="Calibri"/>
                <w:color w:val="000000"/>
                <w:sz w:val="16"/>
                <w:szCs w:val="16"/>
              </w:rPr>
            </w:pPr>
            <w:r w:rsidRPr="0085353E">
              <w:rPr>
                <w:rFonts w:eastAsia="Times New Roman" w:cs="Calibri"/>
                <w:color w:val="000000"/>
                <w:sz w:val="16"/>
                <w:szCs w:val="16"/>
              </w:rPr>
              <w:t>86.8%</w:t>
            </w:r>
          </w:p>
        </w:tc>
        <w:tc>
          <w:tcPr>
            <w:tcW w:w="720" w:type="dxa"/>
            <w:shd w:val="clear" w:color="auto" w:fill="F2F2F2" w:themeFill="background1" w:themeFillShade="F2"/>
            <w:noWrap/>
            <w:vAlign w:val="center"/>
          </w:tcPr>
          <w:p w14:paraId="2E3F18CE" w14:textId="0167049E" w:rsidR="00795B25" w:rsidRPr="009520C8" w:rsidRDefault="00795B25" w:rsidP="00795B25">
            <w:pPr>
              <w:spacing w:after="0"/>
              <w:jc w:val="center"/>
              <w:rPr>
                <w:rFonts w:eastAsia="Times New Roman" w:cs="Calibri"/>
                <w:color w:val="000000"/>
                <w:sz w:val="18"/>
                <w:szCs w:val="18"/>
              </w:rPr>
            </w:pPr>
            <w:r w:rsidRPr="7E92BC31">
              <w:rPr>
                <w:rFonts w:eastAsia="Times New Roman" w:cs="Calibri"/>
                <w:color w:val="000000" w:themeColor="text1"/>
                <w:sz w:val="16"/>
                <w:szCs w:val="16"/>
              </w:rPr>
              <w:t>88.6%</w:t>
            </w:r>
          </w:p>
        </w:tc>
        <w:tc>
          <w:tcPr>
            <w:tcW w:w="720" w:type="dxa"/>
            <w:shd w:val="clear" w:color="auto" w:fill="F2F2F2" w:themeFill="background1" w:themeFillShade="F2"/>
            <w:noWrap/>
            <w:vAlign w:val="center"/>
          </w:tcPr>
          <w:p w14:paraId="45A74FB5" w14:textId="6828CEBA" w:rsidR="00795B25" w:rsidRPr="009520C8" w:rsidRDefault="00795B25" w:rsidP="00795B25">
            <w:pPr>
              <w:spacing w:after="0"/>
              <w:jc w:val="center"/>
              <w:rPr>
                <w:rFonts w:eastAsia="Times New Roman" w:cs="Calibri"/>
                <w:color w:val="000000"/>
                <w:sz w:val="18"/>
                <w:szCs w:val="18"/>
              </w:rPr>
            </w:pPr>
            <w:r w:rsidRPr="7E92BC31">
              <w:rPr>
                <w:rFonts w:eastAsia="Times New Roman" w:cs="Calibri"/>
                <w:color w:val="000000" w:themeColor="text1"/>
                <w:sz w:val="16"/>
                <w:szCs w:val="16"/>
              </w:rPr>
              <w:t>95.0%</w:t>
            </w:r>
          </w:p>
        </w:tc>
        <w:tc>
          <w:tcPr>
            <w:tcW w:w="720" w:type="dxa"/>
            <w:shd w:val="clear" w:color="auto" w:fill="F2F2F2" w:themeFill="background1" w:themeFillShade="F2"/>
            <w:noWrap/>
            <w:vAlign w:val="center"/>
          </w:tcPr>
          <w:p w14:paraId="3EA9A76C" w14:textId="008FB1A8" w:rsidR="00795B25" w:rsidRPr="009520C8" w:rsidRDefault="00795B25" w:rsidP="00795B25">
            <w:pPr>
              <w:spacing w:after="0"/>
              <w:jc w:val="center"/>
              <w:rPr>
                <w:rFonts w:eastAsia="Times New Roman" w:cs="Calibri"/>
                <w:color w:val="000000"/>
                <w:sz w:val="18"/>
                <w:szCs w:val="18"/>
              </w:rPr>
            </w:pPr>
            <w:r w:rsidRPr="7E92BC31">
              <w:rPr>
                <w:rFonts w:eastAsia="Times New Roman" w:cs="Calibri"/>
                <w:color w:val="000000" w:themeColor="text1"/>
                <w:sz w:val="16"/>
                <w:szCs w:val="16"/>
              </w:rPr>
              <w:t>74.4%</w:t>
            </w:r>
          </w:p>
        </w:tc>
        <w:tc>
          <w:tcPr>
            <w:tcW w:w="720" w:type="dxa"/>
            <w:shd w:val="clear" w:color="auto" w:fill="F2F2F2" w:themeFill="background1" w:themeFillShade="F2"/>
            <w:noWrap/>
            <w:vAlign w:val="center"/>
          </w:tcPr>
          <w:p w14:paraId="0D88BDD1" w14:textId="239F312E" w:rsidR="00795B25" w:rsidRPr="009520C8" w:rsidRDefault="00795B25" w:rsidP="00795B25">
            <w:pPr>
              <w:spacing w:after="0"/>
              <w:jc w:val="center"/>
              <w:rPr>
                <w:rFonts w:eastAsia="Times New Roman" w:cs="Calibri"/>
                <w:color w:val="000000"/>
                <w:sz w:val="18"/>
                <w:szCs w:val="18"/>
              </w:rPr>
            </w:pPr>
            <w:r w:rsidRPr="7E92BC31">
              <w:rPr>
                <w:rFonts w:eastAsia="Times New Roman" w:cs="Calibri"/>
                <w:color w:val="000000" w:themeColor="text1"/>
                <w:sz w:val="16"/>
                <w:szCs w:val="16"/>
              </w:rPr>
              <w:t>84.2%</w:t>
            </w:r>
          </w:p>
        </w:tc>
        <w:tc>
          <w:tcPr>
            <w:tcW w:w="720" w:type="dxa"/>
            <w:shd w:val="clear" w:color="auto" w:fill="F2F2F2" w:themeFill="background1" w:themeFillShade="F2"/>
            <w:noWrap/>
            <w:vAlign w:val="center"/>
          </w:tcPr>
          <w:p w14:paraId="51E6BDC3" w14:textId="2D2E7F90" w:rsidR="00795B25" w:rsidRPr="009520C8" w:rsidRDefault="00795B25" w:rsidP="00795B25">
            <w:pPr>
              <w:spacing w:after="0"/>
              <w:jc w:val="center"/>
              <w:rPr>
                <w:rFonts w:eastAsia="Times New Roman" w:cs="Calibri"/>
                <w:color w:val="000000"/>
                <w:sz w:val="18"/>
                <w:szCs w:val="18"/>
              </w:rPr>
            </w:pPr>
            <w:r w:rsidRPr="7E92BC31">
              <w:rPr>
                <w:rFonts w:eastAsia="Times New Roman" w:cs="Calibri"/>
                <w:color w:val="000000" w:themeColor="text1"/>
                <w:sz w:val="16"/>
                <w:szCs w:val="16"/>
              </w:rPr>
              <w:t>96.0%</w:t>
            </w:r>
          </w:p>
        </w:tc>
        <w:tc>
          <w:tcPr>
            <w:tcW w:w="810" w:type="dxa"/>
            <w:shd w:val="clear" w:color="auto" w:fill="F2F2F2" w:themeFill="background1" w:themeFillShade="F2"/>
            <w:noWrap/>
            <w:vAlign w:val="center"/>
          </w:tcPr>
          <w:p w14:paraId="1C0ABC95" w14:textId="6BE09216" w:rsidR="00795B25" w:rsidRPr="009520C8" w:rsidRDefault="00795B25" w:rsidP="00795B25">
            <w:pPr>
              <w:spacing w:after="0"/>
              <w:jc w:val="center"/>
              <w:rPr>
                <w:rFonts w:eastAsia="Times New Roman" w:cs="Calibri"/>
                <w:color w:val="000000"/>
                <w:sz w:val="18"/>
                <w:szCs w:val="18"/>
              </w:rPr>
            </w:pPr>
            <w:r w:rsidRPr="7E92BC31">
              <w:rPr>
                <w:rFonts w:eastAsia="Times New Roman" w:cs="Calibri"/>
                <w:color w:val="000000" w:themeColor="text1"/>
                <w:sz w:val="16"/>
                <w:szCs w:val="16"/>
              </w:rPr>
              <w:t>69.8%</w:t>
            </w:r>
          </w:p>
        </w:tc>
        <w:tc>
          <w:tcPr>
            <w:tcW w:w="720" w:type="dxa"/>
            <w:shd w:val="clear" w:color="auto" w:fill="F2F2F2" w:themeFill="background1" w:themeFillShade="F2"/>
            <w:noWrap/>
            <w:vAlign w:val="center"/>
          </w:tcPr>
          <w:p w14:paraId="62F15254" w14:textId="2151453A" w:rsidR="00795B25" w:rsidRPr="009520C8" w:rsidRDefault="00795B25" w:rsidP="00795B25">
            <w:pPr>
              <w:spacing w:after="0"/>
              <w:jc w:val="center"/>
              <w:rPr>
                <w:rFonts w:eastAsia="Times New Roman" w:cs="Calibri"/>
                <w:color w:val="000000"/>
                <w:sz w:val="18"/>
                <w:szCs w:val="18"/>
              </w:rPr>
            </w:pPr>
            <w:r w:rsidRPr="21C5BF9F">
              <w:rPr>
                <w:rFonts w:eastAsia="Times New Roman" w:cs="Calibri"/>
                <w:color w:val="000000" w:themeColor="text1"/>
                <w:sz w:val="16"/>
                <w:szCs w:val="16"/>
              </w:rPr>
              <w:t>83.7%</w:t>
            </w:r>
          </w:p>
        </w:tc>
        <w:tc>
          <w:tcPr>
            <w:tcW w:w="720" w:type="dxa"/>
            <w:shd w:val="clear" w:color="auto" w:fill="F2F2F2" w:themeFill="background1" w:themeFillShade="F2"/>
            <w:noWrap/>
            <w:vAlign w:val="center"/>
          </w:tcPr>
          <w:p w14:paraId="5EF0552D" w14:textId="45D97B3E" w:rsidR="00795B25" w:rsidRPr="009520C8" w:rsidRDefault="00795B25" w:rsidP="00795B25">
            <w:pPr>
              <w:spacing w:after="0"/>
              <w:jc w:val="center"/>
              <w:rPr>
                <w:rFonts w:eastAsia="Times New Roman" w:cs="Calibri"/>
                <w:color w:val="000000"/>
                <w:sz w:val="18"/>
                <w:szCs w:val="18"/>
              </w:rPr>
            </w:pPr>
            <w:r w:rsidRPr="21C5BF9F">
              <w:rPr>
                <w:rFonts w:eastAsia="Times New Roman" w:cs="Calibri"/>
                <w:color w:val="000000" w:themeColor="text1"/>
                <w:sz w:val="16"/>
                <w:szCs w:val="16"/>
              </w:rPr>
              <w:t>87.8%</w:t>
            </w:r>
          </w:p>
        </w:tc>
        <w:tc>
          <w:tcPr>
            <w:tcW w:w="1080" w:type="dxa"/>
            <w:shd w:val="clear" w:color="auto" w:fill="F2F2F2" w:themeFill="background1" w:themeFillShade="F2"/>
            <w:noWrap/>
            <w:vAlign w:val="center"/>
          </w:tcPr>
          <w:p w14:paraId="4500986F" w14:textId="4359C3B4" w:rsidR="00795B25" w:rsidRPr="009520C8" w:rsidRDefault="00795B25" w:rsidP="00795B25">
            <w:pPr>
              <w:spacing w:after="0"/>
              <w:jc w:val="center"/>
              <w:rPr>
                <w:rFonts w:eastAsia="Times New Roman" w:cs="Calibri"/>
                <w:color w:val="000000"/>
                <w:sz w:val="18"/>
                <w:szCs w:val="18"/>
              </w:rPr>
            </w:pPr>
            <w:r w:rsidRPr="21C5BF9F">
              <w:rPr>
                <w:rFonts w:eastAsia="Times New Roman" w:cs="Calibri"/>
                <w:color w:val="000000" w:themeColor="text1"/>
                <w:sz w:val="16"/>
                <w:szCs w:val="16"/>
              </w:rPr>
              <w:t>63.7%</w:t>
            </w:r>
          </w:p>
        </w:tc>
        <w:tc>
          <w:tcPr>
            <w:tcW w:w="720" w:type="dxa"/>
            <w:shd w:val="clear" w:color="auto" w:fill="F2F2F2" w:themeFill="background1" w:themeFillShade="F2"/>
            <w:noWrap/>
            <w:vAlign w:val="center"/>
          </w:tcPr>
          <w:p w14:paraId="42E4A22E" w14:textId="65B5A37C" w:rsidR="00795B25" w:rsidRPr="009520C8" w:rsidRDefault="00795B25" w:rsidP="00795B25">
            <w:pPr>
              <w:spacing w:after="0"/>
              <w:jc w:val="center"/>
              <w:rPr>
                <w:rFonts w:eastAsia="Times New Roman" w:cs="Calibri"/>
                <w:color w:val="000000"/>
                <w:sz w:val="18"/>
                <w:szCs w:val="18"/>
              </w:rPr>
            </w:pPr>
            <w:r w:rsidRPr="21C5BF9F">
              <w:rPr>
                <w:rFonts w:eastAsia="Times New Roman" w:cs="Calibri"/>
                <w:color w:val="000000" w:themeColor="text1"/>
                <w:sz w:val="16"/>
                <w:szCs w:val="16"/>
              </w:rPr>
              <w:t>88.2%</w:t>
            </w:r>
          </w:p>
        </w:tc>
        <w:tc>
          <w:tcPr>
            <w:tcW w:w="810" w:type="dxa"/>
            <w:shd w:val="clear" w:color="auto" w:fill="F2F2F2" w:themeFill="background1" w:themeFillShade="F2"/>
            <w:noWrap/>
            <w:vAlign w:val="center"/>
          </w:tcPr>
          <w:p w14:paraId="582E9FF7" w14:textId="044DB6C0" w:rsidR="00795B25" w:rsidRPr="009520C8" w:rsidRDefault="00795B25" w:rsidP="00795B25">
            <w:pPr>
              <w:spacing w:after="0"/>
              <w:jc w:val="center"/>
              <w:rPr>
                <w:rFonts w:eastAsia="Times New Roman" w:cs="Calibri"/>
                <w:color w:val="000000"/>
                <w:sz w:val="18"/>
                <w:szCs w:val="18"/>
              </w:rPr>
            </w:pPr>
            <w:r w:rsidRPr="21C5BF9F">
              <w:rPr>
                <w:rFonts w:eastAsia="Times New Roman" w:cs="Calibri"/>
                <w:color w:val="000000" w:themeColor="text1"/>
                <w:sz w:val="16"/>
                <w:szCs w:val="16"/>
              </w:rPr>
              <w:t>73.9%</w:t>
            </w:r>
          </w:p>
        </w:tc>
        <w:tc>
          <w:tcPr>
            <w:tcW w:w="810" w:type="dxa"/>
            <w:shd w:val="clear" w:color="auto" w:fill="F2F2F2" w:themeFill="background1" w:themeFillShade="F2"/>
            <w:noWrap/>
            <w:vAlign w:val="center"/>
          </w:tcPr>
          <w:p w14:paraId="0FBBBE18" w14:textId="34688A0A" w:rsidR="00795B25" w:rsidRPr="009520C8" w:rsidRDefault="00795B25" w:rsidP="00795B25">
            <w:pPr>
              <w:spacing w:after="0"/>
              <w:jc w:val="center"/>
              <w:rPr>
                <w:rFonts w:eastAsia="Times New Roman" w:cs="Calibri"/>
                <w:color w:val="000000"/>
                <w:sz w:val="18"/>
                <w:szCs w:val="18"/>
              </w:rPr>
            </w:pPr>
            <w:r w:rsidRPr="21C5BF9F">
              <w:rPr>
                <w:rFonts w:eastAsia="Times New Roman" w:cs="Calibri"/>
                <w:color w:val="000000" w:themeColor="text1"/>
                <w:sz w:val="16"/>
                <w:szCs w:val="16"/>
              </w:rPr>
              <w:t>87.7%</w:t>
            </w:r>
          </w:p>
        </w:tc>
        <w:tc>
          <w:tcPr>
            <w:tcW w:w="810" w:type="dxa"/>
            <w:shd w:val="clear" w:color="auto" w:fill="F2F2F2" w:themeFill="background1" w:themeFillShade="F2"/>
            <w:noWrap/>
            <w:vAlign w:val="center"/>
          </w:tcPr>
          <w:p w14:paraId="30785FC2" w14:textId="29847481" w:rsidR="00795B25" w:rsidRPr="009520C8" w:rsidRDefault="00795B25" w:rsidP="00795B25">
            <w:pPr>
              <w:spacing w:after="0"/>
              <w:jc w:val="center"/>
              <w:rPr>
                <w:rFonts w:eastAsia="Times New Roman" w:cs="Calibri"/>
                <w:color w:val="000000"/>
                <w:sz w:val="18"/>
                <w:szCs w:val="18"/>
              </w:rPr>
            </w:pPr>
            <w:r w:rsidRPr="21C5BF9F">
              <w:rPr>
                <w:rFonts w:eastAsia="Times New Roman" w:cs="Calibri"/>
                <w:color w:val="000000" w:themeColor="text1"/>
                <w:sz w:val="16"/>
                <w:szCs w:val="16"/>
              </w:rPr>
              <w:t>92.9%</w:t>
            </w:r>
          </w:p>
        </w:tc>
        <w:tc>
          <w:tcPr>
            <w:tcW w:w="720" w:type="dxa"/>
            <w:shd w:val="clear" w:color="auto" w:fill="F2F2F2" w:themeFill="background1" w:themeFillShade="F2"/>
            <w:noWrap/>
            <w:vAlign w:val="center"/>
          </w:tcPr>
          <w:p w14:paraId="14FE626E" w14:textId="59764EA8" w:rsidR="00795B25" w:rsidRPr="009520C8" w:rsidRDefault="00795B25" w:rsidP="00795B25">
            <w:pPr>
              <w:spacing w:after="0"/>
              <w:jc w:val="center"/>
              <w:rPr>
                <w:rFonts w:eastAsia="Times New Roman" w:cs="Calibri"/>
                <w:color w:val="000000"/>
                <w:sz w:val="18"/>
                <w:szCs w:val="18"/>
              </w:rPr>
            </w:pPr>
            <w:r w:rsidRPr="10661F89">
              <w:rPr>
                <w:rFonts w:eastAsia="Times New Roman" w:cs="Calibri"/>
                <w:color w:val="000000" w:themeColor="text1"/>
                <w:sz w:val="16"/>
                <w:szCs w:val="16"/>
              </w:rPr>
              <w:t>92.5%</w:t>
            </w:r>
          </w:p>
        </w:tc>
        <w:tc>
          <w:tcPr>
            <w:tcW w:w="720" w:type="dxa"/>
            <w:shd w:val="clear" w:color="auto" w:fill="F2F2F2" w:themeFill="background1" w:themeFillShade="F2"/>
            <w:noWrap/>
            <w:vAlign w:val="center"/>
          </w:tcPr>
          <w:p w14:paraId="7E12DE57" w14:textId="134F9429" w:rsidR="00795B25" w:rsidRPr="009520C8" w:rsidRDefault="66CA04EE" w:rsidP="79FF21F0">
            <w:pPr>
              <w:spacing w:after="0"/>
              <w:jc w:val="center"/>
              <w:rPr>
                <w:rFonts w:eastAsia="Times New Roman" w:cs="Calibri"/>
                <w:color w:val="000000"/>
                <w:sz w:val="16"/>
                <w:szCs w:val="16"/>
              </w:rPr>
            </w:pPr>
            <w:r w:rsidRPr="79FF21F0">
              <w:rPr>
                <w:rFonts w:eastAsia="Times New Roman" w:cs="Calibri"/>
                <w:color w:val="000000" w:themeColor="text1"/>
                <w:sz w:val="16"/>
                <w:szCs w:val="16"/>
              </w:rPr>
              <w:t>75.0%</w:t>
            </w:r>
          </w:p>
        </w:tc>
        <w:tc>
          <w:tcPr>
            <w:tcW w:w="990" w:type="dxa"/>
            <w:shd w:val="clear" w:color="auto" w:fill="F2F2F2" w:themeFill="background1" w:themeFillShade="F2"/>
            <w:noWrap/>
            <w:vAlign w:val="center"/>
          </w:tcPr>
          <w:p w14:paraId="34E89B47" w14:textId="5E1F1138" w:rsidR="00795B25" w:rsidRPr="009520C8" w:rsidRDefault="66CA04EE" w:rsidP="79FF21F0">
            <w:pPr>
              <w:spacing w:after="0"/>
              <w:jc w:val="center"/>
              <w:rPr>
                <w:rFonts w:eastAsia="Times New Roman" w:cs="Calibri"/>
                <w:color w:val="000000"/>
                <w:sz w:val="16"/>
                <w:szCs w:val="16"/>
              </w:rPr>
            </w:pPr>
            <w:r w:rsidRPr="79FF21F0">
              <w:rPr>
                <w:rFonts w:eastAsia="Times New Roman" w:cs="Calibri"/>
                <w:color w:val="000000" w:themeColor="text1"/>
                <w:sz w:val="16"/>
                <w:szCs w:val="16"/>
              </w:rPr>
              <w:t>90.7%</w:t>
            </w:r>
          </w:p>
        </w:tc>
        <w:tc>
          <w:tcPr>
            <w:tcW w:w="720" w:type="dxa"/>
            <w:shd w:val="clear" w:color="auto" w:fill="F2F2F2" w:themeFill="background1" w:themeFillShade="F2"/>
            <w:noWrap/>
            <w:vAlign w:val="center"/>
          </w:tcPr>
          <w:p w14:paraId="5A99CD61" w14:textId="5F38040C" w:rsidR="00795B25" w:rsidRPr="009520C8" w:rsidRDefault="66CA04EE" w:rsidP="79FF21F0">
            <w:pPr>
              <w:spacing w:after="0"/>
              <w:jc w:val="center"/>
              <w:rPr>
                <w:rFonts w:eastAsia="Times New Roman" w:cs="Calibri"/>
                <w:color w:val="000000"/>
                <w:sz w:val="16"/>
                <w:szCs w:val="16"/>
              </w:rPr>
            </w:pPr>
            <w:r w:rsidRPr="79FF21F0">
              <w:rPr>
                <w:rFonts w:eastAsia="Times New Roman" w:cs="Calibri"/>
                <w:color w:val="000000" w:themeColor="text1"/>
                <w:sz w:val="16"/>
                <w:szCs w:val="16"/>
              </w:rPr>
              <w:t>78.1%</w:t>
            </w:r>
          </w:p>
        </w:tc>
        <w:tc>
          <w:tcPr>
            <w:tcW w:w="720" w:type="dxa"/>
            <w:shd w:val="clear" w:color="auto" w:fill="F2F2F2" w:themeFill="background1" w:themeFillShade="F2"/>
            <w:noWrap/>
            <w:vAlign w:val="center"/>
          </w:tcPr>
          <w:p w14:paraId="5968F33B" w14:textId="41C40AE8" w:rsidR="00795B25" w:rsidRPr="009800E8" w:rsidRDefault="009800E8" w:rsidP="00795B25">
            <w:pPr>
              <w:spacing w:after="0"/>
              <w:jc w:val="center"/>
              <w:rPr>
                <w:rFonts w:eastAsia="Times New Roman" w:cs="Calibri"/>
                <w:color w:val="000000"/>
                <w:sz w:val="16"/>
                <w:szCs w:val="16"/>
              </w:rPr>
            </w:pPr>
            <w:r w:rsidRPr="009800E8">
              <w:rPr>
                <w:rFonts w:eastAsia="Times New Roman" w:cs="Calibri"/>
                <w:color w:val="000000"/>
                <w:sz w:val="16"/>
                <w:szCs w:val="16"/>
              </w:rPr>
              <w:t>87.7%</w:t>
            </w:r>
          </w:p>
        </w:tc>
        <w:tc>
          <w:tcPr>
            <w:tcW w:w="720" w:type="dxa"/>
            <w:shd w:val="clear" w:color="auto" w:fill="F2F2F2" w:themeFill="background1" w:themeFillShade="F2"/>
            <w:noWrap/>
            <w:vAlign w:val="center"/>
            <w:hideMark/>
          </w:tcPr>
          <w:p w14:paraId="2A47F4FA" w14:textId="5E8BCEAA" w:rsidR="00795B25" w:rsidRPr="009800E8" w:rsidRDefault="004D10D5" w:rsidP="00795B25">
            <w:pPr>
              <w:spacing w:after="0"/>
              <w:jc w:val="center"/>
              <w:rPr>
                <w:rFonts w:eastAsia="Times New Roman" w:cs="Calibri"/>
                <w:color w:val="000000"/>
                <w:sz w:val="16"/>
                <w:szCs w:val="16"/>
              </w:rPr>
            </w:pPr>
            <w:r>
              <w:rPr>
                <w:rFonts w:eastAsia="Times New Roman" w:cs="Calibri"/>
                <w:color w:val="000000" w:themeColor="text1"/>
                <w:sz w:val="16"/>
                <w:szCs w:val="16"/>
              </w:rPr>
              <w:t>84.6%</w:t>
            </w:r>
            <w:r w:rsidR="33FB0B70" w:rsidRPr="009800E8">
              <w:rPr>
                <w:rFonts w:eastAsia="Times New Roman" w:cs="Calibri"/>
                <w:color w:val="000000" w:themeColor="text1"/>
                <w:sz w:val="16"/>
                <w:szCs w:val="16"/>
              </w:rPr>
              <w:t xml:space="preserve">  </w:t>
            </w:r>
          </w:p>
        </w:tc>
        <w:tc>
          <w:tcPr>
            <w:tcW w:w="720" w:type="dxa"/>
            <w:shd w:val="clear" w:color="auto" w:fill="F2F2F2" w:themeFill="background1" w:themeFillShade="F2"/>
            <w:noWrap/>
            <w:vAlign w:val="center"/>
            <w:hideMark/>
          </w:tcPr>
          <w:p w14:paraId="258DECCB" w14:textId="45878A65" w:rsidR="00795B25" w:rsidRPr="009800E8" w:rsidRDefault="004D10D5" w:rsidP="00795B25">
            <w:pPr>
              <w:spacing w:after="0"/>
              <w:jc w:val="center"/>
              <w:rPr>
                <w:rFonts w:eastAsia="Times New Roman" w:cs="Calibri"/>
                <w:color w:val="000000"/>
                <w:sz w:val="16"/>
                <w:szCs w:val="16"/>
              </w:rPr>
            </w:pPr>
            <w:r>
              <w:rPr>
                <w:rFonts w:eastAsia="Times New Roman" w:cs="Calibri"/>
                <w:color w:val="000000" w:themeColor="text1"/>
                <w:sz w:val="16"/>
                <w:szCs w:val="16"/>
              </w:rPr>
              <w:t>90.2%</w:t>
            </w:r>
            <w:r w:rsidR="33FB0B70" w:rsidRPr="009800E8">
              <w:rPr>
                <w:rFonts w:eastAsia="Times New Roman" w:cs="Calibri"/>
                <w:color w:val="000000" w:themeColor="text1"/>
                <w:sz w:val="16"/>
                <w:szCs w:val="16"/>
              </w:rPr>
              <w:t xml:space="preserve">  </w:t>
            </w:r>
          </w:p>
        </w:tc>
      </w:tr>
      <w:tr w:rsidR="00795B25" w:rsidRPr="009520C8" w14:paraId="7C1B6FEC" w14:textId="77777777" w:rsidTr="44871088">
        <w:trPr>
          <w:trHeight w:val="290"/>
        </w:trPr>
        <w:tc>
          <w:tcPr>
            <w:tcW w:w="810" w:type="dxa"/>
            <w:shd w:val="clear" w:color="auto" w:fill="auto"/>
            <w:noWrap/>
            <w:hideMark/>
          </w:tcPr>
          <w:p w14:paraId="3C1FFC0C" w14:textId="77777777" w:rsidR="00795B25" w:rsidRPr="008D1B70" w:rsidRDefault="00795B25" w:rsidP="00795B25">
            <w:pPr>
              <w:spacing w:after="0"/>
              <w:jc w:val="center"/>
              <w:rPr>
                <w:rFonts w:eastAsia="Times New Roman" w:cs="Calibri"/>
                <w:sz w:val="16"/>
                <w:szCs w:val="16"/>
              </w:rPr>
            </w:pPr>
            <w:r w:rsidRPr="008D1B70">
              <w:rPr>
                <w:rFonts w:eastAsia="Times New Roman" w:cs="Calibri"/>
                <w:sz w:val="16"/>
                <w:szCs w:val="16"/>
              </w:rPr>
              <w:t>IMA</w:t>
            </w:r>
          </w:p>
        </w:tc>
        <w:tc>
          <w:tcPr>
            <w:tcW w:w="2880" w:type="dxa"/>
            <w:shd w:val="clear" w:color="auto" w:fill="auto"/>
            <w:hideMark/>
          </w:tcPr>
          <w:p w14:paraId="3215259D" w14:textId="77777777" w:rsidR="00795B25" w:rsidRPr="00884DD7" w:rsidRDefault="00795B25" w:rsidP="00795B25">
            <w:pPr>
              <w:spacing w:after="0"/>
              <w:rPr>
                <w:rFonts w:eastAsia="Times New Roman" w:cs="Calibri"/>
                <w:sz w:val="16"/>
                <w:szCs w:val="16"/>
              </w:rPr>
            </w:pPr>
            <w:r w:rsidRPr="00884DD7">
              <w:rPr>
                <w:rFonts w:eastAsia="Times New Roman" w:cs="Calibri"/>
                <w:sz w:val="16"/>
                <w:szCs w:val="16"/>
              </w:rPr>
              <w:t>Immunization for Adolescents (combo 2)</w:t>
            </w:r>
          </w:p>
        </w:tc>
        <w:tc>
          <w:tcPr>
            <w:tcW w:w="810" w:type="dxa"/>
            <w:shd w:val="clear" w:color="auto" w:fill="auto"/>
            <w:noWrap/>
            <w:vAlign w:val="center"/>
          </w:tcPr>
          <w:p w14:paraId="7050B5EC" w14:textId="3EE3A45E" w:rsidR="00795B25" w:rsidRPr="00B323B6" w:rsidRDefault="00B323B6" w:rsidP="00795B25">
            <w:pPr>
              <w:spacing w:after="0"/>
              <w:jc w:val="center"/>
              <w:rPr>
                <w:rFonts w:eastAsia="Times New Roman" w:cs="Calibri"/>
                <w:color w:val="000000"/>
                <w:sz w:val="16"/>
                <w:szCs w:val="16"/>
              </w:rPr>
            </w:pPr>
            <w:r w:rsidRPr="00B323B6">
              <w:rPr>
                <w:rFonts w:eastAsia="Times New Roman" w:cs="Calibri"/>
                <w:color w:val="000000"/>
                <w:sz w:val="16"/>
                <w:szCs w:val="16"/>
              </w:rPr>
              <w:t>49.1%</w:t>
            </w:r>
          </w:p>
        </w:tc>
        <w:tc>
          <w:tcPr>
            <w:tcW w:w="720" w:type="dxa"/>
            <w:shd w:val="clear" w:color="auto" w:fill="auto"/>
            <w:noWrap/>
            <w:vAlign w:val="center"/>
          </w:tcPr>
          <w:p w14:paraId="63602049" w14:textId="2AB45C0C" w:rsidR="00795B25" w:rsidRPr="009520C8" w:rsidRDefault="00795B25" w:rsidP="00795B25">
            <w:pPr>
              <w:spacing w:after="0"/>
              <w:jc w:val="center"/>
              <w:rPr>
                <w:rFonts w:eastAsia="Times New Roman" w:cs="Calibri"/>
                <w:color w:val="000000"/>
                <w:sz w:val="18"/>
                <w:szCs w:val="18"/>
              </w:rPr>
            </w:pPr>
            <w:r w:rsidRPr="782F7733">
              <w:rPr>
                <w:rFonts w:eastAsia="Times New Roman" w:cs="Calibri"/>
                <w:color w:val="000000" w:themeColor="text1"/>
                <w:sz w:val="16"/>
                <w:szCs w:val="16"/>
              </w:rPr>
              <w:t>11.3%</w:t>
            </w:r>
          </w:p>
        </w:tc>
        <w:tc>
          <w:tcPr>
            <w:tcW w:w="720" w:type="dxa"/>
            <w:shd w:val="clear" w:color="auto" w:fill="auto"/>
            <w:noWrap/>
            <w:vAlign w:val="center"/>
          </w:tcPr>
          <w:p w14:paraId="79C36C9A" w14:textId="643C0A1B" w:rsidR="00795B25" w:rsidRPr="009520C8" w:rsidRDefault="00795B25" w:rsidP="00795B25">
            <w:pPr>
              <w:spacing w:after="0"/>
              <w:jc w:val="center"/>
              <w:rPr>
                <w:rFonts w:eastAsia="Times New Roman" w:cs="Calibri"/>
                <w:color w:val="000000"/>
                <w:sz w:val="18"/>
                <w:szCs w:val="18"/>
              </w:rPr>
            </w:pPr>
            <w:r w:rsidRPr="782F7733">
              <w:rPr>
                <w:rFonts w:eastAsia="Times New Roman" w:cs="Calibri"/>
                <w:color w:val="000000" w:themeColor="text1"/>
                <w:sz w:val="16"/>
                <w:szCs w:val="16"/>
              </w:rPr>
              <w:t>55.5%</w:t>
            </w:r>
          </w:p>
        </w:tc>
        <w:tc>
          <w:tcPr>
            <w:tcW w:w="720" w:type="dxa"/>
            <w:shd w:val="clear" w:color="auto" w:fill="auto"/>
            <w:noWrap/>
            <w:vAlign w:val="center"/>
          </w:tcPr>
          <w:p w14:paraId="592A5936" w14:textId="6E5C8E2A" w:rsidR="00795B25" w:rsidRPr="009520C8" w:rsidRDefault="00795B25" w:rsidP="00795B25">
            <w:pPr>
              <w:spacing w:after="0"/>
              <w:jc w:val="center"/>
              <w:rPr>
                <w:rFonts w:eastAsia="Times New Roman" w:cs="Calibri"/>
                <w:color w:val="000000"/>
                <w:sz w:val="18"/>
                <w:szCs w:val="18"/>
              </w:rPr>
            </w:pPr>
            <w:r w:rsidRPr="782F7733">
              <w:rPr>
                <w:rFonts w:eastAsia="Times New Roman" w:cs="Calibri"/>
                <w:color w:val="000000" w:themeColor="text1"/>
                <w:sz w:val="16"/>
                <w:szCs w:val="16"/>
              </w:rPr>
              <w:t>54.5%</w:t>
            </w:r>
          </w:p>
        </w:tc>
        <w:tc>
          <w:tcPr>
            <w:tcW w:w="720" w:type="dxa"/>
            <w:shd w:val="clear" w:color="auto" w:fill="auto"/>
            <w:noWrap/>
            <w:vAlign w:val="center"/>
          </w:tcPr>
          <w:p w14:paraId="48AD63D4" w14:textId="6FC6D1B9" w:rsidR="00795B25" w:rsidRPr="009520C8" w:rsidRDefault="00795B25" w:rsidP="00795B25">
            <w:pPr>
              <w:spacing w:after="0"/>
              <w:jc w:val="center"/>
              <w:rPr>
                <w:rFonts w:eastAsia="Times New Roman" w:cs="Calibri"/>
                <w:color w:val="000000"/>
                <w:sz w:val="18"/>
                <w:szCs w:val="18"/>
              </w:rPr>
            </w:pPr>
            <w:r w:rsidRPr="782F7733">
              <w:rPr>
                <w:rFonts w:eastAsia="Times New Roman" w:cs="Calibri"/>
                <w:color w:val="000000" w:themeColor="text1"/>
                <w:sz w:val="16"/>
                <w:szCs w:val="16"/>
              </w:rPr>
              <w:t>51.1%</w:t>
            </w:r>
          </w:p>
        </w:tc>
        <w:tc>
          <w:tcPr>
            <w:tcW w:w="720" w:type="dxa"/>
            <w:shd w:val="clear" w:color="auto" w:fill="auto"/>
            <w:noWrap/>
            <w:vAlign w:val="center"/>
          </w:tcPr>
          <w:p w14:paraId="3EDB957B" w14:textId="396898C6" w:rsidR="00795B25" w:rsidRPr="009520C8" w:rsidRDefault="00795B25" w:rsidP="00795B25">
            <w:pPr>
              <w:spacing w:after="0"/>
              <w:jc w:val="center"/>
              <w:rPr>
                <w:rFonts w:eastAsia="Times New Roman" w:cs="Calibri"/>
                <w:color w:val="000000"/>
                <w:sz w:val="18"/>
                <w:szCs w:val="18"/>
              </w:rPr>
            </w:pPr>
            <w:r w:rsidRPr="665EA4FD">
              <w:rPr>
                <w:rFonts w:eastAsia="Times New Roman" w:cs="Calibri"/>
                <w:color w:val="000000" w:themeColor="text1"/>
                <w:sz w:val="16"/>
                <w:szCs w:val="16"/>
              </w:rPr>
              <w:t>46.2%</w:t>
            </w:r>
          </w:p>
        </w:tc>
        <w:tc>
          <w:tcPr>
            <w:tcW w:w="810" w:type="dxa"/>
            <w:shd w:val="clear" w:color="auto" w:fill="auto"/>
            <w:noWrap/>
            <w:vAlign w:val="center"/>
          </w:tcPr>
          <w:p w14:paraId="090264E1" w14:textId="7CB9B36D" w:rsidR="00795B25" w:rsidRPr="009520C8" w:rsidRDefault="00795B25" w:rsidP="00795B25">
            <w:pPr>
              <w:spacing w:after="0"/>
              <w:jc w:val="center"/>
              <w:rPr>
                <w:rFonts w:eastAsia="Times New Roman" w:cs="Calibri"/>
                <w:color w:val="000000"/>
                <w:sz w:val="18"/>
                <w:szCs w:val="18"/>
              </w:rPr>
            </w:pPr>
            <w:r w:rsidRPr="665EA4FD">
              <w:rPr>
                <w:rFonts w:eastAsia="Times New Roman" w:cs="Calibri"/>
                <w:color w:val="000000" w:themeColor="text1"/>
                <w:sz w:val="16"/>
                <w:szCs w:val="16"/>
              </w:rPr>
              <w:t>47.5%</w:t>
            </w:r>
          </w:p>
        </w:tc>
        <w:tc>
          <w:tcPr>
            <w:tcW w:w="720" w:type="dxa"/>
            <w:shd w:val="clear" w:color="auto" w:fill="auto"/>
            <w:noWrap/>
            <w:vAlign w:val="center"/>
          </w:tcPr>
          <w:p w14:paraId="3BE4D35F" w14:textId="7B255215" w:rsidR="00795B25" w:rsidRPr="009520C8" w:rsidRDefault="00795B25" w:rsidP="00795B25">
            <w:pPr>
              <w:spacing w:after="0"/>
              <w:jc w:val="center"/>
              <w:rPr>
                <w:rFonts w:eastAsia="Times New Roman" w:cs="Calibri"/>
                <w:color w:val="000000"/>
                <w:sz w:val="18"/>
                <w:szCs w:val="18"/>
              </w:rPr>
            </w:pPr>
            <w:r w:rsidRPr="665EA4FD">
              <w:rPr>
                <w:rFonts w:eastAsia="Times New Roman" w:cs="Calibri"/>
                <w:color w:val="000000" w:themeColor="text1"/>
                <w:sz w:val="16"/>
                <w:szCs w:val="16"/>
              </w:rPr>
              <w:t>25/1</w:t>
            </w:r>
          </w:p>
        </w:tc>
        <w:tc>
          <w:tcPr>
            <w:tcW w:w="720" w:type="dxa"/>
            <w:shd w:val="clear" w:color="auto" w:fill="auto"/>
            <w:noWrap/>
            <w:vAlign w:val="center"/>
          </w:tcPr>
          <w:p w14:paraId="548DAFDD" w14:textId="61CAE8A3" w:rsidR="00795B25" w:rsidRPr="009520C8" w:rsidRDefault="00795B25" w:rsidP="00795B25">
            <w:pPr>
              <w:spacing w:after="0"/>
              <w:jc w:val="center"/>
              <w:rPr>
                <w:rFonts w:eastAsia="Times New Roman" w:cs="Calibri"/>
                <w:color w:val="000000"/>
                <w:sz w:val="18"/>
                <w:szCs w:val="18"/>
              </w:rPr>
            </w:pPr>
            <w:r w:rsidRPr="665EA4FD">
              <w:rPr>
                <w:rFonts w:eastAsia="Times New Roman" w:cs="Calibri"/>
                <w:color w:val="000000" w:themeColor="text1"/>
                <w:sz w:val="16"/>
                <w:szCs w:val="16"/>
              </w:rPr>
              <w:t>54.8%</w:t>
            </w:r>
          </w:p>
        </w:tc>
        <w:tc>
          <w:tcPr>
            <w:tcW w:w="1080" w:type="dxa"/>
            <w:shd w:val="clear" w:color="auto" w:fill="auto"/>
            <w:noWrap/>
            <w:vAlign w:val="center"/>
          </w:tcPr>
          <w:p w14:paraId="5AA08EA5" w14:textId="404B9C8B" w:rsidR="00795B25" w:rsidRPr="009520C8" w:rsidRDefault="00795B25" w:rsidP="00795B25">
            <w:pPr>
              <w:spacing w:after="0"/>
              <w:jc w:val="center"/>
              <w:rPr>
                <w:rFonts w:eastAsia="Times New Roman" w:cs="Calibri"/>
                <w:color w:val="000000"/>
                <w:sz w:val="18"/>
                <w:szCs w:val="18"/>
              </w:rPr>
            </w:pPr>
            <w:r w:rsidRPr="665EA4FD">
              <w:rPr>
                <w:rFonts w:eastAsia="Times New Roman" w:cs="Calibri"/>
                <w:color w:val="000000" w:themeColor="text1"/>
                <w:sz w:val="16"/>
                <w:szCs w:val="16"/>
              </w:rPr>
              <w:t>53.0%</w:t>
            </w:r>
          </w:p>
        </w:tc>
        <w:tc>
          <w:tcPr>
            <w:tcW w:w="720" w:type="dxa"/>
            <w:shd w:val="clear" w:color="auto" w:fill="auto"/>
            <w:noWrap/>
            <w:vAlign w:val="center"/>
          </w:tcPr>
          <w:p w14:paraId="5C8D3638" w14:textId="2FC1467B" w:rsidR="00795B25" w:rsidRPr="009520C8" w:rsidRDefault="00795B25" w:rsidP="00795B25">
            <w:pPr>
              <w:spacing w:after="0"/>
              <w:jc w:val="center"/>
              <w:rPr>
                <w:rFonts w:eastAsia="Times New Roman" w:cs="Calibri"/>
                <w:color w:val="000000"/>
                <w:sz w:val="18"/>
                <w:szCs w:val="18"/>
              </w:rPr>
            </w:pPr>
            <w:r w:rsidRPr="665EA4FD">
              <w:rPr>
                <w:rFonts w:eastAsia="Times New Roman" w:cs="Calibri"/>
                <w:color w:val="000000" w:themeColor="text1"/>
                <w:sz w:val="16"/>
                <w:szCs w:val="16"/>
              </w:rPr>
              <w:t>57.1</w:t>
            </w:r>
          </w:p>
        </w:tc>
        <w:tc>
          <w:tcPr>
            <w:tcW w:w="810" w:type="dxa"/>
            <w:shd w:val="clear" w:color="auto" w:fill="auto"/>
            <w:noWrap/>
            <w:vAlign w:val="center"/>
          </w:tcPr>
          <w:p w14:paraId="3065D9DC" w14:textId="24B9A930" w:rsidR="00795B25" w:rsidRPr="009520C8" w:rsidRDefault="00795B25" w:rsidP="00795B25">
            <w:pPr>
              <w:spacing w:after="0"/>
              <w:jc w:val="center"/>
              <w:rPr>
                <w:rFonts w:eastAsia="Times New Roman" w:cs="Calibri"/>
                <w:color w:val="000000"/>
                <w:sz w:val="18"/>
                <w:szCs w:val="18"/>
              </w:rPr>
            </w:pPr>
            <w:r w:rsidRPr="665EA4FD">
              <w:rPr>
                <w:rFonts w:eastAsia="Times New Roman" w:cs="Calibri"/>
                <w:color w:val="000000" w:themeColor="text1"/>
                <w:sz w:val="16"/>
                <w:szCs w:val="16"/>
              </w:rPr>
              <w:t>48.7%</w:t>
            </w:r>
          </w:p>
        </w:tc>
        <w:tc>
          <w:tcPr>
            <w:tcW w:w="810" w:type="dxa"/>
            <w:shd w:val="clear" w:color="auto" w:fill="auto"/>
            <w:noWrap/>
            <w:vAlign w:val="center"/>
          </w:tcPr>
          <w:p w14:paraId="4E63ACC1" w14:textId="019C5B60" w:rsidR="00795B25" w:rsidRPr="009520C8" w:rsidRDefault="00795B25" w:rsidP="00795B25">
            <w:pPr>
              <w:spacing w:after="0"/>
              <w:jc w:val="center"/>
              <w:rPr>
                <w:rFonts w:eastAsia="Times New Roman" w:cs="Calibri"/>
                <w:color w:val="000000"/>
                <w:sz w:val="18"/>
                <w:szCs w:val="18"/>
              </w:rPr>
            </w:pPr>
            <w:r w:rsidRPr="665EA4FD">
              <w:rPr>
                <w:rFonts w:eastAsia="Times New Roman" w:cs="Calibri"/>
                <w:color w:val="000000" w:themeColor="text1"/>
                <w:sz w:val="16"/>
                <w:szCs w:val="16"/>
              </w:rPr>
              <w:t>50.2%</w:t>
            </w:r>
          </w:p>
        </w:tc>
        <w:tc>
          <w:tcPr>
            <w:tcW w:w="810" w:type="dxa"/>
            <w:shd w:val="clear" w:color="auto" w:fill="auto"/>
            <w:noWrap/>
            <w:vAlign w:val="center"/>
          </w:tcPr>
          <w:p w14:paraId="60E74E2A" w14:textId="666A298B" w:rsidR="00795B25" w:rsidRPr="009520C8" w:rsidRDefault="00795B25" w:rsidP="00795B25">
            <w:pPr>
              <w:spacing w:after="0"/>
              <w:jc w:val="center"/>
              <w:rPr>
                <w:rFonts w:eastAsia="Times New Roman" w:cs="Calibri"/>
                <w:color w:val="000000"/>
                <w:sz w:val="18"/>
                <w:szCs w:val="18"/>
              </w:rPr>
            </w:pPr>
            <w:r w:rsidRPr="78754DE0">
              <w:rPr>
                <w:rFonts w:eastAsia="Times New Roman" w:cs="Calibri"/>
                <w:color w:val="000000" w:themeColor="text1"/>
                <w:sz w:val="16"/>
                <w:szCs w:val="16"/>
              </w:rPr>
              <w:t>53.0%</w:t>
            </w:r>
          </w:p>
        </w:tc>
        <w:tc>
          <w:tcPr>
            <w:tcW w:w="720" w:type="dxa"/>
            <w:shd w:val="clear" w:color="auto" w:fill="auto"/>
            <w:noWrap/>
            <w:vAlign w:val="center"/>
          </w:tcPr>
          <w:p w14:paraId="24AE8A3C" w14:textId="11C8B821" w:rsidR="00795B25" w:rsidRPr="009520C8" w:rsidRDefault="00795B25" w:rsidP="00795B25">
            <w:pPr>
              <w:spacing w:after="0"/>
              <w:jc w:val="center"/>
              <w:rPr>
                <w:rFonts w:eastAsia="Times New Roman" w:cs="Calibri"/>
                <w:color w:val="000000"/>
                <w:sz w:val="18"/>
                <w:szCs w:val="18"/>
              </w:rPr>
            </w:pPr>
            <w:r w:rsidRPr="78754DE0">
              <w:rPr>
                <w:rFonts w:eastAsia="Times New Roman" w:cs="Calibri"/>
                <w:color w:val="000000" w:themeColor="text1"/>
                <w:sz w:val="16"/>
                <w:szCs w:val="16"/>
              </w:rPr>
              <w:t>56.4%</w:t>
            </w:r>
          </w:p>
        </w:tc>
        <w:tc>
          <w:tcPr>
            <w:tcW w:w="720" w:type="dxa"/>
            <w:shd w:val="clear" w:color="auto" w:fill="auto"/>
            <w:noWrap/>
            <w:vAlign w:val="center"/>
          </w:tcPr>
          <w:p w14:paraId="56F9E5A1" w14:textId="7DF76F23" w:rsidR="00795B25" w:rsidRPr="009520C8" w:rsidRDefault="3B835408" w:rsidP="79FF21F0">
            <w:pPr>
              <w:spacing w:after="0"/>
              <w:jc w:val="center"/>
              <w:rPr>
                <w:rFonts w:eastAsia="Times New Roman" w:cs="Calibri"/>
                <w:color w:val="000000"/>
                <w:sz w:val="16"/>
                <w:szCs w:val="16"/>
              </w:rPr>
            </w:pPr>
            <w:r w:rsidRPr="79FF21F0">
              <w:rPr>
                <w:rFonts w:eastAsia="Times New Roman" w:cs="Calibri"/>
                <w:color w:val="000000" w:themeColor="text1"/>
                <w:sz w:val="16"/>
                <w:szCs w:val="16"/>
              </w:rPr>
              <w:t>36.7%</w:t>
            </w:r>
          </w:p>
        </w:tc>
        <w:tc>
          <w:tcPr>
            <w:tcW w:w="990" w:type="dxa"/>
            <w:shd w:val="clear" w:color="auto" w:fill="auto"/>
            <w:noWrap/>
            <w:vAlign w:val="center"/>
          </w:tcPr>
          <w:p w14:paraId="4BEB366B" w14:textId="57DC3CC5" w:rsidR="00795B25" w:rsidRPr="009520C8" w:rsidRDefault="3B835408" w:rsidP="79FF21F0">
            <w:pPr>
              <w:spacing w:after="0"/>
              <w:jc w:val="center"/>
              <w:rPr>
                <w:rFonts w:eastAsia="Times New Roman" w:cs="Calibri"/>
                <w:color w:val="000000"/>
                <w:sz w:val="16"/>
                <w:szCs w:val="16"/>
              </w:rPr>
            </w:pPr>
            <w:r w:rsidRPr="79FF21F0">
              <w:rPr>
                <w:rFonts w:eastAsia="Times New Roman" w:cs="Calibri"/>
                <w:color w:val="000000" w:themeColor="text1"/>
                <w:sz w:val="16"/>
                <w:szCs w:val="16"/>
              </w:rPr>
              <w:t>42.3%</w:t>
            </w:r>
          </w:p>
        </w:tc>
        <w:tc>
          <w:tcPr>
            <w:tcW w:w="720" w:type="dxa"/>
            <w:shd w:val="clear" w:color="auto" w:fill="auto"/>
            <w:noWrap/>
            <w:vAlign w:val="center"/>
          </w:tcPr>
          <w:p w14:paraId="1993740D" w14:textId="42D44537" w:rsidR="00795B25" w:rsidRPr="009520C8" w:rsidRDefault="3B835408" w:rsidP="79FF21F0">
            <w:pPr>
              <w:spacing w:after="0"/>
              <w:jc w:val="center"/>
              <w:rPr>
                <w:rFonts w:eastAsia="Times New Roman" w:cs="Calibri"/>
                <w:color w:val="000000"/>
                <w:sz w:val="16"/>
                <w:szCs w:val="16"/>
              </w:rPr>
            </w:pPr>
            <w:r w:rsidRPr="79FF21F0">
              <w:rPr>
                <w:rFonts w:eastAsia="Times New Roman" w:cs="Calibri"/>
                <w:color w:val="000000" w:themeColor="text1"/>
                <w:sz w:val="16"/>
                <w:szCs w:val="16"/>
              </w:rPr>
              <w:t>NA</w:t>
            </w:r>
          </w:p>
        </w:tc>
        <w:tc>
          <w:tcPr>
            <w:tcW w:w="720" w:type="dxa"/>
            <w:shd w:val="clear" w:color="auto" w:fill="auto"/>
            <w:noWrap/>
            <w:vAlign w:val="center"/>
          </w:tcPr>
          <w:p w14:paraId="48D7CDA5" w14:textId="502DAE80" w:rsidR="00795B25" w:rsidRPr="002147D3" w:rsidRDefault="002147D3" w:rsidP="00795B25">
            <w:pPr>
              <w:spacing w:after="0"/>
              <w:jc w:val="center"/>
              <w:rPr>
                <w:rFonts w:eastAsia="Times New Roman" w:cs="Calibri"/>
                <w:color w:val="000000"/>
                <w:sz w:val="16"/>
                <w:szCs w:val="16"/>
              </w:rPr>
            </w:pPr>
            <w:r w:rsidRPr="002147D3">
              <w:rPr>
                <w:rFonts w:eastAsia="Times New Roman" w:cs="Calibri"/>
                <w:color w:val="000000"/>
                <w:sz w:val="16"/>
                <w:szCs w:val="16"/>
              </w:rPr>
              <w:t>34.3%</w:t>
            </w:r>
          </w:p>
        </w:tc>
        <w:tc>
          <w:tcPr>
            <w:tcW w:w="720" w:type="dxa"/>
            <w:shd w:val="clear" w:color="auto" w:fill="auto"/>
            <w:noWrap/>
            <w:vAlign w:val="center"/>
            <w:hideMark/>
          </w:tcPr>
          <w:p w14:paraId="19F91241" w14:textId="1EA614C5" w:rsidR="00795B25" w:rsidRPr="002147D3" w:rsidRDefault="00B20BA0" w:rsidP="00795B25">
            <w:pPr>
              <w:spacing w:after="0"/>
              <w:jc w:val="center"/>
              <w:rPr>
                <w:rFonts w:eastAsia="Times New Roman" w:cs="Calibri"/>
                <w:color w:val="000000"/>
                <w:sz w:val="16"/>
                <w:szCs w:val="16"/>
              </w:rPr>
            </w:pPr>
            <w:r>
              <w:rPr>
                <w:rFonts w:eastAsia="Times New Roman" w:cs="Calibri"/>
                <w:color w:val="000000" w:themeColor="text1"/>
                <w:sz w:val="16"/>
                <w:szCs w:val="16"/>
              </w:rPr>
              <w:t>21.6%</w:t>
            </w:r>
            <w:r w:rsidR="1C0CE8AD" w:rsidRPr="002147D3">
              <w:rPr>
                <w:rFonts w:eastAsia="Times New Roman" w:cs="Calibri"/>
                <w:color w:val="000000" w:themeColor="text1"/>
                <w:sz w:val="16"/>
                <w:szCs w:val="16"/>
              </w:rPr>
              <w:t xml:space="preserve">  </w:t>
            </w:r>
          </w:p>
        </w:tc>
        <w:tc>
          <w:tcPr>
            <w:tcW w:w="720" w:type="dxa"/>
            <w:shd w:val="clear" w:color="auto" w:fill="auto"/>
            <w:noWrap/>
            <w:vAlign w:val="center"/>
            <w:hideMark/>
          </w:tcPr>
          <w:p w14:paraId="033DFCE4" w14:textId="06D52C78" w:rsidR="00795B25" w:rsidRPr="002147D3" w:rsidRDefault="00B20BA0" w:rsidP="00795B25">
            <w:pPr>
              <w:spacing w:after="0"/>
              <w:jc w:val="center"/>
              <w:rPr>
                <w:rFonts w:eastAsia="Times New Roman" w:cs="Calibri"/>
                <w:color w:val="000000"/>
                <w:sz w:val="16"/>
                <w:szCs w:val="16"/>
              </w:rPr>
            </w:pPr>
            <w:r>
              <w:rPr>
                <w:rFonts w:eastAsia="Times New Roman" w:cs="Calibri"/>
                <w:color w:val="000000" w:themeColor="text1"/>
                <w:sz w:val="16"/>
                <w:szCs w:val="16"/>
              </w:rPr>
              <w:t>39.0%</w:t>
            </w:r>
            <w:r w:rsidR="139A35AA" w:rsidRPr="002147D3">
              <w:rPr>
                <w:rFonts w:eastAsia="Times New Roman" w:cs="Calibri"/>
                <w:color w:val="000000" w:themeColor="text1"/>
                <w:sz w:val="16"/>
                <w:szCs w:val="16"/>
              </w:rPr>
              <w:t xml:space="preserve">  </w:t>
            </w:r>
          </w:p>
        </w:tc>
      </w:tr>
      <w:tr w:rsidR="00795B25" w14:paraId="08DF680A" w14:textId="77777777" w:rsidTr="44871088">
        <w:trPr>
          <w:trHeight w:val="458"/>
        </w:trPr>
        <w:tc>
          <w:tcPr>
            <w:tcW w:w="810" w:type="dxa"/>
            <w:shd w:val="clear" w:color="auto" w:fill="F2F2F2" w:themeFill="background1" w:themeFillShade="F2"/>
            <w:noWrap/>
            <w:hideMark/>
          </w:tcPr>
          <w:p w14:paraId="43A19A50" w14:textId="772DFD03" w:rsidR="00795B25" w:rsidRPr="008D1B70" w:rsidRDefault="00795B25" w:rsidP="00795B25">
            <w:pPr>
              <w:spacing w:after="0"/>
              <w:jc w:val="center"/>
              <w:rPr>
                <w:rFonts w:eastAsia="Times New Roman" w:cs="Calibri"/>
                <w:sz w:val="16"/>
                <w:szCs w:val="16"/>
              </w:rPr>
            </w:pPr>
            <w:r>
              <w:rPr>
                <w:rFonts w:eastAsia="Times New Roman" w:cs="Calibri"/>
                <w:sz w:val="16"/>
                <w:szCs w:val="16"/>
              </w:rPr>
              <w:t>EOHHS/ADA (OHE)</w:t>
            </w:r>
          </w:p>
        </w:tc>
        <w:tc>
          <w:tcPr>
            <w:tcW w:w="2880" w:type="dxa"/>
            <w:shd w:val="clear" w:color="auto" w:fill="F2F2F2" w:themeFill="background1" w:themeFillShade="F2"/>
            <w:hideMark/>
          </w:tcPr>
          <w:p w14:paraId="29A9B6EC" w14:textId="1F635BF1" w:rsidR="00795B25" w:rsidRPr="00884DD7" w:rsidRDefault="00795B25" w:rsidP="00795B25">
            <w:pPr>
              <w:spacing w:after="0"/>
              <w:rPr>
                <w:rFonts w:eastAsia="Times New Roman" w:cs="Calibri"/>
                <w:sz w:val="16"/>
                <w:szCs w:val="16"/>
              </w:rPr>
            </w:pPr>
            <w:r>
              <w:rPr>
                <w:rFonts w:eastAsia="Times New Roman" w:cs="Calibri"/>
                <w:sz w:val="16"/>
                <w:szCs w:val="16"/>
              </w:rPr>
              <w:t>Oral Health Evaluation</w:t>
            </w:r>
          </w:p>
        </w:tc>
        <w:tc>
          <w:tcPr>
            <w:tcW w:w="810" w:type="dxa"/>
            <w:shd w:val="clear" w:color="auto" w:fill="F2F2F2" w:themeFill="background1" w:themeFillShade="F2"/>
            <w:noWrap/>
            <w:vAlign w:val="center"/>
          </w:tcPr>
          <w:p w14:paraId="6EDB36A0" w14:textId="7F5E8733" w:rsidR="00795B25" w:rsidRPr="0010370A" w:rsidRDefault="0010370A" w:rsidP="00795B25">
            <w:pPr>
              <w:spacing w:after="0"/>
              <w:jc w:val="center"/>
              <w:rPr>
                <w:rFonts w:eastAsia="Times New Roman" w:cs="Calibri"/>
                <w:color w:val="000000"/>
                <w:sz w:val="16"/>
                <w:szCs w:val="16"/>
              </w:rPr>
            </w:pPr>
            <w:r>
              <w:rPr>
                <w:rFonts w:eastAsia="Times New Roman" w:cs="Calibri"/>
                <w:color w:val="000000"/>
                <w:sz w:val="16"/>
                <w:szCs w:val="16"/>
              </w:rPr>
              <w:t>53.3%</w:t>
            </w:r>
          </w:p>
        </w:tc>
        <w:tc>
          <w:tcPr>
            <w:tcW w:w="720" w:type="dxa"/>
            <w:shd w:val="clear" w:color="auto" w:fill="F2F2F2" w:themeFill="background1" w:themeFillShade="F2"/>
            <w:noWrap/>
            <w:vAlign w:val="center"/>
          </w:tcPr>
          <w:p w14:paraId="6ACB8F7C" w14:textId="5C4C87E1" w:rsidR="00795B25" w:rsidRPr="009520C8" w:rsidRDefault="00795B25" w:rsidP="00795B25">
            <w:pPr>
              <w:spacing w:after="0"/>
              <w:jc w:val="center"/>
              <w:rPr>
                <w:rFonts w:eastAsia="Times New Roman" w:cs="Calibri"/>
                <w:color w:val="000000"/>
                <w:sz w:val="18"/>
                <w:szCs w:val="18"/>
              </w:rPr>
            </w:pPr>
            <w:r w:rsidRPr="351DC247">
              <w:rPr>
                <w:rFonts w:eastAsia="Times New Roman" w:cs="Calibri"/>
                <w:color w:val="000000" w:themeColor="text1"/>
                <w:sz w:val="16"/>
                <w:szCs w:val="16"/>
              </w:rPr>
              <w:t>36.5%</w:t>
            </w:r>
          </w:p>
        </w:tc>
        <w:tc>
          <w:tcPr>
            <w:tcW w:w="720" w:type="dxa"/>
            <w:shd w:val="clear" w:color="auto" w:fill="F2F2F2" w:themeFill="background1" w:themeFillShade="F2"/>
            <w:noWrap/>
            <w:vAlign w:val="center"/>
          </w:tcPr>
          <w:p w14:paraId="1E4C6F86" w14:textId="7F059DEC" w:rsidR="00795B25" w:rsidRPr="009520C8" w:rsidRDefault="00795B25" w:rsidP="00795B25">
            <w:pPr>
              <w:spacing w:after="0"/>
              <w:jc w:val="center"/>
              <w:rPr>
                <w:rFonts w:eastAsia="Times New Roman" w:cs="Calibri"/>
                <w:color w:val="000000"/>
                <w:sz w:val="18"/>
                <w:szCs w:val="18"/>
              </w:rPr>
            </w:pPr>
            <w:r w:rsidRPr="351DC247">
              <w:rPr>
                <w:rFonts w:eastAsia="Times New Roman" w:cs="Calibri"/>
                <w:color w:val="000000" w:themeColor="text1"/>
                <w:sz w:val="16"/>
                <w:szCs w:val="16"/>
              </w:rPr>
              <w:t>57.7%</w:t>
            </w:r>
          </w:p>
        </w:tc>
        <w:tc>
          <w:tcPr>
            <w:tcW w:w="720" w:type="dxa"/>
            <w:shd w:val="clear" w:color="auto" w:fill="F2F2F2" w:themeFill="background1" w:themeFillShade="F2"/>
            <w:noWrap/>
            <w:vAlign w:val="center"/>
          </w:tcPr>
          <w:p w14:paraId="755F3BAC" w14:textId="1588691D" w:rsidR="00795B25" w:rsidRPr="009520C8" w:rsidRDefault="00795B25" w:rsidP="00795B25">
            <w:pPr>
              <w:spacing w:after="0"/>
              <w:jc w:val="center"/>
              <w:rPr>
                <w:rFonts w:eastAsia="Times New Roman" w:cs="Calibri"/>
                <w:color w:val="000000"/>
                <w:sz w:val="18"/>
                <w:szCs w:val="18"/>
              </w:rPr>
            </w:pPr>
            <w:r w:rsidRPr="351DC247">
              <w:rPr>
                <w:rFonts w:eastAsia="Times New Roman" w:cs="Calibri"/>
                <w:color w:val="000000" w:themeColor="text1"/>
                <w:sz w:val="16"/>
                <w:szCs w:val="16"/>
              </w:rPr>
              <w:t>55.1%</w:t>
            </w:r>
          </w:p>
        </w:tc>
        <w:tc>
          <w:tcPr>
            <w:tcW w:w="720" w:type="dxa"/>
            <w:shd w:val="clear" w:color="auto" w:fill="F2F2F2" w:themeFill="background1" w:themeFillShade="F2"/>
            <w:noWrap/>
            <w:vAlign w:val="center"/>
          </w:tcPr>
          <w:p w14:paraId="61812713" w14:textId="2D35331C" w:rsidR="00795B25" w:rsidRPr="009520C8" w:rsidRDefault="00795B25" w:rsidP="00795B25">
            <w:pPr>
              <w:spacing w:after="0"/>
              <w:jc w:val="center"/>
              <w:rPr>
                <w:rFonts w:eastAsia="Times New Roman" w:cs="Calibri"/>
                <w:color w:val="000000"/>
                <w:sz w:val="18"/>
                <w:szCs w:val="18"/>
              </w:rPr>
            </w:pPr>
            <w:r w:rsidRPr="351DC247">
              <w:rPr>
                <w:rFonts w:eastAsia="Times New Roman" w:cs="Calibri"/>
                <w:color w:val="000000" w:themeColor="text1"/>
                <w:sz w:val="16"/>
                <w:szCs w:val="16"/>
              </w:rPr>
              <w:t>50.6%</w:t>
            </w:r>
          </w:p>
        </w:tc>
        <w:tc>
          <w:tcPr>
            <w:tcW w:w="720" w:type="dxa"/>
            <w:shd w:val="clear" w:color="auto" w:fill="F2F2F2" w:themeFill="background1" w:themeFillShade="F2"/>
            <w:noWrap/>
            <w:vAlign w:val="center"/>
          </w:tcPr>
          <w:p w14:paraId="32C4EBD4" w14:textId="6CF68E23" w:rsidR="00795B25" w:rsidRPr="009520C8" w:rsidRDefault="00795B25" w:rsidP="00795B25">
            <w:pPr>
              <w:spacing w:after="0"/>
              <w:jc w:val="center"/>
              <w:rPr>
                <w:rFonts w:eastAsia="Times New Roman" w:cs="Calibri"/>
                <w:color w:val="000000"/>
                <w:sz w:val="18"/>
                <w:szCs w:val="18"/>
              </w:rPr>
            </w:pPr>
            <w:r w:rsidRPr="351DC247">
              <w:rPr>
                <w:rFonts w:eastAsia="Times New Roman" w:cs="Calibri"/>
                <w:color w:val="000000" w:themeColor="text1"/>
                <w:sz w:val="16"/>
                <w:szCs w:val="16"/>
              </w:rPr>
              <w:t>54.3%</w:t>
            </w:r>
          </w:p>
        </w:tc>
        <w:tc>
          <w:tcPr>
            <w:tcW w:w="810" w:type="dxa"/>
            <w:shd w:val="clear" w:color="auto" w:fill="F2F2F2" w:themeFill="background1" w:themeFillShade="F2"/>
            <w:noWrap/>
            <w:vAlign w:val="center"/>
          </w:tcPr>
          <w:p w14:paraId="4797FB62" w14:textId="49B7D42B" w:rsidR="00795B25" w:rsidRPr="009520C8" w:rsidRDefault="00795B25" w:rsidP="00795B25">
            <w:pPr>
              <w:spacing w:after="0"/>
              <w:jc w:val="center"/>
              <w:rPr>
                <w:rFonts w:eastAsia="Times New Roman" w:cs="Calibri"/>
                <w:color w:val="000000"/>
                <w:sz w:val="18"/>
                <w:szCs w:val="18"/>
              </w:rPr>
            </w:pPr>
            <w:r w:rsidRPr="351DC247">
              <w:rPr>
                <w:rFonts w:eastAsia="Times New Roman" w:cs="Calibri"/>
                <w:color w:val="000000" w:themeColor="text1"/>
                <w:sz w:val="16"/>
                <w:szCs w:val="16"/>
              </w:rPr>
              <w:t>56.0%</w:t>
            </w:r>
          </w:p>
        </w:tc>
        <w:tc>
          <w:tcPr>
            <w:tcW w:w="720" w:type="dxa"/>
            <w:shd w:val="clear" w:color="auto" w:fill="F2F2F2" w:themeFill="background1" w:themeFillShade="F2"/>
            <w:noWrap/>
            <w:vAlign w:val="center"/>
          </w:tcPr>
          <w:p w14:paraId="2C93B080" w14:textId="2C534E6A" w:rsidR="00795B25" w:rsidRPr="009520C8" w:rsidRDefault="00795B25" w:rsidP="00795B25">
            <w:pPr>
              <w:spacing w:after="0"/>
              <w:jc w:val="center"/>
              <w:rPr>
                <w:rFonts w:eastAsia="Times New Roman" w:cs="Calibri"/>
                <w:color w:val="000000"/>
                <w:sz w:val="18"/>
                <w:szCs w:val="18"/>
              </w:rPr>
            </w:pPr>
            <w:r w:rsidRPr="351DC247">
              <w:rPr>
                <w:rFonts w:eastAsia="Times New Roman" w:cs="Calibri"/>
                <w:color w:val="000000" w:themeColor="text1"/>
                <w:sz w:val="16"/>
                <w:szCs w:val="16"/>
              </w:rPr>
              <w:t>57.7%</w:t>
            </w:r>
          </w:p>
        </w:tc>
        <w:tc>
          <w:tcPr>
            <w:tcW w:w="720" w:type="dxa"/>
            <w:shd w:val="clear" w:color="auto" w:fill="F2F2F2" w:themeFill="background1" w:themeFillShade="F2"/>
            <w:noWrap/>
            <w:vAlign w:val="center"/>
          </w:tcPr>
          <w:p w14:paraId="38E6E66F" w14:textId="12F3F55A" w:rsidR="00795B25" w:rsidRPr="009520C8" w:rsidRDefault="00795B25" w:rsidP="00795B25">
            <w:pPr>
              <w:spacing w:after="0"/>
              <w:jc w:val="center"/>
              <w:rPr>
                <w:rFonts w:eastAsia="Times New Roman" w:cs="Calibri"/>
                <w:color w:val="000000"/>
                <w:sz w:val="18"/>
                <w:szCs w:val="18"/>
              </w:rPr>
            </w:pPr>
            <w:r w:rsidRPr="64A06D36">
              <w:rPr>
                <w:rFonts w:eastAsia="Times New Roman" w:cs="Calibri"/>
                <w:color w:val="000000" w:themeColor="text1"/>
                <w:sz w:val="16"/>
                <w:szCs w:val="16"/>
              </w:rPr>
              <w:t>52.4%</w:t>
            </w:r>
          </w:p>
        </w:tc>
        <w:tc>
          <w:tcPr>
            <w:tcW w:w="1080" w:type="dxa"/>
            <w:shd w:val="clear" w:color="auto" w:fill="F2F2F2" w:themeFill="background1" w:themeFillShade="F2"/>
            <w:noWrap/>
            <w:vAlign w:val="center"/>
          </w:tcPr>
          <w:p w14:paraId="0D22F231" w14:textId="3418440E" w:rsidR="00795B25" w:rsidRPr="009520C8" w:rsidRDefault="00795B25" w:rsidP="00795B25">
            <w:pPr>
              <w:spacing w:after="0"/>
              <w:jc w:val="center"/>
              <w:rPr>
                <w:rFonts w:eastAsia="Times New Roman" w:cs="Calibri"/>
                <w:color w:val="000000"/>
                <w:sz w:val="18"/>
                <w:szCs w:val="18"/>
              </w:rPr>
            </w:pPr>
            <w:r w:rsidRPr="64A06D36">
              <w:rPr>
                <w:rFonts w:eastAsia="Times New Roman" w:cs="Calibri"/>
                <w:color w:val="000000" w:themeColor="text1"/>
                <w:sz w:val="16"/>
                <w:szCs w:val="16"/>
              </w:rPr>
              <w:t>54.2%</w:t>
            </w:r>
          </w:p>
        </w:tc>
        <w:tc>
          <w:tcPr>
            <w:tcW w:w="720" w:type="dxa"/>
            <w:shd w:val="clear" w:color="auto" w:fill="F2F2F2" w:themeFill="background1" w:themeFillShade="F2"/>
            <w:noWrap/>
            <w:vAlign w:val="center"/>
          </w:tcPr>
          <w:p w14:paraId="10B1E851" w14:textId="21F79611" w:rsidR="00795B25" w:rsidRPr="009520C8" w:rsidRDefault="00795B25" w:rsidP="00795B25">
            <w:pPr>
              <w:spacing w:after="0"/>
              <w:jc w:val="center"/>
              <w:rPr>
                <w:rFonts w:eastAsia="Times New Roman" w:cs="Calibri"/>
                <w:color w:val="000000"/>
                <w:sz w:val="18"/>
                <w:szCs w:val="18"/>
              </w:rPr>
            </w:pPr>
            <w:r w:rsidRPr="64A06D36">
              <w:rPr>
                <w:rFonts w:eastAsia="Times New Roman" w:cs="Calibri"/>
                <w:color w:val="000000" w:themeColor="text1"/>
                <w:sz w:val="16"/>
                <w:szCs w:val="16"/>
              </w:rPr>
              <w:t>48.5%</w:t>
            </w:r>
          </w:p>
        </w:tc>
        <w:tc>
          <w:tcPr>
            <w:tcW w:w="810" w:type="dxa"/>
            <w:shd w:val="clear" w:color="auto" w:fill="F2F2F2" w:themeFill="background1" w:themeFillShade="F2"/>
            <w:noWrap/>
            <w:vAlign w:val="center"/>
          </w:tcPr>
          <w:p w14:paraId="142A2CD7" w14:textId="3244E0DE" w:rsidR="00795B25" w:rsidRPr="009520C8" w:rsidRDefault="00795B25" w:rsidP="00795B25">
            <w:pPr>
              <w:spacing w:after="0"/>
              <w:jc w:val="center"/>
              <w:rPr>
                <w:rFonts w:eastAsia="Times New Roman" w:cs="Calibri"/>
                <w:color w:val="000000"/>
                <w:sz w:val="18"/>
                <w:szCs w:val="18"/>
              </w:rPr>
            </w:pPr>
            <w:r w:rsidRPr="64A06D36">
              <w:rPr>
                <w:rFonts w:eastAsia="Times New Roman" w:cs="Calibri"/>
                <w:color w:val="000000" w:themeColor="text1"/>
                <w:sz w:val="16"/>
                <w:szCs w:val="16"/>
              </w:rPr>
              <w:t>54.5%</w:t>
            </w:r>
          </w:p>
        </w:tc>
        <w:tc>
          <w:tcPr>
            <w:tcW w:w="810" w:type="dxa"/>
            <w:shd w:val="clear" w:color="auto" w:fill="F2F2F2" w:themeFill="background1" w:themeFillShade="F2"/>
            <w:noWrap/>
            <w:vAlign w:val="center"/>
          </w:tcPr>
          <w:p w14:paraId="3106FD89" w14:textId="1773848F" w:rsidR="00795B25" w:rsidRPr="009520C8" w:rsidRDefault="00795B25" w:rsidP="00795B25">
            <w:pPr>
              <w:spacing w:after="0"/>
              <w:jc w:val="center"/>
              <w:rPr>
                <w:rFonts w:eastAsia="Times New Roman" w:cs="Calibri"/>
                <w:color w:val="000000"/>
                <w:sz w:val="18"/>
                <w:szCs w:val="18"/>
              </w:rPr>
            </w:pPr>
            <w:r w:rsidRPr="7AFD8DA0">
              <w:rPr>
                <w:rFonts w:eastAsia="Times New Roman" w:cs="Calibri"/>
                <w:color w:val="000000" w:themeColor="text1"/>
                <w:sz w:val="16"/>
                <w:szCs w:val="16"/>
              </w:rPr>
              <w:t>53.4%</w:t>
            </w:r>
          </w:p>
        </w:tc>
        <w:tc>
          <w:tcPr>
            <w:tcW w:w="810" w:type="dxa"/>
            <w:shd w:val="clear" w:color="auto" w:fill="F2F2F2" w:themeFill="background1" w:themeFillShade="F2"/>
            <w:noWrap/>
            <w:vAlign w:val="center"/>
          </w:tcPr>
          <w:p w14:paraId="74394AE8" w14:textId="45B1289B" w:rsidR="00795B25" w:rsidRPr="009520C8" w:rsidRDefault="00795B25" w:rsidP="00795B25">
            <w:pPr>
              <w:spacing w:after="0"/>
              <w:jc w:val="center"/>
              <w:rPr>
                <w:rFonts w:eastAsia="Times New Roman" w:cs="Calibri"/>
                <w:color w:val="000000"/>
                <w:sz w:val="18"/>
                <w:szCs w:val="18"/>
              </w:rPr>
            </w:pPr>
            <w:r w:rsidRPr="7AFD8DA0">
              <w:rPr>
                <w:rFonts w:eastAsia="Times New Roman" w:cs="Calibri"/>
                <w:color w:val="000000" w:themeColor="text1"/>
                <w:sz w:val="16"/>
                <w:szCs w:val="16"/>
              </w:rPr>
              <w:t>46.5%</w:t>
            </w:r>
          </w:p>
        </w:tc>
        <w:tc>
          <w:tcPr>
            <w:tcW w:w="720" w:type="dxa"/>
            <w:shd w:val="clear" w:color="auto" w:fill="F2F2F2" w:themeFill="background1" w:themeFillShade="F2"/>
            <w:noWrap/>
            <w:vAlign w:val="center"/>
          </w:tcPr>
          <w:p w14:paraId="54FB93D3" w14:textId="386FA72A" w:rsidR="00795B25" w:rsidRPr="009520C8" w:rsidRDefault="00795B25" w:rsidP="00795B25">
            <w:pPr>
              <w:spacing w:after="0"/>
              <w:jc w:val="center"/>
              <w:rPr>
                <w:rFonts w:eastAsia="Times New Roman" w:cs="Calibri"/>
                <w:color w:val="000000"/>
                <w:sz w:val="18"/>
                <w:szCs w:val="18"/>
              </w:rPr>
            </w:pPr>
            <w:r w:rsidRPr="7AFD8DA0">
              <w:rPr>
                <w:rFonts w:eastAsia="Times New Roman" w:cs="Calibri"/>
                <w:color w:val="000000" w:themeColor="text1"/>
                <w:sz w:val="16"/>
                <w:szCs w:val="16"/>
              </w:rPr>
              <w:t>53.7%</w:t>
            </w:r>
          </w:p>
        </w:tc>
        <w:tc>
          <w:tcPr>
            <w:tcW w:w="720" w:type="dxa"/>
            <w:shd w:val="clear" w:color="auto" w:fill="F2F2F2" w:themeFill="background1" w:themeFillShade="F2"/>
            <w:noWrap/>
            <w:vAlign w:val="center"/>
          </w:tcPr>
          <w:p w14:paraId="5262F512" w14:textId="20723839" w:rsidR="00795B25" w:rsidRPr="003B59ED" w:rsidRDefault="42EA6202" w:rsidP="00795B25">
            <w:pPr>
              <w:spacing w:after="0"/>
              <w:jc w:val="center"/>
              <w:rPr>
                <w:rFonts w:eastAsia="Times New Roman" w:cs="Calibri"/>
                <w:color w:val="000000"/>
                <w:sz w:val="16"/>
                <w:szCs w:val="16"/>
              </w:rPr>
            </w:pPr>
            <w:r w:rsidRPr="003B59ED">
              <w:rPr>
                <w:rFonts w:eastAsia="Times New Roman" w:cs="Calibri"/>
                <w:color w:val="000000" w:themeColor="text1"/>
                <w:sz w:val="16"/>
                <w:szCs w:val="16"/>
              </w:rPr>
              <w:t>56.0%</w:t>
            </w:r>
          </w:p>
        </w:tc>
        <w:tc>
          <w:tcPr>
            <w:tcW w:w="990" w:type="dxa"/>
            <w:shd w:val="clear" w:color="auto" w:fill="F2F2F2" w:themeFill="background1" w:themeFillShade="F2"/>
            <w:noWrap/>
            <w:vAlign w:val="center"/>
          </w:tcPr>
          <w:p w14:paraId="39609133" w14:textId="1A8329B5" w:rsidR="00795B25" w:rsidRPr="003B59ED" w:rsidRDefault="42EA6202" w:rsidP="00795B25">
            <w:pPr>
              <w:spacing w:after="0"/>
              <w:jc w:val="center"/>
              <w:rPr>
                <w:rFonts w:eastAsia="Times New Roman" w:cs="Calibri"/>
                <w:color w:val="000000"/>
                <w:sz w:val="16"/>
                <w:szCs w:val="16"/>
              </w:rPr>
            </w:pPr>
            <w:r w:rsidRPr="003B59ED">
              <w:rPr>
                <w:rFonts w:eastAsia="Times New Roman" w:cs="Calibri"/>
                <w:color w:val="000000" w:themeColor="text1"/>
                <w:sz w:val="16"/>
                <w:szCs w:val="16"/>
              </w:rPr>
              <w:t>50.7%</w:t>
            </w:r>
          </w:p>
        </w:tc>
        <w:tc>
          <w:tcPr>
            <w:tcW w:w="720" w:type="dxa"/>
            <w:shd w:val="clear" w:color="auto" w:fill="F2F2F2" w:themeFill="background1" w:themeFillShade="F2"/>
            <w:noWrap/>
            <w:vAlign w:val="center"/>
          </w:tcPr>
          <w:p w14:paraId="48AF2D50" w14:textId="5E025896" w:rsidR="00795B25" w:rsidRPr="003B59ED" w:rsidRDefault="42EA6202" w:rsidP="00795B25">
            <w:pPr>
              <w:spacing w:after="0"/>
              <w:jc w:val="center"/>
              <w:rPr>
                <w:rFonts w:eastAsia="Times New Roman" w:cs="Calibri"/>
                <w:color w:val="000000"/>
                <w:sz w:val="16"/>
                <w:szCs w:val="16"/>
              </w:rPr>
            </w:pPr>
            <w:r w:rsidRPr="003B59ED">
              <w:rPr>
                <w:rFonts w:eastAsia="Times New Roman" w:cs="Calibri"/>
                <w:color w:val="000000" w:themeColor="text1"/>
                <w:sz w:val="16"/>
                <w:szCs w:val="16"/>
              </w:rPr>
              <w:t>42.8%</w:t>
            </w:r>
          </w:p>
        </w:tc>
        <w:tc>
          <w:tcPr>
            <w:tcW w:w="720" w:type="dxa"/>
            <w:tcBorders>
              <w:top w:val="single" w:sz="4" w:space="0" w:color="auto"/>
            </w:tcBorders>
            <w:shd w:val="clear" w:color="auto" w:fill="F2F2F2" w:themeFill="background1" w:themeFillShade="F2"/>
            <w:noWrap/>
            <w:vAlign w:val="center"/>
          </w:tcPr>
          <w:p w14:paraId="036A4376" w14:textId="0585AF4A" w:rsidR="00795B25" w:rsidRPr="003B59ED" w:rsidRDefault="003B59ED" w:rsidP="00795B25">
            <w:pPr>
              <w:spacing w:after="0"/>
              <w:jc w:val="center"/>
              <w:rPr>
                <w:rFonts w:eastAsia="Times New Roman" w:cs="Calibri"/>
                <w:color w:val="000000"/>
                <w:sz w:val="16"/>
                <w:szCs w:val="16"/>
              </w:rPr>
            </w:pPr>
            <w:r w:rsidRPr="003B59ED">
              <w:rPr>
                <w:rFonts w:eastAsia="Times New Roman" w:cs="Calibri"/>
                <w:color w:val="000000"/>
                <w:sz w:val="16"/>
                <w:szCs w:val="16"/>
              </w:rPr>
              <w:t>50.1%</w:t>
            </w:r>
          </w:p>
        </w:tc>
        <w:tc>
          <w:tcPr>
            <w:tcW w:w="720" w:type="dxa"/>
            <w:tcBorders>
              <w:top w:val="single" w:sz="4" w:space="0" w:color="auto"/>
            </w:tcBorders>
            <w:shd w:val="clear" w:color="auto" w:fill="F2F2F2" w:themeFill="background1" w:themeFillShade="F2"/>
            <w:noWrap/>
            <w:vAlign w:val="center"/>
            <w:hideMark/>
          </w:tcPr>
          <w:p w14:paraId="1EAAC0D7" w14:textId="724C357A" w:rsidR="00795B25" w:rsidRPr="00BF06FA" w:rsidRDefault="00BF06FA" w:rsidP="00795B25">
            <w:pPr>
              <w:spacing w:after="0"/>
              <w:jc w:val="center"/>
              <w:rPr>
                <w:rFonts w:eastAsia="Times New Roman" w:cs="Calibri"/>
                <w:color w:val="000000" w:themeColor="text1"/>
                <w:sz w:val="16"/>
                <w:szCs w:val="16"/>
              </w:rPr>
            </w:pPr>
            <w:r w:rsidRPr="00BF06FA">
              <w:rPr>
                <w:rFonts w:eastAsia="Times New Roman" w:cs="Calibri"/>
                <w:color w:val="000000" w:themeColor="text1"/>
                <w:sz w:val="16"/>
                <w:szCs w:val="16"/>
              </w:rPr>
              <w:t>48.4%</w:t>
            </w:r>
            <w:r w:rsidR="73BFD70E" w:rsidRPr="00BF06FA">
              <w:rPr>
                <w:rFonts w:eastAsia="Times New Roman" w:cs="Calibri"/>
                <w:color w:val="000000" w:themeColor="text1"/>
                <w:sz w:val="16"/>
                <w:szCs w:val="16"/>
              </w:rPr>
              <w:t xml:space="preserve">    </w:t>
            </w:r>
          </w:p>
        </w:tc>
        <w:tc>
          <w:tcPr>
            <w:tcW w:w="720" w:type="dxa"/>
            <w:tcBorders>
              <w:top w:val="single" w:sz="4" w:space="0" w:color="auto"/>
            </w:tcBorders>
            <w:shd w:val="clear" w:color="auto" w:fill="F2F2F2" w:themeFill="background1" w:themeFillShade="F2"/>
            <w:noWrap/>
            <w:vAlign w:val="center"/>
            <w:hideMark/>
          </w:tcPr>
          <w:p w14:paraId="17B4A9B6" w14:textId="4FB86744" w:rsidR="00795B25" w:rsidRPr="00BF06FA" w:rsidRDefault="00BF06FA" w:rsidP="00795B25">
            <w:pPr>
              <w:spacing w:after="0"/>
              <w:jc w:val="center"/>
              <w:rPr>
                <w:rFonts w:eastAsia="Times New Roman" w:cs="Calibri"/>
                <w:color w:val="000000" w:themeColor="text1"/>
                <w:sz w:val="16"/>
                <w:szCs w:val="16"/>
              </w:rPr>
            </w:pPr>
            <w:r w:rsidRPr="00BF06FA">
              <w:rPr>
                <w:rFonts w:eastAsia="Times New Roman" w:cs="Calibri"/>
                <w:color w:val="000000" w:themeColor="text1"/>
                <w:sz w:val="16"/>
                <w:szCs w:val="16"/>
              </w:rPr>
              <w:t>50.9%</w:t>
            </w:r>
            <w:r w:rsidR="73BFD70E" w:rsidRPr="00BF06FA">
              <w:rPr>
                <w:rFonts w:eastAsia="Times New Roman" w:cs="Calibri"/>
                <w:color w:val="000000" w:themeColor="text1"/>
                <w:sz w:val="16"/>
                <w:szCs w:val="16"/>
              </w:rPr>
              <w:t xml:space="preserve">    </w:t>
            </w:r>
          </w:p>
        </w:tc>
      </w:tr>
      <w:tr w:rsidR="00795B25" w14:paraId="3AF73E6C" w14:textId="77777777" w:rsidTr="44871088">
        <w:trPr>
          <w:trHeight w:val="290"/>
        </w:trPr>
        <w:tc>
          <w:tcPr>
            <w:tcW w:w="810" w:type="dxa"/>
            <w:shd w:val="clear" w:color="auto" w:fill="auto"/>
            <w:noWrap/>
            <w:hideMark/>
          </w:tcPr>
          <w:p w14:paraId="7DA6EE98" w14:textId="031E0FB3" w:rsidR="00795B25" w:rsidRPr="008D1B70" w:rsidRDefault="00795B25" w:rsidP="00795B25">
            <w:pPr>
              <w:spacing w:after="0"/>
              <w:jc w:val="center"/>
              <w:rPr>
                <w:rFonts w:eastAsia="Times New Roman" w:cs="Calibri"/>
                <w:sz w:val="16"/>
                <w:szCs w:val="16"/>
              </w:rPr>
            </w:pPr>
            <w:r>
              <w:rPr>
                <w:rFonts w:eastAsia="Times New Roman" w:cs="Calibri"/>
                <w:sz w:val="16"/>
                <w:szCs w:val="16"/>
              </w:rPr>
              <w:t>EOHSS (HRSN)</w:t>
            </w:r>
          </w:p>
        </w:tc>
        <w:tc>
          <w:tcPr>
            <w:tcW w:w="2880" w:type="dxa"/>
            <w:shd w:val="clear" w:color="auto" w:fill="auto"/>
            <w:hideMark/>
          </w:tcPr>
          <w:p w14:paraId="081C2872" w14:textId="1DF2A74B" w:rsidR="00795B25" w:rsidRPr="00884DD7" w:rsidRDefault="00795B25" w:rsidP="00795B25">
            <w:pPr>
              <w:spacing w:after="0"/>
              <w:rPr>
                <w:rFonts w:eastAsia="Times New Roman" w:cs="Calibri"/>
                <w:sz w:val="16"/>
                <w:szCs w:val="16"/>
              </w:rPr>
            </w:pPr>
            <w:r>
              <w:rPr>
                <w:rFonts w:eastAsia="Times New Roman" w:cs="Calibri"/>
                <w:sz w:val="16"/>
                <w:szCs w:val="16"/>
              </w:rPr>
              <w:t>Health-Related Social Needs Screening</w:t>
            </w:r>
          </w:p>
        </w:tc>
        <w:tc>
          <w:tcPr>
            <w:tcW w:w="810" w:type="dxa"/>
            <w:shd w:val="clear" w:color="auto" w:fill="auto"/>
            <w:noWrap/>
            <w:vAlign w:val="center"/>
          </w:tcPr>
          <w:p w14:paraId="3B484E31" w14:textId="5D1EE87C" w:rsidR="00795B25" w:rsidRPr="00FE2E94" w:rsidRDefault="00FE2E94" w:rsidP="00795B25">
            <w:pPr>
              <w:spacing w:after="0"/>
              <w:jc w:val="center"/>
              <w:rPr>
                <w:rFonts w:eastAsia="Times New Roman" w:cs="Calibri"/>
                <w:color w:val="000000"/>
                <w:sz w:val="16"/>
                <w:szCs w:val="16"/>
              </w:rPr>
            </w:pPr>
            <w:r w:rsidRPr="00FE2E94">
              <w:rPr>
                <w:rFonts w:eastAsia="Times New Roman" w:cs="Calibri"/>
                <w:color w:val="000000"/>
                <w:sz w:val="16"/>
                <w:szCs w:val="16"/>
              </w:rPr>
              <w:t>29.5%</w:t>
            </w:r>
          </w:p>
        </w:tc>
        <w:tc>
          <w:tcPr>
            <w:tcW w:w="720" w:type="dxa"/>
            <w:shd w:val="clear" w:color="auto" w:fill="auto"/>
            <w:noWrap/>
            <w:vAlign w:val="center"/>
          </w:tcPr>
          <w:p w14:paraId="5FEC9127" w14:textId="2E6CBC78" w:rsidR="00795B25" w:rsidRPr="009520C8" w:rsidRDefault="00795B25" w:rsidP="00795B25">
            <w:pPr>
              <w:spacing w:after="0"/>
              <w:jc w:val="center"/>
              <w:rPr>
                <w:rFonts w:eastAsia="Times New Roman" w:cs="Calibri"/>
                <w:color w:val="000000"/>
                <w:sz w:val="18"/>
                <w:szCs w:val="18"/>
              </w:rPr>
            </w:pPr>
            <w:r w:rsidRPr="3990B37A">
              <w:rPr>
                <w:rFonts w:eastAsia="Times New Roman" w:cs="Calibri"/>
                <w:color w:val="000000" w:themeColor="text1"/>
                <w:sz w:val="16"/>
                <w:szCs w:val="16"/>
              </w:rPr>
              <w:t>4.9%</w:t>
            </w:r>
          </w:p>
        </w:tc>
        <w:tc>
          <w:tcPr>
            <w:tcW w:w="720" w:type="dxa"/>
            <w:shd w:val="clear" w:color="auto" w:fill="auto"/>
            <w:noWrap/>
            <w:vAlign w:val="center"/>
          </w:tcPr>
          <w:p w14:paraId="11897FD4" w14:textId="1C8702A4" w:rsidR="00795B25" w:rsidRPr="009520C8" w:rsidRDefault="00795B25" w:rsidP="00795B25">
            <w:pPr>
              <w:spacing w:after="0"/>
              <w:jc w:val="center"/>
              <w:rPr>
                <w:rFonts w:eastAsia="Times New Roman" w:cs="Calibri"/>
                <w:color w:val="000000"/>
                <w:sz w:val="18"/>
                <w:szCs w:val="18"/>
              </w:rPr>
            </w:pPr>
            <w:r w:rsidRPr="3990B37A">
              <w:rPr>
                <w:rFonts w:eastAsia="Times New Roman" w:cs="Calibri"/>
                <w:color w:val="000000" w:themeColor="text1"/>
                <w:sz w:val="16"/>
                <w:szCs w:val="16"/>
              </w:rPr>
              <w:t>22.6%</w:t>
            </w:r>
          </w:p>
        </w:tc>
        <w:tc>
          <w:tcPr>
            <w:tcW w:w="720" w:type="dxa"/>
            <w:shd w:val="clear" w:color="auto" w:fill="auto"/>
            <w:noWrap/>
            <w:vAlign w:val="center"/>
          </w:tcPr>
          <w:p w14:paraId="62F9A8C0" w14:textId="027D0627" w:rsidR="00795B25" w:rsidRPr="009520C8" w:rsidRDefault="00795B25" w:rsidP="00795B25">
            <w:pPr>
              <w:spacing w:after="0"/>
              <w:jc w:val="center"/>
              <w:rPr>
                <w:rFonts w:eastAsia="Times New Roman" w:cs="Calibri"/>
                <w:color w:val="000000"/>
                <w:sz w:val="18"/>
                <w:szCs w:val="18"/>
              </w:rPr>
            </w:pPr>
            <w:r w:rsidRPr="3990B37A">
              <w:rPr>
                <w:rFonts w:eastAsia="Times New Roman" w:cs="Calibri"/>
                <w:color w:val="000000" w:themeColor="text1"/>
                <w:sz w:val="16"/>
                <w:szCs w:val="16"/>
              </w:rPr>
              <w:t>10.5%</w:t>
            </w:r>
          </w:p>
        </w:tc>
        <w:tc>
          <w:tcPr>
            <w:tcW w:w="720" w:type="dxa"/>
            <w:shd w:val="clear" w:color="auto" w:fill="auto"/>
            <w:noWrap/>
            <w:vAlign w:val="center"/>
          </w:tcPr>
          <w:p w14:paraId="1ECBCB8F" w14:textId="1161BEF7" w:rsidR="00795B25" w:rsidRPr="009520C8" w:rsidRDefault="00795B25" w:rsidP="00795B25">
            <w:pPr>
              <w:spacing w:after="0"/>
              <w:jc w:val="center"/>
              <w:rPr>
                <w:rFonts w:eastAsia="Times New Roman" w:cs="Calibri"/>
                <w:color w:val="000000"/>
                <w:sz w:val="18"/>
                <w:szCs w:val="18"/>
              </w:rPr>
            </w:pPr>
            <w:r w:rsidRPr="3990B37A">
              <w:rPr>
                <w:rFonts w:eastAsia="Times New Roman" w:cs="Calibri"/>
                <w:color w:val="000000" w:themeColor="text1"/>
                <w:sz w:val="16"/>
                <w:szCs w:val="16"/>
              </w:rPr>
              <w:t>22.4%</w:t>
            </w:r>
          </w:p>
        </w:tc>
        <w:tc>
          <w:tcPr>
            <w:tcW w:w="720" w:type="dxa"/>
            <w:shd w:val="clear" w:color="auto" w:fill="auto"/>
            <w:noWrap/>
            <w:vAlign w:val="center"/>
          </w:tcPr>
          <w:p w14:paraId="0B4CDF74" w14:textId="6DE7D76E" w:rsidR="00795B25" w:rsidRPr="009520C8" w:rsidRDefault="00795B25" w:rsidP="00795B25">
            <w:pPr>
              <w:spacing w:after="0"/>
              <w:jc w:val="center"/>
              <w:rPr>
                <w:rFonts w:eastAsia="Times New Roman" w:cs="Calibri"/>
                <w:color w:val="000000"/>
                <w:sz w:val="18"/>
                <w:szCs w:val="18"/>
              </w:rPr>
            </w:pPr>
            <w:r w:rsidRPr="3990B37A">
              <w:rPr>
                <w:rFonts w:eastAsia="Times New Roman" w:cs="Calibri"/>
                <w:color w:val="000000" w:themeColor="text1"/>
                <w:sz w:val="16"/>
                <w:szCs w:val="16"/>
              </w:rPr>
              <w:t>24.1%</w:t>
            </w:r>
          </w:p>
        </w:tc>
        <w:tc>
          <w:tcPr>
            <w:tcW w:w="810" w:type="dxa"/>
            <w:shd w:val="clear" w:color="auto" w:fill="auto"/>
            <w:noWrap/>
            <w:vAlign w:val="center"/>
          </w:tcPr>
          <w:p w14:paraId="1F2528F4" w14:textId="724095A9" w:rsidR="00795B25" w:rsidRPr="009520C8" w:rsidRDefault="00795B25" w:rsidP="00795B25">
            <w:pPr>
              <w:spacing w:after="0"/>
              <w:jc w:val="center"/>
              <w:rPr>
                <w:rFonts w:eastAsia="Times New Roman" w:cs="Calibri"/>
                <w:color w:val="000000"/>
                <w:sz w:val="18"/>
                <w:szCs w:val="18"/>
              </w:rPr>
            </w:pPr>
            <w:r w:rsidRPr="3990B37A">
              <w:rPr>
                <w:rFonts w:eastAsia="Times New Roman" w:cs="Calibri"/>
                <w:color w:val="000000" w:themeColor="text1"/>
                <w:sz w:val="16"/>
                <w:szCs w:val="16"/>
              </w:rPr>
              <w:t>37.5%</w:t>
            </w:r>
          </w:p>
        </w:tc>
        <w:tc>
          <w:tcPr>
            <w:tcW w:w="720" w:type="dxa"/>
            <w:shd w:val="clear" w:color="auto" w:fill="auto"/>
            <w:noWrap/>
            <w:vAlign w:val="center"/>
          </w:tcPr>
          <w:p w14:paraId="6FA0DAE0" w14:textId="32BA7A98" w:rsidR="00795B25" w:rsidRPr="009520C8" w:rsidRDefault="00795B25" w:rsidP="00795B25">
            <w:pPr>
              <w:spacing w:after="0"/>
              <w:jc w:val="center"/>
              <w:rPr>
                <w:rFonts w:eastAsia="Times New Roman" w:cs="Calibri"/>
                <w:color w:val="000000"/>
                <w:sz w:val="18"/>
                <w:szCs w:val="18"/>
              </w:rPr>
            </w:pPr>
            <w:r w:rsidRPr="3990B37A">
              <w:rPr>
                <w:rFonts w:eastAsia="Times New Roman" w:cs="Calibri"/>
                <w:color w:val="000000" w:themeColor="text1"/>
                <w:sz w:val="16"/>
                <w:szCs w:val="16"/>
              </w:rPr>
              <w:t>14.1%</w:t>
            </w:r>
          </w:p>
        </w:tc>
        <w:tc>
          <w:tcPr>
            <w:tcW w:w="720" w:type="dxa"/>
            <w:shd w:val="clear" w:color="auto" w:fill="auto"/>
            <w:noWrap/>
            <w:vAlign w:val="center"/>
          </w:tcPr>
          <w:p w14:paraId="08F9B319" w14:textId="36FDD8FC" w:rsidR="00795B25" w:rsidRPr="009520C8" w:rsidRDefault="00795B25" w:rsidP="00795B25">
            <w:pPr>
              <w:spacing w:after="0"/>
              <w:jc w:val="center"/>
              <w:rPr>
                <w:rFonts w:eastAsia="Times New Roman" w:cs="Calibri"/>
                <w:color w:val="000000"/>
                <w:sz w:val="18"/>
                <w:szCs w:val="18"/>
              </w:rPr>
            </w:pPr>
            <w:r w:rsidRPr="3990B37A">
              <w:rPr>
                <w:rFonts w:eastAsia="Times New Roman" w:cs="Calibri"/>
                <w:color w:val="000000" w:themeColor="text1"/>
                <w:sz w:val="16"/>
                <w:szCs w:val="16"/>
              </w:rPr>
              <w:t>42.3%</w:t>
            </w:r>
          </w:p>
        </w:tc>
        <w:tc>
          <w:tcPr>
            <w:tcW w:w="1080" w:type="dxa"/>
            <w:shd w:val="clear" w:color="auto" w:fill="auto"/>
            <w:noWrap/>
            <w:vAlign w:val="center"/>
          </w:tcPr>
          <w:p w14:paraId="6E5872F6" w14:textId="437A0520" w:rsidR="00795B25" w:rsidRPr="009520C8" w:rsidRDefault="00795B25" w:rsidP="00795B25">
            <w:pPr>
              <w:spacing w:after="0"/>
              <w:jc w:val="center"/>
              <w:rPr>
                <w:rFonts w:eastAsia="Times New Roman" w:cs="Calibri"/>
                <w:color w:val="000000"/>
                <w:sz w:val="18"/>
                <w:szCs w:val="18"/>
              </w:rPr>
            </w:pPr>
            <w:r w:rsidRPr="3990B37A">
              <w:rPr>
                <w:rFonts w:eastAsia="Times New Roman" w:cs="Calibri"/>
                <w:color w:val="000000" w:themeColor="text1"/>
                <w:sz w:val="16"/>
                <w:szCs w:val="16"/>
              </w:rPr>
              <w:t>56.2%</w:t>
            </w:r>
          </w:p>
        </w:tc>
        <w:tc>
          <w:tcPr>
            <w:tcW w:w="720" w:type="dxa"/>
            <w:shd w:val="clear" w:color="auto" w:fill="auto"/>
            <w:noWrap/>
            <w:vAlign w:val="center"/>
          </w:tcPr>
          <w:p w14:paraId="523F4000" w14:textId="3B2384B3" w:rsidR="00795B25" w:rsidRPr="009520C8" w:rsidRDefault="00795B25" w:rsidP="00795B25">
            <w:pPr>
              <w:spacing w:after="0"/>
              <w:jc w:val="center"/>
              <w:rPr>
                <w:rFonts w:eastAsia="Times New Roman" w:cs="Calibri"/>
                <w:color w:val="000000"/>
                <w:sz w:val="18"/>
                <w:szCs w:val="18"/>
              </w:rPr>
            </w:pPr>
            <w:r w:rsidRPr="3990B37A">
              <w:rPr>
                <w:rFonts w:eastAsia="Times New Roman" w:cs="Calibri"/>
                <w:color w:val="000000" w:themeColor="text1"/>
                <w:sz w:val="16"/>
                <w:szCs w:val="16"/>
              </w:rPr>
              <w:t>38.9%</w:t>
            </w:r>
          </w:p>
        </w:tc>
        <w:tc>
          <w:tcPr>
            <w:tcW w:w="810" w:type="dxa"/>
            <w:shd w:val="clear" w:color="auto" w:fill="auto"/>
            <w:noWrap/>
            <w:vAlign w:val="center"/>
          </w:tcPr>
          <w:p w14:paraId="5F872AEC" w14:textId="5CA6AC54" w:rsidR="00795B25" w:rsidRPr="009520C8" w:rsidRDefault="00795B25" w:rsidP="00795B25">
            <w:pPr>
              <w:spacing w:after="0"/>
              <w:jc w:val="center"/>
              <w:rPr>
                <w:rFonts w:eastAsia="Times New Roman" w:cs="Calibri"/>
                <w:color w:val="000000"/>
                <w:sz w:val="18"/>
                <w:szCs w:val="18"/>
              </w:rPr>
            </w:pPr>
            <w:r w:rsidRPr="3990B37A">
              <w:rPr>
                <w:rFonts w:eastAsia="Times New Roman" w:cs="Calibri"/>
                <w:color w:val="000000" w:themeColor="text1"/>
                <w:sz w:val="16"/>
                <w:szCs w:val="16"/>
              </w:rPr>
              <w:t>24.8%</w:t>
            </w:r>
          </w:p>
        </w:tc>
        <w:tc>
          <w:tcPr>
            <w:tcW w:w="810" w:type="dxa"/>
            <w:shd w:val="clear" w:color="auto" w:fill="auto"/>
            <w:noWrap/>
            <w:vAlign w:val="center"/>
          </w:tcPr>
          <w:p w14:paraId="5F86814A" w14:textId="012E028A" w:rsidR="00795B25" w:rsidRPr="009520C8" w:rsidRDefault="00795B25" w:rsidP="00795B25">
            <w:pPr>
              <w:spacing w:after="0"/>
              <w:jc w:val="center"/>
              <w:rPr>
                <w:rFonts w:eastAsia="Times New Roman" w:cs="Calibri"/>
                <w:color w:val="000000"/>
                <w:sz w:val="18"/>
                <w:szCs w:val="18"/>
              </w:rPr>
            </w:pPr>
            <w:r w:rsidRPr="3990B37A">
              <w:rPr>
                <w:rFonts w:eastAsia="Times New Roman" w:cs="Calibri"/>
                <w:color w:val="000000" w:themeColor="text1"/>
                <w:sz w:val="16"/>
                <w:szCs w:val="16"/>
              </w:rPr>
              <w:t>42.1%</w:t>
            </w:r>
          </w:p>
        </w:tc>
        <w:tc>
          <w:tcPr>
            <w:tcW w:w="810" w:type="dxa"/>
            <w:shd w:val="clear" w:color="auto" w:fill="auto"/>
            <w:noWrap/>
            <w:vAlign w:val="center"/>
          </w:tcPr>
          <w:p w14:paraId="461AE0C1" w14:textId="5D240A73" w:rsidR="00795B25" w:rsidRPr="009520C8" w:rsidRDefault="00795B25" w:rsidP="00795B25">
            <w:pPr>
              <w:spacing w:after="0"/>
              <w:jc w:val="center"/>
              <w:rPr>
                <w:rFonts w:eastAsia="Times New Roman" w:cs="Calibri"/>
                <w:color w:val="000000"/>
                <w:sz w:val="18"/>
                <w:szCs w:val="18"/>
              </w:rPr>
            </w:pPr>
            <w:r w:rsidRPr="3990B37A">
              <w:rPr>
                <w:rFonts w:eastAsia="Times New Roman" w:cs="Calibri"/>
                <w:color w:val="000000" w:themeColor="text1"/>
                <w:sz w:val="16"/>
                <w:szCs w:val="16"/>
              </w:rPr>
              <w:t>31.6%</w:t>
            </w:r>
          </w:p>
        </w:tc>
        <w:tc>
          <w:tcPr>
            <w:tcW w:w="720" w:type="dxa"/>
            <w:shd w:val="clear" w:color="auto" w:fill="auto"/>
            <w:noWrap/>
            <w:vAlign w:val="center"/>
          </w:tcPr>
          <w:p w14:paraId="102D2309" w14:textId="4AB1BEF6" w:rsidR="00795B25" w:rsidRPr="009520C8" w:rsidRDefault="00795B25" w:rsidP="00795B25">
            <w:pPr>
              <w:spacing w:after="0"/>
              <w:jc w:val="center"/>
              <w:rPr>
                <w:rFonts w:eastAsia="Times New Roman" w:cs="Calibri"/>
                <w:color w:val="000000"/>
                <w:sz w:val="18"/>
                <w:szCs w:val="18"/>
              </w:rPr>
            </w:pPr>
            <w:r w:rsidRPr="3990B37A">
              <w:rPr>
                <w:rFonts w:eastAsia="Times New Roman" w:cs="Calibri"/>
                <w:color w:val="000000" w:themeColor="text1"/>
                <w:sz w:val="16"/>
                <w:szCs w:val="16"/>
              </w:rPr>
              <w:t>28.7%</w:t>
            </w:r>
          </w:p>
        </w:tc>
        <w:tc>
          <w:tcPr>
            <w:tcW w:w="720" w:type="dxa"/>
            <w:shd w:val="clear" w:color="auto" w:fill="auto"/>
            <w:noWrap/>
            <w:vAlign w:val="center"/>
          </w:tcPr>
          <w:p w14:paraId="2EA5B85C" w14:textId="507E5A35" w:rsidR="00795B25" w:rsidRPr="00B323B6" w:rsidRDefault="7EA34872" w:rsidP="00795B25">
            <w:pPr>
              <w:spacing w:after="0"/>
              <w:jc w:val="center"/>
              <w:rPr>
                <w:rFonts w:eastAsia="Times New Roman" w:cs="Calibri"/>
                <w:color w:val="000000"/>
                <w:sz w:val="16"/>
                <w:szCs w:val="16"/>
              </w:rPr>
            </w:pPr>
            <w:r w:rsidRPr="00B323B6">
              <w:rPr>
                <w:rFonts w:eastAsia="Times New Roman" w:cs="Calibri"/>
                <w:color w:val="000000" w:themeColor="text1"/>
                <w:sz w:val="16"/>
                <w:szCs w:val="16"/>
              </w:rPr>
              <w:t>34.1%</w:t>
            </w:r>
          </w:p>
        </w:tc>
        <w:tc>
          <w:tcPr>
            <w:tcW w:w="990" w:type="dxa"/>
            <w:shd w:val="clear" w:color="auto" w:fill="auto"/>
            <w:noWrap/>
            <w:vAlign w:val="center"/>
          </w:tcPr>
          <w:p w14:paraId="269E5BB8" w14:textId="722E4E2A" w:rsidR="00795B25" w:rsidRPr="00B323B6" w:rsidRDefault="7EA34872" w:rsidP="00795B25">
            <w:pPr>
              <w:spacing w:after="0"/>
              <w:jc w:val="center"/>
              <w:rPr>
                <w:rFonts w:eastAsia="Times New Roman" w:cs="Calibri"/>
                <w:color w:val="000000"/>
                <w:sz w:val="16"/>
                <w:szCs w:val="16"/>
              </w:rPr>
            </w:pPr>
            <w:r w:rsidRPr="00B323B6">
              <w:rPr>
                <w:rFonts w:eastAsia="Times New Roman" w:cs="Calibri"/>
                <w:color w:val="000000" w:themeColor="text1"/>
                <w:sz w:val="16"/>
                <w:szCs w:val="16"/>
              </w:rPr>
              <w:t>8.8%</w:t>
            </w:r>
          </w:p>
        </w:tc>
        <w:tc>
          <w:tcPr>
            <w:tcW w:w="720" w:type="dxa"/>
            <w:shd w:val="clear" w:color="auto" w:fill="auto"/>
            <w:noWrap/>
            <w:vAlign w:val="center"/>
          </w:tcPr>
          <w:p w14:paraId="24316176" w14:textId="70A54C17" w:rsidR="00795B25" w:rsidRPr="00B323B6" w:rsidRDefault="7EA34872" w:rsidP="00795B25">
            <w:pPr>
              <w:spacing w:after="0"/>
              <w:jc w:val="center"/>
              <w:rPr>
                <w:rFonts w:eastAsia="Times New Roman" w:cs="Calibri"/>
                <w:color w:val="000000"/>
                <w:sz w:val="16"/>
                <w:szCs w:val="16"/>
              </w:rPr>
            </w:pPr>
            <w:r w:rsidRPr="00B323B6">
              <w:rPr>
                <w:rFonts w:eastAsia="Times New Roman" w:cs="Calibri"/>
                <w:color w:val="000000" w:themeColor="text1"/>
                <w:sz w:val="16"/>
                <w:szCs w:val="16"/>
              </w:rPr>
              <w:t>0.0%</w:t>
            </w:r>
          </w:p>
        </w:tc>
        <w:tc>
          <w:tcPr>
            <w:tcW w:w="720" w:type="dxa"/>
            <w:shd w:val="clear" w:color="auto" w:fill="auto"/>
            <w:noWrap/>
            <w:vAlign w:val="center"/>
          </w:tcPr>
          <w:p w14:paraId="1574A783" w14:textId="1B6EA54B" w:rsidR="00795B25" w:rsidRPr="009520C8" w:rsidRDefault="009205E5" w:rsidP="00795B25">
            <w:pPr>
              <w:spacing w:after="0"/>
              <w:jc w:val="center"/>
              <w:rPr>
                <w:rFonts w:eastAsia="Times New Roman" w:cs="Calibri"/>
                <w:sz w:val="18"/>
                <w:szCs w:val="18"/>
              </w:rPr>
            </w:pPr>
            <w:r>
              <w:rPr>
                <w:rFonts w:eastAsia="Times New Roman" w:cs="Calibri"/>
                <w:sz w:val="18"/>
                <w:szCs w:val="18"/>
              </w:rPr>
              <w:t>--</w:t>
            </w:r>
          </w:p>
        </w:tc>
        <w:tc>
          <w:tcPr>
            <w:tcW w:w="720" w:type="dxa"/>
            <w:shd w:val="clear" w:color="auto" w:fill="auto"/>
            <w:noWrap/>
            <w:vAlign w:val="center"/>
          </w:tcPr>
          <w:p w14:paraId="374B168C" w14:textId="4D0E26DB" w:rsidR="00795B25" w:rsidRDefault="5980FFAA" w:rsidP="00795B25">
            <w:pPr>
              <w:spacing w:after="0" w:line="259" w:lineRule="auto"/>
              <w:jc w:val="center"/>
            </w:pPr>
            <w:r>
              <w:t xml:space="preserve">--    </w:t>
            </w:r>
          </w:p>
        </w:tc>
        <w:tc>
          <w:tcPr>
            <w:tcW w:w="720" w:type="dxa"/>
            <w:shd w:val="clear" w:color="auto" w:fill="auto"/>
            <w:noWrap/>
            <w:vAlign w:val="center"/>
          </w:tcPr>
          <w:p w14:paraId="56ACB70C" w14:textId="3D1F1DF6" w:rsidR="00795B25" w:rsidRDefault="5980FFAA" w:rsidP="00795B25">
            <w:pPr>
              <w:spacing w:after="0" w:line="259" w:lineRule="auto"/>
              <w:jc w:val="center"/>
            </w:pPr>
            <w:r>
              <w:t xml:space="preserve">--    </w:t>
            </w:r>
          </w:p>
        </w:tc>
      </w:tr>
      <w:tr w:rsidR="00795B25" w14:paraId="0C8F0D0B" w14:textId="77777777" w:rsidTr="44871088">
        <w:trPr>
          <w:trHeight w:val="465"/>
        </w:trPr>
        <w:tc>
          <w:tcPr>
            <w:tcW w:w="810" w:type="dxa"/>
            <w:shd w:val="clear" w:color="auto" w:fill="F2F2F2" w:themeFill="background1" w:themeFillShade="F2"/>
            <w:noWrap/>
            <w:hideMark/>
          </w:tcPr>
          <w:p w14:paraId="3A2280C3" w14:textId="71A67A8C" w:rsidR="00795B25" w:rsidRPr="008D1B70" w:rsidRDefault="00795B25" w:rsidP="00795B25">
            <w:pPr>
              <w:spacing w:after="0"/>
              <w:jc w:val="center"/>
              <w:rPr>
                <w:rFonts w:eastAsia="Times New Roman" w:cs="Calibri"/>
                <w:sz w:val="16"/>
                <w:szCs w:val="16"/>
              </w:rPr>
            </w:pPr>
            <w:r>
              <w:rPr>
                <w:rFonts w:eastAsia="Times New Roman" w:cs="Calibri"/>
                <w:sz w:val="16"/>
                <w:szCs w:val="16"/>
              </w:rPr>
              <w:t>CBP</w:t>
            </w:r>
          </w:p>
        </w:tc>
        <w:tc>
          <w:tcPr>
            <w:tcW w:w="2880" w:type="dxa"/>
            <w:shd w:val="clear" w:color="auto" w:fill="F2F2F2" w:themeFill="background1" w:themeFillShade="F2"/>
            <w:hideMark/>
          </w:tcPr>
          <w:p w14:paraId="58B29646" w14:textId="5B07DC5A" w:rsidR="00795B25" w:rsidRPr="00884DD7" w:rsidRDefault="00795B25" w:rsidP="00795B25">
            <w:pPr>
              <w:spacing w:after="0"/>
              <w:rPr>
                <w:rFonts w:eastAsia="Times New Roman" w:cs="Calibri"/>
                <w:sz w:val="16"/>
                <w:szCs w:val="16"/>
              </w:rPr>
            </w:pPr>
            <w:r>
              <w:rPr>
                <w:rFonts w:eastAsia="Times New Roman" w:cs="Calibri"/>
                <w:sz w:val="16"/>
                <w:szCs w:val="16"/>
              </w:rPr>
              <w:t>Controlling High Blood Pressure</w:t>
            </w:r>
          </w:p>
        </w:tc>
        <w:tc>
          <w:tcPr>
            <w:tcW w:w="810" w:type="dxa"/>
            <w:shd w:val="clear" w:color="auto" w:fill="F2F2F2" w:themeFill="background1" w:themeFillShade="F2"/>
            <w:noWrap/>
            <w:vAlign w:val="center"/>
          </w:tcPr>
          <w:p w14:paraId="563BE8AD" w14:textId="374B3AC7" w:rsidR="00795B25" w:rsidRPr="00AC5393" w:rsidRDefault="00AC5393" w:rsidP="00795B25">
            <w:pPr>
              <w:spacing w:after="0"/>
              <w:jc w:val="center"/>
              <w:rPr>
                <w:rFonts w:eastAsia="Times New Roman" w:cs="Calibri"/>
                <w:color w:val="000000"/>
                <w:sz w:val="16"/>
                <w:szCs w:val="16"/>
              </w:rPr>
            </w:pPr>
            <w:r w:rsidRPr="00AC5393">
              <w:rPr>
                <w:rFonts w:eastAsia="Times New Roman" w:cs="Calibri"/>
                <w:color w:val="000000"/>
                <w:sz w:val="16"/>
                <w:szCs w:val="16"/>
              </w:rPr>
              <w:t>67.2%</w:t>
            </w:r>
          </w:p>
        </w:tc>
        <w:tc>
          <w:tcPr>
            <w:tcW w:w="720" w:type="dxa"/>
            <w:shd w:val="clear" w:color="auto" w:fill="F2F2F2" w:themeFill="background1" w:themeFillShade="F2"/>
            <w:noWrap/>
            <w:vAlign w:val="center"/>
          </w:tcPr>
          <w:p w14:paraId="535A083E" w14:textId="1FF7B8DD" w:rsidR="00795B25" w:rsidRPr="009520C8" w:rsidRDefault="00795B25" w:rsidP="00795B25">
            <w:pPr>
              <w:spacing w:after="0"/>
              <w:jc w:val="center"/>
              <w:rPr>
                <w:rFonts w:eastAsia="Times New Roman" w:cs="Calibri"/>
                <w:color w:val="000000"/>
                <w:sz w:val="18"/>
                <w:szCs w:val="18"/>
              </w:rPr>
            </w:pPr>
            <w:r w:rsidRPr="01C5EF6C">
              <w:rPr>
                <w:rFonts w:eastAsia="Times New Roman" w:cs="Calibri"/>
                <w:color w:val="000000" w:themeColor="text1"/>
                <w:sz w:val="16"/>
                <w:szCs w:val="16"/>
              </w:rPr>
              <w:t>67.9%</w:t>
            </w:r>
          </w:p>
        </w:tc>
        <w:tc>
          <w:tcPr>
            <w:tcW w:w="720" w:type="dxa"/>
            <w:shd w:val="clear" w:color="auto" w:fill="F2F2F2" w:themeFill="background1" w:themeFillShade="F2"/>
            <w:noWrap/>
            <w:vAlign w:val="center"/>
          </w:tcPr>
          <w:p w14:paraId="3FFB12BB" w14:textId="7D7BB36C" w:rsidR="00795B25" w:rsidRPr="009520C8" w:rsidRDefault="00795B25" w:rsidP="00795B25">
            <w:pPr>
              <w:spacing w:after="0"/>
              <w:jc w:val="center"/>
              <w:rPr>
                <w:rFonts w:eastAsia="Times New Roman" w:cs="Calibri"/>
                <w:color w:val="000000"/>
                <w:sz w:val="18"/>
                <w:szCs w:val="18"/>
              </w:rPr>
            </w:pPr>
            <w:r w:rsidRPr="01C5EF6C">
              <w:rPr>
                <w:rFonts w:eastAsia="Times New Roman" w:cs="Calibri"/>
                <w:color w:val="000000" w:themeColor="text1"/>
                <w:sz w:val="16"/>
                <w:szCs w:val="16"/>
              </w:rPr>
              <w:t>70.4%</w:t>
            </w:r>
          </w:p>
        </w:tc>
        <w:tc>
          <w:tcPr>
            <w:tcW w:w="720" w:type="dxa"/>
            <w:shd w:val="clear" w:color="auto" w:fill="F2F2F2" w:themeFill="background1" w:themeFillShade="F2"/>
            <w:noWrap/>
            <w:vAlign w:val="center"/>
          </w:tcPr>
          <w:p w14:paraId="1E0A7277" w14:textId="0D9F3ED5" w:rsidR="00795B25" w:rsidRPr="009520C8" w:rsidRDefault="00795B25" w:rsidP="00795B25">
            <w:pPr>
              <w:spacing w:after="0"/>
              <w:jc w:val="center"/>
              <w:rPr>
                <w:rFonts w:eastAsia="Times New Roman" w:cs="Calibri"/>
                <w:color w:val="000000"/>
                <w:sz w:val="18"/>
                <w:szCs w:val="18"/>
              </w:rPr>
            </w:pPr>
            <w:r w:rsidRPr="01C5EF6C">
              <w:rPr>
                <w:rFonts w:eastAsia="Times New Roman" w:cs="Calibri"/>
                <w:color w:val="000000" w:themeColor="text1"/>
                <w:sz w:val="16"/>
                <w:szCs w:val="16"/>
              </w:rPr>
              <w:t>67.2%</w:t>
            </w:r>
          </w:p>
        </w:tc>
        <w:tc>
          <w:tcPr>
            <w:tcW w:w="720" w:type="dxa"/>
            <w:shd w:val="clear" w:color="auto" w:fill="F2F2F2" w:themeFill="background1" w:themeFillShade="F2"/>
            <w:noWrap/>
            <w:vAlign w:val="center"/>
          </w:tcPr>
          <w:p w14:paraId="11D6139A" w14:textId="313A29F3" w:rsidR="00795B25" w:rsidRPr="009520C8" w:rsidRDefault="00795B25" w:rsidP="00795B25">
            <w:pPr>
              <w:spacing w:after="0"/>
              <w:jc w:val="center"/>
              <w:rPr>
                <w:rFonts w:eastAsia="Times New Roman" w:cs="Calibri"/>
                <w:color w:val="000000"/>
                <w:sz w:val="18"/>
                <w:szCs w:val="18"/>
              </w:rPr>
            </w:pPr>
            <w:r w:rsidRPr="6DDC534B">
              <w:rPr>
                <w:rFonts w:eastAsia="Times New Roman" w:cs="Calibri"/>
                <w:color w:val="000000" w:themeColor="text1"/>
                <w:sz w:val="16"/>
                <w:szCs w:val="16"/>
              </w:rPr>
              <w:t>54.2%</w:t>
            </w:r>
          </w:p>
        </w:tc>
        <w:tc>
          <w:tcPr>
            <w:tcW w:w="720" w:type="dxa"/>
            <w:shd w:val="clear" w:color="auto" w:fill="F2F2F2" w:themeFill="background1" w:themeFillShade="F2"/>
            <w:noWrap/>
            <w:vAlign w:val="center"/>
          </w:tcPr>
          <w:p w14:paraId="5CBAC2A6" w14:textId="1F682E70" w:rsidR="00795B25" w:rsidRPr="009520C8" w:rsidRDefault="00795B25" w:rsidP="00795B25">
            <w:pPr>
              <w:spacing w:after="0"/>
              <w:jc w:val="center"/>
              <w:rPr>
                <w:rFonts w:eastAsia="Times New Roman" w:cs="Calibri"/>
                <w:color w:val="000000"/>
                <w:sz w:val="18"/>
                <w:szCs w:val="18"/>
              </w:rPr>
            </w:pPr>
            <w:r w:rsidRPr="6DDC534B">
              <w:rPr>
                <w:rFonts w:eastAsia="Times New Roman" w:cs="Calibri"/>
                <w:color w:val="000000" w:themeColor="text1"/>
                <w:sz w:val="16"/>
                <w:szCs w:val="16"/>
              </w:rPr>
              <w:t>69.3%</w:t>
            </w:r>
          </w:p>
        </w:tc>
        <w:tc>
          <w:tcPr>
            <w:tcW w:w="810" w:type="dxa"/>
            <w:shd w:val="clear" w:color="auto" w:fill="F2F2F2" w:themeFill="background1" w:themeFillShade="F2"/>
            <w:noWrap/>
            <w:vAlign w:val="center"/>
          </w:tcPr>
          <w:p w14:paraId="03CA53FE" w14:textId="7ACA4C63" w:rsidR="00795B25" w:rsidRPr="009520C8" w:rsidRDefault="00795B25" w:rsidP="00795B25">
            <w:pPr>
              <w:spacing w:after="0"/>
              <w:jc w:val="center"/>
              <w:rPr>
                <w:rFonts w:eastAsia="Times New Roman" w:cs="Calibri"/>
                <w:color w:val="000000"/>
                <w:sz w:val="18"/>
                <w:szCs w:val="18"/>
              </w:rPr>
            </w:pPr>
            <w:r w:rsidRPr="6DDC534B">
              <w:rPr>
                <w:rFonts w:eastAsia="Times New Roman" w:cs="Calibri"/>
                <w:color w:val="000000" w:themeColor="text1"/>
                <w:sz w:val="16"/>
                <w:szCs w:val="16"/>
              </w:rPr>
              <w:t>78.0%</w:t>
            </w:r>
          </w:p>
        </w:tc>
        <w:tc>
          <w:tcPr>
            <w:tcW w:w="720" w:type="dxa"/>
            <w:shd w:val="clear" w:color="auto" w:fill="F2F2F2" w:themeFill="background1" w:themeFillShade="F2"/>
            <w:noWrap/>
            <w:vAlign w:val="center"/>
          </w:tcPr>
          <w:p w14:paraId="0404EA27" w14:textId="3DE159AB" w:rsidR="00795B25" w:rsidRPr="009520C8" w:rsidRDefault="00795B25" w:rsidP="00795B25">
            <w:pPr>
              <w:spacing w:after="0"/>
              <w:jc w:val="center"/>
              <w:rPr>
                <w:rFonts w:eastAsia="Times New Roman" w:cs="Calibri"/>
                <w:color w:val="000000"/>
                <w:sz w:val="18"/>
                <w:szCs w:val="18"/>
              </w:rPr>
            </w:pPr>
            <w:r w:rsidRPr="6DDC534B">
              <w:rPr>
                <w:rFonts w:eastAsia="Times New Roman" w:cs="Calibri"/>
                <w:color w:val="000000" w:themeColor="text1"/>
                <w:sz w:val="16"/>
                <w:szCs w:val="16"/>
              </w:rPr>
              <w:t>67.4%</w:t>
            </w:r>
          </w:p>
        </w:tc>
        <w:tc>
          <w:tcPr>
            <w:tcW w:w="720" w:type="dxa"/>
            <w:shd w:val="clear" w:color="auto" w:fill="F2F2F2" w:themeFill="background1" w:themeFillShade="F2"/>
            <w:noWrap/>
            <w:vAlign w:val="center"/>
          </w:tcPr>
          <w:p w14:paraId="4B979A75" w14:textId="0939B796" w:rsidR="00795B25" w:rsidRPr="009520C8" w:rsidRDefault="00795B25" w:rsidP="00795B25">
            <w:pPr>
              <w:spacing w:after="0"/>
              <w:jc w:val="center"/>
              <w:rPr>
                <w:rFonts w:eastAsia="Times New Roman" w:cs="Calibri"/>
                <w:color w:val="000000"/>
                <w:sz w:val="18"/>
                <w:szCs w:val="18"/>
              </w:rPr>
            </w:pPr>
            <w:r w:rsidRPr="6DDC534B">
              <w:rPr>
                <w:rFonts w:eastAsia="Times New Roman" w:cs="Calibri"/>
                <w:color w:val="000000" w:themeColor="text1"/>
                <w:sz w:val="16"/>
                <w:szCs w:val="16"/>
              </w:rPr>
              <w:t>65.6%</w:t>
            </w:r>
          </w:p>
        </w:tc>
        <w:tc>
          <w:tcPr>
            <w:tcW w:w="1080" w:type="dxa"/>
            <w:shd w:val="clear" w:color="auto" w:fill="F2F2F2" w:themeFill="background1" w:themeFillShade="F2"/>
            <w:noWrap/>
            <w:vAlign w:val="center"/>
          </w:tcPr>
          <w:p w14:paraId="120D4E80" w14:textId="0644AD64" w:rsidR="00795B25" w:rsidRPr="009520C8" w:rsidRDefault="00795B25" w:rsidP="00795B25">
            <w:pPr>
              <w:spacing w:after="0"/>
              <w:jc w:val="center"/>
              <w:rPr>
                <w:rFonts w:eastAsia="Times New Roman" w:cs="Calibri"/>
                <w:color w:val="000000"/>
                <w:sz w:val="18"/>
                <w:szCs w:val="18"/>
              </w:rPr>
            </w:pPr>
            <w:r w:rsidRPr="6DDC534B">
              <w:rPr>
                <w:rFonts w:eastAsia="Times New Roman" w:cs="Calibri"/>
                <w:color w:val="000000" w:themeColor="text1"/>
                <w:sz w:val="16"/>
                <w:szCs w:val="16"/>
              </w:rPr>
              <w:t>62.3%</w:t>
            </w:r>
          </w:p>
        </w:tc>
        <w:tc>
          <w:tcPr>
            <w:tcW w:w="720" w:type="dxa"/>
            <w:shd w:val="clear" w:color="auto" w:fill="F2F2F2" w:themeFill="background1" w:themeFillShade="F2"/>
            <w:noWrap/>
            <w:vAlign w:val="center"/>
          </w:tcPr>
          <w:p w14:paraId="23894FBB" w14:textId="13BC9C23" w:rsidR="00795B25" w:rsidRPr="009520C8" w:rsidRDefault="00795B25" w:rsidP="00795B25">
            <w:pPr>
              <w:spacing w:after="0"/>
              <w:jc w:val="center"/>
              <w:rPr>
                <w:rFonts w:eastAsia="Times New Roman" w:cs="Calibri"/>
                <w:color w:val="000000"/>
                <w:sz w:val="18"/>
                <w:szCs w:val="18"/>
              </w:rPr>
            </w:pPr>
            <w:r w:rsidRPr="23A975EA">
              <w:rPr>
                <w:rFonts w:eastAsia="Times New Roman" w:cs="Calibri"/>
                <w:color w:val="000000" w:themeColor="text1"/>
                <w:sz w:val="16"/>
                <w:szCs w:val="16"/>
              </w:rPr>
              <w:t>63.5%</w:t>
            </w:r>
          </w:p>
        </w:tc>
        <w:tc>
          <w:tcPr>
            <w:tcW w:w="810" w:type="dxa"/>
            <w:shd w:val="clear" w:color="auto" w:fill="F2F2F2" w:themeFill="background1" w:themeFillShade="F2"/>
            <w:noWrap/>
            <w:vAlign w:val="center"/>
          </w:tcPr>
          <w:p w14:paraId="65C47A7E" w14:textId="45BEB724" w:rsidR="00795B25" w:rsidRPr="009520C8" w:rsidRDefault="00795B25" w:rsidP="00795B25">
            <w:pPr>
              <w:spacing w:after="0"/>
              <w:jc w:val="center"/>
              <w:rPr>
                <w:rFonts w:eastAsia="Times New Roman" w:cs="Calibri"/>
                <w:color w:val="000000"/>
                <w:sz w:val="18"/>
                <w:szCs w:val="18"/>
              </w:rPr>
            </w:pPr>
            <w:r w:rsidRPr="23A975EA">
              <w:rPr>
                <w:rFonts w:eastAsia="Times New Roman" w:cs="Calibri"/>
                <w:color w:val="000000" w:themeColor="text1"/>
                <w:sz w:val="16"/>
                <w:szCs w:val="16"/>
              </w:rPr>
              <w:t>68.4%</w:t>
            </w:r>
          </w:p>
        </w:tc>
        <w:tc>
          <w:tcPr>
            <w:tcW w:w="810" w:type="dxa"/>
            <w:shd w:val="clear" w:color="auto" w:fill="F2F2F2" w:themeFill="background1" w:themeFillShade="F2"/>
            <w:noWrap/>
            <w:vAlign w:val="center"/>
          </w:tcPr>
          <w:p w14:paraId="3D9C3181" w14:textId="4084C468" w:rsidR="00795B25" w:rsidRPr="009520C8" w:rsidRDefault="00795B25" w:rsidP="00795B25">
            <w:pPr>
              <w:spacing w:after="0"/>
              <w:jc w:val="center"/>
              <w:rPr>
                <w:rFonts w:eastAsia="Times New Roman" w:cs="Calibri"/>
                <w:color w:val="000000"/>
                <w:sz w:val="18"/>
                <w:szCs w:val="18"/>
              </w:rPr>
            </w:pPr>
            <w:r w:rsidRPr="23A975EA">
              <w:rPr>
                <w:rFonts w:eastAsia="Times New Roman" w:cs="Calibri"/>
                <w:color w:val="000000" w:themeColor="text1"/>
                <w:sz w:val="16"/>
                <w:szCs w:val="16"/>
              </w:rPr>
              <w:t>78.6%</w:t>
            </w:r>
          </w:p>
        </w:tc>
        <w:tc>
          <w:tcPr>
            <w:tcW w:w="810" w:type="dxa"/>
            <w:shd w:val="clear" w:color="auto" w:fill="F2F2F2" w:themeFill="background1" w:themeFillShade="F2"/>
            <w:noWrap/>
            <w:vAlign w:val="center"/>
          </w:tcPr>
          <w:p w14:paraId="2C23F3C3" w14:textId="406FABF0" w:rsidR="00795B25" w:rsidRPr="009520C8" w:rsidRDefault="00795B25" w:rsidP="00795B25">
            <w:pPr>
              <w:spacing w:after="0"/>
              <w:jc w:val="center"/>
              <w:rPr>
                <w:rFonts w:eastAsia="Times New Roman" w:cs="Calibri"/>
                <w:color w:val="000000"/>
                <w:sz w:val="18"/>
                <w:szCs w:val="18"/>
              </w:rPr>
            </w:pPr>
            <w:r w:rsidRPr="23A975EA">
              <w:rPr>
                <w:rFonts w:eastAsia="Times New Roman" w:cs="Calibri"/>
                <w:color w:val="000000" w:themeColor="text1"/>
                <w:sz w:val="16"/>
                <w:szCs w:val="16"/>
              </w:rPr>
              <w:t>70.1%</w:t>
            </w:r>
          </w:p>
        </w:tc>
        <w:tc>
          <w:tcPr>
            <w:tcW w:w="720" w:type="dxa"/>
            <w:shd w:val="clear" w:color="auto" w:fill="F2F2F2" w:themeFill="background1" w:themeFillShade="F2"/>
            <w:noWrap/>
            <w:vAlign w:val="center"/>
          </w:tcPr>
          <w:p w14:paraId="7A4B47C5" w14:textId="1723EE15" w:rsidR="00795B25" w:rsidRPr="009520C8" w:rsidRDefault="00795B25" w:rsidP="00795B25">
            <w:pPr>
              <w:spacing w:after="0"/>
              <w:jc w:val="center"/>
              <w:rPr>
                <w:rFonts w:eastAsia="Times New Roman" w:cs="Calibri"/>
                <w:color w:val="000000"/>
                <w:sz w:val="18"/>
                <w:szCs w:val="18"/>
              </w:rPr>
            </w:pPr>
            <w:r w:rsidRPr="23A975EA">
              <w:rPr>
                <w:rFonts w:eastAsia="Times New Roman" w:cs="Calibri"/>
                <w:color w:val="000000" w:themeColor="text1"/>
                <w:sz w:val="16"/>
                <w:szCs w:val="16"/>
              </w:rPr>
              <w:t>67.9%</w:t>
            </w:r>
          </w:p>
        </w:tc>
        <w:tc>
          <w:tcPr>
            <w:tcW w:w="720" w:type="dxa"/>
            <w:shd w:val="clear" w:color="auto" w:fill="F2F2F2" w:themeFill="background1" w:themeFillShade="F2"/>
            <w:noWrap/>
            <w:vAlign w:val="center"/>
          </w:tcPr>
          <w:p w14:paraId="350D38CB" w14:textId="48B8860E" w:rsidR="00795B25" w:rsidRPr="007D79B2" w:rsidRDefault="12EC8AB0" w:rsidP="00795B25">
            <w:pPr>
              <w:spacing w:after="0"/>
              <w:jc w:val="center"/>
              <w:rPr>
                <w:rFonts w:eastAsia="Times New Roman" w:cs="Calibri"/>
                <w:color w:val="000000"/>
                <w:sz w:val="16"/>
                <w:szCs w:val="16"/>
              </w:rPr>
            </w:pPr>
            <w:r w:rsidRPr="007D79B2">
              <w:rPr>
                <w:rFonts w:eastAsia="Times New Roman" w:cs="Calibri"/>
                <w:color w:val="000000" w:themeColor="text1"/>
                <w:sz w:val="16"/>
                <w:szCs w:val="16"/>
              </w:rPr>
              <w:t>60.9%</w:t>
            </w:r>
          </w:p>
        </w:tc>
        <w:tc>
          <w:tcPr>
            <w:tcW w:w="990" w:type="dxa"/>
            <w:shd w:val="clear" w:color="auto" w:fill="F2F2F2" w:themeFill="background1" w:themeFillShade="F2"/>
            <w:noWrap/>
            <w:vAlign w:val="center"/>
          </w:tcPr>
          <w:p w14:paraId="574890B2" w14:textId="3601E98F" w:rsidR="00795B25" w:rsidRPr="007D79B2" w:rsidRDefault="12EC8AB0" w:rsidP="00795B25">
            <w:pPr>
              <w:spacing w:after="0"/>
              <w:jc w:val="center"/>
              <w:rPr>
                <w:rFonts w:eastAsia="Times New Roman" w:cs="Calibri"/>
                <w:color w:val="000000"/>
                <w:sz w:val="16"/>
                <w:szCs w:val="16"/>
              </w:rPr>
            </w:pPr>
            <w:r w:rsidRPr="007D79B2">
              <w:rPr>
                <w:rFonts w:eastAsia="Times New Roman" w:cs="Calibri"/>
                <w:color w:val="000000" w:themeColor="text1"/>
                <w:sz w:val="16"/>
                <w:szCs w:val="16"/>
              </w:rPr>
              <w:t>73.5%</w:t>
            </w:r>
          </w:p>
        </w:tc>
        <w:tc>
          <w:tcPr>
            <w:tcW w:w="720" w:type="dxa"/>
            <w:shd w:val="clear" w:color="auto" w:fill="F2F2F2" w:themeFill="background1" w:themeFillShade="F2"/>
            <w:noWrap/>
            <w:vAlign w:val="center"/>
          </w:tcPr>
          <w:p w14:paraId="15E3EB69" w14:textId="202E78DA" w:rsidR="00795B25" w:rsidRPr="007D79B2" w:rsidRDefault="12EC8AB0" w:rsidP="00795B25">
            <w:pPr>
              <w:spacing w:after="0"/>
              <w:jc w:val="center"/>
              <w:rPr>
                <w:rFonts w:eastAsia="Times New Roman" w:cs="Calibri"/>
                <w:color w:val="000000"/>
                <w:sz w:val="16"/>
                <w:szCs w:val="16"/>
              </w:rPr>
            </w:pPr>
            <w:r w:rsidRPr="007D79B2">
              <w:rPr>
                <w:rFonts w:eastAsia="Times New Roman" w:cs="Calibri"/>
                <w:color w:val="000000" w:themeColor="text1"/>
                <w:sz w:val="16"/>
                <w:szCs w:val="16"/>
              </w:rPr>
              <w:t>68.6%</w:t>
            </w:r>
          </w:p>
        </w:tc>
        <w:tc>
          <w:tcPr>
            <w:tcW w:w="720" w:type="dxa"/>
            <w:shd w:val="clear" w:color="auto" w:fill="F2F2F2" w:themeFill="background1" w:themeFillShade="F2"/>
            <w:noWrap/>
            <w:vAlign w:val="center"/>
          </w:tcPr>
          <w:p w14:paraId="63CAE074" w14:textId="75BC4E54" w:rsidR="00795B25" w:rsidRPr="007D79B2" w:rsidRDefault="007D79B2" w:rsidP="00795B25">
            <w:pPr>
              <w:spacing w:after="0"/>
              <w:jc w:val="center"/>
              <w:rPr>
                <w:rFonts w:eastAsia="Times New Roman" w:cs="Calibri"/>
                <w:color w:val="000000"/>
                <w:sz w:val="16"/>
                <w:szCs w:val="16"/>
              </w:rPr>
            </w:pPr>
            <w:r w:rsidRPr="007D79B2">
              <w:rPr>
                <w:rFonts w:eastAsia="Times New Roman" w:cs="Calibri"/>
                <w:color w:val="000000"/>
                <w:sz w:val="16"/>
                <w:szCs w:val="16"/>
              </w:rPr>
              <w:t>61.7%</w:t>
            </w:r>
          </w:p>
        </w:tc>
        <w:tc>
          <w:tcPr>
            <w:tcW w:w="720" w:type="dxa"/>
            <w:shd w:val="clear" w:color="auto" w:fill="F2F2F2" w:themeFill="background1" w:themeFillShade="F2"/>
            <w:noWrap/>
            <w:vAlign w:val="center"/>
          </w:tcPr>
          <w:p w14:paraId="79119CA7" w14:textId="47DCEFAD" w:rsidR="00795B25" w:rsidRPr="007D79B2" w:rsidRDefault="007D79B2" w:rsidP="00795B25">
            <w:pPr>
              <w:spacing w:after="0"/>
              <w:jc w:val="center"/>
              <w:rPr>
                <w:rFonts w:eastAsia="Times New Roman" w:cs="Calibri"/>
                <w:color w:val="000000" w:themeColor="text1"/>
                <w:sz w:val="16"/>
                <w:szCs w:val="16"/>
              </w:rPr>
            </w:pPr>
            <w:r>
              <w:rPr>
                <w:rFonts w:eastAsia="Times New Roman" w:cs="Calibri"/>
                <w:color w:val="000000" w:themeColor="text1"/>
                <w:sz w:val="16"/>
                <w:szCs w:val="16"/>
              </w:rPr>
              <w:t>67.4%</w:t>
            </w:r>
            <w:r w:rsidR="0856CFBD" w:rsidRPr="007D79B2">
              <w:rPr>
                <w:rFonts w:eastAsia="Times New Roman" w:cs="Calibri"/>
                <w:color w:val="000000" w:themeColor="text1"/>
                <w:sz w:val="16"/>
                <w:szCs w:val="16"/>
              </w:rPr>
              <w:t xml:space="preserve">    </w:t>
            </w:r>
          </w:p>
        </w:tc>
        <w:tc>
          <w:tcPr>
            <w:tcW w:w="720" w:type="dxa"/>
            <w:shd w:val="clear" w:color="auto" w:fill="F2F2F2" w:themeFill="background1" w:themeFillShade="F2"/>
            <w:noWrap/>
            <w:vAlign w:val="center"/>
          </w:tcPr>
          <w:p w14:paraId="33B39CB1" w14:textId="15128E07" w:rsidR="00795B25" w:rsidRPr="007D79B2" w:rsidRDefault="00414381" w:rsidP="00795B25">
            <w:pPr>
              <w:spacing w:after="0"/>
              <w:jc w:val="center"/>
              <w:rPr>
                <w:rFonts w:eastAsia="Times New Roman" w:cs="Calibri"/>
                <w:color w:val="000000" w:themeColor="text1"/>
                <w:sz w:val="16"/>
                <w:szCs w:val="16"/>
              </w:rPr>
            </w:pPr>
            <w:r>
              <w:rPr>
                <w:rFonts w:eastAsia="Times New Roman" w:cs="Calibri"/>
                <w:color w:val="000000" w:themeColor="text1"/>
                <w:sz w:val="16"/>
                <w:szCs w:val="16"/>
              </w:rPr>
              <w:t>58.0%</w:t>
            </w:r>
            <w:r w:rsidR="0856CFBD" w:rsidRPr="007D79B2">
              <w:rPr>
                <w:rFonts w:eastAsia="Times New Roman" w:cs="Calibri"/>
                <w:color w:val="000000" w:themeColor="text1"/>
                <w:sz w:val="16"/>
                <w:szCs w:val="16"/>
              </w:rPr>
              <w:t xml:space="preserve">    </w:t>
            </w:r>
          </w:p>
        </w:tc>
      </w:tr>
      <w:tr w:rsidR="00795B25" w14:paraId="730AA93B" w14:textId="77777777" w:rsidTr="44871088">
        <w:trPr>
          <w:trHeight w:val="465"/>
        </w:trPr>
        <w:tc>
          <w:tcPr>
            <w:tcW w:w="810" w:type="dxa"/>
            <w:shd w:val="clear" w:color="auto" w:fill="F2F2F2" w:themeFill="background1" w:themeFillShade="F2"/>
            <w:noWrap/>
            <w:hideMark/>
          </w:tcPr>
          <w:p w14:paraId="66F41132" w14:textId="69C6DBFF" w:rsidR="00795B25" w:rsidRDefault="00795B25" w:rsidP="00795B25">
            <w:pPr>
              <w:spacing w:after="0"/>
              <w:jc w:val="center"/>
              <w:rPr>
                <w:rFonts w:eastAsia="Times New Roman" w:cs="Calibri"/>
                <w:sz w:val="16"/>
                <w:szCs w:val="16"/>
              </w:rPr>
            </w:pPr>
            <w:r>
              <w:rPr>
                <w:rFonts w:eastAsia="Times New Roman" w:cs="Calibri"/>
                <w:sz w:val="16"/>
                <w:szCs w:val="16"/>
              </w:rPr>
              <w:t>AMR</w:t>
            </w:r>
          </w:p>
        </w:tc>
        <w:tc>
          <w:tcPr>
            <w:tcW w:w="2880" w:type="dxa"/>
            <w:shd w:val="clear" w:color="auto" w:fill="F2F2F2" w:themeFill="background1" w:themeFillShade="F2"/>
            <w:hideMark/>
          </w:tcPr>
          <w:p w14:paraId="3C449FD4" w14:textId="0A918347" w:rsidR="00795B25" w:rsidRDefault="00795B25" w:rsidP="00795B25">
            <w:pPr>
              <w:rPr>
                <w:rFonts w:eastAsia="Times New Roman" w:cs="Calibri"/>
                <w:sz w:val="16"/>
                <w:szCs w:val="16"/>
              </w:rPr>
            </w:pPr>
            <w:r>
              <w:rPr>
                <w:rFonts w:eastAsia="Times New Roman" w:cs="Calibri"/>
                <w:sz w:val="16"/>
                <w:szCs w:val="16"/>
              </w:rPr>
              <w:t>Asthma Medication Ratio</w:t>
            </w:r>
            <w:r w:rsidRPr="68129C33">
              <w:rPr>
                <w:rFonts w:eastAsia="Times New Roman" w:cs="Calibri"/>
                <w:sz w:val="16"/>
                <w:szCs w:val="16"/>
              </w:rPr>
              <w:t xml:space="preserve"> </w:t>
            </w:r>
          </w:p>
        </w:tc>
        <w:tc>
          <w:tcPr>
            <w:tcW w:w="810" w:type="dxa"/>
            <w:shd w:val="clear" w:color="auto" w:fill="F2F2F2" w:themeFill="background1" w:themeFillShade="F2"/>
            <w:noWrap/>
            <w:vAlign w:val="center"/>
          </w:tcPr>
          <w:p w14:paraId="2FB45ABD" w14:textId="293F7FE8" w:rsidR="00795B25" w:rsidRPr="00290BD8" w:rsidRDefault="00290BD8" w:rsidP="00795B25">
            <w:pPr>
              <w:jc w:val="center"/>
              <w:rPr>
                <w:rFonts w:eastAsia="Times New Roman" w:cs="Calibri"/>
                <w:color w:val="000000" w:themeColor="text1"/>
                <w:sz w:val="16"/>
                <w:szCs w:val="16"/>
              </w:rPr>
            </w:pPr>
            <w:r w:rsidRPr="00290BD8">
              <w:rPr>
                <w:rFonts w:eastAsia="Times New Roman" w:cs="Calibri"/>
                <w:color w:val="000000" w:themeColor="text1"/>
                <w:sz w:val="16"/>
                <w:szCs w:val="16"/>
              </w:rPr>
              <w:t>60.7%</w:t>
            </w:r>
          </w:p>
        </w:tc>
        <w:tc>
          <w:tcPr>
            <w:tcW w:w="720" w:type="dxa"/>
            <w:shd w:val="clear" w:color="auto" w:fill="F2F2F2" w:themeFill="background1" w:themeFillShade="F2"/>
            <w:noWrap/>
            <w:vAlign w:val="center"/>
          </w:tcPr>
          <w:p w14:paraId="3509CC84" w14:textId="052E39FF" w:rsidR="00795B25" w:rsidRDefault="00795B25" w:rsidP="00795B25">
            <w:pPr>
              <w:jc w:val="center"/>
              <w:rPr>
                <w:rFonts w:eastAsia="Times New Roman" w:cs="Calibri"/>
                <w:color w:val="000000" w:themeColor="text1"/>
                <w:sz w:val="18"/>
                <w:szCs w:val="18"/>
              </w:rPr>
            </w:pPr>
            <w:r w:rsidRPr="7845864A">
              <w:rPr>
                <w:rFonts w:eastAsia="Times New Roman" w:cs="Calibri"/>
                <w:color w:val="000000" w:themeColor="text1"/>
                <w:sz w:val="16"/>
                <w:szCs w:val="16"/>
              </w:rPr>
              <w:t>55.3%</w:t>
            </w:r>
          </w:p>
        </w:tc>
        <w:tc>
          <w:tcPr>
            <w:tcW w:w="720" w:type="dxa"/>
            <w:shd w:val="clear" w:color="auto" w:fill="F2F2F2" w:themeFill="background1" w:themeFillShade="F2"/>
            <w:noWrap/>
            <w:vAlign w:val="center"/>
          </w:tcPr>
          <w:p w14:paraId="53F7C536" w14:textId="59739226" w:rsidR="00795B25" w:rsidRDefault="00795B25" w:rsidP="00795B25">
            <w:pPr>
              <w:jc w:val="center"/>
              <w:rPr>
                <w:rFonts w:eastAsia="Times New Roman" w:cs="Calibri"/>
                <w:color w:val="000000" w:themeColor="text1"/>
                <w:sz w:val="18"/>
                <w:szCs w:val="18"/>
              </w:rPr>
            </w:pPr>
            <w:r w:rsidRPr="7845864A">
              <w:rPr>
                <w:rFonts w:eastAsia="Times New Roman" w:cs="Calibri"/>
                <w:color w:val="000000" w:themeColor="text1"/>
                <w:sz w:val="16"/>
                <w:szCs w:val="16"/>
              </w:rPr>
              <w:t>58.9%</w:t>
            </w:r>
          </w:p>
        </w:tc>
        <w:tc>
          <w:tcPr>
            <w:tcW w:w="720" w:type="dxa"/>
            <w:shd w:val="clear" w:color="auto" w:fill="F2F2F2" w:themeFill="background1" w:themeFillShade="F2"/>
            <w:noWrap/>
            <w:vAlign w:val="center"/>
          </w:tcPr>
          <w:p w14:paraId="6355799D" w14:textId="41BAA395" w:rsidR="00795B25" w:rsidRDefault="00795B25" w:rsidP="00795B25">
            <w:pPr>
              <w:jc w:val="center"/>
              <w:rPr>
                <w:rFonts w:eastAsia="Times New Roman" w:cs="Calibri"/>
                <w:color w:val="000000" w:themeColor="text1"/>
                <w:sz w:val="18"/>
                <w:szCs w:val="18"/>
              </w:rPr>
            </w:pPr>
            <w:r w:rsidRPr="7845864A">
              <w:rPr>
                <w:rFonts w:eastAsia="Times New Roman" w:cs="Calibri"/>
                <w:color w:val="000000" w:themeColor="text1"/>
                <w:sz w:val="16"/>
                <w:szCs w:val="16"/>
              </w:rPr>
              <w:t>55.6%</w:t>
            </w:r>
          </w:p>
        </w:tc>
        <w:tc>
          <w:tcPr>
            <w:tcW w:w="720" w:type="dxa"/>
            <w:shd w:val="clear" w:color="auto" w:fill="F2F2F2" w:themeFill="background1" w:themeFillShade="F2"/>
            <w:noWrap/>
            <w:vAlign w:val="center"/>
          </w:tcPr>
          <w:p w14:paraId="6127636F" w14:textId="3022548F" w:rsidR="00795B25" w:rsidRDefault="00795B25" w:rsidP="00795B25">
            <w:pPr>
              <w:jc w:val="center"/>
              <w:rPr>
                <w:rFonts w:eastAsia="Times New Roman" w:cs="Calibri"/>
                <w:color w:val="000000" w:themeColor="text1"/>
                <w:sz w:val="18"/>
                <w:szCs w:val="18"/>
              </w:rPr>
            </w:pPr>
            <w:r w:rsidRPr="7845864A">
              <w:rPr>
                <w:rFonts w:eastAsia="Times New Roman" w:cs="Calibri"/>
                <w:color w:val="000000" w:themeColor="text1"/>
                <w:sz w:val="16"/>
                <w:szCs w:val="16"/>
              </w:rPr>
              <w:t>58.4%</w:t>
            </w:r>
          </w:p>
        </w:tc>
        <w:tc>
          <w:tcPr>
            <w:tcW w:w="720" w:type="dxa"/>
            <w:shd w:val="clear" w:color="auto" w:fill="F2F2F2" w:themeFill="background1" w:themeFillShade="F2"/>
            <w:noWrap/>
            <w:vAlign w:val="center"/>
          </w:tcPr>
          <w:p w14:paraId="3F1E8CA4" w14:textId="3012CC17" w:rsidR="00795B25" w:rsidRDefault="00795B25" w:rsidP="00795B25">
            <w:pPr>
              <w:jc w:val="center"/>
              <w:rPr>
                <w:rFonts w:eastAsia="Times New Roman" w:cs="Calibri"/>
                <w:color w:val="000000" w:themeColor="text1"/>
                <w:sz w:val="18"/>
                <w:szCs w:val="18"/>
              </w:rPr>
            </w:pPr>
            <w:r w:rsidRPr="7845864A">
              <w:rPr>
                <w:rFonts w:eastAsia="Times New Roman" w:cs="Calibri"/>
                <w:color w:val="000000" w:themeColor="text1"/>
                <w:sz w:val="16"/>
                <w:szCs w:val="16"/>
              </w:rPr>
              <w:t>61.9%</w:t>
            </w:r>
          </w:p>
        </w:tc>
        <w:tc>
          <w:tcPr>
            <w:tcW w:w="810" w:type="dxa"/>
            <w:shd w:val="clear" w:color="auto" w:fill="F2F2F2" w:themeFill="background1" w:themeFillShade="F2"/>
            <w:noWrap/>
            <w:vAlign w:val="center"/>
          </w:tcPr>
          <w:p w14:paraId="120637F6" w14:textId="5C2C5589" w:rsidR="00795B25" w:rsidRDefault="00795B25" w:rsidP="00795B25">
            <w:pPr>
              <w:jc w:val="center"/>
              <w:rPr>
                <w:rFonts w:eastAsia="Times New Roman" w:cs="Calibri"/>
                <w:color w:val="000000" w:themeColor="text1"/>
                <w:sz w:val="18"/>
                <w:szCs w:val="18"/>
              </w:rPr>
            </w:pPr>
            <w:r w:rsidRPr="7845864A">
              <w:rPr>
                <w:rFonts w:eastAsia="Times New Roman" w:cs="Calibri"/>
                <w:color w:val="000000" w:themeColor="text1"/>
                <w:sz w:val="16"/>
                <w:szCs w:val="16"/>
              </w:rPr>
              <w:t>61.5%</w:t>
            </w:r>
          </w:p>
        </w:tc>
        <w:tc>
          <w:tcPr>
            <w:tcW w:w="720" w:type="dxa"/>
            <w:shd w:val="clear" w:color="auto" w:fill="F2F2F2" w:themeFill="background1" w:themeFillShade="F2"/>
            <w:noWrap/>
            <w:vAlign w:val="center"/>
          </w:tcPr>
          <w:p w14:paraId="139D9DAE" w14:textId="2BDA580A" w:rsidR="00795B25" w:rsidRDefault="00795B25" w:rsidP="00795B25">
            <w:pPr>
              <w:jc w:val="center"/>
              <w:rPr>
                <w:rFonts w:eastAsia="Times New Roman" w:cs="Calibri"/>
                <w:color w:val="000000" w:themeColor="text1"/>
                <w:sz w:val="18"/>
                <w:szCs w:val="18"/>
              </w:rPr>
            </w:pPr>
            <w:r w:rsidRPr="7845864A">
              <w:rPr>
                <w:rFonts w:eastAsia="Times New Roman" w:cs="Calibri"/>
                <w:color w:val="000000" w:themeColor="text1"/>
                <w:sz w:val="16"/>
                <w:szCs w:val="16"/>
              </w:rPr>
              <w:t>58.0%</w:t>
            </w:r>
          </w:p>
        </w:tc>
        <w:tc>
          <w:tcPr>
            <w:tcW w:w="720" w:type="dxa"/>
            <w:shd w:val="clear" w:color="auto" w:fill="F2F2F2" w:themeFill="background1" w:themeFillShade="F2"/>
            <w:noWrap/>
            <w:vAlign w:val="center"/>
          </w:tcPr>
          <w:p w14:paraId="20B6D05D" w14:textId="7270475B" w:rsidR="00795B25" w:rsidRDefault="00795B25" w:rsidP="00795B25">
            <w:pPr>
              <w:jc w:val="center"/>
              <w:rPr>
                <w:rFonts w:eastAsia="Times New Roman" w:cs="Calibri"/>
                <w:color w:val="000000" w:themeColor="text1"/>
                <w:sz w:val="18"/>
                <w:szCs w:val="18"/>
              </w:rPr>
            </w:pPr>
            <w:r w:rsidRPr="7845864A">
              <w:rPr>
                <w:rFonts w:eastAsia="Times New Roman" w:cs="Calibri"/>
                <w:color w:val="000000" w:themeColor="text1"/>
                <w:sz w:val="16"/>
                <w:szCs w:val="16"/>
              </w:rPr>
              <w:t>52.1%</w:t>
            </w:r>
          </w:p>
        </w:tc>
        <w:tc>
          <w:tcPr>
            <w:tcW w:w="1080" w:type="dxa"/>
            <w:shd w:val="clear" w:color="auto" w:fill="F2F2F2" w:themeFill="background1" w:themeFillShade="F2"/>
            <w:noWrap/>
            <w:vAlign w:val="center"/>
          </w:tcPr>
          <w:p w14:paraId="20644373" w14:textId="586E5216" w:rsidR="00795B25" w:rsidRDefault="00795B25" w:rsidP="00795B25">
            <w:pPr>
              <w:jc w:val="center"/>
              <w:rPr>
                <w:rFonts w:eastAsia="Times New Roman" w:cs="Calibri"/>
                <w:color w:val="000000" w:themeColor="text1"/>
                <w:sz w:val="18"/>
                <w:szCs w:val="18"/>
              </w:rPr>
            </w:pPr>
            <w:r w:rsidRPr="7845864A">
              <w:rPr>
                <w:rFonts w:eastAsia="Times New Roman" w:cs="Calibri"/>
                <w:color w:val="000000" w:themeColor="text1"/>
                <w:sz w:val="16"/>
                <w:szCs w:val="16"/>
              </w:rPr>
              <w:t>65.9%</w:t>
            </w:r>
          </w:p>
        </w:tc>
        <w:tc>
          <w:tcPr>
            <w:tcW w:w="720" w:type="dxa"/>
            <w:shd w:val="clear" w:color="auto" w:fill="F2F2F2" w:themeFill="background1" w:themeFillShade="F2"/>
            <w:noWrap/>
            <w:vAlign w:val="center"/>
          </w:tcPr>
          <w:p w14:paraId="417C4714" w14:textId="1B5002B7" w:rsidR="00795B25" w:rsidRDefault="00795B25" w:rsidP="00795B25">
            <w:pPr>
              <w:jc w:val="center"/>
              <w:rPr>
                <w:rFonts w:eastAsia="Times New Roman" w:cs="Calibri"/>
                <w:color w:val="000000" w:themeColor="text1"/>
                <w:sz w:val="18"/>
                <w:szCs w:val="18"/>
              </w:rPr>
            </w:pPr>
            <w:r w:rsidRPr="7845864A">
              <w:rPr>
                <w:rFonts w:eastAsia="Times New Roman" w:cs="Calibri"/>
                <w:color w:val="000000" w:themeColor="text1"/>
                <w:sz w:val="16"/>
                <w:szCs w:val="16"/>
              </w:rPr>
              <w:t>61.9%</w:t>
            </w:r>
          </w:p>
        </w:tc>
        <w:tc>
          <w:tcPr>
            <w:tcW w:w="810" w:type="dxa"/>
            <w:shd w:val="clear" w:color="auto" w:fill="F2F2F2" w:themeFill="background1" w:themeFillShade="F2"/>
            <w:noWrap/>
            <w:vAlign w:val="center"/>
          </w:tcPr>
          <w:p w14:paraId="57BF9BDD" w14:textId="6784EF75" w:rsidR="00795B25" w:rsidRDefault="00795B25" w:rsidP="00795B25">
            <w:pPr>
              <w:jc w:val="center"/>
              <w:rPr>
                <w:rFonts w:eastAsia="Times New Roman" w:cs="Calibri"/>
                <w:color w:val="000000" w:themeColor="text1"/>
                <w:sz w:val="18"/>
                <w:szCs w:val="18"/>
              </w:rPr>
            </w:pPr>
            <w:r w:rsidRPr="7845864A">
              <w:rPr>
                <w:rFonts w:eastAsia="Times New Roman" w:cs="Calibri"/>
                <w:color w:val="000000" w:themeColor="text1"/>
                <w:sz w:val="16"/>
                <w:szCs w:val="16"/>
              </w:rPr>
              <w:t>68.8%</w:t>
            </w:r>
          </w:p>
        </w:tc>
        <w:tc>
          <w:tcPr>
            <w:tcW w:w="810" w:type="dxa"/>
            <w:shd w:val="clear" w:color="auto" w:fill="F2F2F2" w:themeFill="background1" w:themeFillShade="F2"/>
            <w:noWrap/>
            <w:vAlign w:val="center"/>
          </w:tcPr>
          <w:p w14:paraId="6CCB3FB4" w14:textId="71E3588E" w:rsidR="00795B25" w:rsidRDefault="00795B25" w:rsidP="00795B25">
            <w:pPr>
              <w:jc w:val="center"/>
              <w:rPr>
                <w:rFonts w:eastAsia="Times New Roman" w:cs="Calibri"/>
                <w:color w:val="000000" w:themeColor="text1"/>
                <w:sz w:val="18"/>
                <w:szCs w:val="18"/>
              </w:rPr>
            </w:pPr>
            <w:r w:rsidRPr="7845864A">
              <w:rPr>
                <w:rFonts w:eastAsia="Times New Roman" w:cs="Calibri"/>
                <w:color w:val="000000" w:themeColor="text1"/>
                <w:sz w:val="16"/>
                <w:szCs w:val="16"/>
              </w:rPr>
              <w:t>64.0%</w:t>
            </w:r>
          </w:p>
        </w:tc>
        <w:tc>
          <w:tcPr>
            <w:tcW w:w="810" w:type="dxa"/>
            <w:shd w:val="clear" w:color="auto" w:fill="F2F2F2" w:themeFill="background1" w:themeFillShade="F2"/>
            <w:noWrap/>
            <w:vAlign w:val="center"/>
          </w:tcPr>
          <w:p w14:paraId="4C57D51A" w14:textId="39C945DC" w:rsidR="00795B25" w:rsidRDefault="00795B25" w:rsidP="00795B25">
            <w:pPr>
              <w:jc w:val="center"/>
              <w:rPr>
                <w:rFonts w:eastAsia="Times New Roman" w:cs="Calibri"/>
                <w:color w:val="000000" w:themeColor="text1"/>
                <w:sz w:val="18"/>
                <w:szCs w:val="18"/>
              </w:rPr>
            </w:pPr>
            <w:r w:rsidRPr="4D33C8E7">
              <w:rPr>
                <w:rFonts w:eastAsia="Times New Roman" w:cs="Calibri"/>
                <w:color w:val="000000" w:themeColor="text1"/>
                <w:sz w:val="16"/>
                <w:szCs w:val="16"/>
              </w:rPr>
              <w:t>61.6%</w:t>
            </w:r>
          </w:p>
        </w:tc>
        <w:tc>
          <w:tcPr>
            <w:tcW w:w="720" w:type="dxa"/>
            <w:shd w:val="clear" w:color="auto" w:fill="F2F2F2" w:themeFill="background1" w:themeFillShade="F2"/>
            <w:noWrap/>
            <w:vAlign w:val="center"/>
          </w:tcPr>
          <w:p w14:paraId="609711E5" w14:textId="7989CF93" w:rsidR="00795B25" w:rsidRDefault="00795B25" w:rsidP="00795B25">
            <w:pPr>
              <w:jc w:val="center"/>
              <w:rPr>
                <w:rFonts w:eastAsia="Times New Roman" w:cs="Calibri"/>
                <w:color w:val="000000" w:themeColor="text1"/>
                <w:sz w:val="18"/>
                <w:szCs w:val="18"/>
              </w:rPr>
            </w:pPr>
            <w:r w:rsidRPr="4D33C8E7">
              <w:rPr>
                <w:rFonts w:eastAsia="Times New Roman" w:cs="Calibri"/>
                <w:color w:val="000000" w:themeColor="text1"/>
                <w:sz w:val="16"/>
                <w:szCs w:val="16"/>
              </w:rPr>
              <w:t>63.4%</w:t>
            </w:r>
          </w:p>
        </w:tc>
        <w:tc>
          <w:tcPr>
            <w:tcW w:w="720" w:type="dxa"/>
            <w:shd w:val="clear" w:color="auto" w:fill="F2F2F2" w:themeFill="background1" w:themeFillShade="F2"/>
            <w:noWrap/>
            <w:vAlign w:val="center"/>
          </w:tcPr>
          <w:p w14:paraId="1E967B06" w14:textId="064B298D" w:rsidR="00795B25" w:rsidRPr="00290BD8" w:rsidRDefault="20894674" w:rsidP="00795B25">
            <w:pPr>
              <w:jc w:val="center"/>
              <w:rPr>
                <w:rFonts w:eastAsia="Times New Roman" w:cs="Calibri"/>
                <w:color w:val="000000" w:themeColor="text1"/>
                <w:sz w:val="16"/>
                <w:szCs w:val="16"/>
              </w:rPr>
            </w:pPr>
            <w:r w:rsidRPr="00290BD8">
              <w:rPr>
                <w:rFonts w:eastAsia="Times New Roman" w:cs="Calibri"/>
                <w:color w:val="000000" w:themeColor="text1"/>
                <w:sz w:val="16"/>
                <w:szCs w:val="16"/>
              </w:rPr>
              <w:t>58.5%</w:t>
            </w:r>
          </w:p>
        </w:tc>
        <w:tc>
          <w:tcPr>
            <w:tcW w:w="990" w:type="dxa"/>
            <w:shd w:val="clear" w:color="auto" w:fill="F2F2F2" w:themeFill="background1" w:themeFillShade="F2"/>
            <w:noWrap/>
            <w:vAlign w:val="center"/>
          </w:tcPr>
          <w:p w14:paraId="0DFA6030" w14:textId="5F57B569" w:rsidR="00795B25" w:rsidRPr="00290BD8" w:rsidRDefault="20894674" w:rsidP="00795B25">
            <w:pPr>
              <w:jc w:val="center"/>
              <w:rPr>
                <w:rFonts w:eastAsia="Times New Roman" w:cs="Calibri"/>
                <w:color w:val="000000" w:themeColor="text1"/>
                <w:sz w:val="16"/>
                <w:szCs w:val="16"/>
              </w:rPr>
            </w:pPr>
            <w:r w:rsidRPr="00290BD8">
              <w:rPr>
                <w:rFonts w:eastAsia="Times New Roman" w:cs="Calibri"/>
                <w:color w:val="000000" w:themeColor="text1"/>
                <w:sz w:val="16"/>
                <w:szCs w:val="16"/>
              </w:rPr>
              <w:t>58.0%</w:t>
            </w:r>
          </w:p>
        </w:tc>
        <w:tc>
          <w:tcPr>
            <w:tcW w:w="720" w:type="dxa"/>
            <w:shd w:val="clear" w:color="auto" w:fill="F2F2F2" w:themeFill="background1" w:themeFillShade="F2"/>
            <w:noWrap/>
            <w:vAlign w:val="center"/>
          </w:tcPr>
          <w:p w14:paraId="5948BE18" w14:textId="6244C551" w:rsidR="00795B25" w:rsidRPr="00290BD8" w:rsidRDefault="20894674" w:rsidP="00795B25">
            <w:pPr>
              <w:jc w:val="center"/>
              <w:rPr>
                <w:rFonts w:eastAsia="Times New Roman" w:cs="Calibri"/>
                <w:color w:val="000000" w:themeColor="text1"/>
                <w:sz w:val="16"/>
                <w:szCs w:val="16"/>
              </w:rPr>
            </w:pPr>
            <w:r w:rsidRPr="00290BD8">
              <w:rPr>
                <w:rFonts w:eastAsia="Times New Roman" w:cs="Calibri"/>
                <w:color w:val="000000" w:themeColor="text1"/>
                <w:sz w:val="16"/>
                <w:szCs w:val="16"/>
              </w:rPr>
              <w:t>56.9%</w:t>
            </w:r>
          </w:p>
        </w:tc>
        <w:tc>
          <w:tcPr>
            <w:tcW w:w="720" w:type="dxa"/>
            <w:shd w:val="clear" w:color="auto" w:fill="F2F2F2" w:themeFill="background1" w:themeFillShade="F2"/>
            <w:noWrap/>
            <w:vAlign w:val="center"/>
          </w:tcPr>
          <w:p w14:paraId="56B18272" w14:textId="2333946F" w:rsidR="00795B25" w:rsidRPr="00290BD8" w:rsidRDefault="002677B3" w:rsidP="00795B25">
            <w:pPr>
              <w:jc w:val="center"/>
              <w:rPr>
                <w:rFonts w:eastAsia="Times New Roman" w:cs="Calibri"/>
                <w:color w:val="000000" w:themeColor="text1"/>
                <w:sz w:val="16"/>
                <w:szCs w:val="16"/>
              </w:rPr>
            </w:pPr>
            <w:r w:rsidRPr="00290BD8">
              <w:rPr>
                <w:rFonts w:eastAsia="Times New Roman" w:cs="Calibri"/>
                <w:color w:val="000000" w:themeColor="text1"/>
                <w:sz w:val="16"/>
                <w:szCs w:val="16"/>
              </w:rPr>
              <w:t>5</w:t>
            </w:r>
            <w:r w:rsidR="002E3DFB" w:rsidRPr="00290BD8">
              <w:rPr>
                <w:rFonts w:eastAsia="Times New Roman" w:cs="Calibri"/>
                <w:color w:val="000000" w:themeColor="text1"/>
                <w:sz w:val="16"/>
                <w:szCs w:val="16"/>
              </w:rPr>
              <w:t>4.3%</w:t>
            </w:r>
          </w:p>
        </w:tc>
        <w:tc>
          <w:tcPr>
            <w:tcW w:w="720" w:type="dxa"/>
            <w:shd w:val="clear" w:color="auto" w:fill="F2F2F2" w:themeFill="background1" w:themeFillShade="F2"/>
            <w:noWrap/>
            <w:vAlign w:val="center"/>
          </w:tcPr>
          <w:p w14:paraId="72E6468C" w14:textId="7C8F7564" w:rsidR="00795B25" w:rsidRPr="00290BD8" w:rsidRDefault="0C61165F" w:rsidP="00795B25">
            <w:pPr>
              <w:spacing w:after="0"/>
              <w:jc w:val="center"/>
              <w:rPr>
                <w:rFonts w:eastAsia="Times New Roman" w:cs="Calibri"/>
                <w:color w:val="000000" w:themeColor="text1"/>
                <w:sz w:val="16"/>
                <w:szCs w:val="16"/>
              </w:rPr>
            </w:pPr>
            <w:r w:rsidRPr="00290BD8">
              <w:rPr>
                <w:rFonts w:eastAsia="Times New Roman" w:cs="Calibri"/>
                <w:color w:val="000000" w:themeColor="text1"/>
                <w:sz w:val="16"/>
                <w:szCs w:val="16"/>
              </w:rPr>
              <w:t>61.4%</w:t>
            </w:r>
          </w:p>
        </w:tc>
        <w:tc>
          <w:tcPr>
            <w:tcW w:w="720" w:type="dxa"/>
            <w:shd w:val="clear" w:color="auto" w:fill="F2F2F2" w:themeFill="background1" w:themeFillShade="F2"/>
            <w:noWrap/>
            <w:vAlign w:val="center"/>
          </w:tcPr>
          <w:p w14:paraId="072D61B9" w14:textId="79907EB1" w:rsidR="00795B25" w:rsidRPr="00290BD8" w:rsidRDefault="0C61165F" w:rsidP="00795B25">
            <w:pPr>
              <w:spacing w:after="0"/>
              <w:jc w:val="center"/>
              <w:rPr>
                <w:rFonts w:eastAsia="Times New Roman" w:cs="Calibri"/>
                <w:color w:val="000000" w:themeColor="text1"/>
                <w:sz w:val="16"/>
                <w:szCs w:val="16"/>
              </w:rPr>
            </w:pPr>
            <w:r w:rsidRPr="00290BD8">
              <w:rPr>
                <w:rFonts w:eastAsia="Times New Roman" w:cs="Calibri"/>
                <w:color w:val="000000" w:themeColor="text1"/>
                <w:sz w:val="16"/>
                <w:szCs w:val="16"/>
              </w:rPr>
              <w:t>50.9%</w:t>
            </w:r>
          </w:p>
        </w:tc>
      </w:tr>
      <w:tr w:rsidR="00795B25" w14:paraId="098C99F6" w14:textId="77777777" w:rsidTr="44871088">
        <w:trPr>
          <w:trHeight w:val="300"/>
        </w:trPr>
        <w:tc>
          <w:tcPr>
            <w:tcW w:w="810" w:type="dxa"/>
            <w:shd w:val="clear" w:color="auto" w:fill="auto"/>
            <w:noWrap/>
            <w:vAlign w:val="bottom"/>
            <w:hideMark/>
          </w:tcPr>
          <w:p w14:paraId="7B0B3105" w14:textId="172830AD" w:rsidR="00795B25" w:rsidRPr="008D1B70" w:rsidRDefault="00795B25" w:rsidP="00795B25">
            <w:pPr>
              <w:jc w:val="center"/>
              <w:rPr>
                <w:rFonts w:eastAsia="Times New Roman" w:cs="Calibri"/>
                <w:sz w:val="16"/>
                <w:szCs w:val="16"/>
              </w:rPr>
            </w:pPr>
            <w:r>
              <w:rPr>
                <w:rFonts w:eastAsia="Times New Roman" w:cs="Calibri"/>
                <w:sz w:val="16"/>
                <w:szCs w:val="16"/>
              </w:rPr>
              <w:t>CDC</w:t>
            </w:r>
          </w:p>
        </w:tc>
        <w:tc>
          <w:tcPr>
            <w:tcW w:w="2880" w:type="dxa"/>
            <w:shd w:val="clear" w:color="auto" w:fill="auto"/>
            <w:hideMark/>
          </w:tcPr>
          <w:p w14:paraId="77647EEE" w14:textId="0B553786" w:rsidR="00795B25" w:rsidRPr="00884DD7" w:rsidRDefault="00795B25" w:rsidP="00795B25">
            <w:pPr>
              <w:spacing w:after="0"/>
              <w:rPr>
                <w:rFonts w:eastAsia="Times New Roman" w:cs="Calibri"/>
                <w:sz w:val="16"/>
                <w:szCs w:val="16"/>
              </w:rPr>
            </w:pPr>
            <w:r>
              <w:rPr>
                <w:rFonts w:eastAsia="Times New Roman" w:cs="Calibri"/>
                <w:sz w:val="16"/>
                <w:szCs w:val="16"/>
              </w:rPr>
              <w:t>Comprehensive Diabetes Care: A1C Poor Control (lower is better)</w:t>
            </w:r>
          </w:p>
        </w:tc>
        <w:tc>
          <w:tcPr>
            <w:tcW w:w="810" w:type="dxa"/>
            <w:shd w:val="clear" w:color="auto" w:fill="FFFFFF" w:themeFill="background1"/>
            <w:noWrap/>
            <w:vAlign w:val="center"/>
          </w:tcPr>
          <w:p w14:paraId="656662E0" w14:textId="049DAE61" w:rsidR="00795B25" w:rsidRPr="0069000B" w:rsidRDefault="0069000B" w:rsidP="00795B25">
            <w:pPr>
              <w:spacing w:after="0"/>
              <w:jc w:val="center"/>
              <w:rPr>
                <w:rFonts w:eastAsia="Times New Roman" w:cs="Calibri"/>
                <w:color w:val="000000"/>
                <w:sz w:val="16"/>
                <w:szCs w:val="16"/>
              </w:rPr>
            </w:pPr>
            <w:r w:rsidRPr="0069000B">
              <w:rPr>
                <w:rFonts w:eastAsia="Times New Roman" w:cs="Calibri"/>
                <w:color w:val="000000"/>
                <w:sz w:val="16"/>
                <w:szCs w:val="16"/>
              </w:rPr>
              <w:t>34.1%</w:t>
            </w:r>
          </w:p>
        </w:tc>
        <w:tc>
          <w:tcPr>
            <w:tcW w:w="720" w:type="dxa"/>
            <w:shd w:val="clear" w:color="auto" w:fill="auto"/>
            <w:noWrap/>
            <w:vAlign w:val="center"/>
          </w:tcPr>
          <w:p w14:paraId="23EC134D" w14:textId="36ED459F" w:rsidR="00795B25" w:rsidRPr="009520C8" w:rsidRDefault="00795B25" w:rsidP="00795B25">
            <w:pPr>
              <w:spacing w:after="0"/>
              <w:jc w:val="center"/>
              <w:rPr>
                <w:rFonts w:eastAsia="Times New Roman" w:cs="Calibri"/>
                <w:color w:val="000000"/>
                <w:sz w:val="18"/>
                <w:szCs w:val="18"/>
              </w:rPr>
            </w:pPr>
            <w:r w:rsidRPr="28F4EC33">
              <w:rPr>
                <w:rFonts w:eastAsia="Times New Roman" w:cs="Calibri"/>
                <w:color w:val="000000" w:themeColor="text1"/>
                <w:sz w:val="16"/>
                <w:szCs w:val="16"/>
              </w:rPr>
              <w:t>35.0%</w:t>
            </w:r>
          </w:p>
        </w:tc>
        <w:tc>
          <w:tcPr>
            <w:tcW w:w="720" w:type="dxa"/>
            <w:shd w:val="clear" w:color="auto" w:fill="auto"/>
            <w:noWrap/>
            <w:vAlign w:val="center"/>
          </w:tcPr>
          <w:p w14:paraId="32AD4857" w14:textId="4794AB1F" w:rsidR="00795B25" w:rsidRPr="009520C8" w:rsidRDefault="00795B25" w:rsidP="00795B25">
            <w:pPr>
              <w:spacing w:after="0"/>
              <w:jc w:val="center"/>
              <w:rPr>
                <w:rFonts w:eastAsia="Times New Roman" w:cs="Calibri"/>
                <w:color w:val="000000"/>
                <w:sz w:val="18"/>
                <w:szCs w:val="18"/>
              </w:rPr>
            </w:pPr>
            <w:r w:rsidRPr="28F4EC33">
              <w:rPr>
                <w:rFonts w:eastAsia="Times New Roman" w:cs="Calibri"/>
                <w:color w:val="000000" w:themeColor="text1"/>
                <w:sz w:val="16"/>
                <w:szCs w:val="16"/>
              </w:rPr>
              <w:t>25.3%</w:t>
            </w:r>
          </w:p>
        </w:tc>
        <w:tc>
          <w:tcPr>
            <w:tcW w:w="720" w:type="dxa"/>
            <w:shd w:val="clear" w:color="auto" w:fill="auto"/>
            <w:noWrap/>
            <w:vAlign w:val="center"/>
          </w:tcPr>
          <w:p w14:paraId="3CBD0381" w14:textId="2D758D3E" w:rsidR="00795B25" w:rsidRPr="009520C8" w:rsidRDefault="00795B25" w:rsidP="00795B25">
            <w:pPr>
              <w:spacing w:after="0"/>
              <w:jc w:val="center"/>
              <w:rPr>
                <w:rFonts w:eastAsia="Times New Roman" w:cs="Calibri"/>
                <w:color w:val="000000"/>
                <w:sz w:val="18"/>
                <w:szCs w:val="18"/>
              </w:rPr>
            </w:pPr>
            <w:r w:rsidRPr="28F4EC33">
              <w:rPr>
                <w:rFonts w:eastAsia="Times New Roman" w:cs="Calibri"/>
                <w:color w:val="000000" w:themeColor="text1"/>
                <w:sz w:val="16"/>
                <w:szCs w:val="16"/>
              </w:rPr>
              <w:t>29.8%</w:t>
            </w:r>
          </w:p>
        </w:tc>
        <w:tc>
          <w:tcPr>
            <w:tcW w:w="720" w:type="dxa"/>
            <w:shd w:val="clear" w:color="auto" w:fill="auto"/>
            <w:noWrap/>
            <w:vAlign w:val="center"/>
          </w:tcPr>
          <w:p w14:paraId="3A3C33CC" w14:textId="11B85A38" w:rsidR="00795B25" w:rsidRPr="009520C8" w:rsidRDefault="00795B25" w:rsidP="00795B25">
            <w:pPr>
              <w:spacing w:after="0"/>
              <w:jc w:val="center"/>
              <w:rPr>
                <w:rFonts w:eastAsia="Times New Roman" w:cs="Calibri"/>
                <w:color w:val="000000"/>
                <w:sz w:val="18"/>
                <w:szCs w:val="18"/>
              </w:rPr>
            </w:pPr>
            <w:r w:rsidRPr="28F4EC33">
              <w:rPr>
                <w:rFonts w:eastAsia="Times New Roman" w:cs="Calibri"/>
                <w:color w:val="000000" w:themeColor="text1"/>
                <w:sz w:val="16"/>
                <w:szCs w:val="16"/>
              </w:rPr>
              <w:t>38.3%</w:t>
            </w:r>
          </w:p>
        </w:tc>
        <w:tc>
          <w:tcPr>
            <w:tcW w:w="720" w:type="dxa"/>
            <w:shd w:val="clear" w:color="auto" w:fill="auto"/>
            <w:noWrap/>
            <w:vAlign w:val="center"/>
          </w:tcPr>
          <w:p w14:paraId="329BDAF9" w14:textId="6869CFE3" w:rsidR="00795B25" w:rsidRPr="009520C8" w:rsidRDefault="00795B25" w:rsidP="00795B25">
            <w:pPr>
              <w:spacing w:after="0"/>
              <w:jc w:val="center"/>
              <w:rPr>
                <w:rFonts w:eastAsia="Times New Roman" w:cs="Calibri"/>
                <w:color w:val="000000"/>
                <w:sz w:val="18"/>
                <w:szCs w:val="18"/>
              </w:rPr>
            </w:pPr>
            <w:r w:rsidRPr="28F4EC33">
              <w:rPr>
                <w:rFonts w:eastAsia="Times New Roman" w:cs="Calibri"/>
                <w:color w:val="000000" w:themeColor="text1"/>
                <w:sz w:val="16"/>
                <w:szCs w:val="16"/>
              </w:rPr>
              <w:t>30.9%</w:t>
            </w:r>
          </w:p>
        </w:tc>
        <w:tc>
          <w:tcPr>
            <w:tcW w:w="810" w:type="dxa"/>
            <w:shd w:val="clear" w:color="auto" w:fill="auto"/>
            <w:noWrap/>
            <w:vAlign w:val="center"/>
          </w:tcPr>
          <w:p w14:paraId="202C4F56" w14:textId="3E59247C" w:rsidR="00795B25" w:rsidRPr="009520C8" w:rsidRDefault="00795B25" w:rsidP="00795B25">
            <w:pPr>
              <w:spacing w:after="0"/>
              <w:jc w:val="center"/>
              <w:rPr>
                <w:rFonts w:eastAsia="Times New Roman" w:cs="Calibri"/>
                <w:color w:val="000000"/>
                <w:sz w:val="18"/>
                <w:szCs w:val="18"/>
              </w:rPr>
            </w:pPr>
            <w:r w:rsidRPr="28F4EC33">
              <w:rPr>
                <w:rFonts w:eastAsia="Times New Roman" w:cs="Calibri"/>
                <w:color w:val="000000" w:themeColor="text1"/>
                <w:sz w:val="16"/>
                <w:szCs w:val="16"/>
              </w:rPr>
              <w:t>30.0%</w:t>
            </w:r>
          </w:p>
        </w:tc>
        <w:tc>
          <w:tcPr>
            <w:tcW w:w="720" w:type="dxa"/>
            <w:shd w:val="clear" w:color="auto" w:fill="auto"/>
            <w:noWrap/>
            <w:vAlign w:val="center"/>
          </w:tcPr>
          <w:p w14:paraId="5EEC57A7" w14:textId="7CD98DE6" w:rsidR="00795B25" w:rsidRPr="009520C8" w:rsidRDefault="00795B25" w:rsidP="00795B25">
            <w:pPr>
              <w:spacing w:after="0"/>
              <w:jc w:val="center"/>
              <w:rPr>
                <w:rFonts w:eastAsia="Times New Roman" w:cs="Calibri"/>
                <w:color w:val="000000"/>
                <w:sz w:val="18"/>
                <w:szCs w:val="18"/>
              </w:rPr>
            </w:pPr>
            <w:r w:rsidRPr="1611B302">
              <w:rPr>
                <w:rFonts w:eastAsia="Times New Roman" w:cs="Calibri"/>
                <w:color w:val="000000" w:themeColor="text1"/>
                <w:sz w:val="16"/>
                <w:szCs w:val="16"/>
              </w:rPr>
              <w:t>25.9%</w:t>
            </w:r>
          </w:p>
        </w:tc>
        <w:tc>
          <w:tcPr>
            <w:tcW w:w="720" w:type="dxa"/>
            <w:shd w:val="clear" w:color="auto" w:fill="auto"/>
            <w:noWrap/>
            <w:vAlign w:val="center"/>
          </w:tcPr>
          <w:p w14:paraId="2BEB9176" w14:textId="41259D20" w:rsidR="00795B25" w:rsidRPr="009520C8" w:rsidRDefault="00795B25" w:rsidP="00795B25">
            <w:pPr>
              <w:spacing w:after="0"/>
              <w:jc w:val="center"/>
              <w:rPr>
                <w:rFonts w:eastAsia="Times New Roman" w:cs="Calibri"/>
                <w:color w:val="000000"/>
                <w:sz w:val="18"/>
                <w:szCs w:val="18"/>
              </w:rPr>
            </w:pPr>
            <w:r w:rsidRPr="1611B302">
              <w:rPr>
                <w:rFonts w:eastAsia="Times New Roman" w:cs="Calibri"/>
                <w:color w:val="000000" w:themeColor="text1"/>
                <w:sz w:val="16"/>
                <w:szCs w:val="16"/>
              </w:rPr>
              <w:t>32.9%</w:t>
            </w:r>
          </w:p>
        </w:tc>
        <w:tc>
          <w:tcPr>
            <w:tcW w:w="1080" w:type="dxa"/>
            <w:shd w:val="clear" w:color="auto" w:fill="auto"/>
            <w:noWrap/>
            <w:vAlign w:val="center"/>
          </w:tcPr>
          <w:p w14:paraId="07383602" w14:textId="5B09B61B" w:rsidR="00795B25" w:rsidRPr="009520C8" w:rsidRDefault="00795B25" w:rsidP="00795B25">
            <w:pPr>
              <w:spacing w:after="0"/>
              <w:jc w:val="center"/>
              <w:rPr>
                <w:rFonts w:eastAsia="Times New Roman" w:cs="Calibri"/>
                <w:color w:val="000000"/>
                <w:sz w:val="18"/>
                <w:szCs w:val="18"/>
              </w:rPr>
            </w:pPr>
            <w:r w:rsidRPr="1611B302">
              <w:rPr>
                <w:rFonts w:eastAsia="Times New Roman" w:cs="Calibri"/>
                <w:color w:val="000000" w:themeColor="text1"/>
                <w:sz w:val="16"/>
                <w:szCs w:val="16"/>
              </w:rPr>
              <w:t>58.3%</w:t>
            </w:r>
          </w:p>
        </w:tc>
        <w:tc>
          <w:tcPr>
            <w:tcW w:w="720" w:type="dxa"/>
            <w:shd w:val="clear" w:color="auto" w:fill="auto"/>
            <w:noWrap/>
            <w:vAlign w:val="center"/>
          </w:tcPr>
          <w:p w14:paraId="127CB1E9" w14:textId="1E9C0FB7" w:rsidR="00795B25" w:rsidRPr="009520C8" w:rsidRDefault="00795B25" w:rsidP="00795B25">
            <w:pPr>
              <w:spacing w:after="0"/>
              <w:jc w:val="center"/>
              <w:rPr>
                <w:rFonts w:eastAsia="Times New Roman" w:cs="Calibri"/>
                <w:color w:val="000000"/>
                <w:sz w:val="18"/>
                <w:szCs w:val="18"/>
              </w:rPr>
            </w:pPr>
            <w:r w:rsidRPr="1611B302">
              <w:rPr>
                <w:rFonts w:eastAsia="Times New Roman" w:cs="Calibri"/>
                <w:color w:val="000000" w:themeColor="text1"/>
                <w:sz w:val="16"/>
                <w:szCs w:val="16"/>
              </w:rPr>
              <w:t>29.8%</w:t>
            </w:r>
          </w:p>
        </w:tc>
        <w:tc>
          <w:tcPr>
            <w:tcW w:w="810" w:type="dxa"/>
            <w:shd w:val="clear" w:color="auto" w:fill="auto"/>
            <w:noWrap/>
            <w:vAlign w:val="center"/>
          </w:tcPr>
          <w:p w14:paraId="54C2008C" w14:textId="64139427" w:rsidR="00795B25" w:rsidRPr="009520C8" w:rsidRDefault="00795B25" w:rsidP="00795B25">
            <w:pPr>
              <w:spacing w:after="0"/>
              <w:jc w:val="center"/>
              <w:rPr>
                <w:rFonts w:eastAsia="Times New Roman" w:cs="Calibri"/>
                <w:color w:val="000000"/>
                <w:sz w:val="18"/>
                <w:szCs w:val="18"/>
              </w:rPr>
            </w:pPr>
            <w:r w:rsidRPr="1611B302">
              <w:rPr>
                <w:rFonts w:eastAsia="Times New Roman" w:cs="Calibri"/>
                <w:color w:val="000000" w:themeColor="text1"/>
                <w:sz w:val="16"/>
                <w:szCs w:val="16"/>
              </w:rPr>
              <w:t>37.0%</w:t>
            </w:r>
          </w:p>
        </w:tc>
        <w:tc>
          <w:tcPr>
            <w:tcW w:w="810" w:type="dxa"/>
            <w:shd w:val="clear" w:color="auto" w:fill="auto"/>
            <w:noWrap/>
            <w:vAlign w:val="center"/>
          </w:tcPr>
          <w:p w14:paraId="319BF0F3" w14:textId="5E27909B" w:rsidR="00795B25" w:rsidRPr="009520C8" w:rsidRDefault="00795B25" w:rsidP="00795B25">
            <w:pPr>
              <w:spacing w:after="0"/>
              <w:jc w:val="center"/>
              <w:rPr>
                <w:rFonts w:eastAsia="Times New Roman" w:cs="Calibri"/>
                <w:color w:val="000000"/>
                <w:sz w:val="18"/>
                <w:szCs w:val="18"/>
              </w:rPr>
            </w:pPr>
            <w:r w:rsidRPr="34EDC8FB">
              <w:rPr>
                <w:rFonts w:eastAsia="Times New Roman" w:cs="Calibri"/>
                <w:color w:val="000000" w:themeColor="text1"/>
                <w:sz w:val="16"/>
                <w:szCs w:val="16"/>
              </w:rPr>
              <w:t>19.5%</w:t>
            </w:r>
          </w:p>
        </w:tc>
        <w:tc>
          <w:tcPr>
            <w:tcW w:w="810" w:type="dxa"/>
            <w:shd w:val="clear" w:color="auto" w:fill="auto"/>
            <w:noWrap/>
            <w:vAlign w:val="center"/>
          </w:tcPr>
          <w:p w14:paraId="467757F1" w14:textId="2EE36E7D" w:rsidR="00795B25" w:rsidRPr="009520C8" w:rsidRDefault="00795B25" w:rsidP="00795B25">
            <w:pPr>
              <w:spacing w:after="0"/>
              <w:jc w:val="center"/>
              <w:rPr>
                <w:rFonts w:eastAsia="Times New Roman" w:cs="Calibri"/>
                <w:color w:val="000000"/>
                <w:sz w:val="18"/>
                <w:szCs w:val="18"/>
              </w:rPr>
            </w:pPr>
            <w:r w:rsidRPr="34EDC8FB">
              <w:rPr>
                <w:rFonts w:eastAsia="Times New Roman" w:cs="Calibri"/>
                <w:color w:val="000000" w:themeColor="text1"/>
                <w:sz w:val="16"/>
                <w:szCs w:val="16"/>
              </w:rPr>
              <w:t>37.7%</w:t>
            </w:r>
          </w:p>
        </w:tc>
        <w:tc>
          <w:tcPr>
            <w:tcW w:w="720" w:type="dxa"/>
            <w:shd w:val="clear" w:color="auto" w:fill="auto"/>
            <w:noWrap/>
            <w:vAlign w:val="center"/>
          </w:tcPr>
          <w:p w14:paraId="6B75A532" w14:textId="661285A1" w:rsidR="00795B25" w:rsidRPr="009520C8" w:rsidRDefault="00795B25" w:rsidP="00795B25">
            <w:pPr>
              <w:spacing w:after="0"/>
              <w:jc w:val="center"/>
              <w:rPr>
                <w:rFonts w:eastAsia="Times New Roman" w:cs="Calibri"/>
                <w:color w:val="000000"/>
                <w:sz w:val="18"/>
                <w:szCs w:val="18"/>
              </w:rPr>
            </w:pPr>
            <w:r w:rsidRPr="34EDC8FB">
              <w:rPr>
                <w:rFonts w:eastAsia="Times New Roman" w:cs="Calibri"/>
                <w:color w:val="000000" w:themeColor="text1"/>
                <w:sz w:val="16"/>
                <w:szCs w:val="16"/>
              </w:rPr>
              <w:t>37.0%</w:t>
            </w:r>
          </w:p>
        </w:tc>
        <w:tc>
          <w:tcPr>
            <w:tcW w:w="720" w:type="dxa"/>
            <w:shd w:val="clear" w:color="auto" w:fill="auto"/>
            <w:noWrap/>
            <w:vAlign w:val="center"/>
          </w:tcPr>
          <w:p w14:paraId="1B4F578B" w14:textId="4F2EDA8B" w:rsidR="00795B25" w:rsidRPr="00414381" w:rsidRDefault="0E13FEE0" w:rsidP="00795B25">
            <w:pPr>
              <w:spacing w:after="0"/>
              <w:jc w:val="center"/>
              <w:rPr>
                <w:rFonts w:eastAsia="Times New Roman" w:cs="Calibri"/>
                <w:color w:val="000000"/>
                <w:sz w:val="16"/>
                <w:szCs w:val="16"/>
              </w:rPr>
            </w:pPr>
            <w:r w:rsidRPr="00414381">
              <w:rPr>
                <w:rFonts w:eastAsia="Times New Roman" w:cs="Calibri"/>
                <w:color w:val="000000" w:themeColor="text1"/>
                <w:sz w:val="16"/>
                <w:szCs w:val="16"/>
              </w:rPr>
              <w:t>43.3%</w:t>
            </w:r>
          </w:p>
        </w:tc>
        <w:tc>
          <w:tcPr>
            <w:tcW w:w="990" w:type="dxa"/>
            <w:shd w:val="clear" w:color="auto" w:fill="auto"/>
            <w:noWrap/>
            <w:vAlign w:val="center"/>
          </w:tcPr>
          <w:p w14:paraId="4DDE2405" w14:textId="4B57E970" w:rsidR="00795B25" w:rsidRPr="00414381" w:rsidRDefault="0E13FEE0" w:rsidP="00795B25">
            <w:pPr>
              <w:spacing w:after="0"/>
              <w:jc w:val="center"/>
              <w:rPr>
                <w:rFonts w:eastAsia="Times New Roman" w:cs="Calibri"/>
                <w:color w:val="000000"/>
                <w:sz w:val="16"/>
                <w:szCs w:val="16"/>
              </w:rPr>
            </w:pPr>
            <w:r w:rsidRPr="00414381">
              <w:rPr>
                <w:rFonts w:eastAsia="Times New Roman" w:cs="Calibri"/>
                <w:color w:val="000000" w:themeColor="text1"/>
                <w:sz w:val="16"/>
                <w:szCs w:val="16"/>
              </w:rPr>
              <w:t>36.2%</w:t>
            </w:r>
          </w:p>
        </w:tc>
        <w:tc>
          <w:tcPr>
            <w:tcW w:w="720" w:type="dxa"/>
            <w:shd w:val="clear" w:color="auto" w:fill="auto"/>
            <w:noWrap/>
            <w:vAlign w:val="center"/>
          </w:tcPr>
          <w:p w14:paraId="5E18BA51" w14:textId="5609A42E" w:rsidR="00795B25" w:rsidRPr="00414381" w:rsidRDefault="0E13FEE0" w:rsidP="00795B25">
            <w:pPr>
              <w:spacing w:after="0"/>
              <w:jc w:val="center"/>
              <w:rPr>
                <w:rFonts w:eastAsia="Times New Roman" w:cs="Calibri"/>
                <w:color w:val="000000"/>
                <w:sz w:val="16"/>
                <w:szCs w:val="16"/>
              </w:rPr>
            </w:pPr>
            <w:r w:rsidRPr="00414381">
              <w:rPr>
                <w:rFonts w:eastAsia="Times New Roman" w:cs="Calibri"/>
                <w:color w:val="000000" w:themeColor="text1"/>
                <w:sz w:val="16"/>
                <w:szCs w:val="16"/>
              </w:rPr>
              <w:t>23.7%</w:t>
            </w:r>
          </w:p>
        </w:tc>
        <w:tc>
          <w:tcPr>
            <w:tcW w:w="720" w:type="dxa"/>
            <w:shd w:val="clear" w:color="auto" w:fill="auto"/>
            <w:noWrap/>
            <w:vAlign w:val="center"/>
          </w:tcPr>
          <w:p w14:paraId="75B0A1D8" w14:textId="104C0B50" w:rsidR="00795B25" w:rsidRPr="00414381" w:rsidRDefault="00414381" w:rsidP="00795B25">
            <w:pPr>
              <w:spacing w:after="0"/>
              <w:jc w:val="center"/>
              <w:rPr>
                <w:rFonts w:eastAsia="Times New Roman" w:cs="Calibri"/>
                <w:color w:val="000000"/>
                <w:sz w:val="16"/>
                <w:szCs w:val="16"/>
              </w:rPr>
            </w:pPr>
            <w:r>
              <w:rPr>
                <w:rFonts w:eastAsia="Times New Roman" w:cs="Calibri"/>
                <w:color w:val="000000"/>
                <w:sz w:val="16"/>
                <w:szCs w:val="16"/>
              </w:rPr>
              <w:t>35.5%</w:t>
            </w:r>
          </w:p>
        </w:tc>
        <w:tc>
          <w:tcPr>
            <w:tcW w:w="720" w:type="dxa"/>
            <w:shd w:val="clear" w:color="auto" w:fill="auto"/>
            <w:noWrap/>
            <w:vAlign w:val="center"/>
          </w:tcPr>
          <w:p w14:paraId="143DD54E" w14:textId="273F7654" w:rsidR="00795B25" w:rsidRPr="00414381" w:rsidRDefault="00414381" w:rsidP="00795B25">
            <w:pPr>
              <w:spacing w:after="0"/>
              <w:jc w:val="center"/>
              <w:rPr>
                <w:rFonts w:eastAsia="Times New Roman" w:cs="Calibri"/>
                <w:color w:val="000000" w:themeColor="text1"/>
                <w:sz w:val="16"/>
                <w:szCs w:val="16"/>
              </w:rPr>
            </w:pPr>
            <w:r>
              <w:rPr>
                <w:rFonts w:eastAsia="Times New Roman" w:cs="Calibri"/>
                <w:color w:val="000000" w:themeColor="text1"/>
                <w:sz w:val="16"/>
                <w:szCs w:val="16"/>
              </w:rPr>
              <w:t>32.5%</w:t>
            </w:r>
            <w:r w:rsidR="6505A905" w:rsidRPr="00414381">
              <w:rPr>
                <w:rFonts w:eastAsia="Times New Roman" w:cs="Calibri"/>
                <w:color w:val="000000" w:themeColor="text1"/>
                <w:sz w:val="16"/>
                <w:szCs w:val="16"/>
              </w:rPr>
              <w:t xml:space="preserve">    </w:t>
            </w:r>
          </w:p>
        </w:tc>
        <w:tc>
          <w:tcPr>
            <w:tcW w:w="720" w:type="dxa"/>
            <w:shd w:val="clear" w:color="auto" w:fill="auto"/>
            <w:noWrap/>
            <w:vAlign w:val="center"/>
          </w:tcPr>
          <w:p w14:paraId="232CD24D" w14:textId="7479C0FF" w:rsidR="00795B25" w:rsidRPr="00414381" w:rsidRDefault="00414381" w:rsidP="00795B25">
            <w:pPr>
              <w:spacing w:after="0"/>
              <w:jc w:val="center"/>
              <w:rPr>
                <w:rFonts w:eastAsia="Times New Roman" w:cs="Calibri"/>
                <w:color w:val="000000" w:themeColor="text1"/>
                <w:sz w:val="16"/>
                <w:szCs w:val="16"/>
              </w:rPr>
            </w:pPr>
            <w:r>
              <w:rPr>
                <w:rFonts w:eastAsia="Times New Roman" w:cs="Calibri"/>
                <w:color w:val="000000" w:themeColor="text1"/>
                <w:sz w:val="16"/>
                <w:szCs w:val="16"/>
              </w:rPr>
              <w:t>37.5%</w:t>
            </w:r>
            <w:r w:rsidR="6505A905" w:rsidRPr="00414381">
              <w:rPr>
                <w:rFonts w:eastAsia="Times New Roman" w:cs="Calibri"/>
                <w:color w:val="000000" w:themeColor="text1"/>
                <w:sz w:val="16"/>
                <w:szCs w:val="16"/>
              </w:rPr>
              <w:t xml:space="preserve">    </w:t>
            </w:r>
          </w:p>
        </w:tc>
      </w:tr>
      <w:tr w:rsidR="00795B25" w14:paraId="4ED4B156" w14:textId="77777777" w:rsidTr="44871088">
        <w:trPr>
          <w:trHeight w:val="520"/>
        </w:trPr>
        <w:tc>
          <w:tcPr>
            <w:tcW w:w="810" w:type="dxa"/>
            <w:shd w:val="clear" w:color="auto" w:fill="auto"/>
            <w:noWrap/>
            <w:hideMark/>
          </w:tcPr>
          <w:p w14:paraId="71FB1881" w14:textId="16DDE055" w:rsidR="00795B25" w:rsidRPr="008D1B70" w:rsidRDefault="00795B25" w:rsidP="00795B25">
            <w:pPr>
              <w:spacing w:after="0"/>
              <w:jc w:val="center"/>
              <w:rPr>
                <w:rFonts w:eastAsia="Times New Roman" w:cs="Calibri"/>
                <w:sz w:val="16"/>
                <w:szCs w:val="16"/>
              </w:rPr>
            </w:pPr>
            <w:r>
              <w:rPr>
                <w:rFonts w:eastAsia="Times New Roman" w:cs="Calibri"/>
                <w:sz w:val="16"/>
                <w:szCs w:val="16"/>
              </w:rPr>
              <w:t>PCR-O/E</w:t>
            </w:r>
          </w:p>
        </w:tc>
        <w:tc>
          <w:tcPr>
            <w:tcW w:w="2880" w:type="dxa"/>
            <w:shd w:val="clear" w:color="auto" w:fill="auto"/>
            <w:hideMark/>
          </w:tcPr>
          <w:p w14:paraId="48E7F829" w14:textId="0985A046" w:rsidR="00795B25" w:rsidRPr="00884DD7" w:rsidRDefault="00795B25" w:rsidP="00795B25">
            <w:pPr>
              <w:spacing w:after="0"/>
              <w:rPr>
                <w:rFonts w:eastAsia="Times New Roman" w:cs="Calibri"/>
                <w:sz w:val="16"/>
                <w:szCs w:val="16"/>
              </w:rPr>
            </w:pPr>
            <w:r>
              <w:rPr>
                <w:rFonts w:eastAsia="Times New Roman" w:cs="Calibri"/>
                <w:sz w:val="16"/>
                <w:szCs w:val="16"/>
              </w:rPr>
              <w:t>Plan All-Cause Readmissions (observed to expected ratio)</w:t>
            </w:r>
          </w:p>
        </w:tc>
        <w:tc>
          <w:tcPr>
            <w:tcW w:w="810" w:type="dxa"/>
            <w:shd w:val="clear" w:color="auto" w:fill="auto"/>
            <w:noWrap/>
            <w:vAlign w:val="center"/>
          </w:tcPr>
          <w:p w14:paraId="06281AEF" w14:textId="26C12DB0" w:rsidR="00795B25" w:rsidRPr="009D7635" w:rsidRDefault="009D7635" w:rsidP="00795B25">
            <w:pPr>
              <w:spacing w:after="0"/>
              <w:jc w:val="center"/>
              <w:rPr>
                <w:rFonts w:eastAsia="Times New Roman" w:cs="Calibri"/>
                <w:color w:val="000000"/>
                <w:sz w:val="16"/>
                <w:szCs w:val="16"/>
              </w:rPr>
            </w:pPr>
            <w:r w:rsidRPr="009D7635">
              <w:rPr>
                <w:rFonts w:eastAsia="Times New Roman" w:cs="Calibri"/>
                <w:color w:val="000000"/>
                <w:sz w:val="16"/>
                <w:szCs w:val="16"/>
              </w:rPr>
              <w:t>1.202</w:t>
            </w:r>
          </w:p>
        </w:tc>
        <w:tc>
          <w:tcPr>
            <w:tcW w:w="720" w:type="dxa"/>
            <w:shd w:val="clear" w:color="auto" w:fill="auto"/>
            <w:noWrap/>
            <w:vAlign w:val="center"/>
          </w:tcPr>
          <w:p w14:paraId="4B9DF4BA" w14:textId="4D885D66" w:rsidR="00795B25" w:rsidRPr="009520C8" w:rsidRDefault="00795B25" w:rsidP="00795B25">
            <w:pPr>
              <w:spacing w:after="0"/>
              <w:jc w:val="center"/>
              <w:rPr>
                <w:rFonts w:eastAsia="Times New Roman" w:cs="Calibri"/>
                <w:color w:val="000000"/>
                <w:sz w:val="18"/>
                <w:szCs w:val="18"/>
              </w:rPr>
            </w:pPr>
            <w:r w:rsidRPr="5F8849E2">
              <w:rPr>
                <w:rFonts w:eastAsia="Times New Roman" w:cs="Calibri"/>
                <w:color w:val="000000" w:themeColor="text1"/>
                <w:sz w:val="16"/>
                <w:szCs w:val="16"/>
              </w:rPr>
              <w:t>1.361</w:t>
            </w:r>
          </w:p>
        </w:tc>
        <w:tc>
          <w:tcPr>
            <w:tcW w:w="720" w:type="dxa"/>
            <w:shd w:val="clear" w:color="auto" w:fill="auto"/>
            <w:noWrap/>
            <w:vAlign w:val="center"/>
          </w:tcPr>
          <w:p w14:paraId="05C25C5D" w14:textId="0373EB73" w:rsidR="00795B25" w:rsidRPr="009520C8" w:rsidRDefault="00795B25" w:rsidP="00795B25">
            <w:pPr>
              <w:spacing w:after="0"/>
              <w:jc w:val="center"/>
              <w:rPr>
                <w:rFonts w:eastAsia="Times New Roman" w:cs="Calibri"/>
                <w:color w:val="000000"/>
                <w:sz w:val="18"/>
                <w:szCs w:val="18"/>
              </w:rPr>
            </w:pPr>
            <w:r w:rsidRPr="5F8849E2">
              <w:rPr>
                <w:rFonts w:eastAsia="Times New Roman" w:cs="Calibri"/>
                <w:color w:val="000000" w:themeColor="text1"/>
                <w:sz w:val="16"/>
                <w:szCs w:val="16"/>
              </w:rPr>
              <w:t>1.556</w:t>
            </w:r>
          </w:p>
        </w:tc>
        <w:tc>
          <w:tcPr>
            <w:tcW w:w="720" w:type="dxa"/>
            <w:shd w:val="clear" w:color="auto" w:fill="auto"/>
            <w:noWrap/>
            <w:vAlign w:val="center"/>
          </w:tcPr>
          <w:p w14:paraId="0C5E18A1" w14:textId="111C42A4" w:rsidR="00795B25" w:rsidRPr="009520C8" w:rsidRDefault="00795B25" w:rsidP="00795B25">
            <w:pPr>
              <w:spacing w:after="0"/>
              <w:jc w:val="center"/>
              <w:rPr>
                <w:rFonts w:eastAsia="Times New Roman" w:cs="Calibri"/>
                <w:color w:val="000000"/>
                <w:sz w:val="18"/>
                <w:szCs w:val="18"/>
              </w:rPr>
            </w:pPr>
            <w:r w:rsidRPr="5F8849E2">
              <w:rPr>
                <w:rFonts w:eastAsia="Times New Roman" w:cs="Calibri"/>
                <w:color w:val="000000" w:themeColor="text1"/>
                <w:sz w:val="16"/>
                <w:szCs w:val="16"/>
              </w:rPr>
              <w:t>1.598</w:t>
            </w:r>
          </w:p>
        </w:tc>
        <w:tc>
          <w:tcPr>
            <w:tcW w:w="720" w:type="dxa"/>
            <w:shd w:val="clear" w:color="auto" w:fill="auto"/>
            <w:noWrap/>
            <w:vAlign w:val="center"/>
          </w:tcPr>
          <w:p w14:paraId="10E39ED9" w14:textId="04355956" w:rsidR="00795B25" w:rsidRPr="009520C8" w:rsidRDefault="00795B25" w:rsidP="00795B25">
            <w:pPr>
              <w:spacing w:after="0"/>
              <w:jc w:val="center"/>
              <w:rPr>
                <w:rFonts w:eastAsia="Times New Roman" w:cs="Calibri"/>
                <w:color w:val="000000"/>
                <w:sz w:val="18"/>
                <w:szCs w:val="18"/>
              </w:rPr>
            </w:pPr>
            <w:r w:rsidRPr="5F8849E2">
              <w:rPr>
                <w:rFonts w:eastAsia="Times New Roman" w:cs="Calibri"/>
                <w:color w:val="000000" w:themeColor="text1"/>
                <w:sz w:val="16"/>
                <w:szCs w:val="16"/>
              </w:rPr>
              <w:t>1.307</w:t>
            </w:r>
          </w:p>
        </w:tc>
        <w:tc>
          <w:tcPr>
            <w:tcW w:w="720" w:type="dxa"/>
            <w:shd w:val="clear" w:color="auto" w:fill="auto"/>
            <w:noWrap/>
            <w:vAlign w:val="center"/>
          </w:tcPr>
          <w:p w14:paraId="0751B3D1" w14:textId="0DB0DDDC" w:rsidR="00795B25" w:rsidRPr="009520C8" w:rsidRDefault="00795B25" w:rsidP="00795B25">
            <w:pPr>
              <w:spacing w:after="0"/>
              <w:jc w:val="center"/>
              <w:rPr>
                <w:rFonts w:eastAsia="Times New Roman" w:cs="Calibri"/>
                <w:color w:val="000000"/>
                <w:sz w:val="18"/>
                <w:szCs w:val="18"/>
              </w:rPr>
            </w:pPr>
            <w:r w:rsidRPr="5F8849E2">
              <w:rPr>
                <w:rFonts w:eastAsia="Times New Roman" w:cs="Calibri"/>
                <w:color w:val="000000" w:themeColor="text1"/>
                <w:sz w:val="16"/>
                <w:szCs w:val="16"/>
              </w:rPr>
              <w:t>1.331</w:t>
            </w:r>
          </w:p>
        </w:tc>
        <w:tc>
          <w:tcPr>
            <w:tcW w:w="810" w:type="dxa"/>
            <w:shd w:val="clear" w:color="auto" w:fill="auto"/>
            <w:noWrap/>
            <w:vAlign w:val="center"/>
          </w:tcPr>
          <w:p w14:paraId="646C0941" w14:textId="553BFB71" w:rsidR="00795B25" w:rsidRPr="009520C8" w:rsidRDefault="00795B25" w:rsidP="00795B25">
            <w:pPr>
              <w:spacing w:after="0"/>
              <w:jc w:val="center"/>
              <w:rPr>
                <w:rFonts w:eastAsia="Times New Roman" w:cs="Calibri"/>
                <w:color w:val="000000"/>
                <w:sz w:val="18"/>
                <w:szCs w:val="18"/>
              </w:rPr>
            </w:pPr>
            <w:r w:rsidRPr="5F8849E2">
              <w:rPr>
                <w:rFonts w:eastAsia="Times New Roman" w:cs="Calibri"/>
                <w:color w:val="000000" w:themeColor="text1"/>
                <w:sz w:val="16"/>
                <w:szCs w:val="16"/>
              </w:rPr>
              <w:t>1.335</w:t>
            </w:r>
          </w:p>
        </w:tc>
        <w:tc>
          <w:tcPr>
            <w:tcW w:w="720" w:type="dxa"/>
            <w:shd w:val="clear" w:color="auto" w:fill="auto"/>
            <w:noWrap/>
            <w:vAlign w:val="center"/>
          </w:tcPr>
          <w:p w14:paraId="1FABE286" w14:textId="7929F291" w:rsidR="00795B25" w:rsidRPr="009520C8" w:rsidRDefault="00795B25" w:rsidP="00795B25">
            <w:pPr>
              <w:spacing w:after="0"/>
              <w:jc w:val="center"/>
              <w:rPr>
                <w:rFonts w:eastAsia="Times New Roman" w:cs="Calibri"/>
                <w:color w:val="000000"/>
                <w:sz w:val="18"/>
                <w:szCs w:val="18"/>
              </w:rPr>
            </w:pPr>
            <w:r w:rsidRPr="5EB62B07">
              <w:rPr>
                <w:rFonts w:eastAsia="Times New Roman" w:cs="Calibri"/>
                <w:color w:val="000000" w:themeColor="text1"/>
                <w:sz w:val="16"/>
                <w:szCs w:val="16"/>
              </w:rPr>
              <w:t>1.210</w:t>
            </w:r>
          </w:p>
        </w:tc>
        <w:tc>
          <w:tcPr>
            <w:tcW w:w="720" w:type="dxa"/>
            <w:shd w:val="clear" w:color="auto" w:fill="auto"/>
            <w:noWrap/>
            <w:vAlign w:val="center"/>
          </w:tcPr>
          <w:p w14:paraId="201DF557" w14:textId="594BA0AE" w:rsidR="00795B25" w:rsidRPr="009520C8" w:rsidRDefault="00795B25" w:rsidP="00795B25">
            <w:pPr>
              <w:spacing w:after="0"/>
              <w:jc w:val="center"/>
              <w:rPr>
                <w:rFonts w:eastAsia="Times New Roman" w:cs="Calibri"/>
                <w:color w:val="000000"/>
                <w:sz w:val="18"/>
                <w:szCs w:val="18"/>
              </w:rPr>
            </w:pPr>
            <w:r w:rsidRPr="5EB62B07">
              <w:rPr>
                <w:rFonts w:eastAsia="Times New Roman" w:cs="Calibri"/>
                <w:color w:val="000000" w:themeColor="text1"/>
                <w:sz w:val="16"/>
                <w:szCs w:val="16"/>
              </w:rPr>
              <w:t>1.269</w:t>
            </w:r>
          </w:p>
        </w:tc>
        <w:tc>
          <w:tcPr>
            <w:tcW w:w="1080" w:type="dxa"/>
            <w:shd w:val="clear" w:color="auto" w:fill="auto"/>
            <w:noWrap/>
            <w:vAlign w:val="center"/>
          </w:tcPr>
          <w:p w14:paraId="3859C919" w14:textId="456024BA" w:rsidR="00795B25" w:rsidRPr="009520C8" w:rsidRDefault="00795B25" w:rsidP="00795B25">
            <w:pPr>
              <w:spacing w:after="0"/>
              <w:jc w:val="center"/>
              <w:rPr>
                <w:rFonts w:eastAsia="Times New Roman" w:cs="Calibri"/>
                <w:color w:val="000000"/>
                <w:sz w:val="18"/>
                <w:szCs w:val="18"/>
              </w:rPr>
            </w:pPr>
            <w:r w:rsidRPr="5EB62B07">
              <w:rPr>
                <w:rFonts w:eastAsia="Times New Roman" w:cs="Calibri"/>
                <w:color w:val="000000" w:themeColor="text1"/>
                <w:sz w:val="16"/>
                <w:szCs w:val="16"/>
              </w:rPr>
              <w:t>1.401</w:t>
            </w:r>
          </w:p>
        </w:tc>
        <w:tc>
          <w:tcPr>
            <w:tcW w:w="720" w:type="dxa"/>
            <w:shd w:val="clear" w:color="auto" w:fill="auto"/>
            <w:noWrap/>
            <w:vAlign w:val="center"/>
          </w:tcPr>
          <w:p w14:paraId="67848A4A" w14:textId="146DD488" w:rsidR="00795B25" w:rsidRPr="009520C8" w:rsidRDefault="00795B25" w:rsidP="00795B25">
            <w:pPr>
              <w:spacing w:after="0"/>
              <w:jc w:val="center"/>
              <w:rPr>
                <w:rFonts w:eastAsia="Times New Roman" w:cs="Calibri"/>
                <w:color w:val="000000"/>
                <w:sz w:val="18"/>
                <w:szCs w:val="18"/>
              </w:rPr>
            </w:pPr>
            <w:r w:rsidRPr="41981366">
              <w:rPr>
                <w:rFonts w:eastAsia="Times New Roman" w:cs="Calibri"/>
                <w:color w:val="000000" w:themeColor="text1"/>
                <w:sz w:val="16"/>
                <w:szCs w:val="16"/>
              </w:rPr>
              <w:t>1.267</w:t>
            </w:r>
          </w:p>
        </w:tc>
        <w:tc>
          <w:tcPr>
            <w:tcW w:w="810" w:type="dxa"/>
            <w:shd w:val="clear" w:color="auto" w:fill="auto"/>
            <w:noWrap/>
            <w:vAlign w:val="center"/>
          </w:tcPr>
          <w:p w14:paraId="62BA1A4A" w14:textId="547F1A88" w:rsidR="00795B25" w:rsidRPr="009520C8" w:rsidRDefault="00795B25" w:rsidP="00795B25">
            <w:pPr>
              <w:spacing w:after="0"/>
              <w:jc w:val="center"/>
              <w:rPr>
                <w:rFonts w:eastAsia="Times New Roman" w:cs="Calibri"/>
                <w:color w:val="000000"/>
                <w:sz w:val="18"/>
                <w:szCs w:val="18"/>
              </w:rPr>
            </w:pPr>
            <w:r w:rsidRPr="41981366">
              <w:rPr>
                <w:rFonts w:eastAsia="Times New Roman" w:cs="Calibri"/>
                <w:color w:val="000000" w:themeColor="text1"/>
                <w:sz w:val="16"/>
                <w:szCs w:val="16"/>
              </w:rPr>
              <w:t>1.276</w:t>
            </w:r>
          </w:p>
        </w:tc>
        <w:tc>
          <w:tcPr>
            <w:tcW w:w="810" w:type="dxa"/>
            <w:shd w:val="clear" w:color="auto" w:fill="auto"/>
            <w:noWrap/>
            <w:vAlign w:val="center"/>
          </w:tcPr>
          <w:p w14:paraId="188F67D2" w14:textId="2B29A4EE" w:rsidR="00795B25" w:rsidRPr="009520C8" w:rsidRDefault="00795B25" w:rsidP="00795B25">
            <w:pPr>
              <w:spacing w:after="0"/>
              <w:jc w:val="center"/>
              <w:rPr>
                <w:rFonts w:eastAsia="Times New Roman" w:cs="Calibri"/>
                <w:color w:val="000000"/>
                <w:sz w:val="18"/>
                <w:szCs w:val="18"/>
              </w:rPr>
            </w:pPr>
            <w:r w:rsidRPr="41981366">
              <w:rPr>
                <w:rFonts w:eastAsia="Times New Roman" w:cs="Calibri"/>
                <w:color w:val="000000" w:themeColor="text1"/>
                <w:sz w:val="16"/>
                <w:szCs w:val="16"/>
              </w:rPr>
              <w:t>1.368</w:t>
            </w:r>
          </w:p>
        </w:tc>
        <w:tc>
          <w:tcPr>
            <w:tcW w:w="810" w:type="dxa"/>
            <w:shd w:val="clear" w:color="auto" w:fill="auto"/>
            <w:noWrap/>
            <w:vAlign w:val="center"/>
          </w:tcPr>
          <w:p w14:paraId="508E9C16" w14:textId="77A909E9" w:rsidR="00795B25" w:rsidRPr="009520C8" w:rsidRDefault="00795B25" w:rsidP="00795B25">
            <w:pPr>
              <w:spacing w:after="0"/>
              <w:jc w:val="center"/>
              <w:rPr>
                <w:rFonts w:eastAsia="Times New Roman" w:cs="Calibri"/>
                <w:color w:val="000000"/>
                <w:sz w:val="18"/>
                <w:szCs w:val="18"/>
              </w:rPr>
            </w:pPr>
            <w:r w:rsidRPr="41981366">
              <w:rPr>
                <w:rFonts w:eastAsia="Times New Roman" w:cs="Calibri"/>
                <w:color w:val="000000" w:themeColor="text1"/>
                <w:sz w:val="16"/>
                <w:szCs w:val="16"/>
              </w:rPr>
              <w:t>0.936</w:t>
            </w:r>
          </w:p>
        </w:tc>
        <w:tc>
          <w:tcPr>
            <w:tcW w:w="720" w:type="dxa"/>
            <w:shd w:val="clear" w:color="auto" w:fill="auto"/>
            <w:noWrap/>
            <w:vAlign w:val="center"/>
          </w:tcPr>
          <w:p w14:paraId="0A06C5B2" w14:textId="2AEE2C7A" w:rsidR="00795B25" w:rsidRPr="009520C8" w:rsidRDefault="00795B25" w:rsidP="00795B25">
            <w:pPr>
              <w:spacing w:after="0"/>
              <w:jc w:val="center"/>
              <w:rPr>
                <w:rFonts w:eastAsia="Times New Roman" w:cs="Calibri"/>
                <w:color w:val="000000"/>
                <w:sz w:val="18"/>
                <w:szCs w:val="18"/>
              </w:rPr>
            </w:pPr>
            <w:r w:rsidRPr="41981366">
              <w:rPr>
                <w:rFonts w:eastAsia="Times New Roman" w:cs="Calibri"/>
                <w:color w:val="000000" w:themeColor="text1"/>
                <w:sz w:val="16"/>
                <w:szCs w:val="16"/>
              </w:rPr>
              <w:t>1.192</w:t>
            </w:r>
          </w:p>
        </w:tc>
        <w:tc>
          <w:tcPr>
            <w:tcW w:w="720" w:type="dxa"/>
            <w:shd w:val="clear" w:color="auto" w:fill="auto"/>
            <w:noWrap/>
            <w:vAlign w:val="center"/>
          </w:tcPr>
          <w:p w14:paraId="40DAFF00" w14:textId="0E2D0F7A" w:rsidR="00795B25" w:rsidRPr="00290BD8" w:rsidRDefault="70A097A9" w:rsidP="00795B25">
            <w:pPr>
              <w:spacing w:after="0"/>
              <w:jc w:val="center"/>
              <w:rPr>
                <w:rFonts w:eastAsia="Times New Roman" w:cs="Calibri"/>
                <w:color w:val="000000"/>
                <w:sz w:val="16"/>
                <w:szCs w:val="16"/>
              </w:rPr>
            </w:pPr>
            <w:r w:rsidRPr="00290BD8">
              <w:rPr>
                <w:rFonts w:eastAsia="Times New Roman" w:cs="Calibri"/>
                <w:color w:val="000000" w:themeColor="text1"/>
                <w:sz w:val="16"/>
                <w:szCs w:val="16"/>
              </w:rPr>
              <w:t>1.092</w:t>
            </w:r>
          </w:p>
        </w:tc>
        <w:tc>
          <w:tcPr>
            <w:tcW w:w="990" w:type="dxa"/>
            <w:shd w:val="clear" w:color="auto" w:fill="auto"/>
            <w:noWrap/>
            <w:vAlign w:val="center"/>
          </w:tcPr>
          <w:p w14:paraId="2C758BD4" w14:textId="71B775E9" w:rsidR="00795B25" w:rsidRPr="00290BD8" w:rsidRDefault="70A097A9" w:rsidP="00795B25">
            <w:pPr>
              <w:spacing w:after="0"/>
              <w:jc w:val="center"/>
              <w:rPr>
                <w:rFonts w:eastAsia="Times New Roman" w:cs="Calibri"/>
                <w:color w:val="000000"/>
                <w:sz w:val="16"/>
                <w:szCs w:val="16"/>
              </w:rPr>
            </w:pPr>
            <w:r w:rsidRPr="00290BD8">
              <w:rPr>
                <w:rFonts w:eastAsia="Times New Roman" w:cs="Calibri"/>
                <w:color w:val="000000" w:themeColor="text1"/>
                <w:sz w:val="16"/>
                <w:szCs w:val="16"/>
              </w:rPr>
              <w:t>1.021</w:t>
            </w:r>
          </w:p>
        </w:tc>
        <w:tc>
          <w:tcPr>
            <w:tcW w:w="720" w:type="dxa"/>
            <w:shd w:val="clear" w:color="auto" w:fill="auto"/>
            <w:noWrap/>
            <w:vAlign w:val="center"/>
          </w:tcPr>
          <w:p w14:paraId="3481FBEA" w14:textId="26336D7F" w:rsidR="00795B25" w:rsidRPr="00290BD8" w:rsidRDefault="70A097A9" w:rsidP="00795B25">
            <w:pPr>
              <w:spacing w:after="0"/>
              <w:jc w:val="center"/>
              <w:rPr>
                <w:rFonts w:eastAsia="Times New Roman" w:cs="Calibri"/>
                <w:color w:val="000000"/>
                <w:sz w:val="16"/>
                <w:szCs w:val="16"/>
              </w:rPr>
            </w:pPr>
            <w:r w:rsidRPr="00290BD8">
              <w:rPr>
                <w:rFonts w:eastAsia="Times New Roman" w:cs="Calibri"/>
                <w:color w:val="000000" w:themeColor="text1"/>
                <w:sz w:val="16"/>
                <w:szCs w:val="16"/>
              </w:rPr>
              <w:t>1.328</w:t>
            </w:r>
          </w:p>
        </w:tc>
        <w:tc>
          <w:tcPr>
            <w:tcW w:w="720" w:type="dxa"/>
            <w:shd w:val="clear" w:color="auto" w:fill="auto"/>
            <w:noWrap/>
            <w:vAlign w:val="center"/>
          </w:tcPr>
          <w:p w14:paraId="79AA06D0" w14:textId="0996324B" w:rsidR="00795B25" w:rsidRPr="009520C8" w:rsidRDefault="00E05472" w:rsidP="00795B25">
            <w:pPr>
              <w:spacing w:after="0"/>
              <w:jc w:val="center"/>
              <w:rPr>
                <w:rFonts w:eastAsia="Times New Roman" w:cs="Calibri"/>
                <w:sz w:val="18"/>
                <w:szCs w:val="18"/>
              </w:rPr>
            </w:pPr>
            <w:r>
              <w:rPr>
                <w:rFonts w:eastAsia="Times New Roman" w:cs="Calibri"/>
                <w:sz w:val="18"/>
                <w:szCs w:val="18"/>
              </w:rPr>
              <w:t>--</w:t>
            </w:r>
          </w:p>
        </w:tc>
        <w:tc>
          <w:tcPr>
            <w:tcW w:w="720" w:type="dxa"/>
            <w:shd w:val="clear" w:color="auto" w:fill="auto"/>
            <w:noWrap/>
            <w:vAlign w:val="center"/>
          </w:tcPr>
          <w:p w14:paraId="0AD44C5B" w14:textId="313A8EBA" w:rsidR="00795B25" w:rsidRDefault="37EC15E5" w:rsidP="00795B25">
            <w:pPr>
              <w:spacing w:after="0"/>
              <w:jc w:val="center"/>
              <w:rPr>
                <w:rFonts w:eastAsia="Times New Roman" w:cs="Calibri"/>
                <w:color w:val="000000" w:themeColor="text1"/>
                <w:sz w:val="18"/>
                <w:szCs w:val="18"/>
              </w:rPr>
            </w:pPr>
            <w:r w:rsidRPr="44871088">
              <w:rPr>
                <w:rFonts w:eastAsia="Times New Roman" w:cs="Calibri"/>
                <w:color w:val="000000" w:themeColor="text1"/>
                <w:sz w:val="18"/>
                <w:szCs w:val="18"/>
              </w:rPr>
              <w:t xml:space="preserve">--    </w:t>
            </w:r>
          </w:p>
        </w:tc>
        <w:tc>
          <w:tcPr>
            <w:tcW w:w="720" w:type="dxa"/>
            <w:shd w:val="clear" w:color="auto" w:fill="auto"/>
            <w:noWrap/>
            <w:vAlign w:val="center"/>
          </w:tcPr>
          <w:p w14:paraId="0D81FD07" w14:textId="7D48195B" w:rsidR="00795B25" w:rsidRDefault="37EC15E5" w:rsidP="00795B25">
            <w:pPr>
              <w:spacing w:after="0"/>
              <w:jc w:val="center"/>
              <w:rPr>
                <w:rFonts w:eastAsia="Times New Roman" w:cs="Calibri"/>
                <w:color w:val="000000" w:themeColor="text1"/>
                <w:sz w:val="18"/>
                <w:szCs w:val="18"/>
              </w:rPr>
            </w:pPr>
            <w:r w:rsidRPr="44871088">
              <w:rPr>
                <w:rFonts w:eastAsia="Times New Roman" w:cs="Calibri"/>
                <w:color w:val="000000" w:themeColor="text1"/>
                <w:sz w:val="18"/>
                <w:szCs w:val="18"/>
              </w:rPr>
              <w:t xml:space="preserve">--    </w:t>
            </w:r>
          </w:p>
        </w:tc>
      </w:tr>
      <w:tr w:rsidR="00795B25" w14:paraId="3608DCE7" w14:textId="77777777" w:rsidTr="44871088">
        <w:trPr>
          <w:trHeight w:val="520"/>
        </w:trPr>
        <w:tc>
          <w:tcPr>
            <w:tcW w:w="810" w:type="dxa"/>
            <w:shd w:val="clear" w:color="auto" w:fill="auto"/>
            <w:noWrap/>
            <w:hideMark/>
          </w:tcPr>
          <w:p w14:paraId="50A40822" w14:textId="6804266F" w:rsidR="00795B25" w:rsidRDefault="00795B25" w:rsidP="00795B25">
            <w:pPr>
              <w:spacing w:after="0"/>
              <w:jc w:val="center"/>
              <w:rPr>
                <w:rFonts w:eastAsia="Times New Roman" w:cs="Calibri"/>
                <w:sz w:val="16"/>
                <w:szCs w:val="16"/>
              </w:rPr>
            </w:pPr>
            <w:r w:rsidRPr="3E5DA59D">
              <w:rPr>
                <w:rFonts w:eastAsia="Times New Roman" w:cs="Calibri"/>
                <w:sz w:val="16"/>
                <w:szCs w:val="16"/>
              </w:rPr>
              <w:t>EOHHS</w:t>
            </w:r>
            <w:r>
              <w:rPr>
                <w:rFonts w:eastAsia="Times New Roman" w:cs="Calibri"/>
                <w:sz w:val="16"/>
                <w:szCs w:val="16"/>
              </w:rPr>
              <w:t xml:space="preserve"> (ED-SMI)</w:t>
            </w:r>
          </w:p>
        </w:tc>
        <w:tc>
          <w:tcPr>
            <w:tcW w:w="2880" w:type="dxa"/>
            <w:shd w:val="clear" w:color="auto" w:fill="auto"/>
            <w:hideMark/>
          </w:tcPr>
          <w:p w14:paraId="3FD8DCAA" w14:textId="22761235" w:rsidR="00795B25" w:rsidRDefault="00795B25" w:rsidP="00795B25">
            <w:pPr>
              <w:spacing w:after="0"/>
              <w:rPr>
                <w:rFonts w:eastAsia="Times New Roman" w:cs="Calibri"/>
                <w:sz w:val="16"/>
                <w:szCs w:val="16"/>
              </w:rPr>
            </w:pPr>
            <w:r>
              <w:rPr>
                <w:rFonts w:eastAsia="Times New Roman" w:cs="Calibri"/>
                <w:sz w:val="16"/>
                <w:szCs w:val="16"/>
              </w:rPr>
              <w:t>Risk adjusted ratio (</w:t>
            </w:r>
            <w:proofErr w:type="spellStart"/>
            <w:r>
              <w:rPr>
                <w:rFonts w:eastAsia="Times New Roman" w:cs="Calibri"/>
                <w:sz w:val="16"/>
                <w:szCs w:val="16"/>
              </w:rPr>
              <w:t>obs</w:t>
            </w:r>
            <w:proofErr w:type="spellEnd"/>
            <w:r>
              <w:rPr>
                <w:rFonts w:eastAsia="Times New Roman" w:cs="Calibri"/>
                <w:sz w:val="16"/>
                <w:szCs w:val="16"/>
              </w:rPr>
              <w:t>/exp) of ED visits for members 18-65 identified with a diagnosis of serious mental illness, substance addiction, or co-occurring conditions</w:t>
            </w:r>
          </w:p>
        </w:tc>
        <w:tc>
          <w:tcPr>
            <w:tcW w:w="810" w:type="dxa"/>
            <w:shd w:val="clear" w:color="auto" w:fill="auto"/>
            <w:noWrap/>
            <w:vAlign w:val="center"/>
          </w:tcPr>
          <w:p w14:paraId="7D963734" w14:textId="5ADE4BB4" w:rsidR="00795B25" w:rsidRDefault="00DC70EE" w:rsidP="00795B25">
            <w:pPr>
              <w:jc w:val="center"/>
              <w:rPr>
                <w:rFonts w:eastAsia="Times New Roman" w:cs="Calibri"/>
                <w:color w:val="000000" w:themeColor="text1"/>
                <w:sz w:val="18"/>
                <w:szCs w:val="18"/>
              </w:rPr>
            </w:pPr>
            <w:r>
              <w:rPr>
                <w:rFonts w:eastAsia="Times New Roman" w:cs="Calibri"/>
                <w:color w:val="000000" w:themeColor="text1"/>
                <w:sz w:val="18"/>
                <w:szCs w:val="18"/>
              </w:rPr>
              <w:t>0.87</w:t>
            </w:r>
          </w:p>
        </w:tc>
        <w:tc>
          <w:tcPr>
            <w:tcW w:w="720" w:type="dxa"/>
            <w:shd w:val="clear" w:color="auto" w:fill="auto"/>
            <w:noWrap/>
            <w:vAlign w:val="center"/>
          </w:tcPr>
          <w:p w14:paraId="06D0B0BE" w14:textId="5BA9D0E3" w:rsidR="00795B25" w:rsidRDefault="00795B25" w:rsidP="00795B25">
            <w:pPr>
              <w:jc w:val="center"/>
              <w:rPr>
                <w:rFonts w:eastAsia="Times New Roman" w:cs="Calibri"/>
                <w:color w:val="000000" w:themeColor="text1"/>
                <w:sz w:val="18"/>
                <w:szCs w:val="18"/>
              </w:rPr>
            </w:pPr>
            <w:r w:rsidRPr="4BBFF9AB">
              <w:rPr>
                <w:rFonts w:eastAsia="Times New Roman" w:cs="Calibri"/>
                <w:color w:val="000000" w:themeColor="text1"/>
                <w:sz w:val="16"/>
                <w:szCs w:val="16"/>
              </w:rPr>
              <w:t>0.834</w:t>
            </w:r>
          </w:p>
        </w:tc>
        <w:tc>
          <w:tcPr>
            <w:tcW w:w="720" w:type="dxa"/>
            <w:shd w:val="clear" w:color="auto" w:fill="auto"/>
            <w:noWrap/>
            <w:vAlign w:val="center"/>
          </w:tcPr>
          <w:p w14:paraId="0F191D67" w14:textId="1CBF6996" w:rsidR="00795B25" w:rsidRDefault="00795B25" w:rsidP="00795B25">
            <w:pPr>
              <w:jc w:val="center"/>
              <w:rPr>
                <w:rFonts w:eastAsia="Times New Roman" w:cs="Calibri"/>
                <w:color w:val="000000" w:themeColor="text1"/>
                <w:sz w:val="18"/>
                <w:szCs w:val="18"/>
              </w:rPr>
            </w:pPr>
            <w:r w:rsidRPr="4618AE05">
              <w:rPr>
                <w:rFonts w:eastAsia="Times New Roman" w:cs="Calibri"/>
                <w:color w:val="000000" w:themeColor="text1"/>
                <w:sz w:val="16"/>
                <w:szCs w:val="16"/>
              </w:rPr>
              <w:t>0.606</w:t>
            </w:r>
          </w:p>
        </w:tc>
        <w:tc>
          <w:tcPr>
            <w:tcW w:w="720" w:type="dxa"/>
            <w:shd w:val="clear" w:color="auto" w:fill="auto"/>
            <w:noWrap/>
            <w:vAlign w:val="center"/>
          </w:tcPr>
          <w:p w14:paraId="5189AA9F" w14:textId="76426027" w:rsidR="00795B25" w:rsidRDefault="00795B25" w:rsidP="00795B25">
            <w:pPr>
              <w:jc w:val="center"/>
              <w:rPr>
                <w:rFonts w:eastAsia="Times New Roman" w:cs="Calibri"/>
                <w:color w:val="000000" w:themeColor="text1"/>
                <w:sz w:val="18"/>
                <w:szCs w:val="18"/>
              </w:rPr>
            </w:pPr>
            <w:r w:rsidRPr="4618AE05">
              <w:rPr>
                <w:rFonts w:eastAsia="Times New Roman" w:cs="Calibri"/>
                <w:color w:val="000000" w:themeColor="text1"/>
                <w:sz w:val="16"/>
                <w:szCs w:val="16"/>
              </w:rPr>
              <w:t>0.937</w:t>
            </w:r>
          </w:p>
        </w:tc>
        <w:tc>
          <w:tcPr>
            <w:tcW w:w="720" w:type="dxa"/>
            <w:shd w:val="clear" w:color="auto" w:fill="auto"/>
            <w:noWrap/>
            <w:vAlign w:val="center"/>
          </w:tcPr>
          <w:p w14:paraId="29636410" w14:textId="6B6FAF00" w:rsidR="00795B25" w:rsidRDefault="00795B25" w:rsidP="00795B25">
            <w:pPr>
              <w:jc w:val="center"/>
              <w:rPr>
                <w:rFonts w:eastAsia="Times New Roman" w:cs="Calibri"/>
                <w:color w:val="000000" w:themeColor="text1"/>
                <w:sz w:val="18"/>
                <w:szCs w:val="18"/>
              </w:rPr>
            </w:pPr>
            <w:r w:rsidRPr="4618AE05">
              <w:rPr>
                <w:rFonts w:eastAsia="Times New Roman" w:cs="Calibri"/>
                <w:color w:val="000000" w:themeColor="text1"/>
                <w:sz w:val="16"/>
                <w:szCs w:val="16"/>
              </w:rPr>
              <w:t>0.737</w:t>
            </w:r>
          </w:p>
        </w:tc>
        <w:tc>
          <w:tcPr>
            <w:tcW w:w="720" w:type="dxa"/>
            <w:shd w:val="clear" w:color="auto" w:fill="auto"/>
            <w:noWrap/>
            <w:vAlign w:val="center"/>
          </w:tcPr>
          <w:p w14:paraId="65028C88" w14:textId="36999680" w:rsidR="00795B25" w:rsidRDefault="00795B25" w:rsidP="00795B25">
            <w:pPr>
              <w:jc w:val="center"/>
              <w:rPr>
                <w:rFonts w:eastAsia="Times New Roman" w:cs="Calibri"/>
                <w:color w:val="000000" w:themeColor="text1"/>
                <w:sz w:val="18"/>
                <w:szCs w:val="18"/>
              </w:rPr>
            </w:pPr>
            <w:r w:rsidRPr="4618AE05">
              <w:rPr>
                <w:rFonts w:eastAsia="Times New Roman" w:cs="Calibri"/>
                <w:color w:val="000000" w:themeColor="text1"/>
                <w:sz w:val="16"/>
                <w:szCs w:val="16"/>
              </w:rPr>
              <w:t>0.984</w:t>
            </w:r>
          </w:p>
        </w:tc>
        <w:tc>
          <w:tcPr>
            <w:tcW w:w="810" w:type="dxa"/>
            <w:shd w:val="clear" w:color="auto" w:fill="auto"/>
            <w:noWrap/>
            <w:vAlign w:val="center"/>
          </w:tcPr>
          <w:p w14:paraId="2DD62BA1" w14:textId="3D2F7DF3" w:rsidR="00795B25" w:rsidRDefault="00795B25" w:rsidP="00795B25">
            <w:pPr>
              <w:jc w:val="center"/>
              <w:rPr>
                <w:rFonts w:eastAsia="Times New Roman" w:cs="Calibri"/>
                <w:color w:val="000000" w:themeColor="text1"/>
                <w:sz w:val="18"/>
                <w:szCs w:val="18"/>
              </w:rPr>
            </w:pPr>
            <w:r w:rsidRPr="1190862A">
              <w:rPr>
                <w:rFonts w:eastAsia="Times New Roman" w:cs="Calibri"/>
                <w:color w:val="000000" w:themeColor="text1"/>
                <w:sz w:val="16"/>
                <w:szCs w:val="16"/>
              </w:rPr>
              <w:t>0.741</w:t>
            </w:r>
          </w:p>
        </w:tc>
        <w:tc>
          <w:tcPr>
            <w:tcW w:w="720" w:type="dxa"/>
            <w:shd w:val="clear" w:color="auto" w:fill="auto"/>
            <w:noWrap/>
            <w:vAlign w:val="center"/>
          </w:tcPr>
          <w:p w14:paraId="0C547A63" w14:textId="61FF97C3" w:rsidR="00795B25" w:rsidRDefault="00795B25" w:rsidP="00795B25">
            <w:pPr>
              <w:jc w:val="center"/>
              <w:rPr>
                <w:rFonts w:eastAsia="Times New Roman" w:cs="Calibri"/>
                <w:color w:val="000000" w:themeColor="text1"/>
                <w:sz w:val="18"/>
                <w:szCs w:val="18"/>
              </w:rPr>
            </w:pPr>
            <w:r w:rsidRPr="1190862A">
              <w:rPr>
                <w:rFonts w:eastAsia="Times New Roman" w:cs="Calibri"/>
                <w:color w:val="000000" w:themeColor="text1"/>
                <w:sz w:val="16"/>
                <w:szCs w:val="16"/>
              </w:rPr>
              <w:t>0.951</w:t>
            </w:r>
          </w:p>
        </w:tc>
        <w:tc>
          <w:tcPr>
            <w:tcW w:w="720" w:type="dxa"/>
            <w:shd w:val="clear" w:color="auto" w:fill="auto"/>
            <w:noWrap/>
            <w:vAlign w:val="center"/>
          </w:tcPr>
          <w:p w14:paraId="1FE7D29A" w14:textId="256DEE6E" w:rsidR="00795B25" w:rsidRDefault="00795B25" w:rsidP="00795B25">
            <w:pPr>
              <w:jc w:val="center"/>
              <w:rPr>
                <w:rFonts w:eastAsia="Times New Roman" w:cs="Calibri"/>
                <w:color w:val="000000" w:themeColor="text1"/>
                <w:sz w:val="18"/>
                <w:szCs w:val="18"/>
              </w:rPr>
            </w:pPr>
            <w:r w:rsidRPr="1190862A">
              <w:rPr>
                <w:rFonts w:eastAsia="Times New Roman" w:cs="Calibri"/>
                <w:color w:val="000000" w:themeColor="text1"/>
                <w:sz w:val="16"/>
                <w:szCs w:val="16"/>
              </w:rPr>
              <w:t>1.040</w:t>
            </w:r>
          </w:p>
        </w:tc>
        <w:tc>
          <w:tcPr>
            <w:tcW w:w="1080" w:type="dxa"/>
            <w:shd w:val="clear" w:color="auto" w:fill="auto"/>
            <w:noWrap/>
            <w:vAlign w:val="center"/>
          </w:tcPr>
          <w:p w14:paraId="1B871EFC" w14:textId="0560BC98" w:rsidR="00795B25" w:rsidRDefault="00795B25" w:rsidP="00795B25">
            <w:pPr>
              <w:jc w:val="center"/>
              <w:rPr>
                <w:rFonts w:eastAsia="Times New Roman" w:cs="Calibri"/>
                <w:color w:val="000000" w:themeColor="text1"/>
                <w:sz w:val="18"/>
                <w:szCs w:val="18"/>
              </w:rPr>
            </w:pPr>
            <w:r w:rsidRPr="1190862A">
              <w:rPr>
                <w:rFonts w:eastAsia="Times New Roman" w:cs="Calibri"/>
                <w:color w:val="000000" w:themeColor="text1"/>
                <w:sz w:val="16"/>
                <w:szCs w:val="16"/>
              </w:rPr>
              <w:t>0.850</w:t>
            </w:r>
          </w:p>
        </w:tc>
        <w:tc>
          <w:tcPr>
            <w:tcW w:w="720" w:type="dxa"/>
            <w:shd w:val="clear" w:color="auto" w:fill="auto"/>
            <w:noWrap/>
            <w:vAlign w:val="center"/>
          </w:tcPr>
          <w:p w14:paraId="29BC7680" w14:textId="6B2FC365" w:rsidR="00795B25" w:rsidRDefault="00795B25" w:rsidP="00795B25">
            <w:pPr>
              <w:jc w:val="center"/>
              <w:rPr>
                <w:rFonts w:eastAsia="Times New Roman" w:cs="Calibri"/>
                <w:color w:val="000000" w:themeColor="text1"/>
                <w:sz w:val="18"/>
                <w:szCs w:val="18"/>
              </w:rPr>
            </w:pPr>
            <w:r w:rsidRPr="1190862A">
              <w:rPr>
                <w:rFonts w:eastAsia="Times New Roman" w:cs="Calibri"/>
                <w:color w:val="000000" w:themeColor="text1"/>
                <w:sz w:val="16"/>
                <w:szCs w:val="16"/>
              </w:rPr>
              <w:t>0.995</w:t>
            </w:r>
          </w:p>
        </w:tc>
        <w:tc>
          <w:tcPr>
            <w:tcW w:w="810" w:type="dxa"/>
            <w:shd w:val="clear" w:color="auto" w:fill="auto"/>
            <w:noWrap/>
            <w:vAlign w:val="center"/>
          </w:tcPr>
          <w:p w14:paraId="3E1AD4E2" w14:textId="2267F207" w:rsidR="00795B25" w:rsidRDefault="00795B25" w:rsidP="00795B25">
            <w:pPr>
              <w:jc w:val="center"/>
              <w:rPr>
                <w:rFonts w:eastAsia="Times New Roman" w:cs="Calibri"/>
                <w:color w:val="000000" w:themeColor="text1"/>
                <w:sz w:val="18"/>
                <w:szCs w:val="18"/>
              </w:rPr>
            </w:pPr>
            <w:r w:rsidRPr="1190862A">
              <w:rPr>
                <w:rFonts w:eastAsia="Times New Roman" w:cs="Calibri"/>
                <w:color w:val="000000" w:themeColor="text1"/>
                <w:sz w:val="16"/>
                <w:szCs w:val="16"/>
              </w:rPr>
              <w:t>0.829</w:t>
            </w:r>
          </w:p>
        </w:tc>
        <w:tc>
          <w:tcPr>
            <w:tcW w:w="810" w:type="dxa"/>
            <w:shd w:val="clear" w:color="auto" w:fill="auto"/>
            <w:noWrap/>
            <w:vAlign w:val="center"/>
          </w:tcPr>
          <w:p w14:paraId="2665A76A" w14:textId="08BCC599" w:rsidR="00795B25" w:rsidRDefault="00795B25" w:rsidP="00795B25">
            <w:pPr>
              <w:jc w:val="center"/>
              <w:rPr>
                <w:rFonts w:eastAsia="Times New Roman" w:cs="Calibri"/>
                <w:color w:val="000000" w:themeColor="text1"/>
                <w:sz w:val="18"/>
                <w:szCs w:val="18"/>
              </w:rPr>
            </w:pPr>
            <w:r w:rsidRPr="04F35FEA">
              <w:rPr>
                <w:rFonts w:eastAsia="Times New Roman" w:cs="Calibri"/>
                <w:color w:val="000000" w:themeColor="text1"/>
                <w:sz w:val="16"/>
                <w:szCs w:val="16"/>
              </w:rPr>
              <w:t>0.848</w:t>
            </w:r>
          </w:p>
        </w:tc>
        <w:tc>
          <w:tcPr>
            <w:tcW w:w="810" w:type="dxa"/>
            <w:shd w:val="clear" w:color="auto" w:fill="auto"/>
            <w:noWrap/>
            <w:vAlign w:val="center"/>
          </w:tcPr>
          <w:p w14:paraId="24D441A9" w14:textId="4CF523E5" w:rsidR="00795B25" w:rsidRDefault="00795B25" w:rsidP="00795B25">
            <w:pPr>
              <w:jc w:val="center"/>
              <w:rPr>
                <w:rFonts w:eastAsia="Times New Roman" w:cs="Calibri"/>
                <w:color w:val="000000" w:themeColor="text1"/>
                <w:sz w:val="18"/>
                <w:szCs w:val="18"/>
              </w:rPr>
            </w:pPr>
            <w:r w:rsidRPr="04F35FEA">
              <w:rPr>
                <w:rFonts w:eastAsia="Times New Roman" w:cs="Calibri"/>
                <w:color w:val="000000" w:themeColor="text1"/>
                <w:sz w:val="16"/>
                <w:szCs w:val="16"/>
              </w:rPr>
              <w:t>0.783</w:t>
            </w:r>
          </w:p>
        </w:tc>
        <w:tc>
          <w:tcPr>
            <w:tcW w:w="720" w:type="dxa"/>
            <w:shd w:val="clear" w:color="auto" w:fill="auto"/>
            <w:noWrap/>
            <w:vAlign w:val="center"/>
          </w:tcPr>
          <w:p w14:paraId="7DE7B40D" w14:textId="736EF390" w:rsidR="00795B25" w:rsidRDefault="00795B25" w:rsidP="00795B25">
            <w:pPr>
              <w:jc w:val="center"/>
              <w:rPr>
                <w:rFonts w:eastAsia="Times New Roman" w:cs="Calibri"/>
                <w:color w:val="000000" w:themeColor="text1"/>
                <w:sz w:val="18"/>
                <w:szCs w:val="18"/>
              </w:rPr>
            </w:pPr>
            <w:r w:rsidRPr="04F35FEA">
              <w:rPr>
                <w:rFonts w:eastAsia="Times New Roman" w:cs="Calibri"/>
                <w:color w:val="000000" w:themeColor="text1"/>
                <w:sz w:val="16"/>
                <w:szCs w:val="16"/>
              </w:rPr>
              <w:t>1.030</w:t>
            </w:r>
          </w:p>
        </w:tc>
        <w:tc>
          <w:tcPr>
            <w:tcW w:w="720" w:type="dxa"/>
            <w:shd w:val="clear" w:color="auto" w:fill="auto"/>
            <w:noWrap/>
            <w:vAlign w:val="center"/>
          </w:tcPr>
          <w:p w14:paraId="3CF357C0" w14:textId="0282C052" w:rsidR="00795B25" w:rsidRPr="00942E92" w:rsidRDefault="6CDE3436" w:rsidP="00795B25">
            <w:pPr>
              <w:jc w:val="center"/>
              <w:rPr>
                <w:rFonts w:eastAsia="Times New Roman" w:cs="Calibri"/>
                <w:color w:val="000000" w:themeColor="text1"/>
                <w:sz w:val="16"/>
                <w:szCs w:val="16"/>
              </w:rPr>
            </w:pPr>
            <w:r w:rsidRPr="00942E92">
              <w:rPr>
                <w:rFonts w:eastAsia="Times New Roman" w:cs="Calibri"/>
                <w:color w:val="000000" w:themeColor="text1"/>
                <w:sz w:val="16"/>
                <w:szCs w:val="16"/>
              </w:rPr>
              <w:t>0.833</w:t>
            </w:r>
          </w:p>
        </w:tc>
        <w:tc>
          <w:tcPr>
            <w:tcW w:w="990" w:type="dxa"/>
            <w:shd w:val="clear" w:color="auto" w:fill="auto"/>
            <w:noWrap/>
            <w:vAlign w:val="center"/>
          </w:tcPr>
          <w:p w14:paraId="5E7A327F" w14:textId="182E66F0" w:rsidR="00795B25" w:rsidRPr="00942E92" w:rsidRDefault="6CDE3436" w:rsidP="00795B25">
            <w:pPr>
              <w:jc w:val="center"/>
              <w:rPr>
                <w:rFonts w:eastAsia="Times New Roman" w:cs="Calibri"/>
                <w:color w:val="000000" w:themeColor="text1"/>
                <w:sz w:val="16"/>
                <w:szCs w:val="16"/>
              </w:rPr>
            </w:pPr>
            <w:r w:rsidRPr="00942E92">
              <w:rPr>
                <w:rFonts w:eastAsia="Times New Roman" w:cs="Calibri"/>
                <w:color w:val="000000" w:themeColor="text1"/>
                <w:sz w:val="16"/>
                <w:szCs w:val="16"/>
              </w:rPr>
              <w:t>0.996</w:t>
            </w:r>
          </w:p>
        </w:tc>
        <w:tc>
          <w:tcPr>
            <w:tcW w:w="720" w:type="dxa"/>
            <w:shd w:val="clear" w:color="auto" w:fill="auto"/>
            <w:noWrap/>
            <w:vAlign w:val="center"/>
          </w:tcPr>
          <w:p w14:paraId="10F0127F" w14:textId="472FB42B" w:rsidR="00795B25" w:rsidRPr="00942E92" w:rsidRDefault="6CDE3436" w:rsidP="00795B25">
            <w:pPr>
              <w:jc w:val="center"/>
              <w:rPr>
                <w:rFonts w:eastAsia="Times New Roman" w:cs="Calibri"/>
                <w:color w:val="000000" w:themeColor="text1"/>
                <w:sz w:val="16"/>
                <w:szCs w:val="16"/>
              </w:rPr>
            </w:pPr>
            <w:r w:rsidRPr="00942E92">
              <w:rPr>
                <w:rFonts w:eastAsia="Times New Roman" w:cs="Calibri"/>
                <w:color w:val="000000" w:themeColor="text1"/>
                <w:sz w:val="16"/>
                <w:szCs w:val="16"/>
              </w:rPr>
              <w:t>0.858</w:t>
            </w:r>
          </w:p>
        </w:tc>
        <w:tc>
          <w:tcPr>
            <w:tcW w:w="720" w:type="dxa"/>
            <w:shd w:val="clear" w:color="auto" w:fill="auto"/>
            <w:noWrap/>
            <w:vAlign w:val="center"/>
          </w:tcPr>
          <w:p w14:paraId="65025C3D" w14:textId="3D26A305" w:rsidR="00795B25" w:rsidRPr="009062F5" w:rsidRDefault="009062F5" w:rsidP="00795B25">
            <w:pPr>
              <w:jc w:val="center"/>
              <w:rPr>
                <w:rFonts w:eastAsia="Times New Roman" w:cs="Calibri"/>
                <w:sz w:val="16"/>
                <w:szCs w:val="16"/>
              </w:rPr>
            </w:pPr>
            <w:r w:rsidRPr="009062F5">
              <w:rPr>
                <w:rFonts w:eastAsia="Times New Roman" w:cs="Calibri"/>
                <w:sz w:val="16"/>
                <w:szCs w:val="16"/>
              </w:rPr>
              <w:t>0.7660</w:t>
            </w:r>
          </w:p>
        </w:tc>
        <w:tc>
          <w:tcPr>
            <w:tcW w:w="720" w:type="dxa"/>
            <w:shd w:val="clear" w:color="auto" w:fill="auto"/>
            <w:noWrap/>
            <w:vAlign w:val="center"/>
          </w:tcPr>
          <w:p w14:paraId="269982A7" w14:textId="7CA6BCAD" w:rsidR="00795B25" w:rsidRPr="009062F5" w:rsidRDefault="009062F5" w:rsidP="00795B25">
            <w:pPr>
              <w:spacing w:after="0"/>
              <w:jc w:val="center"/>
              <w:rPr>
                <w:rFonts w:eastAsia="Times New Roman" w:cs="Calibri"/>
                <w:color w:val="000000" w:themeColor="text1"/>
                <w:sz w:val="16"/>
                <w:szCs w:val="16"/>
              </w:rPr>
            </w:pPr>
            <w:r w:rsidRPr="009062F5">
              <w:rPr>
                <w:rFonts w:eastAsia="Times New Roman" w:cs="Calibri"/>
                <w:color w:val="000000" w:themeColor="text1"/>
                <w:sz w:val="16"/>
                <w:szCs w:val="16"/>
              </w:rPr>
              <w:t>0.7837</w:t>
            </w:r>
            <w:r w:rsidR="2C52966D" w:rsidRPr="009062F5">
              <w:rPr>
                <w:rFonts w:eastAsia="Times New Roman" w:cs="Calibri"/>
                <w:color w:val="000000" w:themeColor="text1"/>
                <w:sz w:val="16"/>
                <w:szCs w:val="16"/>
              </w:rPr>
              <w:t xml:space="preserve">    </w:t>
            </w:r>
          </w:p>
        </w:tc>
        <w:tc>
          <w:tcPr>
            <w:tcW w:w="720" w:type="dxa"/>
            <w:shd w:val="clear" w:color="auto" w:fill="auto"/>
            <w:noWrap/>
            <w:vAlign w:val="center"/>
          </w:tcPr>
          <w:p w14:paraId="6A36091F" w14:textId="7CD662F6" w:rsidR="00795B25" w:rsidRPr="00636269" w:rsidRDefault="00636269" w:rsidP="00795B25">
            <w:pPr>
              <w:spacing w:after="0"/>
              <w:jc w:val="center"/>
              <w:rPr>
                <w:rFonts w:eastAsia="Times New Roman" w:cs="Calibri"/>
                <w:color w:val="000000" w:themeColor="text1"/>
                <w:sz w:val="16"/>
                <w:szCs w:val="16"/>
              </w:rPr>
            </w:pPr>
            <w:r w:rsidRPr="00636269">
              <w:rPr>
                <w:rFonts w:eastAsia="Times New Roman" w:cs="Calibri"/>
                <w:color w:val="000000" w:themeColor="text1"/>
                <w:sz w:val="16"/>
                <w:szCs w:val="16"/>
              </w:rPr>
              <w:t>0.7529</w:t>
            </w:r>
            <w:r w:rsidR="2C52966D" w:rsidRPr="00636269">
              <w:rPr>
                <w:rFonts w:eastAsia="Times New Roman" w:cs="Calibri"/>
                <w:color w:val="000000" w:themeColor="text1"/>
                <w:sz w:val="16"/>
                <w:szCs w:val="16"/>
              </w:rPr>
              <w:t xml:space="preserve">    </w:t>
            </w:r>
          </w:p>
        </w:tc>
      </w:tr>
      <w:tr w:rsidR="00795B25" w:rsidRPr="00226A99" w14:paraId="7E90A837" w14:textId="77777777" w:rsidTr="44871088">
        <w:trPr>
          <w:trHeight w:val="570"/>
        </w:trPr>
        <w:tc>
          <w:tcPr>
            <w:tcW w:w="810" w:type="dxa"/>
            <w:shd w:val="clear" w:color="auto" w:fill="F2F2F2" w:themeFill="background1" w:themeFillShade="F2"/>
            <w:noWrap/>
            <w:hideMark/>
          </w:tcPr>
          <w:p w14:paraId="0D0F6050" w14:textId="77777777" w:rsidR="00795B25" w:rsidRPr="008D1B70" w:rsidRDefault="00795B25" w:rsidP="00795B25">
            <w:pPr>
              <w:spacing w:after="0"/>
              <w:jc w:val="center"/>
              <w:rPr>
                <w:rFonts w:eastAsia="Times New Roman" w:cs="Calibri"/>
                <w:sz w:val="16"/>
                <w:szCs w:val="16"/>
              </w:rPr>
            </w:pPr>
            <w:r w:rsidRPr="008D1B70">
              <w:rPr>
                <w:rFonts w:eastAsia="Times New Roman" w:cs="Calibri"/>
                <w:sz w:val="16"/>
                <w:szCs w:val="16"/>
              </w:rPr>
              <w:lastRenderedPageBreak/>
              <w:t>IET-I</w:t>
            </w:r>
          </w:p>
        </w:tc>
        <w:tc>
          <w:tcPr>
            <w:tcW w:w="2880" w:type="dxa"/>
            <w:shd w:val="clear" w:color="auto" w:fill="F2F2F2" w:themeFill="background1" w:themeFillShade="F2"/>
            <w:hideMark/>
          </w:tcPr>
          <w:p w14:paraId="21EEA119" w14:textId="77777777" w:rsidR="00795B25" w:rsidRPr="00884DD7" w:rsidRDefault="00795B25" w:rsidP="00795B25">
            <w:pPr>
              <w:spacing w:after="0"/>
              <w:rPr>
                <w:rFonts w:eastAsia="Times New Roman" w:cs="Calibri"/>
                <w:sz w:val="16"/>
                <w:szCs w:val="16"/>
              </w:rPr>
            </w:pPr>
            <w:r w:rsidRPr="00884DD7">
              <w:rPr>
                <w:rFonts w:eastAsia="Times New Roman" w:cs="Calibri"/>
                <w:sz w:val="16"/>
                <w:szCs w:val="16"/>
              </w:rPr>
              <w:t>Initiation and Engagement of Alcohol, Opioid, or Other Drug Abuse or Dependence Treatment (Initiation)</w:t>
            </w:r>
          </w:p>
        </w:tc>
        <w:tc>
          <w:tcPr>
            <w:tcW w:w="810" w:type="dxa"/>
            <w:shd w:val="clear" w:color="auto" w:fill="F2F2F2" w:themeFill="background1" w:themeFillShade="F2"/>
            <w:noWrap/>
            <w:vAlign w:val="center"/>
          </w:tcPr>
          <w:p w14:paraId="5AA71339" w14:textId="23B8165E" w:rsidR="00795B25" w:rsidRPr="004B7264" w:rsidRDefault="004B7264" w:rsidP="00795B25">
            <w:pPr>
              <w:spacing w:after="0"/>
              <w:jc w:val="center"/>
              <w:rPr>
                <w:rFonts w:eastAsia="Times New Roman" w:cs="Calibri"/>
                <w:color w:val="000000"/>
                <w:sz w:val="16"/>
                <w:szCs w:val="16"/>
              </w:rPr>
            </w:pPr>
            <w:r w:rsidRPr="004B7264">
              <w:rPr>
                <w:rFonts w:eastAsia="Times New Roman" w:cs="Calibri"/>
                <w:color w:val="000000"/>
                <w:sz w:val="16"/>
                <w:szCs w:val="16"/>
              </w:rPr>
              <w:t>50.9%</w:t>
            </w:r>
          </w:p>
        </w:tc>
        <w:tc>
          <w:tcPr>
            <w:tcW w:w="720" w:type="dxa"/>
            <w:shd w:val="clear" w:color="auto" w:fill="F2F2F2" w:themeFill="background1" w:themeFillShade="F2"/>
            <w:noWrap/>
            <w:vAlign w:val="center"/>
          </w:tcPr>
          <w:p w14:paraId="56995510" w14:textId="7E8B8EAA" w:rsidR="00795B25" w:rsidRPr="009520C8" w:rsidRDefault="00795B25" w:rsidP="00795B25">
            <w:pPr>
              <w:spacing w:after="0"/>
              <w:jc w:val="center"/>
              <w:rPr>
                <w:rFonts w:eastAsia="Times New Roman" w:cs="Calibri"/>
                <w:color w:val="000000"/>
                <w:sz w:val="18"/>
                <w:szCs w:val="18"/>
              </w:rPr>
            </w:pPr>
            <w:r w:rsidRPr="0B00B94A">
              <w:rPr>
                <w:rFonts w:eastAsia="Times New Roman" w:cs="Calibri"/>
                <w:color w:val="000000" w:themeColor="text1"/>
                <w:sz w:val="16"/>
                <w:szCs w:val="16"/>
              </w:rPr>
              <w:t>54.9%</w:t>
            </w:r>
          </w:p>
        </w:tc>
        <w:tc>
          <w:tcPr>
            <w:tcW w:w="720" w:type="dxa"/>
            <w:shd w:val="clear" w:color="auto" w:fill="F2F2F2" w:themeFill="background1" w:themeFillShade="F2"/>
            <w:noWrap/>
            <w:vAlign w:val="center"/>
          </w:tcPr>
          <w:p w14:paraId="53611B1B" w14:textId="4AECF9DB" w:rsidR="00795B25" w:rsidRPr="009520C8" w:rsidRDefault="00795B25" w:rsidP="00795B25">
            <w:pPr>
              <w:spacing w:after="0"/>
              <w:jc w:val="center"/>
              <w:rPr>
                <w:rFonts w:eastAsia="Times New Roman" w:cs="Calibri"/>
                <w:color w:val="000000"/>
                <w:sz w:val="18"/>
                <w:szCs w:val="18"/>
              </w:rPr>
            </w:pPr>
            <w:r w:rsidRPr="0B00B94A">
              <w:rPr>
                <w:rFonts w:eastAsia="Times New Roman" w:cs="Calibri"/>
                <w:color w:val="000000" w:themeColor="text1"/>
                <w:sz w:val="16"/>
                <w:szCs w:val="16"/>
              </w:rPr>
              <w:t>32.1%</w:t>
            </w:r>
          </w:p>
        </w:tc>
        <w:tc>
          <w:tcPr>
            <w:tcW w:w="720" w:type="dxa"/>
            <w:shd w:val="clear" w:color="auto" w:fill="F2F2F2" w:themeFill="background1" w:themeFillShade="F2"/>
            <w:noWrap/>
            <w:vAlign w:val="center"/>
          </w:tcPr>
          <w:p w14:paraId="4F59C1E9" w14:textId="003A2832" w:rsidR="00795B25" w:rsidRPr="009520C8" w:rsidRDefault="00795B25" w:rsidP="00795B25">
            <w:pPr>
              <w:spacing w:after="0"/>
              <w:jc w:val="center"/>
              <w:rPr>
                <w:rFonts w:eastAsia="Times New Roman" w:cs="Calibri"/>
                <w:color w:val="000000"/>
                <w:sz w:val="18"/>
                <w:szCs w:val="18"/>
              </w:rPr>
            </w:pPr>
            <w:r w:rsidRPr="299D2AAA">
              <w:rPr>
                <w:rFonts w:eastAsia="Times New Roman" w:cs="Calibri"/>
                <w:color w:val="000000" w:themeColor="text1"/>
                <w:sz w:val="16"/>
                <w:szCs w:val="16"/>
              </w:rPr>
              <w:t>41.9%</w:t>
            </w:r>
          </w:p>
        </w:tc>
        <w:tc>
          <w:tcPr>
            <w:tcW w:w="720" w:type="dxa"/>
            <w:shd w:val="clear" w:color="auto" w:fill="F2F2F2" w:themeFill="background1" w:themeFillShade="F2"/>
            <w:noWrap/>
            <w:vAlign w:val="center"/>
          </w:tcPr>
          <w:p w14:paraId="4170DF16" w14:textId="5224AD47" w:rsidR="00795B25" w:rsidRPr="009520C8" w:rsidRDefault="00795B25" w:rsidP="00795B25">
            <w:pPr>
              <w:spacing w:after="0"/>
              <w:jc w:val="center"/>
              <w:rPr>
                <w:rFonts w:eastAsia="Times New Roman" w:cs="Calibri"/>
                <w:color w:val="000000"/>
                <w:sz w:val="18"/>
                <w:szCs w:val="18"/>
              </w:rPr>
            </w:pPr>
            <w:r w:rsidRPr="299D2AAA">
              <w:rPr>
                <w:rFonts w:eastAsia="Times New Roman" w:cs="Calibri"/>
                <w:color w:val="000000" w:themeColor="text1"/>
                <w:sz w:val="16"/>
                <w:szCs w:val="16"/>
              </w:rPr>
              <w:t>64.2%</w:t>
            </w:r>
          </w:p>
        </w:tc>
        <w:tc>
          <w:tcPr>
            <w:tcW w:w="720" w:type="dxa"/>
            <w:shd w:val="clear" w:color="auto" w:fill="F2F2F2" w:themeFill="background1" w:themeFillShade="F2"/>
            <w:noWrap/>
            <w:vAlign w:val="center"/>
          </w:tcPr>
          <w:p w14:paraId="222B27DC" w14:textId="64184F97" w:rsidR="00795B25" w:rsidRPr="009520C8" w:rsidRDefault="00795B25" w:rsidP="00795B25">
            <w:pPr>
              <w:spacing w:after="0"/>
              <w:jc w:val="center"/>
              <w:rPr>
                <w:rFonts w:eastAsia="Times New Roman" w:cs="Calibri"/>
                <w:color w:val="000000"/>
                <w:sz w:val="18"/>
                <w:szCs w:val="18"/>
              </w:rPr>
            </w:pPr>
            <w:r w:rsidRPr="299D2AAA">
              <w:rPr>
                <w:rFonts w:eastAsia="Times New Roman" w:cs="Calibri"/>
                <w:color w:val="000000" w:themeColor="text1"/>
                <w:sz w:val="16"/>
                <w:szCs w:val="16"/>
              </w:rPr>
              <w:t>38.5%</w:t>
            </w:r>
          </w:p>
        </w:tc>
        <w:tc>
          <w:tcPr>
            <w:tcW w:w="810" w:type="dxa"/>
            <w:shd w:val="clear" w:color="auto" w:fill="F2F2F2" w:themeFill="background1" w:themeFillShade="F2"/>
            <w:noWrap/>
            <w:vAlign w:val="center"/>
          </w:tcPr>
          <w:p w14:paraId="6CA4E6BB" w14:textId="13B23112" w:rsidR="00795B25" w:rsidRPr="009520C8" w:rsidRDefault="00795B25" w:rsidP="00795B25">
            <w:pPr>
              <w:spacing w:after="0"/>
              <w:jc w:val="center"/>
              <w:rPr>
                <w:rFonts w:eastAsia="Times New Roman" w:cs="Calibri"/>
                <w:color w:val="000000"/>
                <w:sz w:val="18"/>
                <w:szCs w:val="18"/>
              </w:rPr>
            </w:pPr>
            <w:r w:rsidRPr="75BFD570">
              <w:rPr>
                <w:rFonts w:eastAsia="Times New Roman" w:cs="Calibri"/>
                <w:color w:val="000000" w:themeColor="text1"/>
                <w:sz w:val="16"/>
                <w:szCs w:val="16"/>
              </w:rPr>
              <w:t>35.8%</w:t>
            </w:r>
          </w:p>
        </w:tc>
        <w:tc>
          <w:tcPr>
            <w:tcW w:w="720" w:type="dxa"/>
            <w:shd w:val="clear" w:color="auto" w:fill="F2F2F2" w:themeFill="background1" w:themeFillShade="F2"/>
            <w:noWrap/>
            <w:vAlign w:val="center"/>
          </w:tcPr>
          <w:p w14:paraId="0D347C89" w14:textId="36113184" w:rsidR="00795B25" w:rsidRPr="009520C8" w:rsidRDefault="00795B25" w:rsidP="00795B25">
            <w:pPr>
              <w:spacing w:after="0"/>
              <w:jc w:val="center"/>
              <w:rPr>
                <w:rFonts w:eastAsia="Times New Roman" w:cs="Calibri"/>
                <w:color w:val="000000"/>
                <w:sz w:val="18"/>
                <w:szCs w:val="18"/>
              </w:rPr>
            </w:pPr>
            <w:r w:rsidRPr="75BFD570">
              <w:rPr>
                <w:rFonts w:eastAsia="Times New Roman" w:cs="Calibri"/>
                <w:color w:val="000000" w:themeColor="text1"/>
                <w:sz w:val="16"/>
                <w:szCs w:val="16"/>
              </w:rPr>
              <w:t>49.9%</w:t>
            </w:r>
          </w:p>
        </w:tc>
        <w:tc>
          <w:tcPr>
            <w:tcW w:w="720" w:type="dxa"/>
            <w:shd w:val="clear" w:color="auto" w:fill="F2F2F2" w:themeFill="background1" w:themeFillShade="F2"/>
            <w:noWrap/>
            <w:vAlign w:val="center"/>
          </w:tcPr>
          <w:p w14:paraId="319A5D20" w14:textId="4CA574B6" w:rsidR="00795B25" w:rsidRPr="009520C8" w:rsidRDefault="00795B25" w:rsidP="00795B25">
            <w:pPr>
              <w:spacing w:after="0"/>
              <w:jc w:val="center"/>
              <w:rPr>
                <w:rFonts w:eastAsia="Times New Roman" w:cs="Calibri"/>
                <w:color w:val="000000"/>
                <w:sz w:val="18"/>
                <w:szCs w:val="18"/>
              </w:rPr>
            </w:pPr>
            <w:r w:rsidRPr="75BFD570">
              <w:rPr>
                <w:rFonts w:eastAsia="Times New Roman" w:cs="Calibri"/>
                <w:color w:val="000000" w:themeColor="text1"/>
                <w:sz w:val="16"/>
                <w:szCs w:val="16"/>
              </w:rPr>
              <w:t>63.3%</w:t>
            </w:r>
          </w:p>
        </w:tc>
        <w:tc>
          <w:tcPr>
            <w:tcW w:w="1080" w:type="dxa"/>
            <w:shd w:val="clear" w:color="auto" w:fill="F2F2F2" w:themeFill="background1" w:themeFillShade="F2"/>
            <w:noWrap/>
            <w:vAlign w:val="center"/>
          </w:tcPr>
          <w:p w14:paraId="09F367CD" w14:textId="027B4935" w:rsidR="00795B25" w:rsidRPr="009520C8" w:rsidRDefault="00795B25" w:rsidP="00795B25">
            <w:pPr>
              <w:spacing w:after="0"/>
              <w:jc w:val="center"/>
              <w:rPr>
                <w:rFonts w:eastAsia="Times New Roman" w:cs="Calibri"/>
                <w:color w:val="000000"/>
                <w:sz w:val="18"/>
                <w:szCs w:val="18"/>
              </w:rPr>
            </w:pPr>
            <w:r w:rsidRPr="75BFD570">
              <w:rPr>
                <w:rFonts w:eastAsia="Times New Roman" w:cs="Calibri"/>
                <w:color w:val="000000" w:themeColor="text1"/>
                <w:sz w:val="16"/>
                <w:szCs w:val="16"/>
              </w:rPr>
              <w:t>51.4%</w:t>
            </w:r>
          </w:p>
        </w:tc>
        <w:tc>
          <w:tcPr>
            <w:tcW w:w="720" w:type="dxa"/>
            <w:shd w:val="clear" w:color="auto" w:fill="F2F2F2" w:themeFill="background1" w:themeFillShade="F2"/>
            <w:noWrap/>
            <w:vAlign w:val="center"/>
          </w:tcPr>
          <w:p w14:paraId="59E1C869" w14:textId="4EB4169F" w:rsidR="00795B25" w:rsidRPr="009520C8" w:rsidRDefault="00795B25" w:rsidP="00795B25">
            <w:pPr>
              <w:spacing w:after="0"/>
              <w:jc w:val="center"/>
              <w:rPr>
                <w:rFonts w:eastAsia="Times New Roman" w:cs="Calibri"/>
                <w:color w:val="000000"/>
                <w:sz w:val="18"/>
                <w:szCs w:val="18"/>
              </w:rPr>
            </w:pPr>
            <w:r w:rsidRPr="75BFD570">
              <w:rPr>
                <w:rFonts w:eastAsia="Times New Roman" w:cs="Calibri"/>
                <w:color w:val="000000" w:themeColor="text1"/>
                <w:sz w:val="16"/>
                <w:szCs w:val="16"/>
              </w:rPr>
              <w:t>48.8%</w:t>
            </w:r>
          </w:p>
        </w:tc>
        <w:tc>
          <w:tcPr>
            <w:tcW w:w="810" w:type="dxa"/>
            <w:shd w:val="clear" w:color="auto" w:fill="F2F2F2" w:themeFill="background1" w:themeFillShade="F2"/>
            <w:noWrap/>
            <w:vAlign w:val="center"/>
          </w:tcPr>
          <w:p w14:paraId="45D2530A" w14:textId="6DD4BD95" w:rsidR="00795B25" w:rsidRPr="009520C8" w:rsidRDefault="00795B25" w:rsidP="00795B25">
            <w:pPr>
              <w:spacing w:after="0"/>
              <w:jc w:val="center"/>
              <w:rPr>
                <w:rFonts w:eastAsia="Times New Roman" w:cs="Calibri"/>
                <w:color w:val="000000"/>
                <w:sz w:val="18"/>
                <w:szCs w:val="18"/>
              </w:rPr>
            </w:pPr>
            <w:r w:rsidRPr="75BFD570">
              <w:rPr>
                <w:rFonts w:eastAsia="Times New Roman" w:cs="Calibri"/>
                <w:color w:val="000000" w:themeColor="text1"/>
                <w:sz w:val="16"/>
                <w:szCs w:val="16"/>
              </w:rPr>
              <w:t>46.2%</w:t>
            </w:r>
          </w:p>
        </w:tc>
        <w:tc>
          <w:tcPr>
            <w:tcW w:w="810" w:type="dxa"/>
            <w:shd w:val="clear" w:color="auto" w:fill="F2F2F2" w:themeFill="background1" w:themeFillShade="F2"/>
            <w:noWrap/>
            <w:vAlign w:val="center"/>
          </w:tcPr>
          <w:p w14:paraId="30C879E1" w14:textId="1579FC96" w:rsidR="00795B25" w:rsidRPr="009520C8" w:rsidRDefault="00795B25" w:rsidP="00795B25">
            <w:pPr>
              <w:spacing w:after="0"/>
              <w:jc w:val="center"/>
              <w:rPr>
                <w:rFonts w:eastAsia="Times New Roman" w:cs="Calibri"/>
                <w:color w:val="000000"/>
                <w:sz w:val="18"/>
                <w:szCs w:val="18"/>
              </w:rPr>
            </w:pPr>
            <w:r w:rsidRPr="75BFD570">
              <w:rPr>
                <w:rFonts w:eastAsia="Times New Roman" w:cs="Calibri"/>
                <w:color w:val="000000" w:themeColor="text1"/>
                <w:sz w:val="16"/>
                <w:szCs w:val="16"/>
              </w:rPr>
              <w:t>53.0%</w:t>
            </w:r>
          </w:p>
        </w:tc>
        <w:tc>
          <w:tcPr>
            <w:tcW w:w="810" w:type="dxa"/>
            <w:shd w:val="clear" w:color="auto" w:fill="F2F2F2" w:themeFill="background1" w:themeFillShade="F2"/>
            <w:noWrap/>
            <w:vAlign w:val="center"/>
          </w:tcPr>
          <w:p w14:paraId="15F87F03" w14:textId="03DBB8EC" w:rsidR="00795B25" w:rsidRPr="009520C8" w:rsidRDefault="00795B25" w:rsidP="00795B25">
            <w:pPr>
              <w:spacing w:after="0"/>
              <w:jc w:val="center"/>
              <w:rPr>
                <w:rFonts w:eastAsia="Times New Roman" w:cs="Calibri"/>
                <w:color w:val="000000"/>
                <w:sz w:val="18"/>
                <w:szCs w:val="18"/>
              </w:rPr>
            </w:pPr>
            <w:r w:rsidRPr="75BFD570">
              <w:rPr>
                <w:rFonts w:eastAsia="Times New Roman" w:cs="Calibri"/>
                <w:color w:val="000000" w:themeColor="text1"/>
                <w:sz w:val="16"/>
                <w:szCs w:val="16"/>
              </w:rPr>
              <w:t>38.9%</w:t>
            </w:r>
          </w:p>
        </w:tc>
        <w:tc>
          <w:tcPr>
            <w:tcW w:w="720" w:type="dxa"/>
            <w:shd w:val="clear" w:color="auto" w:fill="F2F2F2" w:themeFill="background1" w:themeFillShade="F2"/>
            <w:noWrap/>
            <w:vAlign w:val="center"/>
          </w:tcPr>
          <w:p w14:paraId="792D5A7F" w14:textId="1F51F294" w:rsidR="00795B25" w:rsidRPr="009520C8" w:rsidRDefault="00795B25" w:rsidP="00795B25">
            <w:pPr>
              <w:spacing w:after="0"/>
              <w:jc w:val="center"/>
              <w:rPr>
                <w:rFonts w:eastAsia="Times New Roman" w:cs="Calibri"/>
                <w:color w:val="000000"/>
                <w:sz w:val="18"/>
                <w:szCs w:val="18"/>
              </w:rPr>
            </w:pPr>
            <w:r w:rsidRPr="75BFD570">
              <w:rPr>
                <w:rFonts w:eastAsia="Times New Roman" w:cs="Calibri"/>
                <w:color w:val="000000" w:themeColor="text1"/>
                <w:sz w:val="16"/>
                <w:szCs w:val="16"/>
              </w:rPr>
              <w:t>56.2%</w:t>
            </w:r>
          </w:p>
        </w:tc>
        <w:tc>
          <w:tcPr>
            <w:tcW w:w="720" w:type="dxa"/>
            <w:shd w:val="clear" w:color="auto" w:fill="F2F2F2" w:themeFill="background1" w:themeFillShade="F2"/>
            <w:noWrap/>
            <w:vAlign w:val="center"/>
          </w:tcPr>
          <w:p w14:paraId="5BF5B41E" w14:textId="4D681DB0" w:rsidR="00795B25" w:rsidRPr="0069000B" w:rsidRDefault="5145CB3C" w:rsidP="00795B25">
            <w:pPr>
              <w:spacing w:after="0"/>
              <w:jc w:val="center"/>
              <w:rPr>
                <w:rFonts w:eastAsia="Times New Roman" w:cs="Calibri"/>
                <w:color w:val="000000"/>
                <w:sz w:val="16"/>
                <w:szCs w:val="16"/>
              </w:rPr>
            </w:pPr>
            <w:r w:rsidRPr="0069000B">
              <w:rPr>
                <w:rFonts w:eastAsia="Times New Roman" w:cs="Calibri"/>
                <w:color w:val="000000" w:themeColor="text1"/>
                <w:sz w:val="16"/>
                <w:szCs w:val="16"/>
              </w:rPr>
              <w:t>44.6%</w:t>
            </w:r>
          </w:p>
        </w:tc>
        <w:tc>
          <w:tcPr>
            <w:tcW w:w="990" w:type="dxa"/>
            <w:shd w:val="clear" w:color="auto" w:fill="F2F2F2" w:themeFill="background1" w:themeFillShade="F2"/>
            <w:noWrap/>
            <w:vAlign w:val="center"/>
          </w:tcPr>
          <w:p w14:paraId="7C0BD802" w14:textId="7D35BF2D" w:rsidR="00795B25" w:rsidRPr="0069000B" w:rsidRDefault="5145CB3C" w:rsidP="00795B25">
            <w:pPr>
              <w:spacing w:after="0"/>
              <w:jc w:val="center"/>
              <w:rPr>
                <w:rFonts w:eastAsia="Times New Roman" w:cs="Calibri"/>
                <w:color w:val="000000"/>
                <w:sz w:val="16"/>
                <w:szCs w:val="16"/>
              </w:rPr>
            </w:pPr>
            <w:r w:rsidRPr="0069000B">
              <w:rPr>
                <w:rFonts w:eastAsia="Times New Roman" w:cs="Calibri"/>
                <w:color w:val="000000" w:themeColor="text1"/>
                <w:sz w:val="16"/>
                <w:szCs w:val="16"/>
              </w:rPr>
              <w:t>46.8%</w:t>
            </w:r>
          </w:p>
        </w:tc>
        <w:tc>
          <w:tcPr>
            <w:tcW w:w="720" w:type="dxa"/>
            <w:shd w:val="clear" w:color="auto" w:fill="F2F2F2" w:themeFill="background1" w:themeFillShade="F2"/>
            <w:noWrap/>
            <w:vAlign w:val="center"/>
          </w:tcPr>
          <w:p w14:paraId="6D6AC141" w14:textId="6F7DB399" w:rsidR="00795B25" w:rsidRPr="0069000B" w:rsidRDefault="5145CB3C" w:rsidP="00795B25">
            <w:pPr>
              <w:spacing w:after="0"/>
              <w:jc w:val="center"/>
              <w:rPr>
                <w:rFonts w:eastAsia="Times New Roman" w:cs="Calibri"/>
                <w:color w:val="000000"/>
                <w:sz w:val="16"/>
                <w:szCs w:val="16"/>
              </w:rPr>
            </w:pPr>
            <w:r w:rsidRPr="0069000B">
              <w:rPr>
                <w:rFonts w:eastAsia="Times New Roman" w:cs="Calibri"/>
                <w:color w:val="000000" w:themeColor="text1"/>
                <w:sz w:val="16"/>
                <w:szCs w:val="16"/>
              </w:rPr>
              <w:t>51.1%</w:t>
            </w:r>
          </w:p>
        </w:tc>
        <w:tc>
          <w:tcPr>
            <w:tcW w:w="720" w:type="dxa"/>
            <w:shd w:val="clear" w:color="auto" w:fill="F2F2F2" w:themeFill="background1" w:themeFillShade="F2"/>
            <w:noWrap/>
            <w:vAlign w:val="center"/>
          </w:tcPr>
          <w:p w14:paraId="3384D69F" w14:textId="19DDC6CA" w:rsidR="00795B25" w:rsidRPr="0069000B" w:rsidRDefault="00C33BC1" w:rsidP="00795B25">
            <w:pPr>
              <w:spacing w:after="0"/>
              <w:jc w:val="center"/>
              <w:rPr>
                <w:rFonts w:eastAsia="Times New Roman" w:cs="Calibri"/>
                <w:color w:val="000000"/>
                <w:sz w:val="16"/>
                <w:szCs w:val="16"/>
              </w:rPr>
            </w:pPr>
            <w:r w:rsidRPr="0069000B">
              <w:rPr>
                <w:rFonts w:eastAsia="Times New Roman" w:cs="Calibri"/>
                <w:color w:val="000000"/>
                <w:sz w:val="16"/>
                <w:szCs w:val="16"/>
              </w:rPr>
              <w:t>52.4%</w:t>
            </w:r>
          </w:p>
        </w:tc>
        <w:tc>
          <w:tcPr>
            <w:tcW w:w="720" w:type="dxa"/>
            <w:shd w:val="clear" w:color="auto" w:fill="F2F2F2" w:themeFill="background1" w:themeFillShade="F2"/>
            <w:noWrap/>
            <w:vAlign w:val="center"/>
          </w:tcPr>
          <w:p w14:paraId="0A2A5CEB" w14:textId="2E6BE969" w:rsidR="00795B25" w:rsidRPr="0069000B" w:rsidRDefault="149EDF86" w:rsidP="00795B25">
            <w:pPr>
              <w:spacing w:after="0"/>
              <w:jc w:val="center"/>
              <w:rPr>
                <w:rFonts w:eastAsia="Times New Roman" w:cs="Calibri"/>
                <w:color w:val="000000"/>
                <w:sz w:val="16"/>
                <w:szCs w:val="16"/>
              </w:rPr>
            </w:pPr>
            <w:r w:rsidRPr="0069000B">
              <w:rPr>
                <w:rFonts w:eastAsia="Times New Roman" w:cs="Calibri"/>
                <w:color w:val="000000" w:themeColor="text1"/>
                <w:sz w:val="16"/>
                <w:szCs w:val="16"/>
              </w:rPr>
              <w:t>55.7%</w:t>
            </w:r>
          </w:p>
        </w:tc>
        <w:tc>
          <w:tcPr>
            <w:tcW w:w="720" w:type="dxa"/>
            <w:shd w:val="clear" w:color="auto" w:fill="F2F2F2" w:themeFill="background1" w:themeFillShade="F2"/>
            <w:noWrap/>
            <w:vAlign w:val="center"/>
          </w:tcPr>
          <w:p w14:paraId="163B5DF8" w14:textId="326FE985" w:rsidR="00795B25" w:rsidRPr="0069000B" w:rsidRDefault="149EDF86" w:rsidP="00795B25">
            <w:pPr>
              <w:spacing w:after="0"/>
              <w:jc w:val="center"/>
              <w:rPr>
                <w:rFonts w:eastAsia="Times New Roman" w:cs="Calibri"/>
                <w:color w:val="000000"/>
                <w:sz w:val="16"/>
                <w:szCs w:val="16"/>
              </w:rPr>
            </w:pPr>
            <w:r w:rsidRPr="0069000B">
              <w:rPr>
                <w:rFonts w:eastAsia="Times New Roman" w:cs="Calibri"/>
                <w:color w:val="000000" w:themeColor="text1"/>
                <w:sz w:val="16"/>
                <w:szCs w:val="16"/>
              </w:rPr>
              <w:t>53.1%</w:t>
            </w:r>
          </w:p>
        </w:tc>
      </w:tr>
      <w:tr w:rsidR="00795B25" w:rsidRPr="00226A99" w14:paraId="26945DD1" w14:textId="77777777" w:rsidTr="44871088">
        <w:trPr>
          <w:trHeight w:val="525"/>
        </w:trPr>
        <w:tc>
          <w:tcPr>
            <w:tcW w:w="810" w:type="dxa"/>
            <w:shd w:val="clear" w:color="auto" w:fill="auto"/>
            <w:noWrap/>
            <w:hideMark/>
          </w:tcPr>
          <w:p w14:paraId="0E923DDE" w14:textId="77777777" w:rsidR="00795B25" w:rsidRPr="008D1B70" w:rsidRDefault="00795B25" w:rsidP="00795B25">
            <w:pPr>
              <w:spacing w:after="0"/>
              <w:jc w:val="center"/>
              <w:rPr>
                <w:rFonts w:eastAsia="Times New Roman" w:cs="Calibri"/>
                <w:sz w:val="16"/>
                <w:szCs w:val="16"/>
              </w:rPr>
            </w:pPr>
            <w:r w:rsidRPr="008D1B70">
              <w:rPr>
                <w:rFonts w:eastAsia="Times New Roman" w:cs="Calibri"/>
                <w:sz w:val="16"/>
                <w:szCs w:val="16"/>
              </w:rPr>
              <w:t>IET-E</w:t>
            </w:r>
          </w:p>
        </w:tc>
        <w:tc>
          <w:tcPr>
            <w:tcW w:w="2880" w:type="dxa"/>
            <w:shd w:val="clear" w:color="auto" w:fill="auto"/>
            <w:hideMark/>
          </w:tcPr>
          <w:p w14:paraId="1B5C391B" w14:textId="77777777" w:rsidR="00795B25" w:rsidRPr="00884DD7" w:rsidRDefault="00795B25" w:rsidP="00795B25">
            <w:pPr>
              <w:spacing w:after="0"/>
              <w:rPr>
                <w:rFonts w:eastAsia="Times New Roman" w:cs="Calibri"/>
                <w:sz w:val="16"/>
                <w:szCs w:val="16"/>
              </w:rPr>
            </w:pPr>
            <w:r w:rsidRPr="00884DD7">
              <w:rPr>
                <w:rFonts w:eastAsia="Times New Roman" w:cs="Calibri"/>
                <w:sz w:val="16"/>
                <w:szCs w:val="16"/>
              </w:rPr>
              <w:t>Initiation and Engagement of Alcohol, Opioid, or Other Drug Abuse or Dependence Treatment (Engagement)</w:t>
            </w:r>
          </w:p>
        </w:tc>
        <w:tc>
          <w:tcPr>
            <w:tcW w:w="810" w:type="dxa"/>
            <w:shd w:val="clear" w:color="auto" w:fill="auto"/>
            <w:noWrap/>
            <w:vAlign w:val="center"/>
          </w:tcPr>
          <w:p w14:paraId="3C0770EA" w14:textId="297A4FC9" w:rsidR="00795B25" w:rsidRPr="00A63362" w:rsidRDefault="00A63362" w:rsidP="00795B25">
            <w:pPr>
              <w:spacing w:after="0"/>
              <w:jc w:val="center"/>
              <w:rPr>
                <w:rFonts w:eastAsia="Times New Roman" w:cs="Calibri"/>
                <w:color w:val="000000"/>
                <w:sz w:val="16"/>
                <w:szCs w:val="16"/>
              </w:rPr>
            </w:pPr>
            <w:r w:rsidRPr="00A63362">
              <w:rPr>
                <w:rFonts w:eastAsia="Times New Roman" w:cs="Calibri"/>
                <w:color w:val="000000"/>
                <w:sz w:val="16"/>
                <w:szCs w:val="16"/>
              </w:rPr>
              <w:t>22.9%</w:t>
            </w:r>
          </w:p>
        </w:tc>
        <w:tc>
          <w:tcPr>
            <w:tcW w:w="720" w:type="dxa"/>
            <w:shd w:val="clear" w:color="auto" w:fill="auto"/>
            <w:noWrap/>
            <w:vAlign w:val="center"/>
          </w:tcPr>
          <w:p w14:paraId="04838C04" w14:textId="25D3DE20" w:rsidR="00795B25" w:rsidRPr="009520C8" w:rsidRDefault="00795B25" w:rsidP="00795B25">
            <w:pPr>
              <w:spacing w:after="0"/>
              <w:jc w:val="center"/>
              <w:rPr>
                <w:rFonts w:eastAsia="Times New Roman" w:cs="Calibri"/>
                <w:color w:val="000000"/>
                <w:sz w:val="18"/>
                <w:szCs w:val="18"/>
              </w:rPr>
            </w:pPr>
            <w:r w:rsidRPr="4FF6D006">
              <w:rPr>
                <w:rFonts w:eastAsia="Times New Roman" w:cs="Calibri"/>
                <w:color w:val="000000" w:themeColor="text1"/>
                <w:sz w:val="16"/>
                <w:szCs w:val="16"/>
              </w:rPr>
              <w:t>22.2%</w:t>
            </w:r>
          </w:p>
        </w:tc>
        <w:tc>
          <w:tcPr>
            <w:tcW w:w="720" w:type="dxa"/>
            <w:shd w:val="clear" w:color="auto" w:fill="auto"/>
            <w:noWrap/>
            <w:vAlign w:val="center"/>
          </w:tcPr>
          <w:p w14:paraId="459F221C" w14:textId="4BFD3A9B" w:rsidR="00795B25" w:rsidRPr="009520C8" w:rsidRDefault="00795B25" w:rsidP="00795B25">
            <w:pPr>
              <w:spacing w:after="0"/>
              <w:jc w:val="center"/>
              <w:rPr>
                <w:rFonts w:eastAsia="Times New Roman" w:cs="Calibri"/>
                <w:color w:val="000000"/>
                <w:sz w:val="18"/>
                <w:szCs w:val="18"/>
              </w:rPr>
            </w:pPr>
            <w:r w:rsidRPr="4FF6D006">
              <w:rPr>
                <w:rFonts w:eastAsia="Times New Roman" w:cs="Calibri"/>
                <w:color w:val="000000" w:themeColor="text1"/>
                <w:sz w:val="16"/>
                <w:szCs w:val="16"/>
              </w:rPr>
              <w:t>12.4%</w:t>
            </w:r>
          </w:p>
        </w:tc>
        <w:tc>
          <w:tcPr>
            <w:tcW w:w="720" w:type="dxa"/>
            <w:shd w:val="clear" w:color="auto" w:fill="auto"/>
            <w:noWrap/>
            <w:vAlign w:val="center"/>
          </w:tcPr>
          <w:p w14:paraId="04EC6FE8" w14:textId="4CBE2300" w:rsidR="00795B25" w:rsidRPr="009520C8" w:rsidRDefault="00795B25" w:rsidP="00795B25">
            <w:pPr>
              <w:spacing w:after="0"/>
              <w:jc w:val="center"/>
              <w:rPr>
                <w:rFonts w:eastAsia="Times New Roman" w:cs="Calibri"/>
                <w:color w:val="000000"/>
                <w:sz w:val="18"/>
                <w:szCs w:val="18"/>
              </w:rPr>
            </w:pPr>
            <w:r w:rsidRPr="4FF6D006">
              <w:rPr>
                <w:rFonts w:eastAsia="Times New Roman" w:cs="Calibri"/>
                <w:color w:val="000000" w:themeColor="text1"/>
                <w:sz w:val="16"/>
                <w:szCs w:val="16"/>
              </w:rPr>
              <w:t>15.8%</w:t>
            </w:r>
          </w:p>
        </w:tc>
        <w:tc>
          <w:tcPr>
            <w:tcW w:w="720" w:type="dxa"/>
            <w:shd w:val="clear" w:color="auto" w:fill="auto"/>
            <w:noWrap/>
            <w:vAlign w:val="center"/>
          </w:tcPr>
          <w:p w14:paraId="7D8DC1B0" w14:textId="355196E9" w:rsidR="00795B25" w:rsidRPr="009520C8" w:rsidRDefault="00795B25" w:rsidP="00795B25">
            <w:pPr>
              <w:spacing w:after="0"/>
              <w:jc w:val="center"/>
              <w:rPr>
                <w:rFonts w:eastAsia="Times New Roman" w:cs="Calibri"/>
                <w:color w:val="000000"/>
                <w:sz w:val="18"/>
                <w:szCs w:val="18"/>
              </w:rPr>
            </w:pPr>
            <w:r w:rsidRPr="4FF6D006">
              <w:rPr>
                <w:rFonts w:eastAsia="Times New Roman" w:cs="Calibri"/>
                <w:color w:val="000000" w:themeColor="text1"/>
                <w:sz w:val="16"/>
                <w:szCs w:val="16"/>
              </w:rPr>
              <w:t>36.4%</w:t>
            </w:r>
          </w:p>
        </w:tc>
        <w:tc>
          <w:tcPr>
            <w:tcW w:w="720" w:type="dxa"/>
            <w:shd w:val="clear" w:color="auto" w:fill="auto"/>
            <w:noWrap/>
            <w:vAlign w:val="center"/>
          </w:tcPr>
          <w:p w14:paraId="424C75CC" w14:textId="16172F4E" w:rsidR="00795B25" w:rsidRPr="009520C8" w:rsidRDefault="00795B25" w:rsidP="00795B25">
            <w:pPr>
              <w:spacing w:after="0"/>
              <w:jc w:val="center"/>
              <w:rPr>
                <w:rFonts w:eastAsia="Times New Roman" w:cs="Calibri"/>
                <w:color w:val="000000"/>
                <w:sz w:val="18"/>
                <w:szCs w:val="18"/>
              </w:rPr>
            </w:pPr>
            <w:r w:rsidRPr="4FF6D006">
              <w:rPr>
                <w:rFonts w:eastAsia="Times New Roman" w:cs="Calibri"/>
                <w:color w:val="000000" w:themeColor="text1"/>
                <w:sz w:val="16"/>
                <w:szCs w:val="16"/>
              </w:rPr>
              <w:t>12.8%</w:t>
            </w:r>
          </w:p>
        </w:tc>
        <w:tc>
          <w:tcPr>
            <w:tcW w:w="810" w:type="dxa"/>
            <w:shd w:val="clear" w:color="auto" w:fill="auto"/>
            <w:noWrap/>
            <w:vAlign w:val="center"/>
          </w:tcPr>
          <w:p w14:paraId="0A4FEC81" w14:textId="127E81D4" w:rsidR="00795B25" w:rsidRPr="009520C8" w:rsidRDefault="00795B25" w:rsidP="00795B25">
            <w:pPr>
              <w:spacing w:after="0"/>
              <w:jc w:val="center"/>
              <w:rPr>
                <w:rFonts w:eastAsia="Times New Roman" w:cs="Calibri"/>
                <w:color w:val="000000"/>
                <w:sz w:val="18"/>
                <w:szCs w:val="18"/>
              </w:rPr>
            </w:pPr>
            <w:r w:rsidRPr="4FF6D006">
              <w:rPr>
                <w:rFonts w:eastAsia="Times New Roman" w:cs="Calibri"/>
                <w:color w:val="000000" w:themeColor="text1"/>
                <w:sz w:val="16"/>
                <w:szCs w:val="16"/>
              </w:rPr>
              <w:t>18.6%</w:t>
            </w:r>
          </w:p>
        </w:tc>
        <w:tc>
          <w:tcPr>
            <w:tcW w:w="720" w:type="dxa"/>
            <w:shd w:val="clear" w:color="auto" w:fill="auto"/>
            <w:noWrap/>
            <w:vAlign w:val="center"/>
          </w:tcPr>
          <w:p w14:paraId="3730B8BA" w14:textId="1A47683A" w:rsidR="00795B25" w:rsidRPr="009520C8" w:rsidRDefault="00795B25" w:rsidP="00795B25">
            <w:pPr>
              <w:spacing w:after="0"/>
              <w:jc w:val="center"/>
              <w:rPr>
                <w:rFonts w:eastAsia="Times New Roman" w:cs="Calibri"/>
                <w:color w:val="000000"/>
                <w:sz w:val="18"/>
                <w:szCs w:val="18"/>
              </w:rPr>
            </w:pPr>
            <w:r w:rsidRPr="43F00B38">
              <w:rPr>
                <w:rFonts w:eastAsia="Times New Roman" w:cs="Calibri"/>
                <w:color w:val="000000" w:themeColor="text1"/>
                <w:sz w:val="16"/>
                <w:szCs w:val="16"/>
              </w:rPr>
              <w:t>17.6%</w:t>
            </w:r>
          </w:p>
        </w:tc>
        <w:tc>
          <w:tcPr>
            <w:tcW w:w="720" w:type="dxa"/>
            <w:shd w:val="clear" w:color="auto" w:fill="auto"/>
            <w:noWrap/>
            <w:vAlign w:val="center"/>
          </w:tcPr>
          <w:p w14:paraId="632B8352" w14:textId="4076341D" w:rsidR="00795B25" w:rsidRPr="009520C8" w:rsidRDefault="00795B25" w:rsidP="00795B25">
            <w:pPr>
              <w:spacing w:after="0"/>
              <w:jc w:val="center"/>
              <w:rPr>
                <w:rFonts w:eastAsia="Times New Roman" w:cs="Calibri"/>
                <w:color w:val="000000"/>
                <w:sz w:val="18"/>
                <w:szCs w:val="18"/>
              </w:rPr>
            </w:pPr>
            <w:r w:rsidRPr="43F00B38">
              <w:rPr>
                <w:rFonts w:eastAsia="Times New Roman" w:cs="Calibri"/>
                <w:color w:val="000000" w:themeColor="text1"/>
                <w:sz w:val="16"/>
                <w:szCs w:val="16"/>
              </w:rPr>
              <w:t>19.3%</w:t>
            </w:r>
          </w:p>
        </w:tc>
        <w:tc>
          <w:tcPr>
            <w:tcW w:w="1080" w:type="dxa"/>
            <w:shd w:val="clear" w:color="auto" w:fill="auto"/>
            <w:noWrap/>
            <w:vAlign w:val="center"/>
          </w:tcPr>
          <w:p w14:paraId="1759D322" w14:textId="11BA1B79" w:rsidR="00795B25" w:rsidRPr="009520C8" w:rsidRDefault="00795B25" w:rsidP="00795B25">
            <w:pPr>
              <w:spacing w:after="0"/>
              <w:jc w:val="center"/>
              <w:rPr>
                <w:rFonts w:eastAsia="Times New Roman" w:cs="Calibri"/>
                <w:color w:val="000000"/>
                <w:sz w:val="18"/>
                <w:szCs w:val="18"/>
              </w:rPr>
            </w:pPr>
            <w:r w:rsidRPr="43F00B38">
              <w:rPr>
                <w:rFonts w:eastAsia="Times New Roman" w:cs="Calibri"/>
                <w:color w:val="000000" w:themeColor="text1"/>
                <w:sz w:val="16"/>
                <w:szCs w:val="16"/>
              </w:rPr>
              <w:t>28.2%</w:t>
            </w:r>
          </w:p>
        </w:tc>
        <w:tc>
          <w:tcPr>
            <w:tcW w:w="720" w:type="dxa"/>
            <w:shd w:val="clear" w:color="auto" w:fill="auto"/>
            <w:noWrap/>
            <w:vAlign w:val="center"/>
          </w:tcPr>
          <w:p w14:paraId="6C0579DE" w14:textId="2BBCA9C1" w:rsidR="00795B25" w:rsidRPr="009520C8" w:rsidRDefault="00795B25" w:rsidP="00795B25">
            <w:pPr>
              <w:spacing w:after="0"/>
              <w:jc w:val="center"/>
              <w:rPr>
                <w:rFonts w:eastAsia="Times New Roman" w:cs="Calibri"/>
                <w:color w:val="000000"/>
                <w:sz w:val="18"/>
                <w:szCs w:val="18"/>
              </w:rPr>
            </w:pPr>
            <w:r w:rsidRPr="43F00B38">
              <w:rPr>
                <w:rFonts w:eastAsia="Times New Roman" w:cs="Calibri"/>
                <w:color w:val="000000" w:themeColor="text1"/>
                <w:sz w:val="16"/>
                <w:szCs w:val="16"/>
              </w:rPr>
              <w:t>19.2%</w:t>
            </w:r>
          </w:p>
        </w:tc>
        <w:tc>
          <w:tcPr>
            <w:tcW w:w="810" w:type="dxa"/>
            <w:shd w:val="clear" w:color="auto" w:fill="auto"/>
            <w:noWrap/>
            <w:vAlign w:val="center"/>
          </w:tcPr>
          <w:p w14:paraId="29213488" w14:textId="7FC91ECF" w:rsidR="00795B25" w:rsidRPr="009520C8" w:rsidRDefault="00795B25" w:rsidP="00795B25">
            <w:pPr>
              <w:spacing w:after="0"/>
              <w:jc w:val="center"/>
              <w:rPr>
                <w:rFonts w:eastAsia="Times New Roman" w:cs="Calibri"/>
                <w:color w:val="000000"/>
                <w:sz w:val="18"/>
                <w:szCs w:val="18"/>
              </w:rPr>
            </w:pPr>
            <w:r w:rsidRPr="05391ED3">
              <w:rPr>
                <w:rFonts w:eastAsia="Times New Roman" w:cs="Calibri"/>
                <w:color w:val="000000" w:themeColor="text1"/>
                <w:sz w:val="16"/>
                <w:szCs w:val="16"/>
              </w:rPr>
              <w:t>21.0%</w:t>
            </w:r>
          </w:p>
        </w:tc>
        <w:tc>
          <w:tcPr>
            <w:tcW w:w="810" w:type="dxa"/>
            <w:shd w:val="clear" w:color="auto" w:fill="auto"/>
            <w:noWrap/>
            <w:vAlign w:val="center"/>
          </w:tcPr>
          <w:p w14:paraId="79E91B0C" w14:textId="61AFF943" w:rsidR="00795B25" w:rsidRPr="009520C8" w:rsidRDefault="00795B25" w:rsidP="00795B25">
            <w:pPr>
              <w:spacing w:after="0"/>
              <w:jc w:val="center"/>
              <w:rPr>
                <w:rFonts w:eastAsia="Times New Roman" w:cs="Calibri"/>
                <w:color w:val="000000"/>
                <w:sz w:val="18"/>
                <w:szCs w:val="18"/>
              </w:rPr>
            </w:pPr>
            <w:r w:rsidRPr="05391ED3">
              <w:rPr>
                <w:rFonts w:eastAsia="Times New Roman" w:cs="Calibri"/>
                <w:color w:val="000000" w:themeColor="text1"/>
                <w:sz w:val="16"/>
                <w:szCs w:val="16"/>
              </w:rPr>
              <w:t>22.5%</w:t>
            </w:r>
          </w:p>
        </w:tc>
        <w:tc>
          <w:tcPr>
            <w:tcW w:w="810" w:type="dxa"/>
            <w:shd w:val="clear" w:color="auto" w:fill="auto"/>
            <w:noWrap/>
            <w:vAlign w:val="center"/>
          </w:tcPr>
          <w:p w14:paraId="7EBF8CCC" w14:textId="36FA682A" w:rsidR="00795B25" w:rsidRPr="009520C8" w:rsidRDefault="00795B25" w:rsidP="00795B25">
            <w:pPr>
              <w:spacing w:after="0"/>
              <w:jc w:val="center"/>
              <w:rPr>
                <w:rFonts w:eastAsia="Times New Roman" w:cs="Calibri"/>
                <w:color w:val="000000"/>
                <w:sz w:val="18"/>
                <w:szCs w:val="18"/>
              </w:rPr>
            </w:pPr>
            <w:r w:rsidRPr="05391ED3">
              <w:rPr>
                <w:rFonts w:eastAsia="Times New Roman" w:cs="Calibri"/>
                <w:color w:val="000000" w:themeColor="text1"/>
                <w:sz w:val="16"/>
                <w:szCs w:val="16"/>
              </w:rPr>
              <w:t>16.0%</w:t>
            </w:r>
          </w:p>
        </w:tc>
        <w:tc>
          <w:tcPr>
            <w:tcW w:w="720" w:type="dxa"/>
            <w:shd w:val="clear" w:color="auto" w:fill="auto"/>
            <w:noWrap/>
            <w:vAlign w:val="center"/>
          </w:tcPr>
          <w:p w14:paraId="15896E9D" w14:textId="3F7AF185" w:rsidR="00795B25" w:rsidRPr="009520C8" w:rsidRDefault="00795B25" w:rsidP="00795B25">
            <w:pPr>
              <w:spacing w:after="0"/>
              <w:jc w:val="center"/>
              <w:rPr>
                <w:rFonts w:eastAsia="Times New Roman" w:cs="Calibri"/>
                <w:color w:val="000000"/>
                <w:sz w:val="18"/>
                <w:szCs w:val="18"/>
              </w:rPr>
            </w:pPr>
            <w:r w:rsidRPr="05391ED3">
              <w:rPr>
                <w:rFonts w:eastAsia="Times New Roman" w:cs="Calibri"/>
                <w:color w:val="000000" w:themeColor="text1"/>
                <w:sz w:val="16"/>
                <w:szCs w:val="16"/>
              </w:rPr>
              <w:t>32.8%</w:t>
            </w:r>
          </w:p>
        </w:tc>
        <w:tc>
          <w:tcPr>
            <w:tcW w:w="720" w:type="dxa"/>
            <w:shd w:val="clear" w:color="auto" w:fill="auto"/>
            <w:noWrap/>
            <w:vAlign w:val="center"/>
          </w:tcPr>
          <w:p w14:paraId="5465444B" w14:textId="03F14E01" w:rsidR="00795B25" w:rsidRPr="0069000B" w:rsidRDefault="7A0AC749" w:rsidP="00795B25">
            <w:pPr>
              <w:spacing w:after="0"/>
              <w:jc w:val="center"/>
              <w:rPr>
                <w:rFonts w:eastAsia="Times New Roman" w:cs="Calibri"/>
                <w:color w:val="000000"/>
                <w:sz w:val="16"/>
                <w:szCs w:val="16"/>
              </w:rPr>
            </w:pPr>
            <w:r w:rsidRPr="0069000B">
              <w:rPr>
                <w:rFonts w:eastAsia="Times New Roman" w:cs="Calibri"/>
                <w:color w:val="000000" w:themeColor="text1"/>
                <w:sz w:val="16"/>
                <w:szCs w:val="16"/>
              </w:rPr>
              <w:t>18.3%</w:t>
            </w:r>
          </w:p>
        </w:tc>
        <w:tc>
          <w:tcPr>
            <w:tcW w:w="990" w:type="dxa"/>
            <w:shd w:val="clear" w:color="auto" w:fill="auto"/>
            <w:noWrap/>
            <w:vAlign w:val="center"/>
          </w:tcPr>
          <w:p w14:paraId="4BF9C11F" w14:textId="02E8740B" w:rsidR="00795B25" w:rsidRPr="0069000B" w:rsidRDefault="7A0AC749" w:rsidP="00795B25">
            <w:pPr>
              <w:spacing w:after="0"/>
              <w:jc w:val="center"/>
              <w:rPr>
                <w:rFonts w:eastAsia="Times New Roman" w:cs="Calibri"/>
                <w:color w:val="000000"/>
                <w:sz w:val="16"/>
                <w:szCs w:val="16"/>
              </w:rPr>
            </w:pPr>
            <w:r w:rsidRPr="0069000B">
              <w:rPr>
                <w:rFonts w:eastAsia="Times New Roman" w:cs="Calibri"/>
                <w:color w:val="000000" w:themeColor="text1"/>
                <w:sz w:val="16"/>
                <w:szCs w:val="16"/>
              </w:rPr>
              <w:t>22.6%</w:t>
            </w:r>
          </w:p>
        </w:tc>
        <w:tc>
          <w:tcPr>
            <w:tcW w:w="720" w:type="dxa"/>
            <w:shd w:val="clear" w:color="auto" w:fill="auto"/>
            <w:noWrap/>
            <w:vAlign w:val="center"/>
          </w:tcPr>
          <w:p w14:paraId="47728DDD" w14:textId="583C545B" w:rsidR="00795B25" w:rsidRPr="0069000B" w:rsidRDefault="7A0AC749" w:rsidP="00795B25">
            <w:pPr>
              <w:spacing w:after="0"/>
              <w:jc w:val="center"/>
              <w:rPr>
                <w:rFonts w:eastAsia="Times New Roman" w:cs="Calibri"/>
                <w:color w:val="000000"/>
                <w:sz w:val="16"/>
                <w:szCs w:val="16"/>
              </w:rPr>
            </w:pPr>
            <w:r w:rsidRPr="0069000B">
              <w:rPr>
                <w:rFonts w:eastAsia="Times New Roman" w:cs="Calibri"/>
                <w:color w:val="000000" w:themeColor="text1"/>
                <w:sz w:val="16"/>
                <w:szCs w:val="16"/>
              </w:rPr>
              <w:t>22.1%</w:t>
            </w:r>
          </w:p>
        </w:tc>
        <w:tc>
          <w:tcPr>
            <w:tcW w:w="720" w:type="dxa"/>
            <w:shd w:val="clear" w:color="auto" w:fill="FFFFFF" w:themeFill="background1"/>
            <w:noWrap/>
            <w:vAlign w:val="center"/>
          </w:tcPr>
          <w:p w14:paraId="10B93BB1" w14:textId="10B054DB" w:rsidR="00795B25" w:rsidRPr="0069000B" w:rsidRDefault="00406D29" w:rsidP="00795B25">
            <w:pPr>
              <w:spacing w:after="0"/>
              <w:jc w:val="center"/>
              <w:rPr>
                <w:rFonts w:eastAsia="Times New Roman" w:cs="Calibri"/>
                <w:color w:val="000000"/>
                <w:sz w:val="16"/>
                <w:szCs w:val="16"/>
              </w:rPr>
            </w:pPr>
            <w:r w:rsidRPr="0069000B">
              <w:rPr>
                <w:rFonts w:eastAsia="Times New Roman" w:cs="Calibri"/>
                <w:color w:val="000000"/>
                <w:sz w:val="16"/>
                <w:szCs w:val="16"/>
              </w:rPr>
              <w:t>23.1%</w:t>
            </w:r>
          </w:p>
        </w:tc>
        <w:tc>
          <w:tcPr>
            <w:tcW w:w="720" w:type="dxa"/>
            <w:shd w:val="clear" w:color="auto" w:fill="auto"/>
            <w:noWrap/>
            <w:vAlign w:val="center"/>
          </w:tcPr>
          <w:p w14:paraId="2D33B810" w14:textId="34D4816D" w:rsidR="00795B25" w:rsidRPr="0069000B" w:rsidRDefault="63BA1270" w:rsidP="00795B25">
            <w:pPr>
              <w:spacing w:after="0"/>
              <w:jc w:val="center"/>
              <w:rPr>
                <w:rFonts w:eastAsia="Times New Roman" w:cs="Calibri"/>
                <w:color w:val="000000"/>
                <w:sz w:val="16"/>
                <w:szCs w:val="16"/>
              </w:rPr>
            </w:pPr>
            <w:r w:rsidRPr="0069000B">
              <w:rPr>
                <w:rFonts w:eastAsia="Times New Roman" w:cs="Calibri"/>
                <w:color w:val="000000" w:themeColor="text1"/>
                <w:sz w:val="16"/>
                <w:szCs w:val="16"/>
              </w:rPr>
              <w:t>23.5%</w:t>
            </w:r>
          </w:p>
        </w:tc>
        <w:tc>
          <w:tcPr>
            <w:tcW w:w="720" w:type="dxa"/>
            <w:shd w:val="clear" w:color="auto" w:fill="auto"/>
            <w:noWrap/>
            <w:vAlign w:val="center"/>
          </w:tcPr>
          <w:p w14:paraId="34291195" w14:textId="52A335F3" w:rsidR="00795B25" w:rsidRPr="0069000B" w:rsidRDefault="63BA1270" w:rsidP="00795B25">
            <w:pPr>
              <w:spacing w:after="0"/>
              <w:jc w:val="center"/>
              <w:rPr>
                <w:rFonts w:eastAsia="Times New Roman" w:cs="Calibri"/>
                <w:color w:val="000000"/>
                <w:sz w:val="16"/>
                <w:szCs w:val="16"/>
              </w:rPr>
            </w:pPr>
            <w:r w:rsidRPr="0069000B">
              <w:rPr>
                <w:rFonts w:eastAsia="Times New Roman" w:cs="Calibri"/>
                <w:color w:val="000000" w:themeColor="text1"/>
                <w:sz w:val="16"/>
                <w:szCs w:val="16"/>
              </w:rPr>
              <w:t>22.7%</w:t>
            </w:r>
          </w:p>
        </w:tc>
      </w:tr>
      <w:tr w:rsidR="00795B25" w:rsidRPr="00394EC7" w14:paraId="62B26AFD" w14:textId="77777777" w:rsidTr="44871088">
        <w:trPr>
          <w:trHeight w:val="290"/>
        </w:trPr>
        <w:tc>
          <w:tcPr>
            <w:tcW w:w="810" w:type="dxa"/>
            <w:shd w:val="clear" w:color="auto" w:fill="F2F2F2" w:themeFill="background1" w:themeFillShade="F2"/>
            <w:noWrap/>
            <w:hideMark/>
          </w:tcPr>
          <w:p w14:paraId="24DFE8DA" w14:textId="77777777" w:rsidR="00795B25" w:rsidRPr="008D1B70" w:rsidRDefault="00795B25" w:rsidP="00795B25">
            <w:pPr>
              <w:spacing w:after="0"/>
              <w:jc w:val="center"/>
              <w:rPr>
                <w:rFonts w:eastAsia="Times New Roman" w:cs="Calibri"/>
                <w:sz w:val="16"/>
                <w:szCs w:val="16"/>
              </w:rPr>
            </w:pPr>
            <w:r w:rsidRPr="008D1B70">
              <w:rPr>
                <w:rFonts w:eastAsia="Times New Roman" w:cs="Calibri"/>
                <w:sz w:val="16"/>
                <w:szCs w:val="16"/>
              </w:rPr>
              <w:t>FUH-7</w:t>
            </w:r>
          </w:p>
        </w:tc>
        <w:tc>
          <w:tcPr>
            <w:tcW w:w="2880" w:type="dxa"/>
            <w:shd w:val="clear" w:color="auto" w:fill="F2F2F2" w:themeFill="background1" w:themeFillShade="F2"/>
            <w:hideMark/>
          </w:tcPr>
          <w:p w14:paraId="3CF4C970" w14:textId="77777777" w:rsidR="00795B25" w:rsidRPr="00884DD7" w:rsidRDefault="00795B25" w:rsidP="00795B25">
            <w:pPr>
              <w:spacing w:after="0"/>
              <w:rPr>
                <w:rFonts w:eastAsia="Times New Roman" w:cs="Calibri"/>
                <w:sz w:val="16"/>
                <w:szCs w:val="16"/>
              </w:rPr>
            </w:pPr>
            <w:r w:rsidRPr="00884DD7">
              <w:rPr>
                <w:rFonts w:eastAsia="Times New Roman" w:cs="Calibri"/>
                <w:sz w:val="16"/>
                <w:szCs w:val="16"/>
              </w:rPr>
              <w:t>Follow-Up After Hospitalization for Mental Illness (7 days)</w:t>
            </w:r>
          </w:p>
        </w:tc>
        <w:tc>
          <w:tcPr>
            <w:tcW w:w="810" w:type="dxa"/>
            <w:shd w:val="clear" w:color="auto" w:fill="F2F2F2" w:themeFill="background1" w:themeFillShade="F2"/>
            <w:noWrap/>
            <w:vAlign w:val="center"/>
          </w:tcPr>
          <w:p w14:paraId="15E0AA27" w14:textId="65E353EE" w:rsidR="00795B25" w:rsidRPr="00394EC7" w:rsidRDefault="00ED20B6" w:rsidP="00795B25">
            <w:pPr>
              <w:spacing w:after="0"/>
              <w:jc w:val="center"/>
              <w:rPr>
                <w:rFonts w:eastAsia="Times New Roman" w:cs="Calibri"/>
                <w:color w:val="000000"/>
                <w:sz w:val="16"/>
                <w:szCs w:val="16"/>
              </w:rPr>
            </w:pPr>
            <w:r>
              <w:rPr>
                <w:rFonts w:eastAsia="Times New Roman" w:cs="Calibri"/>
                <w:color w:val="000000"/>
                <w:sz w:val="16"/>
                <w:szCs w:val="16"/>
              </w:rPr>
              <w:t>46.4%</w:t>
            </w:r>
          </w:p>
        </w:tc>
        <w:tc>
          <w:tcPr>
            <w:tcW w:w="720" w:type="dxa"/>
            <w:shd w:val="clear" w:color="auto" w:fill="F2F2F2" w:themeFill="background1" w:themeFillShade="F2"/>
            <w:noWrap/>
            <w:vAlign w:val="center"/>
          </w:tcPr>
          <w:p w14:paraId="66EC5330" w14:textId="6A90421F" w:rsidR="00795B25" w:rsidRPr="00394EC7" w:rsidRDefault="00795B25" w:rsidP="00795B25">
            <w:pPr>
              <w:spacing w:after="0"/>
              <w:jc w:val="center"/>
              <w:rPr>
                <w:rFonts w:eastAsia="Times New Roman" w:cs="Calibri"/>
                <w:color w:val="000000"/>
                <w:sz w:val="16"/>
                <w:szCs w:val="16"/>
              </w:rPr>
            </w:pPr>
            <w:r w:rsidRPr="3D493539">
              <w:rPr>
                <w:rFonts w:eastAsia="Times New Roman" w:cs="Calibri"/>
                <w:color w:val="000000" w:themeColor="text1"/>
                <w:sz w:val="16"/>
                <w:szCs w:val="16"/>
              </w:rPr>
              <w:t>48.4%</w:t>
            </w:r>
          </w:p>
        </w:tc>
        <w:tc>
          <w:tcPr>
            <w:tcW w:w="720" w:type="dxa"/>
            <w:shd w:val="clear" w:color="auto" w:fill="F2F2F2" w:themeFill="background1" w:themeFillShade="F2"/>
            <w:noWrap/>
            <w:vAlign w:val="center"/>
          </w:tcPr>
          <w:p w14:paraId="13403B0C" w14:textId="3B45920D" w:rsidR="00795B25" w:rsidRPr="00394EC7" w:rsidRDefault="00795B25" w:rsidP="00795B25">
            <w:pPr>
              <w:spacing w:after="0"/>
              <w:jc w:val="center"/>
              <w:rPr>
                <w:rFonts w:eastAsia="Times New Roman" w:cs="Calibri"/>
                <w:color w:val="000000"/>
                <w:sz w:val="16"/>
                <w:szCs w:val="16"/>
              </w:rPr>
            </w:pPr>
            <w:r w:rsidRPr="082ECBF4">
              <w:rPr>
                <w:rFonts w:eastAsia="Times New Roman" w:cs="Calibri"/>
                <w:color w:val="000000" w:themeColor="text1"/>
                <w:sz w:val="16"/>
                <w:szCs w:val="16"/>
              </w:rPr>
              <w:t>49.5%</w:t>
            </w:r>
          </w:p>
        </w:tc>
        <w:tc>
          <w:tcPr>
            <w:tcW w:w="720" w:type="dxa"/>
            <w:shd w:val="clear" w:color="auto" w:fill="F2F2F2" w:themeFill="background1" w:themeFillShade="F2"/>
            <w:noWrap/>
            <w:vAlign w:val="center"/>
          </w:tcPr>
          <w:p w14:paraId="2225F056" w14:textId="7700E10C" w:rsidR="00795B25" w:rsidRPr="00394EC7" w:rsidRDefault="00795B25" w:rsidP="00795B25">
            <w:pPr>
              <w:spacing w:after="0"/>
              <w:jc w:val="center"/>
              <w:rPr>
                <w:rFonts w:eastAsia="Times New Roman" w:cs="Calibri"/>
                <w:color w:val="000000"/>
                <w:sz w:val="16"/>
                <w:szCs w:val="16"/>
              </w:rPr>
            </w:pPr>
            <w:r w:rsidRPr="082ECBF4">
              <w:rPr>
                <w:rFonts w:eastAsia="Times New Roman" w:cs="Calibri"/>
                <w:color w:val="000000" w:themeColor="text1"/>
                <w:sz w:val="16"/>
                <w:szCs w:val="16"/>
              </w:rPr>
              <w:t>39.5%</w:t>
            </w:r>
          </w:p>
        </w:tc>
        <w:tc>
          <w:tcPr>
            <w:tcW w:w="720" w:type="dxa"/>
            <w:shd w:val="clear" w:color="auto" w:fill="F2F2F2" w:themeFill="background1" w:themeFillShade="F2"/>
            <w:noWrap/>
            <w:vAlign w:val="center"/>
          </w:tcPr>
          <w:p w14:paraId="2481D6D4" w14:textId="77C691E0" w:rsidR="00795B25" w:rsidRPr="00394EC7" w:rsidRDefault="00795B25" w:rsidP="00795B25">
            <w:pPr>
              <w:spacing w:after="0"/>
              <w:jc w:val="center"/>
              <w:rPr>
                <w:rFonts w:eastAsia="Times New Roman" w:cs="Calibri"/>
                <w:color w:val="000000"/>
                <w:sz w:val="16"/>
                <w:szCs w:val="16"/>
              </w:rPr>
            </w:pPr>
            <w:r w:rsidRPr="082ECBF4">
              <w:rPr>
                <w:rFonts w:eastAsia="Times New Roman" w:cs="Calibri"/>
                <w:color w:val="000000" w:themeColor="text1"/>
                <w:sz w:val="16"/>
                <w:szCs w:val="16"/>
              </w:rPr>
              <w:t>50.7%</w:t>
            </w:r>
          </w:p>
        </w:tc>
        <w:tc>
          <w:tcPr>
            <w:tcW w:w="720" w:type="dxa"/>
            <w:shd w:val="clear" w:color="auto" w:fill="F2F2F2" w:themeFill="background1" w:themeFillShade="F2"/>
            <w:noWrap/>
            <w:vAlign w:val="center"/>
          </w:tcPr>
          <w:p w14:paraId="241B56B6" w14:textId="17D73CC8" w:rsidR="00795B25" w:rsidRPr="00394EC7" w:rsidRDefault="00795B25" w:rsidP="00795B25">
            <w:pPr>
              <w:spacing w:after="0"/>
              <w:jc w:val="center"/>
              <w:rPr>
                <w:rFonts w:eastAsia="Times New Roman" w:cs="Calibri"/>
                <w:color w:val="000000"/>
                <w:sz w:val="16"/>
                <w:szCs w:val="16"/>
              </w:rPr>
            </w:pPr>
            <w:r w:rsidRPr="082ECBF4">
              <w:rPr>
                <w:rFonts w:eastAsia="Times New Roman" w:cs="Calibri"/>
                <w:color w:val="000000" w:themeColor="text1"/>
                <w:sz w:val="16"/>
                <w:szCs w:val="16"/>
              </w:rPr>
              <w:t>35.5%</w:t>
            </w:r>
          </w:p>
        </w:tc>
        <w:tc>
          <w:tcPr>
            <w:tcW w:w="810" w:type="dxa"/>
            <w:shd w:val="clear" w:color="auto" w:fill="F2F2F2" w:themeFill="background1" w:themeFillShade="F2"/>
            <w:noWrap/>
            <w:vAlign w:val="center"/>
          </w:tcPr>
          <w:p w14:paraId="47DA59D6" w14:textId="3743889E" w:rsidR="00795B25" w:rsidRPr="00394EC7" w:rsidRDefault="00795B25" w:rsidP="00795B25">
            <w:pPr>
              <w:spacing w:after="0"/>
              <w:jc w:val="center"/>
              <w:rPr>
                <w:rFonts w:eastAsia="Times New Roman" w:cs="Calibri"/>
                <w:color w:val="000000"/>
                <w:sz w:val="16"/>
                <w:szCs w:val="16"/>
              </w:rPr>
            </w:pPr>
            <w:r w:rsidRPr="082ECBF4">
              <w:rPr>
                <w:rFonts w:eastAsia="Times New Roman" w:cs="Calibri"/>
                <w:color w:val="000000" w:themeColor="text1"/>
                <w:sz w:val="16"/>
                <w:szCs w:val="16"/>
              </w:rPr>
              <w:t>41.1%</w:t>
            </w:r>
          </w:p>
        </w:tc>
        <w:tc>
          <w:tcPr>
            <w:tcW w:w="720" w:type="dxa"/>
            <w:shd w:val="clear" w:color="auto" w:fill="F2F2F2" w:themeFill="background1" w:themeFillShade="F2"/>
            <w:noWrap/>
            <w:vAlign w:val="center"/>
          </w:tcPr>
          <w:p w14:paraId="1EB538CB" w14:textId="34DCE593" w:rsidR="00795B25" w:rsidRPr="00394EC7" w:rsidRDefault="00795B25" w:rsidP="00795B25">
            <w:pPr>
              <w:spacing w:after="0"/>
              <w:jc w:val="center"/>
              <w:rPr>
                <w:rFonts w:eastAsia="Times New Roman" w:cs="Calibri"/>
                <w:color w:val="000000"/>
                <w:sz w:val="16"/>
                <w:szCs w:val="16"/>
              </w:rPr>
            </w:pPr>
            <w:r w:rsidRPr="082ECBF4">
              <w:rPr>
                <w:rFonts w:eastAsia="Times New Roman" w:cs="Calibri"/>
                <w:color w:val="000000" w:themeColor="text1"/>
                <w:sz w:val="16"/>
                <w:szCs w:val="16"/>
              </w:rPr>
              <w:t>42.0%</w:t>
            </w:r>
          </w:p>
        </w:tc>
        <w:tc>
          <w:tcPr>
            <w:tcW w:w="720" w:type="dxa"/>
            <w:shd w:val="clear" w:color="auto" w:fill="F2F2F2" w:themeFill="background1" w:themeFillShade="F2"/>
            <w:noWrap/>
            <w:vAlign w:val="center"/>
          </w:tcPr>
          <w:p w14:paraId="29507341" w14:textId="195FF985" w:rsidR="00795B25" w:rsidRPr="00394EC7" w:rsidRDefault="00795B25" w:rsidP="00795B25">
            <w:pPr>
              <w:spacing w:after="0"/>
              <w:jc w:val="center"/>
              <w:rPr>
                <w:rFonts w:eastAsia="Times New Roman" w:cs="Calibri"/>
                <w:color w:val="000000"/>
                <w:sz w:val="16"/>
                <w:szCs w:val="16"/>
              </w:rPr>
            </w:pPr>
            <w:r w:rsidRPr="082ECBF4">
              <w:rPr>
                <w:rFonts w:eastAsia="Times New Roman" w:cs="Calibri"/>
                <w:color w:val="000000" w:themeColor="text1"/>
                <w:sz w:val="16"/>
                <w:szCs w:val="16"/>
              </w:rPr>
              <w:t>57.5%</w:t>
            </w:r>
          </w:p>
        </w:tc>
        <w:tc>
          <w:tcPr>
            <w:tcW w:w="1080" w:type="dxa"/>
            <w:shd w:val="clear" w:color="auto" w:fill="F2F2F2" w:themeFill="background1" w:themeFillShade="F2"/>
            <w:noWrap/>
            <w:vAlign w:val="center"/>
          </w:tcPr>
          <w:p w14:paraId="0E623E3D" w14:textId="11F410E0" w:rsidR="00795B25" w:rsidRPr="00394EC7" w:rsidRDefault="00795B25" w:rsidP="00795B25">
            <w:pPr>
              <w:spacing w:after="0"/>
              <w:jc w:val="center"/>
              <w:rPr>
                <w:rFonts w:eastAsia="Times New Roman" w:cs="Calibri"/>
                <w:color w:val="000000"/>
                <w:sz w:val="16"/>
                <w:szCs w:val="16"/>
              </w:rPr>
            </w:pPr>
            <w:r w:rsidRPr="082ECBF4">
              <w:rPr>
                <w:rFonts w:eastAsia="Times New Roman" w:cs="Calibri"/>
                <w:color w:val="000000" w:themeColor="text1"/>
                <w:sz w:val="16"/>
                <w:szCs w:val="16"/>
              </w:rPr>
              <w:t>52.2%</w:t>
            </w:r>
          </w:p>
        </w:tc>
        <w:tc>
          <w:tcPr>
            <w:tcW w:w="720" w:type="dxa"/>
            <w:shd w:val="clear" w:color="auto" w:fill="F2F2F2" w:themeFill="background1" w:themeFillShade="F2"/>
            <w:noWrap/>
            <w:vAlign w:val="center"/>
          </w:tcPr>
          <w:p w14:paraId="69FA516C" w14:textId="5B3825A2" w:rsidR="00795B25" w:rsidRPr="00394EC7" w:rsidRDefault="00795B25" w:rsidP="00795B25">
            <w:pPr>
              <w:spacing w:after="0"/>
              <w:jc w:val="center"/>
              <w:rPr>
                <w:rFonts w:eastAsia="Times New Roman" w:cs="Calibri"/>
                <w:color w:val="000000"/>
                <w:sz w:val="16"/>
                <w:szCs w:val="16"/>
              </w:rPr>
            </w:pPr>
            <w:r w:rsidRPr="11E60D6F">
              <w:rPr>
                <w:rFonts w:eastAsia="Times New Roman" w:cs="Calibri"/>
                <w:color w:val="000000" w:themeColor="text1"/>
                <w:sz w:val="16"/>
                <w:szCs w:val="16"/>
              </w:rPr>
              <w:t>43.2%</w:t>
            </w:r>
          </w:p>
        </w:tc>
        <w:tc>
          <w:tcPr>
            <w:tcW w:w="810" w:type="dxa"/>
            <w:shd w:val="clear" w:color="auto" w:fill="F2F2F2" w:themeFill="background1" w:themeFillShade="F2"/>
            <w:noWrap/>
            <w:vAlign w:val="center"/>
          </w:tcPr>
          <w:p w14:paraId="43127CF8" w14:textId="1408A3E7" w:rsidR="00795B25" w:rsidRPr="00394EC7" w:rsidRDefault="00795B25" w:rsidP="00795B25">
            <w:pPr>
              <w:spacing w:after="0"/>
              <w:jc w:val="center"/>
              <w:rPr>
                <w:rFonts w:eastAsia="Times New Roman" w:cs="Calibri"/>
                <w:color w:val="000000"/>
                <w:sz w:val="16"/>
                <w:szCs w:val="16"/>
              </w:rPr>
            </w:pPr>
            <w:r w:rsidRPr="11E60D6F">
              <w:rPr>
                <w:rFonts w:eastAsia="Times New Roman" w:cs="Calibri"/>
                <w:color w:val="000000" w:themeColor="text1"/>
                <w:sz w:val="16"/>
                <w:szCs w:val="16"/>
              </w:rPr>
              <w:t>51.5%</w:t>
            </w:r>
          </w:p>
        </w:tc>
        <w:tc>
          <w:tcPr>
            <w:tcW w:w="810" w:type="dxa"/>
            <w:shd w:val="clear" w:color="auto" w:fill="F2F2F2" w:themeFill="background1" w:themeFillShade="F2"/>
            <w:noWrap/>
            <w:vAlign w:val="center"/>
          </w:tcPr>
          <w:p w14:paraId="3750FCAD" w14:textId="2A84858C" w:rsidR="00795B25" w:rsidRPr="00394EC7" w:rsidRDefault="00795B25" w:rsidP="00795B25">
            <w:pPr>
              <w:spacing w:after="0"/>
              <w:jc w:val="center"/>
              <w:rPr>
                <w:rFonts w:eastAsia="Times New Roman" w:cs="Calibri"/>
                <w:color w:val="000000"/>
                <w:sz w:val="16"/>
                <w:szCs w:val="16"/>
              </w:rPr>
            </w:pPr>
            <w:r w:rsidRPr="11E60D6F">
              <w:rPr>
                <w:rFonts w:eastAsia="Times New Roman" w:cs="Calibri"/>
                <w:color w:val="000000" w:themeColor="text1"/>
                <w:sz w:val="16"/>
                <w:szCs w:val="16"/>
              </w:rPr>
              <w:t>54.3%</w:t>
            </w:r>
          </w:p>
        </w:tc>
        <w:tc>
          <w:tcPr>
            <w:tcW w:w="810" w:type="dxa"/>
            <w:shd w:val="clear" w:color="auto" w:fill="F2F2F2" w:themeFill="background1" w:themeFillShade="F2"/>
            <w:noWrap/>
            <w:vAlign w:val="center"/>
          </w:tcPr>
          <w:p w14:paraId="38FA56BC" w14:textId="39042147" w:rsidR="00795B25" w:rsidRPr="00394EC7" w:rsidRDefault="00795B25" w:rsidP="00795B25">
            <w:pPr>
              <w:spacing w:after="0"/>
              <w:jc w:val="center"/>
              <w:rPr>
                <w:rFonts w:eastAsia="Times New Roman" w:cs="Calibri"/>
                <w:color w:val="000000"/>
                <w:sz w:val="16"/>
                <w:szCs w:val="16"/>
              </w:rPr>
            </w:pPr>
            <w:r w:rsidRPr="11E60D6F">
              <w:rPr>
                <w:rFonts w:eastAsia="Times New Roman" w:cs="Calibri"/>
                <w:color w:val="000000" w:themeColor="text1"/>
                <w:sz w:val="16"/>
                <w:szCs w:val="16"/>
              </w:rPr>
              <w:t>48.0%</w:t>
            </w:r>
          </w:p>
        </w:tc>
        <w:tc>
          <w:tcPr>
            <w:tcW w:w="720" w:type="dxa"/>
            <w:shd w:val="clear" w:color="auto" w:fill="F2F2F2" w:themeFill="background1" w:themeFillShade="F2"/>
            <w:noWrap/>
            <w:vAlign w:val="center"/>
          </w:tcPr>
          <w:p w14:paraId="76DE349F" w14:textId="6E7D7D54" w:rsidR="00795B25" w:rsidRPr="00394EC7" w:rsidRDefault="00795B25" w:rsidP="00795B25">
            <w:pPr>
              <w:spacing w:after="0"/>
              <w:jc w:val="center"/>
              <w:rPr>
                <w:rFonts w:eastAsia="Times New Roman" w:cs="Calibri"/>
                <w:color w:val="000000"/>
                <w:sz w:val="16"/>
                <w:szCs w:val="16"/>
              </w:rPr>
            </w:pPr>
            <w:r w:rsidRPr="11E60D6F">
              <w:rPr>
                <w:rFonts w:eastAsia="Times New Roman" w:cs="Calibri"/>
                <w:color w:val="000000" w:themeColor="text1"/>
                <w:sz w:val="16"/>
                <w:szCs w:val="16"/>
              </w:rPr>
              <w:t>45.3%</w:t>
            </w:r>
          </w:p>
        </w:tc>
        <w:tc>
          <w:tcPr>
            <w:tcW w:w="720" w:type="dxa"/>
            <w:shd w:val="clear" w:color="auto" w:fill="F2F2F2" w:themeFill="background1" w:themeFillShade="F2"/>
            <w:noWrap/>
            <w:vAlign w:val="center"/>
          </w:tcPr>
          <w:p w14:paraId="4595BF28" w14:textId="251359CC" w:rsidR="00795B25" w:rsidRPr="00394EC7" w:rsidRDefault="041B424A" w:rsidP="00795B25">
            <w:pPr>
              <w:spacing w:after="0"/>
              <w:jc w:val="center"/>
              <w:rPr>
                <w:rFonts w:eastAsia="Times New Roman" w:cs="Calibri"/>
                <w:color w:val="000000"/>
                <w:sz w:val="16"/>
                <w:szCs w:val="16"/>
              </w:rPr>
            </w:pPr>
            <w:r w:rsidRPr="79FF21F0">
              <w:rPr>
                <w:rFonts w:eastAsia="Times New Roman" w:cs="Calibri"/>
                <w:color w:val="000000" w:themeColor="text1"/>
                <w:sz w:val="16"/>
                <w:szCs w:val="16"/>
              </w:rPr>
              <w:t>48.4%</w:t>
            </w:r>
          </w:p>
        </w:tc>
        <w:tc>
          <w:tcPr>
            <w:tcW w:w="990" w:type="dxa"/>
            <w:shd w:val="clear" w:color="auto" w:fill="F2F2F2" w:themeFill="background1" w:themeFillShade="F2"/>
            <w:noWrap/>
            <w:vAlign w:val="center"/>
          </w:tcPr>
          <w:p w14:paraId="1CD34410" w14:textId="003D2A7A" w:rsidR="00795B25" w:rsidRPr="00394EC7" w:rsidRDefault="041B424A" w:rsidP="00795B25">
            <w:pPr>
              <w:spacing w:after="0"/>
              <w:jc w:val="center"/>
              <w:rPr>
                <w:rFonts w:eastAsia="Times New Roman" w:cs="Calibri"/>
                <w:color w:val="000000"/>
                <w:sz w:val="16"/>
                <w:szCs w:val="16"/>
              </w:rPr>
            </w:pPr>
            <w:r w:rsidRPr="79FF21F0">
              <w:rPr>
                <w:rFonts w:eastAsia="Times New Roman" w:cs="Calibri"/>
                <w:color w:val="000000" w:themeColor="text1"/>
                <w:sz w:val="16"/>
                <w:szCs w:val="16"/>
              </w:rPr>
              <w:t>42.0%</w:t>
            </w:r>
          </w:p>
        </w:tc>
        <w:tc>
          <w:tcPr>
            <w:tcW w:w="720" w:type="dxa"/>
            <w:shd w:val="clear" w:color="auto" w:fill="F2F2F2" w:themeFill="background1" w:themeFillShade="F2"/>
            <w:noWrap/>
            <w:vAlign w:val="center"/>
          </w:tcPr>
          <w:p w14:paraId="6FE6EE2E" w14:textId="44D6AD72" w:rsidR="00795B25" w:rsidRPr="00394EC7" w:rsidRDefault="041B424A" w:rsidP="00795B25">
            <w:pPr>
              <w:spacing w:after="0"/>
              <w:jc w:val="center"/>
              <w:rPr>
                <w:rFonts w:eastAsia="Times New Roman" w:cs="Calibri"/>
                <w:color w:val="000000"/>
                <w:sz w:val="16"/>
                <w:szCs w:val="16"/>
              </w:rPr>
            </w:pPr>
            <w:r w:rsidRPr="79FF21F0">
              <w:rPr>
                <w:rFonts w:eastAsia="Times New Roman" w:cs="Calibri"/>
                <w:color w:val="000000" w:themeColor="text1"/>
                <w:sz w:val="16"/>
                <w:szCs w:val="16"/>
              </w:rPr>
              <w:t>47.5%</w:t>
            </w:r>
          </w:p>
        </w:tc>
        <w:tc>
          <w:tcPr>
            <w:tcW w:w="720" w:type="dxa"/>
            <w:shd w:val="clear" w:color="auto" w:fill="F2F2F2" w:themeFill="background1" w:themeFillShade="F2"/>
            <w:noWrap/>
            <w:vAlign w:val="center"/>
          </w:tcPr>
          <w:p w14:paraId="094C48C9" w14:textId="315D1487" w:rsidR="00795B25" w:rsidRPr="00394EC7" w:rsidRDefault="00100443" w:rsidP="00795B25">
            <w:pPr>
              <w:spacing w:after="0"/>
              <w:jc w:val="center"/>
              <w:rPr>
                <w:rFonts w:eastAsia="Times New Roman" w:cs="Calibri"/>
                <w:color w:val="000000"/>
                <w:sz w:val="16"/>
                <w:szCs w:val="16"/>
              </w:rPr>
            </w:pPr>
            <w:r>
              <w:rPr>
                <w:rFonts w:eastAsia="Times New Roman" w:cs="Calibri"/>
                <w:color w:val="000000"/>
                <w:sz w:val="16"/>
                <w:szCs w:val="16"/>
              </w:rPr>
              <w:t>40.7%</w:t>
            </w:r>
          </w:p>
        </w:tc>
        <w:tc>
          <w:tcPr>
            <w:tcW w:w="720" w:type="dxa"/>
            <w:shd w:val="clear" w:color="auto" w:fill="F2F2F2" w:themeFill="background1" w:themeFillShade="F2"/>
            <w:noWrap/>
            <w:vAlign w:val="center"/>
          </w:tcPr>
          <w:p w14:paraId="4E90F40D" w14:textId="19B20273" w:rsidR="00795B25" w:rsidRPr="00394EC7" w:rsidRDefault="44565E17" w:rsidP="00795B25">
            <w:pPr>
              <w:spacing w:after="0"/>
              <w:jc w:val="center"/>
              <w:rPr>
                <w:rFonts w:eastAsia="Times New Roman" w:cs="Calibri"/>
                <w:color w:val="000000"/>
                <w:sz w:val="16"/>
                <w:szCs w:val="16"/>
              </w:rPr>
            </w:pPr>
            <w:r w:rsidRPr="44871088">
              <w:rPr>
                <w:rFonts w:eastAsia="Times New Roman" w:cs="Calibri"/>
                <w:color w:val="000000" w:themeColor="text1"/>
                <w:sz w:val="16"/>
                <w:szCs w:val="16"/>
              </w:rPr>
              <w:t>41.1%</w:t>
            </w:r>
          </w:p>
        </w:tc>
        <w:tc>
          <w:tcPr>
            <w:tcW w:w="720" w:type="dxa"/>
            <w:shd w:val="clear" w:color="auto" w:fill="F2F2F2" w:themeFill="background1" w:themeFillShade="F2"/>
            <w:noWrap/>
            <w:vAlign w:val="center"/>
          </w:tcPr>
          <w:p w14:paraId="29EF76EF" w14:textId="21B2BB9D" w:rsidR="00795B25" w:rsidRPr="00394EC7" w:rsidRDefault="44565E17" w:rsidP="00795B25">
            <w:pPr>
              <w:spacing w:after="0"/>
              <w:jc w:val="center"/>
              <w:rPr>
                <w:rFonts w:eastAsia="Times New Roman" w:cs="Calibri"/>
                <w:color w:val="000000"/>
                <w:sz w:val="16"/>
                <w:szCs w:val="16"/>
              </w:rPr>
            </w:pPr>
            <w:r w:rsidRPr="44871088">
              <w:rPr>
                <w:rFonts w:eastAsia="Times New Roman" w:cs="Calibri"/>
                <w:color w:val="000000" w:themeColor="text1"/>
                <w:sz w:val="16"/>
                <w:szCs w:val="16"/>
              </w:rPr>
              <w:t>40.5%</w:t>
            </w:r>
          </w:p>
        </w:tc>
      </w:tr>
      <w:tr w:rsidR="00795B25" w:rsidRPr="00394EC7" w14:paraId="506B5D6C" w14:textId="77777777" w:rsidTr="44871088">
        <w:trPr>
          <w:trHeight w:val="520"/>
        </w:trPr>
        <w:tc>
          <w:tcPr>
            <w:tcW w:w="810" w:type="dxa"/>
            <w:shd w:val="clear" w:color="auto" w:fill="auto"/>
            <w:noWrap/>
            <w:hideMark/>
          </w:tcPr>
          <w:p w14:paraId="71BF66A4" w14:textId="77777777" w:rsidR="00795B25" w:rsidRPr="008D1B70" w:rsidRDefault="00795B25" w:rsidP="00795B25">
            <w:pPr>
              <w:spacing w:after="0"/>
              <w:jc w:val="center"/>
              <w:rPr>
                <w:rFonts w:eastAsia="Times New Roman" w:cs="Calibri"/>
                <w:sz w:val="16"/>
                <w:szCs w:val="16"/>
              </w:rPr>
            </w:pPr>
            <w:r w:rsidRPr="008D1B70">
              <w:rPr>
                <w:rFonts w:eastAsia="Times New Roman" w:cs="Calibri"/>
                <w:sz w:val="16"/>
                <w:szCs w:val="16"/>
              </w:rPr>
              <w:t>FUM-7</w:t>
            </w:r>
          </w:p>
        </w:tc>
        <w:tc>
          <w:tcPr>
            <w:tcW w:w="2880" w:type="dxa"/>
            <w:shd w:val="clear" w:color="auto" w:fill="auto"/>
            <w:hideMark/>
          </w:tcPr>
          <w:p w14:paraId="56D18FA6" w14:textId="77777777" w:rsidR="00795B25" w:rsidRPr="00884DD7" w:rsidRDefault="00795B25" w:rsidP="00795B25">
            <w:pPr>
              <w:spacing w:after="0"/>
              <w:rPr>
                <w:rFonts w:eastAsia="Times New Roman" w:cs="Calibri"/>
                <w:sz w:val="16"/>
                <w:szCs w:val="16"/>
              </w:rPr>
            </w:pPr>
            <w:r w:rsidRPr="00884DD7">
              <w:rPr>
                <w:rFonts w:eastAsia="Times New Roman" w:cs="Calibri"/>
                <w:sz w:val="16"/>
                <w:szCs w:val="16"/>
              </w:rPr>
              <w:t>Follow-Up After Emergency Department Visit for Mental Illness (7 days)</w:t>
            </w:r>
          </w:p>
        </w:tc>
        <w:tc>
          <w:tcPr>
            <w:tcW w:w="810" w:type="dxa"/>
            <w:shd w:val="clear" w:color="auto" w:fill="auto"/>
            <w:noWrap/>
            <w:vAlign w:val="center"/>
          </w:tcPr>
          <w:p w14:paraId="4080A6B3" w14:textId="4C907987" w:rsidR="00795B25" w:rsidRPr="00394EC7" w:rsidRDefault="0041160C" w:rsidP="00795B25">
            <w:pPr>
              <w:spacing w:after="0"/>
              <w:jc w:val="center"/>
              <w:rPr>
                <w:rFonts w:eastAsia="Times New Roman" w:cs="Calibri"/>
                <w:color w:val="000000"/>
                <w:sz w:val="16"/>
                <w:szCs w:val="16"/>
              </w:rPr>
            </w:pPr>
            <w:r>
              <w:rPr>
                <w:rFonts w:eastAsia="Times New Roman" w:cs="Calibri"/>
                <w:color w:val="000000"/>
                <w:sz w:val="16"/>
                <w:szCs w:val="16"/>
              </w:rPr>
              <w:t>74.7%</w:t>
            </w:r>
          </w:p>
        </w:tc>
        <w:tc>
          <w:tcPr>
            <w:tcW w:w="720" w:type="dxa"/>
            <w:shd w:val="clear" w:color="auto" w:fill="auto"/>
            <w:noWrap/>
            <w:vAlign w:val="center"/>
          </w:tcPr>
          <w:p w14:paraId="2288013D" w14:textId="5F3DE5DE" w:rsidR="00795B25" w:rsidRPr="00394EC7" w:rsidRDefault="00795B25" w:rsidP="00795B25">
            <w:pPr>
              <w:spacing w:after="0"/>
              <w:jc w:val="center"/>
              <w:rPr>
                <w:rFonts w:eastAsia="Times New Roman" w:cs="Calibri"/>
                <w:color w:val="000000"/>
                <w:sz w:val="16"/>
                <w:szCs w:val="16"/>
              </w:rPr>
            </w:pPr>
            <w:r w:rsidRPr="51558A5F">
              <w:rPr>
                <w:rFonts w:eastAsia="Times New Roman" w:cs="Calibri"/>
                <w:color w:val="000000" w:themeColor="text1"/>
                <w:sz w:val="16"/>
                <w:szCs w:val="16"/>
              </w:rPr>
              <w:t>73.9%</w:t>
            </w:r>
          </w:p>
        </w:tc>
        <w:tc>
          <w:tcPr>
            <w:tcW w:w="720" w:type="dxa"/>
            <w:shd w:val="clear" w:color="auto" w:fill="auto"/>
            <w:noWrap/>
            <w:vAlign w:val="center"/>
          </w:tcPr>
          <w:p w14:paraId="56A43D54" w14:textId="64A85448" w:rsidR="00795B25" w:rsidRPr="00394EC7" w:rsidRDefault="00795B25" w:rsidP="00795B25">
            <w:pPr>
              <w:spacing w:after="0"/>
              <w:jc w:val="center"/>
              <w:rPr>
                <w:rFonts w:eastAsia="Times New Roman" w:cs="Calibri"/>
                <w:color w:val="000000"/>
                <w:sz w:val="16"/>
                <w:szCs w:val="16"/>
              </w:rPr>
            </w:pPr>
            <w:r w:rsidRPr="51558A5F">
              <w:rPr>
                <w:rFonts w:eastAsia="Times New Roman" w:cs="Calibri"/>
                <w:color w:val="000000" w:themeColor="text1"/>
                <w:sz w:val="16"/>
                <w:szCs w:val="16"/>
              </w:rPr>
              <w:t>85.1%</w:t>
            </w:r>
          </w:p>
        </w:tc>
        <w:tc>
          <w:tcPr>
            <w:tcW w:w="720" w:type="dxa"/>
            <w:shd w:val="clear" w:color="auto" w:fill="auto"/>
            <w:noWrap/>
            <w:vAlign w:val="center"/>
          </w:tcPr>
          <w:p w14:paraId="75D193E2" w14:textId="28B637CF" w:rsidR="00795B25" w:rsidRPr="00394EC7" w:rsidRDefault="00795B25" w:rsidP="00795B25">
            <w:pPr>
              <w:spacing w:after="0"/>
              <w:jc w:val="center"/>
              <w:rPr>
                <w:rFonts w:eastAsia="Times New Roman" w:cs="Calibri"/>
                <w:color w:val="000000"/>
                <w:sz w:val="16"/>
                <w:szCs w:val="16"/>
              </w:rPr>
            </w:pPr>
            <w:r w:rsidRPr="51558A5F">
              <w:rPr>
                <w:rFonts w:eastAsia="Times New Roman" w:cs="Calibri"/>
                <w:color w:val="000000" w:themeColor="text1"/>
                <w:sz w:val="16"/>
                <w:szCs w:val="16"/>
              </w:rPr>
              <w:t>80.7%</w:t>
            </w:r>
          </w:p>
        </w:tc>
        <w:tc>
          <w:tcPr>
            <w:tcW w:w="720" w:type="dxa"/>
            <w:shd w:val="clear" w:color="auto" w:fill="auto"/>
            <w:noWrap/>
            <w:vAlign w:val="center"/>
          </w:tcPr>
          <w:p w14:paraId="0423332D" w14:textId="7187B805" w:rsidR="00795B25" w:rsidRPr="00394EC7" w:rsidRDefault="00795B25" w:rsidP="00795B25">
            <w:pPr>
              <w:spacing w:after="0"/>
              <w:jc w:val="center"/>
              <w:rPr>
                <w:rFonts w:eastAsia="Times New Roman" w:cs="Calibri"/>
                <w:color w:val="000000"/>
                <w:sz w:val="16"/>
                <w:szCs w:val="16"/>
              </w:rPr>
            </w:pPr>
            <w:r w:rsidRPr="51558A5F">
              <w:rPr>
                <w:rFonts w:eastAsia="Times New Roman" w:cs="Calibri"/>
                <w:color w:val="000000" w:themeColor="text1"/>
                <w:sz w:val="16"/>
                <w:szCs w:val="16"/>
              </w:rPr>
              <w:t>80.9%</w:t>
            </w:r>
          </w:p>
        </w:tc>
        <w:tc>
          <w:tcPr>
            <w:tcW w:w="720" w:type="dxa"/>
            <w:shd w:val="clear" w:color="auto" w:fill="auto"/>
            <w:noWrap/>
            <w:vAlign w:val="center"/>
          </w:tcPr>
          <w:p w14:paraId="556EF261" w14:textId="7EAB7E04" w:rsidR="00795B25" w:rsidRPr="00394EC7" w:rsidRDefault="00795B25" w:rsidP="00795B25">
            <w:pPr>
              <w:spacing w:after="0"/>
              <w:jc w:val="center"/>
              <w:rPr>
                <w:rFonts w:eastAsia="Times New Roman" w:cs="Calibri"/>
                <w:color w:val="000000"/>
                <w:sz w:val="16"/>
                <w:szCs w:val="16"/>
              </w:rPr>
            </w:pPr>
            <w:r w:rsidRPr="51558A5F">
              <w:rPr>
                <w:rFonts w:eastAsia="Times New Roman" w:cs="Calibri"/>
                <w:color w:val="000000" w:themeColor="text1"/>
                <w:sz w:val="16"/>
                <w:szCs w:val="16"/>
              </w:rPr>
              <w:t>74.7%</w:t>
            </w:r>
          </w:p>
        </w:tc>
        <w:tc>
          <w:tcPr>
            <w:tcW w:w="810" w:type="dxa"/>
            <w:shd w:val="clear" w:color="auto" w:fill="auto"/>
            <w:noWrap/>
            <w:vAlign w:val="center"/>
          </w:tcPr>
          <w:p w14:paraId="1C555373" w14:textId="140E565E" w:rsidR="00795B25" w:rsidRPr="00394EC7" w:rsidRDefault="00795B25" w:rsidP="00795B25">
            <w:pPr>
              <w:spacing w:after="0"/>
              <w:jc w:val="center"/>
              <w:rPr>
                <w:rFonts w:eastAsia="Times New Roman" w:cs="Calibri"/>
                <w:color w:val="000000"/>
                <w:sz w:val="16"/>
                <w:szCs w:val="16"/>
              </w:rPr>
            </w:pPr>
            <w:r w:rsidRPr="7C34D88F">
              <w:rPr>
                <w:rFonts w:eastAsia="Times New Roman" w:cs="Calibri"/>
                <w:color w:val="000000" w:themeColor="text1"/>
                <w:sz w:val="16"/>
                <w:szCs w:val="16"/>
              </w:rPr>
              <w:t>77.8%</w:t>
            </w:r>
          </w:p>
        </w:tc>
        <w:tc>
          <w:tcPr>
            <w:tcW w:w="720" w:type="dxa"/>
            <w:shd w:val="clear" w:color="auto" w:fill="auto"/>
            <w:noWrap/>
            <w:vAlign w:val="center"/>
          </w:tcPr>
          <w:p w14:paraId="106F1EF3" w14:textId="051411D1" w:rsidR="00795B25" w:rsidRPr="00394EC7" w:rsidRDefault="00795B25" w:rsidP="00795B25">
            <w:pPr>
              <w:spacing w:after="0"/>
              <w:jc w:val="center"/>
              <w:rPr>
                <w:rFonts w:eastAsia="Times New Roman" w:cs="Calibri"/>
                <w:color w:val="000000"/>
                <w:sz w:val="16"/>
                <w:szCs w:val="16"/>
              </w:rPr>
            </w:pPr>
            <w:r w:rsidRPr="7C34D88F">
              <w:rPr>
                <w:rFonts w:eastAsia="Times New Roman" w:cs="Calibri"/>
                <w:color w:val="000000" w:themeColor="text1"/>
                <w:sz w:val="16"/>
                <w:szCs w:val="16"/>
              </w:rPr>
              <w:t>71.8%</w:t>
            </w:r>
          </w:p>
        </w:tc>
        <w:tc>
          <w:tcPr>
            <w:tcW w:w="720" w:type="dxa"/>
            <w:shd w:val="clear" w:color="auto" w:fill="auto"/>
            <w:noWrap/>
            <w:vAlign w:val="center"/>
          </w:tcPr>
          <w:p w14:paraId="1202FE49" w14:textId="6DFC4535" w:rsidR="00795B25" w:rsidRPr="00394EC7" w:rsidRDefault="00795B25" w:rsidP="00795B25">
            <w:pPr>
              <w:spacing w:after="0"/>
              <w:jc w:val="center"/>
              <w:rPr>
                <w:rFonts w:eastAsia="Times New Roman" w:cs="Calibri"/>
                <w:color w:val="000000"/>
                <w:sz w:val="16"/>
                <w:szCs w:val="16"/>
              </w:rPr>
            </w:pPr>
            <w:r w:rsidRPr="7C34D88F">
              <w:rPr>
                <w:rFonts w:eastAsia="Times New Roman" w:cs="Calibri"/>
                <w:color w:val="000000" w:themeColor="text1"/>
                <w:sz w:val="16"/>
                <w:szCs w:val="16"/>
              </w:rPr>
              <w:t>73.7%</w:t>
            </w:r>
          </w:p>
        </w:tc>
        <w:tc>
          <w:tcPr>
            <w:tcW w:w="1080" w:type="dxa"/>
            <w:shd w:val="clear" w:color="auto" w:fill="auto"/>
            <w:noWrap/>
            <w:vAlign w:val="center"/>
          </w:tcPr>
          <w:p w14:paraId="17E1FE3B" w14:textId="01F7EAA2" w:rsidR="00795B25" w:rsidRPr="00394EC7" w:rsidRDefault="00795B25" w:rsidP="00795B25">
            <w:pPr>
              <w:spacing w:after="0"/>
              <w:jc w:val="center"/>
              <w:rPr>
                <w:rFonts w:eastAsia="Times New Roman" w:cs="Calibri"/>
                <w:color w:val="000000"/>
                <w:sz w:val="16"/>
                <w:szCs w:val="16"/>
              </w:rPr>
            </w:pPr>
            <w:r w:rsidRPr="7C34D88F">
              <w:rPr>
                <w:rFonts w:eastAsia="Times New Roman" w:cs="Calibri"/>
                <w:color w:val="000000" w:themeColor="text1"/>
                <w:sz w:val="16"/>
                <w:szCs w:val="16"/>
              </w:rPr>
              <w:t>83.9%</w:t>
            </w:r>
          </w:p>
        </w:tc>
        <w:tc>
          <w:tcPr>
            <w:tcW w:w="720" w:type="dxa"/>
            <w:shd w:val="clear" w:color="auto" w:fill="auto"/>
            <w:noWrap/>
            <w:vAlign w:val="center"/>
          </w:tcPr>
          <w:p w14:paraId="53E2CA64" w14:textId="1EF0FD61" w:rsidR="00795B25" w:rsidRPr="00394EC7" w:rsidRDefault="00795B25" w:rsidP="00795B25">
            <w:pPr>
              <w:spacing w:after="0"/>
              <w:jc w:val="center"/>
              <w:rPr>
                <w:rFonts w:eastAsia="Times New Roman" w:cs="Calibri"/>
                <w:color w:val="000000"/>
                <w:sz w:val="16"/>
                <w:szCs w:val="16"/>
              </w:rPr>
            </w:pPr>
            <w:r w:rsidRPr="7C34D88F">
              <w:rPr>
                <w:rFonts w:eastAsia="Times New Roman" w:cs="Calibri"/>
                <w:color w:val="000000" w:themeColor="text1"/>
                <w:sz w:val="16"/>
                <w:szCs w:val="16"/>
              </w:rPr>
              <w:t>71.4%</w:t>
            </w:r>
          </w:p>
        </w:tc>
        <w:tc>
          <w:tcPr>
            <w:tcW w:w="810" w:type="dxa"/>
            <w:shd w:val="clear" w:color="auto" w:fill="auto"/>
            <w:noWrap/>
            <w:vAlign w:val="center"/>
          </w:tcPr>
          <w:p w14:paraId="3E7B3791" w14:textId="1E353262" w:rsidR="00795B25" w:rsidRPr="00394EC7" w:rsidRDefault="00795B25" w:rsidP="00795B25">
            <w:pPr>
              <w:spacing w:after="0"/>
              <w:jc w:val="center"/>
              <w:rPr>
                <w:rFonts w:eastAsia="Times New Roman" w:cs="Calibri"/>
                <w:color w:val="000000"/>
                <w:sz w:val="16"/>
                <w:szCs w:val="16"/>
              </w:rPr>
            </w:pPr>
            <w:r w:rsidRPr="79E2984F">
              <w:rPr>
                <w:rFonts w:eastAsia="Times New Roman" w:cs="Calibri"/>
                <w:color w:val="000000" w:themeColor="text1"/>
                <w:sz w:val="16"/>
                <w:szCs w:val="16"/>
              </w:rPr>
              <w:t>69.4%</w:t>
            </w:r>
          </w:p>
        </w:tc>
        <w:tc>
          <w:tcPr>
            <w:tcW w:w="810" w:type="dxa"/>
            <w:shd w:val="clear" w:color="auto" w:fill="auto"/>
            <w:noWrap/>
            <w:vAlign w:val="center"/>
          </w:tcPr>
          <w:p w14:paraId="180F9C55" w14:textId="79DA904C" w:rsidR="00795B25" w:rsidRPr="00394EC7" w:rsidRDefault="00795B25" w:rsidP="00795B25">
            <w:pPr>
              <w:spacing w:after="0"/>
              <w:jc w:val="center"/>
              <w:rPr>
                <w:rFonts w:eastAsia="Times New Roman" w:cs="Calibri"/>
                <w:color w:val="000000"/>
                <w:sz w:val="16"/>
                <w:szCs w:val="16"/>
              </w:rPr>
            </w:pPr>
            <w:r w:rsidRPr="79E2984F">
              <w:rPr>
                <w:rFonts w:eastAsia="Times New Roman" w:cs="Calibri"/>
                <w:color w:val="000000" w:themeColor="text1"/>
                <w:sz w:val="16"/>
                <w:szCs w:val="16"/>
              </w:rPr>
              <w:t>77.8%</w:t>
            </w:r>
          </w:p>
        </w:tc>
        <w:tc>
          <w:tcPr>
            <w:tcW w:w="810" w:type="dxa"/>
            <w:shd w:val="clear" w:color="auto" w:fill="auto"/>
            <w:noWrap/>
            <w:vAlign w:val="center"/>
          </w:tcPr>
          <w:p w14:paraId="29ED1683" w14:textId="50DEA460" w:rsidR="00795B25" w:rsidRPr="00394EC7" w:rsidRDefault="00795B25" w:rsidP="00795B25">
            <w:pPr>
              <w:spacing w:after="0"/>
              <w:jc w:val="center"/>
              <w:rPr>
                <w:rFonts w:eastAsia="Times New Roman" w:cs="Calibri"/>
                <w:color w:val="000000"/>
                <w:sz w:val="16"/>
                <w:szCs w:val="16"/>
              </w:rPr>
            </w:pPr>
            <w:r w:rsidRPr="79E2984F">
              <w:rPr>
                <w:rFonts w:eastAsia="Times New Roman" w:cs="Calibri"/>
                <w:color w:val="000000" w:themeColor="text1"/>
                <w:sz w:val="16"/>
                <w:szCs w:val="16"/>
              </w:rPr>
              <w:t>71.6%</w:t>
            </w:r>
          </w:p>
        </w:tc>
        <w:tc>
          <w:tcPr>
            <w:tcW w:w="720" w:type="dxa"/>
            <w:shd w:val="clear" w:color="auto" w:fill="auto"/>
            <w:noWrap/>
            <w:vAlign w:val="center"/>
          </w:tcPr>
          <w:p w14:paraId="07856AD2" w14:textId="0854DEF4" w:rsidR="00795B25" w:rsidRPr="00394EC7" w:rsidRDefault="00795B25" w:rsidP="00795B25">
            <w:pPr>
              <w:spacing w:after="0"/>
              <w:jc w:val="center"/>
              <w:rPr>
                <w:rFonts w:eastAsia="Times New Roman" w:cs="Calibri"/>
                <w:color w:val="000000"/>
                <w:sz w:val="16"/>
                <w:szCs w:val="16"/>
              </w:rPr>
            </w:pPr>
            <w:r w:rsidRPr="79E2984F">
              <w:rPr>
                <w:rFonts w:eastAsia="Times New Roman" w:cs="Calibri"/>
                <w:color w:val="000000" w:themeColor="text1"/>
                <w:sz w:val="16"/>
                <w:szCs w:val="16"/>
              </w:rPr>
              <w:t>68.7%</w:t>
            </w:r>
          </w:p>
        </w:tc>
        <w:tc>
          <w:tcPr>
            <w:tcW w:w="720" w:type="dxa"/>
            <w:shd w:val="clear" w:color="auto" w:fill="auto"/>
            <w:noWrap/>
            <w:vAlign w:val="center"/>
          </w:tcPr>
          <w:p w14:paraId="245FBBDA" w14:textId="310A1B87" w:rsidR="00795B25" w:rsidRPr="00394EC7" w:rsidRDefault="0993B57C" w:rsidP="00795B25">
            <w:pPr>
              <w:spacing w:after="0"/>
              <w:jc w:val="center"/>
              <w:rPr>
                <w:rFonts w:eastAsia="Times New Roman" w:cs="Calibri"/>
                <w:color w:val="000000"/>
                <w:sz w:val="16"/>
                <w:szCs w:val="16"/>
              </w:rPr>
            </w:pPr>
            <w:r w:rsidRPr="79FF21F0">
              <w:rPr>
                <w:rFonts w:eastAsia="Times New Roman" w:cs="Calibri"/>
                <w:color w:val="000000" w:themeColor="text1"/>
                <w:sz w:val="16"/>
                <w:szCs w:val="16"/>
              </w:rPr>
              <w:t>75.2%</w:t>
            </w:r>
          </w:p>
        </w:tc>
        <w:tc>
          <w:tcPr>
            <w:tcW w:w="990" w:type="dxa"/>
            <w:shd w:val="clear" w:color="auto" w:fill="auto"/>
            <w:noWrap/>
            <w:vAlign w:val="center"/>
          </w:tcPr>
          <w:p w14:paraId="07B67191" w14:textId="518CED7F" w:rsidR="00795B25" w:rsidRPr="00394EC7" w:rsidRDefault="0993B57C" w:rsidP="00795B25">
            <w:pPr>
              <w:spacing w:after="0"/>
              <w:jc w:val="center"/>
              <w:rPr>
                <w:rFonts w:eastAsia="Times New Roman" w:cs="Calibri"/>
                <w:color w:val="000000"/>
                <w:sz w:val="16"/>
                <w:szCs w:val="16"/>
              </w:rPr>
            </w:pPr>
            <w:r w:rsidRPr="79FF21F0">
              <w:rPr>
                <w:rFonts w:eastAsia="Times New Roman" w:cs="Calibri"/>
                <w:color w:val="000000" w:themeColor="text1"/>
                <w:sz w:val="16"/>
                <w:szCs w:val="16"/>
              </w:rPr>
              <w:t>72.7%</w:t>
            </w:r>
          </w:p>
        </w:tc>
        <w:tc>
          <w:tcPr>
            <w:tcW w:w="720" w:type="dxa"/>
            <w:shd w:val="clear" w:color="auto" w:fill="auto"/>
            <w:noWrap/>
            <w:vAlign w:val="center"/>
          </w:tcPr>
          <w:p w14:paraId="7D2F7335" w14:textId="5D08F126" w:rsidR="00795B25" w:rsidRPr="00394EC7" w:rsidRDefault="0993B57C" w:rsidP="00795B25">
            <w:pPr>
              <w:spacing w:after="0"/>
              <w:jc w:val="center"/>
              <w:rPr>
                <w:rFonts w:eastAsia="Times New Roman" w:cs="Calibri"/>
                <w:color w:val="000000"/>
                <w:sz w:val="16"/>
                <w:szCs w:val="16"/>
              </w:rPr>
            </w:pPr>
            <w:r w:rsidRPr="79FF21F0">
              <w:rPr>
                <w:rFonts w:eastAsia="Times New Roman" w:cs="Calibri"/>
                <w:color w:val="000000" w:themeColor="text1"/>
                <w:sz w:val="16"/>
                <w:szCs w:val="16"/>
              </w:rPr>
              <w:t>74.7%</w:t>
            </w:r>
          </w:p>
        </w:tc>
        <w:tc>
          <w:tcPr>
            <w:tcW w:w="720" w:type="dxa"/>
            <w:shd w:val="clear" w:color="auto" w:fill="FFFFFF" w:themeFill="background1"/>
            <w:noWrap/>
            <w:vAlign w:val="center"/>
          </w:tcPr>
          <w:p w14:paraId="2063A68D" w14:textId="0BBDA813" w:rsidR="00795B25" w:rsidRPr="00394EC7" w:rsidRDefault="003945F1" w:rsidP="00795B25">
            <w:pPr>
              <w:spacing w:after="0"/>
              <w:jc w:val="center"/>
              <w:rPr>
                <w:rFonts w:eastAsia="Times New Roman" w:cs="Calibri"/>
                <w:color w:val="000000"/>
                <w:sz w:val="16"/>
                <w:szCs w:val="16"/>
              </w:rPr>
            </w:pPr>
            <w:r>
              <w:rPr>
                <w:rFonts w:eastAsia="Times New Roman" w:cs="Calibri"/>
                <w:color w:val="000000"/>
                <w:sz w:val="16"/>
                <w:szCs w:val="16"/>
              </w:rPr>
              <w:t>73.6%</w:t>
            </w:r>
          </w:p>
        </w:tc>
        <w:tc>
          <w:tcPr>
            <w:tcW w:w="720" w:type="dxa"/>
            <w:shd w:val="clear" w:color="auto" w:fill="auto"/>
            <w:noWrap/>
            <w:vAlign w:val="center"/>
          </w:tcPr>
          <w:p w14:paraId="29F93116" w14:textId="7E0049B4" w:rsidR="00795B25" w:rsidRPr="00394EC7" w:rsidRDefault="27586E1E" w:rsidP="00795B25">
            <w:pPr>
              <w:spacing w:after="0"/>
              <w:jc w:val="center"/>
              <w:rPr>
                <w:rFonts w:eastAsia="Times New Roman" w:cs="Calibri"/>
                <w:color w:val="000000"/>
                <w:sz w:val="16"/>
                <w:szCs w:val="16"/>
              </w:rPr>
            </w:pPr>
            <w:r w:rsidRPr="44871088">
              <w:rPr>
                <w:rFonts w:eastAsia="Times New Roman" w:cs="Calibri"/>
                <w:color w:val="000000" w:themeColor="text1"/>
                <w:sz w:val="16"/>
                <w:szCs w:val="16"/>
              </w:rPr>
              <w:t>72.7%</w:t>
            </w:r>
          </w:p>
        </w:tc>
        <w:tc>
          <w:tcPr>
            <w:tcW w:w="720" w:type="dxa"/>
            <w:shd w:val="clear" w:color="auto" w:fill="auto"/>
            <w:noWrap/>
            <w:vAlign w:val="center"/>
          </w:tcPr>
          <w:p w14:paraId="57DCE5DE" w14:textId="5B943BB2" w:rsidR="00795B25" w:rsidRPr="00394EC7" w:rsidRDefault="27586E1E" w:rsidP="00795B25">
            <w:pPr>
              <w:spacing w:after="0"/>
              <w:jc w:val="center"/>
              <w:rPr>
                <w:rFonts w:eastAsia="Times New Roman" w:cs="Calibri"/>
                <w:color w:val="000000"/>
                <w:sz w:val="16"/>
                <w:szCs w:val="16"/>
              </w:rPr>
            </w:pPr>
            <w:r w:rsidRPr="44871088">
              <w:rPr>
                <w:rFonts w:eastAsia="Times New Roman" w:cs="Calibri"/>
                <w:color w:val="000000" w:themeColor="text1"/>
                <w:sz w:val="16"/>
                <w:szCs w:val="16"/>
              </w:rPr>
              <w:t>74.4%</w:t>
            </w:r>
          </w:p>
        </w:tc>
      </w:tr>
      <w:tr w:rsidR="00795B25" w:rsidRPr="00394EC7" w14:paraId="60D913CD" w14:textId="77777777" w:rsidTr="44871088">
        <w:trPr>
          <w:trHeight w:val="405"/>
        </w:trPr>
        <w:tc>
          <w:tcPr>
            <w:tcW w:w="810" w:type="dxa"/>
            <w:shd w:val="clear" w:color="auto" w:fill="auto"/>
            <w:noWrap/>
            <w:hideMark/>
          </w:tcPr>
          <w:p w14:paraId="41EBE807" w14:textId="77777777" w:rsidR="00795B25" w:rsidRPr="008D1B70" w:rsidRDefault="00795B25" w:rsidP="00795B25">
            <w:pPr>
              <w:spacing w:after="0"/>
              <w:jc w:val="center"/>
              <w:rPr>
                <w:rFonts w:eastAsia="Times New Roman" w:cs="Calibri"/>
                <w:sz w:val="16"/>
                <w:szCs w:val="16"/>
              </w:rPr>
            </w:pPr>
            <w:r w:rsidRPr="008D1B70">
              <w:rPr>
                <w:rFonts w:eastAsia="Times New Roman" w:cs="Calibri"/>
                <w:sz w:val="16"/>
                <w:szCs w:val="16"/>
              </w:rPr>
              <w:t>APM</w:t>
            </w:r>
          </w:p>
        </w:tc>
        <w:tc>
          <w:tcPr>
            <w:tcW w:w="2880" w:type="dxa"/>
            <w:shd w:val="clear" w:color="auto" w:fill="auto"/>
            <w:hideMark/>
          </w:tcPr>
          <w:p w14:paraId="12312EAF" w14:textId="77777777" w:rsidR="00795B25" w:rsidRPr="00884DD7" w:rsidRDefault="00795B25" w:rsidP="00795B25">
            <w:pPr>
              <w:spacing w:after="0"/>
              <w:rPr>
                <w:rFonts w:eastAsia="Times New Roman" w:cs="Calibri"/>
                <w:sz w:val="16"/>
                <w:szCs w:val="16"/>
              </w:rPr>
            </w:pPr>
            <w:r w:rsidRPr="00884DD7">
              <w:rPr>
                <w:rFonts w:eastAsia="Times New Roman" w:cs="Calibri"/>
                <w:sz w:val="16"/>
                <w:szCs w:val="16"/>
              </w:rPr>
              <w:t>Metabolic Monitoring for Children and Adolescents on Antipsychotics</w:t>
            </w:r>
          </w:p>
        </w:tc>
        <w:tc>
          <w:tcPr>
            <w:tcW w:w="810" w:type="dxa"/>
            <w:shd w:val="clear" w:color="auto" w:fill="auto"/>
            <w:noWrap/>
            <w:vAlign w:val="center"/>
          </w:tcPr>
          <w:p w14:paraId="03D8B6C3" w14:textId="71F7C345" w:rsidR="00795B25" w:rsidRPr="00394EC7" w:rsidRDefault="00263075" w:rsidP="00795B25">
            <w:pPr>
              <w:spacing w:after="0"/>
              <w:jc w:val="center"/>
              <w:rPr>
                <w:rFonts w:eastAsia="Times New Roman" w:cs="Calibri"/>
                <w:color w:val="000000"/>
                <w:sz w:val="16"/>
                <w:szCs w:val="16"/>
              </w:rPr>
            </w:pPr>
            <w:r>
              <w:rPr>
                <w:rFonts w:eastAsia="Times New Roman" w:cs="Calibri"/>
                <w:color w:val="000000"/>
                <w:sz w:val="16"/>
                <w:szCs w:val="16"/>
              </w:rPr>
              <w:t>41.8%</w:t>
            </w:r>
          </w:p>
        </w:tc>
        <w:tc>
          <w:tcPr>
            <w:tcW w:w="720" w:type="dxa"/>
            <w:shd w:val="clear" w:color="auto" w:fill="auto"/>
            <w:noWrap/>
            <w:vAlign w:val="center"/>
          </w:tcPr>
          <w:p w14:paraId="2BE7F962" w14:textId="3AF9F595" w:rsidR="00795B25" w:rsidRPr="00394EC7" w:rsidRDefault="00795B25" w:rsidP="00795B25">
            <w:pPr>
              <w:spacing w:after="0"/>
              <w:jc w:val="center"/>
              <w:rPr>
                <w:rFonts w:eastAsia="Times New Roman" w:cs="Calibri"/>
                <w:color w:val="000000"/>
                <w:sz w:val="16"/>
                <w:szCs w:val="16"/>
              </w:rPr>
            </w:pPr>
            <w:r w:rsidRPr="65264BCA">
              <w:rPr>
                <w:rFonts w:eastAsia="Times New Roman" w:cs="Calibri"/>
                <w:color w:val="000000" w:themeColor="text1"/>
                <w:sz w:val="16"/>
                <w:szCs w:val="16"/>
              </w:rPr>
              <w:t>30.0%</w:t>
            </w:r>
          </w:p>
        </w:tc>
        <w:tc>
          <w:tcPr>
            <w:tcW w:w="720" w:type="dxa"/>
            <w:shd w:val="clear" w:color="auto" w:fill="auto"/>
            <w:noWrap/>
            <w:vAlign w:val="center"/>
          </w:tcPr>
          <w:p w14:paraId="7D56F452" w14:textId="224F1EC9" w:rsidR="00795B25" w:rsidRPr="00394EC7" w:rsidRDefault="00795B25" w:rsidP="00795B25">
            <w:pPr>
              <w:spacing w:after="0"/>
              <w:jc w:val="center"/>
              <w:rPr>
                <w:rFonts w:eastAsia="Times New Roman" w:cs="Calibri"/>
                <w:color w:val="000000"/>
                <w:sz w:val="16"/>
                <w:szCs w:val="16"/>
              </w:rPr>
            </w:pPr>
            <w:r w:rsidRPr="65264BCA">
              <w:rPr>
                <w:rFonts w:eastAsia="Times New Roman" w:cs="Calibri"/>
                <w:color w:val="000000" w:themeColor="text1"/>
                <w:sz w:val="16"/>
                <w:szCs w:val="16"/>
              </w:rPr>
              <w:t>31.5%</w:t>
            </w:r>
          </w:p>
        </w:tc>
        <w:tc>
          <w:tcPr>
            <w:tcW w:w="720" w:type="dxa"/>
            <w:shd w:val="clear" w:color="auto" w:fill="auto"/>
            <w:noWrap/>
            <w:vAlign w:val="center"/>
          </w:tcPr>
          <w:p w14:paraId="0BE7F82F" w14:textId="505CCDB3" w:rsidR="00795B25" w:rsidRPr="00394EC7" w:rsidRDefault="00795B25" w:rsidP="00795B25">
            <w:pPr>
              <w:spacing w:after="0"/>
              <w:jc w:val="center"/>
              <w:rPr>
                <w:rFonts w:eastAsia="Times New Roman" w:cs="Calibri"/>
                <w:color w:val="000000"/>
                <w:sz w:val="16"/>
                <w:szCs w:val="16"/>
              </w:rPr>
            </w:pPr>
            <w:r w:rsidRPr="65264BCA">
              <w:rPr>
                <w:rFonts w:eastAsia="Times New Roman" w:cs="Calibri"/>
                <w:color w:val="000000" w:themeColor="text1"/>
                <w:sz w:val="16"/>
                <w:szCs w:val="16"/>
              </w:rPr>
              <w:t>32.8%</w:t>
            </w:r>
          </w:p>
        </w:tc>
        <w:tc>
          <w:tcPr>
            <w:tcW w:w="720" w:type="dxa"/>
            <w:shd w:val="clear" w:color="auto" w:fill="auto"/>
            <w:noWrap/>
            <w:vAlign w:val="center"/>
          </w:tcPr>
          <w:p w14:paraId="5D28E96E" w14:textId="134C2D36" w:rsidR="00795B25" w:rsidRPr="00394EC7" w:rsidRDefault="00795B25" w:rsidP="00795B25">
            <w:pPr>
              <w:spacing w:after="0"/>
              <w:jc w:val="center"/>
              <w:rPr>
                <w:rFonts w:eastAsia="Times New Roman" w:cs="Calibri"/>
                <w:color w:val="000000"/>
                <w:sz w:val="16"/>
                <w:szCs w:val="16"/>
              </w:rPr>
            </w:pPr>
            <w:r w:rsidRPr="65264BCA">
              <w:rPr>
                <w:rFonts w:eastAsia="Times New Roman" w:cs="Calibri"/>
                <w:color w:val="000000" w:themeColor="text1"/>
                <w:sz w:val="16"/>
                <w:szCs w:val="16"/>
              </w:rPr>
              <w:t>51.0%</w:t>
            </w:r>
          </w:p>
        </w:tc>
        <w:tc>
          <w:tcPr>
            <w:tcW w:w="720" w:type="dxa"/>
            <w:shd w:val="clear" w:color="auto" w:fill="auto"/>
            <w:noWrap/>
            <w:vAlign w:val="center"/>
          </w:tcPr>
          <w:p w14:paraId="0590104F" w14:textId="6C6F3AA5" w:rsidR="00795B25" w:rsidRPr="00394EC7" w:rsidRDefault="00795B25" w:rsidP="00795B25">
            <w:pPr>
              <w:spacing w:after="0"/>
              <w:jc w:val="center"/>
              <w:rPr>
                <w:rFonts w:eastAsia="Times New Roman" w:cs="Calibri"/>
                <w:color w:val="000000"/>
                <w:sz w:val="16"/>
                <w:szCs w:val="16"/>
              </w:rPr>
            </w:pPr>
            <w:r w:rsidRPr="65264BCA">
              <w:rPr>
                <w:rFonts w:eastAsia="Times New Roman" w:cs="Calibri"/>
                <w:color w:val="000000" w:themeColor="text1"/>
                <w:sz w:val="16"/>
                <w:szCs w:val="16"/>
              </w:rPr>
              <w:t>52.1%</w:t>
            </w:r>
          </w:p>
        </w:tc>
        <w:tc>
          <w:tcPr>
            <w:tcW w:w="810" w:type="dxa"/>
            <w:shd w:val="clear" w:color="auto" w:fill="auto"/>
            <w:noWrap/>
            <w:vAlign w:val="center"/>
          </w:tcPr>
          <w:p w14:paraId="02CE5708" w14:textId="0229B778" w:rsidR="00795B25" w:rsidRPr="00394EC7" w:rsidRDefault="00795B25" w:rsidP="00795B25">
            <w:pPr>
              <w:spacing w:after="0"/>
              <w:jc w:val="center"/>
              <w:rPr>
                <w:rFonts w:eastAsia="Times New Roman" w:cs="Calibri"/>
                <w:color w:val="000000"/>
                <w:sz w:val="16"/>
                <w:szCs w:val="16"/>
              </w:rPr>
            </w:pPr>
            <w:r w:rsidRPr="65264BCA">
              <w:rPr>
                <w:rFonts w:eastAsia="Times New Roman" w:cs="Calibri"/>
                <w:color w:val="000000" w:themeColor="text1"/>
                <w:sz w:val="16"/>
                <w:szCs w:val="16"/>
              </w:rPr>
              <w:t>46.3%</w:t>
            </w:r>
          </w:p>
        </w:tc>
        <w:tc>
          <w:tcPr>
            <w:tcW w:w="720" w:type="dxa"/>
            <w:shd w:val="clear" w:color="auto" w:fill="auto"/>
            <w:noWrap/>
            <w:vAlign w:val="center"/>
          </w:tcPr>
          <w:p w14:paraId="40ED8774" w14:textId="15701CE3" w:rsidR="00795B25" w:rsidRPr="00394EC7" w:rsidRDefault="00795B25" w:rsidP="00795B25">
            <w:pPr>
              <w:spacing w:after="0"/>
              <w:jc w:val="center"/>
              <w:rPr>
                <w:rFonts w:eastAsia="Times New Roman" w:cs="Calibri"/>
                <w:color w:val="000000"/>
                <w:sz w:val="16"/>
                <w:szCs w:val="16"/>
              </w:rPr>
            </w:pPr>
            <w:r w:rsidRPr="65264BCA">
              <w:rPr>
                <w:rFonts w:eastAsia="Times New Roman" w:cs="Calibri"/>
                <w:color w:val="000000" w:themeColor="text1"/>
                <w:sz w:val="16"/>
                <w:szCs w:val="16"/>
              </w:rPr>
              <w:t>NA</w:t>
            </w:r>
          </w:p>
        </w:tc>
        <w:tc>
          <w:tcPr>
            <w:tcW w:w="720" w:type="dxa"/>
            <w:shd w:val="clear" w:color="auto" w:fill="auto"/>
            <w:noWrap/>
            <w:vAlign w:val="center"/>
          </w:tcPr>
          <w:p w14:paraId="737233CC" w14:textId="0910DCFA" w:rsidR="00795B25" w:rsidRPr="00394EC7" w:rsidRDefault="00795B25" w:rsidP="00795B25">
            <w:pPr>
              <w:spacing w:after="0"/>
              <w:jc w:val="center"/>
              <w:rPr>
                <w:rFonts w:eastAsia="Times New Roman" w:cs="Calibri"/>
                <w:color w:val="000000"/>
                <w:sz w:val="16"/>
                <w:szCs w:val="16"/>
              </w:rPr>
            </w:pPr>
            <w:r w:rsidRPr="65264BCA">
              <w:rPr>
                <w:rFonts w:eastAsia="Times New Roman" w:cs="Calibri"/>
                <w:color w:val="000000" w:themeColor="text1"/>
                <w:sz w:val="16"/>
                <w:szCs w:val="16"/>
              </w:rPr>
              <w:t>31.0%</w:t>
            </w:r>
          </w:p>
        </w:tc>
        <w:tc>
          <w:tcPr>
            <w:tcW w:w="1080" w:type="dxa"/>
            <w:shd w:val="clear" w:color="auto" w:fill="auto"/>
            <w:noWrap/>
            <w:vAlign w:val="center"/>
          </w:tcPr>
          <w:p w14:paraId="7F3A14F6" w14:textId="66FA2940" w:rsidR="00795B25" w:rsidRPr="00394EC7" w:rsidRDefault="00795B25" w:rsidP="00795B25">
            <w:pPr>
              <w:spacing w:after="0"/>
              <w:jc w:val="center"/>
              <w:rPr>
                <w:rFonts w:eastAsia="Times New Roman" w:cs="Calibri"/>
                <w:color w:val="000000"/>
                <w:sz w:val="16"/>
                <w:szCs w:val="16"/>
              </w:rPr>
            </w:pPr>
            <w:r w:rsidRPr="65264BCA">
              <w:rPr>
                <w:rFonts w:eastAsia="Times New Roman" w:cs="Calibri"/>
                <w:color w:val="000000" w:themeColor="text1"/>
                <w:sz w:val="16"/>
                <w:szCs w:val="16"/>
              </w:rPr>
              <w:t>41.0%</w:t>
            </w:r>
          </w:p>
        </w:tc>
        <w:tc>
          <w:tcPr>
            <w:tcW w:w="720" w:type="dxa"/>
            <w:shd w:val="clear" w:color="auto" w:fill="auto"/>
            <w:noWrap/>
            <w:vAlign w:val="center"/>
          </w:tcPr>
          <w:p w14:paraId="72432B4F" w14:textId="260D7290" w:rsidR="00795B25" w:rsidRPr="00394EC7" w:rsidRDefault="00795B25" w:rsidP="00795B25">
            <w:pPr>
              <w:spacing w:after="0"/>
              <w:jc w:val="center"/>
              <w:rPr>
                <w:rFonts w:eastAsia="Times New Roman" w:cs="Calibri"/>
                <w:color w:val="000000"/>
                <w:sz w:val="16"/>
                <w:szCs w:val="16"/>
              </w:rPr>
            </w:pPr>
            <w:r w:rsidRPr="65264BCA">
              <w:rPr>
                <w:rFonts w:eastAsia="Times New Roman" w:cs="Calibri"/>
                <w:color w:val="000000" w:themeColor="text1"/>
                <w:sz w:val="16"/>
                <w:szCs w:val="16"/>
              </w:rPr>
              <w:t>46.7%</w:t>
            </w:r>
          </w:p>
        </w:tc>
        <w:tc>
          <w:tcPr>
            <w:tcW w:w="810" w:type="dxa"/>
            <w:shd w:val="clear" w:color="auto" w:fill="auto"/>
            <w:noWrap/>
            <w:vAlign w:val="center"/>
          </w:tcPr>
          <w:p w14:paraId="15E15EFA" w14:textId="6CF0D0E2" w:rsidR="00795B25" w:rsidRPr="00394EC7" w:rsidRDefault="00795B25" w:rsidP="00795B25">
            <w:pPr>
              <w:spacing w:after="0"/>
              <w:jc w:val="center"/>
              <w:rPr>
                <w:rFonts w:eastAsia="Times New Roman" w:cs="Calibri"/>
                <w:color w:val="000000"/>
                <w:sz w:val="16"/>
                <w:szCs w:val="16"/>
              </w:rPr>
            </w:pPr>
            <w:r w:rsidRPr="65264BCA">
              <w:rPr>
                <w:rFonts w:eastAsia="Times New Roman" w:cs="Calibri"/>
                <w:color w:val="000000" w:themeColor="text1"/>
                <w:sz w:val="16"/>
                <w:szCs w:val="16"/>
              </w:rPr>
              <w:t>42.4%</w:t>
            </w:r>
          </w:p>
        </w:tc>
        <w:tc>
          <w:tcPr>
            <w:tcW w:w="810" w:type="dxa"/>
            <w:shd w:val="clear" w:color="auto" w:fill="auto"/>
            <w:noWrap/>
            <w:vAlign w:val="center"/>
          </w:tcPr>
          <w:p w14:paraId="0205583E" w14:textId="6D8A4E62" w:rsidR="00795B25" w:rsidRPr="00394EC7" w:rsidRDefault="00795B25" w:rsidP="00795B25">
            <w:pPr>
              <w:spacing w:after="0"/>
              <w:jc w:val="center"/>
              <w:rPr>
                <w:rFonts w:eastAsia="Times New Roman" w:cs="Calibri"/>
                <w:color w:val="000000"/>
                <w:sz w:val="16"/>
                <w:szCs w:val="16"/>
              </w:rPr>
            </w:pPr>
            <w:r w:rsidRPr="65264BCA">
              <w:rPr>
                <w:rFonts w:eastAsia="Times New Roman" w:cs="Calibri"/>
                <w:color w:val="000000" w:themeColor="text1"/>
                <w:sz w:val="16"/>
                <w:szCs w:val="16"/>
              </w:rPr>
              <w:t>66.7%</w:t>
            </w:r>
          </w:p>
        </w:tc>
        <w:tc>
          <w:tcPr>
            <w:tcW w:w="810" w:type="dxa"/>
            <w:shd w:val="clear" w:color="auto" w:fill="auto"/>
            <w:noWrap/>
            <w:vAlign w:val="center"/>
          </w:tcPr>
          <w:p w14:paraId="2216F793" w14:textId="6DEDEF2C" w:rsidR="00795B25" w:rsidRPr="00394EC7" w:rsidRDefault="00795B25" w:rsidP="00795B25">
            <w:pPr>
              <w:spacing w:after="0"/>
              <w:jc w:val="center"/>
              <w:rPr>
                <w:rFonts w:eastAsia="Times New Roman" w:cs="Calibri"/>
                <w:color w:val="000000"/>
                <w:sz w:val="16"/>
                <w:szCs w:val="16"/>
              </w:rPr>
            </w:pPr>
            <w:r w:rsidRPr="30FBC732">
              <w:rPr>
                <w:rFonts w:eastAsia="Times New Roman" w:cs="Calibri"/>
                <w:color w:val="000000" w:themeColor="text1"/>
                <w:sz w:val="16"/>
                <w:szCs w:val="16"/>
              </w:rPr>
              <w:t>34.9%</w:t>
            </w:r>
          </w:p>
        </w:tc>
        <w:tc>
          <w:tcPr>
            <w:tcW w:w="720" w:type="dxa"/>
            <w:shd w:val="clear" w:color="auto" w:fill="auto"/>
            <w:noWrap/>
            <w:vAlign w:val="center"/>
          </w:tcPr>
          <w:p w14:paraId="66248CF5" w14:textId="5BFD68A3" w:rsidR="00795B25" w:rsidRPr="00394EC7" w:rsidRDefault="00795B25" w:rsidP="00795B25">
            <w:pPr>
              <w:spacing w:after="0"/>
              <w:jc w:val="center"/>
              <w:rPr>
                <w:rFonts w:eastAsia="Times New Roman" w:cs="Calibri"/>
                <w:color w:val="000000"/>
                <w:sz w:val="16"/>
                <w:szCs w:val="16"/>
              </w:rPr>
            </w:pPr>
            <w:r w:rsidRPr="30FBC732">
              <w:rPr>
                <w:rFonts w:eastAsia="Times New Roman" w:cs="Calibri"/>
                <w:color w:val="000000" w:themeColor="text1"/>
                <w:sz w:val="16"/>
                <w:szCs w:val="16"/>
              </w:rPr>
              <w:t>57.3%</w:t>
            </w:r>
          </w:p>
        </w:tc>
        <w:tc>
          <w:tcPr>
            <w:tcW w:w="720" w:type="dxa"/>
            <w:shd w:val="clear" w:color="auto" w:fill="auto"/>
            <w:noWrap/>
            <w:vAlign w:val="center"/>
          </w:tcPr>
          <w:p w14:paraId="23407995" w14:textId="4F14A295" w:rsidR="00795B25" w:rsidRPr="00394EC7" w:rsidRDefault="04DF0E12" w:rsidP="00795B25">
            <w:pPr>
              <w:spacing w:after="0"/>
              <w:jc w:val="center"/>
              <w:rPr>
                <w:rFonts w:eastAsia="Times New Roman" w:cs="Calibri"/>
                <w:color w:val="000000"/>
                <w:sz w:val="16"/>
                <w:szCs w:val="16"/>
              </w:rPr>
            </w:pPr>
            <w:r w:rsidRPr="79FF21F0">
              <w:rPr>
                <w:rFonts w:eastAsia="Times New Roman" w:cs="Calibri"/>
                <w:color w:val="000000" w:themeColor="text1"/>
                <w:sz w:val="16"/>
                <w:szCs w:val="16"/>
              </w:rPr>
              <w:t>33.8%</w:t>
            </w:r>
          </w:p>
        </w:tc>
        <w:tc>
          <w:tcPr>
            <w:tcW w:w="990" w:type="dxa"/>
            <w:shd w:val="clear" w:color="auto" w:fill="auto"/>
            <w:noWrap/>
            <w:vAlign w:val="center"/>
          </w:tcPr>
          <w:p w14:paraId="7B851627" w14:textId="285536DD" w:rsidR="00795B25" w:rsidRPr="00394EC7" w:rsidRDefault="04DF0E12" w:rsidP="00795B25">
            <w:pPr>
              <w:spacing w:after="0"/>
              <w:jc w:val="center"/>
              <w:rPr>
                <w:rFonts w:eastAsia="Times New Roman" w:cs="Calibri"/>
                <w:color w:val="000000"/>
                <w:sz w:val="16"/>
                <w:szCs w:val="16"/>
              </w:rPr>
            </w:pPr>
            <w:r w:rsidRPr="79FF21F0">
              <w:rPr>
                <w:rFonts w:eastAsia="Times New Roman" w:cs="Calibri"/>
                <w:color w:val="000000" w:themeColor="text1"/>
                <w:sz w:val="16"/>
                <w:szCs w:val="16"/>
              </w:rPr>
              <w:t>43.6%</w:t>
            </w:r>
          </w:p>
        </w:tc>
        <w:tc>
          <w:tcPr>
            <w:tcW w:w="720" w:type="dxa"/>
            <w:shd w:val="clear" w:color="auto" w:fill="auto"/>
            <w:noWrap/>
            <w:vAlign w:val="center"/>
          </w:tcPr>
          <w:p w14:paraId="3BAFCBE2" w14:textId="49B327F7" w:rsidR="00795B25" w:rsidRPr="00394EC7" w:rsidRDefault="04DF0E12" w:rsidP="00795B25">
            <w:pPr>
              <w:spacing w:after="0"/>
              <w:jc w:val="center"/>
              <w:rPr>
                <w:rFonts w:eastAsia="Times New Roman" w:cs="Calibri"/>
                <w:color w:val="000000"/>
                <w:sz w:val="16"/>
                <w:szCs w:val="16"/>
              </w:rPr>
            </w:pPr>
            <w:r w:rsidRPr="79FF21F0">
              <w:rPr>
                <w:rFonts w:eastAsia="Times New Roman" w:cs="Calibri"/>
                <w:color w:val="000000" w:themeColor="text1"/>
                <w:sz w:val="16"/>
                <w:szCs w:val="16"/>
              </w:rPr>
              <w:t>NA</w:t>
            </w:r>
          </w:p>
        </w:tc>
        <w:tc>
          <w:tcPr>
            <w:tcW w:w="720" w:type="dxa"/>
            <w:tcBorders>
              <w:bottom w:val="single" w:sz="4" w:space="0" w:color="auto"/>
            </w:tcBorders>
            <w:shd w:val="clear" w:color="auto" w:fill="FFFFFF" w:themeFill="background1"/>
            <w:noWrap/>
            <w:vAlign w:val="center"/>
          </w:tcPr>
          <w:p w14:paraId="622D5E5D" w14:textId="19F1DA4F" w:rsidR="00795B25" w:rsidRPr="00394EC7" w:rsidRDefault="002E3DFB" w:rsidP="00795B25">
            <w:pPr>
              <w:spacing w:after="0"/>
              <w:jc w:val="center"/>
              <w:rPr>
                <w:rFonts w:eastAsia="Times New Roman" w:cs="Calibri"/>
                <w:color w:val="000000"/>
                <w:sz w:val="16"/>
                <w:szCs w:val="16"/>
              </w:rPr>
            </w:pPr>
            <w:r>
              <w:rPr>
                <w:rFonts w:eastAsia="Times New Roman" w:cs="Calibri"/>
                <w:color w:val="000000"/>
                <w:sz w:val="16"/>
                <w:szCs w:val="16"/>
              </w:rPr>
              <w:t>52.9%</w:t>
            </w:r>
          </w:p>
        </w:tc>
        <w:tc>
          <w:tcPr>
            <w:tcW w:w="720" w:type="dxa"/>
            <w:tcBorders>
              <w:bottom w:val="single" w:sz="4" w:space="0" w:color="auto"/>
            </w:tcBorders>
            <w:shd w:val="clear" w:color="auto" w:fill="auto"/>
            <w:noWrap/>
            <w:vAlign w:val="center"/>
          </w:tcPr>
          <w:p w14:paraId="0189F7A5" w14:textId="520C706B" w:rsidR="00795B25" w:rsidRPr="00394EC7" w:rsidRDefault="2AC74D86" w:rsidP="00795B25">
            <w:pPr>
              <w:spacing w:after="0"/>
              <w:jc w:val="center"/>
              <w:rPr>
                <w:rFonts w:eastAsia="Times New Roman" w:cs="Calibri"/>
                <w:color w:val="000000"/>
                <w:sz w:val="16"/>
                <w:szCs w:val="16"/>
              </w:rPr>
            </w:pPr>
            <w:r w:rsidRPr="44871088">
              <w:rPr>
                <w:rFonts w:eastAsia="Times New Roman" w:cs="Calibri"/>
                <w:color w:val="000000" w:themeColor="text1"/>
                <w:sz w:val="16"/>
                <w:szCs w:val="16"/>
              </w:rPr>
              <w:t>49.0%</w:t>
            </w:r>
          </w:p>
        </w:tc>
        <w:tc>
          <w:tcPr>
            <w:tcW w:w="720" w:type="dxa"/>
            <w:tcBorders>
              <w:bottom w:val="single" w:sz="4" w:space="0" w:color="auto"/>
            </w:tcBorders>
            <w:shd w:val="clear" w:color="auto" w:fill="auto"/>
            <w:noWrap/>
            <w:vAlign w:val="center"/>
          </w:tcPr>
          <w:p w14:paraId="24EE30F6" w14:textId="5084E915" w:rsidR="00795B25" w:rsidRPr="00394EC7" w:rsidRDefault="2AC74D86" w:rsidP="00795B25">
            <w:pPr>
              <w:spacing w:after="0"/>
              <w:jc w:val="center"/>
              <w:rPr>
                <w:rFonts w:eastAsia="Times New Roman" w:cs="Calibri"/>
                <w:color w:val="000000"/>
                <w:sz w:val="16"/>
                <w:szCs w:val="16"/>
              </w:rPr>
            </w:pPr>
            <w:r w:rsidRPr="44871088">
              <w:rPr>
                <w:rFonts w:eastAsia="Times New Roman" w:cs="Calibri"/>
                <w:color w:val="000000" w:themeColor="text1"/>
                <w:sz w:val="16"/>
                <w:szCs w:val="16"/>
              </w:rPr>
              <w:t>54.5%</w:t>
            </w:r>
          </w:p>
        </w:tc>
      </w:tr>
      <w:tr w:rsidR="00795B25" w14:paraId="06186F83" w14:textId="77777777" w:rsidTr="44871088">
        <w:trPr>
          <w:trHeight w:val="405"/>
        </w:trPr>
        <w:tc>
          <w:tcPr>
            <w:tcW w:w="810" w:type="dxa"/>
            <w:shd w:val="clear" w:color="auto" w:fill="auto"/>
            <w:noWrap/>
            <w:hideMark/>
          </w:tcPr>
          <w:p w14:paraId="02D97AED" w14:textId="78FE49B8" w:rsidR="00795B25" w:rsidRDefault="00795B25" w:rsidP="00795B25">
            <w:pPr>
              <w:jc w:val="center"/>
              <w:rPr>
                <w:rFonts w:eastAsia="Times New Roman" w:cs="Calibri"/>
                <w:sz w:val="16"/>
                <w:szCs w:val="16"/>
              </w:rPr>
            </w:pPr>
            <w:r>
              <w:rPr>
                <w:rFonts w:eastAsia="Times New Roman" w:cs="Calibri"/>
                <w:sz w:val="16"/>
                <w:szCs w:val="16"/>
              </w:rPr>
              <w:t>DSF</w:t>
            </w:r>
          </w:p>
        </w:tc>
        <w:tc>
          <w:tcPr>
            <w:tcW w:w="2880" w:type="dxa"/>
            <w:shd w:val="clear" w:color="auto" w:fill="auto"/>
            <w:hideMark/>
          </w:tcPr>
          <w:p w14:paraId="6C4D90FD" w14:textId="1FBE670F" w:rsidR="00795B25" w:rsidRDefault="00795B25" w:rsidP="00795B25">
            <w:pPr>
              <w:rPr>
                <w:rFonts w:eastAsia="Times New Roman" w:cs="Calibri"/>
                <w:color w:val="000000" w:themeColor="text1"/>
                <w:sz w:val="16"/>
                <w:szCs w:val="16"/>
              </w:rPr>
            </w:pPr>
            <w:r>
              <w:rPr>
                <w:rFonts w:eastAsia="Times New Roman" w:cs="Calibri"/>
                <w:color w:val="000000" w:themeColor="text1"/>
                <w:sz w:val="16"/>
                <w:szCs w:val="16"/>
              </w:rPr>
              <w:t>Screening for Depression and Follow Up Plan</w:t>
            </w:r>
          </w:p>
        </w:tc>
        <w:tc>
          <w:tcPr>
            <w:tcW w:w="810" w:type="dxa"/>
            <w:shd w:val="clear" w:color="auto" w:fill="auto"/>
            <w:noWrap/>
            <w:vAlign w:val="center"/>
          </w:tcPr>
          <w:p w14:paraId="76C03145" w14:textId="78A313B3" w:rsidR="00795B25" w:rsidRDefault="00F74A6E" w:rsidP="00795B25">
            <w:pPr>
              <w:jc w:val="center"/>
              <w:rPr>
                <w:rFonts w:eastAsia="Times New Roman" w:cs="Calibri"/>
                <w:color w:val="000000" w:themeColor="text1"/>
                <w:sz w:val="16"/>
                <w:szCs w:val="16"/>
              </w:rPr>
            </w:pPr>
            <w:r>
              <w:rPr>
                <w:rFonts w:eastAsia="Times New Roman" w:cs="Calibri"/>
                <w:color w:val="000000" w:themeColor="text1"/>
                <w:sz w:val="16"/>
                <w:szCs w:val="16"/>
              </w:rPr>
              <w:t>46.2%</w:t>
            </w:r>
          </w:p>
        </w:tc>
        <w:tc>
          <w:tcPr>
            <w:tcW w:w="720" w:type="dxa"/>
            <w:shd w:val="clear" w:color="auto" w:fill="auto"/>
            <w:noWrap/>
            <w:vAlign w:val="center"/>
          </w:tcPr>
          <w:p w14:paraId="462F2278" w14:textId="23A42695" w:rsidR="00795B25" w:rsidRDefault="00795B25" w:rsidP="00795B25">
            <w:pPr>
              <w:jc w:val="center"/>
              <w:rPr>
                <w:rFonts w:eastAsia="Times New Roman" w:cs="Calibri"/>
                <w:color w:val="000000" w:themeColor="text1"/>
                <w:sz w:val="16"/>
                <w:szCs w:val="16"/>
              </w:rPr>
            </w:pPr>
            <w:r w:rsidRPr="3990B37A">
              <w:rPr>
                <w:rFonts w:eastAsia="Times New Roman" w:cs="Calibri"/>
                <w:color w:val="000000" w:themeColor="text1"/>
                <w:sz w:val="16"/>
                <w:szCs w:val="16"/>
              </w:rPr>
              <w:t>26.8%</w:t>
            </w:r>
          </w:p>
        </w:tc>
        <w:tc>
          <w:tcPr>
            <w:tcW w:w="720" w:type="dxa"/>
            <w:shd w:val="clear" w:color="auto" w:fill="auto"/>
            <w:noWrap/>
            <w:vAlign w:val="center"/>
          </w:tcPr>
          <w:p w14:paraId="194A3FEB" w14:textId="6B68F526" w:rsidR="00795B25" w:rsidRDefault="00795B25" w:rsidP="00795B25">
            <w:pPr>
              <w:jc w:val="center"/>
              <w:rPr>
                <w:rFonts w:eastAsia="Times New Roman" w:cs="Calibri"/>
                <w:color w:val="000000" w:themeColor="text1"/>
                <w:sz w:val="16"/>
                <w:szCs w:val="16"/>
              </w:rPr>
            </w:pPr>
            <w:r w:rsidRPr="3990B37A">
              <w:rPr>
                <w:rFonts w:eastAsia="Times New Roman" w:cs="Calibri"/>
                <w:color w:val="000000" w:themeColor="text1"/>
                <w:sz w:val="16"/>
                <w:szCs w:val="16"/>
              </w:rPr>
              <w:t>42.2%</w:t>
            </w:r>
          </w:p>
        </w:tc>
        <w:tc>
          <w:tcPr>
            <w:tcW w:w="720" w:type="dxa"/>
            <w:shd w:val="clear" w:color="auto" w:fill="auto"/>
            <w:noWrap/>
            <w:vAlign w:val="center"/>
          </w:tcPr>
          <w:p w14:paraId="5082EA8B" w14:textId="34919689" w:rsidR="00795B25" w:rsidRDefault="00795B25" w:rsidP="00795B25">
            <w:pPr>
              <w:jc w:val="center"/>
              <w:rPr>
                <w:rFonts w:eastAsia="Times New Roman" w:cs="Calibri"/>
                <w:color w:val="000000" w:themeColor="text1"/>
                <w:sz w:val="16"/>
                <w:szCs w:val="16"/>
              </w:rPr>
            </w:pPr>
            <w:r w:rsidRPr="3990B37A">
              <w:rPr>
                <w:rFonts w:eastAsia="Times New Roman" w:cs="Calibri"/>
                <w:color w:val="000000" w:themeColor="text1"/>
                <w:sz w:val="16"/>
                <w:szCs w:val="16"/>
              </w:rPr>
              <w:t>41.1%</w:t>
            </w:r>
          </w:p>
        </w:tc>
        <w:tc>
          <w:tcPr>
            <w:tcW w:w="720" w:type="dxa"/>
            <w:shd w:val="clear" w:color="auto" w:fill="auto"/>
            <w:noWrap/>
            <w:vAlign w:val="center"/>
          </w:tcPr>
          <w:p w14:paraId="496CBDF9" w14:textId="5048D69E" w:rsidR="00795B25" w:rsidRDefault="00795B25" w:rsidP="00795B25">
            <w:pPr>
              <w:jc w:val="center"/>
              <w:rPr>
                <w:rFonts w:eastAsia="Times New Roman" w:cs="Calibri"/>
                <w:color w:val="000000" w:themeColor="text1"/>
                <w:sz w:val="16"/>
                <w:szCs w:val="16"/>
              </w:rPr>
            </w:pPr>
            <w:r w:rsidRPr="3990B37A">
              <w:rPr>
                <w:rFonts w:eastAsia="Times New Roman" w:cs="Calibri"/>
                <w:color w:val="000000" w:themeColor="text1"/>
                <w:sz w:val="16"/>
                <w:szCs w:val="16"/>
              </w:rPr>
              <w:t>42.3%</w:t>
            </w:r>
          </w:p>
        </w:tc>
        <w:tc>
          <w:tcPr>
            <w:tcW w:w="720" w:type="dxa"/>
            <w:shd w:val="clear" w:color="auto" w:fill="auto"/>
            <w:noWrap/>
            <w:vAlign w:val="center"/>
          </w:tcPr>
          <w:p w14:paraId="6BC0CD60" w14:textId="155E44DE" w:rsidR="00795B25" w:rsidRDefault="00795B25" w:rsidP="00795B25">
            <w:pPr>
              <w:jc w:val="center"/>
              <w:rPr>
                <w:rFonts w:eastAsia="Times New Roman" w:cs="Calibri"/>
                <w:color w:val="000000" w:themeColor="text1"/>
                <w:sz w:val="16"/>
                <w:szCs w:val="16"/>
              </w:rPr>
            </w:pPr>
            <w:r w:rsidRPr="3990B37A">
              <w:rPr>
                <w:rFonts w:eastAsia="Times New Roman" w:cs="Calibri"/>
                <w:color w:val="000000" w:themeColor="text1"/>
                <w:sz w:val="16"/>
                <w:szCs w:val="16"/>
              </w:rPr>
              <w:t>38.4%</w:t>
            </w:r>
          </w:p>
        </w:tc>
        <w:tc>
          <w:tcPr>
            <w:tcW w:w="810" w:type="dxa"/>
            <w:shd w:val="clear" w:color="auto" w:fill="auto"/>
            <w:noWrap/>
            <w:vAlign w:val="center"/>
          </w:tcPr>
          <w:p w14:paraId="5E93C67F" w14:textId="5C84A77A" w:rsidR="00795B25" w:rsidRDefault="00795B25" w:rsidP="00795B25">
            <w:pPr>
              <w:jc w:val="center"/>
              <w:rPr>
                <w:rFonts w:eastAsia="Times New Roman" w:cs="Calibri"/>
                <w:color w:val="000000" w:themeColor="text1"/>
                <w:sz w:val="16"/>
                <w:szCs w:val="16"/>
              </w:rPr>
            </w:pPr>
            <w:r w:rsidRPr="3990B37A">
              <w:rPr>
                <w:rFonts w:eastAsia="Times New Roman" w:cs="Calibri"/>
                <w:color w:val="000000" w:themeColor="text1"/>
                <w:sz w:val="16"/>
                <w:szCs w:val="16"/>
              </w:rPr>
              <w:t>35.3%</w:t>
            </w:r>
          </w:p>
        </w:tc>
        <w:tc>
          <w:tcPr>
            <w:tcW w:w="720" w:type="dxa"/>
            <w:shd w:val="clear" w:color="auto" w:fill="auto"/>
            <w:noWrap/>
            <w:vAlign w:val="center"/>
          </w:tcPr>
          <w:p w14:paraId="6632E242" w14:textId="6819E150" w:rsidR="00795B25" w:rsidRDefault="00795B25" w:rsidP="00795B25">
            <w:pPr>
              <w:jc w:val="center"/>
              <w:rPr>
                <w:rFonts w:eastAsia="Times New Roman" w:cs="Calibri"/>
                <w:color w:val="000000" w:themeColor="text1"/>
                <w:sz w:val="16"/>
                <w:szCs w:val="16"/>
              </w:rPr>
            </w:pPr>
            <w:r w:rsidRPr="3990B37A">
              <w:rPr>
                <w:rFonts w:eastAsia="Times New Roman" w:cs="Calibri"/>
                <w:color w:val="000000" w:themeColor="text1"/>
                <w:sz w:val="16"/>
                <w:szCs w:val="16"/>
              </w:rPr>
              <w:t>43.6%</w:t>
            </w:r>
          </w:p>
        </w:tc>
        <w:tc>
          <w:tcPr>
            <w:tcW w:w="720" w:type="dxa"/>
            <w:shd w:val="clear" w:color="auto" w:fill="auto"/>
            <w:noWrap/>
            <w:vAlign w:val="center"/>
          </w:tcPr>
          <w:p w14:paraId="491EDBF0" w14:textId="43E5ACC7" w:rsidR="00795B25" w:rsidRDefault="00795B25" w:rsidP="00795B25">
            <w:pPr>
              <w:jc w:val="center"/>
              <w:rPr>
                <w:rFonts w:eastAsia="Times New Roman" w:cs="Calibri"/>
                <w:color w:val="000000" w:themeColor="text1"/>
                <w:sz w:val="16"/>
                <w:szCs w:val="16"/>
              </w:rPr>
            </w:pPr>
            <w:r w:rsidRPr="3990B37A">
              <w:rPr>
                <w:rFonts w:eastAsia="Times New Roman" w:cs="Calibri"/>
                <w:color w:val="000000" w:themeColor="text1"/>
                <w:sz w:val="16"/>
                <w:szCs w:val="16"/>
              </w:rPr>
              <w:t>42.1%</w:t>
            </w:r>
          </w:p>
        </w:tc>
        <w:tc>
          <w:tcPr>
            <w:tcW w:w="1080" w:type="dxa"/>
            <w:shd w:val="clear" w:color="auto" w:fill="auto"/>
            <w:noWrap/>
            <w:vAlign w:val="center"/>
          </w:tcPr>
          <w:p w14:paraId="3FE8577C" w14:textId="5D222BA7" w:rsidR="00795B25" w:rsidRDefault="00795B25" w:rsidP="00795B25">
            <w:pPr>
              <w:jc w:val="center"/>
              <w:rPr>
                <w:rFonts w:eastAsia="Times New Roman" w:cs="Calibri"/>
                <w:color w:val="000000" w:themeColor="text1"/>
                <w:sz w:val="16"/>
                <w:szCs w:val="16"/>
              </w:rPr>
            </w:pPr>
            <w:r w:rsidRPr="3990B37A">
              <w:rPr>
                <w:rFonts w:eastAsia="Times New Roman" w:cs="Calibri"/>
                <w:color w:val="000000" w:themeColor="text1"/>
                <w:sz w:val="16"/>
                <w:szCs w:val="16"/>
              </w:rPr>
              <w:t>63.0%</w:t>
            </w:r>
          </w:p>
        </w:tc>
        <w:tc>
          <w:tcPr>
            <w:tcW w:w="720" w:type="dxa"/>
            <w:shd w:val="clear" w:color="auto" w:fill="auto"/>
            <w:noWrap/>
            <w:vAlign w:val="center"/>
          </w:tcPr>
          <w:p w14:paraId="4F710CF5" w14:textId="02F18BF3" w:rsidR="00795B25" w:rsidRDefault="00795B25" w:rsidP="00795B25">
            <w:pPr>
              <w:jc w:val="center"/>
              <w:rPr>
                <w:rFonts w:eastAsia="Times New Roman" w:cs="Calibri"/>
                <w:color w:val="000000" w:themeColor="text1"/>
                <w:sz w:val="16"/>
                <w:szCs w:val="16"/>
              </w:rPr>
            </w:pPr>
            <w:r w:rsidRPr="3990B37A">
              <w:rPr>
                <w:rFonts w:eastAsia="Times New Roman" w:cs="Calibri"/>
                <w:color w:val="000000" w:themeColor="text1"/>
                <w:sz w:val="16"/>
                <w:szCs w:val="16"/>
              </w:rPr>
              <w:t>57.1%</w:t>
            </w:r>
          </w:p>
        </w:tc>
        <w:tc>
          <w:tcPr>
            <w:tcW w:w="810" w:type="dxa"/>
            <w:shd w:val="clear" w:color="auto" w:fill="auto"/>
            <w:noWrap/>
            <w:vAlign w:val="center"/>
          </w:tcPr>
          <w:p w14:paraId="3F0AF5D6" w14:textId="07929A6F" w:rsidR="00795B25" w:rsidRDefault="00795B25" w:rsidP="00795B25">
            <w:pPr>
              <w:jc w:val="center"/>
              <w:rPr>
                <w:rFonts w:eastAsia="Times New Roman" w:cs="Calibri"/>
                <w:color w:val="000000" w:themeColor="text1"/>
                <w:sz w:val="16"/>
                <w:szCs w:val="16"/>
              </w:rPr>
            </w:pPr>
            <w:r w:rsidRPr="3990B37A">
              <w:rPr>
                <w:rFonts w:eastAsia="Times New Roman" w:cs="Calibri"/>
                <w:color w:val="000000" w:themeColor="text1"/>
                <w:sz w:val="16"/>
                <w:szCs w:val="16"/>
              </w:rPr>
              <w:t>28.7%</w:t>
            </w:r>
          </w:p>
        </w:tc>
        <w:tc>
          <w:tcPr>
            <w:tcW w:w="810" w:type="dxa"/>
            <w:shd w:val="clear" w:color="auto" w:fill="auto"/>
            <w:noWrap/>
            <w:vAlign w:val="center"/>
          </w:tcPr>
          <w:p w14:paraId="2285DCA0" w14:textId="1E3B4DCD" w:rsidR="00795B25" w:rsidRDefault="00795B25" w:rsidP="00795B25">
            <w:pPr>
              <w:jc w:val="center"/>
              <w:rPr>
                <w:rFonts w:eastAsia="Times New Roman" w:cs="Calibri"/>
                <w:color w:val="000000" w:themeColor="text1"/>
                <w:sz w:val="16"/>
                <w:szCs w:val="16"/>
              </w:rPr>
            </w:pPr>
            <w:r w:rsidRPr="3990B37A">
              <w:rPr>
                <w:rFonts w:eastAsia="Times New Roman" w:cs="Calibri"/>
                <w:color w:val="000000" w:themeColor="text1"/>
                <w:sz w:val="16"/>
                <w:szCs w:val="16"/>
              </w:rPr>
              <w:t>70.0%</w:t>
            </w:r>
          </w:p>
        </w:tc>
        <w:tc>
          <w:tcPr>
            <w:tcW w:w="810" w:type="dxa"/>
            <w:shd w:val="clear" w:color="auto" w:fill="auto"/>
            <w:noWrap/>
            <w:vAlign w:val="center"/>
          </w:tcPr>
          <w:p w14:paraId="046D9D5A" w14:textId="642461CA" w:rsidR="00795B25" w:rsidRDefault="00795B25" w:rsidP="00795B25">
            <w:pPr>
              <w:jc w:val="center"/>
              <w:rPr>
                <w:rFonts w:eastAsia="Times New Roman" w:cs="Calibri"/>
                <w:color w:val="000000" w:themeColor="text1"/>
                <w:sz w:val="16"/>
                <w:szCs w:val="16"/>
              </w:rPr>
            </w:pPr>
            <w:r w:rsidRPr="3990B37A">
              <w:rPr>
                <w:rFonts w:eastAsia="Times New Roman" w:cs="Calibri"/>
                <w:color w:val="000000" w:themeColor="text1"/>
                <w:sz w:val="16"/>
                <w:szCs w:val="16"/>
              </w:rPr>
              <w:t>44.5%</w:t>
            </w:r>
          </w:p>
        </w:tc>
        <w:tc>
          <w:tcPr>
            <w:tcW w:w="720" w:type="dxa"/>
            <w:shd w:val="clear" w:color="auto" w:fill="auto"/>
            <w:noWrap/>
            <w:vAlign w:val="center"/>
          </w:tcPr>
          <w:p w14:paraId="7C3A3426" w14:textId="62C87968" w:rsidR="00795B25" w:rsidRDefault="00795B25" w:rsidP="00795B25">
            <w:pPr>
              <w:jc w:val="center"/>
              <w:rPr>
                <w:rFonts w:eastAsia="Times New Roman" w:cs="Calibri"/>
                <w:color w:val="000000" w:themeColor="text1"/>
                <w:sz w:val="16"/>
                <w:szCs w:val="16"/>
              </w:rPr>
            </w:pPr>
            <w:r w:rsidRPr="3990B37A">
              <w:rPr>
                <w:rFonts w:eastAsia="Times New Roman" w:cs="Calibri"/>
                <w:color w:val="000000" w:themeColor="text1"/>
                <w:sz w:val="16"/>
                <w:szCs w:val="16"/>
              </w:rPr>
              <w:t>51.9%</w:t>
            </w:r>
          </w:p>
        </w:tc>
        <w:tc>
          <w:tcPr>
            <w:tcW w:w="720" w:type="dxa"/>
            <w:shd w:val="clear" w:color="auto" w:fill="auto"/>
            <w:noWrap/>
            <w:vAlign w:val="center"/>
          </w:tcPr>
          <w:p w14:paraId="5FEF8752" w14:textId="560663C5" w:rsidR="00795B25" w:rsidRDefault="03857349" w:rsidP="00795B25">
            <w:pPr>
              <w:jc w:val="center"/>
              <w:rPr>
                <w:rFonts w:eastAsia="Times New Roman" w:cs="Calibri"/>
                <w:color w:val="000000" w:themeColor="text1"/>
                <w:sz w:val="16"/>
                <w:szCs w:val="16"/>
              </w:rPr>
            </w:pPr>
            <w:r w:rsidRPr="79FF21F0">
              <w:rPr>
                <w:rFonts w:eastAsia="Times New Roman" w:cs="Calibri"/>
                <w:color w:val="000000" w:themeColor="text1"/>
                <w:sz w:val="16"/>
                <w:szCs w:val="16"/>
              </w:rPr>
              <w:t>41.9%</w:t>
            </w:r>
          </w:p>
        </w:tc>
        <w:tc>
          <w:tcPr>
            <w:tcW w:w="990" w:type="dxa"/>
            <w:shd w:val="clear" w:color="auto" w:fill="auto"/>
            <w:noWrap/>
            <w:vAlign w:val="center"/>
          </w:tcPr>
          <w:p w14:paraId="032735D3" w14:textId="4FAA1975" w:rsidR="00795B25" w:rsidRDefault="03857349" w:rsidP="00795B25">
            <w:pPr>
              <w:jc w:val="center"/>
              <w:rPr>
                <w:rFonts w:eastAsia="Times New Roman" w:cs="Calibri"/>
                <w:color w:val="000000" w:themeColor="text1"/>
                <w:sz w:val="16"/>
                <w:szCs w:val="16"/>
              </w:rPr>
            </w:pPr>
            <w:r w:rsidRPr="79FF21F0">
              <w:rPr>
                <w:rFonts w:eastAsia="Times New Roman" w:cs="Calibri"/>
                <w:color w:val="000000" w:themeColor="text1"/>
                <w:sz w:val="16"/>
                <w:szCs w:val="16"/>
              </w:rPr>
              <w:t>404%</w:t>
            </w:r>
          </w:p>
        </w:tc>
        <w:tc>
          <w:tcPr>
            <w:tcW w:w="720" w:type="dxa"/>
            <w:shd w:val="clear" w:color="auto" w:fill="auto"/>
            <w:noWrap/>
            <w:vAlign w:val="center"/>
          </w:tcPr>
          <w:p w14:paraId="12489BBF" w14:textId="1EDB1C09" w:rsidR="00795B25" w:rsidRDefault="03857349" w:rsidP="00795B25">
            <w:pPr>
              <w:jc w:val="center"/>
              <w:rPr>
                <w:rFonts w:eastAsia="Times New Roman" w:cs="Calibri"/>
                <w:color w:val="000000" w:themeColor="text1"/>
                <w:sz w:val="16"/>
                <w:szCs w:val="16"/>
              </w:rPr>
            </w:pPr>
            <w:r w:rsidRPr="79FF21F0">
              <w:rPr>
                <w:rFonts w:eastAsia="Times New Roman" w:cs="Calibri"/>
                <w:color w:val="000000" w:themeColor="text1"/>
                <w:sz w:val="16"/>
                <w:szCs w:val="16"/>
              </w:rPr>
              <w:t>34.1%</w:t>
            </w:r>
          </w:p>
        </w:tc>
        <w:tc>
          <w:tcPr>
            <w:tcW w:w="720" w:type="dxa"/>
            <w:tcBorders>
              <w:bottom w:val="single" w:sz="4" w:space="0" w:color="auto"/>
            </w:tcBorders>
            <w:shd w:val="clear" w:color="auto" w:fill="FFFFFF" w:themeFill="background1"/>
            <w:noWrap/>
            <w:vAlign w:val="center"/>
          </w:tcPr>
          <w:p w14:paraId="068BBBCB" w14:textId="10BC9360" w:rsidR="00795B25" w:rsidRDefault="002362A9" w:rsidP="00795B25">
            <w:pPr>
              <w:jc w:val="center"/>
              <w:rPr>
                <w:rFonts w:eastAsia="Times New Roman" w:cs="Calibri"/>
                <w:color w:val="000000" w:themeColor="text1"/>
                <w:sz w:val="16"/>
                <w:szCs w:val="16"/>
              </w:rPr>
            </w:pPr>
            <w:r>
              <w:rPr>
                <w:rFonts w:eastAsia="Times New Roman" w:cs="Calibri"/>
                <w:color w:val="000000" w:themeColor="text1"/>
                <w:sz w:val="16"/>
                <w:szCs w:val="16"/>
              </w:rPr>
              <w:t>--</w:t>
            </w:r>
          </w:p>
        </w:tc>
        <w:tc>
          <w:tcPr>
            <w:tcW w:w="720" w:type="dxa"/>
            <w:tcBorders>
              <w:bottom w:val="single" w:sz="4" w:space="0" w:color="auto"/>
            </w:tcBorders>
            <w:shd w:val="clear" w:color="auto" w:fill="auto"/>
            <w:noWrap/>
            <w:vAlign w:val="center"/>
          </w:tcPr>
          <w:p w14:paraId="39B01737" w14:textId="7B8D3ADB" w:rsidR="00795B25" w:rsidRDefault="0995240C" w:rsidP="00795B25">
            <w:pPr>
              <w:spacing w:after="0"/>
              <w:jc w:val="center"/>
              <w:rPr>
                <w:rFonts w:eastAsia="Times New Roman" w:cs="Calibri"/>
                <w:color w:val="000000" w:themeColor="text1"/>
                <w:sz w:val="18"/>
                <w:szCs w:val="18"/>
              </w:rPr>
            </w:pPr>
            <w:r w:rsidRPr="44871088">
              <w:rPr>
                <w:rFonts w:eastAsia="Times New Roman" w:cs="Calibri"/>
                <w:color w:val="000000" w:themeColor="text1"/>
                <w:sz w:val="18"/>
                <w:szCs w:val="18"/>
              </w:rPr>
              <w:t xml:space="preserve">--    </w:t>
            </w:r>
          </w:p>
        </w:tc>
        <w:tc>
          <w:tcPr>
            <w:tcW w:w="720" w:type="dxa"/>
            <w:tcBorders>
              <w:bottom w:val="single" w:sz="4" w:space="0" w:color="auto"/>
            </w:tcBorders>
            <w:shd w:val="clear" w:color="auto" w:fill="auto"/>
            <w:noWrap/>
            <w:vAlign w:val="center"/>
          </w:tcPr>
          <w:p w14:paraId="337762DC" w14:textId="2669A528" w:rsidR="00795B25" w:rsidRDefault="0995240C" w:rsidP="00795B25">
            <w:pPr>
              <w:spacing w:after="0"/>
              <w:jc w:val="center"/>
              <w:rPr>
                <w:rFonts w:eastAsia="Times New Roman" w:cs="Calibri"/>
                <w:color w:val="000000" w:themeColor="text1"/>
                <w:sz w:val="18"/>
                <w:szCs w:val="18"/>
              </w:rPr>
            </w:pPr>
            <w:r w:rsidRPr="44871088">
              <w:rPr>
                <w:rFonts w:eastAsia="Times New Roman" w:cs="Calibri"/>
                <w:color w:val="000000" w:themeColor="text1"/>
                <w:sz w:val="18"/>
                <w:szCs w:val="18"/>
              </w:rPr>
              <w:t xml:space="preserve">--    </w:t>
            </w:r>
          </w:p>
        </w:tc>
      </w:tr>
      <w:tr w:rsidR="00795B25" w14:paraId="157D56AE" w14:textId="77777777" w:rsidTr="44871088">
        <w:trPr>
          <w:trHeight w:val="300"/>
        </w:trPr>
        <w:tc>
          <w:tcPr>
            <w:tcW w:w="810" w:type="dxa"/>
            <w:shd w:val="clear" w:color="auto" w:fill="auto"/>
            <w:noWrap/>
            <w:hideMark/>
          </w:tcPr>
          <w:p w14:paraId="43CB9D65" w14:textId="77777777" w:rsidR="00795B25" w:rsidRPr="008D1B70" w:rsidRDefault="00795B25" w:rsidP="00795B25">
            <w:pPr>
              <w:spacing w:after="0"/>
              <w:jc w:val="center"/>
              <w:rPr>
                <w:rFonts w:eastAsia="Times New Roman" w:cs="Calibri"/>
                <w:sz w:val="16"/>
                <w:szCs w:val="16"/>
              </w:rPr>
            </w:pPr>
            <w:r w:rsidRPr="008D1B70">
              <w:rPr>
                <w:rFonts w:eastAsia="Times New Roman" w:cs="Calibri"/>
                <w:sz w:val="16"/>
                <w:szCs w:val="16"/>
              </w:rPr>
              <w:t>DRR</w:t>
            </w:r>
          </w:p>
        </w:tc>
        <w:tc>
          <w:tcPr>
            <w:tcW w:w="2880" w:type="dxa"/>
            <w:shd w:val="clear" w:color="auto" w:fill="auto"/>
            <w:hideMark/>
          </w:tcPr>
          <w:p w14:paraId="7561F69E" w14:textId="77777777" w:rsidR="00795B25" w:rsidRPr="00884DD7" w:rsidRDefault="00795B25" w:rsidP="00795B25">
            <w:pPr>
              <w:spacing w:after="0"/>
              <w:rPr>
                <w:rFonts w:eastAsia="Times New Roman" w:cs="Calibri"/>
                <w:sz w:val="16"/>
                <w:szCs w:val="16"/>
              </w:rPr>
            </w:pPr>
            <w:r w:rsidRPr="00884DD7">
              <w:rPr>
                <w:rFonts w:eastAsia="Times New Roman" w:cs="Calibri"/>
                <w:sz w:val="16"/>
                <w:szCs w:val="16"/>
              </w:rPr>
              <w:t>Depression Remission or Response</w:t>
            </w:r>
          </w:p>
        </w:tc>
        <w:tc>
          <w:tcPr>
            <w:tcW w:w="810" w:type="dxa"/>
            <w:shd w:val="clear" w:color="auto" w:fill="auto"/>
            <w:noWrap/>
            <w:vAlign w:val="center"/>
          </w:tcPr>
          <w:p w14:paraId="4A3EFDD0" w14:textId="099A695C" w:rsidR="00795B25" w:rsidRPr="00394EC7" w:rsidRDefault="00557F87" w:rsidP="00795B25">
            <w:pPr>
              <w:spacing w:after="0"/>
              <w:jc w:val="center"/>
              <w:rPr>
                <w:rFonts w:eastAsia="Times New Roman" w:cs="Calibri"/>
                <w:color w:val="000000"/>
                <w:sz w:val="16"/>
                <w:szCs w:val="16"/>
              </w:rPr>
            </w:pPr>
            <w:r>
              <w:rPr>
                <w:rFonts w:eastAsia="Times New Roman" w:cs="Calibri"/>
                <w:color w:val="000000"/>
                <w:sz w:val="16"/>
                <w:szCs w:val="16"/>
              </w:rPr>
              <w:t>6.6%</w:t>
            </w:r>
          </w:p>
        </w:tc>
        <w:tc>
          <w:tcPr>
            <w:tcW w:w="720" w:type="dxa"/>
            <w:shd w:val="clear" w:color="auto" w:fill="auto"/>
            <w:noWrap/>
            <w:vAlign w:val="center"/>
          </w:tcPr>
          <w:p w14:paraId="6D9BFC7C" w14:textId="3FE6660B" w:rsidR="00795B25" w:rsidRPr="00394EC7" w:rsidRDefault="00795B25" w:rsidP="00795B25">
            <w:pPr>
              <w:spacing w:after="0"/>
              <w:jc w:val="center"/>
              <w:rPr>
                <w:rFonts w:eastAsia="Times New Roman" w:cs="Calibri"/>
                <w:color w:val="000000"/>
                <w:sz w:val="16"/>
                <w:szCs w:val="16"/>
              </w:rPr>
            </w:pPr>
            <w:r w:rsidRPr="71CC5BE3">
              <w:rPr>
                <w:rFonts w:eastAsia="Times New Roman" w:cs="Calibri"/>
                <w:color w:val="000000" w:themeColor="text1"/>
                <w:sz w:val="16"/>
                <w:szCs w:val="16"/>
              </w:rPr>
              <w:t>6.0%</w:t>
            </w:r>
          </w:p>
        </w:tc>
        <w:tc>
          <w:tcPr>
            <w:tcW w:w="720" w:type="dxa"/>
            <w:shd w:val="clear" w:color="auto" w:fill="auto"/>
            <w:noWrap/>
            <w:vAlign w:val="center"/>
          </w:tcPr>
          <w:p w14:paraId="14321EC8" w14:textId="04E596FB" w:rsidR="00795B25" w:rsidRPr="00394EC7" w:rsidRDefault="00795B25" w:rsidP="00795B25">
            <w:pPr>
              <w:spacing w:after="0"/>
              <w:jc w:val="center"/>
              <w:rPr>
                <w:rFonts w:eastAsia="Times New Roman" w:cs="Calibri"/>
                <w:color w:val="000000"/>
                <w:sz w:val="16"/>
                <w:szCs w:val="16"/>
              </w:rPr>
            </w:pPr>
            <w:r w:rsidRPr="71CC5BE3">
              <w:rPr>
                <w:rFonts w:eastAsia="Times New Roman" w:cs="Calibri"/>
                <w:color w:val="000000" w:themeColor="text1"/>
                <w:sz w:val="16"/>
                <w:szCs w:val="16"/>
              </w:rPr>
              <w:t>3.6%</w:t>
            </w:r>
          </w:p>
        </w:tc>
        <w:tc>
          <w:tcPr>
            <w:tcW w:w="720" w:type="dxa"/>
            <w:shd w:val="clear" w:color="auto" w:fill="auto"/>
            <w:noWrap/>
            <w:vAlign w:val="center"/>
          </w:tcPr>
          <w:p w14:paraId="61D38A56" w14:textId="76DDCCA2" w:rsidR="00795B25" w:rsidRPr="00394EC7" w:rsidRDefault="00795B25" w:rsidP="00795B25">
            <w:pPr>
              <w:spacing w:after="0"/>
              <w:jc w:val="center"/>
              <w:rPr>
                <w:rFonts w:eastAsia="Times New Roman" w:cs="Calibri"/>
                <w:color w:val="000000"/>
                <w:sz w:val="16"/>
                <w:szCs w:val="16"/>
              </w:rPr>
            </w:pPr>
            <w:r w:rsidRPr="71CC5BE3">
              <w:rPr>
                <w:rFonts w:eastAsia="Times New Roman" w:cs="Calibri"/>
                <w:color w:val="000000" w:themeColor="text1"/>
                <w:sz w:val="16"/>
                <w:szCs w:val="16"/>
              </w:rPr>
              <w:t>7.0%</w:t>
            </w:r>
          </w:p>
        </w:tc>
        <w:tc>
          <w:tcPr>
            <w:tcW w:w="720" w:type="dxa"/>
            <w:shd w:val="clear" w:color="auto" w:fill="auto"/>
            <w:noWrap/>
            <w:vAlign w:val="center"/>
          </w:tcPr>
          <w:p w14:paraId="0B6F017A" w14:textId="36005E8F" w:rsidR="00795B25" w:rsidRPr="00394EC7" w:rsidRDefault="00795B25" w:rsidP="00795B25">
            <w:pPr>
              <w:spacing w:after="0"/>
              <w:jc w:val="center"/>
              <w:rPr>
                <w:rFonts w:eastAsia="Times New Roman" w:cs="Calibri"/>
                <w:color w:val="000000"/>
                <w:sz w:val="16"/>
                <w:szCs w:val="16"/>
              </w:rPr>
            </w:pPr>
            <w:r w:rsidRPr="71CC5BE3">
              <w:rPr>
                <w:rFonts w:eastAsia="Times New Roman" w:cs="Calibri"/>
                <w:color w:val="000000" w:themeColor="text1"/>
                <w:sz w:val="16"/>
                <w:szCs w:val="16"/>
              </w:rPr>
              <w:t>0.5%</w:t>
            </w:r>
          </w:p>
        </w:tc>
        <w:tc>
          <w:tcPr>
            <w:tcW w:w="720" w:type="dxa"/>
            <w:shd w:val="clear" w:color="auto" w:fill="auto"/>
            <w:noWrap/>
            <w:vAlign w:val="center"/>
          </w:tcPr>
          <w:p w14:paraId="3C985EF1" w14:textId="47386998" w:rsidR="00795B25" w:rsidRPr="00394EC7" w:rsidRDefault="00795B25" w:rsidP="00795B25">
            <w:pPr>
              <w:spacing w:after="0"/>
              <w:jc w:val="center"/>
              <w:rPr>
                <w:rFonts w:eastAsia="Times New Roman" w:cs="Calibri"/>
                <w:color w:val="000000"/>
                <w:sz w:val="16"/>
                <w:szCs w:val="16"/>
              </w:rPr>
            </w:pPr>
            <w:r w:rsidRPr="09E35E4E">
              <w:rPr>
                <w:rFonts w:eastAsia="Times New Roman" w:cs="Calibri"/>
                <w:color w:val="000000" w:themeColor="text1"/>
                <w:sz w:val="16"/>
                <w:szCs w:val="16"/>
              </w:rPr>
              <w:t>5.6%</w:t>
            </w:r>
          </w:p>
        </w:tc>
        <w:tc>
          <w:tcPr>
            <w:tcW w:w="810" w:type="dxa"/>
            <w:shd w:val="clear" w:color="auto" w:fill="auto"/>
            <w:noWrap/>
            <w:vAlign w:val="center"/>
          </w:tcPr>
          <w:p w14:paraId="3C7F112D" w14:textId="5A37B74C" w:rsidR="00795B25" w:rsidRPr="00394EC7" w:rsidRDefault="00795B25" w:rsidP="00795B25">
            <w:pPr>
              <w:spacing w:after="0"/>
              <w:jc w:val="center"/>
              <w:rPr>
                <w:rFonts w:eastAsia="Times New Roman" w:cs="Calibri"/>
                <w:color w:val="000000"/>
                <w:sz w:val="16"/>
                <w:szCs w:val="16"/>
              </w:rPr>
            </w:pPr>
            <w:r w:rsidRPr="09E35E4E">
              <w:rPr>
                <w:rFonts w:eastAsia="Times New Roman" w:cs="Calibri"/>
                <w:color w:val="000000" w:themeColor="text1"/>
                <w:sz w:val="16"/>
                <w:szCs w:val="16"/>
              </w:rPr>
              <w:t>3.9%</w:t>
            </w:r>
          </w:p>
        </w:tc>
        <w:tc>
          <w:tcPr>
            <w:tcW w:w="720" w:type="dxa"/>
            <w:shd w:val="clear" w:color="auto" w:fill="auto"/>
            <w:noWrap/>
            <w:vAlign w:val="center"/>
          </w:tcPr>
          <w:p w14:paraId="71C2CC14" w14:textId="267FB89A" w:rsidR="00795B25" w:rsidRPr="00394EC7" w:rsidRDefault="00795B25" w:rsidP="00795B25">
            <w:pPr>
              <w:spacing w:after="0"/>
              <w:jc w:val="center"/>
              <w:rPr>
                <w:rFonts w:eastAsia="Times New Roman" w:cs="Calibri"/>
                <w:color w:val="000000"/>
                <w:sz w:val="16"/>
                <w:szCs w:val="16"/>
              </w:rPr>
            </w:pPr>
            <w:r w:rsidRPr="09E35E4E">
              <w:rPr>
                <w:rFonts w:eastAsia="Times New Roman" w:cs="Calibri"/>
                <w:color w:val="000000" w:themeColor="text1"/>
                <w:sz w:val="16"/>
                <w:szCs w:val="16"/>
              </w:rPr>
              <w:t>9.2%</w:t>
            </w:r>
          </w:p>
        </w:tc>
        <w:tc>
          <w:tcPr>
            <w:tcW w:w="720" w:type="dxa"/>
            <w:shd w:val="clear" w:color="auto" w:fill="auto"/>
            <w:noWrap/>
            <w:vAlign w:val="center"/>
          </w:tcPr>
          <w:p w14:paraId="591C0836" w14:textId="0CD9A532" w:rsidR="00795B25" w:rsidRPr="00394EC7" w:rsidRDefault="00795B25" w:rsidP="00795B25">
            <w:pPr>
              <w:spacing w:after="0"/>
              <w:jc w:val="center"/>
              <w:rPr>
                <w:rFonts w:eastAsia="Times New Roman" w:cs="Calibri"/>
                <w:color w:val="000000"/>
                <w:sz w:val="16"/>
                <w:szCs w:val="16"/>
              </w:rPr>
            </w:pPr>
            <w:r w:rsidRPr="09E35E4E">
              <w:rPr>
                <w:rFonts w:eastAsia="Times New Roman" w:cs="Calibri"/>
                <w:color w:val="000000" w:themeColor="text1"/>
                <w:sz w:val="16"/>
                <w:szCs w:val="16"/>
              </w:rPr>
              <w:t>4.3%</w:t>
            </w:r>
          </w:p>
        </w:tc>
        <w:tc>
          <w:tcPr>
            <w:tcW w:w="1080" w:type="dxa"/>
            <w:shd w:val="clear" w:color="auto" w:fill="auto"/>
            <w:noWrap/>
            <w:vAlign w:val="center"/>
          </w:tcPr>
          <w:p w14:paraId="2373DDA7" w14:textId="14A319F3" w:rsidR="00795B25" w:rsidRPr="00394EC7" w:rsidRDefault="00795B25" w:rsidP="00795B25">
            <w:pPr>
              <w:spacing w:after="0"/>
              <w:jc w:val="center"/>
              <w:rPr>
                <w:rFonts w:eastAsia="Times New Roman" w:cs="Calibri"/>
                <w:color w:val="000000"/>
                <w:sz w:val="16"/>
                <w:szCs w:val="16"/>
              </w:rPr>
            </w:pPr>
            <w:r w:rsidRPr="09E35E4E">
              <w:rPr>
                <w:rFonts w:eastAsia="Times New Roman" w:cs="Calibri"/>
                <w:color w:val="000000" w:themeColor="text1"/>
                <w:sz w:val="16"/>
                <w:szCs w:val="16"/>
              </w:rPr>
              <w:t>8.2%</w:t>
            </w:r>
          </w:p>
        </w:tc>
        <w:tc>
          <w:tcPr>
            <w:tcW w:w="720" w:type="dxa"/>
            <w:shd w:val="clear" w:color="auto" w:fill="auto"/>
            <w:noWrap/>
            <w:vAlign w:val="center"/>
          </w:tcPr>
          <w:p w14:paraId="2F0B27EF" w14:textId="50274E40" w:rsidR="00795B25" w:rsidRPr="00394EC7" w:rsidRDefault="00795B25" w:rsidP="00795B25">
            <w:pPr>
              <w:spacing w:after="0"/>
              <w:jc w:val="center"/>
              <w:rPr>
                <w:rFonts w:eastAsia="Times New Roman" w:cs="Calibri"/>
                <w:color w:val="000000"/>
                <w:sz w:val="16"/>
                <w:szCs w:val="16"/>
              </w:rPr>
            </w:pPr>
            <w:r w:rsidRPr="09E35E4E">
              <w:rPr>
                <w:rFonts w:eastAsia="Times New Roman" w:cs="Calibri"/>
                <w:color w:val="000000" w:themeColor="text1"/>
                <w:sz w:val="16"/>
                <w:szCs w:val="16"/>
              </w:rPr>
              <w:t>12.2%</w:t>
            </w:r>
          </w:p>
        </w:tc>
        <w:tc>
          <w:tcPr>
            <w:tcW w:w="810" w:type="dxa"/>
            <w:shd w:val="clear" w:color="auto" w:fill="auto"/>
            <w:noWrap/>
            <w:vAlign w:val="center"/>
          </w:tcPr>
          <w:p w14:paraId="5A07D49D" w14:textId="0EF1D853" w:rsidR="00795B25" w:rsidRPr="00394EC7" w:rsidRDefault="00795B25" w:rsidP="00795B25">
            <w:pPr>
              <w:spacing w:after="0"/>
              <w:jc w:val="center"/>
              <w:rPr>
                <w:rFonts w:eastAsia="Times New Roman" w:cs="Calibri"/>
                <w:color w:val="000000"/>
                <w:sz w:val="16"/>
                <w:szCs w:val="16"/>
              </w:rPr>
            </w:pPr>
            <w:r w:rsidRPr="09E35E4E">
              <w:rPr>
                <w:rFonts w:eastAsia="Times New Roman" w:cs="Calibri"/>
                <w:color w:val="000000" w:themeColor="text1"/>
                <w:sz w:val="16"/>
                <w:szCs w:val="16"/>
              </w:rPr>
              <w:t>9.1%</w:t>
            </w:r>
          </w:p>
        </w:tc>
        <w:tc>
          <w:tcPr>
            <w:tcW w:w="810" w:type="dxa"/>
            <w:shd w:val="clear" w:color="auto" w:fill="auto"/>
            <w:noWrap/>
            <w:vAlign w:val="center"/>
          </w:tcPr>
          <w:p w14:paraId="79746E3D" w14:textId="6F04B148" w:rsidR="00795B25" w:rsidRPr="00394EC7" w:rsidRDefault="00795B25" w:rsidP="00795B25">
            <w:pPr>
              <w:spacing w:after="0"/>
              <w:jc w:val="center"/>
              <w:rPr>
                <w:rFonts w:eastAsia="Times New Roman" w:cs="Calibri"/>
                <w:color w:val="000000"/>
                <w:sz w:val="16"/>
                <w:szCs w:val="16"/>
              </w:rPr>
            </w:pPr>
            <w:r w:rsidRPr="09E35E4E">
              <w:rPr>
                <w:rFonts w:eastAsia="Times New Roman" w:cs="Calibri"/>
                <w:color w:val="000000" w:themeColor="text1"/>
                <w:sz w:val="16"/>
                <w:szCs w:val="16"/>
              </w:rPr>
              <w:t>32.7%</w:t>
            </w:r>
          </w:p>
        </w:tc>
        <w:tc>
          <w:tcPr>
            <w:tcW w:w="810" w:type="dxa"/>
            <w:shd w:val="clear" w:color="auto" w:fill="auto"/>
            <w:noWrap/>
            <w:vAlign w:val="center"/>
          </w:tcPr>
          <w:p w14:paraId="02B606E3" w14:textId="2211FBC9" w:rsidR="00795B25" w:rsidRPr="00394EC7" w:rsidRDefault="00795B25" w:rsidP="00795B25">
            <w:pPr>
              <w:spacing w:after="0"/>
              <w:jc w:val="center"/>
              <w:rPr>
                <w:rFonts w:eastAsia="Times New Roman" w:cs="Calibri"/>
                <w:color w:val="000000"/>
                <w:sz w:val="16"/>
                <w:szCs w:val="16"/>
              </w:rPr>
            </w:pPr>
            <w:r w:rsidRPr="09E35E4E">
              <w:rPr>
                <w:rFonts w:eastAsia="Times New Roman" w:cs="Calibri"/>
                <w:color w:val="000000" w:themeColor="text1"/>
                <w:sz w:val="16"/>
                <w:szCs w:val="16"/>
              </w:rPr>
              <w:t>2.4%</w:t>
            </w:r>
          </w:p>
        </w:tc>
        <w:tc>
          <w:tcPr>
            <w:tcW w:w="720" w:type="dxa"/>
            <w:shd w:val="clear" w:color="auto" w:fill="auto"/>
            <w:noWrap/>
            <w:vAlign w:val="center"/>
          </w:tcPr>
          <w:p w14:paraId="1C32D529" w14:textId="26F525C3" w:rsidR="00795B25" w:rsidRPr="00394EC7" w:rsidRDefault="00795B25" w:rsidP="00795B25">
            <w:pPr>
              <w:spacing w:after="0"/>
              <w:jc w:val="center"/>
              <w:rPr>
                <w:rFonts w:eastAsia="Times New Roman" w:cs="Calibri"/>
                <w:color w:val="000000"/>
                <w:sz w:val="16"/>
                <w:szCs w:val="16"/>
              </w:rPr>
            </w:pPr>
            <w:r w:rsidRPr="7C9F5FD3">
              <w:rPr>
                <w:rFonts w:eastAsia="Times New Roman" w:cs="Calibri"/>
                <w:color w:val="000000" w:themeColor="text1"/>
                <w:sz w:val="16"/>
                <w:szCs w:val="16"/>
              </w:rPr>
              <w:t>7.9%</w:t>
            </w:r>
          </w:p>
        </w:tc>
        <w:tc>
          <w:tcPr>
            <w:tcW w:w="720" w:type="dxa"/>
            <w:shd w:val="clear" w:color="auto" w:fill="auto"/>
            <w:noWrap/>
            <w:vAlign w:val="center"/>
          </w:tcPr>
          <w:p w14:paraId="65283D31" w14:textId="2236C504" w:rsidR="00795B25" w:rsidRPr="00394EC7" w:rsidRDefault="0F23E0C3" w:rsidP="00795B25">
            <w:pPr>
              <w:spacing w:after="0"/>
              <w:jc w:val="center"/>
              <w:rPr>
                <w:rFonts w:eastAsia="Times New Roman" w:cs="Calibri"/>
                <w:color w:val="000000"/>
                <w:sz w:val="16"/>
                <w:szCs w:val="16"/>
              </w:rPr>
            </w:pPr>
            <w:r w:rsidRPr="79FF21F0">
              <w:rPr>
                <w:rFonts w:eastAsia="Times New Roman" w:cs="Calibri"/>
                <w:color w:val="000000" w:themeColor="text1"/>
                <w:sz w:val="16"/>
                <w:szCs w:val="16"/>
              </w:rPr>
              <w:t>2.4%</w:t>
            </w:r>
          </w:p>
        </w:tc>
        <w:tc>
          <w:tcPr>
            <w:tcW w:w="990" w:type="dxa"/>
            <w:shd w:val="clear" w:color="auto" w:fill="auto"/>
            <w:noWrap/>
            <w:vAlign w:val="center"/>
          </w:tcPr>
          <w:p w14:paraId="53C07397" w14:textId="7F42549E" w:rsidR="00795B25" w:rsidRPr="00394EC7" w:rsidRDefault="0F23E0C3" w:rsidP="00795B25">
            <w:pPr>
              <w:spacing w:after="0"/>
              <w:jc w:val="center"/>
              <w:rPr>
                <w:rFonts w:eastAsia="Times New Roman" w:cs="Calibri"/>
                <w:color w:val="000000"/>
                <w:sz w:val="16"/>
                <w:szCs w:val="16"/>
              </w:rPr>
            </w:pPr>
            <w:r w:rsidRPr="79FF21F0">
              <w:rPr>
                <w:rFonts w:eastAsia="Times New Roman" w:cs="Calibri"/>
                <w:color w:val="000000" w:themeColor="text1"/>
                <w:sz w:val="16"/>
                <w:szCs w:val="16"/>
              </w:rPr>
              <w:t>2.5%</w:t>
            </w:r>
          </w:p>
        </w:tc>
        <w:tc>
          <w:tcPr>
            <w:tcW w:w="720" w:type="dxa"/>
            <w:tcBorders>
              <w:right w:val="single" w:sz="4" w:space="0" w:color="auto"/>
            </w:tcBorders>
            <w:shd w:val="clear" w:color="auto" w:fill="auto"/>
            <w:noWrap/>
            <w:vAlign w:val="center"/>
          </w:tcPr>
          <w:p w14:paraId="191F4C30" w14:textId="4838AA07" w:rsidR="00795B25" w:rsidRPr="00394EC7" w:rsidRDefault="0F23E0C3" w:rsidP="00795B25">
            <w:pPr>
              <w:spacing w:after="0"/>
              <w:jc w:val="center"/>
              <w:rPr>
                <w:rFonts w:eastAsia="Times New Roman" w:cs="Calibri"/>
                <w:color w:val="000000"/>
                <w:sz w:val="16"/>
                <w:szCs w:val="16"/>
              </w:rPr>
            </w:pPr>
            <w:r w:rsidRPr="79FF21F0">
              <w:rPr>
                <w:rFonts w:eastAsia="Times New Roman" w:cs="Calibri"/>
                <w:color w:val="000000" w:themeColor="text1"/>
                <w:sz w:val="16"/>
                <w:szCs w:val="16"/>
              </w:rPr>
              <w:t>5.3%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A893B" w14:textId="01252A62" w:rsidR="00795B25" w:rsidRPr="00394EC7" w:rsidRDefault="002362A9" w:rsidP="00795B25">
            <w:pPr>
              <w:spacing w:after="0"/>
              <w:jc w:val="center"/>
              <w:rPr>
                <w:rFonts w:eastAsia="Times New Roman" w:cs="Calibri"/>
                <w:color w:val="000000"/>
                <w:sz w:val="16"/>
                <w:szCs w:val="16"/>
              </w:rPr>
            </w:pPr>
            <w:r>
              <w:rPr>
                <w:rFonts w:eastAsia="Times New Roman" w:cs="Calibri"/>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F7452" w14:textId="44281C0E" w:rsidR="00795B25" w:rsidRDefault="016D4BED" w:rsidP="00795B25">
            <w:pPr>
              <w:spacing w:after="0"/>
              <w:jc w:val="center"/>
              <w:rPr>
                <w:rFonts w:eastAsia="Times New Roman" w:cs="Calibri"/>
                <w:color w:val="000000" w:themeColor="text1"/>
                <w:sz w:val="18"/>
                <w:szCs w:val="18"/>
              </w:rPr>
            </w:pPr>
            <w:r w:rsidRPr="44871088">
              <w:rPr>
                <w:rFonts w:eastAsia="Times New Roman" w:cs="Calibri"/>
                <w:color w:val="000000" w:themeColor="text1"/>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E7078" w14:textId="15FEF625" w:rsidR="00795B25" w:rsidRDefault="016D4BED" w:rsidP="00795B25">
            <w:pPr>
              <w:spacing w:after="0"/>
              <w:jc w:val="center"/>
              <w:rPr>
                <w:rFonts w:eastAsia="Times New Roman" w:cs="Calibri"/>
                <w:color w:val="000000" w:themeColor="text1"/>
                <w:sz w:val="18"/>
                <w:szCs w:val="18"/>
              </w:rPr>
            </w:pPr>
            <w:r w:rsidRPr="44871088">
              <w:rPr>
                <w:rFonts w:eastAsia="Times New Roman" w:cs="Calibri"/>
                <w:color w:val="000000" w:themeColor="text1"/>
                <w:sz w:val="18"/>
                <w:szCs w:val="18"/>
              </w:rPr>
              <w:t xml:space="preserve">--    </w:t>
            </w:r>
          </w:p>
        </w:tc>
      </w:tr>
      <w:tr w:rsidR="00795B25" w14:paraId="3AB5764D" w14:textId="77777777" w:rsidTr="44871088">
        <w:trPr>
          <w:trHeight w:val="320"/>
        </w:trPr>
        <w:tc>
          <w:tcPr>
            <w:tcW w:w="810" w:type="dxa"/>
            <w:shd w:val="clear" w:color="auto" w:fill="F2F2F2" w:themeFill="background1" w:themeFillShade="F2"/>
            <w:noWrap/>
            <w:hideMark/>
          </w:tcPr>
          <w:p w14:paraId="047315B3" w14:textId="77777777" w:rsidR="00795B25" w:rsidRPr="008D1B70" w:rsidRDefault="00795B25" w:rsidP="00795B25">
            <w:pPr>
              <w:spacing w:after="0"/>
              <w:jc w:val="center"/>
              <w:rPr>
                <w:rFonts w:eastAsia="Times New Roman" w:cs="Calibri"/>
                <w:sz w:val="16"/>
                <w:szCs w:val="16"/>
              </w:rPr>
            </w:pPr>
            <w:r w:rsidRPr="008D1B70">
              <w:rPr>
                <w:rFonts w:eastAsia="Times New Roman" w:cs="Calibri"/>
                <w:sz w:val="16"/>
                <w:szCs w:val="16"/>
              </w:rPr>
              <w:t>EOHHS</w:t>
            </w:r>
          </w:p>
        </w:tc>
        <w:tc>
          <w:tcPr>
            <w:tcW w:w="2880" w:type="dxa"/>
            <w:shd w:val="clear" w:color="auto" w:fill="F2F2F2" w:themeFill="background1" w:themeFillShade="F2"/>
            <w:hideMark/>
          </w:tcPr>
          <w:p w14:paraId="4E142840" w14:textId="77777777" w:rsidR="00795B25" w:rsidRPr="00884DD7" w:rsidRDefault="00795B25" w:rsidP="00795B25">
            <w:pPr>
              <w:spacing w:after="0"/>
              <w:rPr>
                <w:rFonts w:eastAsia="Times New Roman" w:cs="Calibri"/>
                <w:sz w:val="16"/>
                <w:szCs w:val="16"/>
              </w:rPr>
            </w:pPr>
            <w:r w:rsidRPr="00884DD7">
              <w:rPr>
                <w:rFonts w:eastAsia="Times New Roman" w:cs="Calibri"/>
                <w:sz w:val="16"/>
                <w:szCs w:val="16"/>
              </w:rPr>
              <w:t>LTSS Community Partner Engagement </w:t>
            </w:r>
          </w:p>
        </w:tc>
        <w:tc>
          <w:tcPr>
            <w:tcW w:w="810" w:type="dxa"/>
            <w:shd w:val="clear" w:color="auto" w:fill="F2F2F2" w:themeFill="background1" w:themeFillShade="F2"/>
            <w:noWrap/>
            <w:vAlign w:val="center"/>
          </w:tcPr>
          <w:p w14:paraId="7659103D" w14:textId="671470AA" w:rsidR="00795B25" w:rsidRPr="00394EC7" w:rsidRDefault="00294985" w:rsidP="00795B25">
            <w:pPr>
              <w:spacing w:after="0"/>
              <w:jc w:val="center"/>
              <w:rPr>
                <w:rFonts w:eastAsia="Times New Roman" w:cs="Calibri"/>
                <w:color w:val="000000"/>
                <w:sz w:val="16"/>
                <w:szCs w:val="16"/>
              </w:rPr>
            </w:pPr>
            <w:r>
              <w:rPr>
                <w:rFonts w:eastAsia="Times New Roman" w:cs="Calibri"/>
                <w:color w:val="000000"/>
                <w:sz w:val="16"/>
                <w:szCs w:val="16"/>
              </w:rPr>
              <w:t>7.5%</w:t>
            </w:r>
          </w:p>
        </w:tc>
        <w:tc>
          <w:tcPr>
            <w:tcW w:w="720" w:type="dxa"/>
            <w:shd w:val="clear" w:color="auto" w:fill="F2F2F2" w:themeFill="background1" w:themeFillShade="F2"/>
            <w:noWrap/>
            <w:vAlign w:val="center"/>
          </w:tcPr>
          <w:p w14:paraId="51D0F111" w14:textId="25B67837" w:rsidR="00795B25" w:rsidRPr="00394EC7" w:rsidRDefault="00795B25" w:rsidP="00795B25">
            <w:pPr>
              <w:spacing w:after="0"/>
              <w:jc w:val="center"/>
              <w:rPr>
                <w:rFonts w:eastAsia="Times New Roman" w:cs="Calibri"/>
                <w:color w:val="000000"/>
                <w:sz w:val="16"/>
                <w:szCs w:val="16"/>
              </w:rPr>
            </w:pPr>
            <w:r w:rsidRPr="3990B37A">
              <w:rPr>
                <w:rFonts w:eastAsia="Times New Roman" w:cs="Calibri"/>
                <w:color w:val="000000" w:themeColor="text1"/>
                <w:sz w:val="16"/>
                <w:szCs w:val="16"/>
              </w:rPr>
              <w:t>6.3%</w:t>
            </w:r>
          </w:p>
        </w:tc>
        <w:tc>
          <w:tcPr>
            <w:tcW w:w="720" w:type="dxa"/>
            <w:shd w:val="clear" w:color="auto" w:fill="F2F2F2" w:themeFill="background1" w:themeFillShade="F2"/>
            <w:noWrap/>
            <w:vAlign w:val="center"/>
          </w:tcPr>
          <w:p w14:paraId="57BCEB39" w14:textId="642EAFAB" w:rsidR="00795B25" w:rsidRPr="00394EC7" w:rsidRDefault="00795B25" w:rsidP="00795B25">
            <w:pPr>
              <w:spacing w:after="0"/>
              <w:jc w:val="center"/>
              <w:rPr>
                <w:rFonts w:eastAsia="Times New Roman" w:cs="Calibri"/>
                <w:color w:val="000000"/>
                <w:sz w:val="16"/>
                <w:szCs w:val="16"/>
              </w:rPr>
            </w:pPr>
            <w:r w:rsidRPr="3990B37A">
              <w:rPr>
                <w:rFonts w:eastAsia="Times New Roman" w:cs="Calibri"/>
                <w:color w:val="000000" w:themeColor="text1"/>
                <w:sz w:val="16"/>
                <w:szCs w:val="16"/>
              </w:rPr>
              <w:t>12.8%</w:t>
            </w:r>
          </w:p>
        </w:tc>
        <w:tc>
          <w:tcPr>
            <w:tcW w:w="720" w:type="dxa"/>
            <w:shd w:val="clear" w:color="auto" w:fill="F2F2F2" w:themeFill="background1" w:themeFillShade="F2"/>
            <w:noWrap/>
            <w:vAlign w:val="center"/>
          </w:tcPr>
          <w:p w14:paraId="0598BF94" w14:textId="6E161D38" w:rsidR="00795B25" w:rsidRPr="00394EC7" w:rsidRDefault="00795B25" w:rsidP="00795B25">
            <w:pPr>
              <w:spacing w:after="0"/>
              <w:jc w:val="center"/>
              <w:rPr>
                <w:rFonts w:eastAsia="Times New Roman" w:cs="Calibri"/>
                <w:color w:val="000000"/>
                <w:sz w:val="16"/>
                <w:szCs w:val="16"/>
              </w:rPr>
            </w:pPr>
            <w:r w:rsidRPr="3990B37A">
              <w:rPr>
                <w:rFonts w:eastAsia="Times New Roman" w:cs="Calibri"/>
                <w:color w:val="000000" w:themeColor="text1"/>
                <w:sz w:val="16"/>
                <w:szCs w:val="16"/>
              </w:rPr>
              <w:t>23.4%</w:t>
            </w:r>
          </w:p>
        </w:tc>
        <w:tc>
          <w:tcPr>
            <w:tcW w:w="720" w:type="dxa"/>
            <w:shd w:val="clear" w:color="auto" w:fill="F2F2F2" w:themeFill="background1" w:themeFillShade="F2"/>
            <w:noWrap/>
            <w:vAlign w:val="center"/>
          </w:tcPr>
          <w:p w14:paraId="4FFA4A63" w14:textId="616BCEF9" w:rsidR="00795B25" w:rsidRPr="00394EC7" w:rsidRDefault="00795B25" w:rsidP="00795B25">
            <w:pPr>
              <w:spacing w:after="0"/>
              <w:jc w:val="center"/>
              <w:rPr>
                <w:rFonts w:eastAsia="Times New Roman" w:cs="Calibri"/>
                <w:color w:val="000000"/>
                <w:sz w:val="16"/>
                <w:szCs w:val="16"/>
              </w:rPr>
            </w:pPr>
            <w:r w:rsidRPr="3990B37A">
              <w:rPr>
                <w:rFonts w:eastAsia="Times New Roman" w:cs="Calibri"/>
                <w:color w:val="000000" w:themeColor="text1"/>
                <w:sz w:val="16"/>
                <w:szCs w:val="16"/>
              </w:rPr>
              <w:t>3.7%</w:t>
            </w:r>
          </w:p>
        </w:tc>
        <w:tc>
          <w:tcPr>
            <w:tcW w:w="720" w:type="dxa"/>
            <w:shd w:val="clear" w:color="auto" w:fill="F2F2F2" w:themeFill="background1" w:themeFillShade="F2"/>
            <w:noWrap/>
            <w:vAlign w:val="center"/>
          </w:tcPr>
          <w:p w14:paraId="50048597" w14:textId="7FF01A5E" w:rsidR="00795B25" w:rsidRPr="00394EC7" w:rsidRDefault="00795B25" w:rsidP="00795B25">
            <w:pPr>
              <w:spacing w:after="0"/>
              <w:jc w:val="center"/>
              <w:rPr>
                <w:rFonts w:eastAsia="Times New Roman" w:cs="Calibri"/>
                <w:color w:val="000000"/>
                <w:sz w:val="16"/>
                <w:szCs w:val="16"/>
              </w:rPr>
            </w:pPr>
            <w:r w:rsidRPr="3990B37A">
              <w:rPr>
                <w:rFonts w:eastAsia="Times New Roman" w:cs="Calibri"/>
                <w:color w:val="000000" w:themeColor="text1"/>
                <w:sz w:val="16"/>
                <w:szCs w:val="16"/>
              </w:rPr>
              <w:t>13.6%</w:t>
            </w:r>
          </w:p>
        </w:tc>
        <w:tc>
          <w:tcPr>
            <w:tcW w:w="810" w:type="dxa"/>
            <w:shd w:val="clear" w:color="auto" w:fill="F2F2F2" w:themeFill="background1" w:themeFillShade="F2"/>
            <w:noWrap/>
            <w:vAlign w:val="center"/>
          </w:tcPr>
          <w:p w14:paraId="5885D296" w14:textId="39308847" w:rsidR="00795B25" w:rsidRPr="00394EC7" w:rsidRDefault="00795B25" w:rsidP="00795B25">
            <w:pPr>
              <w:spacing w:after="0"/>
              <w:jc w:val="center"/>
              <w:rPr>
                <w:rFonts w:eastAsia="Times New Roman" w:cs="Calibri"/>
                <w:color w:val="000000"/>
                <w:sz w:val="16"/>
                <w:szCs w:val="16"/>
              </w:rPr>
            </w:pPr>
            <w:r w:rsidRPr="3990B37A">
              <w:rPr>
                <w:rFonts w:eastAsia="Times New Roman" w:cs="Calibri"/>
                <w:color w:val="000000" w:themeColor="text1"/>
                <w:sz w:val="16"/>
                <w:szCs w:val="16"/>
              </w:rPr>
              <w:t>35.4%</w:t>
            </w:r>
          </w:p>
        </w:tc>
        <w:tc>
          <w:tcPr>
            <w:tcW w:w="720" w:type="dxa"/>
            <w:shd w:val="clear" w:color="auto" w:fill="F2F2F2" w:themeFill="background1" w:themeFillShade="F2"/>
            <w:noWrap/>
            <w:vAlign w:val="center"/>
          </w:tcPr>
          <w:p w14:paraId="20ECB171" w14:textId="15E8D6A6" w:rsidR="00795B25" w:rsidRPr="00394EC7" w:rsidRDefault="00795B25" w:rsidP="00795B25">
            <w:pPr>
              <w:spacing w:after="0"/>
              <w:jc w:val="center"/>
              <w:rPr>
                <w:rFonts w:eastAsia="Times New Roman" w:cs="Calibri"/>
                <w:color w:val="000000"/>
                <w:sz w:val="16"/>
                <w:szCs w:val="16"/>
              </w:rPr>
            </w:pPr>
            <w:r w:rsidRPr="3990B37A">
              <w:rPr>
                <w:rFonts w:eastAsia="Times New Roman" w:cs="Calibri"/>
                <w:color w:val="000000" w:themeColor="text1"/>
                <w:sz w:val="16"/>
                <w:szCs w:val="16"/>
              </w:rPr>
              <w:t>13.0%</w:t>
            </w:r>
          </w:p>
        </w:tc>
        <w:tc>
          <w:tcPr>
            <w:tcW w:w="720" w:type="dxa"/>
            <w:shd w:val="clear" w:color="auto" w:fill="F2F2F2" w:themeFill="background1" w:themeFillShade="F2"/>
            <w:noWrap/>
            <w:vAlign w:val="center"/>
          </w:tcPr>
          <w:p w14:paraId="335FF393" w14:textId="207F6364" w:rsidR="00795B25" w:rsidRPr="00394EC7" w:rsidRDefault="00795B25" w:rsidP="00795B25">
            <w:pPr>
              <w:spacing w:after="0"/>
              <w:jc w:val="center"/>
              <w:rPr>
                <w:rFonts w:eastAsia="Times New Roman" w:cs="Calibri"/>
                <w:color w:val="000000"/>
                <w:sz w:val="16"/>
                <w:szCs w:val="16"/>
              </w:rPr>
            </w:pPr>
            <w:r w:rsidRPr="3990B37A">
              <w:rPr>
                <w:rFonts w:eastAsia="Times New Roman" w:cs="Calibri"/>
                <w:color w:val="000000" w:themeColor="text1"/>
                <w:sz w:val="16"/>
                <w:szCs w:val="16"/>
              </w:rPr>
              <w:t>13.1%</w:t>
            </w:r>
          </w:p>
        </w:tc>
        <w:tc>
          <w:tcPr>
            <w:tcW w:w="1080" w:type="dxa"/>
            <w:shd w:val="clear" w:color="auto" w:fill="F2F2F2" w:themeFill="background1" w:themeFillShade="F2"/>
            <w:noWrap/>
            <w:vAlign w:val="center"/>
          </w:tcPr>
          <w:p w14:paraId="031018BC" w14:textId="5214B8F0" w:rsidR="00795B25" w:rsidRPr="00394EC7" w:rsidRDefault="00795B25" w:rsidP="00795B25">
            <w:pPr>
              <w:spacing w:after="0"/>
              <w:jc w:val="center"/>
              <w:rPr>
                <w:rFonts w:eastAsia="Times New Roman" w:cs="Calibri"/>
                <w:color w:val="000000"/>
                <w:sz w:val="16"/>
                <w:szCs w:val="16"/>
              </w:rPr>
            </w:pPr>
            <w:r w:rsidRPr="3990B37A">
              <w:rPr>
                <w:rFonts w:eastAsia="Times New Roman" w:cs="Calibri"/>
                <w:color w:val="000000" w:themeColor="text1"/>
                <w:sz w:val="16"/>
                <w:szCs w:val="16"/>
              </w:rPr>
              <w:t>14.7%</w:t>
            </w:r>
          </w:p>
        </w:tc>
        <w:tc>
          <w:tcPr>
            <w:tcW w:w="720" w:type="dxa"/>
            <w:shd w:val="clear" w:color="auto" w:fill="F2F2F2" w:themeFill="background1" w:themeFillShade="F2"/>
            <w:noWrap/>
            <w:vAlign w:val="center"/>
          </w:tcPr>
          <w:p w14:paraId="1B919EF8" w14:textId="00079F37" w:rsidR="00795B25" w:rsidRPr="00394EC7" w:rsidRDefault="00795B25" w:rsidP="00795B25">
            <w:pPr>
              <w:spacing w:after="0"/>
              <w:jc w:val="center"/>
              <w:rPr>
                <w:rFonts w:eastAsia="Times New Roman" w:cs="Calibri"/>
                <w:color w:val="000000"/>
                <w:sz w:val="16"/>
                <w:szCs w:val="16"/>
              </w:rPr>
            </w:pPr>
            <w:r w:rsidRPr="3990B37A">
              <w:rPr>
                <w:rFonts w:eastAsia="Times New Roman" w:cs="Calibri"/>
                <w:color w:val="000000" w:themeColor="text1"/>
                <w:sz w:val="16"/>
                <w:szCs w:val="16"/>
              </w:rPr>
              <w:t>7.9%</w:t>
            </w:r>
          </w:p>
        </w:tc>
        <w:tc>
          <w:tcPr>
            <w:tcW w:w="810" w:type="dxa"/>
            <w:shd w:val="clear" w:color="auto" w:fill="F2F2F2" w:themeFill="background1" w:themeFillShade="F2"/>
            <w:noWrap/>
            <w:vAlign w:val="center"/>
          </w:tcPr>
          <w:p w14:paraId="3C8C4C30" w14:textId="3F73B428" w:rsidR="00795B25" w:rsidRPr="00394EC7" w:rsidRDefault="00795B25" w:rsidP="00795B25">
            <w:pPr>
              <w:spacing w:after="0"/>
              <w:jc w:val="center"/>
              <w:rPr>
                <w:rFonts w:eastAsia="Times New Roman" w:cs="Calibri"/>
                <w:color w:val="000000"/>
                <w:sz w:val="16"/>
                <w:szCs w:val="16"/>
              </w:rPr>
            </w:pPr>
            <w:r w:rsidRPr="3990B37A">
              <w:rPr>
                <w:rFonts w:eastAsia="Times New Roman" w:cs="Calibri"/>
                <w:color w:val="000000" w:themeColor="text1"/>
                <w:sz w:val="16"/>
                <w:szCs w:val="16"/>
              </w:rPr>
              <w:t>6.8%</w:t>
            </w:r>
          </w:p>
        </w:tc>
        <w:tc>
          <w:tcPr>
            <w:tcW w:w="810" w:type="dxa"/>
            <w:shd w:val="clear" w:color="auto" w:fill="F2F2F2" w:themeFill="background1" w:themeFillShade="F2"/>
            <w:noWrap/>
            <w:vAlign w:val="center"/>
          </w:tcPr>
          <w:p w14:paraId="6D53B1D7" w14:textId="54D33EB2" w:rsidR="00795B25" w:rsidRPr="00394EC7" w:rsidRDefault="00795B25" w:rsidP="00795B25">
            <w:pPr>
              <w:spacing w:after="0"/>
              <w:jc w:val="center"/>
              <w:rPr>
                <w:rFonts w:eastAsia="Times New Roman" w:cs="Calibri"/>
                <w:color w:val="000000"/>
                <w:sz w:val="16"/>
                <w:szCs w:val="16"/>
              </w:rPr>
            </w:pPr>
            <w:r w:rsidRPr="3990B37A">
              <w:rPr>
                <w:rFonts w:eastAsia="Times New Roman" w:cs="Calibri"/>
                <w:color w:val="000000" w:themeColor="text1"/>
                <w:sz w:val="16"/>
                <w:szCs w:val="16"/>
              </w:rPr>
              <w:t>8.4%</w:t>
            </w:r>
          </w:p>
        </w:tc>
        <w:tc>
          <w:tcPr>
            <w:tcW w:w="810" w:type="dxa"/>
            <w:shd w:val="clear" w:color="auto" w:fill="F2F2F2" w:themeFill="background1" w:themeFillShade="F2"/>
            <w:noWrap/>
            <w:vAlign w:val="center"/>
          </w:tcPr>
          <w:p w14:paraId="3EDA6E3B" w14:textId="471903D0" w:rsidR="00795B25" w:rsidRPr="00394EC7" w:rsidRDefault="00795B25" w:rsidP="00795B25">
            <w:pPr>
              <w:spacing w:after="0"/>
              <w:jc w:val="center"/>
              <w:rPr>
                <w:rFonts w:eastAsia="Times New Roman" w:cs="Calibri"/>
                <w:color w:val="000000"/>
                <w:sz w:val="16"/>
                <w:szCs w:val="16"/>
              </w:rPr>
            </w:pPr>
            <w:r w:rsidRPr="3990B37A">
              <w:rPr>
                <w:rFonts w:eastAsia="Times New Roman" w:cs="Calibri"/>
                <w:color w:val="000000" w:themeColor="text1"/>
                <w:sz w:val="16"/>
                <w:szCs w:val="16"/>
              </w:rPr>
              <w:t>9.0%</w:t>
            </w:r>
          </w:p>
        </w:tc>
        <w:tc>
          <w:tcPr>
            <w:tcW w:w="720" w:type="dxa"/>
            <w:shd w:val="clear" w:color="auto" w:fill="F2F2F2" w:themeFill="background1" w:themeFillShade="F2"/>
            <w:noWrap/>
            <w:vAlign w:val="center"/>
          </w:tcPr>
          <w:p w14:paraId="5CC3A147" w14:textId="25B4118A" w:rsidR="00795B25" w:rsidRPr="00394EC7" w:rsidRDefault="00795B25" w:rsidP="00795B25">
            <w:pPr>
              <w:spacing w:after="0"/>
              <w:jc w:val="center"/>
              <w:rPr>
                <w:rFonts w:eastAsia="Times New Roman" w:cs="Calibri"/>
                <w:color w:val="000000"/>
                <w:sz w:val="16"/>
                <w:szCs w:val="16"/>
              </w:rPr>
            </w:pPr>
            <w:r w:rsidRPr="3990B37A">
              <w:rPr>
                <w:rFonts w:eastAsia="Times New Roman" w:cs="Calibri"/>
                <w:color w:val="000000" w:themeColor="text1"/>
                <w:sz w:val="16"/>
                <w:szCs w:val="16"/>
              </w:rPr>
              <w:t>10.1%</w:t>
            </w:r>
          </w:p>
        </w:tc>
        <w:tc>
          <w:tcPr>
            <w:tcW w:w="720" w:type="dxa"/>
            <w:shd w:val="clear" w:color="auto" w:fill="F2F2F2" w:themeFill="background1" w:themeFillShade="F2"/>
            <w:noWrap/>
            <w:vAlign w:val="center"/>
          </w:tcPr>
          <w:p w14:paraId="580F0472" w14:textId="18227E95" w:rsidR="00795B25" w:rsidRPr="00394EC7" w:rsidRDefault="180DC0CF" w:rsidP="00795B25">
            <w:pPr>
              <w:spacing w:after="0"/>
              <w:jc w:val="center"/>
              <w:rPr>
                <w:rFonts w:eastAsia="Times New Roman" w:cs="Calibri"/>
                <w:color w:val="000000"/>
                <w:sz w:val="16"/>
                <w:szCs w:val="16"/>
              </w:rPr>
            </w:pPr>
            <w:r w:rsidRPr="79FF21F0">
              <w:rPr>
                <w:rFonts w:eastAsia="Times New Roman" w:cs="Calibri"/>
                <w:color w:val="000000" w:themeColor="text1"/>
                <w:sz w:val="16"/>
                <w:szCs w:val="16"/>
              </w:rPr>
              <w:t>7.4%</w:t>
            </w:r>
          </w:p>
        </w:tc>
        <w:tc>
          <w:tcPr>
            <w:tcW w:w="990" w:type="dxa"/>
            <w:shd w:val="clear" w:color="auto" w:fill="F2F2F2" w:themeFill="background1" w:themeFillShade="F2"/>
            <w:noWrap/>
            <w:vAlign w:val="center"/>
          </w:tcPr>
          <w:p w14:paraId="532A7995" w14:textId="1896563B" w:rsidR="00795B25" w:rsidRPr="00394EC7" w:rsidRDefault="180DC0CF" w:rsidP="00795B25">
            <w:pPr>
              <w:spacing w:after="0"/>
              <w:jc w:val="center"/>
              <w:rPr>
                <w:rFonts w:eastAsia="Times New Roman" w:cs="Calibri"/>
                <w:color w:val="000000"/>
                <w:sz w:val="16"/>
                <w:szCs w:val="16"/>
              </w:rPr>
            </w:pPr>
            <w:r w:rsidRPr="79FF21F0">
              <w:rPr>
                <w:rFonts w:eastAsia="Times New Roman" w:cs="Calibri"/>
                <w:color w:val="000000" w:themeColor="text1"/>
                <w:sz w:val="16"/>
                <w:szCs w:val="16"/>
              </w:rPr>
              <w:t>4.5%</w:t>
            </w:r>
          </w:p>
        </w:tc>
        <w:tc>
          <w:tcPr>
            <w:tcW w:w="720" w:type="dxa"/>
            <w:shd w:val="clear" w:color="auto" w:fill="F2F2F2" w:themeFill="background1" w:themeFillShade="F2"/>
            <w:noWrap/>
            <w:vAlign w:val="center"/>
          </w:tcPr>
          <w:p w14:paraId="1F871FC0" w14:textId="41FA6E46" w:rsidR="00795B25" w:rsidRPr="00394EC7" w:rsidRDefault="180DC0CF" w:rsidP="00795B25">
            <w:pPr>
              <w:spacing w:after="0"/>
              <w:jc w:val="center"/>
              <w:rPr>
                <w:rFonts w:eastAsia="Times New Roman" w:cs="Calibri"/>
                <w:color w:val="000000"/>
                <w:sz w:val="16"/>
                <w:szCs w:val="16"/>
              </w:rPr>
            </w:pPr>
            <w:r w:rsidRPr="79FF21F0">
              <w:rPr>
                <w:rFonts w:eastAsia="Times New Roman" w:cs="Calibri"/>
                <w:color w:val="000000" w:themeColor="text1"/>
                <w:sz w:val="16"/>
                <w:szCs w:val="16"/>
              </w:rPr>
              <w:t>10.5%</w:t>
            </w:r>
          </w:p>
        </w:tc>
        <w:tc>
          <w:tcPr>
            <w:tcW w:w="720" w:type="dxa"/>
            <w:tcBorders>
              <w:top w:val="single" w:sz="4" w:space="0" w:color="auto"/>
            </w:tcBorders>
            <w:shd w:val="clear" w:color="auto" w:fill="F2F2F2" w:themeFill="background1" w:themeFillShade="F2"/>
            <w:noWrap/>
            <w:vAlign w:val="center"/>
          </w:tcPr>
          <w:p w14:paraId="1DD9BB54" w14:textId="7397A26D" w:rsidR="00795B25" w:rsidRPr="00394EC7" w:rsidRDefault="006628F8" w:rsidP="00795B25">
            <w:pPr>
              <w:spacing w:after="0"/>
              <w:jc w:val="center"/>
              <w:rPr>
                <w:rFonts w:eastAsia="Times New Roman" w:cs="Calibri"/>
                <w:color w:val="000000"/>
                <w:sz w:val="16"/>
                <w:szCs w:val="16"/>
              </w:rPr>
            </w:pPr>
            <w:r>
              <w:rPr>
                <w:rFonts w:eastAsia="Times New Roman" w:cs="Calibri"/>
                <w:color w:val="000000"/>
                <w:sz w:val="16"/>
                <w:szCs w:val="16"/>
              </w:rPr>
              <w:t>8.4%</w:t>
            </w:r>
          </w:p>
        </w:tc>
        <w:tc>
          <w:tcPr>
            <w:tcW w:w="720" w:type="dxa"/>
            <w:tcBorders>
              <w:top w:val="single" w:sz="4" w:space="0" w:color="auto"/>
            </w:tcBorders>
            <w:shd w:val="clear" w:color="auto" w:fill="F2F2F2" w:themeFill="background1" w:themeFillShade="F2"/>
            <w:noWrap/>
            <w:vAlign w:val="center"/>
          </w:tcPr>
          <w:p w14:paraId="44F4504B" w14:textId="645AB2A8" w:rsidR="00795B25" w:rsidRDefault="002677B3" w:rsidP="00795B25">
            <w:pPr>
              <w:spacing w:after="0"/>
              <w:jc w:val="center"/>
              <w:rPr>
                <w:rFonts w:eastAsia="Times New Roman" w:cs="Calibri"/>
                <w:color w:val="000000" w:themeColor="text1"/>
                <w:sz w:val="18"/>
                <w:szCs w:val="18"/>
              </w:rPr>
            </w:pPr>
            <w:r>
              <w:rPr>
                <w:rFonts w:eastAsia="Times New Roman" w:cs="Calibri"/>
                <w:color w:val="000000" w:themeColor="text1"/>
                <w:sz w:val="18"/>
                <w:szCs w:val="18"/>
              </w:rPr>
              <w:t>4.5%</w:t>
            </w:r>
            <w:r w:rsidR="7499FB33" w:rsidRPr="44871088">
              <w:rPr>
                <w:rFonts w:eastAsia="Times New Roman" w:cs="Calibri"/>
                <w:color w:val="000000" w:themeColor="text1"/>
                <w:sz w:val="18"/>
                <w:szCs w:val="18"/>
              </w:rPr>
              <w:t xml:space="preserve">    </w:t>
            </w:r>
          </w:p>
        </w:tc>
        <w:tc>
          <w:tcPr>
            <w:tcW w:w="720" w:type="dxa"/>
            <w:tcBorders>
              <w:top w:val="single" w:sz="4" w:space="0" w:color="auto"/>
            </w:tcBorders>
            <w:shd w:val="clear" w:color="auto" w:fill="F2F2F2" w:themeFill="background1" w:themeFillShade="F2"/>
            <w:noWrap/>
            <w:vAlign w:val="center"/>
          </w:tcPr>
          <w:p w14:paraId="6BB931B9" w14:textId="008F62C7" w:rsidR="00795B25" w:rsidRDefault="002677B3" w:rsidP="00795B25">
            <w:pPr>
              <w:spacing w:after="0"/>
              <w:jc w:val="center"/>
              <w:rPr>
                <w:rFonts w:eastAsia="Times New Roman" w:cs="Calibri"/>
                <w:color w:val="000000" w:themeColor="text1"/>
                <w:sz w:val="18"/>
                <w:szCs w:val="18"/>
              </w:rPr>
            </w:pPr>
            <w:r>
              <w:rPr>
                <w:rFonts w:eastAsia="Times New Roman" w:cs="Calibri"/>
                <w:color w:val="000000" w:themeColor="text1"/>
                <w:sz w:val="18"/>
                <w:szCs w:val="18"/>
              </w:rPr>
              <w:t>11.5%</w:t>
            </w:r>
            <w:r w:rsidR="7499FB33" w:rsidRPr="44871088">
              <w:rPr>
                <w:rFonts w:eastAsia="Times New Roman" w:cs="Calibri"/>
                <w:color w:val="000000" w:themeColor="text1"/>
                <w:sz w:val="18"/>
                <w:szCs w:val="18"/>
              </w:rPr>
              <w:t xml:space="preserve">    </w:t>
            </w:r>
          </w:p>
        </w:tc>
      </w:tr>
      <w:tr w:rsidR="00E9481E" w14:paraId="4486EB72" w14:textId="77777777" w:rsidTr="44871088">
        <w:trPr>
          <w:trHeight w:val="290"/>
        </w:trPr>
        <w:tc>
          <w:tcPr>
            <w:tcW w:w="810" w:type="dxa"/>
            <w:shd w:val="clear" w:color="auto" w:fill="FFFFFF" w:themeFill="background1"/>
            <w:noWrap/>
            <w:hideMark/>
          </w:tcPr>
          <w:p w14:paraId="5E88379F" w14:textId="77777777" w:rsidR="00E9481E" w:rsidRPr="008D1B70" w:rsidRDefault="00E9481E" w:rsidP="00E9481E">
            <w:pPr>
              <w:spacing w:after="0"/>
              <w:jc w:val="center"/>
              <w:rPr>
                <w:rFonts w:eastAsia="Times New Roman" w:cs="Calibri"/>
                <w:sz w:val="16"/>
                <w:szCs w:val="16"/>
              </w:rPr>
            </w:pPr>
            <w:r w:rsidRPr="008D1B70">
              <w:rPr>
                <w:rFonts w:eastAsia="Times New Roman" w:cs="Calibri"/>
                <w:sz w:val="16"/>
                <w:szCs w:val="16"/>
              </w:rPr>
              <w:t>EOHHS</w:t>
            </w:r>
          </w:p>
        </w:tc>
        <w:tc>
          <w:tcPr>
            <w:tcW w:w="2880" w:type="dxa"/>
            <w:shd w:val="clear" w:color="auto" w:fill="FFFFFF" w:themeFill="background1"/>
            <w:hideMark/>
          </w:tcPr>
          <w:p w14:paraId="2ACAABD3" w14:textId="77777777" w:rsidR="00E9481E" w:rsidRPr="00884DD7" w:rsidRDefault="00E9481E" w:rsidP="00E9481E">
            <w:pPr>
              <w:spacing w:after="0"/>
              <w:rPr>
                <w:rFonts w:eastAsia="Times New Roman" w:cs="Calibri"/>
                <w:sz w:val="16"/>
                <w:szCs w:val="16"/>
              </w:rPr>
            </w:pPr>
            <w:r w:rsidRPr="00884DD7">
              <w:rPr>
                <w:rFonts w:eastAsia="Times New Roman" w:cs="Calibri"/>
                <w:sz w:val="16"/>
                <w:szCs w:val="16"/>
              </w:rPr>
              <w:t>Community Tenure - BSP (Risk adjusted O/E ratio)</w:t>
            </w:r>
          </w:p>
        </w:tc>
        <w:tc>
          <w:tcPr>
            <w:tcW w:w="810" w:type="dxa"/>
            <w:shd w:val="clear" w:color="auto" w:fill="auto"/>
            <w:noWrap/>
            <w:vAlign w:val="center"/>
          </w:tcPr>
          <w:p w14:paraId="3C2E880F" w14:textId="34DF26B2" w:rsidR="00E9481E" w:rsidRPr="00394EC7" w:rsidRDefault="000B6FCE" w:rsidP="00E9481E">
            <w:pPr>
              <w:spacing w:after="0"/>
              <w:jc w:val="center"/>
              <w:rPr>
                <w:rFonts w:eastAsia="Times New Roman" w:cs="Calibri"/>
                <w:color w:val="000000"/>
                <w:sz w:val="16"/>
                <w:szCs w:val="16"/>
              </w:rPr>
            </w:pPr>
            <w:r>
              <w:rPr>
                <w:rFonts w:eastAsia="Times New Roman" w:cs="Calibri"/>
                <w:color w:val="000000"/>
                <w:sz w:val="16"/>
                <w:szCs w:val="16"/>
              </w:rPr>
              <w:t>0.8</w:t>
            </w:r>
          </w:p>
        </w:tc>
        <w:tc>
          <w:tcPr>
            <w:tcW w:w="720" w:type="dxa"/>
            <w:shd w:val="clear" w:color="auto" w:fill="auto"/>
            <w:noWrap/>
            <w:vAlign w:val="center"/>
          </w:tcPr>
          <w:p w14:paraId="3C9A4F54" w14:textId="27B4754F" w:rsidR="00E9481E" w:rsidRPr="00394EC7" w:rsidRDefault="00E9481E" w:rsidP="00E9481E">
            <w:pPr>
              <w:spacing w:after="0"/>
              <w:jc w:val="center"/>
              <w:rPr>
                <w:rFonts w:eastAsia="Times New Roman" w:cs="Calibri"/>
                <w:color w:val="000000"/>
                <w:sz w:val="16"/>
                <w:szCs w:val="16"/>
              </w:rPr>
            </w:pPr>
            <w:r w:rsidRPr="3990B37A">
              <w:rPr>
                <w:rFonts w:eastAsia="Times New Roman" w:cs="Calibri"/>
                <w:color w:val="000000" w:themeColor="text1"/>
                <w:sz w:val="16"/>
                <w:szCs w:val="16"/>
              </w:rPr>
              <w:t>0.6</w:t>
            </w:r>
          </w:p>
        </w:tc>
        <w:tc>
          <w:tcPr>
            <w:tcW w:w="720" w:type="dxa"/>
            <w:shd w:val="clear" w:color="auto" w:fill="auto"/>
            <w:noWrap/>
            <w:vAlign w:val="center"/>
          </w:tcPr>
          <w:p w14:paraId="2AA4608E" w14:textId="51053236" w:rsidR="00E9481E" w:rsidRPr="00394EC7" w:rsidRDefault="00E9481E" w:rsidP="00E9481E">
            <w:pPr>
              <w:spacing w:after="0"/>
              <w:jc w:val="center"/>
              <w:rPr>
                <w:rFonts w:eastAsia="Times New Roman" w:cs="Calibri"/>
                <w:color w:val="000000"/>
                <w:sz w:val="16"/>
                <w:szCs w:val="16"/>
              </w:rPr>
            </w:pPr>
            <w:r w:rsidRPr="3990B37A">
              <w:rPr>
                <w:rFonts w:eastAsia="Times New Roman" w:cs="Calibri"/>
                <w:color w:val="000000" w:themeColor="text1"/>
                <w:sz w:val="16"/>
                <w:szCs w:val="16"/>
              </w:rPr>
              <w:t>0.5</w:t>
            </w:r>
          </w:p>
        </w:tc>
        <w:tc>
          <w:tcPr>
            <w:tcW w:w="720" w:type="dxa"/>
            <w:shd w:val="clear" w:color="auto" w:fill="auto"/>
            <w:noWrap/>
            <w:vAlign w:val="center"/>
          </w:tcPr>
          <w:p w14:paraId="793993BB" w14:textId="4F642BA4" w:rsidR="00E9481E" w:rsidRPr="00394EC7" w:rsidRDefault="00E9481E" w:rsidP="00E9481E">
            <w:pPr>
              <w:spacing w:after="0"/>
              <w:jc w:val="center"/>
              <w:rPr>
                <w:rFonts w:eastAsia="Times New Roman" w:cs="Calibri"/>
                <w:color w:val="000000"/>
                <w:sz w:val="16"/>
                <w:szCs w:val="16"/>
              </w:rPr>
            </w:pPr>
            <w:r w:rsidRPr="3990B37A">
              <w:rPr>
                <w:rFonts w:eastAsia="Times New Roman" w:cs="Calibri"/>
                <w:color w:val="000000" w:themeColor="text1"/>
                <w:sz w:val="16"/>
                <w:szCs w:val="16"/>
              </w:rPr>
              <w:t>0.8</w:t>
            </w:r>
          </w:p>
        </w:tc>
        <w:tc>
          <w:tcPr>
            <w:tcW w:w="720" w:type="dxa"/>
            <w:shd w:val="clear" w:color="auto" w:fill="auto"/>
            <w:noWrap/>
            <w:vAlign w:val="center"/>
          </w:tcPr>
          <w:p w14:paraId="693A5042" w14:textId="50EB0D3E" w:rsidR="00E9481E" w:rsidRPr="00394EC7" w:rsidRDefault="00E9481E" w:rsidP="00E9481E">
            <w:pPr>
              <w:spacing w:after="0"/>
              <w:jc w:val="center"/>
              <w:rPr>
                <w:rFonts w:eastAsia="Times New Roman" w:cs="Calibri"/>
                <w:color w:val="000000"/>
                <w:sz w:val="16"/>
                <w:szCs w:val="16"/>
              </w:rPr>
            </w:pPr>
            <w:r w:rsidRPr="3990B37A">
              <w:rPr>
                <w:rFonts w:eastAsia="Times New Roman" w:cs="Calibri"/>
                <w:color w:val="000000" w:themeColor="text1"/>
                <w:sz w:val="16"/>
                <w:szCs w:val="16"/>
              </w:rPr>
              <w:t>0.7</w:t>
            </w:r>
          </w:p>
        </w:tc>
        <w:tc>
          <w:tcPr>
            <w:tcW w:w="720" w:type="dxa"/>
            <w:shd w:val="clear" w:color="auto" w:fill="auto"/>
            <w:noWrap/>
            <w:vAlign w:val="center"/>
          </w:tcPr>
          <w:p w14:paraId="309D2259" w14:textId="6FDC58C5" w:rsidR="00E9481E" w:rsidRPr="00394EC7" w:rsidRDefault="00E9481E" w:rsidP="00E9481E">
            <w:pPr>
              <w:spacing w:after="0"/>
              <w:jc w:val="center"/>
              <w:rPr>
                <w:rFonts w:eastAsia="Times New Roman" w:cs="Calibri"/>
                <w:color w:val="000000"/>
                <w:sz w:val="16"/>
                <w:szCs w:val="16"/>
              </w:rPr>
            </w:pPr>
            <w:r w:rsidRPr="3990B37A">
              <w:rPr>
                <w:rFonts w:eastAsia="Times New Roman" w:cs="Calibri"/>
                <w:color w:val="000000" w:themeColor="text1"/>
                <w:sz w:val="16"/>
                <w:szCs w:val="16"/>
              </w:rPr>
              <w:t>0.7</w:t>
            </w:r>
          </w:p>
        </w:tc>
        <w:tc>
          <w:tcPr>
            <w:tcW w:w="810" w:type="dxa"/>
            <w:shd w:val="clear" w:color="auto" w:fill="auto"/>
            <w:noWrap/>
            <w:vAlign w:val="center"/>
          </w:tcPr>
          <w:p w14:paraId="5D7F01B7" w14:textId="73468329" w:rsidR="00E9481E" w:rsidRPr="00394EC7" w:rsidRDefault="00E9481E" w:rsidP="00E9481E">
            <w:pPr>
              <w:spacing w:after="0"/>
              <w:jc w:val="center"/>
              <w:rPr>
                <w:rFonts w:eastAsia="Times New Roman" w:cs="Calibri"/>
                <w:color w:val="000000"/>
                <w:sz w:val="16"/>
                <w:szCs w:val="16"/>
              </w:rPr>
            </w:pPr>
            <w:r w:rsidRPr="3990B37A">
              <w:rPr>
                <w:rFonts w:eastAsia="Times New Roman" w:cs="Calibri"/>
                <w:color w:val="000000" w:themeColor="text1"/>
                <w:sz w:val="16"/>
                <w:szCs w:val="16"/>
              </w:rPr>
              <w:t>0.5</w:t>
            </w:r>
          </w:p>
        </w:tc>
        <w:tc>
          <w:tcPr>
            <w:tcW w:w="720" w:type="dxa"/>
            <w:shd w:val="clear" w:color="auto" w:fill="auto"/>
            <w:noWrap/>
            <w:vAlign w:val="center"/>
          </w:tcPr>
          <w:p w14:paraId="5DF259B4" w14:textId="7322B700" w:rsidR="00E9481E" w:rsidRPr="00394EC7" w:rsidRDefault="00E9481E" w:rsidP="00E9481E">
            <w:pPr>
              <w:spacing w:after="0"/>
              <w:jc w:val="center"/>
              <w:rPr>
                <w:rFonts w:eastAsia="Times New Roman" w:cs="Calibri"/>
                <w:color w:val="000000"/>
                <w:sz w:val="16"/>
                <w:szCs w:val="16"/>
              </w:rPr>
            </w:pPr>
            <w:r w:rsidRPr="3990B37A">
              <w:rPr>
                <w:rFonts w:eastAsia="Times New Roman" w:cs="Calibri"/>
                <w:color w:val="000000" w:themeColor="text1"/>
                <w:sz w:val="16"/>
                <w:szCs w:val="16"/>
              </w:rPr>
              <w:t>0.7</w:t>
            </w:r>
          </w:p>
        </w:tc>
        <w:tc>
          <w:tcPr>
            <w:tcW w:w="720" w:type="dxa"/>
            <w:shd w:val="clear" w:color="auto" w:fill="auto"/>
            <w:noWrap/>
            <w:vAlign w:val="center"/>
          </w:tcPr>
          <w:p w14:paraId="77E7B096" w14:textId="15D365A0" w:rsidR="00E9481E" w:rsidRPr="00394EC7" w:rsidRDefault="00E9481E" w:rsidP="00E9481E">
            <w:pPr>
              <w:spacing w:after="0"/>
              <w:jc w:val="center"/>
              <w:rPr>
                <w:rFonts w:eastAsia="Times New Roman" w:cs="Calibri"/>
                <w:color w:val="000000"/>
                <w:sz w:val="16"/>
                <w:szCs w:val="16"/>
              </w:rPr>
            </w:pPr>
            <w:r w:rsidRPr="3990B37A">
              <w:rPr>
                <w:rFonts w:eastAsia="Times New Roman" w:cs="Calibri"/>
                <w:color w:val="000000" w:themeColor="text1"/>
                <w:sz w:val="16"/>
                <w:szCs w:val="16"/>
              </w:rPr>
              <w:t>0.5</w:t>
            </w:r>
          </w:p>
        </w:tc>
        <w:tc>
          <w:tcPr>
            <w:tcW w:w="1080" w:type="dxa"/>
            <w:shd w:val="clear" w:color="auto" w:fill="auto"/>
            <w:noWrap/>
            <w:vAlign w:val="center"/>
          </w:tcPr>
          <w:p w14:paraId="3A765DA4" w14:textId="69EE70E2" w:rsidR="00E9481E" w:rsidRPr="00394EC7" w:rsidRDefault="00E9481E" w:rsidP="00E9481E">
            <w:pPr>
              <w:spacing w:after="0"/>
              <w:jc w:val="center"/>
              <w:rPr>
                <w:rFonts w:eastAsia="Times New Roman" w:cs="Calibri"/>
                <w:color w:val="000000"/>
                <w:sz w:val="16"/>
                <w:szCs w:val="16"/>
              </w:rPr>
            </w:pPr>
            <w:r w:rsidRPr="3990B37A">
              <w:rPr>
                <w:rFonts w:eastAsia="Times New Roman" w:cs="Calibri"/>
                <w:color w:val="000000" w:themeColor="text1"/>
                <w:sz w:val="16"/>
                <w:szCs w:val="16"/>
              </w:rPr>
              <w:t>0.5</w:t>
            </w:r>
          </w:p>
        </w:tc>
        <w:tc>
          <w:tcPr>
            <w:tcW w:w="720" w:type="dxa"/>
            <w:shd w:val="clear" w:color="auto" w:fill="auto"/>
            <w:noWrap/>
            <w:vAlign w:val="center"/>
          </w:tcPr>
          <w:p w14:paraId="2F4DFD25" w14:textId="7B6D6C0F" w:rsidR="00E9481E" w:rsidRPr="00394EC7" w:rsidRDefault="00E9481E" w:rsidP="00E9481E">
            <w:pPr>
              <w:spacing w:after="0"/>
              <w:jc w:val="center"/>
              <w:rPr>
                <w:rFonts w:eastAsia="Times New Roman" w:cs="Calibri"/>
                <w:color w:val="000000"/>
                <w:sz w:val="16"/>
                <w:szCs w:val="16"/>
              </w:rPr>
            </w:pPr>
            <w:r w:rsidRPr="3990B37A">
              <w:rPr>
                <w:rFonts w:eastAsia="Times New Roman" w:cs="Calibri"/>
                <w:color w:val="000000" w:themeColor="text1"/>
                <w:sz w:val="16"/>
                <w:szCs w:val="16"/>
              </w:rPr>
              <w:t>1.1</w:t>
            </w:r>
          </w:p>
        </w:tc>
        <w:tc>
          <w:tcPr>
            <w:tcW w:w="810" w:type="dxa"/>
            <w:shd w:val="clear" w:color="auto" w:fill="auto"/>
            <w:noWrap/>
            <w:vAlign w:val="center"/>
          </w:tcPr>
          <w:p w14:paraId="5DF536D4" w14:textId="2FD7731C" w:rsidR="00E9481E" w:rsidRPr="00394EC7" w:rsidRDefault="00E9481E" w:rsidP="00E9481E">
            <w:pPr>
              <w:spacing w:after="0"/>
              <w:jc w:val="center"/>
              <w:rPr>
                <w:rFonts w:eastAsia="Times New Roman" w:cs="Calibri"/>
                <w:color w:val="000000"/>
                <w:sz w:val="18"/>
                <w:szCs w:val="18"/>
              </w:rPr>
            </w:pPr>
            <w:r w:rsidRPr="3990B37A">
              <w:rPr>
                <w:rFonts w:eastAsia="Times New Roman" w:cs="Calibri"/>
                <w:color w:val="000000" w:themeColor="text1"/>
                <w:sz w:val="16"/>
                <w:szCs w:val="16"/>
              </w:rPr>
              <w:t>1.0</w:t>
            </w:r>
          </w:p>
        </w:tc>
        <w:tc>
          <w:tcPr>
            <w:tcW w:w="810" w:type="dxa"/>
            <w:shd w:val="clear" w:color="auto" w:fill="auto"/>
            <w:noWrap/>
            <w:vAlign w:val="center"/>
          </w:tcPr>
          <w:p w14:paraId="23453A4F" w14:textId="7767D628" w:rsidR="00E9481E" w:rsidRPr="00394EC7" w:rsidRDefault="00E9481E" w:rsidP="00E9481E">
            <w:pPr>
              <w:spacing w:after="0"/>
              <w:jc w:val="center"/>
              <w:rPr>
                <w:rFonts w:eastAsia="Times New Roman" w:cs="Calibri"/>
                <w:color w:val="000000"/>
                <w:sz w:val="18"/>
                <w:szCs w:val="18"/>
              </w:rPr>
            </w:pPr>
            <w:r w:rsidRPr="3990B37A">
              <w:rPr>
                <w:rFonts w:eastAsia="Times New Roman" w:cs="Calibri"/>
                <w:color w:val="000000" w:themeColor="text1"/>
                <w:sz w:val="16"/>
                <w:szCs w:val="16"/>
              </w:rPr>
              <w:t>1.0</w:t>
            </w:r>
          </w:p>
        </w:tc>
        <w:tc>
          <w:tcPr>
            <w:tcW w:w="810" w:type="dxa"/>
            <w:shd w:val="clear" w:color="auto" w:fill="auto"/>
            <w:noWrap/>
            <w:vAlign w:val="center"/>
          </w:tcPr>
          <w:p w14:paraId="31DAB3A1" w14:textId="658FA654" w:rsidR="00E9481E" w:rsidRPr="00394EC7" w:rsidRDefault="00E9481E" w:rsidP="00E9481E">
            <w:pPr>
              <w:spacing w:after="0"/>
              <w:jc w:val="center"/>
              <w:rPr>
                <w:rFonts w:eastAsia="Times New Roman" w:cs="Calibri"/>
                <w:color w:val="000000"/>
                <w:sz w:val="18"/>
                <w:szCs w:val="18"/>
              </w:rPr>
            </w:pPr>
            <w:r w:rsidRPr="3990B37A">
              <w:rPr>
                <w:rFonts w:eastAsia="Times New Roman" w:cs="Calibri"/>
                <w:color w:val="000000" w:themeColor="text1"/>
                <w:sz w:val="16"/>
                <w:szCs w:val="16"/>
              </w:rPr>
              <w:t>0.9</w:t>
            </w:r>
          </w:p>
        </w:tc>
        <w:tc>
          <w:tcPr>
            <w:tcW w:w="720" w:type="dxa"/>
            <w:shd w:val="clear" w:color="auto" w:fill="auto"/>
            <w:noWrap/>
            <w:vAlign w:val="center"/>
          </w:tcPr>
          <w:p w14:paraId="2E29F38B" w14:textId="52ECD0A3" w:rsidR="00E9481E" w:rsidRPr="00394EC7" w:rsidRDefault="00E9481E" w:rsidP="00E9481E">
            <w:pPr>
              <w:spacing w:after="0"/>
              <w:jc w:val="center"/>
              <w:rPr>
                <w:rFonts w:eastAsia="Times New Roman" w:cs="Calibri"/>
                <w:color w:val="000000"/>
                <w:sz w:val="18"/>
                <w:szCs w:val="18"/>
              </w:rPr>
            </w:pPr>
            <w:r w:rsidRPr="3990B37A">
              <w:rPr>
                <w:rFonts w:eastAsia="Times New Roman" w:cs="Calibri"/>
                <w:color w:val="000000" w:themeColor="text1"/>
                <w:sz w:val="16"/>
                <w:szCs w:val="16"/>
              </w:rPr>
              <w:t>1.1</w:t>
            </w:r>
          </w:p>
        </w:tc>
        <w:tc>
          <w:tcPr>
            <w:tcW w:w="720" w:type="dxa"/>
            <w:shd w:val="clear" w:color="auto" w:fill="auto"/>
            <w:noWrap/>
            <w:vAlign w:val="center"/>
          </w:tcPr>
          <w:p w14:paraId="1A70DCFC" w14:textId="620CDB2C" w:rsidR="00E9481E" w:rsidRPr="004C6B11" w:rsidRDefault="442B4B9D" w:rsidP="00E9481E">
            <w:pPr>
              <w:spacing w:after="0"/>
              <w:jc w:val="center"/>
              <w:rPr>
                <w:rFonts w:eastAsia="Times New Roman" w:cs="Calibri"/>
                <w:color w:val="000000"/>
                <w:sz w:val="16"/>
                <w:szCs w:val="16"/>
              </w:rPr>
            </w:pPr>
            <w:r w:rsidRPr="004C6B11">
              <w:rPr>
                <w:rFonts w:eastAsia="Times New Roman" w:cs="Calibri"/>
                <w:color w:val="000000" w:themeColor="text1"/>
                <w:sz w:val="16"/>
                <w:szCs w:val="16"/>
              </w:rPr>
              <w:t>1.2</w:t>
            </w:r>
          </w:p>
        </w:tc>
        <w:tc>
          <w:tcPr>
            <w:tcW w:w="990" w:type="dxa"/>
            <w:shd w:val="clear" w:color="auto" w:fill="auto"/>
            <w:noWrap/>
            <w:vAlign w:val="center"/>
          </w:tcPr>
          <w:p w14:paraId="76DA7FF1" w14:textId="22411EA6" w:rsidR="00E9481E" w:rsidRPr="004C6B11" w:rsidRDefault="442B4B9D" w:rsidP="00E9481E">
            <w:pPr>
              <w:spacing w:after="0"/>
              <w:jc w:val="center"/>
              <w:rPr>
                <w:rFonts w:eastAsia="Times New Roman" w:cs="Calibri"/>
                <w:color w:val="000000"/>
                <w:sz w:val="16"/>
                <w:szCs w:val="16"/>
              </w:rPr>
            </w:pPr>
            <w:r w:rsidRPr="004C6B11">
              <w:rPr>
                <w:rFonts w:eastAsia="Times New Roman" w:cs="Calibri"/>
                <w:color w:val="000000" w:themeColor="text1"/>
                <w:sz w:val="16"/>
                <w:szCs w:val="16"/>
              </w:rPr>
              <w:t>1.2</w:t>
            </w:r>
          </w:p>
        </w:tc>
        <w:tc>
          <w:tcPr>
            <w:tcW w:w="720" w:type="dxa"/>
            <w:shd w:val="clear" w:color="auto" w:fill="auto"/>
            <w:noWrap/>
            <w:vAlign w:val="center"/>
          </w:tcPr>
          <w:p w14:paraId="376B3CEF" w14:textId="37417CDA" w:rsidR="00E9481E" w:rsidRPr="004C6B11" w:rsidRDefault="442B4B9D" w:rsidP="00E9481E">
            <w:pPr>
              <w:spacing w:after="0"/>
              <w:jc w:val="center"/>
              <w:rPr>
                <w:rFonts w:eastAsia="Times New Roman" w:cs="Calibri"/>
                <w:color w:val="000000"/>
                <w:sz w:val="16"/>
                <w:szCs w:val="16"/>
              </w:rPr>
            </w:pPr>
            <w:r w:rsidRPr="004C6B11">
              <w:rPr>
                <w:rFonts w:eastAsia="Times New Roman" w:cs="Calibri"/>
                <w:color w:val="000000" w:themeColor="text1"/>
                <w:sz w:val="16"/>
                <w:szCs w:val="16"/>
              </w:rPr>
              <w:t>0.7</w:t>
            </w:r>
          </w:p>
        </w:tc>
        <w:tc>
          <w:tcPr>
            <w:tcW w:w="720" w:type="dxa"/>
            <w:shd w:val="clear" w:color="auto" w:fill="auto"/>
            <w:noWrap/>
            <w:vAlign w:val="center"/>
          </w:tcPr>
          <w:p w14:paraId="280D6462" w14:textId="40BC2A32" w:rsidR="00E9481E" w:rsidRPr="004C6B11" w:rsidRDefault="009F0B6A" w:rsidP="00E9481E">
            <w:pPr>
              <w:spacing w:after="0"/>
              <w:jc w:val="center"/>
              <w:rPr>
                <w:rFonts w:eastAsia="Times New Roman" w:cs="Calibri"/>
                <w:color w:val="000000"/>
                <w:sz w:val="16"/>
                <w:szCs w:val="16"/>
              </w:rPr>
            </w:pPr>
            <w:r w:rsidRPr="004C6B11">
              <w:rPr>
                <w:rFonts w:eastAsia="Times New Roman" w:cs="Calibri"/>
                <w:color w:val="000000"/>
                <w:sz w:val="16"/>
                <w:szCs w:val="16"/>
              </w:rPr>
              <w:t>0.</w:t>
            </w:r>
            <w:r w:rsidR="00744194" w:rsidRPr="004C6B11">
              <w:rPr>
                <w:rFonts w:eastAsia="Times New Roman" w:cs="Calibri"/>
                <w:color w:val="000000"/>
                <w:sz w:val="16"/>
                <w:szCs w:val="16"/>
              </w:rPr>
              <w:t>8</w:t>
            </w:r>
          </w:p>
        </w:tc>
        <w:tc>
          <w:tcPr>
            <w:tcW w:w="720" w:type="dxa"/>
            <w:shd w:val="clear" w:color="auto" w:fill="auto"/>
            <w:noWrap/>
            <w:vAlign w:val="center"/>
          </w:tcPr>
          <w:p w14:paraId="24D0C8FD" w14:textId="2AD42134" w:rsidR="00E9481E" w:rsidRPr="00FB1B0C" w:rsidRDefault="00951579" w:rsidP="00E9481E">
            <w:pPr>
              <w:spacing w:after="0"/>
              <w:jc w:val="center"/>
              <w:rPr>
                <w:rFonts w:eastAsia="Times New Roman" w:cs="Calibri"/>
                <w:color w:val="000000" w:themeColor="text1"/>
                <w:sz w:val="16"/>
                <w:szCs w:val="16"/>
              </w:rPr>
            </w:pPr>
            <w:r w:rsidRPr="00FB1B0C">
              <w:rPr>
                <w:rFonts w:eastAsia="Times New Roman" w:cs="Calibri"/>
                <w:color w:val="000000" w:themeColor="text1"/>
                <w:sz w:val="16"/>
                <w:szCs w:val="16"/>
              </w:rPr>
              <w:t>1.1</w:t>
            </w:r>
            <w:r w:rsidR="4B2E4A8B" w:rsidRPr="00FB1B0C">
              <w:rPr>
                <w:rFonts w:eastAsia="Times New Roman" w:cs="Calibri"/>
                <w:color w:val="000000" w:themeColor="text1"/>
                <w:sz w:val="16"/>
                <w:szCs w:val="16"/>
              </w:rPr>
              <w:t xml:space="preserve">    </w:t>
            </w:r>
          </w:p>
        </w:tc>
        <w:tc>
          <w:tcPr>
            <w:tcW w:w="720" w:type="dxa"/>
            <w:shd w:val="clear" w:color="auto" w:fill="auto"/>
            <w:noWrap/>
            <w:vAlign w:val="center"/>
          </w:tcPr>
          <w:p w14:paraId="78BB4D07" w14:textId="2059C979" w:rsidR="00E9481E" w:rsidRPr="00FB1B0C" w:rsidRDefault="00FB1B0C" w:rsidP="00E9481E">
            <w:pPr>
              <w:spacing w:after="0"/>
              <w:jc w:val="center"/>
              <w:rPr>
                <w:rFonts w:eastAsia="Times New Roman" w:cs="Calibri"/>
                <w:color w:val="000000" w:themeColor="text1"/>
                <w:sz w:val="16"/>
                <w:szCs w:val="16"/>
              </w:rPr>
            </w:pPr>
            <w:r w:rsidRPr="00FB1B0C">
              <w:rPr>
                <w:rFonts w:eastAsia="Times New Roman" w:cs="Calibri"/>
                <w:color w:val="000000" w:themeColor="text1"/>
                <w:sz w:val="16"/>
                <w:szCs w:val="16"/>
              </w:rPr>
              <w:t>0.5</w:t>
            </w:r>
            <w:r w:rsidR="4B2E4A8B" w:rsidRPr="00FB1B0C">
              <w:rPr>
                <w:rFonts w:eastAsia="Times New Roman" w:cs="Calibri"/>
                <w:color w:val="000000" w:themeColor="text1"/>
                <w:sz w:val="16"/>
                <w:szCs w:val="16"/>
              </w:rPr>
              <w:t xml:space="preserve">  </w:t>
            </w:r>
          </w:p>
        </w:tc>
      </w:tr>
      <w:tr w:rsidR="00E9481E" w14:paraId="326D7D79" w14:textId="77777777" w:rsidTr="44871088">
        <w:trPr>
          <w:trHeight w:val="290"/>
        </w:trPr>
        <w:tc>
          <w:tcPr>
            <w:tcW w:w="810" w:type="dxa"/>
            <w:shd w:val="clear" w:color="auto" w:fill="F2F2F2" w:themeFill="background1" w:themeFillShade="F2"/>
            <w:noWrap/>
            <w:hideMark/>
          </w:tcPr>
          <w:p w14:paraId="07034F75" w14:textId="77777777" w:rsidR="00E9481E" w:rsidRPr="008D1B70" w:rsidRDefault="00E9481E" w:rsidP="00E9481E">
            <w:pPr>
              <w:spacing w:after="0"/>
              <w:jc w:val="center"/>
              <w:rPr>
                <w:rFonts w:eastAsia="Times New Roman" w:cs="Calibri"/>
                <w:sz w:val="16"/>
                <w:szCs w:val="16"/>
              </w:rPr>
            </w:pPr>
            <w:r w:rsidRPr="008D1B70">
              <w:rPr>
                <w:rFonts w:eastAsia="Times New Roman" w:cs="Calibri"/>
                <w:sz w:val="16"/>
                <w:szCs w:val="16"/>
              </w:rPr>
              <w:t>EOHHS </w:t>
            </w:r>
          </w:p>
        </w:tc>
        <w:tc>
          <w:tcPr>
            <w:tcW w:w="2880" w:type="dxa"/>
            <w:shd w:val="clear" w:color="auto" w:fill="F2F2F2" w:themeFill="background1" w:themeFillShade="F2"/>
            <w:hideMark/>
          </w:tcPr>
          <w:p w14:paraId="250BE338" w14:textId="77777777" w:rsidR="00E9481E" w:rsidRPr="00884DD7" w:rsidRDefault="00E9481E" w:rsidP="00E9481E">
            <w:pPr>
              <w:spacing w:after="0"/>
              <w:rPr>
                <w:rFonts w:eastAsia="Times New Roman" w:cs="Calibri"/>
                <w:sz w:val="16"/>
                <w:szCs w:val="16"/>
              </w:rPr>
            </w:pPr>
            <w:r w:rsidRPr="00884DD7">
              <w:rPr>
                <w:rFonts w:eastAsia="Times New Roman" w:cs="Calibri"/>
                <w:sz w:val="16"/>
                <w:szCs w:val="16"/>
              </w:rPr>
              <w:t>Community Tenure - LTSS (non-BSP) Risk adjusted O/E ratio</w:t>
            </w:r>
          </w:p>
        </w:tc>
        <w:tc>
          <w:tcPr>
            <w:tcW w:w="810" w:type="dxa"/>
            <w:shd w:val="clear" w:color="auto" w:fill="F2F2F2" w:themeFill="background1" w:themeFillShade="F2"/>
            <w:noWrap/>
            <w:vAlign w:val="center"/>
          </w:tcPr>
          <w:p w14:paraId="54189929" w14:textId="49C722D2" w:rsidR="00E9481E" w:rsidRPr="00394EC7" w:rsidRDefault="007571C4" w:rsidP="00E9481E">
            <w:pPr>
              <w:spacing w:after="0"/>
              <w:jc w:val="center"/>
              <w:rPr>
                <w:rFonts w:eastAsia="Times New Roman" w:cs="Calibri"/>
                <w:color w:val="000000"/>
                <w:sz w:val="16"/>
                <w:szCs w:val="16"/>
              </w:rPr>
            </w:pPr>
            <w:r>
              <w:rPr>
                <w:rFonts w:eastAsia="Times New Roman" w:cs="Calibri"/>
                <w:color w:val="000000"/>
                <w:sz w:val="16"/>
                <w:szCs w:val="16"/>
              </w:rPr>
              <w:t>1.1</w:t>
            </w:r>
          </w:p>
        </w:tc>
        <w:tc>
          <w:tcPr>
            <w:tcW w:w="720" w:type="dxa"/>
            <w:shd w:val="clear" w:color="auto" w:fill="F2F2F2" w:themeFill="background1" w:themeFillShade="F2"/>
            <w:noWrap/>
            <w:vAlign w:val="center"/>
          </w:tcPr>
          <w:p w14:paraId="4EB88E1D" w14:textId="778FBFE8" w:rsidR="00E9481E" w:rsidRPr="00394EC7" w:rsidRDefault="00E9481E" w:rsidP="00E9481E">
            <w:pPr>
              <w:spacing w:after="0"/>
              <w:jc w:val="center"/>
              <w:rPr>
                <w:rFonts w:eastAsia="Times New Roman" w:cs="Calibri"/>
                <w:color w:val="000000"/>
                <w:sz w:val="18"/>
                <w:szCs w:val="18"/>
              </w:rPr>
            </w:pPr>
            <w:r w:rsidRPr="3990B37A">
              <w:rPr>
                <w:rFonts w:eastAsia="Times New Roman" w:cs="Calibri"/>
                <w:color w:val="000000" w:themeColor="text1"/>
                <w:sz w:val="16"/>
                <w:szCs w:val="16"/>
              </w:rPr>
              <w:t>0.8</w:t>
            </w:r>
          </w:p>
        </w:tc>
        <w:tc>
          <w:tcPr>
            <w:tcW w:w="720" w:type="dxa"/>
            <w:shd w:val="clear" w:color="auto" w:fill="F2F2F2" w:themeFill="background1" w:themeFillShade="F2"/>
            <w:noWrap/>
            <w:vAlign w:val="center"/>
          </w:tcPr>
          <w:p w14:paraId="1930CEAC" w14:textId="60C21D84" w:rsidR="00E9481E" w:rsidRPr="00394EC7" w:rsidRDefault="00E9481E" w:rsidP="00E9481E">
            <w:pPr>
              <w:spacing w:after="0"/>
              <w:jc w:val="center"/>
              <w:rPr>
                <w:rFonts w:eastAsia="Times New Roman" w:cs="Calibri"/>
                <w:color w:val="000000"/>
                <w:sz w:val="18"/>
                <w:szCs w:val="18"/>
              </w:rPr>
            </w:pPr>
            <w:r w:rsidRPr="3990B37A">
              <w:rPr>
                <w:rFonts w:eastAsia="Times New Roman" w:cs="Calibri"/>
                <w:color w:val="000000" w:themeColor="text1"/>
                <w:sz w:val="16"/>
                <w:szCs w:val="16"/>
              </w:rPr>
              <w:t>0.5</w:t>
            </w:r>
          </w:p>
        </w:tc>
        <w:tc>
          <w:tcPr>
            <w:tcW w:w="720" w:type="dxa"/>
            <w:shd w:val="clear" w:color="auto" w:fill="F2F2F2" w:themeFill="background1" w:themeFillShade="F2"/>
            <w:noWrap/>
            <w:vAlign w:val="center"/>
          </w:tcPr>
          <w:p w14:paraId="007551B0" w14:textId="11F34312" w:rsidR="00E9481E" w:rsidRPr="00394EC7" w:rsidRDefault="00E9481E" w:rsidP="00E9481E">
            <w:pPr>
              <w:spacing w:after="0"/>
              <w:jc w:val="center"/>
              <w:rPr>
                <w:rFonts w:eastAsia="Times New Roman" w:cs="Calibri"/>
                <w:color w:val="000000"/>
                <w:sz w:val="18"/>
                <w:szCs w:val="18"/>
              </w:rPr>
            </w:pPr>
            <w:r w:rsidRPr="3990B37A">
              <w:rPr>
                <w:rFonts w:eastAsia="Times New Roman" w:cs="Calibri"/>
                <w:color w:val="000000" w:themeColor="text1"/>
                <w:sz w:val="16"/>
                <w:szCs w:val="16"/>
              </w:rPr>
              <w:t>1.0</w:t>
            </w:r>
          </w:p>
        </w:tc>
        <w:tc>
          <w:tcPr>
            <w:tcW w:w="720" w:type="dxa"/>
            <w:shd w:val="clear" w:color="auto" w:fill="F2F2F2" w:themeFill="background1" w:themeFillShade="F2"/>
            <w:noWrap/>
            <w:vAlign w:val="center"/>
          </w:tcPr>
          <w:p w14:paraId="2FCB7F11" w14:textId="3C60D584" w:rsidR="00E9481E" w:rsidRPr="00394EC7" w:rsidRDefault="00E9481E" w:rsidP="00E9481E">
            <w:pPr>
              <w:spacing w:after="0"/>
              <w:jc w:val="center"/>
              <w:rPr>
                <w:rFonts w:eastAsia="Times New Roman" w:cs="Calibri"/>
                <w:color w:val="000000"/>
                <w:sz w:val="18"/>
                <w:szCs w:val="18"/>
              </w:rPr>
            </w:pPr>
            <w:r w:rsidRPr="3990B37A">
              <w:rPr>
                <w:rFonts w:eastAsia="Times New Roman" w:cs="Calibri"/>
                <w:color w:val="000000" w:themeColor="text1"/>
                <w:sz w:val="16"/>
                <w:szCs w:val="16"/>
              </w:rPr>
              <w:t>0.8</w:t>
            </w:r>
          </w:p>
        </w:tc>
        <w:tc>
          <w:tcPr>
            <w:tcW w:w="720" w:type="dxa"/>
            <w:shd w:val="clear" w:color="auto" w:fill="F2F2F2" w:themeFill="background1" w:themeFillShade="F2"/>
            <w:noWrap/>
            <w:vAlign w:val="center"/>
          </w:tcPr>
          <w:p w14:paraId="2CD67683" w14:textId="69EC09D5" w:rsidR="00E9481E" w:rsidRPr="00394EC7" w:rsidRDefault="00E9481E" w:rsidP="00E9481E">
            <w:pPr>
              <w:spacing w:after="0"/>
              <w:jc w:val="center"/>
              <w:rPr>
                <w:rFonts w:eastAsia="Times New Roman" w:cs="Calibri"/>
                <w:color w:val="000000"/>
                <w:sz w:val="18"/>
                <w:szCs w:val="18"/>
              </w:rPr>
            </w:pPr>
            <w:r w:rsidRPr="3990B37A">
              <w:rPr>
                <w:rFonts w:eastAsia="Times New Roman" w:cs="Calibri"/>
                <w:color w:val="000000" w:themeColor="text1"/>
                <w:sz w:val="16"/>
                <w:szCs w:val="16"/>
              </w:rPr>
              <w:t>1.3</w:t>
            </w:r>
          </w:p>
        </w:tc>
        <w:tc>
          <w:tcPr>
            <w:tcW w:w="810" w:type="dxa"/>
            <w:shd w:val="clear" w:color="auto" w:fill="F2F2F2" w:themeFill="background1" w:themeFillShade="F2"/>
            <w:noWrap/>
            <w:vAlign w:val="center"/>
          </w:tcPr>
          <w:p w14:paraId="3A8D3B92" w14:textId="1F422B43" w:rsidR="00E9481E" w:rsidRPr="00394EC7" w:rsidRDefault="00E9481E" w:rsidP="00E9481E">
            <w:pPr>
              <w:spacing w:after="0"/>
              <w:jc w:val="center"/>
              <w:rPr>
                <w:rFonts w:eastAsia="Times New Roman" w:cs="Calibri"/>
                <w:color w:val="000000"/>
                <w:sz w:val="18"/>
                <w:szCs w:val="18"/>
              </w:rPr>
            </w:pPr>
            <w:r w:rsidRPr="3990B37A">
              <w:rPr>
                <w:rFonts w:eastAsia="Times New Roman" w:cs="Calibri"/>
                <w:color w:val="000000" w:themeColor="text1"/>
                <w:sz w:val="16"/>
                <w:szCs w:val="16"/>
              </w:rPr>
              <w:t>0.7</w:t>
            </w:r>
          </w:p>
        </w:tc>
        <w:tc>
          <w:tcPr>
            <w:tcW w:w="720" w:type="dxa"/>
            <w:shd w:val="clear" w:color="auto" w:fill="F2F2F2" w:themeFill="background1" w:themeFillShade="F2"/>
            <w:noWrap/>
            <w:vAlign w:val="center"/>
          </w:tcPr>
          <w:p w14:paraId="5733262B" w14:textId="48827EFC" w:rsidR="00E9481E" w:rsidRPr="00394EC7" w:rsidRDefault="00E9481E" w:rsidP="00E9481E">
            <w:pPr>
              <w:spacing w:after="0"/>
              <w:jc w:val="center"/>
              <w:rPr>
                <w:rFonts w:eastAsia="Times New Roman" w:cs="Calibri"/>
                <w:color w:val="000000"/>
                <w:sz w:val="18"/>
                <w:szCs w:val="18"/>
              </w:rPr>
            </w:pPr>
            <w:r w:rsidRPr="3990B37A">
              <w:rPr>
                <w:rFonts w:eastAsia="Times New Roman" w:cs="Calibri"/>
                <w:color w:val="000000" w:themeColor="text1"/>
                <w:sz w:val="16"/>
                <w:szCs w:val="16"/>
              </w:rPr>
              <w:t>1.2</w:t>
            </w:r>
          </w:p>
        </w:tc>
        <w:tc>
          <w:tcPr>
            <w:tcW w:w="720" w:type="dxa"/>
            <w:shd w:val="clear" w:color="auto" w:fill="F2F2F2" w:themeFill="background1" w:themeFillShade="F2"/>
            <w:noWrap/>
            <w:vAlign w:val="center"/>
          </w:tcPr>
          <w:p w14:paraId="604C24C6" w14:textId="514E54A0" w:rsidR="00E9481E" w:rsidRPr="00394EC7" w:rsidRDefault="00E9481E" w:rsidP="00E9481E">
            <w:pPr>
              <w:spacing w:after="0"/>
              <w:jc w:val="center"/>
              <w:rPr>
                <w:rFonts w:eastAsia="Times New Roman" w:cs="Calibri"/>
                <w:color w:val="000000"/>
                <w:sz w:val="18"/>
                <w:szCs w:val="18"/>
              </w:rPr>
            </w:pPr>
            <w:r w:rsidRPr="3990B37A">
              <w:rPr>
                <w:rFonts w:eastAsia="Times New Roman" w:cs="Calibri"/>
                <w:color w:val="000000" w:themeColor="text1"/>
                <w:sz w:val="16"/>
                <w:szCs w:val="16"/>
              </w:rPr>
              <w:t>1.1</w:t>
            </w:r>
          </w:p>
        </w:tc>
        <w:tc>
          <w:tcPr>
            <w:tcW w:w="1080" w:type="dxa"/>
            <w:shd w:val="clear" w:color="auto" w:fill="F2F2F2" w:themeFill="background1" w:themeFillShade="F2"/>
            <w:noWrap/>
            <w:vAlign w:val="center"/>
          </w:tcPr>
          <w:p w14:paraId="642BA202" w14:textId="4511581D" w:rsidR="00E9481E" w:rsidRPr="00394EC7" w:rsidRDefault="00E9481E" w:rsidP="00E9481E">
            <w:pPr>
              <w:spacing w:after="0"/>
              <w:jc w:val="center"/>
              <w:rPr>
                <w:rFonts w:eastAsia="Times New Roman" w:cs="Calibri"/>
                <w:color w:val="000000"/>
                <w:sz w:val="18"/>
                <w:szCs w:val="18"/>
              </w:rPr>
            </w:pPr>
            <w:r w:rsidRPr="3990B37A">
              <w:rPr>
                <w:rFonts w:eastAsia="Times New Roman" w:cs="Calibri"/>
                <w:color w:val="000000" w:themeColor="text1"/>
                <w:sz w:val="16"/>
                <w:szCs w:val="16"/>
              </w:rPr>
              <w:t>0.9</w:t>
            </w:r>
          </w:p>
        </w:tc>
        <w:tc>
          <w:tcPr>
            <w:tcW w:w="720" w:type="dxa"/>
            <w:shd w:val="clear" w:color="auto" w:fill="F2F2F2" w:themeFill="background1" w:themeFillShade="F2"/>
            <w:noWrap/>
            <w:vAlign w:val="center"/>
          </w:tcPr>
          <w:p w14:paraId="78F31E02" w14:textId="456E3025" w:rsidR="00E9481E" w:rsidRPr="00394EC7" w:rsidRDefault="00E9481E" w:rsidP="00E9481E">
            <w:pPr>
              <w:spacing w:after="0"/>
              <w:jc w:val="center"/>
              <w:rPr>
                <w:rFonts w:eastAsia="Times New Roman" w:cs="Calibri"/>
                <w:color w:val="000000"/>
                <w:sz w:val="18"/>
                <w:szCs w:val="18"/>
              </w:rPr>
            </w:pPr>
            <w:r w:rsidRPr="3990B37A">
              <w:rPr>
                <w:rFonts w:eastAsia="Times New Roman" w:cs="Calibri"/>
                <w:color w:val="000000" w:themeColor="text1"/>
                <w:sz w:val="16"/>
                <w:szCs w:val="16"/>
              </w:rPr>
              <w:t>1.4</w:t>
            </w:r>
          </w:p>
        </w:tc>
        <w:tc>
          <w:tcPr>
            <w:tcW w:w="810" w:type="dxa"/>
            <w:shd w:val="clear" w:color="auto" w:fill="F2F2F2" w:themeFill="background1" w:themeFillShade="F2"/>
            <w:noWrap/>
            <w:vAlign w:val="center"/>
          </w:tcPr>
          <w:p w14:paraId="21D33986" w14:textId="2F39CC97" w:rsidR="00E9481E" w:rsidRPr="00394EC7" w:rsidRDefault="00E9481E" w:rsidP="00E9481E">
            <w:pPr>
              <w:spacing w:after="0"/>
              <w:jc w:val="center"/>
              <w:rPr>
                <w:rFonts w:eastAsia="Times New Roman" w:cs="Calibri"/>
                <w:color w:val="000000"/>
                <w:sz w:val="18"/>
                <w:szCs w:val="18"/>
              </w:rPr>
            </w:pPr>
            <w:r w:rsidRPr="3990B37A">
              <w:rPr>
                <w:rFonts w:eastAsia="Times New Roman" w:cs="Calibri"/>
                <w:color w:val="000000" w:themeColor="text1"/>
                <w:sz w:val="16"/>
                <w:szCs w:val="16"/>
              </w:rPr>
              <w:t>1.0</w:t>
            </w:r>
          </w:p>
        </w:tc>
        <w:tc>
          <w:tcPr>
            <w:tcW w:w="810" w:type="dxa"/>
            <w:shd w:val="clear" w:color="auto" w:fill="F2F2F2" w:themeFill="background1" w:themeFillShade="F2"/>
            <w:noWrap/>
            <w:vAlign w:val="center"/>
          </w:tcPr>
          <w:p w14:paraId="3F529AD4" w14:textId="576A8BD4" w:rsidR="00E9481E" w:rsidRPr="00394EC7" w:rsidRDefault="00E9481E" w:rsidP="00E9481E">
            <w:pPr>
              <w:spacing w:after="0"/>
              <w:jc w:val="center"/>
              <w:rPr>
                <w:rFonts w:eastAsia="Times New Roman" w:cs="Calibri"/>
                <w:color w:val="000000"/>
                <w:sz w:val="18"/>
                <w:szCs w:val="18"/>
              </w:rPr>
            </w:pPr>
            <w:r w:rsidRPr="3990B37A">
              <w:rPr>
                <w:rFonts w:eastAsia="Times New Roman" w:cs="Calibri"/>
                <w:color w:val="000000" w:themeColor="text1"/>
                <w:sz w:val="16"/>
                <w:szCs w:val="16"/>
              </w:rPr>
              <w:t>1.2</w:t>
            </w:r>
          </w:p>
        </w:tc>
        <w:tc>
          <w:tcPr>
            <w:tcW w:w="810" w:type="dxa"/>
            <w:shd w:val="clear" w:color="auto" w:fill="F2F2F2" w:themeFill="background1" w:themeFillShade="F2"/>
            <w:noWrap/>
            <w:vAlign w:val="center"/>
          </w:tcPr>
          <w:p w14:paraId="5F0A85FD" w14:textId="2D832F17" w:rsidR="00E9481E" w:rsidRPr="00394EC7" w:rsidRDefault="00E9481E" w:rsidP="00E9481E">
            <w:pPr>
              <w:spacing w:after="0"/>
              <w:jc w:val="center"/>
              <w:rPr>
                <w:rFonts w:eastAsia="Times New Roman" w:cs="Calibri"/>
                <w:color w:val="000000"/>
                <w:sz w:val="18"/>
                <w:szCs w:val="18"/>
              </w:rPr>
            </w:pPr>
            <w:r w:rsidRPr="3990B37A">
              <w:rPr>
                <w:rFonts w:eastAsia="Times New Roman" w:cs="Calibri"/>
                <w:color w:val="000000" w:themeColor="text1"/>
                <w:sz w:val="16"/>
                <w:szCs w:val="16"/>
              </w:rPr>
              <w:t>1.0</w:t>
            </w:r>
          </w:p>
        </w:tc>
        <w:tc>
          <w:tcPr>
            <w:tcW w:w="720" w:type="dxa"/>
            <w:shd w:val="clear" w:color="auto" w:fill="F2F2F2" w:themeFill="background1" w:themeFillShade="F2"/>
            <w:noWrap/>
            <w:vAlign w:val="center"/>
          </w:tcPr>
          <w:p w14:paraId="31C325FC" w14:textId="1CB24E7D" w:rsidR="00E9481E" w:rsidRPr="00394EC7" w:rsidRDefault="00E9481E" w:rsidP="00E9481E">
            <w:pPr>
              <w:spacing w:after="0"/>
              <w:jc w:val="center"/>
              <w:rPr>
                <w:rFonts w:eastAsia="Times New Roman" w:cs="Calibri"/>
                <w:color w:val="000000"/>
                <w:sz w:val="18"/>
                <w:szCs w:val="18"/>
              </w:rPr>
            </w:pPr>
            <w:r w:rsidRPr="3990B37A">
              <w:rPr>
                <w:rFonts w:eastAsia="Times New Roman" w:cs="Calibri"/>
                <w:color w:val="000000" w:themeColor="text1"/>
                <w:sz w:val="16"/>
                <w:szCs w:val="16"/>
              </w:rPr>
              <w:t>1.9</w:t>
            </w:r>
          </w:p>
        </w:tc>
        <w:tc>
          <w:tcPr>
            <w:tcW w:w="720" w:type="dxa"/>
            <w:shd w:val="clear" w:color="auto" w:fill="F2F2F2" w:themeFill="background1" w:themeFillShade="F2"/>
            <w:noWrap/>
            <w:vAlign w:val="center"/>
          </w:tcPr>
          <w:p w14:paraId="2694FDAE" w14:textId="7F79CFAC" w:rsidR="00E9481E" w:rsidRPr="007571C4" w:rsidRDefault="7E9EDB4F" w:rsidP="00E9481E">
            <w:pPr>
              <w:spacing w:after="0"/>
              <w:jc w:val="center"/>
              <w:rPr>
                <w:rFonts w:eastAsia="Times New Roman" w:cs="Calibri"/>
                <w:color w:val="000000"/>
                <w:sz w:val="16"/>
                <w:szCs w:val="16"/>
              </w:rPr>
            </w:pPr>
            <w:r w:rsidRPr="007571C4">
              <w:rPr>
                <w:rFonts w:eastAsia="Times New Roman" w:cs="Calibri"/>
                <w:color w:val="000000" w:themeColor="text1"/>
                <w:sz w:val="16"/>
                <w:szCs w:val="16"/>
              </w:rPr>
              <w:t>1.6</w:t>
            </w:r>
          </w:p>
        </w:tc>
        <w:tc>
          <w:tcPr>
            <w:tcW w:w="990" w:type="dxa"/>
            <w:shd w:val="clear" w:color="auto" w:fill="F2F2F2" w:themeFill="background1" w:themeFillShade="F2"/>
            <w:noWrap/>
            <w:vAlign w:val="center"/>
          </w:tcPr>
          <w:p w14:paraId="3CD4BA7A" w14:textId="7F20F783" w:rsidR="00E9481E" w:rsidRPr="007571C4" w:rsidRDefault="7E9EDB4F" w:rsidP="00E9481E">
            <w:pPr>
              <w:spacing w:after="0"/>
              <w:jc w:val="center"/>
              <w:rPr>
                <w:rFonts w:eastAsia="Times New Roman" w:cs="Calibri"/>
                <w:color w:val="000000"/>
                <w:sz w:val="16"/>
                <w:szCs w:val="16"/>
              </w:rPr>
            </w:pPr>
            <w:r w:rsidRPr="007571C4">
              <w:rPr>
                <w:rFonts w:eastAsia="Times New Roman" w:cs="Calibri"/>
                <w:color w:val="000000" w:themeColor="text1"/>
                <w:sz w:val="16"/>
                <w:szCs w:val="16"/>
              </w:rPr>
              <w:t>1.7</w:t>
            </w:r>
          </w:p>
        </w:tc>
        <w:tc>
          <w:tcPr>
            <w:tcW w:w="720" w:type="dxa"/>
            <w:shd w:val="clear" w:color="auto" w:fill="F2F2F2" w:themeFill="background1" w:themeFillShade="F2"/>
            <w:noWrap/>
            <w:vAlign w:val="center"/>
          </w:tcPr>
          <w:p w14:paraId="4802B1FC" w14:textId="2EC44A83" w:rsidR="00E9481E" w:rsidRPr="007571C4" w:rsidRDefault="7E9EDB4F" w:rsidP="00E9481E">
            <w:pPr>
              <w:spacing w:after="0"/>
              <w:jc w:val="center"/>
              <w:rPr>
                <w:rFonts w:eastAsia="Times New Roman" w:cs="Calibri"/>
                <w:color w:val="000000"/>
                <w:sz w:val="16"/>
                <w:szCs w:val="16"/>
              </w:rPr>
            </w:pPr>
            <w:r w:rsidRPr="007571C4">
              <w:rPr>
                <w:rFonts w:eastAsia="Times New Roman" w:cs="Calibri"/>
                <w:color w:val="000000" w:themeColor="text1"/>
                <w:sz w:val="16"/>
                <w:szCs w:val="16"/>
              </w:rPr>
              <w:t>1.1</w:t>
            </w:r>
          </w:p>
        </w:tc>
        <w:tc>
          <w:tcPr>
            <w:tcW w:w="720" w:type="dxa"/>
            <w:shd w:val="clear" w:color="auto" w:fill="F2F2F2" w:themeFill="background1" w:themeFillShade="F2"/>
            <w:noWrap/>
            <w:vAlign w:val="center"/>
          </w:tcPr>
          <w:p w14:paraId="2A72FE52" w14:textId="769D049C" w:rsidR="00E9481E" w:rsidRPr="00394EC7" w:rsidRDefault="0052061D" w:rsidP="00E9481E">
            <w:pPr>
              <w:spacing w:after="0"/>
              <w:jc w:val="center"/>
              <w:rPr>
                <w:rFonts w:eastAsia="Times New Roman" w:cs="Calibri"/>
                <w:color w:val="000000"/>
                <w:sz w:val="16"/>
                <w:szCs w:val="16"/>
              </w:rPr>
            </w:pPr>
            <w:r>
              <w:rPr>
                <w:rFonts w:eastAsia="Times New Roman" w:cs="Calibri"/>
                <w:color w:val="000000"/>
                <w:sz w:val="16"/>
                <w:szCs w:val="16"/>
              </w:rPr>
              <w:t>0.9</w:t>
            </w:r>
          </w:p>
        </w:tc>
        <w:tc>
          <w:tcPr>
            <w:tcW w:w="720" w:type="dxa"/>
            <w:shd w:val="clear" w:color="auto" w:fill="F2F2F2" w:themeFill="background1" w:themeFillShade="F2"/>
            <w:noWrap/>
            <w:vAlign w:val="center"/>
          </w:tcPr>
          <w:p w14:paraId="1893473D" w14:textId="3930287F" w:rsidR="00E9481E" w:rsidRPr="0052061D" w:rsidRDefault="0052061D" w:rsidP="00E9481E">
            <w:pPr>
              <w:spacing w:after="0"/>
              <w:jc w:val="center"/>
              <w:rPr>
                <w:rFonts w:eastAsia="Times New Roman" w:cs="Calibri"/>
                <w:color w:val="000000" w:themeColor="text1"/>
                <w:sz w:val="16"/>
                <w:szCs w:val="16"/>
              </w:rPr>
            </w:pPr>
            <w:r w:rsidRPr="0052061D">
              <w:rPr>
                <w:rFonts w:eastAsia="Times New Roman" w:cs="Calibri"/>
                <w:color w:val="000000" w:themeColor="text1"/>
                <w:sz w:val="16"/>
                <w:szCs w:val="16"/>
              </w:rPr>
              <w:t>1.0</w:t>
            </w:r>
            <w:r w:rsidR="604481AA" w:rsidRPr="0052061D">
              <w:rPr>
                <w:rFonts w:eastAsia="Times New Roman" w:cs="Calibri"/>
                <w:color w:val="000000" w:themeColor="text1"/>
                <w:sz w:val="16"/>
                <w:szCs w:val="16"/>
              </w:rPr>
              <w:t xml:space="preserve">   </w:t>
            </w:r>
          </w:p>
        </w:tc>
        <w:tc>
          <w:tcPr>
            <w:tcW w:w="720" w:type="dxa"/>
            <w:shd w:val="clear" w:color="auto" w:fill="F2F2F2" w:themeFill="background1" w:themeFillShade="F2"/>
            <w:noWrap/>
            <w:vAlign w:val="center"/>
          </w:tcPr>
          <w:p w14:paraId="6520B285" w14:textId="62F846CA" w:rsidR="00E9481E" w:rsidRPr="0052061D" w:rsidRDefault="0052061D" w:rsidP="00E9481E">
            <w:pPr>
              <w:spacing w:after="0"/>
              <w:jc w:val="center"/>
              <w:rPr>
                <w:rFonts w:eastAsia="Times New Roman" w:cs="Calibri"/>
                <w:color w:val="000000" w:themeColor="text1"/>
                <w:sz w:val="16"/>
                <w:szCs w:val="16"/>
              </w:rPr>
            </w:pPr>
            <w:r w:rsidRPr="0052061D">
              <w:rPr>
                <w:rFonts w:eastAsia="Times New Roman" w:cs="Calibri"/>
                <w:color w:val="000000" w:themeColor="text1"/>
                <w:sz w:val="16"/>
                <w:szCs w:val="16"/>
              </w:rPr>
              <w:t>0.8</w:t>
            </w:r>
            <w:r w:rsidR="6E4D155B" w:rsidRPr="0052061D">
              <w:rPr>
                <w:rFonts w:eastAsia="Times New Roman" w:cs="Calibri"/>
                <w:color w:val="000000" w:themeColor="text1"/>
                <w:sz w:val="16"/>
                <w:szCs w:val="16"/>
              </w:rPr>
              <w:t xml:space="preserve">   </w:t>
            </w:r>
          </w:p>
        </w:tc>
      </w:tr>
      <w:tr w:rsidR="00E9481E" w14:paraId="5C5848CB" w14:textId="77777777" w:rsidTr="44871088">
        <w:trPr>
          <w:trHeight w:val="285"/>
        </w:trPr>
        <w:tc>
          <w:tcPr>
            <w:tcW w:w="810" w:type="dxa"/>
            <w:shd w:val="clear" w:color="auto" w:fill="auto"/>
            <w:noWrap/>
            <w:hideMark/>
          </w:tcPr>
          <w:p w14:paraId="2D7346AD" w14:textId="77777777" w:rsidR="00E9481E" w:rsidRPr="008D1B70" w:rsidRDefault="00E9481E" w:rsidP="00E9481E">
            <w:pPr>
              <w:spacing w:after="0"/>
              <w:jc w:val="center"/>
              <w:rPr>
                <w:rFonts w:eastAsia="Times New Roman" w:cs="Calibri"/>
                <w:sz w:val="16"/>
                <w:szCs w:val="16"/>
              </w:rPr>
            </w:pPr>
            <w:r w:rsidRPr="008D1B70">
              <w:rPr>
                <w:rFonts w:eastAsia="Times New Roman" w:cs="Calibri"/>
                <w:sz w:val="16"/>
                <w:szCs w:val="16"/>
              </w:rPr>
              <w:t>EOHHS</w:t>
            </w:r>
          </w:p>
        </w:tc>
        <w:tc>
          <w:tcPr>
            <w:tcW w:w="2880" w:type="dxa"/>
            <w:shd w:val="clear" w:color="auto" w:fill="auto"/>
            <w:hideMark/>
          </w:tcPr>
          <w:p w14:paraId="3A6B2BC5" w14:textId="77777777" w:rsidR="00E9481E" w:rsidRPr="00884DD7" w:rsidRDefault="00E9481E" w:rsidP="00E9481E">
            <w:pPr>
              <w:spacing w:after="0"/>
              <w:rPr>
                <w:rFonts w:eastAsia="Times New Roman" w:cs="Calibri"/>
                <w:sz w:val="16"/>
                <w:szCs w:val="16"/>
              </w:rPr>
            </w:pPr>
            <w:r w:rsidRPr="00884DD7">
              <w:rPr>
                <w:rFonts w:eastAsia="Times New Roman" w:cs="Calibri"/>
                <w:sz w:val="16"/>
                <w:szCs w:val="16"/>
              </w:rPr>
              <w:t>Behavioral Health Community Partner Engagement </w:t>
            </w:r>
          </w:p>
        </w:tc>
        <w:tc>
          <w:tcPr>
            <w:tcW w:w="810" w:type="dxa"/>
            <w:shd w:val="clear" w:color="auto" w:fill="auto"/>
            <w:noWrap/>
            <w:vAlign w:val="center"/>
          </w:tcPr>
          <w:p w14:paraId="3C7B0500" w14:textId="6B1ADA6B" w:rsidR="00E9481E" w:rsidRPr="00394EC7" w:rsidRDefault="00294985" w:rsidP="00E9481E">
            <w:pPr>
              <w:spacing w:after="0"/>
              <w:jc w:val="center"/>
              <w:rPr>
                <w:rFonts w:eastAsia="Times New Roman" w:cs="Calibri"/>
                <w:color w:val="000000"/>
                <w:sz w:val="16"/>
                <w:szCs w:val="16"/>
              </w:rPr>
            </w:pPr>
            <w:r>
              <w:rPr>
                <w:rFonts w:eastAsia="Times New Roman" w:cs="Calibri"/>
                <w:color w:val="000000"/>
                <w:sz w:val="16"/>
                <w:szCs w:val="16"/>
              </w:rPr>
              <w:t>10.6%</w:t>
            </w:r>
          </w:p>
        </w:tc>
        <w:tc>
          <w:tcPr>
            <w:tcW w:w="720" w:type="dxa"/>
            <w:shd w:val="clear" w:color="auto" w:fill="auto"/>
            <w:noWrap/>
            <w:vAlign w:val="center"/>
          </w:tcPr>
          <w:p w14:paraId="567BA212" w14:textId="50400E73" w:rsidR="00E9481E" w:rsidRPr="00394EC7" w:rsidRDefault="00E9481E" w:rsidP="00E9481E">
            <w:pPr>
              <w:spacing w:after="0"/>
              <w:jc w:val="center"/>
              <w:rPr>
                <w:rFonts w:eastAsia="Times New Roman" w:cs="Calibri"/>
                <w:color w:val="000000"/>
                <w:sz w:val="16"/>
                <w:szCs w:val="16"/>
              </w:rPr>
            </w:pPr>
            <w:r w:rsidRPr="3990B37A">
              <w:rPr>
                <w:rFonts w:eastAsia="Times New Roman" w:cs="Calibri"/>
                <w:color w:val="000000" w:themeColor="text1"/>
                <w:sz w:val="16"/>
                <w:szCs w:val="16"/>
              </w:rPr>
              <w:t>15.3%</w:t>
            </w:r>
          </w:p>
        </w:tc>
        <w:tc>
          <w:tcPr>
            <w:tcW w:w="720" w:type="dxa"/>
            <w:shd w:val="clear" w:color="auto" w:fill="auto"/>
            <w:noWrap/>
            <w:vAlign w:val="center"/>
          </w:tcPr>
          <w:p w14:paraId="60057AE8" w14:textId="4477216D" w:rsidR="00E9481E" w:rsidRPr="00394EC7" w:rsidRDefault="00E9481E" w:rsidP="00E9481E">
            <w:pPr>
              <w:spacing w:after="0"/>
              <w:jc w:val="center"/>
              <w:rPr>
                <w:rFonts w:eastAsia="Times New Roman" w:cs="Calibri"/>
                <w:color w:val="000000"/>
                <w:sz w:val="16"/>
                <w:szCs w:val="16"/>
              </w:rPr>
            </w:pPr>
            <w:r w:rsidRPr="3990B37A">
              <w:rPr>
                <w:rFonts w:eastAsia="Times New Roman" w:cs="Calibri"/>
                <w:color w:val="000000" w:themeColor="text1"/>
                <w:sz w:val="16"/>
                <w:szCs w:val="16"/>
              </w:rPr>
              <w:t>10.3%</w:t>
            </w:r>
          </w:p>
        </w:tc>
        <w:tc>
          <w:tcPr>
            <w:tcW w:w="720" w:type="dxa"/>
            <w:shd w:val="clear" w:color="auto" w:fill="auto"/>
            <w:noWrap/>
            <w:vAlign w:val="center"/>
          </w:tcPr>
          <w:p w14:paraId="4D490579" w14:textId="294A2FA9" w:rsidR="00E9481E" w:rsidRPr="00394EC7" w:rsidRDefault="00E9481E" w:rsidP="00E9481E">
            <w:pPr>
              <w:spacing w:after="0"/>
              <w:jc w:val="center"/>
              <w:rPr>
                <w:rFonts w:eastAsia="Times New Roman" w:cs="Calibri"/>
                <w:color w:val="000000"/>
                <w:sz w:val="16"/>
                <w:szCs w:val="16"/>
              </w:rPr>
            </w:pPr>
            <w:r w:rsidRPr="3990B37A">
              <w:rPr>
                <w:rFonts w:eastAsia="Times New Roman" w:cs="Calibri"/>
                <w:color w:val="000000" w:themeColor="text1"/>
                <w:sz w:val="16"/>
                <w:szCs w:val="16"/>
              </w:rPr>
              <w:t>26.6%</w:t>
            </w:r>
          </w:p>
        </w:tc>
        <w:tc>
          <w:tcPr>
            <w:tcW w:w="720" w:type="dxa"/>
            <w:shd w:val="clear" w:color="auto" w:fill="auto"/>
            <w:noWrap/>
            <w:vAlign w:val="center"/>
          </w:tcPr>
          <w:p w14:paraId="0563E214" w14:textId="1E1330CD" w:rsidR="00E9481E" w:rsidRPr="00394EC7" w:rsidRDefault="00E9481E" w:rsidP="00E9481E">
            <w:pPr>
              <w:spacing w:after="0"/>
              <w:jc w:val="center"/>
              <w:rPr>
                <w:rFonts w:eastAsia="Times New Roman" w:cs="Calibri"/>
                <w:color w:val="000000"/>
                <w:sz w:val="16"/>
                <w:szCs w:val="16"/>
              </w:rPr>
            </w:pPr>
            <w:r w:rsidRPr="3990B37A">
              <w:rPr>
                <w:rFonts w:eastAsia="Times New Roman" w:cs="Calibri"/>
                <w:color w:val="000000" w:themeColor="text1"/>
                <w:sz w:val="16"/>
                <w:szCs w:val="16"/>
              </w:rPr>
              <w:t>11.9%</w:t>
            </w:r>
          </w:p>
        </w:tc>
        <w:tc>
          <w:tcPr>
            <w:tcW w:w="720" w:type="dxa"/>
            <w:shd w:val="clear" w:color="auto" w:fill="auto"/>
            <w:noWrap/>
            <w:vAlign w:val="center"/>
          </w:tcPr>
          <w:p w14:paraId="63E4DB0D" w14:textId="6143EA1C" w:rsidR="00E9481E" w:rsidRPr="00394EC7" w:rsidRDefault="00E9481E" w:rsidP="00E9481E">
            <w:pPr>
              <w:spacing w:after="0"/>
              <w:jc w:val="center"/>
              <w:rPr>
                <w:rFonts w:eastAsia="Times New Roman" w:cs="Calibri"/>
                <w:color w:val="000000"/>
                <w:sz w:val="16"/>
                <w:szCs w:val="16"/>
              </w:rPr>
            </w:pPr>
            <w:r w:rsidRPr="3990B37A">
              <w:rPr>
                <w:rFonts w:eastAsia="Times New Roman" w:cs="Calibri"/>
                <w:color w:val="000000" w:themeColor="text1"/>
                <w:sz w:val="16"/>
                <w:szCs w:val="16"/>
              </w:rPr>
              <w:t>13.3%</w:t>
            </w:r>
          </w:p>
        </w:tc>
        <w:tc>
          <w:tcPr>
            <w:tcW w:w="810" w:type="dxa"/>
            <w:shd w:val="clear" w:color="auto" w:fill="auto"/>
            <w:noWrap/>
            <w:vAlign w:val="center"/>
          </w:tcPr>
          <w:p w14:paraId="5DB46DFE" w14:textId="05791283" w:rsidR="00E9481E" w:rsidRPr="00394EC7" w:rsidRDefault="00E9481E" w:rsidP="00E9481E">
            <w:pPr>
              <w:spacing w:after="0"/>
              <w:jc w:val="center"/>
              <w:rPr>
                <w:rFonts w:eastAsia="Times New Roman" w:cs="Calibri"/>
                <w:color w:val="000000"/>
                <w:sz w:val="16"/>
                <w:szCs w:val="16"/>
              </w:rPr>
            </w:pPr>
            <w:r w:rsidRPr="3990B37A">
              <w:rPr>
                <w:rFonts w:eastAsia="Times New Roman" w:cs="Calibri"/>
                <w:color w:val="000000" w:themeColor="text1"/>
                <w:sz w:val="16"/>
                <w:szCs w:val="16"/>
              </w:rPr>
              <w:t>25.1%</w:t>
            </w:r>
          </w:p>
        </w:tc>
        <w:tc>
          <w:tcPr>
            <w:tcW w:w="720" w:type="dxa"/>
            <w:shd w:val="clear" w:color="auto" w:fill="auto"/>
            <w:noWrap/>
            <w:vAlign w:val="center"/>
          </w:tcPr>
          <w:p w14:paraId="6DEC952B" w14:textId="10C7D301" w:rsidR="00E9481E" w:rsidRPr="00394EC7" w:rsidRDefault="00E9481E" w:rsidP="00E9481E">
            <w:pPr>
              <w:spacing w:after="0"/>
              <w:jc w:val="center"/>
              <w:rPr>
                <w:rFonts w:eastAsia="Times New Roman" w:cs="Calibri"/>
                <w:color w:val="000000"/>
                <w:sz w:val="16"/>
                <w:szCs w:val="16"/>
              </w:rPr>
            </w:pPr>
            <w:r w:rsidRPr="3990B37A">
              <w:rPr>
                <w:rFonts w:eastAsia="Times New Roman" w:cs="Calibri"/>
                <w:color w:val="000000" w:themeColor="text1"/>
                <w:sz w:val="16"/>
                <w:szCs w:val="16"/>
              </w:rPr>
              <w:t>12.0%</w:t>
            </w:r>
          </w:p>
        </w:tc>
        <w:tc>
          <w:tcPr>
            <w:tcW w:w="720" w:type="dxa"/>
            <w:shd w:val="clear" w:color="auto" w:fill="auto"/>
            <w:noWrap/>
            <w:vAlign w:val="center"/>
          </w:tcPr>
          <w:p w14:paraId="2823820B" w14:textId="5CF695AB" w:rsidR="00E9481E" w:rsidRPr="00394EC7" w:rsidRDefault="00E9481E" w:rsidP="00E9481E">
            <w:pPr>
              <w:spacing w:after="0"/>
              <w:jc w:val="center"/>
              <w:rPr>
                <w:rFonts w:eastAsia="Times New Roman" w:cs="Calibri"/>
                <w:color w:val="000000"/>
                <w:sz w:val="16"/>
                <w:szCs w:val="16"/>
              </w:rPr>
            </w:pPr>
            <w:r w:rsidRPr="3990B37A">
              <w:rPr>
                <w:rFonts w:eastAsia="Times New Roman" w:cs="Calibri"/>
                <w:color w:val="000000" w:themeColor="text1"/>
                <w:sz w:val="16"/>
                <w:szCs w:val="16"/>
              </w:rPr>
              <w:t>10.0%</w:t>
            </w:r>
          </w:p>
        </w:tc>
        <w:tc>
          <w:tcPr>
            <w:tcW w:w="1080" w:type="dxa"/>
            <w:shd w:val="clear" w:color="auto" w:fill="auto"/>
            <w:noWrap/>
            <w:vAlign w:val="center"/>
          </w:tcPr>
          <w:p w14:paraId="7540975D" w14:textId="7AD8A5D2" w:rsidR="00E9481E" w:rsidRPr="00394EC7" w:rsidRDefault="00E9481E" w:rsidP="00E9481E">
            <w:pPr>
              <w:spacing w:after="0"/>
              <w:jc w:val="center"/>
              <w:rPr>
                <w:rFonts w:eastAsia="Times New Roman" w:cs="Calibri"/>
                <w:color w:val="000000"/>
                <w:sz w:val="16"/>
                <w:szCs w:val="16"/>
              </w:rPr>
            </w:pPr>
            <w:r w:rsidRPr="3990B37A">
              <w:rPr>
                <w:rFonts w:eastAsia="Times New Roman" w:cs="Calibri"/>
                <w:color w:val="000000" w:themeColor="text1"/>
                <w:sz w:val="16"/>
                <w:szCs w:val="16"/>
              </w:rPr>
              <w:t>NA</w:t>
            </w:r>
          </w:p>
        </w:tc>
        <w:tc>
          <w:tcPr>
            <w:tcW w:w="720" w:type="dxa"/>
            <w:shd w:val="clear" w:color="auto" w:fill="auto"/>
            <w:noWrap/>
            <w:vAlign w:val="center"/>
          </w:tcPr>
          <w:p w14:paraId="49FBD3E7" w14:textId="645E6E49" w:rsidR="00E9481E" w:rsidRPr="00394EC7" w:rsidRDefault="00E9481E" w:rsidP="00E9481E">
            <w:pPr>
              <w:spacing w:after="0"/>
              <w:jc w:val="center"/>
              <w:rPr>
                <w:rFonts w:eastAsia="Times New Roman" w:cs="Calibri"/>
                <w:color w:val="000000"/>
                <w:sz w:val="16"/>
                <w:szCs w:val="16"/>
              </w:rPr>
            </w:pPr>
            <w:r w:rsidRPr="3990B37A">
              <w:rPr>
                <w:rFonts w:eastAsia="Times New Roman" w:cs="Calibri"/>
                <w:color w:val="000000" w:themeColor="text1"/>
                <w:sz w:val="16"/>
                <w:szCs w:val="16"/>
              </w:rPr>
              <w:t>11.6%</w:t>
            </w:r>
          </w:p>
        </w:tc>
        <w:tc>
          <w:tcPr>
            <w:tcW w:w="810" w:type="dxa"/>
            <w:shd w:val="clear" w:color="auto" w:fill="auto"/>
            <w:noWrap/>
            <w:vAlign w:val="center"/>
          </w:tcPr>
          <w:p w14:paraId="5CFD2E57" w14:textId="15B9D03F" w:rsidR="00E9481E" w:rsidRPr="00394EC7" w:rsidRDefault="00E9481E" w:rsidP="00E9481E">
            <w:pPr>
              <w:spacing w:after="0"/>
              <w:jc w:val="center"/>
              <w:rPr>
                <w:rFonts w:eastAsia="Times New Roman" w:cs="Calibri"/>
                <w:color w:val="000000"/>
                <w:sz w:val="16"/>
                <w:szCs w:val="16"/>
              </w:rPr>
            </w:pPr>
            <w:r w:rsidRPr="3990B37A">
              <w:rPr>
                <w:rFonts w:eastAsia="Times New Roman" w:cs="Calibri"/>
                <w:color w:val="000000" w:themeColor="text1"/>
                <w:sz w:val="16"/>
                <w:szCs w:val="16"/>
              </w:rPr>
              <w:t>7.3%</w:t>
            </w:r>
          </w:p>
        </w:tc>
        <w:tc>
          <w:tcPr>
            <w:tcW w:w="810" w:type="dxa"/>
            <w:shd w:val="clear" w:color="auto" w:fill="auto"/>
            <w:noWrap/>
            <w:vAlign w:val="center"/>
          </w:tcPr>
          <w:p w14:paraId="77E7AF3F" w14:textId="1476BFAE" w:rsidR="00E9481E" w:rsidRPr="00394EC7" w:rsidRDefault="00E9481E" w:rsidP="00E9481E">
            <w:pPr>
              <w:spacing w:after="0"/>
              <w:jc w:val="center"/>
              <w:rPr>
                <w:rFonts w:eastAsia="Times New Roman" w:cs="Calibri"/>
                <w:color w:val="000000"/>
                <w:sz w:val="16"/>
                <w:szCs w:val="16"/>
              </w:rPr>
            </w:pPr>
            <w:r w:rsidRPr="3990B37A">
              <w:rPr>
                <w:rFonts w:eastAsia="Times New Roman" w:cs="Calibri"/>
                <w:color w:val="000000" w:themeColor="text1"/>
                <w:sz w:val="16"/>
                <w:szCs w:val="16"/>
              </w:rPr>
              <w:t>16.3%</w:t>
            </w:r>
          </w:p>
        </w:tc>
        <w:tc>
          <w:tcPr>
            <w:tcW w:w="810" w:type="dxa"/>
            <w:shd w:val="clear" w:color="auto" w:fill="auto"/>
            <w:noWrap/>
            <w:vAlign w:val="center"/>
          </w:tcPr>
          <w:p w14:paraId="0E3AF675" w14:textId="2AA431EE" w:rsidR="00E9481E" w:rsidRPr="00394EC7" w:rsidRDefault="00E9481E" w:rsidP="00E9481E">
            <w:pPr>
              <w:spacing w:after="0"/>
              <w:jc w:val="center"/>
              <w:rPr>
                <w:rFonts w:eastAsia="Times New Roman" w:cs="Calibri"/>
                <w:color w:val="000000"/>
                <w:sz w:val="16"/>
                <w:szCs w:val="16"/>
              </w:rPr>
            </w:pPr>
            <w:r w:rsidRPr="3990B37A">
              <w:rPr>
                <w:rFonts w:eastAsia="Times New Roman" w:cs="Calibri"/>
                <w:color w:val="000000" w:themeColor="text1"/>
                <w:sz w:val="16"/>
                <w:szCs w:val="16"/>
              </w:rPr>
              <w:t>14.2%</w:t>
            </w:r>
          </w:p>
        </w:tc>
        <w:tc>
          <w:tcPr>
            <w:tcW w:w="720" w:type="dxa"/>
            <w:shd w:val="clear" w:color="auto" w:fill="auto"/>
            <w:noWrap/>
            <w:vAlign w:val="center"/>
          </w:tcPr>
          <w:p w14:paraId="070D8FA5" w14:textId="781C4861" w:rsidR="00E9481E" w:rsidRPr="00394EC7" w:rsidRDefault="00E9481E" w:rsidP="00E9481E">
            <w:pPr>
              <w:spacing w:after="0"/>
              <w:jc w:val="center"/>
              <w:rPr>
                <w:rFonts w:eastAsia="Times New Roman" w:cs="Calibri"/>
                <w:color w:val="000000"/>
                <w:sz w:val="16"/>
                <w:szCs w:val="16"/>
              </w:rPr>
            </w:pPr>
            <w:r w:rsidRPr="3990B37A">
              <w:rPr>
                <w:rFonts w:eastAsia="Times New Roman" w:cs="Calibri"/>
                <w:color w:val="000000" w:themeColor="text1"/>
                <w:sz w:val="16"/>
                <w:szCs w:val="16"/>
              </w:rPr>
              <w:t>8.1%</w:t>
            </w:r>
          </w:p>
        </w:tc>
        <w:tc>
          <w:tcPr>
            <w:tcW w:w="720" w:type="dxa"/>
            <w:shd w:val="clear" w:color="auto" w:fill="auto"/>
            <w:noWrap/>
            <w:vAlign w:val="center"/>
          </w:tcPr>
          <w:p w14:paraId="2E4C55B4" w14:textId="77E995A5" w:rsidR="00E9481E" w:rsidRPr="00394EC7" w:rsidRDefault="6CB77385" w:rsidP="00E9481E">
            <w:pPr>
              <w:spacing w:after="0"/>
              <w:jc w:val="center"/>
              <w:rPr>
                <w:rFonts w:eastAsia="Times New Roman" w:cs="Calibri"/>
                <w:color w:val="000000"/>
                <w:sz w:val="16"/>
                <w:szCs w:val="16"/>
              </w:rPr>
            </w:pPr>
            <w:r w:rsidRPr="79FF21F0">
              <w:rPr>
                <w:rFonts w:eastAsia="Times New Roman" w:cs="Calibri"/>
                <w:color w:val="000000" w:themeColor="text1"/>
                <w:sz w:val="16"/>
                <w:szCs w:val="16"/>
              </w:rPr>
              <w:t>10.0%</w:t>
            </w:r>
          </w:p>
        </w:tc>
        <w:tc>
          <w:tcPr>
            <w:tcW w:w="990" w:type="dxa"/>
            <w:shd w:val="clear" w:color="auto" w:fill="auto"/>
            <w:noWrap/>
            <w:vAlign w:val="center"/>
          </w:tcPr>
          <w:p w14:paraId="4180AD09" w14:textId="66EBD3C1" w:rsidR="00E9481E" w:rsidRPr="00394EC7" w:rsidRDefault="6CB77385" w:rsidP="00E9481E">
            <w:pPr>
              <w:spacing w:after="0"/>
              <w:jc w:val="center"/>
              <w:rPr>
                <w:rFonts w:eastAsia="Times New Roman" w:cs="Calibri"/>
                <w:color w:val="000000"/>
                <w:sz w:val="16"/>
                <w:szCs w:val="16"/>
              </w:rPr>
            </w:pPr>
            <w:r w:rsidRPr="79FF21F0">
              <w:rPr>
                <w:rFonts w:eastAsia="Times New Roman" w:cs="Calibri"/>
                <w:color w:val="000000" w:themeColor="text1"/>
                <w:sz w:val="16"/>
                <w:szCs w:val="16"/>
              </w:rPr>
              <w:t>8.5%</w:t>
            </w:r>
          </w:p>
        </w:tc>
        <w:tc>
          <w:tcPr>
            <w:tcW w:w="720" w:type="dxa"/>
            <w:shd w:val="clear" w:color="auto" w:fill="auto"/>
            <w:noWrap/>
            <w:vAlign w:val="center"/>
          </w:tcPr>
          <w:p w14:paraId="007B1986" w14:textId="4F9A504D" w:rsidR="00E9481E" w:rsidRPr="00394EC7" w:rsidRDefault="6CB77385" w:rsidP="00E9481E">
            <w:pPr>
              <w:spacing w:after="0"/>
              <w:jc w:val="center"/>
              <w:rPr>
                <w:rFonts w:eastAsia="Times New Roman" w:cs="Calibri"/>
                <w:color w:val="000000"/>
                <w:sz w:val="16"/>
                <w:szCs w:val="16"/>
              </w:rPr>
            </w:pPr>
            <w:r w:rsidRPr="79FF21F0">
              <w:rPr>
                <w:rFonts w:eastAsia="Times New Roman" w:cs="Calibri"/>
                <w:color w:val="000000" w:themeColor="text1"/>
                <w:sz w:val="16"/>
                <w:szCs w:val="16"/>
              </w:rPr>
              <w:t>8.8%</w:t>
            </w:r>
          </w:p>
        </w:tc>
        <w:tc>
          <w:tcPr>
            <w:tcW w:w="720" w:type="dxa"/>
            <w:tcBorders>
              <w:bottom w:val="single" w:sz="4" w:space="0" w:color="auto"/>
            </w:tcBorders>
            <w:shd w:val="clear" w:color="auto" w:fill="auto"/>
            <w:noWrap/>
            <w:vAlign w:val="center"/>
          </w:tcPr>
          <w:p w14:paraId="0D8EE8B3" w14:textId="74FDB11C" w:rsidR="00E9481E" w:rsidRPr="00394EC7" w:rsidRDefault="002E4565" w:rsidP="00E9481E">
            <w:pPr>
              <w:spacing w:after="0"/>
              <w:jc w:val="center"/>
              <w:rPr>
                <w:rFonts w:eastAsia="Times New Roman" w:cs="Calibri"/>
                <w:color w:val="000000"/>
                <w:sz w:val="16"/>
                <w:szCs w:val="16"/>
              </w:rPr>
            </w:pPr>
            <w:r>
              <w:rPr>
                <w:rFonts w:eastAsia="Times New Roman" w:cs="Calibri"/>
                <w:color w:val="000000"/>
                <w:sz w:val="16"/>
                <w:szCs w:val="16"/>
              </w:rPr>
              <w:t>4.0%</w:t>
            </w:r>
          </w:p>
        </w:tc>
        <w:tc>
          <w:tcPr>
            <w:tcW w:w="720" w:type="dxa"/>
            <w:tcBorders>
              <w:bottom w:val="single" w:sz="4" w:space="0" w:color="auto"/>
            </w:tcBorders>
            <w:shd w:val="clear" w:color="auto" w:fill="auto"/>
            <w:noWrap/>
            <w:vAlign w:val="center"/>
          </w:tcPr>
          <w:p w14:paraId="3E81C54A" w14:textId="77BC439F" w:rsidR="00E9481E" w:rsidRPr="0052061D" w:rsidRDefault="00916D04" w:rsidP="00E9481E">
            <w:pPr>
              <w:spacing w:after="0"/>
              <w:jc w:val="center"/>
              <w:rPr>
                <w:rFonts w:eastAsia="Times New Roman" w:cs="Calibri"/>
                <w:color w:val="000000" w:themeColor="text1"/>
                <w:sz w:val="16"/>
                <w:szCs w:val="16"/>
              </w:rPr>
            </w:pPr>
            <w:r w:rsidRPr="0052061D">
              <w:rPr>
                <w:rFonts w:eastAsia="Times New Roman" w:cs="Calibri"/>
                <w:color w:val="000000" w:themeColor="text1"/>
                <w:sz w:val="16"/>
                <w:szCs w:val="16"/>
              </w:rPr>
              <w:t>4.3%</w:t>
            </w:r>
            <w:r w:rsidR="0B4048E9" w:rsidRPr="0052061D">
              <w:rPr>
                <w:rFonts w:eastAsia="Times New Roman" w:cs="Calibri"/>
                <w:color w:val="000000" w:themeColor="text1"/>
                <w:sz w:val="16"/>
                <w:szCs w:val="16"/>
              </w:rPr>
              <w:t xml:space="preserve">    </w:t>
            </w:r>
          </w:p>
        </w:tc>
        <w:tc>
          <w:tcPr>
            <w:tcW w:w="720" w:type="dxa"/>
            <w:tcBorders>
              <w:bottom w:val="single" w:sz="4" w:space="0" w:color="auto"/>
            </w:tcBorders>
            <w:shd w:val="clear" w:color="auto" w:fill="auto"/>
            <w:noWrap/>
            <w:vAlign w:val="center"/>
          </w:tcPr>
          <w:p w14:paraId="137A77F2" w14:textId="66AF8546" w:rsidR="00E9481E" w:rsidRPr="0052061D" w:rsidRDefault="002E4565" w:rsidP="00E9481E">
            <w:pPr>
              <w:spacing w:after="0"/>
              <w:jc w:val="center"/>
              <w:rPr>
                <w:rFonts w:eastAsia="Times New Roman" w:cs="Calibri"/>
                <w:color w:val="000000" w:themeColor="text1"/>
                <w:sz w:val="16"/>
                <w:szCs w:val="16"/>
              </w:rPr>
            </w:pPr>
            <w:r w:rsidRPr="0052061D">
              <w:rPr>
                <w:rFonts w:eastAsia="Times New Roman" w:cs="Calibri"/>
                <w:color w:val="000000" w:themeColor="text1"/>
                <w:sz w:val="16"/>
                <w:szCs w:val="16"/>
              </w:rPr>
              <w:t>3.7%</w:t>
            </w:r>
            <w:r w:rsidR="17065D89" w:rsidRPr="0052061D">
              <w:rPr>
                <w:rFonts w:eastAsia="Times New Roman" w:cs="Calibri"/>
                <w:color w:val="000000" w:themeColor="text1"/>
                <w:sz w:val="16"/>
                <w:szCs w:val="16"/>
              </w:rPr>
              <w:t xml:space="preserve">    </w:t>
            </w:r>
          </w:p>
        </w:tc>
      </w:tr>
      <w:tr w:rsidR="00A055DC" w14:paraId="15A5C9A3" w14:textId="77777777" w:rsidTr="44871088">
        <w:trPr>
          <w:trHeight w:val="285"/>
        </w:trPr>
        <w:tc>
          <w:tcPr>
            <w:tcW w:w="810" w:type="dxa"/>
            <w:shd w:val="clear" w:color="auto" w:fill="F2F2F2" w:themeFill="background1" w:themeFillShade="F2"/>
            <w:noWrap/>
          </w:tcPr>
          <w:p w14:paraId="41ED7155" w14:textId="77777777" w:rsidR="00A055DC" w:rsidRPr="00597EE2" w:rsidRDefault="00A055DC" w:rsidP="00A055DC">
            <w:pPr>
              <w:spacing w:after="0"/>
              <w:jc w:val="center"/>
              <w:rPr>
                <w:rFonts w:eastAsia="Times New Roman" w:cs="Calibri"/>
                <w:color w:val="000000"/>
                <w:sz w:val="16"/>
                <w:szCs w:val="16"/>
              </w:rPr>
            </w:pPr>
            <w:r w:rsidRPr="00597EE2">
              <w:rPr>
                <w:rFonts w:cs="Calibri"/>
                <w:color w:val="000000"/>
                <w:sz w:val="16"/>
                <w:szCs w:val="16"/>
              </w:rPr>
              <w:t>EOHH</w:t>
            </w:r>
            <w:r>
              <w:rPr>
                <w:rFonts w:cs="Calibri"/>
                <w:color w:val="000000"/>
                <w:sz w:val="16"/>
                <w:szCs w:val="16"/>
              </w:rPr>
              <w:t>S</w:t>
            </w:r>
          </w:p>
        </w:tc>
        <w:tc>
          <w:tcPr>
            <w:tcW w:w="2880" w:type="dxa"/>
            <w:shd w:val="clear" w:color="auto" w:fill="F2F2F2" w:themeFill="background1" w:themeFillShade="F2"/>
          </w:tcPr>
          <w:p w14:paraId="4D219EB2" w14:textId="77777777" w:rsidR="00A055DC" w:rsidRPr="00597EE2" w:rsidRDefault="00A055DC" w:rsidP="00A055DC">
            <w:pPr>
              <w:spacing w:after="0"/>
              <w:rPr>
                <w:rFonts w:eastAsia="Times New Roman" w:cs="Calibri"/>
                <w:sz w:val="16"/>
                <w:szCs w:val="16"/>
              </w:rPr>
            </w:pPr>
            <w:r w:rsidRPr="00597EE2">
              <w:rPr>
                <w:rFonts w:cs="Calibri"/>
                <w:color w:val="000000"/>
                <w:sz w:val="16"/>
                <w:szCs w:val="16"/>
              </w:rPr>
              <w:t>Adult: Overall Rating and Care Delivery: Willingness to recommend</w:t>
            </w:r>
          </w:p>
        </w:tc>
        <w:tc>
          <w:tcPr>
            <w:tcW w:w="810" w:type="dxa"/>
            <w:shd w:val="clear" w:color="auto" w:fill="F2F2F2" w:themeFill="background1" w:themeFillShade="F2"/>
            <w:noWrap/>
            <w:vAlign w:val="center"/>
          </w:tcPr>
          <w:p w14:paraId="1DD2042F" w14:textId="0C00F104" w:rsidR="00A055DC" w:rsidRPr="00394EC7" w:rsidRDefault="00E84B66" w:rsidP="00A055DC">
            <w:pPr>
              <w:spacing w:after="0"/>
              <w:jc w:val="center"/>
              <w:rPr>
                <w:rFonts w:eastAsia="Times New Roman" w:cs="Calibri"/>
                <w:color w:val="000000"/>
                <w:sz w:val="16"/>
                <w:szCs w:val="16"/>
              </w:rPr>
            </w:pPr>
            <w:r>
              <w:rPr>
                <w:rFonts w:eastAsia="Times New Roman" w:cs="Calibri"/>
                <w:color w:val="000000"/>
                <w:sz w:val="16"/>
                <w:szCs w:val="16"/>
              </w:rPr>
              <w:t>84.5%</w:t>
            </w:r>
          </w:p>
        </w:tc>
        <w:tc>
          <w:tcPr>
            <w:tcW w:w="720" w:type="dxa"/>
            <w:shd w:val="clear" w:color="auto" w:fill="F2F2F2" w:themeFill="background1" w:themeFillShade="F2"/>
            <w:noWrap/>
            <w:vAlign w:val="center"/>
          </w:tcPr>
          <w:p w14:paraId="1CF739AC" w14:textId="76FFB8B2" w:rsidR="00A055DC" w:rsidRPr="00394EC7" w:rsidRDefault="00A055DC" w:rsidP="00A055DC">
            <w:pPr>
              <w:spacing w:after="0"/>
              <w:jc w:val="center"/>
              <w:rPr>
                <w:rFonts w:eastAsia="Times New Roman" w:cs="Calibri"/>
                <w:color w:val="000000"/>
                <w:sz w:val="16"/>
                <w:szCs w:val="16"/>
              </w:rPr>
            </w:pPr>
            <w:r w:rsidRPr="3990B37A">
              <w:rPr>
                <w:rFonts w:eastAsia="Times New Roman" w:cs="Calibri"/>
                <w:color w:val="000000" w:themeColor="text1"/>
                <w:sz w:val="16"/>
                <w:szCs w:val="16"/>
              </w:rPr>
              <w:t>86.1%</w:t>
            </w:r>
          </w:p>
        </w:tc>
        <w:tc>
          <w:tcPr>
            <w:tcW w:w="720" w:type="dxa"/>
            <w:shd w:val="clear" w:color="auto" w:fill="F2F2F2" w:themeFill="background1" w:themeFillShade="F2"/>
            <w:noWrap/>
            <w:vAlign w:val="center"/>
          </w:tcPr>
          <w:p w14:paraId="536C309C" w14:textId="4B5D76DB" w:rsidR="00A055DC" w:rsidRPr="00394EC7" w:rsidRDefault="00A055DC" w:rsidP="00A055DC">
            <w:pPr>
              <w:spacing w:after="0"/>
              <w:jc w:val="center"/>
              <w:rPr>
                <w:rFonts w:eastAsia="Times New Roman" w:cs="Calibri"/>
                <w:color w:val="000000"/>
                <w:sz w:val="16"/>
                <w:szCs w:val="16"/>
              </w:rPr>
            </w:pPr>
            <w:r w:rsidRPr="3990B37A">
              <w:rPr>
                <w:rFonts w:eastAsia="Times New Roman" w:cs="Calibri"/>
                <w:color w:val="000000" w:themeColor="text1"/>
                <w:sz w:val="16"/>
                <w:szCs w:val="16"/>
              </w:rPr>
              <w:t>87.5%</w:t>
            </w:r>
          </w:p>
        </w:tc>
        <w:tc>
          <w:tcPr>
            <w:tcW w:w="720" w:type="dxa"/>
            <w:shd w:val="clear" w:color="auto" w:fill="F2F2F2" w:themeFill="background1" w:themeFillShade="F2"/>
            <w:noWrap/>
            <w:vAlign w:val="center"/>
          </w:tcPr>
          <w:p w14:paraId="7891A231" w14:textId="5BA58281" w:rsidR="00A055DC" w:rsidRPr="00394EC7" w:rsidRDefault="00A055DC" w:rsidP="00A055DC">
            <w:pPr>
              <w:spacing w:after="0"/>
              <w:jc w:val="center"/>
              <w:rPr>
                <w:rFonts w:eastAsia="Times New Roman" w:cs="Calibri"/>
                <w:color w:val="000000"/>
                <w:sz w:val="16"/>
                <w:szCs w:val="16"/>
              </w:rPr>
            </w:pPr>
            <w:r w:rsidRPr="3990B37A">
              <w:rPr>
                <w:rFonts w:eastAsia="Times New Roman" w:cs="Calibri"/>
                <w:color w:val="000000" w:themeColor="text1"/>
                <w:sz w:val="16"/>
                <w:szCs w:val="16"/>
              </w:rPr>
              <w:t>85.6%</w:t>
            </w:r>
          </w:p>
        </w:tc>
        <w:tc>
          <w:tcPr>
            <w:tcW w:w="720" w:type="dxa"/>
            <w:shd w:val="clear" w:color="auto" w:fill="F2F2F2" w:themeFill="background1" w:themeFillShade="F2"/>
            <w:noWrap/>
            <w:vAlign w:val="center"/>
          </w:tcPr>
          <w:p w14:paraId="0608239F" w14:textId="778C6B9F" w:rsidR="00A055DC" w:rsidRPr="00394EC7" w:rsidRDefault="00A055DC" w:rsidP="00A055DC">
            <w:pPr>
              <w:spacing w:after="0"/>
              <w:jc w:val="center"/>
              <w:rPr>
                <w:rFonts w:eastAsia="Times New Roman" w:cs="Calibri"/>
                <w:color w:val="000000"/>
                <w:sz w:val="16"/>
                <w:szCs w:val="16"/>
              </w:rPr>
            </w:pPr>
            <w:r w:rsidRPr="3990B37A">
              <w:rPr>
                <w:rFonts w:eastAsia="Times New Roman" w:cs="Calibri"/>
                <w:color w:val="000000" w:themeColor="text1"/>
                <w:sz w:val="16"/>
                <w:szCs w:val="16"/>
              </w:rPr>
              <w:t>83.0%</w:t>
            </w:r>
          </w:p>
        </w:tc>
        <w:tc>
          <w:tcPr>
            <w:tcW w:w="720" w:type="dxa"/>
            <w:shd w:val="clear" w:color="auto" w:fill="F2F2F2" w:themeFill="background1" w:themeFillShade="F2"/>
            <w:noWrap/>
            <w:vAlign w:val="center"/>
          </w:tcPr>
          <w:p w14:paraId="014B3AF2" w14:textId="6109AE04" w:rsidR="00A055DC" w:rsidRPr="00394EC7" w:rsidRDefault="00A055DC" w:rsidP="00A055DC">
            <w:pPr>
              <w:spacing w:after="0"/>
              <w:jc w:val="center"/>
              <w:rPr>
                <w:rFonts w:eastAsia="Times New Roman" w:cs="Calibri"/>
                <w:color w:val="000000"/>
                <w:sz w:val="16"/>
                <w:szCs w:val="16"/>
              </w:rPr>
            </w:pPr>
            <w:r w:rsidRPr="3990B37A">
              <w:rPr>
                <w:rFonts w:eastAsia="Times New Roman" w:cs="Calibri"/>
                <w:color w:val="000000" w:themeColor="text1"/>
                <w:sz w:val="16"/>
                <w:szCs w:val="16"/>
              </w:rPr>
              <w:t>83.2%</w:t>
            </w:r>
          </w:p>
        </w:tc>
        <w:tc>
          <w:tcPr>
            <w:tcW w:w="810" w:type="dxa"/>
            <w:shd w:val="clear" w:color="auto" w:fill="F2F2F2" w:themeFill="background1" w:themeFillShade="F2"/>
            <w:noWrap/>
            <w:vAlign w:val="center"/>
          </w:tcPr>
          <w:p w14:paraId="3E210186" w14:textId="4B65C803" w:rsidR="00A055DC" w:rsidRPr="00394EC7" w:rsidRDefault="00A055DC" w:rsidP="00A055DC">
            <w:pPr>
              <w:spacing w:after="0"/>
              <w:jc w:val="center"/>
              <w:rPr>
                <w:rFonts w:eastAsia="Times New Roman" w:cs="Calibri"/>
                <w:color w:val="000000"/>
                <w:sz w:val="16"/>
                <w:szCs w:val="16"/>
              </w:rPr>
            </w:pPr>
            <w:r w:rsidRPr="3990B37A">
              <w:rPr>
                <w:rFonts w:eastAsia="Times New Roman" w:cs="Calibri"/>
                <w:color w:val="000000" w:themeColor="text1"/>
                <w:sz w:val="16"/>
                <w:szCs w:val="16"/>
              </w:rPr>
              <w:t>88.2%</w:t>
            </w:r>
          </w:p>
        </w:tc>
        <w:tc>
          <w:tcPr>
            <w:tcW w:w="720" w:type="dxa"/>
            <w:shd w:val="clear" w:color="auto" w:fill="F2F2F2" w:themeFill="background1" w:themeFillShade="F2"/>
            <w:noWrap/>
            <w:vAlign w:val="center"/>
          </w:tcPr>
          <w:p w14:paraId="13444095" w14:textId="1AB6FEE6" w:rsidR="00A055DC" w:rsidRPr="00394EC7" w:rsidRDefault="00A055DC" w:rsidP="00A055DC">
            <w:pPr>
              <w:spacing w:after="0"/>
              <w:jc w:val="center"/>
              <w:rPr>
                <w:rFonts w:eastAsia="Times New Roman" w:cs="Calibri"/>
                <w:color w:val="000000"/>
                <w:sz w:val="16"/>
                <w:szCs w:val="16"/>
              </w:rPr>
            </w:pPr>
            <w:r w:rsidRPr="3990B37A">
              <w:rPr>
                <w:rFonts w:eastAsia="Times New Roman" w:cs="Calibri"/>
                <w:color w:val="000000" w:themeColor="text1"/>
                <w:sz w:val="16"/>
                <w:szCs w:val="16"/>
              </w:rPr>
              <w:t>84.3%</w:t>
            </w:r>
          </w:p>
        </w:tc>
        <w:tc>
          <w:tcPr>
            <w:tcW w:w="720" w:type="dxa"/>
            <w:shd w:val="clear" w:color="auto" w:fill="F2F2F2" w:themeFill="background1" w:themeFillShade="F2"/>
            <w:noWrap/>
            <w:vAlign w:val="center"/>
          </w:tcPr>
          <w:p w14:paraId="3C6E5D56" w14:textId="795D6EEE" w:rsidR="00A055DC" w:rsidRPr="00394EC7" w:rsidRDefault="00A055DC" w:rsidP="00A055DC">
            <w:pPr>
              <w:spacing w:after="0"/>
              <w:jc w:val="center"/>
              <w:rPr>
                <w:rFonts w:eastAsia="Times New Roman" w:cs="Calibri"/>
                <w:color w:val="000000"/>
                <w:sz w:val="16"/>
                <w:szCs w:val="16"/>
              </w:rPr>
            </w:pPr>
            <w:r w:rsidRPr="3990B37A">
              <w:rPr>
                <w:rFonts w:eastAsia="Times New Roman" w:cs="Calibri"/>
                <w:color w:val="000000" w:themeColor="text1"/>
                <w:sz w:val="16"/>
                <w:szCs w:val="16"/>
              </w:rPr>
              <w:t>85.8%</w:t>
            </w:r>
          </w:p>
        </w:tc>
        <w:tc>
          <w:tcPr>
            <w:tcW w:w="1080" w:type="dxa"/>
            <w:shd w:val="clear" w:color="auto" w:fill="F2F2F2" w:themeFill="background1" w:themeFillShade="F2"/>
            <w:noWrap/>
            <w:vAlign w:val="center"/>
          </w:tcPr>
          <w:p w14:paraId="70FF7179" w14:textId="10759534" w:rsidR="00A055DC" w:rsidRPr="00394EC7" w:rsidRDefault="00A055DC" w:rsidP="00A055DC">
            <w:pPr>
              <w:spacing w:after="0"/>
              <w:jc w:val="center"/>
              <w:rPr>
                <w:rFonts w:eastAsia="Times New Roman" w:cs="Calibri"/>
                <w:color w:val="000000"/>
                <w:sz w:val="16"/>
                <w:szCs w:val="16"/>
              </w:rPr>
            </w:pPr>
            <w:r w:rsidRPr="3990B37A">
              <w:rPr>
                <w:rFonts w:eastAsia="Times New Roman" w:cs="Calibri"/>
                <w:color w:val="000000" w:themeColor="text1"/>
                <w:sz w:val="16"/>
                <w:szCs w:val="16"/>
              </w:rPr>
              <w:t>91.7%</w:t>
            </w:r>
          </w:p>
        </w:tc>
        <w:tc>
          <w:tcPr>
            <w:tcW w:w="720" w:type="dxa"/>
            <w:shd w:val="clear" w:color="auto" w:fill="F2F2F2" w:themeFill="background1" w:themeFillShade="F2"/>
            <w:noWrap/>
            <w:vAlign w:val="center"/>
          </w:tcPr>
          <w:p w14:paraId="12B128DE" w14:textId="09E99F5F" w:rsidR="00A055DC" w:rsidRPr="00394EC7" w:rsidRDefault="00A055DC" w:rsidP="00A055DC">
            <w:pPr>
              <w:spacing w:after="0"/>
              <w:jc w:val="center"/>
              <w:rPr>
                <w:rFonts w:eastAsia="Times New Roman" w:cs="Calibri"/>
                <w:color w:val="000000"/>
                <w:sz w:val="16"/>
                <w:szCs w:val="16"/>
              </w:rPr>
            </w:pPr>
            <w:r w:rsidRPr="3990B37A">
              <w:rPr>
                <w:rFonts w:eastAsia="Times New Roman" w:cs="Calibri"/>
                <w:color w:val="000000" w:themeColor="text1"/>
                <w:sz w:val="16"/>
                <w:szCs w:val="16"/>
              </w:rPr>
              <w:t>84.1%</w:t>
            </w:r>
          </w:p>
        </w:tc>
        <w:tc>
          <w:tcPr>
            <w:tcW w:w="810" w:type="dxa"/>
            <w:shd w:val="clear" w:color="auto" w:fill="F2F2F2" w:themeFill="background1" w:themeFillShade="F2"/>
            <w:noWrap/>
            <w:vAlign w:val="center"/>
          </w:tcPr>
          <w:p w14:paraId="31799482" w14:textId="6293AAD2" w:rsidR="00A055DC" w:rsidRPr="00394EC7" w:rsidRDefault="00A055DC" w:rsidP="00A055DC">
            <w:pPr>
              <w:spacing w:after="0"/>
              <w:jc w:val="center"/>
              <w:rPr>
                <w:rFonts w:eastAsia="Times New Roman" w:cs="Calibri"/>
                <w:color w:val="000000"/>
                <w:sz w:val="16"/>
                <w:szCs w:val="16"/>
              </w:rPr>
            </w:pPr>
            <w:r w:rsidRPr="3990B37A">
              <w:rPr>
                <w:rFonts w:eastAsia="Times New Roman" w:cs="Calibri"/>
                <w:color w:val="000000" w:themeColor="text1"/>
                <w:sz w:val="16"/>
                <w:szCs w:val="16"/>
              </w:rPr>
              <w:t>75.0%</w:t>
            </w:r>
          </w:p>
        </w:tc>
        <w:tc>
          <w:tcPr>
            <w:tcW w:w="810" w:type="dxa"/>
            <w:shd w:val="clear" w:color="auto" w:fill="F2F2F2" w:themeFill="background1" w:themeFillShade="F2"/>
            <w:noWrap/>
            <w:vAlign w:val="center"/>
          </w:tcPr>
          <w:p w14:paraId="2042FA1F" w14:textId="560D13AD" w:rsidR="00A055DC" w:rsidRPr="00394EC7" w:rsidRDefault="00A055DC" w:rsidP="00A055DC">
            <w:pPr>
              <w:spacing w:after="0"/>
              <w:jc w:val="center"/>
              <w:rPr>
                <w:rFonts w:eastAsia="Times New Roman" w:cs="Calibri"/>
                <w:color w:val="000000"/>
                <w:sz w:val="16"/>
                <w:szCs w:val="16"/>
              </w:rPr>
            </w:pPr>
            <w:r w:rsidRPr="3990B37A">
              <w:rPr>
                <w:rFonts w:eastAsia="Times New Roman" w:cs="Calibri"/>
                <w:color w:val="000000" w:themeColor="text1"/>
                <w:sz w:val="16"/>
                <w:szCs w:val="16"/>
              </w:rPr>
              <w:t>82.4%</w:t>
            </w:r>
          </w:p>
        </w:tc>
        <w:tc>
          <w:tcPr>
            <w:tcW w:w="810" w:type="dxa"/>
            <w:shd w:val="clear" w:color="auto" w:fill="F2F2F2" w:themeFill="background1" w:themeFillShade="F2"/>
            <w:noWrap/>
            <w:vAlign w:val="center"/>
          </w:tcPr>
          <w:p w14:paraId="44824842" w14:textId="4EB8C86F" w:rsidR="00A055DC" w:rsidRPr="00394EC7" w:rsidRDefault="00A055DC" w:rsidP="00A055DC">
            <w:pPr>
              <w:spacing w:after="0"/>
              <w:jc w:val="center"/>
              <w:rPr>
                <w:rFonts w:eastAsia="Times New Roman" w:cs="Calibri"/>
                <w:color w:val="000000"/>
                <w:sz w:val="16"/>
                <w:szCs w:val="16"/>
              </w:rPr>
            </w:pPr>
            <w:r w:rsidRPr="3990B37A">
              <w:rPr>
                <w:rFonts w:eastAsia="Times New Roman" w:cs="Calibri"/>
                <w:color w:val="000000" w:themeColor="text1"/>
                <w:sz w:val="16"/>
                <w:szCs w:val="16"/>
              </w:rPr>
              <w:t>86.9%</w:t>
            </w:r>
          </w:p>
        </w:tc>
        <w:tc>
          <w:tcPr>
            <w:tcW w:w="720" w:type="dxa"/>
            <w:shd w:val="clear" w:color="auto" w:fill="F2F2F2" w:themeFill="background1" w:themeFillShade="F2"/>
            <w:noWrap/>
            <w:vAlign w:val="center"/>
          </w:tcPr>
          <w:p w14:paraId="551AF360" w14:textId="21EE3C71" w:rsidR="00A055DC" w:rsidRPr="00394EC7" w:rsidRDefault="00A055DC" w:rsidP="00A055DC">
            <w:pPr>
              <w:spacing w:after="0"/>
              <w:jc w:val="center"/>
              <w:rPr>
                <w:rFonts w:eastAsia="Times New Roman" w:cs="Calibri"/>
                <w:color w:val="000000"/>
                <w:sz w:val="16"/>
                <w:szCs w:val="16"/>
              </w:rPr>
            </w:pPr>
            <w:r w:rsidRPr="3990B37A">
              <w:rPr>
                <w:rFonts w:eastAsia="Times New Roman" w:cs="Calibri"/>
                <w:color w:val="000000" w:themeColor="text1"/>
                <w:sz w:val="16"/>
                <w:szCs w:val="16"/>
              </w:rPr>
              <w:t>79.9%</w:t>
            </w:r>
          </w:p>
        </w:tc>
        <w:tc>
          <w:tcPr>
            <w:tcW w:w="720" w:type="dxa"/>
            <w:shd w:val="clear" w:color="auto" w:fill="F2F2F2" w:themeFill="background1" w:themeFillShade="F2"/>
            <w:noWrap/>
            <w:vAlign w:val="center"/>
          </w:tcPr>
          <w:p w14:paraId="05F79D32" w14:textId="0BC52E43" w:rsidR="00A055DC" w:rsidRPr="00394EC7" w:rsidRDefault="14099A97" w:rsidP="00A055DC">
            <w:pPr>
              <w:spacing w:after="0"/>
              <w:jc w:val="center"/>
              <w:rPr>
                <w:rFonts w:eastAsia="Times New Roman" w:cs="Calibri"/>
                <w:color w:val="000000"/>
                <w:sz w:val="16"/>
                <w:szCs w:val="16"/>
              </w:rPr>
            </w:pPr>
            <w:r w:rsidRPr="79FF21F0">
              <w:rPr>
                <w:rFonts w:eastAsia="Times New Roman" w:cs="Calibri"/>
                <w:color w:val="000000" w:themeColor="text1"/>
                <w:sz w:val="16"/>
                <w:szCs w:val="16"/>
              </w:rPr>
              <w:t>88.0%</w:t>
            </w:r>
          </w:p>
        </w:tc>
        <w:tc>
          <w:tcPr>
            <w:tcW w:w="990" w:type="dxa"/>
            <w:shd w:val="clear" w:color="auto" w:fill="F2F2F2" w:themeFill="background1" w:themeFillShade="F2"/>
            <w:noWrap/>
            <w:vAlign w:val="center"/>
          </w:tcPr>
          <w:p w14:paraId="0756292F" w14:textId="1E46FFBE" w:rsidR="00A055DC" w:rsidRPr="00394EC7" w:rsidRDefault="14099A97" w:rsidP="00A055DC">
            <w:pPr>
              <w:spacing w:after="0"/>
              <w:jc w:val="center"/>
              <w:rPr>
                <w:rFonts w:eastAsia="Times New Roman" w:cs="Calibri"/>
                <w:color w:val="000000"/>
                <w:sz w:val="16"/>
                <w:szCs w:val="16"/>
              </w:rPr>
            </w:pPr>
            <w:r w:rsidRPr="79FF21F0">
              <w:rPr>
                <w:rFonts w:eastAsia="Times New Roman" w:cs="Calibri"/>
                <w:color w:val="000000" w:themeColor="text1"/>
                <w:sz w:val="16"/>
                <w:szCs w:val="16"/>
              </w:rPr>
              <w:t>85.1%</w:t>
            </w:r>
          </w:p>
        </w:tc>
        <w:tc>
          <w:tcPr>
            <w:tcW w:w="720" w:type="dxa"/>
            <w:tcBorders>
              <w:right w:val="single" w:sz="4" w:space="0" w:color="auto"/>
            </w:tcBorders>
            <w:shd w:val="clear" w:color="auto" w:fill="F2F2F2" w:themeFill="background1" w:themeFillShade="F2"/>
            <w:noWrap/>
            <w:vAlign w:val="center"/>
          </w:tcPr>
          <w:p w14:paraId="0F76B563" w14:textId="0B4C9412" w:rsidR="00A055DC" w:rsidRPr="00394EC7" w:rsidRDefault="14099A97" w:rsidP="00A055DC">
            <w:pPr>
              <w:spacing w:after="0"/>
              <w:jc w:val="center"/>
              <w:rPr>
                <w:rFonts w:eastAsia="Times New Roman" w:cs="Calibri"/>
                <w:color w:val="000000"/>
                <w:sz w:val="16"/>
                <w:szCs w:val="16"/>
              </w:rPr>
            </w:pPr>
            <w:r w:rsidRPr="79FF21F0">
              <w:rPr>
                <w:rFonts w:eastAsia="Times New Roman" w:cs="Calibri"/>
                <w:color w:val="000000" w:themeColor="text1"/>
                <w:sz w:val="16"/>
                <w:szCs w:val="16"/>
              </w:rPr>
              <w:t>84.1%</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8194B1D" w14:textId="017E3E07" w:rsidR="00A055DC" w:rsidRPr="00394EC7" w:rsidRDefault="004A78B3" w:rsidP="00A055DC">
            <w:pPr>
              <w:spacing w:after="0"/>
              <w:jc w:val="center"/>
              <w:rPr>
                <w:rFonts w:eastAsia="Times New Roman" w:cs="Calibri"/>
                <w:color w:val="000000"/>
                <w:sz w:val="16"/>
                <w:szCs w:val="16"/>
              </w:rPr>
            </w:pPr>
            <w:r>
              <w:rPr>
                <w:rFonts w:eastAsia="Times New Roman" w:cs="Calibri"/>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D63818F" w14:textId="16F9E3B3" w:rsidR="00A055DC" w:rsidRDefault="62C83581" w:rsidP="00A055DC">
            <w:pPr>
              <w:spacing w:after="0"/>
              <w:jc w:val="center"/>
              <w:rPr>
                <w:rFonts w:eastAsia="Times New Roman" w:cs="Calibri"/>
                <w:color w:val="000000" w:themeColor="text1"/>
                <w:sz w:val="18"/>
                <w:szCs w:val="18"/>
              </w:rPr>
            </w:pPr>
            <w:r w:rsidRPr="44871088">
              <w:rPr>
                <w:rFonts w:eastAsia="Times New Roman" w:cs="Calibri"/>
                <w:color w:val="000000" w:themeColor="text1"/>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D6E259D" w14:textId="5E568D4B" w:rsidR="00A055DC" w:rsidRDefault="4661E18D" w:rsidP="00A055DC">
            <w:pPr>
              <w:spacing w:after="0"/>
              <w:jc w:val="center"/>
              <w:rPr>
                <w:rFonts w:eastAsia="Times New Roman" w:cs="Calibri"/>
                <w:color w:val="000000" w:themeColor="text1"/>
                <w:sz w:val="18"/>
                <w:szCs w:val="18"/>
              </w:rPr>
            </w:pPr>
            <w:r w:rsidRPr="44871088">
              <w:rPr>
                <w:rFonts w:eastAsia="Times New Roman" w:cs="Calibri"/>
                <w:color w:val="000000" w:themeColor="text1"/>
                <w:sz w:val="18"/>
                <w:szCs w:val="18"/>
              </w:rPr>
              <w:t xml:space="preserve">--    </w:t>
            </w:r>
          </w:p>
        </w:tc>
      </w:tr>
      <w:tr w:rsidR="00205DE8" w14:paraId="2692987A" w14:textId="77777777" w:rsidTr="44871088">
        <w:trPr>
          <w:trHeight w:val="285"/>
        </w:trPr>
        <w:tc>
          <w:tcPr>
            <w:tcW w:w="810" w:type="dxa"/>
            <w:shd w:val="clear" w:color="auto" w:fill="auto"/>
            <w:noWrap/>
          </w:tcPr>
          <w:p w14:paraId="14351E47" w14:textId="77777777" w:rsidR="00205DE8" w:rsidRPr="00597EE2" w:rsidRDefault="00205DE8" w:rsidP="00205DE8">
            <w:pPr>
              <w:spacing w:after="0"/>
              <w:jc w:val="center"/>
              <w:rPr>
                <w:rFonts w:eastAsia="Times New Roman" w:cs="Calibri"/>
                <w:color w:val="000000"/>
                <w:sz w:val="16"/>
                <w:szCs w:val="16"/>
              </w:rPr>
            </w:pPr>
            <w:r w:rsidRPr="00597EE2">
              <w:rPr>
                <w:rFonts w:cs="Calibri"/>
                <w:color w:val="000000"/>
                <w:sz w:val="16"/>
                <w:szCs w:val="16"/>
              </w:rPr>
              <w:t>EOHH</w:t>
            </w:r>
            <w:r>
              <w:rPr>
                <w:rFonts w:cs="Calibri"/>
                <w:color w:val="000000"/>
                <w:sz w:val="16"/>
                <w:szCs w:val="16"/>
              </w:rPr>
              <w:t>S</w:t>
            </w:r>
          </w:p>
        </w:tc>
        <w:tc>
          <w:tcPr>
            <w:tcW w:w="2880" w:type="dxa"/>
            <w:shd w:val="clear" w:color="auto" w:fill="auto"/>
          </w:tcPr>
          <w:p w14:paraId="54D735C6" w14:textId="77777777" w:rsidR="00205DE8" w:rsidRPr="00597EE2" w:rsidRDefault="00205DE8" w:rsidP="00205DE8">
            <w:pPr>
              <w:spacing w:after="0"/>
              <w:rPr>
                <w:rFonts w:eastAsia="Times New Roman" w:cs="Calibri"/>
                <w:sz w:val="16"/>
                <w:szCs w:val="16"/>
              </w:rPr>
            </w:pPr>
            <w:r w:rsidRPr="00597EE2">
              <w:rPr>
                <w:rFonts w:cs="Calibri"/>
                <w:color w:val="000000"/>
                <w:sz w:val="16"/>
                <w:szCs w:val="16"/>
              </w:rPr>
              <w:t>Child: Overall Rating and Care Delivery: Willingness to recommend</w:t>
            </w:r>
          </w:p>
        </w:tc>
        <w:tc>
          <w:tcPr>
            <w:tcW w:w="810" w:type="dxa"/>
            <w:shd w:val="clear" w:color="auto" w:fill="auto"/>
            <w:noWrap/>
            <w:vAlign w:val="center"/>
          </w:tcPr>
          <w:p w14:paraId="5F36DEAB" w14:textId="68438423" w:rsidR="00205DE8" w:rsidRPr="00394EC7" w:rsidRDefault="00205DE8" w:rsidP="00205DE8">
            <w:pPr>
              <w:spacing w:after="0"/>
              <w:jc w:val="center"/>
              <w:rPr>
                <w:rFonts w:eastAsia="Times New Roman" w:cs="Calibri"/>
                <w:color w:val="000000"/>
                <w:sz w:val="16"/>
                <w:szCs w:val="16"/>
              </w:rPr>
            </w:pPr>
            <w:r>
              <w:rPr>
                <w:rFonts w:eastAsia="Times New Roman" w:cs="Calibri"/>
                <w:color w:val="000000"/>
                <w:sz w:val="16"/>
                <w:szCs w:val="16"/>
              </w:rPr>
              <w:t>89.2%</w:t>
            </w:r>
          </w:p>
        </w:tc>
        <w:tc>
          <w:tcPr>
            <w:tcW w:w="720" w:type="dxa"/>
            <w:shd w:val="clear" w:color="auto" w:fill="auto"/>
            <w:noWrap/>
            <w:vAlign w:val="center"/>
          </w:tcPr>
          <w:p w14:paraId="57093BFB" w14:textId="4B918707"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82.8%</w:t>
            </w:r>
          </w:p>
        </w:tc>
        <w:tc>
          <w:tcPr>
            <w:tcW w:w="720" w:type="dxa"/>
            <w:shd w:val="clear" w:color="auto" w:fill="auto"/>
            <w:noWrap/>
            <w:vAlign w:val="center"/>
          </w:tcPr>
          <w:p w14:paraId="184F01AD" w14:textId="28F5F86D"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91.0%</w:t>
            </w:r>
          </w:p>
        </w:tc>
        <w:tc>
          <w:tcPr>
            <w:tcW w:w="720" w:type="dxa"/>
            <w:shd w:val="clear" w:color="auto" w:fill="auto"/>
            <w:noWrap/>
            <w:vAlign w:val="center"/>
          </w:tcPr>
          <w:p w14:paraId="29FFF622" w14:textId="7F48421D"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91.2%</w:t>
            </w:r>
          </w:p>
        </w:tc>
        <w:tc>
          <w:tcPr>
            <w:tcW w:w="720" w:type="dxa"/>
            <w:shd w:val="clear" w:color="auto" w:fill="auto"/>
            <w:noWrap/>
            <w:vAlign w:val="center"/>
          </w:tcPr>
          <w:p w14:paraId="5B92373D" w14:textId="121D4E8B"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87.2%</w:t>
            </w:r>
          </w:p>
        </w:tc>
        <w:tc>
          <w:tcPr>
            <w:tcW w:w="720" w:type="dxa"/>
            <w:shd w:val="clear" w:color="auto" w:fill="auto"/>
            <w:noWrap/>
            <w:vAlign w:val="center"/>
          </w:tcPr>
          <w:p w14:paraId="135E048B" w14:textId="095AF5A7"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86.2%</w:t>
            </w:r>
          </w:p>
        </w:tc>
        <w:tc>
          <w:tcPr>
            <w:tcW w:w="810" w:type="dxa"/>
            <w:shd w:val="clear" w:color="auto" w:fill="auto"/>
            <w:noWrap/>
            <w:vAlign w:val="center"/>
          </w:tcPr>
          <w:p w14:paraId="18E0F2C2" w14:textId="018EC244"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92.4%</w:t>
            </w:r>
          </w:p>
        </w:tc>
        <w:tc>
          <w:tcPr>
            <w:tcW w:w="720" w:type="dxa"/>
            <w:shd w:val="clear" w:color="auto" w:fill="auto"/>
            <w:noWrap/>
            <w:vAlign w:val="center"/>
          </w:tcPr>
          <w:p w14:paraId="08CDC10A" w14:textId="5CBF5FD3"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87.5%</w:t>
            </w:r>
          </w:p>
        </w:tc>
        <w:tc>
          <w:tcPr>
            <w:tcW w:w="720" w:type="dxa"/>
            <w:shd w:val="clear" w:color="auto" w:fill="auto"/>
            <w:noWrap/>
            <w:vAlign w:val="center"/>
          </w:tcPr>
          <w:p w14:paraId="587357D3" w14:textId="34CC198A"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90.1%</w:t>
            </w:r>
          </w:p>
        </w:tc>
        <w:tc>
          <w:tcPr>
            <w:tcW w:w="1080" w:type="dxa"/>
            <w:shd w:val="clear" w:color="auto" w:fill="auto"/>
            <w:noWrap/>
            <w:vAlign w:val="center"/>
          </w:tcPr>
          <w:p w14:paraId="5BFD2686" w14:textId="14FC9A0D"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91.6%</w:t>
            </w:r>
          </w:p>
        </w:tc>
        <w:tc>
          <w:tcPr>
            <w:tcW w:w="720" w:type="dxa"/>
            <w:shd w:val="clear" w:color="auto" w:fill="auto"/>
            <w:noWrap/>
            <w:vAlign w:val="center"/>
          </w:tcPr>
          <w:p w14:paraId="19BBB999" w14:textId="39AEB32C"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86.8%</w:t>
            </w:r>
          </w:p>
        </w:tc>
        <w:tc>
          <w:tcPr>
            <w:tcW w:w="810" w:type="dxa"/>
            <w:shd w:val="clear" w:color="auto" w:fill="auto"/>
            <w:noWrap/>
            <w:vAlign w:val="center"/>
          </w:tcPr>
          <w:p w14:paraId="51CBF108" w14:textId="7E1C7FA3"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79.0%</w:t>
            </w:r>
          </w:p>
        </w:tc>
        <w:tc>
          <w:tcPr>
            <w:tcW w:w="810" w:type="dxa"/>
            <w:shd w:val="clear" w:color="auto" w:fill="auto"/>
            <w:noWrap/>
            <w:vAlign w:val="center"/>
          </w:tcPr>
          <w:p w14:paraId="17EAA091" w14:textId="26599C8F"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84.8%</w:t>
            </w:r>
          </w:p>
        </w:tc>
        <w:tc>
          <w:tcPr>
            <w:tcW w:w="810" w:type="dxa"/>
            <w:shd w:val="clear" w:color="auto" w:fill="auto"/>
            <w:noWrap/>
            <w:vAlign w:val="center"/>
          </w:tcPr>
          <w:p w14:paraId="1F1E9A4B" w14:textId="56D7D5AA"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92.4%</w:t>
            </w:r>
          </w:p>
        </w:tc>
        <w:tc>
          <w:tcPr>
            <w:tcW w:w="720" w:type="dxa"/>
            <w:shd w:val="clear" w:color="auto" w:fill="auto"/>
            <w:noWrap/>
            <w:vAlign w:val="center"/>
          </w:tcPr>
          <w:p w14:paraId="7411EAE3" w14:textId="312CD20B"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86.8%</w:t>
            </w:r>
          </w:p>
        </w:tc>
        <w:tc>
          <w:tcPr>
            <w:tcW w:w="720" w:type="dxa"/>
            <w:shd w:val="clear" w:color="auto" w:fill="auto"/>
            <w:noWrap/>
            <w:vAlign w:val="center"/>
          </w:tcPr>
          <w:p w14:paraId="6E6CF6C8" w14:textId="082C92AB" w:rsidR="00205DE8" w:rsidRPr="00394EC7" w:rsidRDefault="00205DE8" w:rsidP="00205DE8">
            <w:pPr>
              <w:spacing w:after="0"/>
              <w:jc w:val="center"/>
              <w:rPr>
                <w:rFonts w:eastAsia="Times New Roman" w:cs="Calibri"/>
                <w:color w:val="000000"/>
                <w:sz w:val="16"/>
                <w:szCs w:val="16"/>
              </w:rPr>
            </w:pPr>
            <w:r w:rsidRPr="79FF21F0">
              <w:rPr>
                <w:rFonts w:eastAsia="Times New Roman" w:cs="Calibri"/>
                <w:color w:val="000000" w:themeColor="text1"/>
                <w:sz w:val="16"/>
                <w:szCs w:val="16"/>
              </w:rPr>
              <w:t>90.8%</w:t>
            </w:r>
          </w:p>
        </w:tc>
        <w:tc>
          <w:tcPr>
            <w:tcW w:w="990" w:type="dxa"/>
            <w:shd w:val="clear" w:color="auto" w:fill="auto"/>
            <w:noWrap/>
            <w:vAlign w:val="center"/>
          </w:tcPr>
          <w:p w14:paraId="65443B48" w14:textId="75F1C96C" w:rsidR="00205DE8" w:rsidRPr="00394EC7" w:rsidRDefault="00205DE8" w:rsidP="00205DE8">
            <w:pPr>
              <w:spacing w:after="0"/>
              <w:jc w:val="center"/>
              <w:rPr>
                <w:rFonts w:eastAsia="Times New Roman" w:cs="Calibri"/>
                <w:color w:val="000000"/>
                <w:sz w:val="16"/>
                <w:szCs w:val="16"/>
              </w:rPr>
            </w:pPr>
            <w:r w:rsidRPr="79FF21F0">
              <w:rPr>
                <w:rFonts w:eastAsia="Times New Roman" w:cs="Calibri"/>
                <w:color w:val="000000" w:themeColor="text1"/>
                <w:sz w:val="16"/>
                <w:szCs w:val="16"/>
              </w:rPr>
              <w:t>90.5%</w:t>
            </w:r>
          </w:p>
        </w:tc>
        <w:tc>
          <w:tcPr>
            <w:tcW w:w="720" w:type="dxa"/>
            <w:tcBorders>
              <w:right w:val="single" w:sz="4" w:space="0" w:color="auto"/>
            </w:tcBorders>
            <w:shd w:val="clear" w:color="auto" w:fill="auto"/>
            <w:noWrap/>
            <w:vAlign w:val="center"/>
          </w:tcPr>
          <w:p w14:paraId="05A33744" w14:textId="6615F34A" w:rsidR="00205DE8" w:rsidRPr="00394EC7" w:rsidRDefault="00205DE8" w:rsidP="00205DE8">
            <w:pPr>
              <w:spacing w:after="0"/>
              <w:jc w:val="center"/>
              <w:rPr>
                <w:rFonts w:eastAsia="Times New Roman" w:cs="Calibri"/>
                <w:color w:val="000000"/>
                <w:sz w:val="16"/>
                <w:szCs w:val="16"/>
              </w:rPr>
            </w:pPr>
            <w:r w:rsidRPr="79FF21F0">
              <w:rPr>
                <w:rFonts w:eastAsia="Times New Roman" w:cs="Calibri"/>
                <w:color w:val="000000" w:themeColor="text1"/>
                <w:sz w:val="16"/>
                <w:szCs w:val="16"/>
              </w:rPr>
              <w:t>NA</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BD3B7" w14:textId="1DCF8434" w:rsidR="00205DE8" w:rsidRPr="00394EC7" w:rsidRDefault="00205DE8" w:rsidP="00205DE8">
            <w:pPr>
              <w:spacing w:after="0"/>
              <w:jc w:val="center"/>
              <w:rPr>
                <w:rFonts w:eastAsia="Times New Roman" w:cs="Calibri"/>
                <w:color w:val="000000"/>
                <w:sz w:val="16"/>
                <w:szCs w:val="16"/>
              </w:rPr>
            </w:pPr>
            <w:r>
              <w:rPr>
                <w:rFonts w:eastAsia="Times New Roman" w:cs="Calibri"/>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5ED2B" w14:textId="1E47E91A" w:rsidR="00205DE8" w:rsidRDefault="00205DE8" w:rsidP="00205DE8">
            <w:pPr>
              <w:spacing w:after="0"/>
              <w:jc w:val="center"/>
              <w:rPr>
                <w:rFonts w:eastAsia="Times New Roman" w:cs="Calibri"/>
                <w:color w:val="000000" w:themeColor="text1"/>
                <w:sz w:val="18"/>
                <w:szCs w:val="18"/>
              </w:rPr>
            </w:pPr>
            <w:r w:rsidRPr="44871088">
              <w:rPr>
                <w:rFonts w:eastAsia="Times New Roman" w:cs="Calibri"/>
                <w:color w:val="000000" w:themeColor="text1"/>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A874B9" w14:textId="61E6BE6A" w:rsidR="00205DE8" w:rsidRDefault="00205DE8" w:rsidP="00205DE8">
            <w:pPr>
              <w:spacing w:after="0"/>
              <w:jc w:val="center"/>
              <w:rPr>
                <w:rFonts w:eastAsia="Times New Roman" w:cs="Calibri"/>
                <w:color w:val="000000" w:themeColor="text1"/>
                <w:sz w:val="18"/>
                <w:szCs w:val="18"/>
              </w:rPr>
            </w:pPr>
            <w:r w:rsidRPr="44871088">
              <w:rPr>
                <w:rFonts w:eastAsia="Times New Roman" w:cs="Calibri"/>
                <w:color w:val="000000" w:themeColor="text1"/>
                <w:sz w:val="18"/>
                <w:szCs w:val="18"/>
              </w:rPr>
              <w:t xml:space="preserve">--    </w:t>
            </w:r>
          </w:p>
        </w:tc>
      </w:tr>
      <w:tr w:rsidR="00205DE8" w14:paraId="0348B61D" w14:textId="77777777" w:rsidTr="44871088">
        <w:trPr>
          <w:trHeight w:val="285"/>
        </w:trPr>
        <w:tc>
          <w:tcPr>
            <w:tcW w:w="810" w:type="dxa"/>
            <w:shd w:val="clear" w:color="auto" w:fill="F2F2F2" w:themeFill="background1" w:themeFillShade="F2"/>
            <w:noWrap/>
          </w:tcPr>
          <w:p w14:paraId="60F04DCB" w14:textId="77777777" w:rsidR="00205DE8" w:rsidRPr="00597EE2" w:rsidRDefault="00205DE8" w:rsidP="00205DE8">
            <w:pPr>
              <w:spacing w:after="0"/>
              <w:jc w:val="center"/>
              <w:rPr>
                <w:rFonts w:eastAsia="Times New Roman" w:cs="Calibri"/>
                <w:color w:val="000000"/>
                <w:sz w:val="16"/>
                <w:szCs w:val="16"/>
              </w:rPr>
            </w:pPr>
            <w:r w:rsidRPr="00597EE2">
              <w:rPr>
                <w:rFonts w:cs="Calibri"/>
                <w:color w:val="000000"/>
                <w:sz w:val="16"/>
                <w:szCs w:val="16"/>
              </w:rPr>
              <w:t>EOHH</w:t>
            </w:r>
            <w:r>
              <w:rPr>
                <w:rFonts w:cs="Calibri"/>
                <w:color w:val="000000"/>
                <w:sz w:val="16"/>
                <w:szCs w:val="16"/>
              </w:rPr>
              <w:t>S</w:t>
            </w:r>
            <w:r w:rsidRPr="00597EE2">
              <w:rPr>
                <w:rFonts w:cs="Calibri"/>
                <w:color w:val="000000"/>
                <w:sz w:val="16"/>
                <w:szCs w:val="16"/>
              </w:rPr>
              <w:t xml:space="preserve"> </w:t>
            </w:r>
          </w:p>
        </w:tc>
        <w:tc>
          <w:tcPr>
            <w:tcW w:w="2880" w:type="dxa"/>
            <w:shd w:val="clear" w:color="auto" w:fill="F2F2F2" w:themeFill="background1" w:themeFillShade="F2"/>
          </w:tcPr>
          <w:p w14:paraId="7DE55DE7" w14:textId="77777777" w:rsidR="00205DE8" w:rsidRPr="00597EE2" w:rsidRDefault="00205DE8" w:rsidP="00205DE8">
            <w:pPr>
              <w:spacing w:after="0"/>
              <w:rPr>
                <w:rFonts w:eastAsia="Times New Roman" w:cs="Calibri"/>
                <w:sz w:val="16"/>
                <w:szCs w:val="16"/>
              </w:rPr>
            </w:pPr>
            <w:r w:rsidRPr="00597EE2">
              <w:rPr>
                <w:rFonts w:cs="Calibri"/>
                <w:color w:val="000000"/>
                <w:sz w:val="16"/>
                <w:szCs w:val="16"/>
              </w:rPr>
              <w:t>Adult: Overall Rating and Care Delivery: Communication</w:t>
            </w:r>
          </w:p>
        </w:tc>
        <w:tc>
          <w:tcPr>
            <w:tcW w:w="810" w:type="dxa"/>
            <w:shd w:val="clear" w:color="auto" w:fill="F2F2F2" w:themeFill="background1" w:themeFillShade="F2"/>
            <w:noWrap/>
            <w:vAlign w:val="center"/>
          </w:tcPr>
          <w:p w14:paraId="63505C1B" w14:textId="0131183F" w:rsidR="00205DE8" w:rsidRPr="00394EC7" w:rsidRDefault="00205DE8" w:rsidP="00205DE8">
            <w:pPr>
              <w:spacing w:after="0"/>
              <w:jc w:val="center"/>
              <w:rPr>
                <w:rFonts w:eastAsia="Times New Roman" w:cs="Calibri"/>
                <w:color w:val="000000"/>
                <w:sz w:val="16"/>
                <w:szCs w:val="16"/>
              </w:rPr>
            </w:pPr>
            <w:r>
              <w:rPr>
                <w:rFonts w:eastAsia="Times New Roman" w:cs="Calibri"/>
                <w:color w:val="000000"/>
                <w:sz w:val="16"/>
                <w:szCs w:val="16"/>
              </w:rPr>
              <w:t>86.9%</w:t>
            </w:r>
          </w:p>
        </w:tc>
        <w:tc>
          <w:tcPr>
            <w:tcW w:w="720" w:type="dxa"/>
            <w:shd w:val="clear" w:color="auto" w:fill="F2F2F2" w:themeFill="background1" w:themeFillShade="F2"/>
            <w:noWrap/>
            <w:vAlign w:val="center"/>
          </w:tcPr>
          <w:p w14:paraId="1CEA54F2" w14:textId="1F82D06E"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87.4%</w:t>
            </w:r>
          </w:p>
        </w:tc>
        <w:tc>
          <w:tcPr>
            <w:tcW w:w="720" w:type="dxa"/>
            <w:shd w:val="clear" w:color="auto" w:fill="F2F2F2" w:themeFill="background1" w:themeFillShade="F2"/>
            <w:noWrap/>
            <w:vAlign w:val="center"/>
          </w:tcPr>
          <w:p w14:paraId="64C99949" w14:textId="7882DD08"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87.7%</w:t>
            </w:r>
          </w:p>
        </w:tc>
        <w:tc>
          <w:tcPr>
            <w:tcW w:w="720" w:type="dxa"/>
            <w:shd w:val="clear" w:color="auto" w:fill="F2F2F2" w:themeFill="background1" w:themeFillShade="F2"/>
            <w:noWrap/>
            <w:vAlign w:val="center"/>
          </w:tcPr>
          <w:p w14:paraId="250A6967" w14:textId="4F666A46"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88.5%</w:t>
            </w:r>
          </w:p>
        </w:tc>
        <w:tc>
          <w:tcPr>
            <w:tcW w:w="720" w:type="dxa"/>
            <w:shd w:val="clear" w:color="auto" w:fill="F2F2F2" w:themeFill="background1" w:themeFillShade="F2"/>
            <w:noWrap/>
            <w:vAlign w:val="center"/>
          </w:tcPr>
          <w:p w14:paraId="1B7A4CC4" w14:textId="2707EEB3"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86.1%</w:t>
            </w:r>
          </w:p>
        </w:tc>
        <w:tc>
          <w:tcPr>
            <w:tcW w:w="720" w:type="dxa"/>
            <w:shd w:val="clear" w:color="auto" w:fill="F2F2F2" w:themeFill="background1" w:themeFillShade="F2"/>
            <w:noWrap/>
            <w:vAlign w:val="center"/>
          </w:tcPr>
          <w:p w14:paraId="3DDFC575" w14:textId="765D18C0"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85.9%</w:t>
            </w:r>
          </w:p>
        </w:tc>
        <w:tc>
          <w:tcPr>
            <w:tcW w:w="810" w:type="dxa"/>
            <w:shd w:val="clear" w:color="auto" w:fill="F2F2F2" w:themeFill="background1" w:themeFillShade="F2"/>
            <w:noWrap/>
            <w:vAlign w:val="center"/>
          </w:tcPr>
          <w:p w14:paraId="4CA6F391" w14:textId="6C8B61C7"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89.1%</w:t>
            </w:r>
          </w:p>
        </w:tc>
        <w:tc>
          <w:tcPr>
            <w:tcW w:w="720" w:type="dxa"/>
            <w:shd w:val="clear" w:color="auto" w:fill="F2F2F2" w:themeFill="background1" w:themeFillShade="F2"/>
            <w:noWrap/>
            <w:vAlign w:val="center"/>
          </w:tcPr>
          <w:p w14:paraId="3BDAE841" w14:textId="3A32FC04"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86.4%</w:t>
            </w:r>
          </w:p>
        </w:tc>
        <w:tc>
          <w:tcPr>
            <w:tcW w:w="720" w:type="dxa"/>
            <w:shd w:val="clear" w:color="auto" w:fill="F2F2F2" w:themeFill="background1" w:themeFillShade="F2"/>
            <w:noWrap/>
            <w:vAlign w:val="center"/>
          </w:tcPr>
          <w:p w14:paraId="580CD2A3" w14:textId="50FAEE82"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86.0%</w:t>
            </w:r>
          </w:p>
        </w:tc>
        <w:tc>
          <w:tcPr>
            <w:tcW w:w="1080" w:type="dxa"/>
            <w:shd w:val="clear" w:color="auto" w:fill="F2F2F2" w:themeFill="background1" w:themeFillShade="F2"/>
            <w:noWrap/>
            <w:vAlign w:val="center"/>
          </w:tcPr>
          <w:p w14:paraId="7EF9ACEC" w14:textId="459CCEE3"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92.5%</w:t>
            </w:r>
          </w:p>
        </w:tc>
        <w:tc>
          <w:tcPr>
            <w:tcW w:w="720" w:type="dxa"/>
            <w:shd w:val="clear" w:color="auto" w:fill="F2F2F2" w:themeFill="background1" w:themeFillShade="F2"/>
            <w:noWrap/>
            <w:vAlign w:val="center"/>
          </w:tcPr>
          <w:p w14:paraId="4B6BE7A6" w14:textId="2BB9B641"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86.2%</w:t>
            </w:r>
          </w:p>
        </w:tc>
        <w:tc>
          <w:tcPr>
            <w:tcW w:w="810" w:type="dxa"/>
            <w:shd w:val="clear" w:color="auto" w:fill="F2F2F2" w:themeFill="background1" w:themeFillShade="F2"/>
            <w:noWrap/>
            <w:vAlign w:val="center"/>
          </w:tcPr>
          <w:p w14:paraId="05A2A659" w14:textId="0E91A2A6"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80.2%</w:t>
            </w:r>
          </w:p>
        </w:tc>
        <w:tc>
          <w:tcPr>
            <w:tcW w:w="810" w:type="dxa"/>
            <w:shd w:val="clear" w:color="auto" w:fill="F2F2F2" w:themeFill="background1" w:themeFillShade="F2"/>
            <w:noWrap/>
            <w:vAlign w:val="center"/>
          </w:tcPr>
          <w:p w14:paraId="4BD44C0B" w14:textId="04197547"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85.0%</w:t>
            </w:r>
          </w:p>
        </w:tc>
        <w:tc>
          <w:tcPr>
            <w:tcW w:w="810" w:type="dxa"/>
            <w:shd w:val="clear" w:color="auto" w:fill="F2F2F2" w:themeFill="background1" w:themeFillShade="F2"/>
            <w:noWrap/>
            <w:vAlign w:val="center"/>
          </w:tcPr>
          <w:p w14:paraId="2A76262D" w14:textId="5FB4D665"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88.1%</w:t>
            </w:r>
          </w:p>
        </w:tc>
        <w:tc>
          <w:tcPr>
            <w:tcW w:w="720" w:type="dxa"/>
            <w:shd w:val="clear" w:color="auto" w:fill="F2F2F2" w:themeFill="background1" w:themeFillShade="F2"/>
            <w:noWrap/>
            <w:vAlign w:val="center"/>
          </w:tcPr>
          <w:p w14:paraId="11A36092" w14:textId="3791C3F9"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84.5%</w:t>
            </w:r>
          </w:p>
        </w:tc>
        <w:tc>
          <w:tcPr>
            <w:tcW w:w="720" w:type="dxa"/>
            <w:shd w:val="clear" w:color="auto" w:fill="F2F2F2" w:themeFill="background1" w:themeFillShade="F2"/>
            <w:noWrap/>
            <w:vAlign w:val="center"/>
          </w:tcPr>
          <w:p w14:paraId="43BC7ACF" w14:textId="1E9EED14" w:rsidR="00205DE8" w:rsidRPr="00394EC7" w:rsidRDefault="00205DE8" w:rsidP="00205DE8">
            <w:pPr>
              <w:spacing w:after="0"/>
              <w:jc w:val="center"/>
              <w:rPr>
                <w:rFonts w:eastAsia="Times New Roman" w:cs="Calibri"/>
                <w:color w:val="000000"/>
                <w:sz w:val="16"/>
                <w:szCs w:val="16"/>
              </w:rPr>
            </w:pPr>
            <w:r w:rsidRPr="79FF21F0">
              <w:rPr>
                <w:rFonts w:eastAsia="Times New Roman" w:cs="Calibri"/>
                <w:color w:val="000000" w:themeColor="text1"/>
                <w:sz w:val="16"/>
                <w:szCs w:val="16"/>
              </w:rPr>
              <w:t>89.9%</w:t>
            </w:r>
          </w:p>
        </w:tc>
        <w:tc>
          <w:tcPr>
            <w:tcW w:w="990" w:type="dxa"/>
            <w:shd w:val="clear" w:color="auto" w:fill="F2F2F2" w:themeFill="background1" w:themeFillShade="F2"/>
            <w:noWrap/>
            <w:vAlign w:val="center"/>
          </w:tcPr>
          <w:p w14:paraId="30C032C3" w14:textId="606E1627" w:rsidR="00205DE8" w:rsidRPr="00394EC7" w:rsidRDefault="00205DE8" w:rsidP="00205DE8">
            <w:pPr>
              <w:spacing w:after="0"/>
              <w:jc w:val="center"/>
              <w:rPr>
                <w:rFonts w:eastAsia="Times New Roman" w:cs="Calibri"/>
                <w:color w:val="000000"/>
                <w:sz w:val="16"/>
                <w:szCs w:val="16"/>
              </w:rPr>
            </w:pPr>
            <w:r w:rsidRPr="79FF21F0">
              <w:rPr>
                <w:rFonts w:eastAsia="Times New Roman" w:cs="Calibri"/>
                <w:color w:val="000000" w:themeColor="text1"/>
                <w:sz w:val="16"/>
                <w:szCs w:val="16"/>
              </w:rPr>
              <w:t>88.3%</w:t>
            </w:r>
          </w:p>
        </w:tc>
        <w:tc>
          <w:tcPr>
            <w:tcW w:w="720" w:type="dxa"/>
            <w:tcBorders>
              <w:right w:val="single" w:sz="4" w:space="0" w:color="auto"/>
            </w:tcBorders>
            <w:shd w:val="clear" w:color="auto" w:fill="F2F2F2" w:themeFill="background1" w:themeFillShade="F2"/>
            <w:noWrap/>
            <w:vAlign w:val="center"/>
          </w:tcPr>
          <w:p w14:paraId="58683B54" w14:textId="38104BFA" w:rsidR="00205DE8" w:rsidRPr="00394EC7" w:rsidRDefault="00205DE8" w:rsidP="00205DE8">
            <w:pPr>
              <w:spacing w:after="0"/>
              <w:jc w:val="center"/>
              <w:rPr>
                <w:rFonts w:eastAsia="Times New Roman" w:cs="Calibri"/>
                <w:color w:val="000000"/>
                <w:sz w:val="16"/>
                <w:szCs w:val="16"/>
              </w:rPr>
            </w:pPr>
            <w:r w:rsidRPr="79FF21F0">
              <w:rPr>
                <w:rFonts w:eastAsia="Times New Roman" w:cs="Calibri"/>
                <w:color w:val="000000" w:themeColor="text1"/>
                <w:sz w:val="16"/>
                <w:szCs w:val="16"/>
              </w:rPr>
              <w:t>86.4%</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1B8F336" w14:textId="183568B3" w:rsidR="00205DE8" w:rsidRPr="00394EC7" w:rsidRDefault="00205DE8" w:rsidP="00205DE8">
            <w:pPr>
              <w:spacing w:after="0"/>
              <w:jc w:val="center"/>
              <w:rPr>
                <w:rFonts w:eastAsia="Times New Roman" w:cs="Calibri"/>
                <w:color w:val="000000"/>
                <w:sz w:val="16"/>
                <w:szCs w:val="16"/>
              </w:rPr>
            </w:pPr>
            <w:r w:rsidRPr="00394EC7">
              <w:rPr>
                <w:rFonts w:cs="Calibri"/>
                <w:color w:val="000000"/>
                <w:sz w:val="16"/>
                <w:szCs w:val="16"/>
              </w:rPr>
              <w:t> </w:t>
            </w:r>
            <w:r>
              <w:rPr>
                <w:rFonts w:cs="Calibri"/>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F573576" w14:textId="23C0AF87" w:rsidR="00205DE8" w:rsidRDefault="00205DE8" w:rsidP="00205DE8">
            <w:pPr>
              <w:spacing w:after="0"/>
              <w:jc w:val="center"/>
              <w:rPr>
                <w:rFonts w:eastAsia="Times New Roman" w:cs="Calibri"/>
                <w:color w:val="000000" w:themeColor="text1"/>
                <w:sz w:val="18"/>
                <w:szCs w:val="18"/>
              </w:rPr>
            </w:pPr>
            <w:r w:rsidRPr="44871088">
              <w:rPr>
                <w:rFonts w:eastAsia="Times New Roman" w:cs="Calibri"/>
                <w:color w:val="000000" w:themeColor="text1"/>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FAAB759" w14:textId="3AAF24BB" w:rsidR="00205DE8" w:rsidRDefault="00205DE8" w:rsidP="00205DE8">
            <w:pPr>
              <w:spacing w:after="0"/>
              <w:jc w:val="center"/>
              <w:rPr>
                <w:rFonts w:eastAsia="Times New Roman" w:cs="Calibri"/>
                <w:color w:val="000000" w:themeColor="text1"/>
                <w:sz w:val="18"/>
                <w:szCs w:val="18"/>
              </w:rPr>
            </w:pPr>
            <w:r w:rsidRPr="44871088">
              <w:rPr>
                <w:rFonts w:eastAsia="Times New Roman" w:cs="Calibri"/>
                <w:color w:val="000000" w:themeColor="text1"/>
                <w:sz w:val="18"/>
                <w:szCs w:val="18"/>
              </w:rPr>
              <w:t xml:space="preserve">--    </w:t>
            </w:r>
          </w:p>
        </w:tc>
      </w:tr>
      <w:tr w:rsidR="00205DE8" w14:paraId="7AD51234" w14:textId="77777777" w:rsidTr="44871088">
        <w:trPr>
          <w:trHeight w:val="285"/>
        </w:trPr>
        <w:tc>
          <w:tcPr>
            <w:tcW w:w="810" w:type="dxa"/>
            <w:shd w:val="clear" w:color="auto" w:fill="auto"/>
            <w:noWrap/>
          </w:tcPr>
          <w:p w14:paraId="177F35DA" w14:textId="77777777" w:rsidR="00205DE8" w:rsidRPr="00597EE2" w:rsidRDefault="00205DE8" w:rsidP="00205DE8">
            <w:pPr>
              <w:spacing w:after="0"/>
              <w:jc w:val="center"/>
              <w:rPr>
                <w:rFonts w:eastAsia="Times New Roman" w:cs="Calibri"/>
                <w:color w:val="000000"/>
                <w:sz w:val="16"/>
                <w:szCs w:val="16"/>
              </w:rPr>
            </w:pPr>
            <w:r w:rsidRPr="00597EE2">
              <w:rPr>
                <w:rFonts w:cs="Calibri"/>
                <w:color w:val="000000"/>
                <w:sz w:val="16"/>
                <w:szCs w:val="16"/>
              </w:rPr>
              <w:t>EOHH</w:t>
            </w:r>
            <w:r>
              <w:rPr>
                <w:rFonts w:cs="Calibri"/>
                <w:color w:val="000000"/>
                <w:sz w:val="16"/>
                <w:szCs w:val="16"/>
              </w:rPr>
              <w:t>S</w:t>
            </w:r>
          </w:p>
        </w:tc>
        <w:tc>
          <w:tcPr>
            <w:tcW w:w="2880" w:type="dxa"/>
            <w:shd w:val="clear" w:color="auto" w:fill="auto"/>
          </w:tcPr>
          <w:p w14:paraId="0641B256" w14:textId="77777777" w:rsidR="00205DE8" w:rsidRPr="00597EE2" w:rsidRDefault="00205DE8" w:rsidP="00205DE8">
            <w:pPr>
              <w:spacing w:after="0"/>
              <w:rPr>
                <w:rFonts w:eastAsia="Times New Roman" w:cs="Calibri"/>
                <w:sz w:val="16"/>
                <w:szCs w:val="16"/>
              </w:rPr>
            </w:pPr>
            <w:r w:rsidRPr="00597EE2">
              <w:rPr>
                <w:rFonts w:cs="Calibri"/>
                <w:color w:val="000000"/>
                <w:sz w:val="16"/>
                <w:szCs w:val="16"/>
              </w:rPr>
              <w:t>Child: Overall Rating and Care Delivery: Communication</w:t>
            </w:r>
          </w:p>
        </w:tc>
        <w:tc>
          <w:tcPr>
            <w:tcW w:w="810" w:type="dxa"/>
            <w:shd w:val="clear" w:color="auto" w:fill="auto"/>
            <w:noWrap/>
            <w:vAlign w:val="center"/>
          </w:tcPr>
          <w:p w14:paraId="216331F6" w14:textId="537BE115" w:rsidR="00205DE8" w:rsidRPr="00394EC7" w:rsidRDefault="00205DE8" w:rsidP="00205DE8">
            <w:pPr>
              <w:spacing w:after="0"/>
              <w:jc w:val="center"/>
              <w:rPr>
                <w:rFonts w:eastAsia="Times New Roman" w:cs="Calibri"/>
                <w:color w:val="000000"/>
                <w:sz w:val="16"/>
                <w:szCs w:val="16"/>
              </w:rPr>
            </w:pPr>
            <w:r>
              <w:rPr>
                <w:rFonts w:eastAsia="Times New Roman" w:cs="Calibri"/>
                <w:color w:val="000000"/>
                <w:sz w:val="16"/>
                <w:szCs w:val="16"/>
              </w:rPr>
              <w:t>90.4%</w:t>
            </w:r>
          </w:p>
        </w:tc>
        <w:tc>
          <w:tcPr>
            <w:tcW w:w="720" w:type="dxa"/>
            <w:shd w:val="clear" w:color="auto" w:fill="auto"/>
            <w:noWrap/>
            <w:vAlign w:val="center"/>
          </w:tcPr>
          <w:p w14:paraId="75805DFD" w14:textId="6E17F4C8"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87.3%</w:t>
            </w:r>
          </w:p>
        </w:tc>
        <w:tc>
          <w:tcPr>
            <w:tcW w:w="720" w:type="dxa"/>
            <w:shd w:val="clear" w:color="auto" w:fill="auto"/>
            <w:noWrap/>
            <w:vAlign w:val="center"/>
          </w:tcPr>
          <w:p w14:paraId="58A2B8E1" w14:textId="281687E1"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91.6%</w:t>
            </w:r>
          </w:p>
        </w:tc>
        <w:tc>
          <w:tcPr>
            <w:tcW w:w="720" w:type="dxa"/>
            <w:shd w:val="clear" w:color="auto" w:fill="auto"/>
            <w:noWrap/>
            <w:vAlign w:val="center"/>
          </w:tcPr>
          <w:p w14:paraId="759B873F" w14:textId="036799E2"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91.1%</w:t>
            </w:r>
          </w:p>
        </w:tc>
        <w:tc>
          <w:tcPr>
            <w:tcW w:w="720" w:type="dxa"/>
            <w:shd w:val="clear" w:color="auto" w:fill="auto"/>
            <w:noWrap/>
            <w:vAlign w:val="center"/>
          </w:tcPr>
          <w:p w14:paraId="6AA07139" w14:textId="38873018"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89.8%</w:t>
            </w:r>
          </w:p>
        </w:tc>
        <w:tc>
          <w:tcPr>
            <w:tcW w:w="720" w:type="dxa"/>
            <w:shd w:val="clear" w:color="auto" w:fill="auto"/>
            <w:noWrap/>
            <w:vAlign w:val="center"/>
          </w:tcPr>
          <w:p w14:paraId="282482EE" w14:textId="354CDD04"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89.4%</w:t>
            </w:r>
          </w:p>
        </w:tc>
        <w:tc>
          <w:tcPr>
            <w:tcW w:w="810" w:type="dxa"/>
            <w:shd w:val="clear" w:color="auto" w:fill="auto"/>
            <w:noWrap/>
            <w:vAlign w:val="center"/>
          </w:tcPr>
          <w:p w14:paraId="1BBFBB88" w14:textId="60C7A331"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91.7%</w:t>
            </w:r>
          </w:p>
        </w:tc>
        <w:tc>
          <w:tcPr>
            <w:tcW w:w="720" w:type="dxa"/>
            <w:shd w:val="clear" w:color="auto" w:fill="auto"/>
            <w:noWrap/>
            <w:vAlign w:val="center"/>
          </w:tcPr>
          <w:p w14:paraId="258A066E" w14:textId="65CC663D"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88.6%</w:t>
            </w:r>
          </w:p>
        </w:tc>
        <w:tc>
          <w:tcPr>
            <w:tcW w:w="720" w:type="dxa"/>
            <w:shd w:val="clear" w:color="auto" w:fill="auto"/>
            <w:noWrap/>
            <w:vAlign w:val="center"/>
          </w:tcPr>
          <w:p w14:paraId="3B258260" w14:textId="6D7B3163"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88.0%</w:t>
            </w:r>
          </w:p>
        </w:tc>
        <w:tc>
          <w:tcPr>
            <w:tcW w:w="1080" w:type="dxa"/>
            <w:shd w:val="clear" w:color="auto" w:fill="auto"/>
            <w:noWrap/>
            <w:vAlign w:val="center"/>
          </w:tcPr>
          <w:p w14:paraId="2907839A" w14:textId="2A228D24"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92.5%</w:t>
            </w:r>
          </w:p>
        </w:tc>
        <w:tc>
          <w:tcPr>
            <w:tcW w:w="720" w:type="dxa"/>
            <w:shd w:val="clear" w:color="auto" w:fill="auto"/>
            <w:noWrap/>
            <w:vAlign w:val="center"/>
          </w:tcPr>
          <w:p w14:paraId="205085E9" w14:textId="0A8D6065"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89.3%</w:t>
            </w:r>
          </w:p>
        </w:tc>
        <w:tc>
          <w:tcPr>
            <w:tcW w:w="810" w:type="dxa"/>
            <w:shd w:val="clear" w:color="auto" w:fill="auto"/>
            <w:noWrap/>
            <w:vAlign w:val="center"/>
          </w:tcPr>
          <w:p w14:paraId="4C2E02C0" w14:textId="6CB7ACA6"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84.6%</w:t>
            </w:r>
          </w:p>
        </w:tc>
        <w:tc>
          <w:tcPr>
            <w:tcW w:w="810" w:type="dxa"/>
            <w:shd w:val="clear" w:color="auto" w:fill="auto"/>
            <w:noWrap/>
            <w:vAlign w:val="center"/>
          </w:tcPr>
          <w:p w14:paraId="1C2C680D" w14:textId="5D6751B7"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88.6%</w:t>
            </w:r>
          </w:p>
        </w:tc>
        <w:tc>
          <w:tcPr>
            <w:tcW w:w="810" w:type="dxa"/>
            <w:shd w:val="clear" w:color="auto" w:fill="auto"/>
            <w:noWrap/>
            <w:vAlign w:val="center"/>
          </w:tcPr>
          <w:p w14:paraId="6EA08E91" w14:textId="5FB6CB98"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92.8%</w:t>
            </w:r>
          </w:p>
        </w:tc>
        <w:tc>
          <w:tcPr>
            <w:tcW w:w="720" w:type="dxa"/>
            <w:shd w:val="clear" w:color="auto" w:fill="auto"/>
            <w:noWrap/>
            <w:vAlign w:val="center"/>
          </w:tcPr>
          <w:p w14:paraId="208A3455" w14:textId="02AD7890"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89.0%</w:t>
            </w:r>
          </w:p>
        </w:tc>
        <w:tc>
          <w:tcPr>
            <w:tcW w:w="720" w:type="dxa"/>
            <w:shd w:val="clear" w:color="auto" w:fill="auto"/>
            <w:noWrap/>
            <w:vAlign w:val="center"/>
          </w:tcPr>
          <w:p w14:paraId="71066AD5" w14:textId="283157D5" w:rsidR="00205DE8" w:rsidRPr="00394EC7" w:rsidRDefault="00205DE8" w:rsidP="00205DE8">
            <w:pPr>
              <w:spacing w:after="0"/>
              <w:jc w:val="center"/>
              <w:rPr>
                <w:rFonts w:eastAsia="Times New Roman" w:cs="Calibri"/>
                <w:color w:val="000000"/>
                <w:sz w:val="16"/>
                <w:szCs w:val="16"/>
              </w:rPr>
            </w:pPr>
            <w:r w:rsidRPr="79FF21F0">
              <w:rPr>
                <w:rFonts w:eastAsia="Times New Roman" w:cs="Calibri"/>
                <w:color w:val="000000" w:themeColor="text1"/>
                <w:sz w:val="16"/>
                <w:szCs w:val="16"/>
              </w:rPr>
              <w:t>91.8%</w:t>
            </w:r>
          </w:p>
        </w:tc>
        <w:tc>
          <w:tcPr>
            <w:tcW w:w="990" w:type="dxa"/>
            <w:shd w:val="clear" w:color="auto" w:fill="auto"/>
            <w:noWrap/>
            <w:vAlign w:val="center"/>
          </w:tcPr>
          <w:p w14:paraId="1E3D51EF" w14:textId="0C565D83" w:rsidR="00205DE8" w:rsidRPr="00394EC7" w:rsidRDefault="00205DE8" w:rsidP="00205DE8">
            <w:pPr>
              <w:spacing w:after="0"/>
              <w:jc w:val="center"/>
              <w:rPr>
                <w:rFonts w:eastAsia="Times New Roman" w:cs="Calibri"/>
                <w:color w:val="000000"/>
                <w:sz w:val="16"/>
                <w:szCs w:val="16"/>
              </w:rPr>
            </w:pPr>
            <w:r w:rsidRPr="79FF21F0">
              <w:rPr>
                <w:rFonts w:eastAsia="Times New Roman" w:cs="Calibri"/>
                <w:color w:val="000000" w:themeColor="text1"/>
                <w:sz w:val="16"/>
                <w:szCs w:val="16"/>
              </w:rPr>
              <w:t>90.9%</w:t>
            </w:r>
          </w:p>
        </w:tc>
        <w:tc>
          <w:tcPr>
            <w:tcW w:w="720" w:type="dxa"/>
            <w:tcBorders>
              <w:right w:val="single" w:sz="4" w:space="0" w:color="auto"/>
            </w:tcBorders>
            <w:shd w:val="clear" w:color="auto" w:fill="auto"/>
            <w:noWrap/>
            <w:vAlign w:val="center"/>
          </w:tcPr>
          <w:p w14:paraId="317D0EAC" w14:textId="5F19A6FC" w:rsidR="00205DE8" w:rsidRPr="00394EC7" w:rsidRDefault="00205DE8" w:rsidP="00205DE8">
            <w:pPr>
              <w:spacing w:after="0"/>
              <w:jc w:val="center"/>
              <w:rPr>
                <w:rFonts w:eastAsia="Times New Roman" w:cs="Calibri"/>
                <w:color w:val="000000"/>
                <w:sz w:val="16"/>
                <w:szCs w:val="16"/>
              </w:rPr>
            </w:pPr>
            <w:r w:rsidRPr="79FF21F0">
              <w:rPr>
                <w:rFonts w:eastAsia="Times New Roman" w:cs="Calibri"/>
                <w:color w:val="000000" w:themeColor="text1"/>
                <w:sz w:val="16"/>
                <w:szCs w:val="16"/>
              </w:rPr>
              <w:t>96.7%</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A8B5F3" w14:textId="5D1987EA" w:rsidR="00205DE8" w:rsidRPr="00394EC7" w:rsidRDefault="00205DE8" w:rsidP="00205DE8">
            <w:pPr>
              <w:spacing w:after="0"/>
              <w:jc w:val="center"/>
              <w:rPr>
                <w:rFonts w:eastAsia="Times New Roman" w:cs="Calibri"/>
                <w:color w:val="000000"/>
                <w:sz w:val="16"/>
                <w:szCs w:val="16"/>
              </w:rPr>
            </w:pPr>
            <w:r>
              <w:rPr>
                <w:rFonts w:cs="Calibri"/>
                <w:color w:val="000000"/>
                <w:sz w:val="16"/>
                <w:szCs w:val="16"/>
              </w:rPr>
              <w:t>--</w:t>
            </w:r>
            <w:r w:rsidRPr="00394EC7">
              <w:rPr>
                <w:rFonts w:cs="Calibri"/>
                <w:color w:val="000000"/>
                <w:sz w:val="16"/>
                <w:szCs w:val="16"/>
              </w:rPr>
              <w:t> </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590078" w14:textId="3901AEE8" w:rsidR="00205DE8" w:rsidRDefault="00205DE8" w:rsidP="00205DE8">
            <w:pPr>
              <w:spacing w:after="0"/>
              <w:jc w:val="center"/>
              <w:rPr>
                <w:rFonts w:eastAsia="Times New Roman" w:cs="Calibri"/>
                <w:color w:val="000000" w:themeColor="text1"/>
                <w:sz w:val="18"/>
                <w:szCs w:val="18"/>
              </w:rPr>
            </w:pPr>
            <w:r w:rsidRPr="44871088">
              <w:rPr>
                <w:rFonts w:eastAsia="Times New Roman" w:cs="Calibri"/>
                <w:color w:val="000000" w:themeColor="text1"/>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73E996" w14:textId="72D98E79" w:rsidR="00205DE8" w:rsidRDefault="00205DE8" w:rsidP="00205DE8">
            <w:pPr>
              <w:spacing w:after="0"/>
              <w:jc w:val="center"/>
              <w:rPr>
                <w:rFonts w:eastAsia="Times New Roman" w:cs="Calibri"/>
                <w:color w:val="000000" w:themeColor="text1"/>
                <w:sz w:val="18"/>
                <w:szCs w:val="18"/>
              </w:rPr>
            </w:pPr>
            <w:r w:rsidRPr="44871088">
              <w:rPr>
                <w:rFonts w:eastAsia="Times New Roman" w:cs="Calibri"/>
                <w:color w:val="000000" w:themeColor="text1"/>
                <w:sz w:val="18"/>
                <w:szCs w:val="18"/>
              </w:rPr>
              <w:t xml:space="preserve">--    </w:t>
            </w:r>
          </w:p>
        </w:tc>
      </w:tr>
      <w:tr w:rsidR="00205DE8" w14:paraId="3B2C6CC7" w14:textId="77777777" w:rsidTr="44871088">
        <w:trPr>
          <w:trHeight w:val="285"/>
        </w:trPr>
        <w:tc>
          <w:tcPr>
            <w:tcW w:w="810" w:type="dxa"/>
            <w:shd w:val="clear" w:color="auto" w:fill="F2F2F2" w:themeFill="background1" w:themeFillShade="F2"/>
            <w:noWrap/>
          </w:tcPr>
          <w:p w14:paraId="5B2858B0" w14:textId="77777777" w:rsidR="00205DE8" w:rsidRPr="00597EE2" w:rsidRDefault="00205DE8" w:rsidP="00205DE8">
            <w:pPr>
              <w:spacing w:after="0"/>
              <w:jc w:val="center"/>
              <w:rPr>
                <w:rFonts w:eastAsia="Times New Roman" w:cs="Calibri"/>
                <w:color w:val="000000"/>
                <w:sz w:val="16"/>
                <w:szCs w:val="16"/>
              </w:rPr>
            </w:pPr>
            <w:r w:rsidRPr="00597EE2">
              <w:rPr>
                <w:rFonts w:cs="Calibri"/>
                <w:color w:val="000000"/>
                <w:sz w:val="16"/>
                <w:szCs w:val="16"/>
              </w:rPr>
              <w:t xml:space="preserve">EOHHS </w:t>
            </w:r>
          </w:p>
        </w:tc>
        <w:tc>
          <w:tcPr>
            <w:tcW w:w="2880" w:type="dxa"/>
            <w:shd w:val="clear" w:color="auto" w:fill="F2F2F2" w:themeFill="background1" w:themeFillShade="F2"/>
          </w:tcPr>
          <w:p w14:paraId="35DF4542" w14:textId="77777777" w:rsidR="00205DE8" w:rsidRPr="00597EE2" w:rsidRDefault="00205DE8" w:rsidP="00205DE8">
            <w:pPr>
              <w:spacing w:after="0"/>
              <w:rPr>
                <w:rFonts w:eastAsia="Times New Roman" w:cs="Calibri"/>
                <w:sz w:val="16"/>
                <w:szCs w:val="16"/>
              </w:rPr>
            </w:pPr>
            <w:r w:rsidRPr="00597EE2">
              <w:rPr>
                <w:rFonts w:cs="Calibri"/>
                <w:color w:val="000000"/>
                <w:sz w:val="16"/>
                <w:szCs w:val="16"/>
              </w:rPr>
              <w:t>Adult: Person-Centered Integrated Care: Integration of Care</w:t>
            </w:r>
          </w:p>
        </w:tc>
        <w:tc>
          <w:tcPr>
            <w:tcW w:w="810" w:type="dxa"/>
            <w:shd w:val="clear" w:color="auto" w:fill="F2F2F2" w:themeFill="background1" w:themeFillShade="F2"/>
            <w:noWrap/>
            <w:vAlign w:val="center"/>
          </w:tcPr>
          <w:p w14:paraId="5170CF57" w14:textId="5276C54F" w:rsidR="00205DE8" w:rsidRPr="00394EC7" w:rsidRDefault="00205DE8" w:rsidP="00205DE8">
            <w:pPr>
              <w:spacing w:after="0"/>
              <w:jc w:val="center"/>
              <w:rPr>
                <w:rFonts w:eastAsia="Times New Roman" w:cs="Calibri"/>
                <w:color w:val="000000"/>
                <w:sz w:val="16"/>
                <w:szCs w:val="16"/>
              </w:rPr>
            </w:pPr>
            <w:r>
              <w:rPr>
                <w:rFonts w:eastAsia="Times New Roman" w:cs="Calibri"/>
                <w:color w:val="000000"/>
                <w:sz w:val="16"/>
                <w:szCs w:val="16"/>
              </w:rPr>
              <w:t>78.1%</w:t>
            </w:r>
          </w:p>
        </w:tc>
        <w:tc>
          <w:tcPr>
            <w:tcW w:w="720" w:type="dxa"/>
            <w:shd w:val="clear" w:color="auto" w:fill="F2F2F2" w:themeFill="background1" w:themeFillShade="F2"/>
            <w:noWrap/>
            <w:vAlign w:val="center"/>
          </w:tcPr>
          <w:p w14:paraId="6FCF18B1" w14:textId="53F6E6D5"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76.2%</w:t>
            </w:r>
          </w:p>
        </w:tc>
        <w:tc>
          <w:tcPr>
            <w:tcW w:w="720" w:type="dxa"/>
            <w:shd w:val="clear" w:color="auto" w:fill="F2F2F2" w:themeFill="background1" w:themeFillShade="F2"/>
            <w:noWrap/>
            <w:vAlign w:val="center"/>
          </w:tcPr>
          <w:p w14:paraId="76F32134" w14:textId="42024DE7"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79.8%</w:t>
            </w:r>
          </w:p>
        </w:tc>
        <w:tc>
          <w:tcPr>
            <w:tcW w:w="720" w:type="dxa"/>
            <w:shd w:val="clear" w:color="auto" w:fill="F2F2F2" w:themeFill="background1" w:themeFillShade="F2"/>
            <w:noWrap/>
            <w:vAlign w:val="center"/>
          </w:tcPr>
          <w:p w14:paraId="684DBF19" w14:textId="6D735D33"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79.2%</w:t>
            </w:r>
          </w:p>
        </w:tc>
        <w:tc>
          <w:tcPr>
            <w:tcW w:w="720" w:type="dxa"/>
            <w:shd w:val="clear" w:color="auto" w:fill="F2F2F2" w:themeFill="background1" w:themeFillShade="F2"/>
            <w:noWrap/>
            <w:vAlign w:val="center"/>
          </w:tcPr>
          <w:p w14:paraId="09A921FD" w14:textId="7DCB55E6"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75.8%</w:t>
            </w:r>
          </w:p>
        </w:tc>
        <w:tc>
          <w:tcPr>
            <w:tcW w:w="720" w:type="dxa"/>
            <w:shd w:val="clear" w:color="auto" w:fill="F2F2F2" w:themeFill="background1" w:themeFillShade="F2"/>
            <w:noWrap/>
            <w:vAlign w:val="center"/>
          </w:tcPr>
          <w:p w14:paraId="38899CB6" w14:textId="7CAB59CD"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72.4%</w:t>
            </w:r>
          </w:p>
        </w:tc>
        <w:tc>
          <w:tcPr>
            <w:tcW w:w="810" w:type="dxa"/>
            <w:shd w:val="clear" w:color="auto" w:fill="F2F2F2" w:themeFill="background1" w:themeFillShade="F2"/>
            <w:noWrap/>
            <w:vAlign w:val="center"/>
          </w:tcPr>
          <w:p w14:paraId="124DB5A1" w14:textId="54A11A69"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81.5%</w:t>
            </w:r>
          </w:p>
        </w:tc>
        <w:tc>
          <w:tcPr>
            <w:tcW w:w="720" w:type="dxa"/>
            <w:shd w:val="clear" w:color="auto" w:fill="F2F2F2" w:themeFill="background1" w:themeFillShade="F2"/>
            <w:noWrap/>
            <w:vAlign w:val="center"/>
          </w:tcPr>
          <w:p w14:paraId="4A3DAE37" w14:textId="437F219C"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78.3%</w:t>
            </w:r>
          </w:p>
        </w:tc>
        <w:tc>
          <w:tcPr>
            <w:tcW w:w="720" w:type="dxa"/>
            <w:shd w:val="clear" w:color="auto" w:fill="F2F2F2" w:themeFill="background1" w:themeFillShade="F2"/>
            <w:noWrap/>
            <w:vAlign w:val="center"/>
          </w:tcPr>
          <w:p w14:paraId="3B514DD2" w14:textId="7F3933FC"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77.0%</w:t>
            </w:r>
          </w:p>
        </w:tc>
        <w:tc>
          <w:tcPr>
            <w:tcW w:w="1080" w:type="dxa"/>
            <w:shd w:val="clear" w:color="auto" w:fill="F2F2F2" w:themeFill="background1" w:themeFillShade="F2"/>
            <w:noWrap/>
            <w:vAlign w:val="center"/>
          </w:tcPr>
          <w:p w14:paraId="392342F6" w14:textId="508C5457"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82.1%</w:t>
            </w:r>
          </w:p>
        </w:tc>
        <w:tc>
          <w:tcPr>
            <w:tcW w:w="720" w:type="dxa"/>
            <w:shd w:val="clear" w:color="auto" w:fill="F2F2F2" w:themeFill="background1" w:themeFillShade="F2"/>
            <w:noWrap/>
            <w:vAlign w:val="center"/>
          </w:tcPr>
          <w:p w14:paraId="18CCB0C2" w14:textId="328C68F2"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74.9%</w:t>
            </w:r>
          </w:p>
        </w:tc>
        <w:tc>
          <w:tcPr>
            <w:tcW w:w="810" w:type="dxa"/>
            <w:shd w:val="clear" w:color="auto" w:fill="F2F2F2" w:themeFill="background1" w:themeFillShade="F2"/>
            <w:noWrap/>
            <w:vAlign w:val="center"/>
          </w:tcPr>
          <w:p w14:paraId="7FA5D0B3" w14:textId="4FA2CF80"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70.8%</w:t>
            </w:r>
          </w:p>
        </w:tc>
        <w:tc>
          <w:tcPr>
            <w:tcW w:w="810" w:type="dxa"/>
            <w:shd w:val="clear" w:color="auto" w:fill="F2F2F2" w:themeFill="background1" w:themeFillShade="F2"/>
            <w:noWrap/>
            <w:vAlign w:val="center"/>
          </w:tcPr>
          <w:p w14:paraId="17445525" w14:textId="33FF3532"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74.7%</w:t>
            </w:r>
          </w:p>
        </w:tc>
        <w:tc>
          <w:tcPr>
            <w:tcW w:w="810" w:type="dxa"/>
            <w:shd w:val="clear" w:color="auto" w:fill="F2F2F2" w:themeFill="background1" w:themeFillShade="F2"/>
            <w:noWrap/>
            <w:vAlign w:val="center"/>
          </w:tcPr>
          <w:p w14:paraId="3383387F" w14:textId="60A894E1"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79.8%</w:t>
            </w:r>
          </w:p>
        </w:tc>
        <w:tc>
          <w:tcPr>
            <w:tcW w:w="720" w:type="dxa"/>
            <w:shd w:val="clear" w:color="auto" w:fill="F2F2F2" w:themeFill="background1" w:themeFillShade="F2"/>
            <w:noWrap/>
            <w:vAlign w:val="center"/>
          </w:tcPr>
          <w:p w14:paraId="4C1B21A0" w14:textId="3E647426"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72.7%</w:t>
            </w:r>
          </w:p>
        </w:tc>
        <w:tc>
          <w:tcPr>
            <w:tcW w:w="720" w:type="dxa"/>
            <w:shd w:val="clear" w:color="auto" w:fill="F2F2F2" w:themeFill="background1" w:themeFillShade="F2"/>
            <w:noWrap/>
            <w:vAlign w:val="center"/>
          </w:tcPr>
          <w:p w14:paraId="47E5C786" w14:textId="76089A88" w:rsidR="00205DE8" w:rsidRPr="00394EC7" w:rsidRDefault="00205DE8" w:rsidP="00205DE8">
            <w:pPr>
              <w:spacing w:after="0"/>
              <w:jc w:val="center"/>
              <w:rPr>
                <w:rFonts w:eastAsia="Times New Roman" w:cs="Calibri"/>
                <w:color w:val="000000"/>
                <w:sz w:val="16"/>
                <w:szCs w:val="16"/>
              </w:rPr>
            </w:pPr>
            <w:r w:rsidRPr="79FF21F0">
              <w:rPr>
                <w:rFonts w:eastAsia="Times New Roman" w:cs="Calibri"/>
                <w:color w:val="000000" w:themeColor="text1"/>
                <w:sz w:val="16"/>
                <w:szCs w:val="16"/>
              </w:rPr>
              <w:t>80.2%</w:t>
            </w:r>
          </w:p>
        </w:tc>
        <w:tc>
          <w:tcPr>
            <w:tcW w:w="990" w:type="dxa"/>
            <w:shd w:val="clear" w:color="auto" w:fill="F2F2F2" w:themeFill="background1" w:themeFillShade="F2"/>
            <w:noWrap/>
            <w:vAlign w:val="center"/>
          </w:tcPr>
          <w:p w14:paraId="552435B2" w14:textId="346C1EE7" w:rsidR="00205DE8" w:rsidRPr="00394EC7" w:rsidRDefault="00205DE8" w:rsidP="00205DE8">
            <w:pPr>
              <w:spacing w:after="0"/>
              <w:jc w:val="center"/>
              <w:rPr>
                <w:rFonts w:eastAsia="Times New Roman" w:cs="Calibri"/>
                <w:color w:val="000000"/>
                <w:sz w:val="16"/>
                <w:szCs w:val="16"/>
              </w:rPr>
            </w:pPr>
            <w:r w:rsidRPr="79FF21F0">
              <w:rPr>
                <w:rFonts w:eastAsia="Times New Roman" w:cs="Calibri"/>
                <w:color w:val="000000" w:themeColor="text1"/>
                <w:sz w:val="16"/>
                <w:szCs w:val="16"/>
              </w:rPr>
              <w:t>77.6%</w:t>
            </w:r>
          </w:p>
        </w:tc>
        <w:tc>
          <w:tcPr>
            <w:tcW w:w="720" w:type="dxa"/>
            <w:tcBorders>
              <w:right w:val="single" w:sz="4" w:space="0" w:color="auto"/>
            </w:tcBorders>
            <w:shd w:val="clear" w:color="auto" w:fill="F2F2F2" w:themeFill="background1" w:themeFillShade="F2"/>
            <w:noWrap/>
            <w:vAlign w:val="center"/>
          </w:tcPr>
          <w:p w14:paraId="692CDB95" w14:textId="0DDFAE99" w:rsidR="00205DE8" w:rsidRPr="00394EC7" w:rsidRDefault="00205DE8" w:rsidP="00205DE8">
            <w:pPr>
              <w:spacing w:after="0"/>
              <w:jc w:val="center"/>
              <w:rPr>
                <w:rFonts w:eastAsia="Times New Roman" w:cs="Calibri"/>
                <w:color w:val="000000"/>
                <w:sz w:val="16"/>
                <w:szCs w:val="16"/>
              </w:rPr>
            </w:pPr>
            <w:r w:rsidRPr="79FF21F0">
              <w:rPr>
                <w:rFonts w:eastAsia="Times New Roman" w:cs="Calibri"/>
                <w:color w:val="000000" w:themeColor="text1"/>
                <w:sz w:val="16"/>
                <w:szCs w:val="16"/>
              </w:rPr>
              <w:t>78.4%</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8F0CEDF" w14:textId="4590FA47" w:rsidR="00205DE8" w:rsidRPr="00394EC7" w:rsidRDefault="00205DE8" w:rsidP="00205DE8">
            <w:pPr>
              <w:spacing w:after="0"/>
              <w:jc w:val="center"/>
              <w:rPr>
                <w:rFonts w:eastAsia="Times New Roman" w:cs="Calibri"/>
                <w:color w:val="000000"/>
                <w:sz w:val="16"/>
                <w:szCs w:val="16"/>
              </w:rPr>
            </w:pPr>
            <w:r w:rsidRPr="00394EC7">
              <w:rPr>
                <w:rFonts w:cs="Calibri"/>
                <w:color w:val="000000"/>
                <w:sz w:val="16"/>
                <w:szCs w:val="16"/>
              </w:rPr>
              <w:t> </w:t>
            </w:r>
            <w:r>
              <w:rPr>
                <w:rFonts w:cs="Calibri"/>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93D48DB" w14:textId="10F74245" w:rsidR="00205DE8" w:rsidRDefault="00205DE8" w:rsidP="00205DE8">
            <w:pPr>
              <w:spacing w:after="0"/>
              <w:jc w:val="center"/>
              <w:rPr>
                <w:rFonts w:eastAsia="Times New Roman" w:cs="Calibri"/>
                <w:color w:val="000000" w:themeColor="text1"/>
                <w:sz w:val="18"/>
                <w:szCs w:val="18"/>
              </w:rPr>
            </w:pPr>
            <w:r w:rsidRPr="44871088">
              <w:rPr>
                <w:rFonts w:eastAsia="Times New Roman" w:cs="Calibri"/>
                <w:color w:val="000000" w:themeColor="text1"/>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F20DF89" w14:textId="67558086" w:rsidR="00205DE8" w:rsidRDefault="00205DE8" w:rsidP="00205DE8">
            <w:pPr>
              <w:spacing w:after="0"/>
              <w:jc w:val="center"/>
              <w:rPr>
                <w:rFonts w:eastAsia="Times New Roman" w:cs="Calibri"/>
                <w:color w:val="000000" w:themeColor="text1"/>
                <w:sz w:val="18"/>
                <w:szCs w:val="18"/>
              </w:rPr>
            </w:pPr>
            <w:r w:rsidRPr="44871088">
              <w:rPr>
                <w:rFonts w:eastAsia="Times New Roman" w:cs="Calibri"/>
                <w:color w:val="000000" w:themeColor="text1"/>
                <w:sz w:val="18"/>
                <w:szCs w:val="18"/>
              </w:rPr>
              <w:t xml:space="preserve">--    </w:t>
            </w:r>
          </w:p>
        </w:tc>
      </w:tr>
      <w:tr w:rsidR="00205DE8" w14:paraId="56452234" w14:textId="77777777" w:rsidTr="44871088">
        <w:trPr>
          <w:trHeight w:val="285"/>
        </w:trPr>
        <w:tc>
          <w:tcPr>
            <w:tcW w:w="810" w:type="dxa"/>
            <w:shd w:val="clear" w:color="auto" w:fill="auto"/>
            <w:noWrap/>
          </w:tcPr>
          <w:p w14:paraId="3255D840" w14:textId="77777777" w:rsidR="00205DE8" w:rsidRPr="00597EE2" w:rsidRDefault="00205DE8" w:rsidP="00205DE8">
            <w:pPr>
              <w:spacing w:after="0"/>
              <w:jc w:val="center"/>
              <w:rPr>
                <w:rFonts w:eastAsia="Times New Roman" w:cs="Calibri"/>
                <w:color w:val="000000"/>
                <w:sz w:val="16"/>
                <w:szCs w:val="16"/>
              </w:rPr>
            </w:pPr>
            <w:r w:rsidRPr="00597EE2">
              <w:rPr>
                <w:rFonts w:cs="Calibri"/>
                <w:color w:val="000000"/>
                <w:sz w:val="16"/>
                <w:szCs w:val="16"/>
              </w:rPr>
              <w:t xml:space="preserve">EOHHS </w:t>
            </w:r>
          </w:p>
        </w:tc>
        <w:tc>
          <w:tcPr>
            <w:tcW w:w="2880" w:type="dxa"/>
            <w:shd w:val="clear" w:color="auto" w:fill="auto"/>
          </w:tcPr>
          <w:p w14:paraId="2255CD71" w14:textId="36B6FD90" w:rsidR="00205DE8" w:rsidRPr="00597EE2" w:rsidRDefault="00205DE8" w:rsidP="00205DE8">
            <w:pPr>
              <w:spacing w:after="0"/>
              <w:rPr>
                <w:rFonts w:eastAsia="Times New Roman" w:cs="Calibri"/>
                <w:sz w:val="16"/>
                <w:szCs w:val="16"/>
              </w:rPr>
            </w:pPr>
            <w:r w:rsidRPr="00597EE2">
              <w:rPr>
                <w:rFonts w:cs="Calibri"/>
                <w:color w:val="000000"/>
                <w:sz w:val="16"/>
                <w:szCs w:val="16"/>
              </w:rPr>
              <w:t>Child</w:t>
            </w:r>
            <w:r w:rsidR="008E50FE" w:rsidRPr="00597EE2">
              <w:rPr>
                <w:rFonts w:cs="Calibri"/>
                <w:color w:val="000000"/>
                <w:sz w:val="16"/>
                <w:szCs w:val="16"/>
              </w:rPr>
              <w:t>: Person</w:t>
            </w:r>
            <w:r w:rsidRPr="00597EE2">
              <w:rPr>
                <w:rFonts w:cs="Calibri"/>
                <w:color w:val="000000"/>
                <w:sz w:val="16"/>
                <w:szCs w:val="16"/>
              </w:rPr>
              <w:t>-Centered Integrated Care: Integration of Care</w:t>
            </w:r>
          </w:p>
        </w:tc>
        <w:tc>
          <w:tcPr>
            <w:tcW w:w="810" w:type="dxa"/>
            <w:shd w:val="clear" w:color="auto" w:fill="auto"/>
            <w:noWrap/>
            <w:vAlign w:val="center"/>
          </w:tcPr>
          <w:p w14:paraId="50B738BF" w14:textId="317C5578" w:rsidR="00205DE8" w:rsidRPr="00394EC7" w:rsidRDefault="00205DE8" w:rsidP="00205DE8">
            <w:pPr>
              <w:spacing w:after="0"/>
              <w:jc w:val="center"/>
              <w:rPr>
                <w:rFonts w:eastAsia="Times New Roman" w:cs="Calibri"/>
                <w:color w:val="000000"/>
                <w:sz w:val="16"/>
                <w:szCs w:val="16"/>
              </w:rPr>
            </w:pPr>
            <w:r>
              <w:rPr>
                <w:rFonts w:eastAsia="Times New Roman" w:cs="Calibri"/>
                <w:color w:val="000000"/>
                <w:sz w:val="16"/>
                <w:szCs w:val="16"/>
              </w:rPr>
              <w:t>78.6%</w:t>
            </w:r>
          </w:p>
        </w:tc>
        <w:tc>
          <w:tcPr>
            <w:tcW w:w="720" w:type="dxa"/>
            <w:shd w:val="clear" w:color="auto" w:fill="auto"/>
            <w:noWrap/>
            <w:vAlign w:val="center"/>
          </w:tcPr>
          <w:p w14:paraId="2008E948" w14:textId="2EC8ABAD"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76.1%</w:t>
            </w:r>
          </w:p>
        </w:tc>
        <w:tc>
          <w:tcPr>
            <w:tcW w:w="720" w:type="dxa"/>
            <w:shd w:val="clear" w:color="auto" w:fill="auto"/>
            <w:noWrap/>
            <w:vAlign w:val="center"/>
          </w:tcPr>
          <w:p w14:paraId="10EA263B" w14:textId="636EC577"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78.3%</w:t>
            </w:r>
          </w:p>
        </w:tc>
        <w:tc>
          <w:tcPr>
            <w:tcW w:w="720" w:type="dxa"/>
            <w:shd w:val="clear" w:color="auto" w:fill="auto"/>
            <w:noWrap/>
            <w:vAlign w:val="center"/>
          </w:tcPr>
          <w:p w14:paraId="01C96C52" w14:textId="2B9A5A39"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77.6%</w:t>
            </w:r>
          </w:p>
        </w:tc>
        <w:tc>
          <w:tcPr>
            <w:tcW w:w="720" w:type="dxa"/>
            <w:shd w:val="clear" w:color="auto" w:fill="auto"/>
            <w:noWrap/>
            <w:vAlign w:val="center"/>
          </w:tcPr>
          <w:p w14:paraId="274D32D3" w14:textId="5B83F713"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72.9%</w:t>
            </w:r>
          </w:p>
        </w:tc>
        <w:tc>
          <w:tcPr>
            <w:tcW w:w="720" w:type="dxa"/>
            <w:shd w:val="clear" w:color="auto" w:fill="auto"/>
            <w:noWrap/>
            <w:vAlign w:val="center"/>
          </w:tcPr>
          <w:p w14:paraId="57A38280" w14:textId="70AA80D8"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73.3%</w:t>
            </w:r>
          </w:p>
        </w:tc>
        <w:tc>
          <w:tcPr>
            <w:tcW w:w="810" w:type="dxa"/>
            <w:shd w:val="clear" w:color="auto" w:fill="auto"/>
            <w:noWrap/>
            <w:vAlign w:val="center"/>
          </w:tcPr>
          <w:p w14:paraId="36D23BAC" w14:textId="581DE2B7"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79.4%</w:t>
            </w:r>
          </w:p>
        </w:tc>
        <w:tc>
          <w:tcPr>
            <w:tcW w:w="720" w:type="dxa"/>
            <w:shd w:val="clear" w:color="auto" w:fill="auto"/>
            <w:noWrap/>
            <w:vAlign w:val="center"/>
          </w:tcPr>
          <w:p w14:paraId="3A4800CA" w14:textId="0D8F7740"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76.3%</w:t>
            </w:r>
          </w:p>
        </w:tc>
        <w:tc>
          <w:tcPr>
            <w:tcW w:w="720" w:type="dxa"/>
            <w:shd w:val="clear" w:color="auto" w:fill="auto"/>
            <w:noWrap/>
            <w:vAlign w:val="center"/>
          </w:tcPr>
          <w:p w14:paraId="77530DE9" w14:textId="53DE93E3"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74.4%</w:t>
            </w:r>
          </w:p>
        </w:tc>
        <w:tc>
          <w:tcPr>
            <w:tcW w:w="1080" w:type="dxa"/>
            <w:shd w:val="clear" w:color="auto" w:fill="auto"/>
            <w:noWrap/>
            <w:vAlign w:val="center"/>
          </w:tcPr>
          <w:p w14:paraId="48499D41" w14:textId="1CDC49CD"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80.7%</w:t>
            </w:r>
          </w:p>
        </w:tc>
        <w:tc>
          <w:tcPr>
            <w:tcW w:w="720" w:type="dxa"/>
            <w:shd w:val="clear" w:color="auto" w:fill="auto"/>
            <w:noWrap/>
            <w:vAlign w:val="center"/>
          </w:tcPr>
          <w:p w14:paraId="4B2298F6" w14:textId="4A080B3F"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73.8%</w:t>
            </w:r>
          </w:p>
        </w:tc>
        <w:tc>
          <w:tcPr>
            <w:tcW w:w="810" w:type="dxa"/>
            <w:shd w:val="clear" w:color="auto" w:fill="auto"/>
            <w:noWrap/>
            <w:vAlign w:val="center"/>
          </w:tcPr>
          <w:p w14:paraId="0952E0C0" w14:textId="31A45E8F"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79.6%</w:t>
            </w:r>
          </w:p>
        </w:tc>
        <w:tc>
          <w:tcPr>
            <w:tcW w:w="810" w:type="dxa"/>
            <w:shd w:val="clear" w:color="auto" w:fill="auto"/>
            <w:noWrap/>
            <w:vAlign w:val="center"/>
          </w:tcPr>
          <w:p w14:paraId="4B84CEE3" w14:textId="09CC524B"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71.4%</w:t>
            </w:r>
          </w:p>
        </w:tc>
        <w:tc>
          <w:tcPr>
            <w:tcW w:w="810" w:type="dxa"/>
            <w:shd w:val="clear" w:color="auto" w:fill="auto"/>
            <w:noWrap/>
            <w:vAlign w:val="center"/>
          </w:tcPr>
          <w:p w14:paraId="4101A997" w14:textId="7E7DBF84"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80.7%</w:t>
            </w:r>
          </w:p>
        </w:tc>
        <w:tc>
          <w:tcPr>
            <w:tcW w:w="720" w:type="dxa"/>
            <w:shd w:val="clear" w:color="auto" w:fill="auto"/>
            <w:noWrap/>
            <w:vAlign w:val="center"/>
          </w:tcPr>
          <w:p w14:paraId="77D3D880" w14:textId="3929149A"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73.0%</w:t>
            </w:r>
          </w:p>
        </w:tc>
        <w:tc>
          <w:tcPr>
            <w:tcW w:w="720" w:type="dxa"/>
            <w:shd w:val="clear" w:color="auto" w:fill="auto"/>
            <w:noWrap/>
            <w:vAlign w:val="center"/>
          </w:tcPr>
          <w:p w14:paraId="15258DC1" w14:textId="62472830" w:rsidR="00205DE8" w:rsidRPr="00394EC7" w:rsidRDefault="00205DE8" w:rsidP="00205DE8">
            <w:pPr>
              <w:spacing w:after="0"/>
              <w:jc w:val="center"/>
              <w:rPr>
                <w:rFonts w:eastAsia="Times New Roman" w:cs="Calibri"/>
                <w:color w:val="000000"/>
                <w:sz w:val="16"/>
                <w:szCs w:val="16"/>
              </w:rPr>
            </w:pPr>
            <w:r w:rsidRPr="79FF21F0">
              <w:rPr>
                <w:rFonts w:eastAsia="Times New Roman" w:cs="Calibri"/>
                <w:color w:val="000000" w:themeColor="text1"/>
                <w:sz w:val="16"/>
                <w:szCs w:val="16"/>
              </w:rPr>
              <w:t>78.4%</w:t>
            </w:r>
          </w:p>
        </w:tc>
        <w:tc>
          <w:tcPr>
            <w:tcW w:w="990" w:type="dxa"/>
            <w:shd w:val="clear" w:color="auto" w:fill="auto"/>
            <w:noWrap/>
            <w:vAlign w:val="center"/>
          </w:tcPr>
          <w:p w14:paraId="5CBBE447" w14:textId="02C0C294" w:rsidR="00205DE8" w:rsidRPr="00394EC7" w:rsidRDefault="00205DE8" w:rsidP="00205DE8">
            <w:pPr>
              <w:spacing w:after="0"/>
              <w:jc w:val="center"/>
              <w:rPr>
                <w:rFonts w:eastAsia="Times New Roman" w:cs="Calibri"/>
                <w:color w:val="000000"/>
                <w:sz w:val="16"/>
                <w:szCs w:val="16"/>
              </w:rPr>
            </w:pPr>
            <w:r w:rsidRPr="79FF21F0">
              <w:rPr>
                <w:rFonts w:eastAsia="Times New Roman" w:cs="Calibri"/>
                <w:color w:val="000000" w:themeColor="text1"/>
                <w:sz w:val="16"/>
                <w:szCs w:val="16"/>
              </w:rPr>
              <w:t>79.3%</w:t>
            </w:r>
          </w:p>
        </w:tc>
        <w:tc>
          <w:tcPr>
            <w:tcW w:w="720" w:type="dxa"/>
            <w:tcBorders>
              <w:right w:val="single" w:sz="4" w:space="0" w:color="auto"/>
            </w:tcBorders>
            <w:shd w:val="clear" w:color="auto" w:fill="auto"/>
            <w:noWrap/>
            <w:vAlign w:val="center"/>
          </w:tcPr>
          <w:p w14:paraId="2F31565B" w14:textId="28A3F580" w:rsidR="00205DE8" w:rsidRPr="00394EC7" w:rsidRDefault="00205DE8" w:rsidP="00205DE8">
            <w:pPr>
              <w:spacing w:after="0"/>
              <w:jc w:val="center"/>
              <w:rPr>
                <w:rFonts w:eastAsia="Times New Roman" w:cs="Calibri"/>
                <w:color w:val="000000"/>
                <w:sz w:val="16"/>
                <w:szCs w:val="16"/>
              </w:rPr>
            </w:pPr>
            <w:r w:rsidRPr="79FF21F0">
              <w:rPr>
                <w:rFonts w:eastAsia="Times New Roman" w:cs="Calibri"/>
                <w:color w:val="000000" w:themeColor="text1"/>
                <w:sz w:val="16"/>
                <w:szCs w:val="16"/>
              </w:rPr>
              <w:t>95.2%</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CA9D61" w14:textId="1AF85EAB" w:rsidR="00205DE8" w:rsidRPr="00394EC7" w:rsidRDefault="00205DE8" w:rsidP="00205DE8">
            <w:pPr>
              <w:spacing w:after="0"/>
              <w:jc w:val="center"/>
              <w:rPr>
                <w:rFonts w:eastAsia="Times New Roman" w:cs="Calibri"/>
                <w:color w:val="000000"/>
                <w:sz w:val="16"/>
                <w:szCs w:val="16"/>
              </w:rPr>
            </w:pPr>
            <w:r w:rsidRPr="00394EC7">
              <w:rPr>
                <w:rFonts w:cs="Calibri"/>
                <w:color w:val="000000"/>
                <w:sz w:val="16"/>
                <w:szCs w:val="16"/>
              </w:rPr>
              <w:t> </w:t>
            </w:r>
            <w:r>
              <w:rPr>
                <w:rFonts w:cs="Calibri"/>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044E2F" w14:textId="1D63F599" w:rsidR="00205DE8" w:rsidRDefault="00205DE8" w:rsidP="00205DE8">
            <w:pPr>
              <w:spacing w:after="0"/>
              <w:jc w:val="center"/>
              <w:rPr>
                <w:rFonts w:eastAsia="Times New Roman" w:cs="Calibri"/>
                <w:color w:val="000000" w:themeColor="text1"/>
                <w:sz w:val="18"/>
                <w:szCs w:val="18"/>
              </w:rPr>
            </w:pPr>
            <w:r w:rsidRPr="44871088">
              <w:rPr>
                <w:rFonts w:eastAsia="Times New Roman" w:cs="Calibri"/>
                <w:color w:val="000000" w:themeColor="text1"/>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382089" w14:textId="5738953C" w:rsidR="00205DE8" w:rsidRDefault="00205DE8" w:rsidP="00205DE8">
            <w:pPr>
              <w:spacing w:after="0"/>
              <w:jc w:val="center"/>
              <w:rPr>
                <w:rFonts w:eastAsia="Times New Roman" w:cs="Calibri"/>
                <w:color w:val="000000" w:themeColor="text1"/>
                <w:sz w:val="18"/>
                <w:szCs w:val="18"/>
              </w:rPr>
            </w:pPr>
            <w:r w:rsidRPr="44871088">
              <w:rPr>
                <w:rFonts w:eastAsia="Times New Roman" w:cs="Calibri"/>
                <w:color w:val="000000" w:themeColor="text1"/>
                <w:sz w:val="18"/>
                <w:szCs w:val="18"/>
              </w:rPr>
              <w:t xml:space="preserve">--    </w:t>
            </w:r>
          </w:p>
        </w:tc>
      </w:tr>
      <w:tr w:rsidR="00205DE8" w14:paraId="166430ED" w14:textId="77777777" w:rsidTr="44871088">
        <w:trPr>
          <w:trHeight w:val="285"/>
        </w:trPr>
        <w:tc>
          <w:tcPr>
            <w:tcW w:w="810" w:type="dxa"/>
            <w:shd w:val="clear" w:color="auto" w:fill="F2F2F2" w:themeFill="background1" w:themeFillShade="F2"/>
            <w:noWrap/>
          </w:tcPr>
          <w:p w14:paraId="353E0E2A" w14:textId="77777777" w:rsidR="00205DE8" w:rsidRPr="00597EE2" w:rsidRDefault="00205DE8" w:rsidP="00205DE8">
            <w:pPr>
              <w:spacing w:after="0"/>
              <w:jc w:val="center"/>
              <w:rPr>
                <w:rFonts w:eastAsia="Times New Roman" w:cs="Calibri"/>
                <w:color w:val="000000"/>
                <w:sz w:val="16"/>
                <w:szCs w:val="16"/>
              </w:rPr>
            </w:pPr>
            <w:r w:rsidRPr="00597EE2">
              <w:rPr>
                <w:rFonts w:cs="Calibri"/>
                <w:color w:val="000000"/>
                <w:sz w:val="16"/>
                <w:szCs w:val="16"/>
              </w:rPr>
              <w:t>EOHH</w:t>
            </w:r>
            <w:r>
              <w:rPr>
                <w:rFonts w:cs="Calibri"/>
                <w:color w:val="000000"/>
                <w:sz w:val="16"/>
                <w:szCs w:val="16"/>
              </w:rPr>
              <w:t>S</w:t>
            </w:r>
            <w:r w:rsidRPr="00597EE2">
              <w:rPr>
                <w:rFonts w:cs="Calibri"/>
                <w:color w:val="000000"/>
                <w:sz w:val="16"/>
                <w:szCs w:val="16"/>
              </w:rPr>
              <w:t xml:space="preserve"> </w:t>
            </w:r>
          </w:p>
        </w:tc>
        <w:tc>
          <w:tcPr>
            <w:tcW w:w="2880" w:type="dxa"/>
            <w:shd w:val="clear" w:color="auto" w:fill="F2F2F2" w:themeFill="background1" w:themeFillShade="F2"/>
            <w:vAlign w:val="bottom"/>
          </w:tcPr>
          <w:p w14:paraId="28B242F7" w14:textId="252A6132" w:rsidR="00205DE8" w:rsidRPr="00597EE2" w:rsidRDefault="00205DE8" w:rsidP="00205DE8">
            <w:pPr>
              <w:spacing w:after="0"/>
              <w:rPr>
                <w:rFonts w:eastAsia="Times New Roman" w:cs="Calibri"/>
                <w:sz w:val="16"/>
                <w:szCs w:val="16"/>
              </w:rPr>
            </w:pPr>
            <w:r w:rsidRPr="00597EE2">
              <w:rPr>
                <w:rFonts w:cs="Calibri"/>
                <w:color w:val="000000"/>
                <w:sz w:val="16"/>
                <w:szCs w:val="16"/>
              </w:rPr>
              <w:t>Adult</w:t>
            </w:r>
            <w:r w:rsidR="008E50FE" w:rsidRPr="00597EE2">
              <w:rPr>
                <w:rFonts w:cs="Calibri"/>
                <w:color w:val="000000"/>
                <w:sz w:val="16"/>
                <w:szCs w:val="16"/>
              </w:rPr>
              <w:t>: Person</w:t>
            </w:r>
            <w:r w:rsidRPr="00597EE2">
              <w:rPr>
                <w:rFonts w:cs="Calibri"/>
                <w:color w:val="000000"/>
                <w:sz w:val="16"/>
                <w:szCs w:val="16"/>
              </w:rPr>
              <w:t>-Centered Integrated Care: Knowledge of Patient</w:t>
            </w:r>
          </w:p>
        </w:tc>
        <w:tc>
          <w:tcPr>
            <w:tcW w:w="810" w:type="dxa"/>
            <w:shd w:val="clear" w:color="auto" w:fill="F2F2F2" w:themeFill="background1" w:themeFillShade="F2"/>
            <w:noWrap/>
            <w:vAlign w:val="center"/>
          </w:tcPr>
          <w:p w14:paraId="59BFD22C" w14:textId="09E7BA68" w:rsidR="00205DE8" w:rsidRPr="00394EC7" w:rsidRDefault="00205DE8" w:rsidP="00205DE8">
            <w:pPr>
              <w:spacing w:after="0"/>
              <w:jc w:val="center"/>
              <w:rPr>
                <w:rFonts w:eastAsia="Times New Roman" w:cs="Calibri"/>
                <w:color w:val="000000"/>
                <w:sz w:val="16"/>
                <w:szCs w:val="16"/>
              </w:rPr>
            </w:pPr>
            <w:r>
              <w:rPr>
                <w:rFonts w:eastAsia="Times New Roman" w:cs="Calibri"/>
                <w:color w:val="000000"/>
                <w:sz w:val="16"/>
                <w:szCs w:val="16"/>
              </w:rPr>
              <w:t>81.5%</w:t>
            </w:r>
          </w:p>
        </w:tc>
        <w:tc>
          <w:tcPr>
            <w:tcW w:w="720" w:type="dxa"/>
            <w:shd w:val="clear" w:color="auto" w:fill="F2F2F2" w:themeFill="background1" w:themeFillShade="F2"/>
            <w:noWrap/>
            <w:vAlign w:val="center"/>
          </w:tcPr>
          <w:p w14:paraId="2EEED706" w14:textId="78083647"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82.2%</w:t>
            </w:r>
          </w:p>
        </w:tc>
        <w:tc>
          <w:tcPr>
            <w:tcW w:w="720" w:type="dxa"/>
            <w:shd w:val="clear" w:color="auto" w:fill="F2F2F2" w:themeFill="background1" w:themeFillShade="F2"/>
            <w:noWrap/>
            <w:vAlign w:val="center"/>
          </w:tcPr>
          <w:p w14:paraId="1BBBD062" w14:textId="6E1735EE"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82.7%</w:t>
            </w:r>
          </w:p>
        </w:tc>
        <w:tc>
          <w:tcPr>
            <w:tcW w:w="720" w:type="dxa"/>
            <w:shd w:val="clear" w:color="auto" w:fill="F2F2F2" w:themeFill="background1" w:themeFillShade="F2"/>
            <w:noWrap/>
            <w:vAlign w:val="center"/>
          </w:tcPr>
          <w:p w14:paraId="0F35F2DB" w14:textId="0B7CDA49"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84.5%</w:t>
            </w:r>
          </w:p>
        </w:tc>
        <w:tc>
          <w:tcPr>
            <w:tcW w:w="720" w:type="dxa"/>
            <w:shd w:val="clear" w:color="auto" w:fill="F2F2F2" w:themeFill="background1" w:themeFillShade="F2"/>
            <w:noWrap/>
            <w:vAlign w:val="center"/>
          </w:tcPr>
          <w:p w14:paraId="23B27854" w14:textId="4FCEC882"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80.6%</w:t>
            </w:r>
          </w:p>
        </w:tc>
        <w:tc>
          <w:tcPr>
            <w:tcW w:w="720" w:type="dxa"/>
            <w:shd w:val="clear" w:color="auto" w:fill="F2F2F2" w:themeFill="background1" w:themeFillShade="F2"/>
            <w:noWrap/>
            <w:vAlign w:val="center"/>
          </w:tcPr>
          <w:p w14:paraId="10BEEDE8" w14:textId="4AEF0096"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80.0%</w:t>
            </w:r>
          </w:p>
        </w:tc>
        <w:tc>
          <w:tcPr>
            <w:tcW w:w="810" w:type="dxa"/>
            <w:shd w:val="clear" w:color="auto" w:fill="F2F2F2" w:themeFill="background1" w:themeFillShade="F2"/>
            <w:noWrap/>
            <w:vAlign w:val="center"/>
          </w:tcPr>
          <w:p w14:paraId="07B9AA63" w14:textId="4DF660C5"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84.6%</w:t>
            </w:r>
          </w:p>
        </w:tc>
        <w:tc>
          <w:tcPr>
            <w:tcW w:w="720" w:type="dxa"/>
            <w:shd w:val="clear" w:color="auto" w:fill="F2F2F2" w:themeFill="background1" w:themeFillShade="F2"/>
            <w:noWrap/>
            <w:vAlign w:val="center"/>
          </w:tcPr>
          <w:p w14:paraId="78CA47EA" w14:textId="7FEB3D14"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81.3%</w:t>
            </w:r>
          </w:p>
        </w:tc>
        <w:tc>
          <w:tcPr>
            <w:tcW w:w="720" w:type="dxa"/>
            <w:shd w:val="clear" w:color="auto" w:fill="F2F2F2" w:themeFill="background1" w:themeFillShade="F2"/>
            <w:noWrap/>
            <w:vAlign w:val="center"/>
          </w:tcPr>
          <w:p w14:paraId="0335E5CE" w14:textId="7E932E75"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80.6%</w:t>
            </w:r>
          </w:p>
        </w:tc>
        <w:tc>
          <w:tcPr>
            <w:tcW w:w="1080" w:type="dxa"/>
            <w:shd w:val="clear" w:color="auto" w:fill="F2F2F2" w:themeFill="background1" w:themeFillShade="F2"/>
            <w:noWrap/>
            <w:vAlign w:val="center"/>
          </w:tcPr>
          <w:p w14:paraId="45BDC4CF" w14:textId="6F6A4AFE"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88.9%</w:t>
            </w:r>
          </w:p>
        </w:tc>
        <w:tc>
          <w:tcPr>
            <w:tcW w:w="720" w:type="dxa"/>
            <w:shd w:val="clear" w:color="auto" w:fill="F2F2F2" w:themeFill="background1" w:themeFillShade="F2"/>
            <w:noWrap/>
            <w:vAlign w:val="center"/>
          </w:tcPr>
          <w:p w14:paraId="1C342327" w14:textId="5BCBE24A"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80.6%</w:t>
            </w:r>
          </w:p>
        </w:tc>
        <w:tc>
          <w:tcPr>
            <w:tcW w:w="810" w:type="dxa"/>
            <w:shd w:val="clear" w:color="auto" w:fill="F2F2F2" w:themeFill="background1" w:themeFillShade="F2"/>
            <w:noWrap/>
            <w:vAlign w:val="center"/>
          </w:tcPr>
          <w:p w14:paraId="17355381" w14:textId="37B52001"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72.8%</w:t>
            </w:r>
          </w:p>
        </w:tc>
        <w:tc>
          <w:tcPr>
            <w:tcW w:w="810" w:type="dxa"/>
            <w:shd w:val="clear" w:color="auto" w:fill="F2F2F2" w:themeFill="background1" w:themeFillShade="F2"/>
            <w:noWrap/>
            <w:vAlign w:val="center"/>
          </w:tcPr>
          <w:p w14:paraId="73D14883" w14:textId="3A998827"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78.5%</w:t>
            </w:r>
          </w:p>
        </w:tc>
        <w:tc>
          <w:tcPr>
            <w:tcW w:w="810" w:type="dxa"/>
            <w:shd w:val="clear" w:color="auto" w:fill="F2F2F2" w:themeFill="background1" w:themeFillShade="F2"/>
            <w:noWrap/>
            <w:vAlign w:val="center"/>
          </w:tcPr>
          <w:p w14:paraId="3ED7C2D3" w14:textId="2F090614"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82.7%</w:t>
            </w:r>
          </w:p>
        </w:tc>
        <w:tc>
          <w:tcPr>
            <w:tcW w:w="720" w:type="dxa"/>
            <w:shd w:val="clear" w:color="auto" w:fill="F2F2F2" w:themeFill="background1" w:themeFillShade="F2"/>
            <w:noWrap/>
            <w:vAlign w:val="center"/>
          </w:tcPr>
          <w:p w14:paraId="7659EE98" w14:textId="083AF2CE"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78.4%</w:t>
            </w:r>
          </w:p>
        </w:tc>
        <w:tc>
          <w:tcPr>
            <w:tcW w:w="720" w:type="dxa"/>
            <w:shd w:val="clear" w:color="auto" w:fill="F2F2F2" w:themeFill="background1" w:themeFillShade="F2"/>
            <w:noWrap/>
            <w:vAlign w:val="center"/>
          </w:tcPr>
          <w:p w14:paraId="7323242B" w14:textId="1113C966" w:rsidR="00205DE8" w:rsidRPr="00394EC7" w:rsidRDefault="00205DE8" w:rsidP="00205DE8">
            <w:pPr>
              <w:spacing w:after="0"/>
              <w:jc w:val="center"/>
              <w:rPr>
                <w:rFonts w:eastAsia="Times New Roman" w:cs="Calibri"/>
                <w:color w:val="000000"/>
                <w:sz w:val="16"/>
                <w:szCs w:val="16"/>
              </w:rPr>
            </w:pPr>
            <w:r w:rsidRPr="79FF21F0">
              <w:rPr>
                <w:rFonts w:eastAsia="Times New Roman" w:cs="Calibri"/>
                <w:color w:val="000000" w:themeColor="text1"/>
                <w:sz w:val="16"/>
                <w:szCs w:val="16"/>
              </w:rPr>
              <w:t>84.7%</w:t>
            </w:r>
          </w:p>
        </w:tc>
        <w:tc>
          <w:tcPr>
            <w:tcW w:w="990" w:type="dxa"/>
            <w:shd w:val="clear" w:color="auto" w:fill="F2F2F2" w:themeFill="background1" w:themeFillShade="F2"/>
            <w:noWrap/>
            <w:vAlign w:val="center"/>
          </w:tcPr>
          <w:p w14:paraId="262F75A4" w14:textId="58A4A381" w:rsidR="00205DE8" w:rsidRPr="00394EC7" w:rsidRDefault="00205DE8" w:rsidP="00205DE8">
            <w:pPr>
              <w:spacing w:after="0"/>
              <w:jc w:val="center"/>
              <w:rPr>
                <w:rFonts w:eastAsia="Times New Roman" w:cs="Calibri"/>
                <w:color w:val="000000"/>
                <w:sz w:val="16"/>
                <w:szCs w:val="16"/>
              </w:rPr>
            </w:pPr>
            <w:r w:rsidRPr="79FF21F0">
              <w:rPr>
                <w:rFonts w:eastAsia="Times New Roman" w:cs="Calibri"/>
                <w:color w:val="000000" w:themeColor="text1"/>
                <w:sz w:val="16"/>
                <w:szCs w:val="16"/>
              </w:rPr>
              <w:t>82.9%</w:t>
            </w:r>
          </w:p>
        </w:tc>
        <w:tc>
          <w:tcPr>
            <w:tcW w:w="720" w:type="dxa"/>
            <w:tcBorders>
              <w:right w:val="single" w:sz="4" w:space="0" w:color="auto"/>
            </w:tcBorders>
            <w:shd w:val="clear" w:color="auto" w:fill="F2F2F2" w:themeFill="background1" w:themeFillShade="F2"/>
            <w:noWrap/>
            <w:vAlign w:val="center"/>
          </w:tcPr>
          <w:p w14:paraId="05C0DD56" w14:textId="5CC5B3A2" w:rsidR="00205DE8" w:rsidRPr="00394EC7" w:rsidRDefault="00205DE8" w:rsidP="00205DE8">
            <w:pPr>
              <w:spacing w:after="0"/>
              <w:jc w:val="center"/>
              <w:rPr>
                <w:rFonts w:eastAsia="Times New Roman" w:cs="Calibri"/>
                <w:color w:val="000000"/>
                <w:sz w:val="16"/>
                <w:szCs w:val="16"/>
              </w:rPr>
            </w:pPr>
            <w:r w:rsidRPr="79FF21F0">
              <w:rPr>
                <w:rFonts w:eastAsia="Times New Roman" w:cs="Calibri"/>
                <w:color w:val="000000" w:themeColor="text1"/>
                <w:sz w:val="16"/>
                <w:szCs w:val="16"/>
              </w:rPr>
              <w:t>81.2%</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2F7EE07" w14:textId="5422FBC1" w:rsidR="00205DE8" w:rsidRPr="00394EC7" w:rsidRDefault="00205DE8" w:rsidP="00205DE8">
            <w:pPr>
              <w:spacing w:after="0"/>
              <w:jc w:val="center"/>
              <w:rPr>
                <w:rFonts w:eastAsia="Times New Roman" w:cs="Calibri"/>
                <w:color w:val="000000"/>
                <w:sz w:val="16"/>
                <w:szCs w:val="16"/>
              </w:rPr>
            </w:pPr>
            <w:r w:rsidRPr="00394EC7">
              <w:rPr>
                <w:rFonts w:cs="Calibri"/>
                <w:color w:val="000000"/>
                <w:sz w:val="16"/>
                <w:szCs w:val="16"/>
              </w:rPr>
              <w:t> </w:t>
            </w:r>
            <w:r>
              <w:rPr>
                <w:rFonts w:cs="Calibri"/>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C736ED1" w14:textId="59C207C3" w:rsidR="00205DE8" w:rsidRDefault="00205DE8" w:rsidP="00205DE8">
            <w:pPr>
              <w:spacing w:after="0"/>
              <w:jc w:val="center"/>
              <w:rPr>
                <w:rFonts w:eastAsia="Times New Roman" w:cs="Calibri"/>
                <w:color w:val="000000" w:themeColor="text1"/>
                <w:sz w:val="18"/>
                <w:szCs w:val="18"/>
              </w:rPr>
            </w:pPr>
            <w:r w:rsidRPr="44871088">
              <w:rPr>
                <w:rFonts w:eastAsia="Times New Roman" w:cs="Calibri"/>
                <w:color w:val="000000" w:themeColor="text1"/>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36F0D76" w14:textId="68C52241" w:rsidR="00205DE8" w:rsidRDefault="00205DE8" w:rsidP="00205DE8">
            <w:pPr>
              <w:spacing w:after="0"/>
              <w:jc w:val="center"/>
              <w:rPr>
                <w:rFonts w:eastAsia="Times New Roman" w:cs="Calibri"/>
                <w:color w:val="000000" w:themeColor="text1"/>
                <w:sz w:val="18"/>
                <w:szCs w:val="18"/>
              </w:rPr>
            </w:pPr>
            <w:r w:rsidRPr="44871088">
              <w:rPr>
                <w:rFonts w:eastAsia="Times New Roman" w:cs="Calibri"/>
                <w:color w:val="000000" w:themeColor="text1"/>
                <w:sz w:val="18"/>
                <w:szCs w:val="18"/>
              </w:rPr>
              <w:t xml:space="preserve">--    </w:t>
            </w:r>
          </w:p>
        </w:tc>
      </w:tr>
      <w:tr w:rsidR="00205DE8" w14:paraId="4EDFFAA4" w14:textId="77777777" w:rsidTr="44871088">
        <w:trPr>
          <w:trHeight w:val="285"/>
        </w:trPr>
        <w:tc>
          <w:tcPr>
            <w:tcW w:w="810" w:type="dxa"/>
            <w:shd w:val="clear" w:color="auto" w:fill="auto"/>
            <w:noWrap/>
          </w:tcPr>
          <w:p w14:paraId="1CB5AB66" w14:textId="77777777" w:rsidR="00205DE8" w:rsidRPr="00597EE2" w:rsidRDefault="00205DE8" w:rsidP="00205DE8">
            <w:pPr>
              <w:spacing w:after="0"/>
              <w:jc w:val="center"/>
              <w:rPr>
                <w:rFonts w:eastAsia="Times New Roman" w:cs="Calibri"/>
                <w:color w:val="000000"/>
                <w:sz w:val="16"/>
                <w:szCs w:val="16"/>
              </w:rPr>
            </w:pPr>
            <w:r w:rsidRPr="00597EE2">
              <w:rPr>
                <w:rFonts w:cs="Calibri"/>
                <w:color w:val="000000"/>
                <w:sz w:val="16"/>
                <w:szCs w:val="16"/>
              </w:rPr>
              <w:t>EOHH</w:t>
            </w:r>
            <w:r>
              <w:rPr>
                <w:rFonts w:cs="Calibri"/>
                <w:color w:val="000000"/>
                <w:sz w:val="16"/>
                <w:szCs w:val="16"/>
              </w:rPr>
              <w:t>S</w:t>
            </w:r>
            <w:r w:rsidRPr="00597EE2">
              <w:rPr>
                <w:rFonts w:cs="Calibri"/>
                <w:color w:val="000000"/>
                <w:sz w:val="16"/>
                <w:szCs w:val="16"/>
              </w:rPr>
              <w:t xml:space="preserve"> </w:t>
            </w:r>
          </w:p>
        </w:tc>
        <w:tc>
          <w:tcPr>
            <w:tcW w:w="2880" w:type="dxa"/>
            <w:shd w:val="clear" w:color="auto" w:fill="auto"/>
            <w:vAlign w:val="bottom"/>
          </w:tcPr>
          <w:p w14:paraId="007D1D7C" w14:textId="65DF7382" w:rsidR="00205DE8" w:rsidRPr="00597EE2" w:rsidRDefault="00205DE8" w:rsidP="00205DE8">
            <w:pPr>
              <w:spacing w:after="0"/>
              <w:rPr>
                <w:rFonts w:eastAsia="Times New Roman" w:cs="Calibri"/>
                <w:sz w:val="16"/>
                <w:szCs w:val="16"/>
              </w:rPr>
            </w:pPr>
            <w:r w:rsidRPr="00597EE2">
              <w:rPr>
                <w:rFonts w:cs="Calibri"/>
                <w:color w:val="000000"/>
                <w:sz w:val="16"/>
                <w:szCs w:val="16"/>
              </w:rPr>
              <w:t>Child</w:t>
            </w:r>
            <w:r w:rsidR="008E50FE" w:rsidRPr="00597EE2">
              <w:rPr>
                <w:rFonts w:cs="Calibri"/>
                <w:color w:val="000000"/>
                <w:sz w:val="16"/>
                <w:szCs w:val="16"/>
              </w:rPr>
              <w:t>: Person</w:t>
            </w:r>
            <w:r w:rsidRPr="00597EE2">
              <w:rPr>
                <w:rFonts w:cs="Calibri"/>
                <w:color w:val="000000"/>
                <w:sz w:val="16"/>
                <w:szCs w:val="16"/>
              </w:rPr>
              <w:t>-Centered Integrated Care: Knowledge of Patient</w:t>
            </w:r>
          </w:p>
        </w:tc>
        <w:tc>
          <w:tcPr>
            <w:tcW w:w="810" w:type="dxa"/>
            <w:shd w:val="clear" w:color="auto" w:fill="auto"/>
            <w:noWrap/>
            <w:vAlign w:val="center"/>
          </w:tcPr>
          <w:p w14:paraId="5AE0BEB7" w14:textId="19E6EB25" w:rsidR="00205DE8" w:rsidRPr="00394EC7" w:rsidRDefault="00205DE8" w:rsidP="00205DE8">
            <w:pPr>
              <w:spacing w:after="0"/>
              <w:jc w:val="center"/>
              <w:rPr>
                <w:rFonts w:eastAsia="Times New Roman" w:cs="Calibri"/>
                <w:color w:val="000000"/>
                <w:sz w:val="16"/>
                <w:szCs w:val="16"/>
              </w:rPr>
            </w:pPr>
            <w:r>
              <w:rPr>
                <w:rFonts w:eastAsia="Times New Roman" w:cs="Calibri"/>
                <w:color w:val="000000"/>
                <w:sz w:val="16"/>
                <w:szCs w:val="16"/>
              </w:rPr>
              <w:t>86.2%</w:t>
            </w:r>
          </w:p>
        </w:tc>
        <w:tc>
          <w:tcPr>
            <w:tcW w:w="720" w:type="dxa"/>
            <w:shd w:val="clear" w:color="auto" w:fill="auto"/>
            <w:noWrap/>
            <w:vAlign w:val="center"/>
          </w:tcPr>
          <w:p w14:paraId="7B0153CF" w14:textId="58816B87"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81.5%</w:t>
            </w:r>
          </w:p>
        </w:tc>
        <w:tc>
          <w:tcPr>
            <w:tcW w:w="720" w:type="dxa"/>
            <w:shd w:val="clear" w:color="auto" w:fill="auto"/>
            <w:noWrap/>
            <w:vAlign w:val="center"/>
          </w:tcPr>
          <w:p w14:paraId="7CF935FD" w14:textId="7806F7B3"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87.5%</w:t>
            </w:r>
          </w:p>
        </w:tc>
        <w:tc>
          <w:tcPr>
            <w:tcW w:w="720" w:type="dxa"/>
            <w:shd w:val="clear" w:color="auto" w:fill="auto"/>
            <w:noWrap/>
            <w:vAlign w:val="center"/>
          </w:tcPr>
          <w:p w14:paraId="7F992C9C" w14:textId="3E59902E"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87.5%</w:t>
            </w:r>
          </w:p>
        </w:tc>
        <w:tc>
          <w:tcPr>
            <w:tcW w:w="720" w:type="dxa"/>
            <w:shd w:val="clear" w:color="auto" w:fill="auto"/>
            <w:noWrap/>
            <w:vAlign w:val="center"/>
          </w:tcPr>
          <w:p w14:paraId="325146B2" w14:textId="0CFCFBD2"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85.0%</w:t>
            </w:r>
          </w:p>
        </w:tc>
        <w:tc>
          <w:tcPr>
            <w:tcW w:w="720" w:type="dxa"/>
            <w:shd w:val="clear" w:color="auto" w:fill="auto"/>
            <w:noWrap/>
            <w:vAlign w:val="center"/>
          </w:tcPr>
          <w:p w14:paraId="7311F566" w14:textId="60556939"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82.5%</w:t>
            </w:r>
          </w:p>
        </w:tc>
        <w:tc>
          <w:tcPr>
            <w:tcW w:w="810" w:type="dxa"/>
            <w:shd w:val="clear" w:color="auto" w:fill="auto"/>
            <w:noWrap/>
            <w:vAlign w:val="center"/>
          </w:tcPr>
          <w:p w14:paraId="130048FC" w14:textId="47B2A9EA"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88.1%</w:t>
            </w:r>
          </w:p>
        </w:tc>
        <w:tc>
          <w:tcPr>
            <w:tcW w:w="720" w:type="dxa"/>
            <w:shd w:val="clear" w:color="auto" w:fill="auto"/>
            <w:noWrap/>
            <w:vAlign w:val="center"/>
          </w:tcPr>
          <w:p w14:paraId="0CFCBA00" w14:textId="2C2D59AA"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84.4%</w:t>
            </w:r>
          </w:p>
        </w:tc>
        <w:tc>
          <w:tcPr>
            <w:tcW w:w="720" w:type="dxa"/>
            <w:shd w:val="clear" w:color="auto" w:fill="auto"/>
            <w:noWrap/>
            <w:vAlign w:val="center"/>
          </w:tcPr>
          <w:p w14:paraId="56784C4B" w14:textId="62D5988F"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83.5%</w:t>
            </w:r>
          </w:p>
        </w:tc>
        <w:tc>
          <w:tcPr>
            <w:tcW w:w="1080" w:type="dxa"/>
            <w:shd w:val="clear" w:color="auto" w:fill="auto"/>
            <w:noWrap/>
            <w:vAlign w:val="center"/>
          </w:tcPr>
          <w:p w14:paraId="6013BF39" w14:textId="374AA2EE"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88.5%</w:t>
            </w:r>
          </w:p>
        </w:tc>
        <w:tc>
          <w:tcPr>
            <w:tcW w:w="720" w:type="dxa"/>
            <w:shd w:val="clear" w:color="auto" w:fill="auto"/>
            <w:noWrap/>
            <w:vAlign w:val="center"/>
          </w:tcPr>
          <w:p w14:paraId="709BCFB6" w14:textId="45595D67"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85.1%</w:t>
            </w:r>
          </w:p>
        </w:tc>
        <w:tc>
          <w:tcPr>
            <w:tcW w:w="810" w:type="dxa"/>
            <w:shd w:val="clear" w:color="auto" w:fill="auto"/>
            <w:noWrap/>
            <w:vAlign w:val="center"/>
          </w:tcPr>
          <w:p w14:paraId="247C6970" w14:textId="10610333"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79.5%</w:t>
            </w:r>
          </w:p>
        </w:tc>
        <w:tc>
          <w:tcPr>
            <w:tcW w:w="810" w:type="dxa"/>
            <w:shd w:val="clear" w:color="auto" w:fill="auto"/>
            <w:noWrap/>
            <w:vAlign w:val="center"/>
          </w:tcPr>
          <w:p w14:paraId="53E5ABF4" w14:textId="74C479A4"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82.0%</w:t>
            </w:r>
          </w:p>
        </w:tc>
        <w:tc>
          <w:tcPr>
            <w:tcW w:w="810" w:type="dxa"/>
            <w:shd w:val="clear" w:color="auto" w:fill="auto"/>
            <w:noWrap/>
            <w:vAlign w:val="center"/>
          </w:tcPr>
          <w:p w14:paraId="2D02874F" w14:textId="307B78AC"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89.2%</w:t>
            </w:r>
          </w:p>
        </w:tc>
        <w:tc>
          <w:tcPr>
            <w:tcW w:w="720" w:type="dxa"/>
            <w:shd w:val="clear" w:color="auto" w:fill="auto"/>
            <w:noWrap/>
            <w:vAlign w:val="center"/>
          </w:tcPr>
          <w:p w14:paraId="550DA91B" w14:textId="0BD12E23" w:rsidR="00205DE8" w:rsidRPr="00394EC7" w:rsidRDefault="00205DE8" w:rsidP="00205DE8">
            <w:pPr>
              <w:spacing w:after="0"/>
              <w:jc w:val="center"/>
              <w:rPr>
                <w:rFonts w:eastAsia="Times New Roman" w:cs="Calibri"/>
                <w:color w:val="000000"/>
                <w:sz w:val="16"/>
                <w:szCs w:val="16"/>
              </w:rPr>
            </w:pPr>
            <w:r w:rsidRPr="3990B37A">
              <w:rPr>
                <w:rFonts w:eastAsia="Times New Roman" w:cs="Calibri"/>
                <w:color w:val="000000" w:themeColor="text1"/>
                <w:sz w:val="16"/>
                <w:szCs w:val="16"/>
              </w:rPr>
              <w:t>84.3%</w:t>
            </w:r>
          </w:p>
        </w:tc>
        <w:tc>
          <w:tcPr>
            <w:tcW w:w="720" w:type="dxa"/>
            <w:shd w:val="clear" w:color="auto" w:fill="auto"/>
            <w:noWrap/>
            <w:vAlign w:val="center"/>
          </w:tcPr>
          <w:p w14:paraId="081D4E9F" w14:textId="282687B9" w:rsidR="00205DE8" w:rsidRPr="00394EC7" w:rsidRDefault="00205DE8" w:rsidP="00205DE8">
            <w:pPr>
              <w:spacing w:after="0"/>
              <w:jc w:val="center"/>
              <w:rPr>
                <w:rFonts w:eastAsia="Times New Roman" w:cs="Calibri"/>
                <w:color w:val="000000"/>
                <w:sz w:val="16"/>
                <w:szCs w:val="16"/>
              </w:rPr>
            </w:pPr>
            <w:r w:rsidRPr="79FF21F0">
              <w:rPr>
                <w:rFonts w:eastAsia="Times New Roman" w:cs="Calibri"/>
                <w:color w:val="000000" w:themeColor="text1"/>
                <w:sz w:val="16"/>
                <w:szCs w:val="16"/>
              </w:rPr>
              <w:t>87.8%</w:t>
            </w:r>
          </w:p>
        </w:tc>
        <w:tc>
          <w:tcPr>
            <w:tcW w:w="990" w:type="dxa"/>
            <w:shd w:val="clear" w:color="auto" w:fill="auto"/>
            <w:noWrap/>
            <w:vAlign w:val="center"/>
          </w:tcPr>
          <w:p w14:paraId="675DED1F" w14:textId="31874175" w:rsidR="00205DE8" w:rsidRPr="00394EC7" w:rsidRDefault="00205DE8" w:rsidP="00205DE8">
            <w:pPr>
              <w:spacing w:after="0"/>
              <w:jc w:val="center"/>
              <w:rPr>
                <w:rFonts w:eastAsia="Times New Roman" w:cs="Calibri"/>
                <w:color w:val="000000"/>
                <w:sz w:val="16"/>
                <w:szCs w:val="16"/>
              </w:rPr>
            </w:pPr>
            <w:r w:rsidRPr="79FF21F0">
              <w:rPr>
                <w:rFonts w:eastAsia="Times New Roman" w:cs="Calibri"/>
                <w:color w:val="000000" w:themeColor="text1"/>
                <w:sz w:val="16"/>
                <w:szCs w:val="16"/>
              </w:rPr>
              <w:t>87.3%</w:t>
            </w:r>
          </w:p>
        </w:tc>
        <w:tc>
          <w:tcPr>
            <w:tcW w:w="720" w:type="dxa"/>
            <w:tcBorders>
              <w:right w:val="single" w:sz="4" w:space="0" w:color="auto"/>
            </w:tcBorders>
            <w:shd w:val="clear" w:color="auto" w:fill="auto"/>
            <w:noWrap/>
            <w:vAlign w:val="center"/>
          </w:tcPr>
          <w:p w14:paraId="195EA36B" w14:textId="36C17378" w:rsidR="00205DE8" w:rsidRPr="00394EC7" w:rsidRDefault="00205DE8" w:rsidP="00205DE8">
            <w:pPr>
              <w:spacing w:after="0"/>
              <w:jc w:val="center"/>
              <w:rPr>
                <w:rFonts w:eastAsia="Times New Roman" w:cs="Calibri"/>
                <w:color w:val="000000"/>
                <w:sz w:val="16"/>
                <w:szCs w:val="16"/>
              </w:rPr>
            </w:pPr>
            <w:r w:rsidRPr="4F874EDC">
              <w:rPr>
                <w:rFonts w:eastAsia="Times New Roman" w:cs="Calibri"/>
                <w:color w:val="000000" w:themeColor="text1"/>
                <w:sz w:val="16"/>
                <w:szCs w:val="16"/>
              </w:rPr>
              <w:t>86.6%</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AFFB96" w14:textId="55A3F7D4" w:rsidR="00205DE8" w:rsidRPr="00394EC7" w:rsidRDefault="00205DE8" w:rsidP="00205DE8">
            <w:pPr>
              <w:spacing w:after="0"/>
              <w:jc w:val="center"/>
              <w:rPr>
                <w:rFonts w:eastAsia="Times New Roman" w:cs="Calibri"/>
                <w:color w:val="000000"/>
                <w:sz w:val="16"/>
                <w:szCs w:val="16"/>
              </w:rPr>
            </w:pPr>
            <w:r w:rsidRPr="00394EC7">
              <w:rPr>
                <w:rFonts w:cs="Calibri"/>
                <w:color w:val="000000"/>
                <w:sz w:val="16"/>
                <w:szCs w:val="16"/>
              </w:rPr>
              <w:t> </w:t>
            </w:r>
            <w:r>
              <w:rPr>
                <w:rFonts w:cs="Calibri"/>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53A0C8" w14:textId="04540196" w:rsidR="00205DE8" w:rsidRDefault="00205DE8" w:rsidP="00205DE8">
            <w:pPr>
              <w:spacing w:after="0"/>
              <w:jc w:val="center"/>
              <w:rPr>
                <w:rFonts w:eastAsia="Times New Roman" w:cs="Calibri"/>
                <w:color w:val="000000" w:themeColor="text1"/>
                <w:sz w:val="18"/>
                <w:szCs w:val="18"/>
              </w:rPr>
            </w:pPr>
            <w:r w:rsidRPr="44871088">
              <w:rPr>
                <w:rFonts w:eastAsia="Times New Roman" w:cs="Calibri"/>
                <w:color w:val="000000" w:themeColor="text1"/>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4BD2BA" w14:textId="551F9825" w:rsidR="00205DE8" w:rsidRDefault="00205DE8" w:rsidP="00205DE8">
            <w:pPr>
              <w:spacing w:after="0"/>
              <w:jc w:val="center"/>
              <w:rPr>
                <w:rFonts w:eastAsia="Times New Roman" w:cs="Calibri"/>
                <w:color w:val="000000" w:themeColor="text1"/>
                <w:sz w:val="18"/>
                <w:szCs w:val="18"/>
              </w:rPr>
            </w:pPr>
            <w:r w:rsidRPr="44871088">
              <w:rPr>
                <w:rFonts w:eastAsia="Times New Roman" w:cs="Calibri"/>
                <w:color w:val="000000" w:themeColor="text1"/>
                <w:sz w:val="18"/>
                <w:szCs w:val="18"/>
              </w:rPr>
              <w:t xml:space="preserve">--    </w:t>
            </w:r>
          </w:p>
        </w:tc>
      </w:tr>
    </w:tbl>
    <w:p w14:paraId="2393809B" w14:textId="77777777" w:rsidR="000A2B5D" w:rsidRDefault="000A2B5D" w:rsidP="00DB0871">
      <w:pPr>
        <w:rPr>
          <w:rFonts w:eastAsia="Times New Roman" w:cs="Calibri"/>
          <w:b/>
          <w:bCs/>
          <w:color w:val="000000"/>
          <w:sz w:val="20"/>
          <w:szCs w:val="20"/>
        </w:rPr>
      </w:pPr>
    </w:p>
    <w:p w14:paraId="2EDA95E3" w14:textId="77777777" w:rsidR="00DB0871" w:rsidRDefault="00DB0871" w:rsidP="00DB0871">
      <w:pPr>
        <w:rPr>
          <w:rFonts w:eastAsia="Times New Roman" w:cs="Calibri"/>
          <w:b/>
          <w:bCs/>
          <w:color w:val="000000"/>
          <w:sz w:val="20"/>
          <w:szCs w:val="20"/>
        </w:rPr>
      </w:pPr>
    </w:p>
    <w:p w14:paraId="7E4B26FD" w14:textId="77777777" w:rsidR="0096221D" w:rsidRPr="00AA52DC" w:rsidRDefault="0096221D" w:rsidP="0096221D">
      <w:pPr>
        <w:spacing w:after="160" w:line="259" w:lineRule="auto"/>
      </w:pPr>
      <w:r w:rsidRPr="21CA7F43">
        <w:rPr>
          <w:rFonts w:eastAsia="Times New Roman" w:cs="Calibri"/>
          <w:b/>
          <w:bCs/>
          <w:color w:val="000000" w:themeColor="text1"/>
          <w:sz w:val="20"/>
          <w:szCs w:val="20"/>
        </w:rPr>
        <w:t>Appendix B-6: Contact Level Performance, MY2020: (OneCare and SCO)</w:t>
      </w:r>
    </w:p>
    <w:p w14:paraId="2423B08C" w14:textId="652C9134" w:rsidR="0096221D" w:rsidRPr="00CE61A0" w:rsidRDefault="0096221D" w:rsidP="0096221D">
      <w:pPr>
        <w:ind w:left="-900"/>
        <w:rPr>
          <w:shd w:val="clear" w:color="auto" w:fill="FFFFFF"/>
        </w:rPr>
      </w:pPr>
      <w:r>
        <w:rPr>
          <w:rStyle w:val="normaltextrun"/>
          <w:shd w:val="clear" w:color="auto" w:fill="FFFFFF"/>
        </w:rPr>
        <w:t>2020 Quality measure performance for individual One</w:t>
      </w:r>
      <w:r w:rsidR="003270E2">
        <w:rPr>
          <w:rStyle w:val="normaltextrun"/>
          <w:shd w:val="clear" w:color="auto" w:fill="FFFFFF"/>
        </w:rPr>
        <w:t xml:space="preserve"> </w:t>
      </w:r>
      <w:r>
        <w:rPr>
          <w:rStyle w:val="normaltextrun"/>
          <w:shd w:val="clear" w:color="auto" w:fill="FFFFFF"/>
        </w:rPr>
        <w:t>Care and SCO plans is presented in Table B-6. Program-level totals are weighted means (WM). Please see Appendix A for a list of MassHealth’s managed care plans.</w:t>
      </w:r>
    </w:p>
    <w:p w14:paraId="0838AF6C" w14:textId="77777777" w:rsidR="0096221D" w:rsidRDefault="0096221D" w:rsidP="0096221D">
      <w:pPr>
        <w:pStyle w:val="ListParagraph"/>
        <w:numPr>
          <w:ilvl w:val="0"/>
          <w:numId w:val="3"/>
        </w:numPr>
        <w:ind w:left="-360" w:firstLine="0"/>
        <w:rPr>
          <w:b/>
          <w:bCs/>
        </w:rPr>
      </w:pPr>
      <w:r w:rsidRPr="00137463">
        <w:rPr>
          <w:b/>
          <w:bCs/>
        </w:rPr>
        <w:t xml:space="preserve">“--” indicates that the measure </w:t>
      </w:r>
      <w:r>
        <w:rPr>
          <w:b/>
          <w:bCs/>
        </w:rPr>
        <w:t>or target was</w:t>
      </w:r>
      <w:r w:rsidRPr="00137463">
        <w:rPr>
          <w:b/>
          <w:bCs/>
        </w:rPr>
        <w:t xml:space="preserve"> not</w:t>
      </w:r>
      <w:r>
        <w:rPr>
          <w:b/>
          <w:bCs/>
        </w:rPr>
        <w:t xml:space="preserve"> available, not</w:t>
      </w:r>
      <w:r w:rsidRPr="00137463">
        <w:rPr>
          <w:b/>
          <w:bCs/>
        </w:rPr>
        <w:t xml:space="preserve"> required, not collected, or not calculated</w:t>
      </w:r>
      <w:r>
        <w:rPr>
          <w:b/>
          <w:bCs/>
        </w:rPr>
        <w:t>.</w:t>
      </w:r>
    </w:p>
    <w:p w14:paraId="01AE7D6F" w14:textId="77777777" w:rsidR="0096221D" w:rsidRPr="00C93335" w:rsidRDefault="0096221D" w:rsidP="0096221D">
      <w:pPr>
        <w:pStyle w:val="ListParagraph"/>
        <w:numPr>
          <w:ilvl w:val="0"/>
          <w:numId w:val="3"/>
        </w:numPr>
        <w:ind w:left="-360" w:firstLine="0"/>
        <w:rPr>
          <w:b/>
          <w:bCs/>
        </w:rPr>
      </w:pPr>
      <w:r>
        <w:rPr>
          <w:b/>
          <w:bCs/>
        </w:rPr>
        <w:t>“NA” indicates that the rate was not included due to small denominator (n &lt;30).</w:t>
      </w:r>
    </w:p>
    <w:p w14:paraId="1E0EAB79" w14:textId="0F4B1EB8" w:rsidR="0096221D" w:rsidRPr="00CF37A1" w:rsidRDefault="007F20A6" w:rsidP="0096221D">
      <w:pPr>
        <w:spacing w:after="160" w:line="259" w:lineRule="auto"/>
        <w:ind w:left="-540"/>
        <w:rPr>
          <w:rFonts w:eastAsia="Times New Roman" w:cs="Calibri"/>
          <w:b/>
          <w:bCs/>
          <w:color w:val="000000"/>
          <w:sz w:val="20"/>
          <w:szCs w:val="20"/>
        </w:rPr>
      </w:pPr>
      <w:r>
        <w:rPr>
          <w:rFonts w:eastAsia="Times New Roman" w:cs="Calibri"/>
          <w:b/>
          <w:bCs/>
          <w:color w:val="000000"/>
          <w:sz w:val="20"/>
          <w:szCs w:val="20"/>
        </w:rPr>
        <w:t xml:space="preserve">Chart </w:t>
      </w:r>
      <w:r w:rsidR="00333F6E">
        <w:rPr>
          <w:rFonts w:eastAsia="Times New Roman" w:cs="Calibri"/>
          <w:b/>
          <w:bCs/>
          <w:color w:val="000000"/>
          <w:sz w:val="20"/>
          <w:szCs w:val="20"/>
        </w:rPr>
        <w:t>B-6.1</w:t>
      </w:r>
      <w:r w:rsidR="00DC0C17">
        <w:rPr>
          <w:rFonts w:eastAsia="Times New Roman" w:cs="Calibri"/>
          <w:b/>
          <w:bCs/>
          <w:color w:val="000000"/>
          <w:sz w:val="20"/>
          <w:szCs w:val="20"/>
        </w:rPr>
        <w:t>: One Care Contact Level Performance, MY2020</w:t>
      </w: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5546"/>
        <w:gridCol w:w="864"/>
        <w:gridCol w:w="864"/>
        <w:gridCol w:w="970"/>
      </w:tblGrid>
      <w:tr w:rsidR="00A122E9" w:rsidRPr="0049778F" w14:paraId="5EBA890A" w14:textId="77777777" w:rsidTr="009E1163">
        <w:trPr>
          <w:trHeight w:val="500"/>
          <w:tblHeader/>
        </w:trPr>
        <w:tc>
          <w:tcPr>
            <w:tcW w:w="1237" w:type="dxa"/>
            <w:shd w:val="clear" w:color="auto" w:fill="auto"/>
            <w:noWrap/>
            <w:vAlign w:val="center"/>
            <w:hideMark/>
          </w:tcPr>
          <w:p w14:paraId="33D4F184" w14:textId="77777777" w:rsidR="00A122E9" w:rsidRPr="0049778F" w:rsidRDefault="00A122E9">
            <w:pPr>
              <w:spacing w:after="0"/>
              <w:jc w:val="center"/>
              <w:rPr>
                <w:rFonts w:eastAsia="Times New Roman" w:cs="Calibri"/>
                <w:b/>
                <w:bCs/>
                <w:color w:val="000000"/>
                <w:sz w:val="18"/>
                <w:szCs w:val="18"/>
              </w:rPr>
            </w:pPr>
            <w:r w:rsidRPr="0049778F">
              <w:rPr>
                <w:rFonts w:eastAsia="Times New Roman" w:cs="Calibri"/>
                <w:b/>
                <w:bCs/>
                <w:color w:val="000000"/>
                <w:sz w:val="18"/>
                <w:szCs w:val="18"/>
              </w:rPr>
              <w:t>Ref</w:t>
            </w:r>
          </w:p>
        </w:tc>
        <w:tc>
          <w:tcPr>
            <w:tcW w:w="5546" w:type="dxa"/>
            <w:shd w:val="clear" w:color="auto" w:fill="auto"/>
            <w:noWrap/>
            <w:vAlign w:val="center"/>
            <w:hideMark/>
          </w:tcPr>
          <w:p w14:paraId="0B42140C" w14:textId="77777777" w:rsidR="00A122E9" w:rsidRPr="0049778F" w:rsidRDefault="00A122E9">
            <w:pPr>
              <w:spacing w:after="0"/>
              <w:jc w:val="center"/>
              <w:rPr>
                <w:rFonts w:eastAsia="Times New Roman" w:cs="Calibri"/>
                <w:b/>
                <w:bCs/>
                <w:color w:val="000000"/>
                <w:sz w:val="18"/>
                <w:szCs w:val="18"/>
              </w:rPr>
            </w:pPr>
            <w:r w:rsidRPr="0049778F">
              <w:rPr>
                <w:rFonts w:eastAsia="Times New Roman" w:cs="Calibri"/>
                <w:b/>
                <w:bCs/>
                <w:color w:val="000000"/>
                <w:sz w:val="18"/>
                <w:szCs w:val="18"/>
              </w:rPr>
              <w:t>2020 Measure</w:t>
            </w:r>
          </w:p>
        </w:tc>
        <w:tc>
          <w:tcPr>
            <w:tcW w:w="864" w:type="dxa"/>
            <w:shd w:val="clear" w:color="auto" w:fill="8EAADB" w:themeFill="accent1" w:themeFillTint="99"/>
            <w:vAlign w:val="center"/>
            <w:hideMark/>
          </w:tcPr>
          <w:p w14:paraId="0107C197" w14:textId="77777777" w:rsidR="00A122E9" w:rsidRPr="0049778F" w:rsidRDefault="00A122E9">
            <w:pPr>
              <w:spacing w:after="0"/>
              <w:jc w:val="center"/>
              <w:rPr>
                <w:rFonts w:eastAsia="Times New Roman" w:cs="Calibri"/>
                <w:b/>
                <w:bCs/>
                <w:sz w:val="18"/>
                <w:szCs w:val="18"/>
              </w:rPr>
            </w:pPr>
            <w:r w:rsidRPr="0049778F">
              <w:rPr>
                <w:rFonts w:eastAsia="Times New Roman" w:cs="Calibri"/>
                <w:b/>
                <w:bCs/>
                <w:sz w:val="18"/>
                <w:szCs w:val="18"/>
              </w:rPr>
              <w:t>Total OneCare</w:t>
            </w:r>
          </w:p>
        </w:tc>
        <w:tc>
          <w:tcPr>
            <w:tcW w:w="864" w:type="dxa"/>
            <w:shd w:val="clear" w:color="auto" w:fill="8EAADB" w:themeFill="accent1" w:themeFillTint="99"/>
            <w:noWrap/>
            <w:vAlign w:val="center"/>
            <w:hideMark/>
          </w:tcPr>
          <w:p w14:paraId="219A7E4C" w14:textId="77777777" w:rsidR="00A122E9" w:rsidRPr="0049778F" w:rsidRDefault="00A122E9">
            <w:pPr>
              <w:spacing w:after="0"/>
              <w:jc w:val="center"/>
              <w:rPr>
                <w:rFonts w:eastAsia="Times New Roman" w:cs="Calibri"/>
                <w:b/>
                <w:bCs/>
                <w:sz w:val="18"/>
                <w:szCs w:val="18"/>
              </w:rPr>
            </w:pPr>
            <w:r w:rsidRPr="0049778F">
              <w:rPr>
                <w:rFonts w:eastAsia="Times New Roman" w:cs="Calibri"/>
                <w:b/>
                <w:bCs/>
                <w:sz w:val="18"/>
                <w:szCs w:val="18"/>
              </w:rPr>
              <w:t>CCA</w:t>
            </w:r>
          </w:p>
          <w:p w14:paraId="3EEBE52E" w14:textId="77777777" w:rsidR="00A122E9" w:rsidRPr="0049778F" w:rsidRDefault="00A122E9">
            <w:pPr>
              <w:spacing w:after="0"/>
              <w:jc w:val="center"/>
              <w:rPr>
                <w:rFonts w:eastAsia="Times New Roman" w:cs="Calibri"/>
                <w:b/>
                <w:bCs/>
                <w:sz w:val="18"/>
                <w:szCs w:val="18"/>
              </w:rPr>
            </w:pPr>
            <w:r w:rsidRPr="0049778F">
              <w:rPr>
                <w:rFonts w:eastAsia="Times New Roman" w:cs="Calibri"/>
                <w:b/>
                <w:bCs/>
                <w:sz w:val="18"/>
                <w:szCs w:val="18"/>
              </w:rPr>
              <w:t>OneCare</w:t>
            </w:r>
          </w:p>
        </w:tc>
        <w:tc>
          <w:tcPr>
            <w:tcW w:w="970" w:type="dxa"/>
            <w:shd w:val="clear" w:color="auto" w:fill="8EAADB" w:themeFill="accent1" w:themeFillTint="99"/>
            <w:noWrap/>
            <w:vAlign w:val="center"/>
            <w:hideMark/>
          </w:tcPr>
          <w:p w14:paraId="7AC3E432" w14:textId="77777777" w:rsidR="00A122E9" w:rsidRPr="0049778F" w:rsidRDefault="00A122E9">
            <w:pPr>
              <w:spacing w:after="0"/>
              <w:jc w:val="center"/>
              <w:rPr>
                <w:rFonts w:eastAsia="Times New Roman" w:cs="Calibri"/>
                <w:b/>
                <w:bCs/>
                <w:sz w:val="18"/>
                <w:szCs w:val="18"/>
              </w:rPr>
            </w:pPr>
            <w:r w:rsidRPr="0049778F">
              <w:rPr>
                <w:rFonts w:eastAsia="Times New Roman" w:cs="Calibri"/>
                <w:b/>
                <w:bCs/>
                <w:sz w:val="18"/>
                <w:szCs w:val="18"/>
              </w:rPr>
              <w:t>THP</w:t>
            </w:r>
          </w:p>
          <w:p w14:paraId="48164973" w14:textId="77777777" w:rsidR="00A122E9" w:rsidRPr="0049778F" w:rsidRDefault="00A122E9">
            <w:pPr>
              <w:spacing w:after="0"/>
              <w:jc w:val="center"/>
              <w:rPr>
                <w:rFonts w:eastAsia="Times New Roman" w:cs="Calibri"/>
                <w:b/>
                <w:bCs/>
                <w:sz w:val="18"/>
                <w:szCs w:val="18"/>
              </w:rPr>
            </w:pPr>
            <w:r w:rsidRPr="0049778F">
              <w:rPr>
                <w:rFonts w:eastAsia="Times New Roman" w:cs="Calibri"/>
                <w:b/>
                <w:bCs/>
                <w:sz w:val="18"/>
                <w:szCs w:val="18"/>
              </w:rPr>
              <w:t>OneCare</w:t>
            </w:r>
          </w:p>
        </w:tc>
      </w:tr>
      <w:tr w:rsidR="00A122E9" w:rsidRPr="0049778F" w14:paraId="253A09C2" w14:textId="77777777" w:rsidTr="009E1163">
        <w:trPr>
          <w:trHeight w:val="310"/>
        </w:trPr>
        <w:tc>
          <w:tcPr>
            <w:tcW w:w="1237" w:type="dxa"/>
            <w:shd w:val="clear" w:color="auto" w:fill="auto"/>
            <w:noWrap/>
            <w:hideMark/>
          </w:tcPr>
          <w:p w14:paraId="35282D3C" w14:textId="77777777" w:rsidR="00A122E9" w:rsidRPr="0049778F" w:rsidRDefault="00A122E9">
            <w:pPr>
              <w:spacing w:after="0"/>
              <w:jc w:val="center"/>
              <w:rPr>
                <w:rFonts w:eastAsia="Times New Roman" w:cs="Calibri"/>
                <w:color w:val="000000"/>
                <w:sz w:val="18"/>
                <w:szCs w:val="18"/>
              </w:rPr>
            </w:pPr>
            <w:r w:rsidRPr="0049778F">
              <w:rPr>
                <w:rFonts w:eastAsia="Times New Roman" w:cs="Calibri"/>
                <w:color w:val="000000"/>
                <w:sz w:val="18"/>
                <w:szCs w:val="18"/>
              </w:rPr>
              <w:t>CBP</w:t>
            </w:r>
          </w:p>
        </w:tc>
        <w:tc>
          <w:tcPr>
            <w:tcW w:w="5546" w:type="dxa"/>
            <w:shd w:val="clear" w:color="000000" w:fill="FFFFFF"/>
            <w:hideMark/>
          </w:tcPr>
          <w:p w14:paraId="615C2026" w14:textId="77777777" w:rsidR="00A122E9" w:rsidRPr="0049778F" w:rsidRDefault="00A122E9">
            <w:pPr>
              <w:spacing w:after="0"/>
              <w:rPr>
                <w:rFonts w:eastAsia="Times New Roman" w:cs="Calibri"/>
                <w:sz w:val="18"/>
                <w:szCs w:val="18"/>
              </w:rPr>
            </w:pPr>
            <w:r w:rsidRPr="0049778F">
              <w:rPr>
                <w:rFonts w:eastAsia="Times New Roman" w:cs="Calibri"/>
                <w:sz w:val="18"/>
                <w:szCs w:val="18"/>
              </w:rPr>
              <w:t>Controlling High Blood Pressure</w:t>
            </w:r>
          </w:p>
        </w:tc>
        <w:tc>
          <w:tcPr>
            <w:tcW w:w="864" w:type="dxa"/>
            <w:shd w:val="clear" w:color="auto" w:fill="auto"/>
            <w:vAlign w:val="center"/>
            <w:hideMark/>
          </w:tcPr>
          <w:p w14:paraId="264A4B57"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56.7%</w:t>
            </w:r>
          </w:p>
        </w:tc>
        <w:tc>
          <w:tcPr>
            <w:tcW w:w="864" w:type="dxa"/>
            <w:shd w:val="clear" w:color="auto" w:fill="auto"/>
            <w:vAlign w:val="center"/>
            <w:hideMark/>
          </w:tcPr>
          <w:p w14:paraId="0B3913E9"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58.4%</w:t>
            </w:r>
          </w:p>
        </w:tc>
        <w:tc>
          <w:tcPr>
            <w:tcW w:w="970" w:type="dxa"/>
            <w:shd w:val="clear" w:color="auto" w:fill="auto"/>
            <w:vAlign w:val="center"/>
            <w:hideMark/>
          </w:tcPr>
          <w:p w14:paraId="27BD9A2D"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42.8%</w:t>
            </w:r>
          </w:p>
        </w:tc>
      </w:tr>
      <w:tr w:rsidR="00A122E9" w:rsidRPr="0049778F" w14:paraId="038A8087" w14:textId="77777777" w:rsidTr="009E1163">
        <w:trPr>
          <w:trHeight w:val="520"/>
        </w:trPr>
        <w:tc>
          <w:tcPr>
            <w:tcW w:w="1237" w:type="dxa"/>
            <w:shd w:val="clear" w:color="auto" w:fill="F2F2F2" w:themeFill="background1" w:themeFillShade="F2"/>
            <w:noWrap/>
            <w:hideMark/>
          </w:tcPr>
          <w:p w14:paraId="3E9528A0" w14:textId="77777777" w:rsidR="00A122E9" w:rsidRPr="0049778F" w:rsidRDefault="00A122E9">
            <w:pPr>
              <w:spacing w:after="0"/>
              <w:jc w:val="center"/>
              <w:rPr>
                <w:rFonts w:eastAsia="Times New Roman" w:cs="Calibri"/>
                <w:color w:val="000000"/>
                <w:sz w:val="18"/>
                <w:szCs w:val="18"/>
              </w:rPr>
            </w:pPr>
            <w:r w:rsidRPr="0049778F">
              <w:rPr>
                <w:rFonts w:eastAsia="Times New Roman" w:cs="Calibri"/>
                <w:color w:val="000000"/>
                <w:sz w:val="18"/>
                <w:szCs w:val="18"/>
              </w:rPr>
              <w:t>CDC</w:t>
            </w:r>
          </w:p>
        </w:tc>
        <w:tc>
          <w:tcPr>
            <w:tcW w:w="5546" w:type="dxa"/>
            <w:shd w:val="clear" w:color="auto" w:fill="F2F2F2" w:themeFill="background1" w:themeFillShade="F2"/>
            <w:hideMark/>
          </w:tcPr>
          <w:p w14:paraId="7B445119" w14:textId="77777777" w:rsidR="00A122E9" w:rsidRPr="0049778F" w:rsidRDefault="00A122E9">
            <w:pPr>
              <w:spacing w:after="0"/>
              <w:rPr>
                <w:rFonts w:eastAsia="Times New Roman" w:cs="Calibri"/>
                <w:sz w:val="18"/>
                <w:szCs w:val="18"/>
              </w:rPr>
            </w:pPr>
            <w:r w:rsidRPr="0049778F">
              <w:rPr>
                <w:rFonts w:eastAsia="Times New Roman" w:cs="Calibri"/>
                <w:sz w:val="18"/>
                <w:szCs w:val="18"/>
              </w:rPr>
              <w:t xml:space="preserve">Comprehensive Diabetes Care: </w:t>
            </w:r>
            <w:r>
              <w:rPr>
                <w:rFonts w:eastAsia="Times New Roman" w:cs="Calibri"/>
                <w:sz w:val="18"/>
                <w:szCs w:val="18"/>
              </w:rPr>
              <w:t>A1C</w:t>
            </w:r>
            <w:r w:rsidRPr="0049778F">
              <w:rPr>
                <w:rFonts w:eastAsia="Times New Roman" w:cs="Calibri"/>
                <w:sz w:val="18"/>
                <w:szCs w:val="18"/>
              </w:rPr>
              <w:t xml:space="preserve"> Poor Control (lower is better)</w:t>
            </w:r>
          </w:p>
        </w:tc>
        <w:tc>
          <w:tcPr>
            <w:tcW w:w="864" w:type="dxa"/>
            <w:shd w:val="clear" w:color="auto" w:fill="F2F2F2" w:themeFill="background1" w:themeFillShade="F2"/>
            <w:vAlign w:val="center"/>
            <w:hideMark/>
          </w:tcPr>
          <w:p w14:paraId="06E81729"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53.0%</w:t>
            </w:r>
          </w:p>
        </w:tc>
        <w:tc>
          <w:tcPr>
            <w:tcW w:w="864" w:type="dxa"/>
            <w:shd w:val="clear" w:color="auto" w:fill="F2F2F2" w:themeFill="background1" w:themeFillShade="F2"/>
            <w:noWrap/>
            <w:vAlign w:val="center"/>
            <w:hideMark/>
          </w:tcPr>
          <w:p w14:paraId="10CD22BD"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53.5%</w:t>
            </w:r>
          </w:p>
        </w:tc>
        <w:tc>
          <w:tcPr>
            <w:tcW w:w="970" w:type="dxa"/>
            <w:shd w:val="clear" w:color="auto" w:fill="F2F2F2" w:themeFill="background1" w:themeFillShade="F2"/>
            <w:noWrap/>
            <w:vAlign w:val="center"/>
            <w:hideMark/>
          </w:tcPr>
          <w:p w14:paraId="28BA71E5"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48.5%</w:t>
            </w:r>
          </w:p>
        </w:tc>
      </w:tr>
      <w:tr w:rsidR="00A122E9" w:rsidRPr="0049778F" w14:paraId="75868A52" w14:textId="77777777" w:rsidTr="009E1163">
        <w:trPr>
          <w:trHeight w:val="520"/>
        </w:trPr>
        <w:tc>
          <w:tcPr>
            <w:tcW w:w="1237" w:type="dxa"/>
            <w:shd w:val="clear" w:color="auto" w:fill="auto"/>
            <w:noWrap/>
            <w:hideMark/>
          </w:tcPr>
          <w:p w14:paraId="73715A6F" w14:textId="77777777" w:rsidR="00A122E9" w:rsidRPr="0049778F" w:rsidRDefault="00A122E9">
            <w:pPr>
              <w:spacing w:after="0"/>
              <w:jc w:val="center"/>
              <w:rPr>
                <w:rFonts w:eastAsia="Times New Roman" w:cs="Calibri"/>
                <w:color w:val="000000"/>
                <w:sz w:val="18"/>
                <w:szCs w:val="18"/>
              </w:rPr>
            </w:pPr>
            <w:r w:rsidRPr="0049778F">
              <w:rPr>
                <w:rFonts w:eastAsia="Times New Roman" w:cs="Calibri"/>
                <w:color w:val="000000"/>
                <w:sz w:val="18"/>
                <w:szCs w:val="18"/>
              </w:rPr>
              <w:t>PCR-O/E</w:t>
            </w:r>
          </w:p>
        </w:tc>
        <w:tc>
          <w:tcPr>
            <w:tcW w:w="5546" w:type="dxa"/>
            <w:shd w:val="clear" w:color="auto" w:fill="auto"/>
            <w:hideMark/>
          </w:tcPr>
          <w:p w14:paraId="5EA758A5" w14:textId="77777777" w:rsidR="00A122E9" w:rsidRPr="0049778F" w:rsidRDefault="00A122E9">
            <w:pPr>
              <w:spacing w:after="0"/>
              <w:rPr>
                <w:rFonts w:eastAsia="Times New Roman" w:cs="Calibri"/>
                <w:sz w:val="18"/>
                <w:szCs w:val="18"/>
              </w:rPr>
            </w:pPr>
            <w:r w:rsidRPr="0049778F">
              <w:rPr>
                <w:rFonts w:eastAsia="Times New Roman" w:cs="Calibri"/>
                <w:sz w:val="18"/>
                <w:szCs w:val="18"/>
              </w:rPr>
              <w:t>Plan All-Cause Readmissions (observed to expected ratio)</w:t>
            </w:r>
          </w:p>
        </w:tc>
        <w:tc>
          <w:tcPr>
            <w:tcW w:w="864" w:type="dxa"/>
            <w:shd w:val="clear" w:color="auto" w:fill="auto"/>
            <w:noWrap/>
            <w:vAlign w:val="center"/>
            <w:hideMark/>
          </w:tcPr>
          <w:p w14:paraId="5500A9C0"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1.0440</w:t>
            </w:r>
          </w:p>
        </w:tc>
        <w:tc>
          <w:tcPr>
            <w:tcW w:w="864" w:type="dxa"/>
            <w:shd w:val="clear" w:color="auto" w:fill="auto"/>
            <w:noWrap/>
            <w:vAlign w:val="center"/>
            <w:hideMark/>
          </w:tcPr>
          <w:p w14:paraId="157D159A"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1.0029</w:t>
            </w:r>
          </w:p>
        </w:tc>
        <w:tc>
          <w:tcPr>
            <w:tcW w:w="970" w:type="dxa"/>
            <w:shd w:val="clear" w:color="auto" w:fill="auto"/>
            <w:noWrap/>
            <w:vAlign w:val="center"/>
            <w:hideMark/>
          </w:tcPr>
          <w:p w14:paraId="7AB2692B"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1.3639</w:t>
            </w:r>
          </w:p>
        </w:tc>
      </w:tr>
      <w:tr w:rsidR="00A122E9" w:rsidRPr="0049778F" w14:paraId="3828D3E2" w14:textId="77777777" w:rsidTr="009E1163">
        <w:trPr>
          <w:trHeight w:val="690"/>
        </w:trPr>
        <w:tc>
          <w:tcPr>
            <w:tcW w:w="1237" w:type="dxa"/>
            <w:shd w:val="clear" w:color="auto" w:fill="F2F2F2" w:themeFill="background1" w:themeFillShade="F2"/>
            <w:noWrap/>
            <w:hideMark/>
          </w:tcPr>
          <w:p w14:paraId="45756E2A" w14:textId="77777777" w:rsidR="00A122E9" w:rsidRPr="0049778F" w:rsidRDefault="00A122E9">
            <w:pPr>
              <w:spacing w:after="0"/>
              <w:jc w:val="center"/>
              <w:rPr>
                <w:rFonts w:eastAsia="Times New Roman" w:cs="Calibri"/>
                <w:color w:val="000000"/>
                <w:sz w:val="18"/>
                <w:szCs w:val="18"/>
              </w:rPr>
            </w:pPr>
            <w:r w:rsidRPr="0049778F">
              <w:rPr>
                <w:rFonts w:eastAsia="Times New Roman" w:cs="Calibri"/>
                <w:color w:val="000000"/>
                <w:sz w:val="18"/>
                <w:szCs w:val="18"/>
              </w:rPr>
              <w:t>IET-I</w:t>
            </w:r>
          </w:p>
        </w:tc>
        <w:tc>
          <w:tcPr>
            <w:tcW w:w="5546" w:type="dxa"/>
            <w:shd w:val="clear" w:color="auto" w:fill="F2F2F2" w:themeFill="background1" w:themeFillShade="F2"/>
            <w:hideMark/>
          </w:tcPr>
          <w:p w14:paraId="45101D32" w14:textId="77777777" w:rsidR="00A122E9" w:rsidRPr="0049778F" w:rsidRDefault="00A122E9">
            <w:pPr>
              <w:spacing w:after="0"/>
              <w:rPr>
                <w:rFonts w:eastAsia="Times New Roman" w:cs="Calibri"/>
                <w:sz w:val="18"/>
                <w:szCs w:val="18"/>
              </w:rPr>
            </w:pPr>
            <w:r w:rsidRPr="0049778F">
              <w:rPr>
                <w:rFonts w:eastAsia="Times New Roman" w:cs="Calibri"/>
                <w:sz w:val="18"/>
                <w:szCs w:val="18"/>
              </w:rPr>
              <w:t>Initiation and Engagement of Alcohol, Opioid, or Other Drug Abuse or Dependence Treatment (Initiation)</w:t>
            </w:r>
          </w:p>
        </w:tc>
        <w:tc>
          <w:tcPr>
            <w:tcW w:w="864" w:type="dxa"/>
            <w:shd w:val="clear" w:color="auto" w:fill="F2F2F2" w:themeFill="background1" w:themeFillShade="F2"/>
            <w:noWrap/>
            <w:vAlign w:val="center"/>
            <w:hideMark/>
          </w:tcPr>
          <w:p w14:paraId="163CDC23"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40.6%</w:t>
            </w:r>
          </w:p>
        </w:tc>
        <w:tc>
          <w:tcPr>
            <w:tcW w:w="864" w:type="dxa"/>
            <w:shd w:val="clear" w:color="auto" w:fill="F2F2F2" w:themeFill="background1" w:themeFillShade="F2"/>
            <w:noWrap/>
            <w:vAlign w:val="center"/>
            <w:hideMark/>
          </w:tcPr>
          <w:p w14:paraId="37D5DD71"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40.6%</w:t>
            </w:r>
          </w:p>
        </w:tc>
        <w:tc>
          <w:tcPr>
            <w:tcW w:w="970" w:type="dxa"/>
            <w:shd w:val="clear" w:color="auto" w:fill="F2F2F2" w:themeFill="background1" w:themeFillShade="F2"/>
            <w:noWrap/>
            <w:vAlign w:val="center"/>
            <w:hideMark/>
          </w:tcPr>
          <w:p w14:paraId="229D10C5"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41.0%</w:t>
            </w:r>
          </w:p>
        </w:tc>
      </w:tr>
      <w:tr w:rsidR="00A122E9" w:rsidRPr="0049778F" w14:paraId="42D3C53C" w14:textId="77777777" w:rsidTr="009E1163">
        <w:trPr>
          <w:trHeight w:val="564"/>
        </w:trPr>
        <w:tc>
          <w:tcPr>
            <w:tcW w:w="1237" w:type="dxa"/>
            <w:shd w:val="clear" w:color="auto" w:fill="auto"/>
            <w:noWrap/>
            <w:hideMark/>
          </w:tcPr>
          <w:p w14:paraId="11555893" w14:textId="77777777" w:rsidR="00A122E9" w:rsidRPr="0049778F" w:rsidRDefault="00A122E9">
            <w:pPr>
              <w:spacing w:after="0"/>
              <w:jc w:val="center"/>
              <w:rPr>
                <w:rFonts w:eastAsia="Times New Roman" w:cs="Calibri"/>
                <w:color w:val="000000"/>
                <w:sz w:val="18"/>
                <w:szCs w:val="18"/>
              </w:rPr>
            </w:pPr>
            <w:r w:rsidRPr="0049778F">
              <w:rPr>
                <w:rFonts w:eastAsia="Times New Roman" w:cs="Calibri"/>
                <w:color w:val="000000"/>
                <w:sz w:val="18"/>
                <w:szCs w:val="18"/>
              </w:rPr>
              <w:t>IET-E</w:t>
            </w:r>
          </w:p>
        </w:tc>
        <w:tc>
          <w:tcPr>
            <w:tcW w:w="5546" w:type="dxa"/>
            <w:shd w:val="clear" w:color="auto" w:fill="auto"/>
            <w:hideMark/>
          </w:tcPr>
          <w:p w14:paraId="1233C038" w14:textId="77777777" w:rsidR="00A122E9" w:rsidRPr="0049778F" w:rsidRDefault="00A122E9">
            <w:pPr>
              <w:spacing w:after="0"/>
              <w:rPr>
                <w:rFonts w:eastAsia="Times New Roman" w:cs="Calibri"/>
                <w:sz w:val="18"/>
                <w:szCs w:val="18"/>
              </w:rPr>
            </w:pPr>
            <w:r w:rsidRPr="0049778F">
              <w:rPr>
                <w:rFonts w:eastAsia="Times New Roman" w:cs="Calibri"/>
                <w:sz w:val="18"/>
                <w:szCs w:val="18"/>
              </w:rPr>
              <w:t>Initiation and Engagement of Alcohol, Opioid, or Other Drug Abuse or Dependence Treatment (Engagement)</w:t>
            </w:r>
          </w:p>
        </w:tc>
        <w:tc>
          <w:tcPr>
            <w:tcW w:w="864" w:type="dxa"/>
            <w:shd w:val="clear" w:color="auto" w:fill="auto"/>
            <w:noWrap/>
            <w:vAlign w:val="center"/>
            <w:hideMark/>
          </w:tcPr>
          <w:p w14:paraId="6661DC63"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11.4%</w:t>
            </w:r>
          </w:p>
        </w:tc>
        <w:tc>
          <w:tcPr>
            <w:tcW w:w="864" w:type="dxa"/>
            <w:shd w:val="clear" w:color="auto" w:fill="auto"/>
            <w:noWrap/>
            <w:vAlign w:val="center"/>
            <w:hideMark/>
          </w:tcPr>
          <w:p w14:paraId="5350BD12"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11.5%</w:t>
            </w:r>
          </w:p>
        </w:tc>
        <w:tc>
          <w:tcPr>
            <w:tcW w:w="970" w:type="dxa"/>
            <w:shd w:val="clear" w:color="auto" w:fill="auto"/>
            <w:noWrap/>
            <w:vAlign w:val="center"/>
            <w:hideMark/>
          </w:tcPr>
          <w:p w14:paraId="5B724616"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10.4%</w:t>
            </w:r>
          </w:p>
        </w:tc>
      </w:tr>
      <w:tr w:rsidR="00A122E9" w:rsidRPr="0049778F" w14:paraId="7BBFD7D5" w14:textId="77777777" w:rsidTr="009E1163">
        <w:trPr>
          <w:trHeight w:val="520"/>
        </w:trPr>
        <w:tc>
          <w:tcPr>
            <w:tcW w:w="1237" w:type="dxa"/>
            <w:shd w:val="clear" w:color="auto" w:fill="F2F2F2" w:themeFill="background1" w:themeFillShade="F2"/>
            <w:noWrap/>
            <w:hideMark/>
          </w:tcPr>
          <w:p w14:paraId="51426B42" w14:textId="77777777" w:rsidR="00A122E9" w:rsidRPr="0049778F" w:rsidRDefault="00A122E9">
            <w:pPr>
              <w:spacing w:after="0"/>
              <w:jc w:val="center"/>
              <w:rPr>
                <w:rFonts w:eastAsia="Times New Roman" w:cs="Calibri"/>
                <w:color w:val="000000"/>
                <w:sz w:val="18"/>
                <w:szCs w:val="18"/>
              </w:rPr>
            </w:pPr>
            <w:r w:rsidRPr="0049778F">
              <w:rPr>
                <w:rFonts w:eastAsia="Times New Roman" w:cs="Calibri"/>
                <w:color w:val="000000"/>
                <w:sz w:val="18"/>
                <w:szCs w:val="18"/>
              </w:rPr>
              <w:t>FUH-7</w:t>
            </w:r>
          </w:p>
        </w:tc>
        <w:tc>
          <w:tcPr>
            <w:tcW w:w="5546" w:type="dxa"/>
            <w:shd w:val="clear" w:color="auto" w:fill="F2F2F2" w:themeFill="background1" w:themeFillShade="F2"/>
            <w:hideMark/>
          </w:tcPr>
          <w:p w14:paraId="7C19A25B" w14:textId="77777777" w:rsidR="00A122E9" w:rsidRPr="0049778F" w:rsidRDefault="00A122E9">
            <w:pPr>
              <w:spacing w:after="0"/>
              <w:rPr>
                <w:rFonts w:eastAsia="Times New Roman" w:cs="Calibri"/>
                <w:sz w:val="18"/>
                <w:szCs w:val="18"/>
              </w:rPr>
            </w:pPr>
            <w:r w:rsidRPr="0049778F">
              <w:rPr>
                <w:rFonts w:eastAsia="Times New Roman" w:cs="Calibri"/>
                <w:sz w:val="18"/>
                <w:szCs w:val="18"/>
              </w:rPr>
              <w:t>Follow-Up After Hospitalization for Mental Illness (7 days)</w:t>
            </w:r>
          </w:p>
        </w:tc>
        <w:tc>
          <w:tcPr>
            <w:tcW w:w="864" w:type="dxa"/>
            <w:shd w:val="clear" w:color="auto" w:fill="F2F2F2" w:themeFill="background1" w:themeFillShade="F2"/>
            <w:noWrap/>
            <w:vAlign w:val="center"/>
            <w:hideMark/>
          </w:tcPr>
          <w:p w14:paraId="7E768606"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50.0%</w:t>
            </w:r>
          </w:p>
        </w:tc>
        <w:tc>
          <w:tcPr>
            <w:tcW w:w="864" w:type="dxa"/>
            <w:shd w:val="clear" w:color="auto" w:fill="F2F2F2" w:themeFill="background1" w:themeFillShade="F2"/>
            <w:noWrap/>
            <w:vAlign w:val="center"/>
            <w:hideMark/>
          </w:tcPr>
          <w:p w14:paraId="240095E2"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50.6%</w:t>
            </w:r>
          </w:p>
        </w:tc>
        <w:tc>
          <w:tcPr>
            <w:tcW w:w="970" w:type="dxa"/>
            <w:shd w:val="clear" w:color="auto" w:fill="F2F2F2" w:themeFill="background1" w:themeFillShade="F2"/>
            <w:noWrap/>
            <w:vAlign w:val="center"/>
            <w:hideMark/>
          </w:tcPr>
          <w:p w14:paraId="4582C2C3"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44.1%</w:t>
            </w:r>
          </w:p>
        </w:tc>
      </w:tr>
      <w:tr w:rsidR="00A122E9" w:rsidRPr="0049778F" w14:paraId="5834ADDF" w14:textId="77777777" w:rsidTr="009E1163">
        <w:trPr>
          <w:trHeight w:val="431"/>
        </w:trPr>
        <w:tc>
          <w:tcPr>
            <w:tcW w:w="1237" w:type="dxa"/>
            <w:shd w:val="clear" w:color="auto" w:fill="auto"/>
            <w:noWrap/>
            <w:hideMark/>
          </w:tcPr>
          <w:p w14:paraId="09C7EDA2" w14:textId="77777777" w:rsidR="00A122E9" w:rsidRPr="0049778F" w:rsidRDefault="00A122E9">
            <w:pPr>
              <w:spacing w:after="0"/>
              <w:jc w:val="center"/>
              <w:rPr>
                <w:rFonts w:eastAsia="Times New Roman" w:cs="Calibri"/>
                <w:color w:val="000000"/>
                <w:sz w:val="18"/>
                <w:szCs w:val="18"/>
              </w:rPr>
            </w:pPr>
            <w:r w:rsidRPr="0049778F">
              <w:rPr>
                <w:rFonts w:eastAsia="Times New Roman" w:cs="Calibri"/>
                <w:color w:val="000000"/>
                <w:sz w:val="18"/>
                <w:szCs w:val="18"/>
              </w:rPr>
              <w:t>FUM-7</w:t>
            </w:r>
          </w:p>
        </w:tc>
        <w:tc>
          <w:tcPr>
            <w:tcW w:w="5546" w:type="dxa"/>
            <w:shd w:val="clear" w:color="auto" w:fill="auto"/>
            <w:hideMark/>
          </w:tcPr>
          <w:p w14:paraId="55F41F04" w14:textId="77777777" w:rsidR="00A122E9" w:rsidRPr="0049778F" w:rsidRDefault="00A122E9">
            <w:pPr>
              <w:spacing w:after="0"/>
              <w:rPr>
                <w:rFonts w:eastAsia="Times New Roman" w:cs="Calibri"/>
                <w:sz w:val="18"/>
                <w:szCs w:val="18"/>
              </w:rPr>
            </w:pPr>
            <w:r w:rsidRPr="0049778F">
              <w:rPr>
                <w:rFonts w:eastAsia="Times New Roman" w:cs="Calibri"/>
                <w:sz w:val="18"/>
                <w:szCs w:val="18"/>
              </w:rPr>
              <w:t>Follow-Up After Emergency Department Visit for Mental Illness (7 days)</w:t>
            </w:r>
          </w:p>
        </w:tc>
        <w:tc>
          <w:tcPr>
            <w:tcW w:w="864" w:type="dxa"/>
            <w:shd w:val="clear" w:color="auto" w:fill="auto"/>
            <w:noWrap/>
            <w:vAlign w:val="center"/>
            <w:hideMark/>
          </w:tcPr>
          <w:p w14:paraId="1156BB04"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79.6%</w:t>
            </w:r>
          </w:p>
        </w:tc>
        <w:tc>
          <w:tcPr>
            <w:tcW w:w="864" w:type="dxa"/>
            <w:shd w:val="clear" w:color="auto" w:fill="auto"/>
            <w:noWrap/>
            <w:vAlign w:val="center"/>
            <w:hideMark/>
          </w:tcPr>
          <w:p w14:paraId="475144C5"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79.5%</w:t>
            </w:r>
          </w:p>
        </w:tc>
        <w:tc>
          <w:tcPr>
            <w:tcW w:w="970" w:type="dxa"/>
            <w:shd w:val="clear" w:color="auto" w:fill="auto"/>
            <w:noWrap/>
            <w:vAlign w:val="center"/>
            <w:hideMark/>
          </w:tcPr>
          <w:p w14:paraId="13C81BE0"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80.5%</w:t>
            </w:r>
          </w:p>
        </w:tc>
      </w:tr>
      <w:tr w:rsidR="00A122E9" w:rsidRPr="0049778F" w14:paraId="1352CA63" w14:textId="77777777" w:rsidTr="009E1163">
        <w:trPr>
          <w:trHeight w:val="520"/>
        </w:trPr>
        <w:tc>
          <w:tcPr>
            <w:tcW w:w="1237" w:type="dxa"/>
            <w:shd w:val="clear" w:color="auto" w:fill="F2F2F2" w:themeFill="background1" w:themeFillShade="F2"/>
            <w:noWrap/>
            <w:hideMark/>
          </w:tcPr>
          <w:p w14:paraId="77FF305B" w14:textId="77777777" w:rsidR="00A122E9" w:rsidRPr="0049778F" w:rsidRDefault="00A122E9">
            <w:pPr>
              <w:spacing w:after="0"/>
              <w:jc w:val="center"/>
              <w:rPr>
                <w:rFonts w:eastAsia="Times New Roman" w:cs="Calibri"/>
                <w:color w:val="000000"/>
                <w:sz w:val="18"/>
                <w:szCs w:val="18"/>
              </w:rPr>
            </w:pPr>
            <w:r w:rsidRPr="0049778F">
              <w:rPr>
                <w:rFonts w:eastAsia="Times New Roman" w:cs="Calibri"/>
                <w:color w:val="000000"/>
                <w:sz w:val="18"/>
                <w:szCs w:val="18"/>
              </w:rPr>
              <w:t>FUH-30</w:t>
            </w:r>
          </w:p>
        </w:tc>
        <w:tc>
          <w:tcPr>
            <w:tcW w:w="5546" w:type="dxa"/>
            <w:shd w:val="clear" w:color="auto" w:fill="F2F2F2" w:themeFill="background1" w:themeFillShade="F2"/>
            <w:hideMark/>
          </w:tcPr>
          <w:p w14:paraId="13EF05ED" w14:textId="77777777" w:rsidR="00A122E9" w:rsidRPr="0049778F" w:rsidRDefault="00A122E9">
            <w:pPr>
              <w:spacing w:after="0"/>
              <w:rPr>
                <w:rFonts w:eastAsia="Times New Roman" w:cs="Calibri"/>
                <w:sz w:val="18"/>
                <w:szCs w:val="18"/>
              </w:rPr>
            </w:pPr>
            <w:r w:rsidRPr="0049778F">
              <w:rPr>
                <w:rFonts w:eastAsia="Times New Roman" w:cs="Calibri"/>
                <w:sz w:val="18"/>
                <w:szCs w:val="18"/>
              </w:rPr>
              <w:t>Follow-Up After Hospitalization for Mental Illness (30 days)</w:t>
            </w:r>
          </w:p>
        </w:tc>
        <w:tc>
          <w:tcPr>
            <w:tcW w:w="864" w:type="dxa"/>
            <w:shd w:val="clear" w:color="auto" w:fill="F2F2F2" w:themeFill="background1" w:themeFillShade="F2"/>
            <w:noWrap/>
            <w:vAlign w:val="center"/>
            <w:hideMark/>
          </w:tcPr>
          <w:p w14:paraId="53C31A1B"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70.8%</w:t>
            </w:r>
          </w:p>
        </w:tc>
        <w:tc>
          <w:tcPr>
            <w:tcW w:w="864" w:type="dxa"/>
            <w:shd w:val="clear" w:color="auto" w:fill="F2F2F2" w:themeFill="background1" w:themeFillShade="F2"/>
            <w:noWrap/>
            <w:vAlign w:val="center"/>
            <w:hideMark/>
          </w:tcPr>
          <w:p w14:paraId="7ECD62CF"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71.2%</w:t>
            </w:r>
          </w:p>
        </w:tc>
        <w:tc>
          <w:tcPr>
            <w:tcW w:w="970" w:type="dxa"/>
            <w:shd w:val="clear" w:color="auto" w:fill="F2F2F2" w:themeFill="background1" w:themeFillShade="F2"/>
            <w:noWrap/>
            <w:vAlign w:val="center"/>
            <w:hideMark/>
          </w:tcPr>
          <w:p w14:paraId="285499B5"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67.1%</w:t>
            </w:r>
          </w:p>
        </w:tc>
      </w:tr>
      <w:tr w:rsidR="00A122E9" w:rsidRPr="0049778F" w14:paraId="08BD727D" w14:textId="77777777" w:rsidTr="009E1163">
        <w:trPr>
          <w:trHeight w:val="530"/>
        </w:trPr>
        <w:tc>
          <w:tcPr>
            <w:tcW w:w="1237" w:type="dxa"/>
            <w:shd w:val="clear" w:color="auto" w:fill="auto"/>
            <w:noWrap/>
            <w:hideMark/>
          </w:tcPr>
          <w:p w14:paraId="206BEAD0" w14:textId="77777777" w:rsidR="00A122E9" w:rsidRPr="0049778F" w:rsidRDefault="00A122E9">
            <w:pPr>
              <w:spacing w:after="0"/>
              <w:jc w:val="center"/>
              <w:rPr>
                <w:rFonts w:eastAsia="Times New Roman" w:cs="Calibri"/>
                <w:color w:val="000000"/>
                <w:sz w:val="18"/>
                <w:szCs w:val="18"/>
              </w:rPr>
            </w:pPr>
            <w:r w:rsidRPr="0049778F">
              <w:rPr>
                <w:rFonts w:eastAsia="Times New Roman" w:cs="Calibri"/>
                <w:color w:val="000000"/>
                <w:sz w:val="18"/>
                <w:szCs w:val="18"/>
              </w:rPr>
              <w:t>AAP</w:t>
            </w:r>
          </w:p>
          <w:p w14:paraId="671BEF80" w14:textId="77777777" w:rsidR="00A122E9" w:rsidRPr="0049778F" w:rsidRDefault="00A122E9">
            <w:pPr>
              <w:spacing w:after="0"/>
              <w:jc w:val="center"/>
              <w:rPr>
                <w:rFonts w:eastAsia="Times New Roman" w:cs="Calibri"/>
                <w:color w:val="000000"/>
                <w:sz w:val="18"/>
                <w:szCs w:val="18"/>
              </w:rPr>
            </w:pPr>
            <w:r w:rsidRPr="0049778F">
              <w:rPr>
                <w:rFonts w:eastAsia="Times New Roman" w:cs="Calibri"/>
                <w:color w:val="000000"/>
                <w:sz w:val="18"/>
                <w:szCs w:val="18"/>
              </w:rPr>
              <w:t>MA-5</w:t>
            </w:r>
          </w:p>
        </w:tc>
        <w:tc>
          <w:tcPr>
            <w:tcW w:w="5546" w:type="dxa"/>
            <w:shd w:val="clear" w:color="auto" w:fill="auto"/>
            <w:hideMark/>
          </w:tcPr>
          <w:p w14:paraId="35BFEC59" w14:textId="77777777" w:rsidR="00A122E9" w:rsidRPr="0049778F" w:rsidRDefault="00A122E9">
            <w:pPr>
              <w:spacing w:after="0"/>
              <w:rPr>
                <w:rFonts w:eastAsia="Times New Roman" w:cs="Calibri"/>
                <w:color w:val="000000"/>
                <w:sz w:val="18"/>
                <w:szCs w:val="18"/>
              </w:rPr>
            </w:pPr>
            <w:r w:rsidRPr="0049778F">
              <w:rPr>
                <w:rFonts w:eastAsia="Times New Roman" w:cs="Calibri"/>
                <w:color w:val="000000"/>
                <w:sz w:val="18"/>
                <w:szCs w:val="18"/>
              </w:rPr>
              <w:t>Access to Preventive/Ambulatory Health Services</w:t>
            </w:r>
          </w:p>
        </w:tc>
        <w:tc>
          <w:tcPr>
            <w:tcW w:w="864" w:type="dxa"/>
            <w:shd w:val="clear" w:color="auto" w:fill="auto"/>
            <w:noWrap/>
            <w:vAlign w:val="center"/>
            <w:hideMark/>
          </w:tcPr>
          <w:p w14:paraId="1EDAECEC"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96.2%</w:t>
            </w:r>
          </w:p>
        </w:tc>
        <w:tc>
          <w:tcPr>
            <w:tcW w:w="864" w:type="dxa"/>
            <w:shd w:val="clear" w:color="auto" w:fill="auto"/>
            <w:noWrap/>
            <w:vAlign w:val="center"/>
            <w:hideMark/>
          </w:tcPr>
          <w:p w14:paraId="4FBFE45D"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96.4%</w:t>
            </w:r>
          </w:p>
        </w:tc>
        <w:tc>
          <w:tcPr>
            <w:tcW w:w="970" w:type="dxa"/>
            <w:shd w:val="clear" w:color="auto" w:fill="auto"/>
            <w:noWrap/>
            <w:vAlign w:val="center"/>
            <w:hideMark/>
          </w:tcPr>
          <w:p w14:paraId="0FA89A55"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93.9%</w:t>
            </w:r>
          </w:p>
        </w:tc>
      </w:tr>
      <w:tr w:rsidR="00A122E9" w:rsidRPr="0049778F" w14:paraId="6BAB983F" w14:textId="77777777" w:rsidTr="009E1163">
        <w:trPr>
          <w:trHeight w:val="90"/>
        </w:trPr>
        <w:tc>
          <w:tcPr>
            <w:tcW w:w="1237" w:type="dxa"/>
            <w:shd w:val="clear" w:color="auto" w:fill="F2F2F2" w:themeFill="background1" w:themeFillShade="F2"/>
            <w:noWrap/>
            <w:hideMark/>
          </w:tcPr>
          <w:p w14:paraId="66DDD2F7" w14:textId="77777777" w:rsidR="00A122E9" w:rsidRPr="0049778F" w:rsidRDefault="00A122E9">
            <w:pPr>
              <w:spacing w:after="0"/>
              <w:jc w:val="center"/>
              <w:rPr>
                <w:rFonts w:eastAsia="Times New Roman" w:cs="Calibri"/>
                <w:color w:val="000000"/>
                <w:sz w:val="18"/>
                <w:szCs w:val="18"/>
              </w:rPr>
            </w:pPr>
            <w:r w:rsidRPr="0049778F">
              <w:rPr>
                <w:rFonts w:eastAsia="Times New Roman" w:cs="Calibri"/>
                <w:color w:val="000000"/>
                <w:sz w:val="18"/>
                <w:szCs w:val="18"/>
              </w:rPr>
              <w:t xml:space="preserve">MMP </w:t>
            </w:r>
          </w:p>
          <w:p w14:paraId="66F3385A" w14:textId="77777777" w:rsidR="00A122E9" w:rsidRPr="0049778F" w:rsidRDefault="00A122E9">
            <w:pPr>
              <w:spacing w:after="0"/>
              <w:jc w:val="center"/>
              <w:rPr>
                <w:rFonts w:eastAsia="Times New Roman" w:cs="Calibri"/>
                <w:color w:val="000000"/>
                <w:sz w:val="18"/>
                <w:szCs w:val="18"/>
              </w:rPr>
            </w:pPr>
            <w:r w:rsidRPr="0049778F">
              <w:rPr>
                <w:rFonts w:eastAsia="Times New Roman" w:cs="Calibri"/>
                <w:color w:val="000000"/>
                <w:sz w:val="18"/>
                <w:szCs w:val="18"/>
              </w:rPr>
              <w:t>CW-12</w:t>
            </w:r>
          </w:p>
        </w:tc>
        <w:tc>
          <w:tcPr>
            <w:tcW w:w="5546" w:type="dxa"/>
            <w:shd w:val="clear" w:color="auto" w:fill="F2F2F2" w:themeFill="background1" w:themeFillShade="F2"/>
            <w:hideMark/>
          </w:tcPr>
          <w:p w14:paraId="1BC5C0BF" w14:textId="77777777" w:rsidR="00A122E9" w:rsidRPr="0049778F" w:rsidRDefault="00A122E9">
            <w:pPr>
              <w:spacing w:after="0"/>
              <w:rPr>
                <w:rFonts w:eastAsia="Times New Roman" w:cs="Calibri"/>
                <w:color w:val="000000"/>
                <w:sz w:val="18"/>
                <w:szCs w:val="18"/>
              </w:rPr>
            </w:pPr>
            <w:r w:rsidRPr="0049778F">
              <w:rPr>
                <w:rFonts w:eastAsia="Times New Roman" w:cs="Calibri"/>
                <w:color w:val="000000"/>
                <w:sz w:val="18"/>
                <w:szCs w:val="18"/>
              </w:rPr>
              <w:t>Medication Adherence for Diabetes Medications</w:t>
            </w:r>
          </w:p>
        </w:tc>
        <w:tc>
          <w:tcPr>
            <w:tcW w:w="864" w:type="dxa"/>
            <w:shd w:val="clear" w:color="auto" w:fill="F2F2F2" w:themeFill="background1" w:themeFillShade="F2"/>
            <w:noWrap/>
            <w:vAlign w:val="center"/>
            <w:hideMark/>
          </w:tcPr>
          <w:p w14:paraId="0C801005"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85.0%</w:t>
            </w:r>
          </w:p>
        </w:tc>
        <w:tc>
          <w:tcPr>
            <w:tcW w:w="864" w:type="dxa"/>
            <w:shd w:val="clear" w:color="auto" w:fill="F2F2F2" w:themeFill="background1" w:themeFillShade="F2"/>
            <w:noWrap/>
            <w:vAlign w:val="center"/>
            <w:hideMark/>
          </w:tcPr>
          <w:p w14:paraId="27F33EE0"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85.0%</w:t>
            </w:r>
          </w:p>
        </w:tc>
        <w:tc>
          <w:tcPr>
            <w:tcW w:w="970" w:type="dxa"/>
            <w:shd w:val="clear" w:color="auto" w:fill="F2F2F2" w:themeFill="background1" w:themeFillShade="F2"/>
            <w:noWrap/>
            <w:vAlign w:val="center"/>
            <w:hideMark/>
          </w:tcPr>
          <w:p w14:paraId="39BFCD8D"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83.0%</w:t>
            </w:r>
          </w:p>
        </w:tc>
      </w:tr>
      <w:tr w:rsidR="00A122E9" w:rsidRPr="0049778F" w14:paraId="6BA12653" w14:textId="77777777" w:rsidTr="009E1163">
        <w:trPr>
          <w:trHeight w:val="310"/>
        </w:trPr>
        <w:tc>
          <w:tcPr>
            <w:tcW w:w="1237" w:type="dxa"/>
            <w:shd w:val="clear" w:color="auto" w:fill="auto"/>
            <w:noWrap/>
            <w:hideMark/>
          </w:tcPr>
          <w:p w14:paraId="30FC923D" w14:textId="77777777" w:rsidR="00A122E9" w:rsidRPr="0049778F" w:rsidRDefault="00A122E9">
            <w:pPr>
              <w:spacing w:after="0"/>
              <w:jc w:val="center"/>
              <w:rPr>
                <w:rFonts w:eastAsia="Times New Roman" w:cs="Calibri"/>
                <w:color w:val="000000"/>
                <w:sz w:val="18"/>
                <w:szCs w:val="18"/>
              </w:rPr>
            </w:pPr>
            <w:r w:rsidRPr="0049778F">
              <w:rPr>
                <w:rFonts w:eastAsia="Times New Roman" w:cs="Calibri"/>
                <w:color w:val="000000"/>
                <w:sz w:val="18"/>
                <w:szCs w:val="18"/>
              </w:rPr>
              <w:t>MMP</w:t>
            </w:r>
          </w:p>
          <w:p w14:paraId="6482F09F" w14:textId="77777777" w:rsidR="00A122E9" w:rsidRPr="0049778F" w:rsidRDefault="00A122E9">
            <w:pPr>
              <w:spacing w:after="0"/>
              <w:jc w:val="center"/>
              <w:rPr>
                <w:rFonts w:eastAsia="Times New Roman" w:cs="Calibri"/>
                <w:color w:val="000000"/>
                <w:sz w:val="18"/>
                <w:szCs w:val="18"/>
              </w:rPr>
            </w:pPr>
            <w:r w:rsidRPr="0049778F">
              <w:rPr>
                <w:rFonts w:eastAsia="Times New Roman" w:cs="Calibri"/>
                <w:color w:val="000000"/>
                <w:sz w:val="18"/>
                <w:szCs w:val="18"/>
              </w:rPr>
              <w:t>CW13</w:t>
            </w:r>
          </w:p>
        </w:tc>
        <w:tc>
          <w:tcPr>
            <w:tcW w:w="5546" w:type="dxa"/>
            <w:shd w:val="clear" w:color="auto" w:fill="auto"/>
            <w:hideMark/>
          </w:tcPr>
          <w:p w14:paraId="0E55E206" w14:textId="77777777" w:rsidR="00A122E9" w:rsidRPr="0049778F" w:rsidRDefault="00A122E9">
            <w:pPr>
              <w:spacing w:after="0"/>
              <w:rPr>
                <w:rFonts w:eastAsia="Times New Roman" w:cs="Calibri"/>
                <w:color w:val="000000"/>
                <w:sz w:val="18"/>
                <w:szCs w:val="18"/>
              </w:rPr>
            </w:pPr>
            <w:r w:rsidRPr="0049778F">
              <w:rPr>
                <w:rFonts w:eastAsia="Times New Roman" w:cs="Calibri"/>
                <w:color w:val="000000"/>
                <w:sz w:val="18"/>
                <w:szCs w:val="18"/>
              </w:rPr>
              <w:t>Encounter Data Completeness</w:t>
            </w:r>
          </w:p>
        </w:tc>
        <w:tc>
          <w:tcPr>
            <w:tcW w:w="864" w:type="dxa"/>
            <w:shd w:val="clear" w:color="auto" w:fill="auto"/>
            <w:noWrap/>
            <w:vAlign w:val="center"/>
            <w:hideMark/>
          </w:tcPr>
          <w:p w14:paraId="0FCCC6FD"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w:t>
            </w:r>
          </w:p>
        </w:tc>
        <w:tc>
          <w:tcPr>
            <w:tcW w:w="864" w:type="dxa"/>
            <w:shd w:val="clear" w:color="auto" w:fill="auto"/>
            <w:noWrap/>
            <w:vAlign w:val="center"/>
            <w:hideMark/>
          </w:tcPr>
          <w:p w14:paraId="3DFAA456"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94.0%</w:t>
            </w:r>
          </w:p>
        </w:tc>
        <w:tc>
          <w:tcPr>
            <w:tcW w:w="970" w:type="dxa"/>
            <w:shd w:val="clear" w:color="auto" w:fill="auto"/>
            <w:noWrap/>
            <w:vAlign w:val="center"/>
            <w:hideMark/>
          </w:tcPr>
          <w:p w14:paraId="537F5B92"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88.0%</w:t>
            </w:r>
          </w:p>
        </w:tc>
      </w:tr>
      <w:tr w:rsidR="00A122E9" w:rsidRPr="0049778F" w14:paraId="30FBD183" w14:textId="77777777" w:rsidTr="009E1163">
        <w:trPr>
          <w:trHeight w:val="320"/>
        </w:trPr>
        <w:tc>
          <w:tcPr>
            <w:tcW w:w="1237" w:type="dxa"/>
            <w:shd w:val="clear" w:color="auto" w:fill="F2F2F2" w:themeFill="background1" w:themeFillShade="F2"/>
            <w:noWrap/>
            <w:hideMark/>
          </w:tcPr>
          <w:p w14:paraId="20483690" w14:textId="77777777" w:rsidR="00A122E9" w:rsidRPr="0049778F" w:rsidRDefault="00A122E9">
            <w:pPr>
              <w:spacing w:after="0"/>
              <w:jc w:val="center"/>
              <w:rPr>
                <w:rFonts w:eastAsia="Times New Roman" w:cs="Calibri"/>
                <w:color w:val="000000"/>
                <w:sz w:val="18"/>
                <w:szCs w:val="18"/>
              </w:rPr>
            </w:pPr>
            <w:r w:rsidRPr="0049778F">
              <w:rPr>
                <w:rFonts w:eastAsia="Times New Roman" w:cs="Calibri"/>
                <w:color w:val="000000"/>
                <w:sz w:val="18"/>
                <w:szCs w:val="18"/>
              </w:rPr>
              <w:t>MMP</w:t>
            </w:r>
          </w:p>
          <w:p w14:paraId="0D620842" w14:textId="77777777" w:rsidR="00A122E9" w:rsidRPr="0049778F" w:rsidRDefault="00A122E9">
            <w:pPr>
              <w:spacing w:after="0"/>
              <w:jc w:val="center"/>
              <w:rPr>
                <w:rFonts w:eastAsia="Times New Roman" w:cs="Calibri"/>
                <w:color w:val="000000"/>
                <w:sz w:val="18"/>
                <w:szCs w:val="18"/>
              </w:rPr>
            </w:pPr>
            <w:r w:rsidRPr="0049778F">
              <w:rPr>
                <w:rFonts w:eastAsia="Times New Roman" w:cs="Calibri"/>
                <w:color w:val="000000"/>
                <w:sz w:val="18"/>
                <w:szCs w:val="18"/>
              </w:rPr>
              <w:t>CW7</w:t>
            </w:r>
          </w:p>
        </w:tc>
        <w:tc>
          <w:tcPr>
            <w:tcW w:w="5546" w:type="dxa"/>
            <w:shd w:val="clear" w:color="auto" w:fill="F2F2F2" w:themeFill="background1" w:themeFillShade="F2"/>
            <w:hideMark/>
          </w:tcPr>
          <w:p w14:paraId="04E38C92" w14:textId="77777777" w:rsidR="00A122E9" w:rsidRPr="0049778F" w:rsidRDefault="00A122E9">
            <w:pPr>
              <w:spacing w:after="0"/>
              <w:rPr>
                <w:rFonts w:eastAsia="Times New Roman" w:cs="Calibri"/>
                <w:color w:val="000000"/>
                <w:sz w:val="18"/>
                <w:szCs w:val="18"/>
              </w:rPr>
            </w:pPr>
            <w:r w:rsidRPr="0049778F">
              <w:rPr>
                <w:rFonts w:eastAsia="Times New Roman" w:cs="Calibri"/>
                <w:color w:val="000000"/>
                <w:sz w:val="18"/>
                <w:szCs w:val="18"/>
              </w:rPr>
              <w:t>Annual Flu Vaccination</w:t>
            </w:r>
          </w:p>
        </w:tc>
        <w:tc>
          <w:tcPr>
            <w:tcW w:w="864" w:type="dxa"/>
            <w:shd w:val="clear" w:color="auto" w:fill="F2F2F2" w:themeFill="background1" w:themeFillShade="F2"/>
            <w:noWrap/>
            <w:vAlign w:val="center"/>
            <w:hideMark/>
          </w:tcPr>
          <w:p w14:paraId="2894602F"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71.0%</w:t>
            </w:r>
          </w:p>
        </w:tc>
        <w:tc>
          <w:tcPr>
            <w:tcW w:w="864" w:type="dxa"/>
            <w:shd w:val="clear" w:color="auto" w:fill="F2F2F2" w:themeFill="background1" w:themeFillShade="F2"/>
            <w:noWrap/>
            <w:vAlign w:val="center"/>
            <w:hideMark/>
          </w:tcPr>
          <w:p w14:paraId="5F3AA5D1"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72.0%</w:t>
            </w:r>
          </w:p>
        </w:tc>
        <w:tc>
          <w:tcPr>
            <w:tcW w:w="970" w:type="dxa"/>
            <w:shd w:val="clear" w:color="auto" w:fill="F2F2F2" w:themeFill="background1" w:themeFillShade="F2"/>
            <w:noWrap/>
            <w:vAlign w:val="center"/>
            <w:hideMark/>
          </w:tcPr>
          <w:p w14:paraId="67F82C59"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69.0%</w:t>
            </w:r>
          </w:p>
        </w:tc>
      </w:tr>
    </w:tbl>
    <w:p w14:paraId="67E8EF57" w14:textId="77777777" w:rsidR="009E1163" w:rsidRDefault="009E1163">
      <w:pPr>
        <w:rPr>
          <w:rFonts w:eastAsia="Times New Roman" w:cs="Calibri"/>
          <w:b/>
          <w:bCs/>
          <w:color w:val="000000" w:themeColor="text1"/>
          <w:sz w:val="20"/>
          <w:szCs w:val="20"/>
        </w:rPr>
      </w:pPr>
      <w:r>
        <w:rPr>
          <w:rFonts w:eastAsia="Times New Roman" w:cs="Calibri"/>
          <w:b/>
          <w:bCs/>
          <w:color w:val="000000" w:themeColor="text1"/>
          <w:sz w:val="20"/>
          <w:szCs w:val="20"/>
        </w:rPr>
        <w:br w:type="page"/>
      </w:r>
    </w:p>
    <w:p w14:paraId="2B0D7EB6" w14:textId="0542B3B5" w:rsidR="00A122E9" w:rsidRPr="00CF37A1" w:rsidRDefault="00A122E9" w:rsidP="00A122E9">
      <w:pPr>
        <w:spacing w:after="160" w:line="259" w:lineRule="auto"/>
        <w:ind w:left="-540"/>
        <w:rPr>
          <w:rFonts w:eastAsia="Times New Roman" w:cs="Calibri"/>
          <w:b/>
          <w:bCs/>
          <w:color w:val="000000"/>
          <w:sz w:val="20"/>
          <w:szCs w:val="20"/>
        </w:rPr>
      </w:pPr>
      <w:r>
        <w:rPr>
          <w:rFonts w:eastAsia="Times New Roman" w:cs="Calibri"/>
          <w:b/>
          <w:bCs/>
          <w:color w:val="000000"/>
          <w:sz w:val="20"/>
          <w:szCs w:val="20"/>
        </w:rPr>
        <w:lastRenderedPageBreak/>
        <w:t>Chart B-6.</w:t>
      </w:r>
      <w:r w:rsidR="009E1163">
        <w:rPr>
          <w:rFonts w:eastAsia="Times New Roman" w:cs="Calibri"/>
          <w:b/>
          <w:bCs/>
          <w:color w:val="000000"/>
          <w:sz w:val="20"/>
          <w:szCs w:val="20"/>
        </w:rPr>
        <w:t>2</w:t>
      </w:r>
      <w:r>
        <w:rPr>
          <w:rFonts w:eastAsia="Times New Roman" w:cs="Calibri"/>
          <w:b/>
          <w:bCs/>
          <w:color w:val="000000"/>
          <w:sz w:val="20"/>
          <w:szCs w:val="20"/>
        </w:rPr>
        <w:t>: SCO Contact Level Performance, MY2020</w:t>
      </w:r>
    </w:p>
    <w:tbl>
      <w:tblPr>
        <w:tblW w:w="12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5546"/>
        <w:gridCol w:w="830"/>
        <w:gridCol w:w="830"/>
        <w:gridCol w:w="1040"/>
        <w:gridCol w:w="830"/>
        <w:gridCol w:w="830"/>
        <w:gridCol w:w="860"/>
        <w:gridCol w:w="900"/>
      </w:tblGrid>
      <w:tr w:rsidR="00A122E9" w:rsidRPr="0049778F" w14:paraId="7253748D" w14:textId="77777777" w:rsidTr="009E1163">
        <w:trPr>
          <w:trHeight w:val="500"/>
          <w:tblHeader/>
        </w:trPr>
        <w:tc>
          <w:tcPr>
            <w:tcW w:w="1237" w:type="dxa"/>
            <w:shd w:val="clear" w:color="auto" w:fill="auto"/>
            <w:noWrap/>
            <w:vAlign w:val="center"/>
            <w:hideMark/>
          </w:tcPr>
          <w:p w14:paraId="0339DE00" w14:textId="77777777" w:rsidR="00A122E9" w:rsidRPr="0049778F" w:rsidRDefault="00A122E9">
            <w:pPr>
              <w:spacing w:after="0"/>
              <w:jc w:val="center"/>
              <w:rPr>
                <w:rFonts w:eastAsia="Times New Roman" w:cs="Calibri"/>
                <w:b/>
                <w:bCs/>
                <w:color w:val="000000"/>
                <w:sz w:val="18"/>
                <w:szCs w:val="18"/>
              </w:rPr>
            </w:pPr>
            <w:r w:rsidRPr="0049778F">
              <w:rPr>
                <w:rFonts w:eastAsia="Times New Roman" w:cs="Calibri"/>
                <w:b/>
                <w:bCs/>
                <w:color w:val="000000"/>
                <w:sz w:val="18"/>
                <w:szCs w:val="18"/>
              </w:rPr>
              <w:t>Ref</w:t>
            </w:r>
          </w:p>
        </w:tc>
        <w:tc>
          <w:tcPr>
            <w:tcW w:w="5546" w:type="dxa"/>
            <w:shd w:val="clear" w:color="auto" w:fill="auto"/>
            <w:noWrap/>
            <w:vAlign w:val="center"/>
            <w:hideMark/>
          </w:tcPr>
          <w:p w14:paraId="5E064A30" w14:textId="77777777" w:rsidR="00A122E9" w:rsidRPr="0049778F" w:rsidRDefault="00A122E9">
            <w:pPr>
              <w:spacing w:after="0"/>
              <w:jc w:val="center"/>
              <w:rPr>
                <w:rFonts w:eastAsia="Times New Roman" w:cs="Calibri"/>
                <w:b/>
                <w:bCs/>
                <w:color w:val="000000"/>
                <w:sz w:val="18"/>
                <w:szCs w:val="18"/>
              </w:rPr>
            </w:pPr>
            <w:r w:rsidRPr="0049778F">
              <w:rPr>
                <w:rFonts w:eastAsia="Times New Roman" w:cs="Calibri"/>
                <w:b/>
                <w:bCs/>
                <w:color w:val="000000"/>
                <w:sz w:val="18"/>
                <w:szCs w:val="18"/>
              </w:rPr>
              <w:t>2020 Measure</w:t>
            </w:r>
          </w:p>
        </w:tc>
        <w:tc>
          <w:tcPr>
            <w:tcW w:w="830" w:type="dxa"/>
            <w:shd w:val="clear" w:color="auto" w:fill="2F5496" w:themeFill="accent1" w:themeFillShade="BF"/>
            <w:noWrap/>
            <w:vAlign w:val="center"/>
            <w:hideMark/>
          </w:tcPr>
          <w:p w14:paraId="15E5CBAD" w14:textId="77777777" w:rsidR="00A122E9" w:rsidRPr="0049778F" w:rsidRDefault="00A122E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Total SCO</w:t>
            </w:r>
          </w:p>
        </w:tc>
        <w:tc>
          <w:tcPr>
            <w:tcW w:w="830" w:type="dxa"/>
            <w:shd w:val="clear" w:color="auto" w:fill="2F5496" w:themeFill="accent1" w:themeFillShade="BF"/>
            <w:noWrap/>
            <w:vAlign w:val="center"/>
            <w:hideMark/>
          </w:tcPr>
          <w:p w14:paraId="2BC36E29" w14:textId="77777777" w:rsidR="00A122E9" w:rsidRPr="0049778F" w:rsidRDefault="00A122E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BMC</w:t>
            </w:r>
          </w:p>
          <w:p w14:paraId="0365EB39" w14:textId="77777777" w:rsidR="00A122E9" w:rsidRPr="0049778F" w:rsidRDefault="00A122E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HNET</w:t>
            </w:r>
          </w:p>
        </w:tc>
        <w:tc>
          <w:tcPr>
            <w:tcW w:w="1040" w:type="dxa"/>
            <w:shd w:val="clear" w:color="auto" w:fill="2F5496" w:themeFill="accent1" w:themeFillShade="BF"/>
            <w:noWrap/>
            <w:vAlign w:val="center"/>
            <w:hideMark/>
          </w:tcPr>
          <w:p w14:paraId="77FD9264" w14:textId="77777777" w:rsidR="00A122E9" w:rsidRPr="0049778F" w:rsidRDefault="00A122E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CCA SCO</w:t>
            </w:r>
          </w:p>
        </w:tc>
        <w:tc>
          <w:tcPr>
            <w:tcW w:w="830" w:type="dxa"/>
            <w:shd w:val="clear" w:color="auto" w:fill="2F5496" w:themeFill="accent1" w:themeFillShade="BF"/>
            <w:noWrap/>
            <w:vAlign w:val="center"/>
            <w:hideMark/>
          </w:tcPr>
          <w:p w14:paraId="55E5F85E" w14:textId="77777777" w:rsidR="00A122E9" w:rsidRPr="0049778F" w:rsidRDefault="00A122E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Navi-</w:t>
            </w:r>
          </w:p>
          <w:p w14:paraId="727619AB" w14:textId="77777777" w:rsidR="00A122E9" w:rsidRPr="0049778F" w:rsidRDefault="00A122E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care</w:t>
            </w:r>
          </w:p>
        </w:tc>
        <w:tc>
          <w:tcPr>
            <w:tcW w:w="830" w:type="dxa"/>
            <w:shd w:val="clear" w:color="auto" w:fill="2F5496" w:themeFill="accent1" w:themeFillShade="BF"/>
            <w:noWrap/>
            <w:vAlign w:val="center"/>
            <w:hideMark/>
          </w:tcPr>
          <w:p w14:paraId="37C3A810" w14:textId="77777777" w:rsidR="00A122E9" w:rsidRPr="0049778F" w:rsidRDefault="00A122E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SWH</w:t>
            </w:r>
          </w:p>
        </w:tc>
        <w:tc>
          <w:tcPr>
            <w:tcW w:w="860" w:type="dxa"/>
            <w:shd w:val="clear" w:color="auto" w:fill="2F5496" w:themeFill="accent1" w:themeFillShade="BF"/>
            <w:noWrap/>
            <w:vAlign w:val="center"/>
            <w:hideMark/>
          </w:tcPr>
          <w:p w14:paraId="681339DD" w14:textId="77777777" w:rsidR="00A122E9" w:rsidRPr="0049778F" w:rsidRDefault="00A122E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THP</w:t>
            </w:r>
          </w:p>
          <w:p w14:paraId="449FBB23" w14:textId="77777777" w:rsidR="00A122E9" w:rsidRPr="0049778F" w:rsidRDefault="00A122E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SCO</w:t>
            </w:r>
          </w:p>
        </w:tc>
        <w:tc>
          <w:tcPr>
            <w:tcW w:w="900" w:type="dxa"/>
            <w:shd w:val="clear" w:color="auto" w:fill="2F5496" w:themeFill="accent1" w:themeFillShade="BF"/>
            <w:noWrap/>
            <w:vAlign w:val="center"/>
            <w:hideMark/>
          </w:tcPr>
          <w:p w14:paraId="3EDAFE1D" w14:textId="77777777" w:rsidR="00A122E9" w:rsidRPr="0049778F" w:rsidRDefault="00A122E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United</w:t>
            </w:r>
          </w:p>
        </w:tc>
      </w:tr>
      <w:tr w:rsidR="00A122E9" w:rsidRPr="0049778F" w14:paraId="66880469" w14:textId="77777777" w:rsidTr="009E1163">
        <w:trPr>
          <w:trHeight w:val="310"/>
        </w:trPr>
        <w:tc>
          <w:tcPr>
            <w:tcW w:w="1237" w:type="dxa"/>
            <w:shd w:val="clear" w:color="auto" w:fill="auto"/>
            <w:noWrap/>
            <w:hideMark/>
          </w:tcPr>
          <w:p w14:paraId="06AB3325" w14:textId="77777777" w:rsidR="00A122E9" w:rsidRPr="0049778F" w:rsidRDefault="00A122E9">
            <w:pPr>
              <w:spacing w:after="0"/>
              <w:jc w:val="center"/>
              <w:rPr>
                <w:rFonts w:eastAsia="Times New Roman" w:cs="Calibri"/>
                <w:color w:val="000000"/>
                <w:sz w:val="18"/>
                <w:szCs w:val="18"/>
              </w:rPr>
            </w:pPr>
            <w:r w:rsidRPr="0049778F">
              <w:rPr>
                <w:rFonts w:eastAsia="Times New Roman" w:cs="Calibri"/>
                <w:color w:val="000000"/>
                <w:sz w:val="18"/>
                <w:szCs w:val="18"/>
              </w:rPr>
              <w:t>CBP</w:t>
            </w:r>
          </w:p>
        </w:tc>
        <w:tc>
          <w:tcPr>
            <w:tcW w:w="5546" w:type="dxa"/>
            <w:shd w:val="clear" w:color="000000" w:fill="FFFFFF"/>
            <w:hideMark/>
          </w:tcPr>
          <w:p w14:paraId="70D5D7E6" w14:textId="77777777" w:rsidR="00A122E9" w:rsidRPr="0049778F" w:rsidRDefault="00A122E9">
            <w:pPr>
              <w:spacing w:after="0"/>
              <w:rPr>
                <w:rFonts w:eastAsia="Times New Roman" w:cs="Calibri"/>
                <w:sz w:val="18"/>
                <w:szCs w:val="18"/>
              </w:rPr>
            </w:pPr>
            <w:r w:rsidRPr="0049778F">
              <w:rPr>
                <w:rFonts w:eastAsia="Times New Roman" w:cs="Calibri"/>
                <w:sz w:val="18"/>
                <w:szCs w:val="18"/>
              </w:rPr>
              <w:t>Controlling High Blood Pressure</w:t>
            </w:r>
          </w:p>
        </w:tc>
        <w:tc>
          <w:tcPr>
            <w:tcW w:w="830" w:type="dxa"/>
            <w:shd w:val="clear" w:color="auto" w:fill="auto"/>
            <w:vAlign w:val="center"/>
            <w:hideMark/>
          </w:tcPr>
          <w:p w14:paraId="0FB32CE6"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61.2%</w:t>
            </w:r>
          </w:p>
        </w:tc>
        <w:tc>
          <w:tcPr>
            <w:tcW w:w="830" w:type="dxa"/>
            <w:shd w:val="clear" w:color="auto" w:fill="auto"/>
            <w:noWrap/>
            <w:vAlign w:val="center"/>
            <w:hideMark/>
          </w:tcPr>
          <w:p w14:paraId="67CE1D83"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57.9%</w:t>
            </w:r>
          </w:p>
        </w:tc>
        <w:tc>
          <w:tcPr>
            <w:tcW w:w="1040" w:type="dxa"/>
            <w:shd w:val="clear" w:color="auto" w:fill="auto"/>
            <w:vAlign w:val="center"/>
            <w:hideMark/>
          </w:tcPr>
          <w:p w14:paraId="694F2000"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59.4%</w:t>
            </w:r>
          </w:p>
        </w:tc>
        <w:tc>
          <w:tcPr>
            <w:tcW w:w="830" w:type="dxa"/>
            <w:shd w:val="clear" w:color="auto" w:fill="auto"/>
            <w:vAlign w:val="center"/>
            <w:hideMark/>
          </w:tcPr>
          <w:p w14:paraId="1B8B920B"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57.7%</w:t>
            </w:r>
          </w:p>
        </w:tc>
        <w:tc>
          <w:tcPr>
            <w:tcW w:w="830" w:type="dxa"/>
            <w:shd w:val="clear" w:color="auto" w:fill="auto"/>
            <w:vAlign w:val="center"/>
            <w:hideMark/>
          </w:tcPr>
          <w:p w14:paraId="546E7501"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53.7%</w:t>
            </w:r>
          </w:p>
        </w:tc>
        <w:tc>
          <w:tcPr>
            <w:tcW w:w="860" w:type="dxa"/>
            <w:shd w:val="clear" w:color="auto" w:fill="auto"/>
            <w:vAlign w:val="center"/>
            <w:hideMark/>
          </w:tcPr>
          <w:p w14:paraId="2C8B8C5E"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54.0%</w:t>
            </w:r>
          </w:p>
        </w:tc>
        <w:tc>
          <w:tcPr>
            <w:tcW w:w="900" w:type="dxa"/>
            <w:shd w:val="clear" w:color="auto" w:fill="auto"/>
            <w:vAlign w:val="center"/>
            <w:hideMark/>
          </w:tcPr>
          <w:p w14:paraId="0094C64C" w14:textId="77777777" w:rsidR="00A122E9" w:rsidRPr="0049778F" w:rsidRDefault="00A122E9">
            <w:pPr>
              <w:spacing w:after="0"/>
              <w:jc w:val="center"/>
              <w:rPr>
                <w:rFonts w:eastAsia="Times New Roman" w:cs="Calibri"/>
                <w:color w:val="000000"/>
                <w:sz w:val="18"/>
                <w:szCs w:val="18"/>
              </w:rPr>
            </w:pPr>
            <w:r w:rsidRPr="0049778F">
              <w:rPr>
                <w:rFonts w:cs="Calibri"/>
                <w:color w:val="000000"/>
                <w:sz w:val="18"/>
                <w:szCs w:val="18"/>
              </w:rPr>
              <w:t>70.3%</w:t>
            </w:r>
          </w:p>
        </w:tc>
      </w:tr>
      <w:tr w:rsidR="00EF3512" w:rsidRPr="0049778F" w14:paraId="46586460" w14:textId="77777777" w:rsidTr="003301F5">
        <w:trPr>
          <w:trHeight w:val="520"/>
        </w:trPr>
        <w:tc>
          <w:tcPr>
            <w:tcW w:w="1237" w:type="dxa"/>
            <w:shd w:val="clear" w:color="auto" w:fill="F2F2F2" w:themeFill="background1" w:themeFillShade="F2"/>
            <w:noWrap/>
            <w:hideMark/>
          </w:tcPr>
          <w:p w14:paraId="0B1E0FD5" w14:textId="2BB1B57E" w:rsidR="00EF3512" w:rsidRPr="0049778F" w:rsidRDefault="00EF3512">
            <w:pPr>
              <w:spacing w:after="0"/>
              <w:jc w:val="center"/>
              <w:rPr>
                <w:rFonts w:eastAsia="Times New Roman" w:cs="Calibri"/>
                <w:color w:val="000000"/>
                <w:sz w:val="18"/>
                <w:szCs w:val="18"/>
              </w:rPr>
            </w:pPr>
            <w:r w:rsidRPr="0049778F">
              <w:rPr>
                <w:rFonts w:eastAsia="Times New Roman" w:cs="Calibri"/>
                <w:color w:val="000000"/>
                <w:sz w:val="18"/>
                <w:szCs w:val="18"/>
              </w:rPr>
              <w:t>PCR-O/E</w:t>
            </w:r>
          </w:p>
        </w:tc>
        <w:tc>
          <w:tcPr>
            <w:tcW w:w="5546" w:type="dxa"/>
            <w:shd w:val="clear" w:color="auto" w:fill="F2F2F2" w:themeFill="background1" w:themeFillShade="F2"/>
            <w:hideMark/>
          </w:tcPr>
          <w:p w14:paraId="1B521B99" w14:textId="36A10FB3" w:rsidR="00EF3512" w:rsidRPr="0049778F" w:rsidRDefault="00EF3512">
            <w:pPr>
              <w:spacing w:after="0"/>
              <w:rPr>
                <w:rFonts w:eastAsia="Times New Roman" w:cs="Calibri"/>
                <w:sz w:val="18"/>
                <w:szCs w:val="18"/>
              </w:rPr>
            </w:pPr>
            <w:r w:rsidRPr="0049778F">
              <w:rPr>
                <w:rFonts w:eastAsia="Times New Roman" w:cs="Calibri"/>
                <w:sz w:val="18"/>
                <w:szCs w:val="18"/>
              </w:rPr>
              <w:t>Plan All-Cause Readmissions (observed to expected ratio)</w:t>
            </w:r>
          </w:p>
        </w:tc>
        <w:tc>
          <w:tcPr>
            <w:tcW w:w="830" w:type="dxa"/>
            <w:shd w:val="clear" w:color="auto" w:fill="F2F2F2" w:themeFill="background1" w:themeFillShade="F2"/>
            <w:noWrap/>
            <w:vAlign w:val="center"/>
            <w:hideMark/>
          </w:tcPr>
          <w:p w14:paraId="02115D9D" w14:textId="5A56B16E"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1.1729</w:t>
            </w:r>
          </w:p>
        </w:tc>
        <w:tc>
          <w:tcPr>
            <w:tcW w:w="830" w:type="dxa"/>
            <w:shd w:val="clear" w:color="auto" w:fill="F2F2F2" w:themeFill="background1" w:themeFillShade="F2"/>
            <w:noWrap/>
            <w:vAlign w:val="center"/>
            <w:hideMark/>
          </w:tcPr>
          <w:p w14:paraId="6F410A54" w14:textId="4FB0674E"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1.0711</w:t>
            </w:r>
          </w:p>
        </w:tc>
        <w:tc>
          <w:tcPr>
            <w:tcW w:w="1040" w:type="dxa"/>
            <w:shd w:val="clear" w:color="auto" w:fill="F2F2F2" w:themeFill="background1" w:themeFillShade="F2"/>
            <w:noWrap/>
            <w:vAlign w:val="center"/>
            <w:hideMark/>
          </w:tcPr>
          <w:p w14:paraId="2D361E7F" w14:textId="3E366ED2"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1.0143</w:t>
            </w:r>
          </w:p>
        </w:tc>
        <w:tc>
          <w:tcPr>
            <w:tcW w:w="830" w:type="dxa"/>
            <w:shd w:val="clear" w:color="auto" w:fill="F2F2F2" w:themeFill="background1" w:themeFillShade="F2"/>
            <w:noWrap/>
            <w:vAlign w:val="center"/>
            <w:hideMark/>
          </w:tcPr>
          <w:p w14:paraId="103CC0C9" w14:textId="293880EE"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1.1841</w:t>
            </w:r>
          </w:p>
        </w:tc>
        <w:tc>
          <w:tcPr>
            <w:tcW w:w="830" w:type="dxa"/>
            <w:shd w:val="clear" w:color="auto" w:fill="F2F2F2" w:themeFill="background1" w:themeFillShade="F2"/>
            <w:noWrap/>
            <w:vAlign w:val="center"/>
            <w:hideMark/>
          </w:tcPr>
          <w:p w14:paraId="05BC9FE9" w14:textId="3DD76D13"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1.0924</w:t>
            </w:r>
          </w:p>
        </w:tc>
        <w:tc>
          <w:tcPr>
            <w:tcW w:w="860" w:type="dxa"/>
            <w:shd w:val="clear" w:color="auto" w:fill="F2F2F2" w:themeFill="background1" w:themeFillShade="F2"/>
            <w:noWrap/>
            <w:vAlign w:val="center"/>
            <w:hideMark/>
          </w:tcPr>
          <w:p w14:paraId="304F6CA9" w14:textId="30FD88A9"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1.2503</w:t>
            </w:r>
          </w:p>
        </w:tc>
        <w:tc>
          <w:tcPr>
            <w:tcW w:w="900" w:type="dxa"/>
            <w:shd w:val="clear" w:color="auto" w:fill="F2F2F2" w:themeFill="background1" w:themeFillShade="F2"/>
            <w:noWrap/>
            <w:vAlign w:val="center"/>
            <w:hideMark/>
          </w:tcPr>
          <w:p w14:paraId="72086004" w14:textId="3FD7A7EF"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1.2454</w:t>
            </w:r>
          </w:p>
        </w:tc>
      </w:tr>
      <w:tr w:rsidR="00EF3512" w:rsidRPr="0049778F" w14:paraId="1CFBD115" w14:textId="77777777" w:rsidTr="003301F5">
        <w:trPr>
          <w:trHeight w:val="564"/>
        </w:trPr>
        <w:tc>
          <w:tcPr>
            <w:tcW w:w="1237" w:type="dxa"/>
            <w:shd w:val="clear" w:color="auto" w:fill="FFFFFF" w:themeFill="background1"/>
            <w:noWrap/>
            <w:hideMark/>
          </w:tcPr>
          <w:p w14:paraId="2B05B8DD" w14:textId="6AA1F5BD" w:rsidR="00EF3512" w:rsidRPr="0049778F" w:rsidRDefault="00EF3512">
            <w:pPr>
              <w:spacing w:after="0"/>
              <w:jc w:val="center"/>
              <w:rPr>
                <w:rFonts w:eastAsia="Times New Roman" w:cs="Calibri"/>
                <w:color w:val="000000"/>
                <w:sz w:val="18"/>
                <w:szCs w:val="18"/>
              </w:rPr>
            </w:pPr>
            <w:r w:rsidRPr="0049778F">
              <w:rPr>
                <w:rFonts w:eastAsia="Times New Roman" w:cs="Calibri"/>
                <w:color w:val="000000"/>
                <w:sz w:val="18"/>
                <w:szCs w:val="18"/>
              </w:rPr>
              <w:t>FUH-7</w:t>
            </w:r>
          </w:p>
        </w:tc>
        <w:tc>
          <w:tcPr>
            <w:tcW w:w="5546" w:type="dxa"/>
            <w:shd w:val="clear" w:color="auto" w:fill="FFFFFF" w:themeFill="background1"/>
            <w:hideMark/>
          </w:tcPr>
          <w:p w14:paraId="1591AE69" w14:textId="318F5526" w:rsidR="00EF3512" w:rsidRPr="0049778F" w:rsidRDefault="00EF3512">
            <w:pPr>
              <w:spacing w:after="0"/>
              <w:rPr>
                <w:rFonts w:eastAsia="Times New Roman" w:cs="Calibri"/>
                <w:sz w:val="18"/>
                <w:szCs w:val="18"/>
              </w:rPr>
            </w:pPr>
            <w:r w:rsidRPr="0049778F">
              <w:rPr>
                <w:rFonts w:eastAsia="Times New Roman" w:cs="Calibri"/>
                <w:sz w:val="18"/>
                <w:szCs w:val="18"/>
              </w:rPr>
              <w:t>Follow-Up After Hospitalization for Mental Illness (7 days)</w:t>
            </w:r>
          </w:p>
        </w:tc>
        <w:tc>
          <w:tcPr>
            <w:tcW w:w="830" w:type="dxa"/>
            <w:shd w:val="clear" w:color="auto" w:fill="FFFFFF" w:themeFill="background1"/>
            <w:noWrap/>
            <w:vAlign w:val="center"/>
            <w:hideMark/>
          </w:tcPr>
          <w:p w14:paraId="546184EC" w14:textId="54D7E9C1"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37.3%</w:t>
            </w:r>
          </w:p>
        </w:tc>
        <w:tc>
          <w:tcPr>
            <w:tcW w:w="830" w:type="dxa"/>
            <w:shd w:val="clear" w:color="auto" w:fill="FFFFFF" w:themeFill="background1"/>
            <w:noWrap/>
            <w:vAlign w:val="center"/>
            <w:hideMark/>
          </w:tcPr>
          <w:p w14:paraId="3C35468C" w14:textId="0A268D4C"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NA</w:t>
            </w:r>
          </w:p>
        </w:tc>
        <w:tc>
          <w:tcPr>
            <w:tcW w:w="1040" w:type="dxa"/>
            <w:shd w:val="clear" w:color="auto" w:fill="FFFFFF" w:themeFill="background1"/>
            <w:noWrap/>
            <w:vAlign w:val="center"/>
            <w:hideMark/>
          </w:tcPr>
          <w:p w14:paraId="62E04984" w14:textId="26D4B676"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45.5%</w:t>
            </w:r>
          </w:p>
        </w:tc>
        <w:tc>
          <w:tcPr>
            <w:tcW w:w="830" w:type="dxa"/>
            <w:shd w:val="clear" w:color="auto" w:fill="FFFFFF" w:themeFill="background1"/>
            <w:noWrap/>
            <w:vAlign w:val="center"/>
            <w:hideMark/>
          </w:tcPr>
          <w:p w14:paraId="517132EE" w14:textId="4ABFAE3E"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25.5%</w:t>
            </w:r>
          </w:p>
        </w:tc>
        <w:tc>
          <w:tcPr>
            <w:tcW w:w="830" w:type="dxa"/>
            <w:shd w:val="clear" w:color="auto" w:fill="FFFFFF" w:themeFill="background1"/>
            <w:noWrap/>
            <w:vAlign w:val="center"/>
            <w:hideMark/>
          </w:tcPr>
          <w:p w14:paraId="7EBBB677" w14:textId="40BB7BBC"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40.0%</w:t>
            </w:r>
          </w:p>
        </w:tc>
        <w:tc>
          <w:tcPr>
            <w:tcW w:w="860" w:type="dxa"/>
            <w:shd w:val="clear" w:color="auto" w:fill="FFFFFF" w:themeFill="background1"/>
            <w:noWrap/>
            <w:vAlign w:val="center"/>
            <w:hideMark/>
          </w:tcPr>
          <w:p w14:paraId="0253E38D" w14:textId="11169A71"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37.8%</w:t>
            </w:r>
          </w:p>
        </w:tc>
        <w:tc>
          <w:tcPr>
            <w:tcW w:w="900" w:type="dxa"/>
            <w:shd w:val="clear" w:color="auto" w:fill="FFFFFF" w:themeFill="background1"/>
            <w:noWrap/>
            <w:vAlign w:val="center"/>
            <w:hideMark/>
          </w:tcPr>
          <w:p w14:paraId="674D567C" w14:textId="5E4D2F17"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36.4%</w:t>
            </w:r>
          </w:p>
        </w:tc>
      </w:tr>
      <w:tr w:rsidR="00EF3512" w:rsidRPr="0049778F" w14:paraId="7CF9B75A" w14:textId="77777777">
        <w:trPr>
          <w:trHeight w:val="431"/>
        </w:trPr>
        <w:tc>
          <w:tcPr>
            <w:tcW w:w="1237" w:type="dxa"/>
            <w:shd w:val="clear" w:color="auto" w:fill="F2F2F2" w:themeFill="background1" w:themeFillShade="F2"/>
            <w:noWrap/>
            <w:hideMark/>
          </w:tcPr>
          <w:p w14:paraId="2202C4D5" w14:textId="3FD0DF9B" w:rsidR="00EF3512" w:rsidRPr="0049778F" w:rsidRDefault="00EF3512">
            <w:pPr>
              <w:spacing w:after="0"/>
              <w:jc w:val="center"/>
              <w:rPr>
                <w:rFonts w:eastAsia="Times New Roman" w:cs="Calibri"/>
                <w:color w:val="000000"/>
                <w:sz w:val="18"/>
                <w:szCs w:val="18"/>
              </w:rPr>
            </w:pPr>
            <w:r w:rsidRPr="0049778F">
              <w:rPr>
                <w:rFonts w:eastAsia="Times New Roman" w:cs="Calibri"/>
                <w:color w:val="000000"/>
                <w:sz w:val="18"/>
                <w:szCs w:val="18"/>
              </w:rPr>
              <w:t>FUH-30</w:t>
            </w:r>
          </w:p>
        </w:tc>
        <w:tc>
          <w:tcPr>
            <w:tcW w:w="5546" w:type="dxa"/>
            <w:shd w:val="clear" w:color="auto" w:fill="F2F2F2" w:themeFill="background1" w:themeFillShade="F2"/>
            <w:hideMark/>
          </w:tcPr>
          <w:p w14:paraId="5F45EFC7" w14:textId="026BE29E" w:rsidR="00EF3512" w:rsidRPr="0049778F" w:rsidRDefault="00EF3512">
            <w:pPr>
              <w:spacing w:after="0"/>
              <w:rPr>
                <w:rFonts w:eastAsia="Times New Roman" w:cs="Calibri"/>
                <w:sz w:val="18"/>
                <w:szCs w:val="18"/>
              </w:rPr>
            </w:pPr>
            <w:r w:rsidRPr="0049778F">
              <w:rPr>
                <w:rFonts w:eastAsia="Times New Roman" w:cs="Calibri"/>
                <w:sz w:val="18"/>
                <w:szCs w:val="18"/>
              </w:rPr>
              <w:t>Follow-Up After Hospitalization for Mental Illness (30 days)</w:t>
            </w:r>
          </w:p>
        </w:tc>
        <w:tc>
          <w:tcPr>
            <w:tcW w:w="830" w:type="dxa"/>
            <w:shd w:val="clear" w:color="auto" w:fill="F2F2F2" w:themeFill="background1" w:themeFillShade="F2"/>
            <w:noWrap/>
            <w:vAlign w:val="center"/>
            <w:hideMark/>
          </w:tcPr>
          <w:p w14:paraId="44147B2C" w14:textId="0AA658DC"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61.0%</w:t>
            </w:r>
          </w:p>
        </w:tc>
        <w:tc>
          <w:tcPr>
            <w:tcW w:w="830" w:type="dxa"/>
            <w:shd w:val="clear" w:color="auto" w:fill="F2F2F2" w:themeFill="background1" w:themeFillShade="F2"/>
            <w:noWrap/>
            <w:vAlign w:val="center"/>
            <w:hideMark/>
          </w:tcPr>
          <w:p w14:paraId="60C625EB" w14:textId="16A54659"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NA</w:t>
            </w:r>
          </w:p>
        </w:tc>
        <w:tc>
          <w:tcPr>
            <w:tcW w:w="1040" w:type="dxa"/>
            <w:shd w:val="clear" w:color="auto" w:fill="F2F2F2" w:themeFill="background1" w:themeFillShade="F2"/>
            <w:noWrap/>
            <w:vAlign w:val="center"/>
            <w:hideMark/>
          </w:tcPr>
          <w:p w14:paraId="2CA98788" w14:textId="5A7CAE6F"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69.7%</w:t>
            </w:r>
          </w:p>
        </w:tc>
        <w:tc>
          <w:tcPr>
            <w:tcW w:w="830" w:type="dxa"/>
            <w:shd w:val="clear" w:color="auto" w:fill="F2F2F2" w:themeFill="background1" w:themeFillShade="F2"/>
            <w:noWrap/>
            <w:vAlign w:val="center"/>
            <w:hideMark/>
          </w:tcPr>
          <w:p w14:paraId="7EC13A1A" w14:textId="42BC2234"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53.2%</w:t>
            </w:r>
          </w:p>
        </w:tc>
        <w:tc>
          <w:tcPr>
            <w:tcW w:w="830" w:type="dxa"/>
            <w:shd w:val="clear" w:color="auto" w:fill="F2F2F2" w:themeFill="background1" w:themeFillShade="F2"/>
            <w:noWrap/>
            <w:vAlign w:val="center"/>
            <w:hideMark/>
          </w:tcPr>
          <w:p w14:paraId="55DF0582" w14:textId="27DA3FC0"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53.3%</w:t>
            </w:r>
          </w:p>
        </w:tc>
        <w:tc>
          <w:tcPr>
            <w:tcW w:w="860" w:type="dxa"/>
            <w:shd w:val="clear" w:color="auto" w:fill="F2F2F2" w:themeFill="background1" w:themeFillShade="F2"/>
            <w:noWrap/>
            <w:vAlign w:val="center"/>
            <w:hideMark/>
          </w:tcPr>
          <w:p w14:paraId="67E3350D" w14:textId="0EFA97BA"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67.6%</w:t>
            </w:r>
          </w:p>
        </w:tc>
        <w:tc>
          <w:tcPr>
            <w:tcW w:w="900" w:type="dxa"/>
            <w:shd w:val="clear" w:color="auto" w:fill="F2F2F2" w:themeFill="background1" w:themeFillShade="F2"/>
            <w:noWrap/>
            <w:vAlign w:val="center"/>
            <w:hideMark/>
          </w:tcPr>
          <w:p w14:paraId="127711FC" w14:textId="6B161CD3"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60.0%</w:t>
            </w:r>
          </w:p>
        </w:tc>
      </w:tr>
      <w:tr w:rsidR="00EF3512" w:rsidRPr="0049778F" w14:paraId="6BE0AF77" w14:textId="77777777">
        <w:trPr>
          <w:trHeight w:val="520"/>
        </w:trPr>
        <w:tc>
          <w:tcPr>
            <w:tcW w:w="1237" w:type="dxa"/>
            <w:shd w:val="clear" w:color="auto" w:fill="auto"/>
            <w:noWrap/>
            <w:hideMark/>
          </w:tcPr>
          <w:p w14:paraId="12FBEA7D" w14:textId="60CE741F" w:rsidR="00EF3512" w:rsidRPr="0049778F" w:rsidRDefault="00EF3512">
            <w:pPr>
              <w:spacing w:after="0"/>
              <w:jc w:val="center"/>
              <w:rPr>
                <w:rFonts w:eastAsia="Times New Roman" w:cs="Calibri"/>
                <w:color w:val="000000"/>
                <w:sz w:val="18"/>
                <w:szCs w:val="18"/>
              </w:rPr>
            </w:pPr>
            <w:r w:rsidRPr="0049778F">
              <w:rPr>
                <w:rFonts w:eastAsia="Times New Roman" w:cs="Calibri"/>
                <w:color w:val="000000"/>
                <w:sz w:val="18"/>
                <w:szCs w:val="18"/>
              </w:rPr>
              <w:t>COL</w:t>
            </w:r>
          </w:p>
        </w:tc>
        <w:tc>
          <w:tcPr>
            <w:tcW w:w="5546" w:type="dxa"/>
            <w:shd w:val="clear" w:color="auto" w:fill="auto"/>
            <w:hideMark/>
          </w:tcPr>
          <w:p w14:paraId="655F7B60" w14:textId="03564A5F" w:rsidR="00EF3512" w:rsidRPr="0049778F" w:rsidRDefault="00EF3512">
            <w:pPr>
              <w:spacing w:after="0"/>
              <w:rPr>
                <w:rFonts w:eastAsia="Times New Roman" w:cs="Calibri"/>
                <w:sz w:val="18"/>
                <w:szCs w:val="18"/>
              </w:rPr>
            </w:pPr>
            <w:r w:rsidRPr="0049778F">
              <w:rPr>
                <w:rFonts w:eastAsia="Times New Roman" w:cs="Calibri"/>
                <w:sz w:val="18"/>
                <w:szCs w:val="18"/>
              </w:rPr>
              <w:t>Colorectal Cancer Screening</w:t>
            </w:r>
          </w:p>
        </w:tc>
        <w:tc>
          <w:tcPr>
            <w:tcW w:w="830" w:type="dxa"/>
            <w:shd w:val="clear" w:color="auto" w:fill="auto"/>
            <w:noWrap/>
            <w:vAlign w:val="center"/>
            <w:hideMark/>
          </w:tcPr>
          <w:p w14:paraId="3F8094AF" w14:textId="7C1FB0DB"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76.2%</w:t>
            </w:r>
          </w:p>
        </w:tc>
        <w:tc>
          <w:tcPr>
            <w:tcW w:w="830" w:type="dxa"/>
            <w:shd w:val="clear" w:color="auto" w:fill="auto"/>
            <w:noWrap/>
            <w:vAlign w:val="center"/>
            <w:hideMark/>
          </w:tcPr>
          <w:p w14:paraId="42D4C20F" w14:textId="70DCF0A3"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69.4%</w:t>
            </w:r>
          </w:p>
        </w:tc>
        <w:tc>
          <w:tcPr>
            <w:tcW w:w="1040" w:type="dxa"/>
            <w:shd w:val="clear" w:color="auto" w:fill="auto"/>
            <w:noWrap/>
            <w:vAlign w:val="center"/>
            <w:hideMark/>
          </w:tcPr>
          <w:p w14:paraId="77259409" w14:textId="4EC2D81B"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75.7%</w:t>
            </w:r>
          </w:p>
        </w:tc>
        <w:tc>
          <w:tcPr>
            <w:tcW w:w="830" w:type="dxa"/>
            <w:shd w:val="clear" w:color="auto" w:fill="auto"/>
            <w:noWrap/>
            <w:vAlign w:val="center"/>
            <w:hideMark/>
          </w:tcPr>
          <w:p w14:paraId="77AD0E42" w14:textId="4B1F1673"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61.7%</w:t>
            </w:r>
          </w:p>
        </w:tc>
        <w:tc>
          <w:tcPr>
            <w:tcW w:w="830" w:type="dxa"/>
            <w:shd w:val="clear" w:color="auto" w:fill="auto"/>
            <w:noWrap/>
            <w:vAlign w:val="center"/>
            <w:hideMark/>
          </w:tcPr>
          <w:p w14:paraId="4508F6E2" w14:textId="4626B6F0"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74.2%</w:t>
            </w:r>
          </w:p>
        </w:tc>
        <w:tc>
          <w:tcPr>
            <w:tcW w:w="860" w:type="dxa"/>
            <w:shd w:val="clear" w:color="auto" w:fill="auto"/>
            <w:noWrap/>
            <w:vAlign w:val="center"/>
            <w:hideMark/>
          </w:tcPr>
          <w:p w14:paraId="03F40E27" w14:textId="2FFCCC6A"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63.9%</w:t>
            </w:r>
          </w:p>
        </w:tc>
        <w:tc>
          <w:tcPr>
            <w:tcW w:w="900" w:type="dxa"/>
            <w:shd w:val="clear" w:color="auto" w:fill="auto"/>
            <w:noWrap/>
            <w:vAlign w:val="center"/>
            <w:hideMark/>
          </w:tcPr>
          <w:p w14:paraId="44CF9DAC" w14:textId="3A90B6C4"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86.1%</w:t>
            </w:r>
          </w:p>
        </w:tc>
      </w:tr>
      <w:tr w:rsidR="00EF3512" w:rsidRPr="0049778F" w14:paraId="313F3F2B" w14:textId="77777777">
        <w:trPr>
          <w:trHeight w:val="310"/>
        </w:trPr>
        <w:tc>
          <w:tcPr>
            <w:tcW w:w="1237" w:type="dxa"/>
            <w:shd w:val="clear" w:color="auto" w:fill="F2F2F2" w:themeFill="background1" w:themeFillShade="F2"/>
            <w:noWrap/>
            <w:hideMark/>
          </w:tcPr>
          <w:p w14:paraId="25B85C39" w14:textId="593CD9A6" w:rsidR="00EF3512" w:rsidRPr="0049778F" w:rsidRDefault="00EF3512">
            <w:pPr>
              <w:spacing w:after="0"/>
              <w:jc w:val="center"/>
              <w:rPr>
                <w:rFonts w:eastAsia="Times New Roman" w:cs="Calibri"/>
                <w:color w:val="000000"/>
                <w:sz w:val="18"/>
                <w:szCs w:val="18"/>
              </w:rPr>
            </w:pPr>
            <w:r w:rsidRPr="0049778F">
              <w:rPr>
                <w:rFonts w:eastAsia="Times New Roman" w:cs="Calibri"/>
                <w:color w:val="000000"/>
                <w:sz w:val="18"/>
                <w:szCs w:val="18"/>
              </w:rPr>
              <w:t>PBH</w:t>
            </w:r>
          </w:p>
        </w:tc>
        <w:tc>
          <w:tcPr>
            <w:tcW w:w="5546" w:type="dxa"/>
            <w:shd w:val="clear" w:color="auto" w:fill="F2F2F2" w:themeFill="background1" w:themeFillShade="F2"/>
            <w:hideMark/>
          </w:tcPr>
          <w:p w14:paraId="2CB6B114" w14:textId="79E79BDD" w:rsidR="00EF3512" w:rsidRPr="0049778F" w:rsidRDefault="00EF3512">
            <w:pPr>
              <w:spacing w:after="0"/>
              <w:rPr>
                <w:rFonts w:eastAsia="Times New Roman" w:cs="Calibri"/>
                <w:sz w:val="18"/>
                <w:szCs w:val="18"/>
              </w:rPr>
            </w:pPr>
            <w:r w:rsidRPr="0049778F">
              <w:rPr>
                <w:rFonts w:eastAsia="Times New Roman" w:cs="Calibri"/>
                <w:sz w:val="18"/>
                <w:szCs w:val="18"/>
              </w:rPr>
              <w:t>Persistence of Beta-Blocker Treatment After Heart Attack</w:t>
            </w:r>
          </w:p>
        </w:tc>
        <w:tc>
          <w:tcPr>
            <w:tcW w:w="830" w:type="dxa"/>
            <w:shd w:val="clear" w:color="auto" w:fill="F2F2F2" w:themeFill="background1" w:themeFillShade="F2"/>
            <w:noWrap/>
            <w:vAlign w:val="center"/>
            <w:hideMark/>
          </w:tcPr>
          <w:p w14:paraId="471E6DE3" w14:textId="2A408151"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90.9%</w:t>
            </w:r>
          </w:p>
        </w:tc>
        <w:tc>
          <w:tcPr>
            <w:tcW w:w="830" w:type="dxa"/>
            <w:shd w:val="clear" w:color="auto" w:fill="F2F2F2" w:themeFill="background1" w:themeFillShade="F2"/>
            <w:noWrap/>
            <w:vAlign w:val="center"/>
            <w:hideMark/>
          </w:tcPr>
          <w:p w14:paraId="756A7BCC" w14:textId="320BA65A"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NA</w:t>
            </w:r>
          </w:p>
        </w:tc>
        <w:tc>
          <w:tcPr>
            <w:tcW w:w="1040" w:type="dxa"/>
            <w:shd w:val="clear" w:color="auto" w:fill="F2F2F2" w:themeFill="background1" w:themeFillShade="F2"/>
            <w:noWrap/>
            <w:vAlign w:val="center"/>
            <w:hideMark/>
          </w:tcPr>
          <w:p w14:paraId="111C3540" w14:textId="1AB412BF"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NA</w:t>
            </w:r>
          </w:p>
        </w:tc>
        <w:tc>
          <w:tcPr>
            <w:tcW w:w="830" w:type="dxa"/>
            <w:shd w:val="clear" w:color="auto" w:fill="F2F2F2" w:themeFill="background1" w:themeFillShade="F2"/>
            <w:noWrap/>
            <w:vAlign w:val="center"/>
            <w:hideMark/>
          </w:tcPr>
          <w:p w14:paraId="0233A0B6" w14:textId="744AA1F6"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NA</w:t>
            </w:r>
          </w:p>
        </w:tc>
        <w:tc>
          <w:tcPr>
            <w:tcW w:w="830" w:type="dxa"/>
            <w:shd w:val="clear" w:color="auto" w:fill="F2F2F2" w:themeFill="background1" w:themeFillShade="F2"/>
            <w:noWrap/>
            <w:vAlign w:val="center"/>
            <w:hideMark/>
          </w:tcPr>
          <w:p w14:paraId="11A90C09" w14:textId="660B2CD2"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NA</w:t>
            </w:r>
          </w:p>
        </w:tc>
        <w:tc>
          <w:tcPr>
            <w:tcW w:w="860" w:type="dxa"/>
            <w:shd w:val="clear" w:color="auto" w:fill="F2F2F2" w:themeFill="background1" w:themeFillShade="F2"/>
            <w:noWrap/>
            <w:vAlign w:val="center"/>
            <w:hideMark/>
          </w:tcPr>
          <w:p w14:paraId="1D3F654E" w14:textId="43BDF573"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NA</w:t>
            </w:r>
          </w:p>
        </w:tc>
        <w:tc>
          <w:tcPr>
            <w:tcW w:w="900" w:type="dxa"/>
            <w:shd w:val="clear" w:color="auto" w:fill="F2F2F2" w:themeFill="background1" w:themeFillShade="F2"/>
            <w:noWrap/>
            <w:vAlign w:val="center"/>
            <w:hideMark/>
          </w:tcPr>
          <w:p w14:paraId="241E1603" w14:textId="24B24305"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NA</w:t>
            </w:r>
          </w:p>
        </w:tc>
      </w:tr>
      <w:tr w:rsidR="00EF3512" w:rsidRPr="0049778F" w14:paraId="610562B8" w14:textId="77777777">
        <w:trPr>
          <w:trHeight w:val="520"/>
        </w:trPr>
        <w:tc>
          <w:tcPr>
            <w:tcW w:w="1237" w:type="dxa"/>
            <w:shd w:val="clear" w:color="auto" w:fill="auto"/>
            <w:noWrap/>
            <w:hideMark/>
          </w:tcPr>
          <w:p w14:paraId="6267126F" w14:textId="5BD2B35C" w:rsidR="00EF3512" w:rsidRPr="0049778F" w:rsidRDefault="00EF3512">
            <w:pPr>
              <w:spacing w:after="0"/>
              <w:jc w:val="center"/>
              <w:rPr>
                <w:rFonts w:eastAsia="Times New Roman" w:cs="Calibri"/>
                <w:color w:val="000000"/>
                <w:sz w:val="18"/>
                <w:szCs w:val="18"/>
              </w:rPr>
            </w:pPr>
            <w:r w:rsidRPr="0049778F">
              <w:rPr>
                <w:rFonts w:eastAsia="Times New Roman" w:cs="Calibri"/>
                <w:color w:val="000000"/>
                <w:sz w:val="18"/>
                <w:szCs w:val="18"/>
              </w:rPr>
              <w:t>PCE-C</w:t>
            </w:r>
          </w:p>
        </w:tc>
        <w:tc>
          <w:tcPr>
            <w:tcW w:w="5546" w:type="dxa"/>
            <w:shd w:val="clear" w:color="auto" w:fill="auto"/>
            <w:hideMark/>
          </w:tcPr>
          <w:p w14:paraId="273B26E9" w14:textId="1AB6E796" w:rsidR="00EF3512" w:rsidRPr="0049778F" w:rsidRDefault="00EF3512">
            <w:pPr>
              <w:spacing w:after="0"/>
              <w:rPr>
                <w:rFonts w:eastAsia="Times New Roman" w:cs="Calibri"/>
                <w:sz w:val="18"/>
                <w:szCs w:val="18"/>
              </w:rPr>
            </w:pPr>
            <w:r w:rsidRPr="0049778F">
              <w:rPr>
                <w:rFonts w:eastAsia="Times New Roman" w:cs="Calibri"/>
                <w:sz w:val="18"/>
                <w:szCs w:val="18"/>
              </w:rPr>
              <w:t>Pharmacotherapy Management of COPD Exacerbation Corticosteroids</w:t>
            </w:r>
          </w:p>
        </w:tc>
        <w:tc>
          <w:tcPr>
            <w:tcW w:w="830" w:type="dxa"/>
            <w:shd w:val="clear" w:color="auto" w:fill="auto"/>
            <w:noWrap/>
            <w:vAlign w:val="center"/>
            <w:hideMark/>
          </w:tcPr>
          <w:p w14:paraId="01CEE13E" w14:textId="0A71B7E8"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74.5%</w:t>
            </w:r>
          </w:p>
        </w:tc>
        <w:tc>
          <w:tcPr>
            <w:tcW w:w="830" w:type="dxa"/>
            <w:shd w:val="clear" w:color="auto" w:fill="auto"/>
            <w:noWrap/>
            <w:vAlign w:val="center"/>
            <w:hideMark/>
          </w:tcPr>
          <w:p w14:paraId="78A3B800" w14:textId="39EE31B3"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NA</w:t>
            </w:r>
          </w:p>
        </w:tc>
        <w:tc>
          <w:tcPr>
            <w:tcW w:w="1040" w:type="dxa"/>
            <w:shd w:val="clear" w:color="auto" w:fill="auto"/>
            <w:noWrap/>
            <w:vAlign w:val="center"/>
            <w:hideMark/>
          </w:tcPr>
          <w:p w14:paraId="3BD6C5D9" w14:textId="3D9C7600"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73.8%</w:t>
            </w:r>
          </w:p>
        </w:tc>
        <w:tc>
          <w:tcPr>
            <w:tcW w:w="830" w:type="dxa"/>
            <w:shd w:val="clear" w:color="auto" w:fill="auto"/>
            <w:noWrap/>
            <w:vAlign w:val="center"/>
            <w:hideMark/>
          </w:tcPr>
          <w:p w14:paraId="3970EB53" w14:textId="40C8C107"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78.2%</w:t>
            </w:r>
          </w:p>
        </w:tc>
        <w:tc>
          <w:tcPr>
            <w:tcW w:w="830" w:type="dxa"/>
            <w:shd w:val="clear" w:color="auto" w:fill="auto"/>
            <w:noWrap/>
            <w:vAlign w:val="center"/>
            <w:hideMark/>
          </w:tcPr>
          <w:p w14:paraId="3C00B2A8" w14:textId="109F8CD7"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73.9%</w:t>
            </w:r>
          </w:p>
        </w:tc>
        <w:tc>
          <w:tcPr>
            <w:tcW w:w="860" w:type="dxa"/>
            <w:shd w:val="clear" w:color="auto" w:fill="auto"/>
            <w:noWrap/>
            <w:vAlign w:val="center"/>
            <w:hideMark/>
          </w:tcPr>
          <w:p w14:paraId="01D2B944" w14:textId="715EEC24"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77.4%</w:t>
            </w:r>
          </w:p>
        </w:tc>
        <w:tc>
          <w:tcPr>
            <w:tcW w:w="900" w:type="dxa"/>
            <w:shd w:val="clear" w:color="auto" w:fill="auto"/>
            <w:noWrap/>
            <w:vAlign w:val="center"/>
            <w:hideMark/>
          </w:tcPr>
          <w:p w14:paraId="0C1A1E34" w14:textId="5839D0E2"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70.9%</w:t>
            </w:r>
          </w:p>
        </w:tc>
      </w:tr>
      <w:tr w:rsidR="00EF3512" w:rsidRPr="0049778F" w14:paraId="45BBB3F1" w14:textId="77777777">
        <w:trPr>
          <w:trHeight w:val="440"/>
        </w:trPr>
        <w:tc>
          <w:tcPr>
            <w:tcW w:w="1237" w:type="dxa"/>
            <w:shd w:val="clear" w:color="auto" w:fill="F2F2F2" w:themeFill="background1" w:themeFillShade="F2"/>
            <w:noWrap/>
            <w:hideMark/>
          </w:tcPr>
          <w:p w14:paraId="26A915A9" w14:textId="1135F879" w:rsidR="00EF3512" w:rsidRPr="0049778F" w:rsidRDefault="00EF3512">
            <w:pPr>
              <w:spacing w:after="0"/>
              <w:jc w:val="center"/>
              <w:rPr>
                <w:rFonts w:eastAsia="Times New Roman" w:cs="Calibri"/>
                <w:color w:val="000000"/>
                <w:sz w:val="18"/>
                <w:szCs w:val="18"/>
              </w:rPr>
            </w:pPr>
            <w:r w:rsidRPr="0049778F">
              <w:rPr>
                <w:rFonts w:eastAsia="Times New Roman" w:cs="Calibri"/>
                <w:color w:val="000000"/>
                <w:sz w:val="18"/>
                <w:szCs w:val="18"/>
              </w:rPr>
              <w:t>PCE-B</w:t>
            </w:r>
          </w:p>
        </w:tc>
        <w:tc>
          <w:tcPr>
            <w:tcW w:w="5546" w:type="dxa"/>
            <w:shd w:val="clear" w:color="auto" w:fill="F2F2F2" w:themeFill="background1" w:themeFillShade="F2"/>
            <w:hideMark/>
          </w:tcPr>
          <w:p w14:paraId="3FB0C35F" w14:textId="6C1EB03A" w:rsidR="00EF3512" w:rsidRPr="0049778F" w:rsidRDefault="00EF3512">
            <w:pPr>
              <w:spacing w:after="0"/>
              <w:rPr>
                <w:rFonts w:eastAsia="Times New Roman" w:cs="Calibri"/>
                <w:sz w:val="18"/>
                <w:szCs w:val="18"/>
              </w:rPr>
            </w:pPr>
            <w:r w:rsidRPr="0049778F">
              <w:rPr>
                <w:rFonts w:eastAsia="Times New Roman" w:cs="Calibri"/>
                <w:sz w:val="18"/>
                <w:szCs w:val="18"/>
              </w:rPr>
              <w:t>Pharmacotherapy Management of COPD Exacerbation Bronchodilators</w:t>
            </w:r>
          </w:p>
        </w:tc>
        <w:tc>
          <w:tcPr>
            <w:tcW w:w="830" w:type="dxa"/>
            <w:shd w:val="clear" w:color="auto" w:fill="F2F2F2" w:themeFill="background1" w:themeFillShade="F2"/>
            <w:noWrap/>
            <w:vAlign w:val="center"/>
            <w:hideMark/>
          </w:tcPr>
          <w:p w14:paraId="070CD542" w14:textId="0466C1B4"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90.8%</w:t>
            </w:r>
          </w:p>
        </w:tc>
        <w:tc>
          <w:tcPr>
            <w:tcW w:w="830" w:type="dxa"/>
            <w:shd w:val="clear" w:color="auto" w:fill="F2F2F2" w:themeFill="background1" w:themeFillShade="F2"/>
            <w:noWrap/>
            <w:vAlign w:val="center"/>
            <w:hideMark/>
          </w:tcPr>
          <w:p w14:paraId="125DECFE" w14:textId="2BE29FFA"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NA</w:t>
            </w:r>
          </w:p>
        </w:tc>
        <w:tc>
          <w:tcPr>
            <w:tcW w:w="1040" w:type="dxa"/>
            <w:shd w:val="clear" w:color="auto" w:fill="F2F2F2" w:themeFill="background1" w:themeFillShade="F2"/>
            <w:noWrap/>
            <w:vAlign w:val="center"/>
            <w:hideMark/>
          </w:tcPr>
          <w:p w14:paraId="38597F9A" w14:textId="58D01560"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91.4%</w:t>
            </w:r>
          </w:p>
        </w:tc>
        <w:tc>
          <w:tcPr>
            <w:tcW w:w="830" w:type="dxa"/>
            <w:shd w:val="clear" w:color="auto" w:fill="F2F2F2" w:themeFill="background1" w:themeFillShade="F2"/>
            <w:noWrap/>
            <w:vAlign w:val="center"/>
            <w:hideMark/>
          </w:tcPr>
          <w:p w14:paraId="5C80FAAE" w14:textId="08FE174E"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94.3%</w:t>
            </w:r>
          </w:p>
        </w:tc>
        <w:tc>
          <w:tcPr>
            <w:tcW w:w="830" w:type="dxa"/>
            <w:shd w:val="clear" w:color="auto" w:fill="F2F2F2" w:themeFill="background1" w:themeFillShade="F2"/>
            <w:noWrap/>
            <w:vAlign w:val="center"/>
            <w:hideMark/>
          </w:tcPr>
          <w:p w14:paraId="5B1DC6D7" w14:textId="62997332"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86.8%</w:t>
            </w:r>
          </w:p>
        </w:tc>
        <w:tc>
          <w:tcPr>
            <w:tcW w:w="860" w:type="dxa"/>
            <w:shd w:val="clear" w:color="auto" w:fill="F2F2F2" w:themeFill="background1" w:themeFillShade="F2"/>
            <w:noWrap/>
            <w:vAlign w:val="center"/>
            <w:hideMark/>
          </w:tcPr>
          <w:p w14:paraId="206219F2" w14:textId="7BBA4ECD"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91.5%</w:t>
            </w:r>
          </w:p>
        </w:tc>
        <w:tc>
          <w:tcPr>
            <w:tcW w:w="900" w:type="dxa"/>
            <w:shd w:val="clear" w:color="auto" w:fill="F2F2F2" w:themeFill="background1" w:themeFillShade="F2"/>
            <w:noWrap/>
            <w:vAlign w:val="center"/>
            <w:hideMark/>
          </w:tcPr>
          <w:p w14:paraId="6E8A2BB5" w14:textId="5BA5C40A"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90.1%</w:t>
            </w:r>
          </w:p>
        </w:tc>
      </w:tr>
      <w:tr w:rsidR="00EF3512" w:rsidRPr="0049778F" w14:paraId="3A49CE43" w14:textId="77777777">
        <w:trPr>
          <w:trHeight w:val="386"/>
        </w:trPr>
        <w:tc>
          <w:tcPr>
            <w:tcW w:w="1237" w:type="dxa"/>
            <w:shd w:val="clear" w:color="auto" w:fill="auto"/>
            <w:noWrap/>
            <w:hideMark/>
          </w:tcPr>
          <w:p w14:paraId="4CF301B0" w14:textId="25D030D3" w:rsidR="00EF3512" w:rsidRPr="0049778F" w:rsidRDefault="00EF3512">
            <w:pPr>
              <w:spacing w:after="0"/>
              <w:jc w:val="center"/>
              <w:rPr>
                <w:rFonts w:eastAsia="Times New Roman" w:cs="Calibri"/>
                <w:color w:val="000000"/>
                <w:sz w:val="18"/>
                <w:szCs w:val="18"/>
              </w:rPr>
            </w:pPr>
            <w:r w:rsidRPr="0049778F">
              <w:rPr>
                <w:rFonts w:eastAsia="Times New Roman" w:cs="Calibri"/>
                <w:color w:val="000000"/>
                <w:sz w:val="18"/>
                <w:szCs w:val="18"/>
              </w:rPr>
              <w:t>SPR</w:t>
            </w:r>
          </w:p>
        </w:tc>
        <w:tc>
          <w:tcPr>
            <w:tcW w:w="5546" w:type="dxa"/>
            <w:shd w:val="clear" w:color="auto" w:fill="auto"/>
            <w:hideMark/>
          </w:tcPr>
          <w:p w14:paraId="21948E50" w14:textId="475EEE0F" w:rsidR="00EF3512" w:rsidRPr="0049778F" w:rsidRDefault="00EF3512">
            <w:pPr>
              <w:spacing w:after="0"/>
              <w:rPr>
                <w:rFonts w:eastAsia="Times New Roman" w:cs="Calibri"/>
                <w:sz w:val="18"/>
                <w:szCs w:val="18"/>
              </w:rPr>
            </w:pPr>
            <w:r w:rsidRPr="0049778F">
              <w:rPr>
                <w:rFonts w:eastAsia="Times New Roman" w:cs="Calibri"/>
                <w:sz w:val="18"/>
                <w:szCs w:val="18"/>
              </w:rPr>
              <w:t>Use of Spirometry Testing in the Assessment and Diagnosis of COPD</w:t>
            </w:r>
          </w:p>
        </w:tc>
        <w:tc>
          <w:tcPr>
            <w:tcW w:w="830" w:type="dxa"/>
            <w:shd w:val="clear" w:color="auto" w:fill="auto"/>
            <w:noWrap/>
            <w:vAlign w:val="center"/>
            <w:hideMark/>
          </w:tcPr>
          <w:p w14:paraId="4AAE6777" w14:textId="6023E90F"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23.9%</w:t>
            </w:r>
          </w:p>
        </w:tc>
        <w:tc>
          <w:tcPr>
            <w:tcW w:w="830" w:type="dxa"/>
            <w:shd w:val="clear" w:color="auto" w:fill="auto"/>
            <w:noWrap/>
            <w:vAlign w:val="center"/>
            <w:hideMark/>
          </w:tcPr>
          <w:p w14:paraId="1FC426CF" w14:textId="071BA50B"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NA</w:t>
            </w:r>
          </w:p>
        </w:tc>
        <w:tc>
          <w:tcPr>
            <w:tcW w:w="1040" w:type="dxa"/>
            <w:shd w:val="clear" w:color="auto" w:fill="auto"/>
            <w:noWrap/>
            <w:vAlign w:val="center"/>
            <w:hideMark/>
          </w:tcPr>
          <w:p w14:paraId="4311A03A" w14:textId="2BF95423"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19.9%</w:t>
            </w:r>
          </w:p>
        </w:tc>
        <w:tc>
          <w:tcPr>
            <w:tcW w:w="830" w:type="dxa"/>
            <w:shd w:val="clear" w:color="auto" w:fill="auto"/>
            <w:noWrap/>
            <w:vAlign w:val="center"/>
            <w:hideMark/>
          </w:tcPr>
          <w:p w14:paraId="163CA06C" w14:textId="61405C7A"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22.5%</w:t>
            </w:r>
          </w:p>
        </w:tc>
        <w:tc>
          <w:tcPr>
            <w:tcW w:w="830" w:type="dxa"/>
            <w:shd w:val="clear" w:color="auto" w:fill="auto"/>
            <w:noWrap/>
            <w:vAlign w:val="center"/>
            <w:hideMark/>
          </w:tcPr>
          <w:p w14:paraId="2EE3106C" w14:textId="1CD073CB"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24.7%</w:t>
            </w:r>
          </w:p>
        </w:tc>
        <w:tc>
          <w:tcPr>
            <w:tcW w:w="860" w:type="dxa"/>
            <w:shd w:val="clear" w:color="auto" w:fill="auto"/>
            <w:noWrap/>
            <w:vAlign w:val="center"/>
            <w:hideMark/>
          </w:tcPr>
          <w:p w14:paraId="57F9DA1F" w14:textId="36B37349"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25.3%</w:t>
            </w:r>
          </w:p>
        </w:tc>
        <w:tc>
          <w:tcPr>
            <w:tcW w:w="900" w:type="dxa"/>
            <w:shd w:val="clear" w:color="auto" w:fill="auto"/>
            <w:noWrap/>
            <w:vAlign w:val="center"/>
            <w:hideMark/>
          </w:tcPr>
          <w:p w14:paraId="2731BDC4" w14:textId="37D4B918"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26.6%</w:t>
            </w:r>
          </w:p>
        </w:tc>
      </w:tr>
      <w:tr w:rsidR="00EF3512" w:rsidRPr="0049778F" w14:paraId="30E13B45" w14:textId="77777777">
        <w:trPr>
          <w:trHeight w:val="350"/>
        </w:trPr>
        <w:tc>
          <w:tcPr>
            <w:tcW w:w="1237" w:type="dxa"/>
            <w:shd w:val="clear" w:color="auto" w:fill="F2F2F2" w:themeFill="background1" w:themeFillShade="F2"/>
            <w:noWrap/>
            <w:hideMark/>
          </w:tcPr>
          <w:p w14:paraId="3C7AB3CF" w14:textId="47EA49EB" w:rsidR="00EF3512" w:rsidRPr="0049778F" w:rsidRDefault="00EF3512">
            <w:pPr>
              <w:spacing w:after="0"/>
              <w:jc w:val="center"/>
              <w:rPr>
                <w:rFonts w:eastAsia="Times New Roman" w:cs="Calibri"/>
                <w:color w:val="000000"/>
                <w:sz w:val="18"/>
                <w:szCs w:val="18"/>
              </w:rPr>
            </w:pPr>
            <w:r w:rsidRPr="0049778F">
              <w:rPr>
                <w:rFonts w:eastAsia="Times New Roman" w:cs="Calibri"/>
                <w:color w:val="000000"/>
                <w:sz w:val="18"/>
                <w:szCs w:val="18"/>
              </w:rPr>
              <w:t>TRC</w:t>
            </w:r>
          </w:p>
        </w:tc>
        <w:tc>
          <w:tcPr>
            <w:tcW w:w="5546" w:type="dxa"/>
            <w:shd w:val="clear" w:color="auto" w:fill="F2F2F2" w:themeFill="background1" w:themeFillShade="F2"/>
            <w:hideMark/>
          </w:tcPr>
          <w:p w14:paraId="4A50F360" w14:textId="03D26854" w:rsidR="00EF3512" w:rsidRPr="0049778F" w:rsidRDefault="00EF3512">
            <w:pPr>
              <w:spacing w:after="0"/>
              <w:rPr>
                <w:rFonts w:eastAsia="Times New Roman" w:cs="Calibri"/>
                <w:sz w:val="18"/>
                <w:szCs w:val="18"/>
              </w:rPr>
            </w:pPr>
            <w:r w:rsidRPr="0049778F">
              <w:rPr>
                <w:rFonts w:eastAsia="Times New Roman" w:cs="Calibri"/>
                <w:sz w:val="18"/>
                <w:szCs w:val="18"/>
              </w:rPr>
              <w:t>Transitions of Care: Medication Reconciliation Post Discharge</w:t>
            </w:r>
          </w:p>
        </w:tc>
        <w:tc>
          <w:tcPr>
            <w:tcW w:w="830" w:type="dxa"/>
            <w:shd w:val="clear" w:color="auto" w:fill="F2F2F2" w:themeFill="background1" w:themeFillShade="F2"/>
            <w:noWrap/>
            <w:vAlign w:val="center"/>
            <w:hideMark/>
          </w:tcPr>
          <w:p w14:paraId="2B03E28B" w14:textId="2253F007"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54.3%</w:t>
            </w:r>
          </w:p>
        </w:tc>
        <w:tc>
          <w:tcPr>
            <w:tcW w:w="830" w:type="dxa"/>
            <w:shd w:val="clear" w:color="auto" w:fill="F2F2F2" w:themeFill="background1" w:themeFillShade="F2"/>
            <w:noWrap/>
            <w:vAlign w:val="center"/>
            <w:hideMark/>
          </w:tcPr>
          <w:p w14:paraId="4F16C99C" w14:textId="79D9B0FD"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72.9%</w:t>
            </w:r>
          </w:p>
        </w:tc>
        <w:tc>
          <w:tcPr>
            <w:tcW w:w="1040" w:type="dxa"/>
            <w:shd w:val="clear" w:color="auto" w:fill="F2F2F2" w:themeFill="background1" w:themeFillShade="F2"/>
            <w:noWrap/>
            <w:vAlign w:val="center"/>
            <w:hideMark/>
          </w:tcPr>
          <w:p w14:paraId="38413AB7" w14:textId="3C754FBC"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49.6%</w:t>
            </w:r>
          </w:p>
        </w:tc>
        <w:tc>
          <w:tcPr>
            <w:tcW w:w="830" w:type="dxa"/>
            <w:shd w:val="clear" w:color="auto" w:fill="F2F2F2" w:themeFill="background1" w:themeFillShade="F2"/>
            <w:noWrap/>
            <w:vAlign w:val="center"/>
            <w:hideMark/>
          </w:tcPr>
          <w:p w14:paraId="39765E8A" w14:textId="157ED78D"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85.4%</w:t>
            </w:r>
          </w:p>
        </w:tc>
        <w:tc>
          <w:tcPr>
            <w:tcW w:w="830" w:type="dxa"/>
            <w:shd w:val="clear" w:color="auto" w:fill="F2F2F2" w:themeFill="background1" w:themeFillShade="F2"/>
            <w:noWrap/>
            <w:vAlign w:val="center"/>
            <w:hideMark/>
          </w:tcPr>
          <w:p w14:paraId="0D15A8BB" w14:textId="6D1596D9"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43.6%</w:t>
            </w:r>
          </w:p>
        </w:tc>
        <w:tc>
          <w:tcPr>
            <w:tcW w:w="860" w:type="dxa"/>
            <w:shd w:val="clear" w:color="auto" w:fill="F2F2F2" w:themeFill="background1" w:themeFillShade="F2"/>
            <w:noWrap/>
            <w:vAlign w:val="center"/>
            <w:hideMark/>
          </w:tcPr>
          <w:p w14:paraId="12F6C42F" w14:textId="3A5155AD"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43.1%</w:t>
            </w:r>
          </w:p>
        </w:tc>
        <w:tc>
          <w:tcPr>
            <w:tcW w:w="900" w:type="dxa"/>
            <w:shd w:val="clear" w:color="auto" w:fill="F2F2F2" w:themeFill="background1" w:themeFillShade="F2"/>
            <w:noWrap/>
            <w:vAlign w:val="center"/>
            <w:hideMark/>
          </w:tcPr>
          <w:p w14:paraId="1FD10609" w14:textId="775DFDB7"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57.2%</w:t>
            </w:r>
          </w:p>
        </w:tc>
      </w:tr>
      <w:tr w:rsidR="00EF3512" w:rsidRPr="0049778F" w14:paraId="64CD321B" w14:textId="77777777">
        <w:trPr>
          <w:trHeight w:val="520"/>
        </w:trPr>
        <w:tc>
          <w:tcPr>
            <w:tcW w:w="1237" w:type="dxa"/>
            <w:shd w:val="clear" w:color="auto" w:fill="auto"/>
            <w:noWrap/>
            <w:hideMark/>
          </w:tcPr>
          <w:p w14:paraId="4BABA227" w14:textId="5581CE34" w:rsidR="00EF3512" w:rsidRPr="0049778F" w:rsidRDefault="00EF3512">
            <w:pPr>
              <w:spacing w:after="0"/>
              <w:jc w:val="center"/>
              <w:rPr>
                <w:rFonts w:eastAsia="Times New Roman" w:cs="Calibri"/>
                <w:color w:val="000000"/>
                <w:sz w:val="18"/>
                <w:szCs w:val="18"/>
              </w:rPr>
            </w:pPr>
            <w:r w:rsidRPr="0049778F">
              <w:rPr>
                <w:rFonts w:eastAsia="Times New Roman" w:cs="Calibri"/>
                <w:color w:val="000000"/>
                <w:sz w:val="18"/>
                <w:szCs w:val="18"/>
              </w:rPr>
              <w:t>OMW</w:t>
            </w:r>
          </w:p>
        </w:tc>
        <w:tc>
          <w:tcPr>
            <w:tcW w:w="5546" w:type="dxa"/>
            <w:shd w:val="clear" w:color="auto" w:fill="auto"/>
            <w:hideMark/>
          </w:tcPr>
          <w:p w14:paraId="12789514" w14:textId="2DD2D4A8" w:rsidR="00EF3512" w:rsidRPr="0049778F" w:rsidRDefault="00EF3512">
            <w:pPr>
              <w:spacing w:after="0"/>
              <w:rPr>
                <w:rFonts w:eastAsia="Times New Roman" w:cs="Calibri"/>
                <w:sz w:val="18"/>
                <w:szCs w:val="18"/>
              </w:rPr>
            </w:pPr>
            <w:r w:rsidRPr="0049778F">
              <w:rPr>
                <w:rFonts w:eastAsia="Times New Roman" w:cs="Calibri"/>
                <w:sz w:val="18"/>
                <w:szCs w:val="18"/>
              </w:rPr>
              <w:t>Osteoporosis Management in Women Who Had a Fracture</w:t>
            </w:r>
          </w:p>
        </w:tc>
        <w:tc>
          <w:tcPr>
            <w:tcW w:w="830" w:type="dxa"/>
            <w:shd w:val="clear" w:color="auto" w:fill="auto"/>
            <w:noWrap/>
            <w:vAlign w:val="center"/>
            <w:hideMark/>
          </w:tcPr>
          <w:p w14:paraId="0859360F" w14:textId="678D7A19"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25.5%</w:t>
            </w:r>
          </w:p>
        </w:tc>
        <w:tc>
          <w:tcPr>
            <w:tcW w:w="830" w:type="dxa"/>
            <w:shd w:val="clear" w:color="auto" w:fill="auto"/>
            <w:noWrap/>
            <w:vAlign w:val="center"/>
            <w:hideMark/>
          </w:tcPr>
          <w:p w14:paraId="617B8A7B" w14:textId="324F3EF8"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NA</w:t>
            </w:r>
          </w:p>
        </w:tc>
        <w:tc>
          <w:tcPr>
            <w:tcW w:w="1040" w:type="dxa"/>
            <w:shd w:val="clear" w:color="auto" w:fill="auto"/>
            <w:noWrap/>
            <w:vAlign w:val="center"/>
            <w:hideMark/>
          </w:tcPr>
          <w:p w14:paraId="5B7C70E4" w14:textId="2C55614A"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16.3%</w:t>
            </w:r>
          </w:p>
        </w:tc>
        <w:tc>
          <w:tcPr>
            <w:tcW w:w="830" w:type="dxa"/>
            <w:shd w:val="clear" w:color="auto" w:fill="auto"/>
            <w:noWrap/>
            <w:vAlign w:val="center"/>
            <w:hideMark/>
          </w:tcPr>
          <w:p w14:paraId="5003BD5C" w14:textId="3629AF00"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43.8%</w:t>
            </w:r>
          </w:p>
        </w:tc>
        <w:tc>
          <w:tcPr>
            <w:tcW w:w="830" w:type="dxa"/>
            <w:shd w:val="clear" w:color="auto" w:fill="auto"/>
            <w:noWrap/>
            <w:vAlign w:val="center"/>
            <w:hideMark/>
          </w:tcPr>
          <w:p w14:paraId="3A8446CB" w14:textId="3648B6C7"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NA</w:t>
            </w:r>
          </w:p>
        </w:tc>
        <w:tc>
          <w:tcPr>
            <w:tcW w:w="860" w:type="dxa"/>
            <w:shd w:val="clear" w:color="auto" w:fill="auto"/>
            <w:noWrap/>
            <w:vAlign w:val="center"/>
            <w:hideMark/>
          </w:tcPr>
          <w:p w14:paraId="7F9CA173" w14:textId="63DD6B0F"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NA</w:t>
            </w:r>
          </w:p>
        </w:tc>
        <w:tc>
          <w:tcPr>
            <w:tcW w:w="900" w:type="dxa"/>
            <w:shd w:val="clear" w:color="auto" w:fill="auto"/>
            <w:noWrap/>
            <w:vAlign w:val="center"/>
            <w:hideMark/>
          </w:tcPr>
          <w:p w14:paraId="36EAB276" w14:textId="678E8D99"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22.6%</w:t>
            </w:r>
          </w:p>
        </w:tc>
      </w:tr>
      <w:tr w:rsidR="00EF3512" w:rsidRPr="0049778F" w14:paraId="54F04EBF" w14:textId="77777777">
        <w:trPr>
          <w:trHeight w:val="310"/>
        </w:trPr>
        <w:tc>
          <w:tcPr>
            <w:tcW w:w="1237" w:type="dxa"/>
            <w:shd w:val="clear" w:color="auto" w:fill="F2F2F2" w:themeFill="background1" w:themeFillShade="F2"/>
            <w:noWrap/>
            <w:hideMark/>
          </w:tcPr>
          <w:p w14:paraId="0DBCF8F1" w14:textId="2B1CA65B" w:rsidR="00EF3512" w:rsidRPr="0049778F" w:rsidRDefault="00EF3512">
            <w:pPr>
              <w:spacing w:after="0"/>
              <w:jc w:val="center"/>
              <w:rPr>
                <w:rFonts w:eastAsia="Times New Roman" w:cs="Calibri"/>
                <w:color w:val="000000"/>
                <w:sz w:val="18"/>
                <w:szCs w:val="18"/>
              </w:rPr>
            </w:pPr>
            <w:r w:rsidRPr="0049778F">
              <w:rPr>
                <w:rFonts w:eastAsia="Times New Roman" w:cs="Calibri"/>
                <w:color w:val="000000"/>
                <w:sz w:val="18"/>
                <w:szCs w:val="18"/>
              </w:rPr>
              <w:t>DDE</w:t>
            </w:r>
          </w:p>
        </w:tc>
        <w:tc>
          <w:tcPr>
            <w:tcW w:w="5546" w:type="dxa"/>
            <w:shd w:val="clear" w:color="auto" w:fill="F2F2F2" w:themeFill="background1" w:themeFillShade="F2"/>
            <w:hideMark/>
          </w:tcPr>
          <w:p w14:paraId="25A6F9E3" w14:textId="3C53EA73" w:rsidR="00EF3512" w:rsidRPr="0049778F" w:rsidRDefault="00EF3512">
            <w:pPr>
              <w:spacing w:after="0"/>
              <w:rPr>
                <w:rFonts w:eastAsia="Times New Roman" w:cs="Calibri"/>
                <w:sz w:val="18"/>
                <w:szCs w:val="18"/>
              </w:rPr>
            </w:pPr>
            <w:r w:rsidRPr="0049778F">
              <w:rPr>
                <w:rFonts w:eastAsia="Times New Roman" w:cs="Calibri"/>
                <w:color w:val="000000"/>
                <w:sz w:val="18"/>
                <w:szCs w:val="18"/>
              </w:rPr>
              <w:t>Potentially Harmful Drug Disease Interactions in the Elderly (total) (lower rate is better)</w:t>
            </w:r>
          </w:p>
        </w:tc>
        <w:tc>
          <w:tcPr>
            <w:tcW w:w="830" w:type="dxa"/>
            <w:shd w:val="clear" w:color="auto" w:fill="F2F2F2" w:themeFill="background1" w:themeFillShade="F2"/>
            <w:noWrap/>
            <w:vAlign w:val="center"/>
            <w:hideMark/>
          </w:tcPr>
          <w:p w14:paraId="2517A870" w14:textId="55CEC34F"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32.4%</w:t>
            </w:r>
          </w:p>
        </w:tc>
        <w:tc>
          <w:tcPr>
            <w:tcW w:w="830" w:type="dxa"/>
            <w:shd w:val="clear" w:color="auto" w:fill="F2F2F2" w:themeFill="background1" w:themeFillShade="F2"/>
            <w:noWrap/>
            <w:vAlign w:val="center"/>
            <w:hideMark/>
          </w:tcPr>
          <w:p w14:paraId="17A5A270" w14:textId="2006051E"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30.7%</w:t>
            </w:r>
          </w:p>
        </w:tc>
        <w:tc>
          <w:tcPr>
            <w:tcW w:w="1040" w:type="dxa"/>
            <w:shd w:val="clear" w:color="auto" w:fill="F2F2F2" w:themeFill="background1" w:themeFillShade="F2"/>
            <w:noWrap/>
            <w:vAlign w:val="center"/>
            <w:hideMark/>
          </w:tcPr>
          <w:p w14:paraId="48555CAF" w14:textId="50B839F5"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31.1%</w:t>
            </w:r>
          </w:p>
        </w:tc>
        <w:tc>
          <w:tcPr>
            <w:tcW w:w="830" w:type="dxa"/>
            <w:shd w:val="clear" w:color="auto" w:fill="F2F2F2" w:themeFill="background1" w:themeFillShade="F2"/>
            <w:noWrap/>
            <w:vAlign w:val="center"/>
            <w:hideMark/>
          </w:tcPr>
          <w:p w14:paraId="0DD16FAF" w14:textId="4375E80D"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35.7%</w:t>
            </w:r>
          </w:p>
        </w:tc>
        <w:tc>
          <w:tcPr>
            <w:tcW w:w="830" w:type="dxa"/>
            <w:shd w:val="clear" w:color="auto" w:fill="F2F2F2" w:themeFill="background1" w:themeFillShade="F2"/>
            <w:noWrap/>
            <w:vAlign w:val="center"/>
            <w:hideMark/>
          </w:tcPr>
          <w:p w14:paraId="36B63257" w14:textId="3E802028"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31.2%</w:t>
            </w:r>
          </w:p>
        </w:tc>
        <w:tc>
          <w:tcPr>
            <w:tcW w:w="860" w:type="dxa"/>
            <w:shd w:val="clear" w:color="auto" w:fill="F2F2F2" w:themeFill="background1" w:themeFillShade="F2"/>
            <w:noWrap/>
            <w:vAlign w:val="center"/>
            <w:hideMark/>
          </w:tcPr>
          <w:p w14:paraId="06B5FC11" w14:textId="4639F1D3"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32.5%</w:t>
            </w:r>
          </w:p>
        </w:tc>
        <w:tc>
          <w:tcPr>
            <w:tcW w:w="900" w:type="dxa"/>
            <w:shd w:val="clear" w:color="auto" w:fill="F2F2F2" w:themeFill="background1" w:themeFillShade="F2"/>
            <w:noWrap/>
            <w:vAlign w:val="center"/>
            <w:hideMark/>
          </w:tcPr>
          <w:p w14:paraId="0E93BE18" w14:textId="4B889B35" w:rsidR="00EF3512" w:rsidRPr="0049778F" w:rsidRDefault="00EF3512">
            <w:pPr>
              <w:spacing w:after="0"/>
              <w:jc w:val="center"/>
              <w:rPr>
                <w:rFonts w:eastAsia="Times New Roman" w:cs="Calibri"/>
                <w:color w:val="000000"/>
                <w:sz w:val="18"/>
                <w:szCs w:val="18"/>
              </w:rPr>
            </w:pPr>
            <w:r w:rsidRPr="0049778F">
              <w:rPr>
                <w:rFonts w:cs="Calibri"/>
                <w:color w:val="000000"/>
                <w:sz w:val="18"/>
                <w:szCs w:val="18"/>
              </w:rPr>
              <w:t>32.9%</w:t>
            </w:r>
          </w:p>
        </w:tc>
      </w:tr>
      <w:tr w:rsidR="00EF3512" w:rsidRPr="0049778F" w14:paraId="1B05562B" w14:textId="77777777">
        <w:trPr>
          <w:trHeight w:val="520"/>
        </w:trPr>
        <w:tc>
          <w:tcPr>
            <w:tcW w:w="1237" w:type="dxa"/>
            <w:shd w:val="clear" w:color="auto" w:fill="auto"/>
            <w:noWrap/>
            <w:hideMark/>
          </w:tcPr>
          <w:p w14:paraId="3B0EDE29" w14:textId="30B56375" w:rsidR="00EF3512" w:rsidRPr="0049778F" w:rsidRDefault="00EF3512">
            <w:pPr>
              <w:spacing w:after="0"/>
              <w:jc w:val="center"/>
              <w:rPr>
                <w:rFonts w:eastAsia="Times New Roman" w:cs="Calibri"/>
                <w:color w:val="000000"/>
                <w:sz w:val="18"/>
                <w:szCs w:val="18"/>
              </w:rPr>
            </w:pPr>
            <w:r>
              <w:rPr>
                <w:rFonts w:cs="Calibri"/>
                <w:sz w:val="20"/>
                <w:szCs w:val="20"/>
              </w:rPr>
              <w:t>DAE - Total</w:t>
            </w:r>
          </w:p>
        </w:tc>
        <w:tc>
          <w:tcPr>
            <w:tcW w:w="5546" w:type="dxa"/>
            <w:shd w:val="clear" w:color="auto" w:fill="auto"/>
            <w:hideMark/>
          </w:tcPr>
          <w:p w14:paraId="446D9B12" w14:textId="7C318226" w:rsidR="00EF3512" w:rsidRPr="0049778F" w:rsidRDefault="00EF3512">
            <w:pPr>
              <w:spacing w:after="0"/>
              <w:rPr>
                <w:rFonts w:eastAsia="Times New Roman" w:cs="Calibri"/>
                <w:color w:val="000000"/>
                <w:sz w:val="18"/>
                <w:szCs w:val="18"/>
              </w:rPr>
            </w:pPr>
            <w:r>
              <w:rPr>
                <w:rFonts w:cs="Calibri"/>
                <w:color w:val="000000"/>
                <w:sz w:val="20"/>
                <w:szCs w:val="20"/>
              </w:rPr>
              <w:t>Use of High-Risk Medications in the Elderly - Total (lower rate is better)</w:t>
            </w:r>
          </w:p>
        </w:tc>
        <w:tc>
          <w:tcPr>
            <w:tcW w:w="830" w:type="dxa"/>
            <w:shd w:val="clear" w:color="auto" w:fill="auto"/>
            <w:noWrap/>
            <w:vAlign w:val="center"/>
            <w:hideMark/>
          </w:tcPr>
          <w:p w14:paraId="4E1717D5" w14:textId="4284D846" w:rsidR="00EF3512" w:rsidRPr="0049778F" w:rsidRDefault="00EF3512">
            <w:pPr>
              <w:spacing w:after="0"/>
              <w:jc w:val="center"/>
              <w:rPr>
                <w:rFonts w:eastAsia="Times New Roman" w:cs="Calibri"/>
                <w:color w:val="000000"/>
                <w:sz w:val="18"/>
                <w:szCs w:val="18"/>
              </w:rPr>
            </w:pPr>
            <w:r w:rsidRPr="00F2597C">
              <w:rPr>
                <w:rFonts w:cs="Calibri"/>
                <w:color w:val="000000"/>
                <w:sz w:val="18"/>
                <w:szCs w:val="18"/>
              </w:rPr>
              <w:t>21.6%</w:t>
            </w:r>
          </w:p>
        </w:tc>
        <w:tc>
          <w:tcPr>
            <w:tcW w:w="830" w:type="dxa"/>
            <w:shd w:val="clear" w:color="auto" w:fill="auto"/>
            <w:noWrap/>
            <w:vAlign w:val="center"/>
            <w:hideMark/>
          </w:tcPr>
          <w:p w14:paraId="66FA1667" w14:textId="5E1F08CC" w:rsidR="00EF3512" w:rsidRPr="0049778F" w:rsidRDefault="00EF3512">
            <w:pPr>
              <w:spacing w:after="0"/>
              <w:jc w:val="center"/>
              <w:rPr>
                <w:rFonts w:eastAsia="Times New Roman" w:cs="Calibri"/>
                <w:color w:val="000000"/>
                <w:sz w:val="18"/>
                <w:szCs w:val="18"/>
              </w:rPr>
            </w:pPr>
            <w:r w:rsidRPr="00F2597C">
              <w:rPr>
                <w:rFonts w:cs="Calibri"/>
                <w:color w:val="000000"/>
                <w:sz w:val="18"/>
                <w:szCs w:val="18"/>
              </w:rPr>
              <w:t>17.8%</w:t>
            </w:r>
          </w:p>
        </w:tc>
        <w:tc>
          <w:tcPr>
            <w:tcW w:w="1040" w:type="dxa"/>
            <w:shd w:val="clear" w:color="auto" w:fill="auto"/>
            <w:noWrap/>
            <w:vAlign w:val="center"/>
            <w:hideMark/>
          </w:tcPr>
          <w:p w14:paraId="233A526C" w14:textId="37F26B57" w:rsidR="00EF3512" w:rsidRPr="0049778F" w:rsidRDefault="00EF3512">
            <w:pPr>
              <w:spacing w:after="0"/>
              <w:jc w:val="center"/>
              <w:rPr>
                <w:rFonts w:eastAsia="Times New Roman" w:cs="Calibri"/>
                <w:color w:val="000000"/>
                <w:sz w:val="18"/>
                <w:szCs w:val="18"/>
              </w:rPr>
            </w:pPr>
            <w:r w:rsidRPr="00F2597C">
              <w:rPr>
                <w:rFonts w:cs="Calibri"/>
                <w:color w:val="000000"/>
                <w:sz w:val="18"/>
                <w:szCs w:val="18"/>
              </w:rPr>
              <w:t>23.3%</w:t>
            </w:r>
          </w:p>
        </w:tc>
        <w:tc>
          <w:tcPr>
            <w:tcW w:w="830" w:type="dxa"/>
            <w:shd w:val="clear" w:color="auto" w:fill="auto"/>
            <w:noWrap/>
            <w:vAlign w:val="center"/>
            <w:hideMark/>
          </w:tcPr>
          <w:p w14:paraId="0F78CD62" w14:textId="05616E8A" w:rsidR="00EF3512" w:rsidRPr="0049778F" w:rsidRDefault="00EF3512">
            <w:pPr>
              <w:spacing w:after="0"/>
              <w:jc w:val="center"/>
              <w:rPr>
                <w:rFonts w:eastAsia="Times New Roman" w:cs="Calibri"/>
                <w:color w:val="000000"/>
                <w:sz w:val="18"/>
                <w:szCs w:val="18"/>
              </w:rPr>
            </w:pPr>
            <w:r w:rsidRPr="00F2597C">
              <w:rPr>
                <w:rFonts w:cs="Calibri"/>
                <w:color w:val="000000"/>
                <w:sz w:val="18"/>
                <w:szCs w:val="18"/>
              </w:rPr>
              <w:t>25.0%</w:t>
            </w:r>
          </w:p>
        </w:tc>
        <w:tc>
          <w:tcPr>
            <w:tcW w:w="830" w:type="dxa"/>
            <w:shd w:val="clear" w:color="auto" w:fill="auto"/>
            <w:noWrap/>
            <w:vAlign w:val="center"/>
            <w:hideMark/>
          </w:tcPr>
          <w:p w14:paraId="286BDB68" w14:textId="254B82BE" w:rsidR="00EF3512" w:rsidRPr="0049778F" w:rsidRDefault="00EF3512">
            <w:pPr>
              <w:spacing w:after="0"/>
              <w:jc w:val="center"/>
              <w:rPr>
                <w:rFonts w:eastAsia="Times New Roman" w:cs="Calibri"/>
                <w:color w:val="000000"/>
                <w:sz w:val="18"/>
                <w:szCs w:val="18"/>
              </w:rPr>
            </w:pPr>
            <w:r w:rsidRPr="00F2597C">
              <w:rPr>
                <w:rFonts w:cs="Calibri"/>
                <w:color w:val="000000"/>
                <w:sz w:val="18"/>
                <w:szCs w:val="18"/>
              </w:rPr>
              <w:t>19.4%</w:t>
            </w:r>
          </w:p>
        </w:tc>
        <w:tc>
          <w:tcPr>
            <w:tcW w:w="860" w:type="dxa"/>
            <w:shd w:val="clear" w:color="auto" w:fill="auto"/>
            <w:noWrap/>
            <w:vAlign w:val="center"/>
            <w:hideMark/>
          </w:tcPr>
          <w:p w14:paraId="4CCCDE1A" w14:textId="1BE88247" w:rsidR="00EF3512" w:rsidRPr="0049778F" w:rsidRDefault="00EF3512">
            <w:pPr>
              <w:spacing w:after="0"/>
              <w:jc w:val="center"/>
              <w:rPr>
                <w:rFonts w:eastAsia="Times New Roman" w:cs="Calibri"/>
                <w:color w:val="000000"/>
                <w:sz w:val="18"/>
                <w:szCs w:val="18"/>
              </w:rPr>
            </w:pPr>
            <w:r w:rsidRPr="00F2597C">
              <w:rPr>
                <w:rFonts w:cs="Calibri"/>
                <w:color w:val="000000"/>
                <w:sz w:val="18"/>
                <w:szCs w:val="18"/>
              </w:rPr>
              <w:t>18.3%</w:t>
            </w:r>
          </w:p>
        </w:tc>
        <w:tc>
          <w:tcPr>
            <w:tcW w:w="900" w:type="dxa"/>
            <w:shd w:val="clear" w:color="auto" w:fill="auto"/>
            <w:noWrap/>
            <w:vAlign w:val="center"/>
            <w:hideMark/>
          </w:tcPr>
          <w:p w14:paraId="6A71638F" w14:textId="799F0EC0" w:rsidR="00EF3512" w:rsidRPr="0049778F" w:rsidRDefault="00EF3512">
            <w:pPr>
              <w:spacing w:after="0"/>
              <w:jc w:val="center"/>
              <w:rPr>
                <w:rFonts w:eastAsia="Times New Roman" w:cs="Calibri"/>
                <w:color w:val="000000"/>
                <w:sz w:val="18"/>
                <w:szCs w:val="18"/>
              </w:rPr>
            </w:pPr>
            <w:r w:rsidRPr="00F2597C">
              <w:rPr>
                <w:rFonts w:cs="Calibri"/>
                <w:color w:val="000000"/>
                <w:sz w:val="18"/>
                <w:szCs w:val="18"/>
              </w:rPr>
              <w:t>22.4%</w:t>
            </w:r>
          </w:p>
        </w:tc>
      </w:tr>
      <w:tr w:rsidR="00EF3512" w:rsidRPr="0049778F" w14:paraId="56B65ECF" w14:textId="77777777">
        <w:trPr>
          <w:trHeight w:val="520"/>
        </w:trPr>
        <w:tc>
          <w:tcPr>
            <w:tcW w:w="1237" w:type="dxa"/>
            <w:shd w:val="clear" w:color="auto" w:fill="F2F2F2" w:themeFill="background1" w:themeFillShade="F2"/>
            <w:noWrap/>
          </w:tcPr>
          <w:p w14:paraId="36C774B5" w14:textId="0AE7E4FA" w:rsidR="00EF3512" w:rsidRPr="0049778F" w:rsidRDefault="00EF3512">
            <w:pPr>
              <w:spacing w:after="0"/>
              <w:jc w:val="center"/>
              <w:rPr>
                <w:rFonts w:eastAsia="Times New Roman" w:cs="Calibri"/>
                <w:color w:val="000000"/>
                <w:sz w:val="18"/>
                <w:szCs w:val="18"/>
              </w:rPr>
            </w:pPr>
            <w:r w:rsidRPr="0049778F">
              <w:rPr>
                <w:rFonts w:eastAsia="Times New Roman" w:cs="Calibri"/>
                <w:color w:val="000000"/>
                <w:sz w:val="18"/>
                <w:szCs w:val="18"/>
              </w:rPr>
              <w:t>AMM-A</w:t>
            </w:r>
          </w:p>
        </w:tc>
        <w:tc>
          <w:tcPr>
            <w:tcW w:w="5546" w:type="dxa"/>
            <w:shd w:val="clear" w:color="auto" w:fill="F2F2F2" w:themeFill="background1" w:themeFillShade="F2"/>
          </w:tcPr>
          <w:p w14:paraId="1CD5095D" w14:textId="4D21A4B9" w:rsidR="00EF3512" w:rsidRPr="0049778F" w:rsidRDefault="00EF3512">
            <w:pPr>
              <w:spacing w:after="0"/>
              <w:rPr>
                <w:rFonts w:eastAsia="Times New Roman" w:cs="Calibri"/>
                <w:color w:val="000000"/>
                <w:sz w:val="18"/>
                <w:szCs w:val="18"/>
              </w:rPr>
            </w:pPr>
            <w:r w:rsidRPr="0049778F">
              <w:rPr>
                <w:rFonts w:eastAsia="Times New Roman" w:cs="Calibri"/>
                <w:color w:val="000000"/>
                <w:sz w:val="18"/>
                <w:szCs w:val="18"/>
              </w:rPr>
              <w:t>Antidepressant Medication Management Acute</w:t>
            </w:r>
          </w:p>
        </w:tc>
        <w:tc>
          <w:tcPr>
            <w:tcW w:w="830" w:type="dxa"/>
            <w:shd w:val="clear" w:color="auto" w:fill="F2F2F2" w:themeFill="background1" w:themeFillShade="F2"/>
            <w:noWrap/>
            <w:vAlign w:val="center"/>
          </w:tcPr>
          <w:p w14:paraId="2A967A2A" w14:textId="3F249427" w:rsidR="00EF3512" w:rsidRPr="00F2597C" w:rsidRDefault="00EF3512">
            <w:pPr>
              <w:spacing w:after="0"/>
              <w:jc w:val="center"/>
              <w:rPr>
                <w:rFonts w:cs="Calibri"/>
                <w:color w:val="000000"/>
                <w:sz w:val="18"/>
                <w:szCs w:val="18"/>
              </w:rPr>
            </w:pPr>
            <w:r w:rsidRPr="004A16BC">
              <w:rPr>
                <w:rFonts w:cs="Calibri"/>
                <w:color w:val="000000"/>
                <w:sz w:val="18"/>
                <w:szCs w:val="18"/>
              </w:rPr>
              <w:t>78.9%</w:t>
            </w:r>
          </w:p>
        </w:tc>
        <w:tc>
          <w:tcPr>
            <w:tcW w:w="830" w:type="dxa"/>
            <w:shd w:val="clear" w:color="auto" w:fill="F2F2F2" w:themeFill="background1" w:themeFillShade="F2"/>
            <w:noWrap/>
            <w:vAlign w:val="center"/>
          </w:tcPr>
          <w:p w14:paraId="69D96A0F" w14:textId="398D6D66" w:rsidR="00EF3512" w:rsidRPr="00F2597C" w:rsidRDefault="00EF3512">
            <w:pPr>
              <w:spacing w:after="0"/>
              <w:jc w:val="center"/>
              <w:rPr>
                <w:rFonts w:cs="Calibri"/>
                <w:color w:val="000000"/>
                <w:sz w:val="18"/>
                <w:szCs w:val="18"/>
              </w:rPr>
            </w:pPr>
            <w:r w:rsidRPr="004A16BC">
              <w:rPr>
                <w:rFonts w:cs="Calibri"/>
                <w:color w:val="000000"/>
                <w:sz w:val="18"/>
                <w:szCs w:val="18"/>
              </w:rPr>
              <w:t>87.2%</w:t>
            </w:r>
          </w:p>
        </w:tc>
        <w:tc>
          <w:tcPr>
            <w:tcW w:w="1040" w:type="dxa"/>
            <w:shd w:val="clear" w:color="auto" w:fill="F2F2F2" w:themeFill="background1" w:themeFillShade="F2"/>
            <w:noWrap/>
            <w:vAlign w:val="center"/>
          </w:tcPr>
          <w:p w14:paraId="54C6A241" w14:textId="0B4530E8" w:rsidR="00EF3512" w:rsidRPr="00F2597C" w:rsidRDefault="00EF3512">
            <w:pPr>
              <w:spacing w:after="0"/>
              <w:jc w:val="center"/>
              <w:rPr>
                <w:rFonts w:cs="Calibri"/>
                <w:color w:val="000000"/>
                <w:sz w:val="18"/>
                <w:szCs w:val="18"/>
              </w:rPr>
            </w:pPr>
            <w:r w:rsidRPr="004A16BC">
              <w:rPr>
                <w:rFonts w:cs="Calibri"/>
                <w:color w:val="000000"/>
                <w:sz w:val="18"/>
                <w:szCs w:val="18"/>
              </w:rPr>
              <w:t>78.2%</w:t>
            </w:r>
          </w:p>
        </w:tc>
        <w:tc>
          <w:tcPr>
            <w:tcW w:w="830" w:type="dxa"/>
            <w:shd w:val="clear" w:color="auto" w:fill="F2F2F2" w:themeFill="background1" w:themeFillShade="F2"/>
            <w:noWrap/>
            <w:vAlign w:val="center"/>
          </w:tcPr>
          <w:p w14:paraId="634B8B87" w14:textId="4381B567" w:rsidR="00EF3512" w:rsidRPr="00F2597C" w:rsidRDefault="00EF3512">
            <w:pPr>
              <w:spacing w:after="0"/>
              <w:jc w:val="center"/>
              <w:rPr>
                <w:rFonts w:cs="Calibri"/>
                <w:color w:val="000000"/>
                <w:sz w:val="18"/>
                <w:szCs w:val="18"/>
              </w:rPr>
            </w:pPr>
            <w:r w:rsidRPr="004A16BC">
              <w:rPr>
                <w:rFonts w:cs="Calibri"/>
                <w:color w:val="000000"/>
                <w:sz w:val="18"/>
                <w:szCs w:val="18"/>
              </w:rPr>
              <w:t>78.4%</w:t>
            </w:r>
          </w:p>
        </w:tc>
        <w:tc>
          <w:tcPr>
            <w:tcW w:w="830" w:type="dxa"/>
            <w:shd w:val="clear" w:color="auto" w:fill="F2F2F2" w:themeFill="background1" w:themeFillShade="F2"/>
            <w:noWrap/>
            <w:vAlign w:val="center"/>
          </w:tcPr>
          <w:p w14:paraId="643493CE" w14:textId="75D95594" w:rsidR="00EF3512" w:rsidRPr="00F2597C" w:rsidRDefault="00EF3512">
            <w:pPr>
              <w:spacing w:after="0"/>
              <w:jc w:val="center"/>
              <w:rPr>
                <w:rFonts w:cs="Calibri"/>
                <w:color w:val="000000"/>
                <w:sz w:val="18"/>
                <w:szCs w:val="18"/>
              </w:rPr>
            </w:pPr>
            <w:r w:rsidRPr="004A16BC">
              <w:rPr>
                <w:rFonts w:cs="Calibri"/>
                <w:color w:val="000000"/>
                <w:sz w:val="18"/>
                <w:szCs w:val="18"/>
              </w:rPr>
              <w:t>83.4%</w:t>
            </w:r>
          </w:p>
        </w:tc>
        <w:tc>
          <w:tcPr>
            <w:tcW w:w="860" w:type="dxa"/>
            <w:shd w:val="clear" w:color="auto" w:fill="F2F2F2" w:themeFill="background1" w:themeFillShade="F2"/>
            <w:noWrap/>
            <w:vAlign w:val="center"/>
          </w:tcPr>
          <w:p w14:paraId="501736E7" w14:textId="11D90236" w:rsidR="00EF3512" w:rsidRPr="00F2597C" w:rsidRDefault="00EF3512">
            <w:pPr>
              <w:spacing w:after="0"/>
              <w:jc w:val="center"/>
              <w:rPr>
                <w:rFonts w:cs="Calibri"/>
                <w:color w:val="000000"/>
                <w:sz w:val="18"/>
                <w:szCs w:val="18"/>
              </w:rPr>
            </w:pPr>
            <w:r w:rsidRPr="004A16BC">
              <w:rPr>
                <w:rFonts w:cs="Calibri"/>
                <w:color w:val="000000"/>
                <w:sz w:val="18"/>
                <w:szCs w:val="18"/>
              </w:rPr>
              <w:t>71.7%</w:t>
            </w:r>
          </w:p>
        </w:tc>
        <w:tc>
          <w:tcPr>
            <w:tcW w:w="900" w:type="dxa"/>
            <w:shd w:val="clear" w:color="auto" w:fill="F2F2F2" w:themeFill="background1" w:themeFillShade="F2"/>
            <w:noWrap/>
            <w:vAlign w:val="center"/>
          </w:tcPr>
          <w:p w14:paraId="25A2196E" w14:textId="41998480" w:rsidR="00EF3512" w:rsidRPr="00F2597C" w:rsidRDefault="00EF3512">
            <w:pPr>
              <w:spacing w:after="0"/>
              <w:jc w:val="center"/>
              <w:rPr>
                <w:rFonts w:cs="Calibri"/>
                <w:color w:val="000000"/>
                <w:sz w:val="18"/>
                <w:szCs w:val="18"/>
              </w:rPr>
            </w:pPr>
            <w:r w:rsidRPr="004A16BC">
              <w:rPr>
                <w:rFonts w:cs="Calibri"/>
                <w:color w:val="000000"/>
                <w:sz w:val="18"/>
                <w:szCs w:val="18"/>
              </w:rPr>
              <w:t>78.1%</w:t>
            </w:r>
          </w:p>
        </w:tc>
      </w:tr>
      <w:tr w:rsidR="00EF3512" w:rsidRPr="0049778F" w14:paraId="5BFD9598" w14:textId="77777777">
        <w:trPr>
          <w:trHeight w:val="520"/>
        </w:trPr>
        <w:tc>
          <w:tcPr>
            <w:tcW w:w="1237" w:type="dxa"/>
            <w:shd w:val="clear" w:color="auto" w:fill="auto"/>
            <w:noWrap/>
            <w:hideMark/>
          </w:tcPr>
          <w:p w14:paraId="2D6020D7" w14:textId="0AC408F6" w:rsidR="00EF3512" w:rsidRPr="0049778F" w:rsidRDefault="00EF3512">
            <w:pPr>
              <w:spacing w:after="0"/>
              <w:jc w:val="center"/>
              <w:rPr>
                <w:rFonts w:eastAsia="Times New Roman" w:cs="Calibri"/>
                <w:color w:val="000000"/>
                <w:sz w:val="18"/>
                <w:szCs w:val="18"/>
              </w:rPr>
            </w:pPr>
            <w:r w:rsidRPr="0049778F">
              <w:rPr>
                <w:rFonts w:eastAsia="Times New Roman" w:cs="Calibri"/>
                <w:color w:val="000000"/>
                <w:sz w:val="18"/>
                <w:szCs w:val="18"/>
              </w:rPr>
              <w:t>AMM-C</w:t>
            </w:r>
          </w:p>
        </w:tc>
        <w:tc>
          <w:tcPr>
            <w:tcW w:w="5546" w:type="dxa"/>
            <w:shd w:val="clear" w:color="auto" w:fill="auto"/>
            <w:hideMark/>
          </w:tcPr>
          <w:p w14:paraId="5BD89253" w14:textId="7F970EA9" w:rsidR="00EF3512" w:rsidRPr="0049778F" w:rsidRDefault="00EF3512">
            <w:pPr>
              <w:spacing w:after="0"/>
              <w:rPr>
                <w:rFonts w:eastAsia="Times New Roman" w:cs="Calibri"/>
                <w:color w:val="000000"/>
                <w:sz w:val="18"/>
                <w:szCs w:val="18"/>
              </w:rPr>
            </w:pPr>
            <w:r w:rsidRPr="0049778F">
              <w:rPr>
                <w:rFonts w:eastAsia="Times New Roman" w:cs="Calibri"/>
                <w:color w:val="000000"/>
                <w:sz w:val="18"/>
                <w:szCs w:val="18"/>
              </w:rPr>
              <w:t>Antidepressant Medication Management Continuation</w:t>
            </w:r>
          </w:p>
        </w:tc>
        <w:tc>
          <w:tcPr>
            <w:tcW w:w="830" w:type="dxa"/>
            <w:shd w:val="clear" w:color="auto" w:fill="auto"/>
            <w:noWrap/>
            <w:vAlign w:val="center"/>
            <w:hideMark/>
          </w:tcPr>
          <w:p w14:paraId="45F2ED8D" w14:textId="4C520FEA" w:rsidR="00EF3512" w:rsidRPr="004A16BC" w:rsidRDefault="00EF3512">
            <w:pPr>
              <w:spacing w:after="0"/>
              <w:jc w:val="center"/>
              <w:rPr>
                <w:rFonts w:eastAsia="Times New Roman" w:cs="Calibri"/>
                <w:color w:val="000000"/>
                <w:sz w:val="18"/>
                <w:szCs w:val="18"/>
              </w:rPr>
            </w:pPr>
            <w:r w:rsidRPr="004A16BC">
              <w:rPr>
                <w:rFonts w:cs="Calibri"/>
                <w:color w:val="000000"/>
                <w:sz w:val="18"/>
                <w:szCs w:val="18"/>
              </w:rPr>
              <w:t>65.1%</w:t>
            </w:r>
          </w:p>
        </w:tc>
        <w:tc>
          <w:tcPr>
            <w:tcW w:w="830" w:type="dxa"/>
            <w:shd w:val="clear" w:color="auto" w:fill="auto"/>
            <w:noWrap/>
            <w:vAlign w:val="center"/>
            <w:hideMark/>
          </w:tcPr>
          <w:p w14:paraId="13901F9B" w14:textId="4A50C553" w:rsidR="00EF3512" w:rsidRPr="004A16BC" w:rsidRDefault="00EF3512">
            <w:pPr>
              <w:spacing w:after="0"/>
              <w:jc w:val="center"/>
              <w:rPr>
                <w:rFonts w:eastAsia="Times New Roman" w:cs="Calibri"/>
                <w:color w:val="000000"/>
                <w:sz w:val="18"/>
                <w:szCs w:val="18"/>
              </w:rPr>
            </w:pPr>
            <w:r w:rsidRPr="004A16BC">
              <w:rPr>
                <w:rFonts w:cs="Calibri"/>
                <w:color w:val="000000"/>
                <w:sz w:val="18"/>
                <w:szCs w:val="18"/>
              </w:rPr>
              <w:t>76.9%</w:t>
            </w:r>
          </w:p>
        </w:tc>
        <w:tc>
          <w:tcPr>
            <w:tcW w:w="1040" w:type="dxa"/>
            <w:shd w:val="clear" w:color="auto" w:fill="auto"/>
            <w:noWrap/>
            <w:vAlign w:val="center"/>
            <w:hideMark/>
          </w:tcPr>
          <w:p w14:paraId="1B192792" w14:textId="290E96B8" w:rsidR="00EF3512" w:rsidRPr="004A16BC" w:rsidRDefault="00EF3512">
            <w:pPr>
              <w:spacing w:after="0"/>
              <w:jc w:val="center"/>
              <w:rPr>
                <w:rFonts w:eastAsia="Times New Roman" w:cs="Calibri"/>
                <w:color w:val="000000"/>
                <w:sz w:val="18"/>
                <w:szCs w:val="18"/>
              </w:rPr>
            </w:pPr>
            <w:r w:rsidRPr="004A16BC">
              <w:rPr>
                <w:rFonts w:cs="Calibri"/>
                <w:color w:val="000000"/>
                <w:sz w:val="18"/>
                <w:szCs w:val="18"/>
              </w:rPr>
              <w:t>64.6%</w:t>
            </w:r>
          </w:p>
        </w:tc>
        <w:tc>
          <w:tcPr>
            <w:tcW w:w="830" w:type="dxa"/>
            <w:shd w:val="clear" w:color="auto" w:fill="auto"/>
            <w:noWrap/>
            <w:vAlign w:val="center"/>
            <w:hideMark/>
          </w:tcPr>
          <w:p w14:paraId="2F0FD09A" w14:textId="61586C8B" w:rsidR="00EF3512" w:rsidRPr="004A16BC" w:rsidRDefault="00EF3512">
            <w:pPr>
              <w:spacing w:after="0"/>
              <w:jc w:val="center"/>
              <w:rPr>
                <w:rFonts w:eastAsia="Times New Roman" w:cs="Calibri"/>
                <w:color w:val="000000"/>
                <w:sz w:val="18"/>
                <w:szCs w:val="18"/>
              </w:rPr>
            </w:pPr>
            <w:r w:rsidRPr="004A16BC">
              <w:rPr>
                <w:rFonts w:cs="Calibri"/>
                <w:color w:val="000000"/>
                <w:sz w:val="18"/>
                <w:szCs w:val="18"/>
              </w:rPr>
              <w:t>64.5%</w:t>
            </w:r>
          </w:p>
        </w:tc>
        <w:tc>
          <w:tcPr>
            <w:tcW w:w="830" w:type="dxa"/>
            <w:shd w:val="clear" w:color="auto" w:fill="auto"/>
            <w:noWrap/>
            <w:vAlign w:val="center"/>
            <w:hideMark/>
          </w:tcPr>
          <w:p w14:paraId="0CC25F24" w14:textId="403BB7F3" w:rsidR="00EF3512" w:rsidRPr="004A16BC" w:rsidRDefault="00EF3512">
            <w:pPr>
              <w:spacing w:after="0"/>
              <w:jc w:val="center"/>
              <w:rPr>
                <w:rFonts w:eastAsia="Times New Roman" w:cs="Calibri"/>
                <w:color w:val="000000"/>
                <w:sz w:val="18"/>
                <w:szCs w:val="18"/>
              </w:rPr>
            </w:pPr>
            <w:r w:rsidRPr="004A16BC">
              <w:rPr>
                <w:rFonts w:cs="Calibri"/>
                <w:color w:val="000000"/>
                <w:sz w:val="18"/>
                <w:szCs w:val="18"/>
              </w:rPr>
              <w:t>74.1%</w:t>
            </w:r>
          </w:p>
        </w:tc>
        <w:tc>
          <w:tcPr>
            <w:tcW w:w="860" w:type="dxa"/>
            <w:shd w:val="clear" w:color="auto" w:fill="auto"/>
            <w:noWrap/>
            <w:vAlign w:val="center"/>
            <w:hideMark/>
          </w:tcPr>
          <w:p w14:paraId="17C8AE97" w14:textId="592C7DA8" w:rsidR="00EF3512" w:rsidRPr="004A16BC" w:rsidRDefault="00EF3512">
            <w:pPr>
              <w:spacing w:after="0"/>
              <w:jc w:val="center"/>
              <w:rPr>
                <w:rFonts w:eastAsia="Times New Roman" w:cs="Calibri"/>
                <w:color w:val="000000"/>
                <w:sz w:val="18"/>
                <w:szCs w:val="18"/>
              </w:rPr>
            </w:pPr>
            <w:r w:rsidRPr="004A16BC">
              <w:rPr>
                <w:rFonts w:cs="Calibri"/>
                <w:color w:val="000000"/>
                <w:sz w:val="18"/>
                <w:szCs w:val="18"/>
              </w:rPr>
              <w:t>54.6%</w:t>
            </w:r>
          </w:p>
        </w:tc>
        <w:tc>
          <w:tcPr>
            <w:tcW w:w="900" w:type="dxa"/>
            <w:shd w:val="clear" w:color="auto" w:fill="auto"/>
            <w:noWrap/>
            <w:vAlign w:val="center"/>
            <w:hideMark/>
          </w:tcPr>
          <w:p w14:paraId="08DE876A" w14:textId="3E35F75F" w:rsidR="00EF3512" w:rsidRPr="004A16BC" w:rsidRDefault="00EF3512">
            <w:pPr>
              <w:spacing w:after="0"/>
              <w:jc w:val="center"/>
              <w:rPr>
                <w:rFonts w:eastAsia="Times New Roman" w:cs="Calibri"/>
                <w:color w:val="000000"/>
                <w:sz w:val="18"/>
                <w:szCs w:val="18"/>
              </w:rPr>
            </w:pPr>
            <w:r w:rsidRPr="004A16BC">
              <w:rPr>
                <w:rFonts w:cs="Calibri"/>
                <w:color w:val="000000"/>
                <w:sz w:val="18"/>
                <w:szCs w:val="18"/>
              </w:rPr>
              <w:t>62.0%</w:t>
            </w:r>
          </w:p>
        </w:tc>
      </w:tr>
      <w:tr w:rsidR="00EF3512" w:rsidRPr="0049778F" w14:paraId="3CCF0C11" w14:textId="77777777">
        <w:trPr>
          <w:trHeight w:val="413"/>
        </w:trPr>
        <w:tc>
          <w:tcPr>
            <w:tcW w:w="1237" w:type="dxa"/>
            <w:shd w:val="clear" w:color="auto" w:fill="F2F2F2" w:themeFill="background1" w:themeFillShade="F2"/>
            <w:noWrap/>
            <w:hideMark/>
          </w:tcPr>
          <w:p w14:paraId="2A60C8E1" w14:textId="70BE8913" w:rsidR="00EF3512" w:rsidRPr="0049778F" w:rsidRDefault="00EF3512">
            <w:pPr>
              <w:spacing w:after="0"/>
              <w:jc w:val="center"/>
              <w:rPr>
                <w:rFonts w:eastAsia="Times New Roman" w:cs="Calibri"/>
                <w:color w:val="000000"/>
                <w:sz w:val="18"/>
                <w:szCs w:val="18"/>
              </w:rPr>
            </w:pPr>
            <w:r w:rsidRPr="0049778F">
              <w:rPr>
                <w:rFonts w:eastAsia="Times New Roman" w:cs="Calibri"/>
                <w:color w:val="000000"/>
                <w:sz w:val="18"/>
                <w:szCs w:val="18"/>
              </w:rPr>
              <w:t>COA</w:t>
            </w:r>
          </w:p>
        </w:tc>
        <w:tc>
          <w:tcPr>
            <w:tcW w:w="5546" w:type="dxa"/>
            <w:shd w:val="clear" w:color="auto" w:fill="F2F2F2" w:themeFill="background1" w:themeFillShade="F2"/>
            <w:hideMark/>
          </w:tcPr>
          <w:p w14:paraId="5E071F5A" w14:textId="2E2F6CF1" w:rsidR="00EF3512" w:rsidRPr="0049778F" w:rsidRDefault="00EF3512">
            <w:pPr>
              <w:spacing w:after="0"/>
              <w:rPr>
                <w:rFonts w:eastAsia="Times New Roman" w:cs="Calibri"/>
                <w:color w:val="000000"/>
                <w:sz w:val="18"/>
                <w:szCs w:val="18"/>
              </w:rPr>
            </w:pPr>
            <w:r w:rsidRPr="0049778F">
              <w:rPr>
                <w:rFonts w:eastAsia="Times New Roman" w:cs="Calibri"/>
                <w:color w:val="000000"/>
                <w:sz w:val="18"/>
                <w:szCs w:val="18"/>
              </w:rPr>
              <w:t>Care for Older Adults: Advance Care Plan</w:t>
            </w:r>
          </w:p>
        </w:tc>
        <w:tc>
          <w:tcPr>
            <w:tcW w:w="830" w:type="dxa"/>
            <w:shd w:val="clear" w:color="auto" w:fill="F2F2F2" w:themeFill="background1" w:themeFillShade="F2"/>
            <w:noWrap/>
            <w:vAlign w:val="center"/>
            <w:hideMark/>
          </w:tcPr>
          <w:p w14:paraId="18FE6961" w14:textId="17E99323" w:rsidR="00EF3512" w:rsidRPr="004A16BC" w:rsidRDefault="00EF3512">
            <w:pPr>
              <w:spacing w:after="0"/>
              <w:jc w:val="center"/>
              <w:rPr>
                <w:rFonts w:eastAsia="Times New Roman" w:cs="Calibri"/>
                <w:color w:val="000000"/>
                <w:sz w:val="18"/>
                <w:szCs w:val="18"/>
              </w:rPr>
            </w:pPr>
            <w:r w:rsidRPr="004A16BC">
              <w:rPr>
                <w:rFonts w:cs="Calibri"/>
                <w:color w:val="000000"/>
                <w:sz w:val="18"/>
                <w:szCs w:val="18"/>
              </w:rPr>
              <w:t>77.0%</w:t>
            </w:r>
          </w:p>
        </w:tc>
        <w:tc>
          <w:tcPr>
            <w:tcW w:w="830" w:type="dxa"/>
            <w:shd w:val="clear" w:color="auto" w:fill="F2F2F2" w:themeFill="background1" w:themeFillShade="F2"/>
            <w:noWrap/>
            <w:vAlign w:val="center"/>
            <w:hideMark/>
          </w:tcPr>
          <w:p w14:paraId="731D79C3" w14:textId="7F8D3D2D" w:rsidR="00EF3512" w:rsidRPr="004A16BC" w:rsidRDefault="00EF3512">
            <w:pPr>
              <w:spacing w:after="0"/>
              <w:jc w:val="center"/>
              <w:rPr>
                <w:rFonts w:eastAsia="Times New Roman" w:cs="Calibri"/>
                <w:color w:val="000000"/>
                <w:sz w:val="18"/>
                <w:szCs w:val="18"/>
              </w:rPr>
            </w:pPr>
            <w:r w:rsidRPr="004A16BC">
              <w:rPr>
                <w:rFonts w:cs="Calibri"/>
                <w:color w:val="000000"/>
                <w:sz w:val="18"/>
                <w:szCs w:val="18"/>
              </w:rPr>
              <w:t>35.8%</w:t>
            </w:r>
          </w:p>
        </w:tc>
        <w:tc>
          <w:tcPr>
            <w:tcW w:w="1040" w:type="dxa"/>
            <w:shd w:val="clear" w:color="auto" w:fill="F2F2F2" w:themeFill="background1" w:themeFillShade="F2"/>
            <w:noWrap/>
            <w:vAlign w:val="center"/>
            <w:hideMark/>
          </w:tcPr>
          <w:p w14:paraId="4CD531A3" w14:textId="4DF163A9" w:rsidR="00EF3512" w:rsidRPr="004A16BC" w:rsidRDefault="00EF3512">
            <w:pPr>
              <w:spacing w:after="0"/>
              <w:jc w:val="center"/>
              <w:rPr>
                <w:rFonts w:eastAsia="Times New Roman" w:cs="Calibri"/>
                <w:color w:val="000000"/>
                <w:sz w:val="18"/>
                <w:szCs w:val="18"/>
              </w:rPr>
            </w:pPr>
            <w:r w:rsidRPr="004A16BC">
              <w:rPr>
                <w:rFonts w:cs="Calibri"/>
                <w:color w:val="000000"/>
                <w:sz w:val="18"/>
                <w:szCs w:val="18"/>
              </w:rPr>
              <w:t>70.4%</w:t>
            </w:r>
          </w:p>
        </w:tc>
        <w:tc>
          <w:tcPr>
            <w:tcW w:w="830" w:type="dxa"/>
            <w:shd w:val="clear" w:color="auto" w:fill="F2F2F2" w:themeFill="background1" w:themeFillShade="F2"/>
            <w:noWrap/>
            <w:vAlign w:val="center"/>
            <w:hideMark/>
          </w:tcPr>
          <w:p w14:paraId="29DE2789" w14:textId="67A78A52" w:rsidR="00EF3512" w:rsidRPr="004A16BC" w:rsidRDefault="00EF3512">
            <w:pPr>
              <w:spacing w:after="0"/>
              <w:jc w:val="center"/>
              <w:rPr>
                <w:rFonts w:eastAsia="Times New Roman" w:cs="Calibri"/>
                <w:color w:val="000000"/>
                <w:sz w:val="18"/>
                <w:szCs w:val="18"/>
              </w:rPr>
            </w:pPr>
            <w:r w:rsidRPr="004A16BC">
              <w:rPr>
                <w:rFonts w:cs="Calibri"/>
                <w:color w:val="000000"/>
                <w:sz w:val="18"/>
                <w:szCs w:val="18"/>
              </w:rPr>
              <w:t>70.6%</w:t>
            </w:r>
          </w:p>
        </w:tc>
        <w:tc>
          <w:tcPr>
            <w:tcW w:w="830" w:type="dxa"/>
            <w:shd w:val="clear" w:color="auto" w:fill="F2F2F2" w:themeFill="background1" w:themeFillShade="F2"/>
            <w:noWrap/>
            <w:vAlign w:val="center"/>
            <w:hideMark/>
          </w:tcPr>
          <w:p w14:paraId="4A9F8D22" w14:textId="3BD13607" w:rsidR="00EF3512" w:rsidRPr="004A16BC" w:rsidRDefault="00EF3512">
            <w:pPr>
              <w:spacing w:after="0"/>
              <w:jc w:val="center"/>
              <w:rPr>
                <w:rFonts w:eastAsia="Times New Roman" w:cs="Calibri"/>
                <w:color w:val="000000"/>
                <w:sz w:val="18"/>
                <w:szCs w:val="18"/>
              </w:rPr>
            </w:pPr>
            <w:r w:rsidRPr="004A16BC">
              <w:rPr>
                <w:rFonts w:cs="Calibri"/>
                <w:color w:val="000000"/>
                <w:sz w:val="18"/>
                <w:szCs w:val="18"/>
              </w:rPr>
              <w:t>97.4%</w:t>
            </w:r>
          </w:p>
        </w:tc>
        <w:tc>
          <w:tcPr>
            <w:tcW w:w="860" w:type="dxa"/>
            <w:shd w:val="clear" w:color="auto" w:fill="F2F2F2" w:themeFill="background1" w:themeFillShade="F2"/>
            <w:noWrap/>
            <w:vAlign w:val="center"/>
            <w:hideMark/>
          </w:tcPr>
          <w:p w14:paraId="65F62D70" w14:textId="328AB683" w:rsidR="00EF3512" w:rsidRPr="004A16BC" w:rsidRDefault="00EF3512">
            <w:pPr>
              <w:spacing w:after="0"/>
              <w:jc w:val="center"/>
              <w:rPr>
                <w:rFonts w:eastAsia="Times New Roman" w:cs="Calibri"/>
                <w:color w:val="000000"/>
                <w:sz w:val="18"/>
                <w:szCs w:val="18"/>
              </w:rPr>
            </w:pPr>
            <w:r w:rsidRPr="004A16BC">
              <w:rPr>
                <w:rFonts w:cs="Calibri"/>
                <w:color w:val="000000"/>
                <w:sz w:val="18"/>
                <w:szCs w:val="18"/>
              </w:rPr>
              <w:t>98.0%</w:t>
            </w:r>
          </w:p>
        </w:tc>
        <w:tc>
          <w:tcPr>
            <w:tcW w:w="900" w:type="dxa"/>
            <w:shd w:val="clear" w:color="auto" w:fill="F2F2F2" w:themeFill="background1" w:themeFillShade="F2"/>
            <w:noWrap/>
            <w:vAlign w:val="center"/>
            <w:hideMark/>
          </w:tcPr>
          <w:p w14:paraId="303A0498" w14:textId="271FDD68" w:rsidR="00EF3512" w:rsidRPr="004A16BC" w:rsidRDefault="00EF3512">
            <w:pPr>
              <w:spacing w:after="0"/>
              <w:jc w:val="center"/>
              <w:rPr>
                <w:rFonts w:eastAsia="Times New Roman" w:cs="Calibri"/>
                <w:color w:val="000000"/>
                <w:sz w:val="18"/>
                <w:szCs w:val="18"/>
              </w:rPr>
            </w:pPr>
            <w:r w:rsidRPr="004A16BC">
              <w:rPr>
                <w:rFonts w:cs="Calibri"/>
                <w:color w:val="000000"/>
                <w:sz w:val="18"/>
                <w:szCs w:val="18"/>
              </w:rPr>
              <w:t>65.1%</w:t>
            </w:r>
          </w:p>
        </w:tc>
      </w:tr>
    </w:tbl>
    <w:p w14:paraId="2A521D92" w14:textId="467EE8B9" w:rsidR="00EF3512" w:rsidRDefault="00EF3512" w:rsidP="00001F32">
      <w:pPr>
        <w:spacing w:after="160" w:line="259" w:lineRule="auto"/>
        <w:rPr>
          <w:rFonts w:eastAsia="Times New Roman" w:cs="Calibri"/>
          <w:b/>
          <w:bCs/>
          <w:color w:val="000000" w:themeColor="text1"/>
          <w:sz w:val="20"/>
          <w:szCs w:val="20"/>
        </w:rPr>
      </w:pPr>
    </w:p>
    <w:p w14:paraId="0DB2E23E" w14:textId="77777777" w:rsidR="00EF3512" w:rsidRDefault="00EF3512">
      <w:pPr>
        <w:rPr>
          <w:rFonts w:eastAsia="Times New Roman" w:cs="Calibri"/>
          <w:b/>
          <w:bCs/>
          <w:color w:val="000000" w:themeColor="text1"/>
          <w:sz w:val="20"/>
          <w:szCs w:val="20"/>
        </w:rPr>
      </w:pPr>
      <w:r>
        <w:rPr>
          <w:rFonts w:eastAsia="Times New Roman" w:cs="Calibri"/>
          <w:b/>
          <w:bCs/>
          <w:color w:val="000000" w:themeColor="text1"/>
          <w:sz w:val="20"/>
          <w:szCs w:val="20"/>
        </w:rPr>
        <w:br w:type="page"/>
      </w:r>
    </w:p>
    <w:p w14:paraId="3F72BFEC" w14:textId="158F7769" w:rsidR="00001F32" w:rsidRPr="00A87642" w:rsidRDefault="00BE5434" w:rsidP="00001F32">
      <w:pPr>
        <w:spacing w:after="160" w:line="259" w:lineRule="auto"/>
        <w:rPr>
          <w:b/>
          <w:bCs/>
        </w:rPr>
      </w:pPr>
      <w:r w:rsidRPr="21CA7F43">
        <w:rPr>
          <w:rFonts w:eastAsia="Times New Roman" w:cs="Calibri"/>
          <w:b/>
          <w:bCs/>
          <w:color w:val="000000" w:themeColor="text1"/>
          <w:sz w:val="20"/>
          <w:szCs w:val="20"/>
        </w:rPr>
        <w:lastRenderedPageBreak/>
        <w:t xml:space="preserve">Appendix </w:t>
      </w:r>
      <w:r w:rsidR="005B0374" w:rsidRPr="21CA7F43">
        <w:rPr>
          <w:rFonts w:eastAsia="Times New Roman" w:cs="Calibri"/>
          <w:b/>
          <w:bCs/>
          <w:color w:val="000000" w:themeColor="text1"/>
          <w:sz w:val="20"/>
          <w:szCs w:val="20"/>
        </w:rPr>
        <w:t>B</w:t>
      </w:r>
      <w:r w:rsidRPr="21CA7F43">
        <w:rPr>
          <w:rFonts w:eastAsia="Times New Roman" w:cs="Calibri"/>
          <w:b/>
          <w:bCs/>
          <w:color w:val="000000" w:themeColor="text1"/>
          <w:sz w:val="20"/>
          <w:szCs w:val="20"/>
        </w:rPr>
        <w:t>-4</w:t>
      </w:r>
      <w:r w:rsidR="00AC3575" w:rsidRPr="21CA7F43">
        <w:rPr>
          <w:rFonts w:eastAsia="Times New Roman" w:cs="Calibri"/>
          <w:b/>
          <w:bCs/>
          <w:color w:val="000000" w:themeColor="text1"/>
          <w:sz w:val="20"/>
          <w:szCs w:val="20"/>
        </w:rPr>
        <w:t xml:space="preserve">: </w:t>
      </w:r>
      <w:r w:rsidR="006937C4" w:rsidRPr="21CA7F43">
        <w:rPr>
          <w:rFonts w:eastAsia="Times New Roman" w:cs="Calibri"/>
          <w:b/>
          <w:bCs/>
          <w:color w:val="000000" w:themeColor="text1"/>
          <w:sz w:val="20"/>
          <w:szCs w:val="20"/>
        </w:rPr>
        <w:t xml:space="preserve">Contract Level Performance, </w:t>
      </w:r>
      <w:r w:rsidR="2C958EB3" w:rsidRPr="21CA7F43">
        <w:rPr>
          <w:rFonts w:eastAsia="Times New Roman" w:cs="Calibri"/>
          <w:b/>
          <w:bCs/>
          <w:color w:val="000000" w:themeColor="text1"/>
          <w:sz w:val="20"/>
          <w:szCs w:val="20"/>
        </w:rPr>
        <w:t>M</w:t>
      </w:r>
      <w:r w:rsidR="006937C4" w:rsidRPr="21CA7F43">
        <w:rPr>
          <w:rFonts w:eastAsia="Times New Roman" w:cs="Calibri"/>
          <w:b/>
          <w:bCs/>
          <w:color w:val="000000" w:themeColor="text1"/>
          <w:sz w:val="20"/>
          <w:szCs w:val="20"/>
        </w:rPr>
        <w:t>Y</w:t>
      </w:r>
      <w:r w:rsidR="00001F32" w:rsidRPr="21CA7F43">
        <w:rPr>
          <w:rFonts w:eastAsia="Times New Roman" w:cs="Calibri"/>
          <w:b/>
          <w:bCs/>
          <w:color w:val="000000" w:themeColor="text1"/>
          <w:sz w:val="20"/>
          <w:szCs w:val="20"/>
        </w:rPr>
        <w:t>20</w:t>
      </w:r>
      <w:r w:rsidR="009932FB">
        <w:rPr>
          <w:rFonts w:eastAsia="Times New Roman" w:cs="Calibri"/>
          <w:b/>
          <w:bCs/>
          <w:color w:val="000000" w:themeColor="text1"/>
          <w:sz w:val="20"/>
          <w:szCs w:val="20"/>
        </w:rPr>
        <w:t>21</w:t>
      </w:r>
      <w:r w:rsidR="00001F32" w:rsidRPr="21CA7F43">
        <w:rPr>
          <w:rFonts w:eastAsia="Times New Roman" w:cs="Calibri"/>
          <w:b/>
          <w:bCs/>
          <w:color w:val="000000" w:themeColor="text1"/>
          <w:sz w:val="20"/>
          <w:szCs w:val="20"/>
        </w:rPr>
        <w:t xml:space="preserve"> (One Care and SCO)</w:t>
      </w:r>
    </w:p>
    <w:p w14:paraId="117213EB" w14:textId="13172DC6" w:rsidR="00001F32" w:rsidRPr="00CE61A0" w:rsidRDefault="003020F5" w:rsidP="00C7442E">
      <w:pPr>
        <w:ind w:left="-900" w:firstLine="540"/>
        <w:rPr>
          <w:shd w:val="clear" w:color="auto" w:fill="FFFFFF"/>
        </w:rPr>
      </w:pPr>
      <w:r>
        <w:rPr>
          <w:rStyle w:val="normaltextrun"/>
          <w:shd w:val="clear" w:color="auto" w:fill="FFFFFF"/>
        </w:rPr>
        <w:t>20</w:t>
      </w:r>
      <w:r w:rsidR="00285D93">
        <w:rPr>
          <w:rStyle w:val="normaltextrun"/>
          <w:shd w:val="clear" w:color="auto" w:fill="FFFFFF"/>
        </w:rPr>
        <w:t>21</w:t>
      </w:r>
      <w:r>
        <w:rPr>
          <w:rStyle w:val="normaltextrun"/>
          <w:shd w:val="clear" w:color="auto" w:fill="FFFFFF"/>
        </w:rPr>
        <w:t xml:space="preserve"> </w:t>
      </w:r>
      <w:r w:rsidR="00C93335">
        <w:rPr>
          <w:rStyle w:val="normaltextrun"/>
          <w:shd w:val="clear" w:color="auto" w:fill="FFFFFF"/>
        </w:rPr>
        <w:t>Q</w:t>
      </w:r>
      <w:r w:rsidR="00001F32">
        <w:rPr>
          <w:rStyle w:val="normaltextrun"/>
          <w:shd w:val="clear" w:color="auto" w:fill="FFFFFF"/>
        </w:rPr>
        <w:t xml:space="preserve">uality measure performance </w:t>
      </w:r>
      <w:r w:rsidR="00C93335">
        <w:rPr>
          <w:rStyle w:val="normaltextrun"/>
          <w:shd w:val="clear" w:color="auto" w:fill="FFFFFF"/>
        </w:rPr>
        <w:t>for individual One</w:t>
      </w:r>
      <w:r w:rsidR="003270E2">
        <w:rPr>
          <w:rStyle w:val="normaltextrun"/>
          <w:shd w:val="clear" w:color="auto" w:fill="FFFFFF"/>
        </w:rPr>
        <w:t xml:space="preserve"> </w:t>
      </w:r>
      <w:r w:rsidR="00C93335">
        <w:rPr>
          <w:rStyle w:val="normaltextrun"/>
          <w:shd w:val="clear" w:color="auto" w:fill="FFFFFF"/>
        </w:rPr>
        <w:t>Care and SCO plan</w:t>
      </w:r>
      <w:r w:rsidR="00001F32">
        <w:rPr>
          <w:rStyle w:val="normaltextrun"/>
          <w:shd w:val="clear" w:color="auto" w:fill="FFFFFF"/>
        </w:rPr>
        <w:t>s</w:t>
      </w:r>
      <w:r w:rsidR="00C93335">
        <w:rPr>
          <w:rStyle w:val="normaltextrun"/>
          <w:shd w:val="clear" w:color="auto" w:fill="FFFFFF"/>
        </w:rPr>
        <w:t xml:space="preserve"> </w:t>
      </w:r>
      <w:r w:rsidR="000535DF">
        <w:rPr>
          <w:rStyle w:val="normaltextrun"/>
          <w:shd w:val="clear" w:color="auto" w:fill="FFFFFF"/>
        </w:rPr>
        <w:t>is</w:t>
      </w:r>
      <w:r w:rsidR="00001F32">
        <w:rPr>
          <w:rStyle w:val="normaltextrun"/>
          <w:shd w:val="clear" w:color="auto" w:fill="FFFFFF"/>
        </w:rPr>
        <w:t xml:space="preserve"> presented in Table</w:t>
      </w:r>
      <w:r w:rsidR="00BA1483">
        <w:rPr>
          <w:rStyle w:val="normaltextrun"/>
          <w:shd w:val="clear" w:color="auto" w:fill="FFFFFF"/>
        </w:rPr>
        <w:t>s</w:t>
      </w:r>
      <w:r w:rsidR="00001F32">
        <w:rPr>
          <w:rStyle w:val="normaltextrun"/>
          <w:shd w:val="clear" w:color="auto" w:fill="FFFFFF"/>
        </w:rPr>
        <w:t xml:space="preserve"> </w:t>
      </w:r>
      <w:r w:rsidR="005B0374">
        <w:rPr>
          <w:rStyle w:val="normaltextrun"/>
          <w:shd w:val="clear" w:color="auto" w:fill="FFFFFF"/>
        </w:rPr>
        <w:t>B</w:t>
      </w:r>
      <w:r w:rsidR="00001F32">
        <w:rPr>
          <w:rStyle w:val="normaltextrun"/>
          <w:shd w:val="clear" w:color="auto" w:fill="FFFFFF"/>
        </w:rPr>
        <w:t>-</w:t>
      </w:r>
      <w:r>
        <w:rPr>
          <w:rStyle w:val="normaltextrun"/>
          <w:shd w:val="clear" w:color="auto" w:fill="FFFFFF"/>
        </w:rPr>
        <w:t>4</w:t>
      </w:r>
      <w:r w:rsidR="000535DF">
        <w:rPr>
          <w:rStyle w:val="normaltextrun"/>
          <w:shd w:val="clear" w:color="auto" w:fill="FFFFFF"/>
        </w:rPr>
        <w:t>.1 and B-4.2 respectively</w:t>
      </w:r>
      <w:r w:rsidR="00001F32">
        <w:rPr>
          <w:rStyle w:val="normaltextrun"/>
          <w:shd w:val="clear" w:color="auto" w:fill="FFFFFF"/>
        </w:rPr>
        <w:t>.</w:t>
      </w:r>
      <w:r w:rsidR="00C7442E">
        <w:rPr>
          <w:rStyle w:val="normaltextrun"/>
          <w:shd w:val="clear" w:color="auto" w:fill="FFFFFF"/>
        </w:rPr>
        <w:t xml:space="preserve"> </w:t>
      </w:r>
    </w:p>
    <w:p w14:paraId="6072C8C7" w14:textId="77777777" w:rsidR="00001F32" w:rsidRDefault="00001F32">
      <w:pPr>
        <w:pStyle w:val="ListParagraph"/>
        <w:numPr>
          <w:ilvl w:val="0"/>
          <w:numId w:val="3"/>
        </w:numPr>
        <w:ind w:left="-360" w:firstLine="0"/>
        <w:rPr>
          <w:b/>
          <w:bCs/>
        </w:rPr>
      </w:pPr>
      <w:r w:rsidRPr="00137463">
        <w:rPr>
          <w:b/>
          <w:bCs/>
        </w:rPr>
        <w:t xml:space="preserve">“--” indicates that the measure </w:t>
      </w:r>
      <w:r>
        <w:rPr>
          <w:b/>
          <w:bCs/>
        </w:rPr>
        <w:t>or target was</w:t>
      </w:r>
      <w:r w:rsidRPr="00137463">
        <w:rPr>
          <w:b/>
          <w:bCs/>
        </w:rPr>
        <w:t xml:space="preserve"> not</w:t>
      </w:r>
      <w:r>
        <w:rPr>
          <w:b/>
          <w:bCs/>
        </w:rPr>
        <w:t xml:space="preserve"> available, not</w:t>
      </w:r>
      <w:r w:rsidRPr="00137463">
        <w:rPr>
          <w:b/>
          <w:bCs/>
        </w:rPr>
        <w:t xml:space="preserve"> required, not collected, or not calculated</w:t>
      </w:r>
      <w:r>
        <w:rPr>
          <w:b/>
          <w:bCs/>
        </w:rPr>
        <w:t>.</w:t>
      </w:r>
    </w:p>
    <w:p w14:paraId="4002D5CB" w14:textId="06D04B09" w:rsidR="00001F32" w:rsidRDefault="00001F32" w:rsidP="0070664D">
      <w:pPr>
        <w:pStyle w:val="ListParagraph"/>
        <w:numPr>
          <w:ilvl w:val="0"/>
          <w:numId w:val="3"/>
        </w:numPr>
        <w:ind w:left="-360" w:firstLine="0"/>
        <w:contextualSpacing w:val="0"/>
        <w:rPr>
          <w:b/>
          <w:bCs/>
        </w:rPr>
      </w:pPr>
      <w:r>
        <w:rPr>
          <w:b/>
          <w:bCs/>
        </w:rPr>
        <w:t>“NA” indicates that the rate was not included due to small denominator (n &lt;30).</w:t>
      </w:r>
    </w:p>
    <w:p w14:paraId="5217A183" w14:textId="7F8D03C7" w:rsidR="000F5303" w:rsidRPr="00DD20DE" w:rsidRDefault="00B83888" w:rsidP="00787467">
      <w:pPr>
        <w:pStyle w:val="ListParagraph"/>
        <w:spacing w:before="240"/>
        <w:ind w:left="-360"/>
        <w:rPr>
          <w:b/>
          <w:bCs/>
          <w:sz w:val="20"/>
          <w:szCs w:val="20"/>
        </w:rPr>
      </w:pPr>
      <w:r w:rsidRPr="00DD20DE">
        <w:rPr>
          <w:b/>
          <w:bCs/>
          <w:sz w:val="20"/>
          <w:szCs w:val="20"/>
        </w:rPr>
        <w:t>Chart B-4.1: One Care Contract Level Performance</w:t>
      </w:r>
      <w:r w:rsidR="00787467" w:rsidRPr="00DD20DE">
        <w:rPr>
          <w:b/>
          <w:bCs/>
          <w:sz w:val="20"/>
          <w:szCs w:val="20"/>
        </w:rPr>
        <w:t>, MY2021</w:t>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6475"/>
        <w:gridCol w:w="900"/>
        <w:gridCol w:w="900"/>
        <w:gridCol w:w="900"/>
      </w:tblGrid>
      <w:tr w:rsidR="00435DE6" w:rsidRPr="0049778F" w14:paraId="065A1BF1" w14:textId="77777777" w:rsidTr="00F6706B">
        <w:trPr>
          <w:trHeight w:val="740"/>
          <w:tblHeader/>
        </w:trPr>
        <w:tc>
          <w:tcPr>
            <w:tcW w:w="1440" w:type="dxa"/>
            <w:shd w:val="clear" w:color="auto" w:fill="auto"/>
            <w:noWrap/>
            <w:vAlign w:val="center"/>
            <w:hideMark/>
          </w:tcPr>
          <w:p w14:paraId="45FD6F90" w14:textId="77777777" w:rsidR="00435DE6" w:rsidRPr="001F6736" w:rsidRDefault="00435DE6" w:rsidP="00E17BEC">
            <w:pPr>
              <w:spacing w:after="0" w:line="276" w:lineRule="auto"/>
              <w:jc w:val="center"/>
              <w:rPr>
                <w:rFonts w:asciiTheme="minorHAnsi" w:eastAsia="Times New Roman" w:hAnsiTheme="minorHAnsi" w:cstheme="minorHAnsi"/>
                <w:b/>
                <w:color w:val="000000"/>
                <w:sz w:val="20"/>
                <w:szCs w:val="20"/>
              </w:rPr>
            </w:pPr>
            <w:bookmarkStart w:id="23" w:name="_Hlk187763071"/>
            <w:r w:rsidRPr="001F6736">
              <w:rPr>
                <w:rFonts w:asciiTheme="minorHAnsi" w:eastAsia="Times New Roman" w:hAnsiTheme="minorHAnsi" w:cstheme="minorHAnsi"/>
                <w:b/>
                <w:color w:val="000000"/>
                <w:sz w:val="20"/>
                <w:szCs w:val="20"/>
              </w:rPr>
              <w:t>Ref</w:t>
            </w:r>
          </w:p>
        </w:tc>
        <w:tc>
          <w:tcPr>
            <w:tcW w:w="6475" w:type="dxa"/>
            <w:shd w:val="clear" w:color="auto" w:fill="auto"/>
            <w:noWrap/>
            <w:vAlign w:val="center"/>
            <w:hideMark/>
          </w:tcPr>
          <w:p w14:paraId="26ADC460" w14:textId="064085F5" w:rsidR="00435DE6" w:rsidRPr="001F6736" w:rsidRDefault="00435DE6" w:rsidP="00E17BEC">
            <w:pPr>
              <w:spacing w:after="0" w:line="276" w:lineRule="auto"/>
              <w:jc w:val="center"/>
              <w:rPr>
                <w:rFonts w:asciiTheme="minorHAnsi" w:eastAsia="Times New Roman" w:hAnsiTheme="minorHAnsi" w:cstheme="minorHAnsi"/>
                <w:b/>
                <w:color w:val="000000"/>
                <w:sz w:val="20"/>
                <w:szCs w:val="20"/>
              </w:rPr>
            </w:pPr>
            <w:r w:rsidRPr="001F6736">
              <w:rPr>
                <w:rFonts w:asciiTheme="minorHAnsi" w:eastAsia="Times New Roman" w:hAnsiTheme="minorHAnsi" w:cstheme="minorHAnsi"/>
                <w:b/>
                <w:color w:val="000000"/>
                <w:sz w:val="20"/>
                <w:szCs w:val="20"/>
              </w:rPr>
              <w:t>2021 Measure</w:t>
            </w:r>
          </w:p>
        </w:tc>
        <w:tc>
          <w:tcPr>
            <w:tcW w:w="900" w:type="dxa"/>
            <w:shd w:val="clear" w:color="auto" w:fill="8EAADB" w:themeFill="accent1" w:themeFillTint="99"/>
            <w:vAlign w:val="center"/>
            <w:hideMark/>
          </w:tcPr>
          <w:p w14:paraId="73536147" w14:textId="1F080476" w:rsidR="00435DE6" w:rsidRPr="0039776A" w:rsidRDefault="00435DE6" w:rsidP="00E17BEC">
            <w:pPr>
              <w:spacing w:after="0" w:line="276" w:lineRule="auto"/>
              <w:jc w:val="center"/>
              <w:rPr>
                <w:rFonts w:asciiTheme="minorHAnsi" w:eastAsia="Times New Roman" w:hAnsiTheme="minorHAnsi" w:cstheme="minorHAnsi"/>
                <w:b/>
                <w:bCs/>
                <w:sz w:val="18"/>
                <w:szCs w:val="18"/>
              </w:rPr>
            </w:pPr>
            <w:r w:rsidRPr="0039776A">
              <w:rPr>
                <w:rFonts w:asciiTheme="minorHAnsi" w:eastAsia="Times New Roman" w:hAnsiTheme="minorHAnsi" w:cstheme="minorHAnsi"/>
                <w:b/>
                <w:bCs/>
                <w:sz w:val="18"/>
                <w:szCs w:val="18"/>
              </w:rPr>
              <w:t>Total OneCare</w:t>
            </w:r>
          </w:p>
        </w:tc>
        <w:tc>
          <w:tcPr>
            <w:tcW w:w="900" w:type="dxa"/>
            <w:shd w:val="clear" w:color="auto" w:fill="8EAADB" w:themeFill="accent1" w:themeFillTint="99"/>
            <w:noWrap/>
            <w:vAlign w:val="center"/>
            <w:hideMark/>
          </w:tcPr>
          <w:p w14:paraId="3BACA29E" w14:textId="77777777" w:rsidR="00435DE6" w:rsidRPr="0039776A" w:rsidRDefault="00435DE6" w:rsidP="00E17BEC">
            <w:pPr>
              <w:spacing w:after="0" w:line="276" w:lineRule="auto"/>
              <w:jc w:val="center"/>
              <w:rPr>
                <w:rFonts w:asciiTheme="minorHAnsi" w:eastAsia="Times New Roman" w:hAnsiTheme="minorHAnsi" w:cstheme="minorHAnsi"/>
                <w:b/>
                <w:bCs/>
                <w:sz w:val="18"/>
                <w:szCs w:val="18"/>
              </w:rPr>
            </w:pPr>
            <w:r w:rsidRPr="0039776A">
              <w:rPr>
                <w:rFonts w:asciiTheme="minorHAnsi" w:eastAsia="Times New Roman" w:hAnsiTheme="minorHAnsi" w:cstheme="minorHAnsi"/>
                <w:b/>
                <w:bCs/>
                <w:sz w:val="18"/>
                <w:szCs w:val="18"/>
              </w:rPr>
              <w:t>CCA</w:t>
            </w:r>
          </w:p>
          <w:p w14:paraId="60C7C8CB" w14:textId="68E74C7B" w:rsidR="00435DE6" w:rsidRPr="0039776A" w:rsidRDefault="00435DE6" w:rsidP="00E17BEC">
            <w:pPr>
              <w:spacing w:after="0" w:line="276" w:lineRule="auto"/>
              <w:jc w:val="center"/>
              <w:rPr>
                <w:rFonts w:asciiTheme="minorHAnsi" w:eastAsia="Times New Roman" w:hAnsiTheme="minorHAnsi" w:cstheme="minorHAnsi"/>
                <w:b/>
                <w:bCs/>
                <w:sz w:val="18"/>
                <w:szCs w:val="18"/>
              </w:rPr>
            </w:pPr>
            <w:r w:rsidRPr="0039776A">
              <w:rPr>
                <w:rFonts w:asciiTheme="minorHAnsi" w:eastAsia="Times New Roman" w:hAnsiTheme="minorHAnsi" w:cstheme="minorHAnsi"/>
                <w:b/>
                <w:bCs/>
                <w:sz w:val="18"/>
                <w:szCs w:val="18"/>
              </w:rPr>
              <w:t>OneCare</w:t>
            </w:r>
          </w:p>
        </w:tc>
        <w:tc>
          <w:tcPr>
            <w:tcW w:w="900" w:type="dxa"/>
            <w:shd w:val="clear" w:color="auto" w:fill="8EAADB" w:themeFill="accent1" w:themeFillTint="99"/>
            <w:noWrap/>
            <w:vAlign w:val="center"/>
            <w:hideMark/>
          </w:tcPr>
          <w:p w14:paraId="719C5B0D" w14:textId="24D10AC9" w:rsidR="00435DE6" w:rsidRPr="0039776A" w:rsidRDefault="00435DE6" w:rsidP="00E17BEC">
            <w:pPr>
              <w:spacing w:after="0" w:line="276" w:lineRule="auto"/>
              <w:jc w:val="center"/>
              <w:rPr>
                <w:rFonts w:asciiTheme="minorHAnsi" w:eastAsia="Times New Roman" w:hAnsiTheme="minorHAnsi" w:cstheme="minorHAnsi"/>
                <w:b/>
                <w:bCs/>
                <w:sz w:val="18"/>
                <w:szCs w:val="18"/>
              </w:rPr>
            </w:pPr>
            <w:r w:rsidRPr="0039776A">
              <w:rPr>
                <w:rFonts w:asciiTheme="minorHAnsi" w:eastAsia="Times New Roman" w:hAnsiTheme="minorHAnsi" w:cstheme="minorHAnsi"/>
                <w:b/>
                <w:bCs/>
                <w:sz w:val="18"/>
                <w:szCs w:val="18"/>
              </w:rPr>
              <w:t>THP</w:t>
            </w:r>
          </w:p>
          <w:p w14:paraId="6B6EF214" w14:textId="165E01A1" w:rsidR="00435DE6" w:rsidRPr="0039776A" w:rsidRDefault="00435DE6" w:rsidP="00E17BEC">
            <w:pPr>
              <w:spacing w:after="0" w:line="276" w:lineRule="auto"/>
              <w:jc w:val="center"/>
              <w:rPr>
                <w:rFonts w:asciiTheme="minorHAnsi" w:eastAsia="Times New Roman" w:hAnsiTheme="minorHAnsi" w:cstheme="minorHAnsi"/>
                <w:b/>
                <w:bCs/>
                <w:sz w:val="18"/>
                <w:szCs w:val="18"/>
              </w:rPr>
            </w:pPr>
            <w:r w:rsidRPr="0039776A">
              <w:rPr>
                <w:rFonts w:asciiTheme="minorHAnsi" w:eastAsia="Times New Roman" w:hAnsiTheme="minorHAnsi" w:cstheme="minorHAnsi"/>
                <w:b/>
                <w:bCs/>
                <w:sz w:val="18"/>
                <w:szCs w:val="18"/>
              </w:rPr>
              <w:t>OneCare</w:t>
            </w:r>
          </w:p>
        </w:tc>
      </w:tr>
      <w:tr w:rsidR="00435DE6" w:rsidRPr="0049778F" w14:paraId="5286FBF0" w14:textId="77777777" w:rsidTr="00AA5271">
        <w:trPr>
          <w:trHeight w:val="302"/>
        </w:trPr>
        <w:tc>
          <w:tcPr>
            <w:tcW w:w="144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Pr>
          <w:p w14:paraId="49EEAD4A" w14:textId="58EC92A6" w:rsidR="00435DE6" w:rsidRPr="001F6736" w:rsidRDefault="000E36C5" w:rsidP="00E17BEC">
            <w:pPr>
              <w:spacing w:after="0" w:line="276" w:lineRule="auto"/>
              <w:jc w:val="center"/>
              <w:rPr>
                <w:rFonts w:asciiTheme="minorHAnsi" w:eastAsia="Times New Roman" w:hAnsiTheme="minorHAnsi" w:cstheme="minorHAnsi"/>
                <w:color w:val="000000"/>
                <w:sz w:val="20"/>
                <w:szCs w:val="20"/>
              </w:rPr>
            </w:pPr>
            <w:r w:rsidRPr="001F6736">
              <w:rPr>
                <w:rStyle w:val="normaltextrun"/>
                <w:rFonts w:cs="Calibri"/>
                <w:sz w:val="20"/>
                <w:szCs w:val="20"/>
              </w:rPr>
              <w:t>FVA</w:t>
            </w:r>
          </w:p>
        </w:tc>
        <w:tc>
          <w:tcPr>
            <w:tcW w:w="64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47AC752" w14:textId="204E3341" w:rsidR="00435DE6" w:rsidRPr="001F6736" w:rsidRDefault="000E36C5" w:rsidP="00E17BEC">
            <w:pPr>
              <w:spacing w:after="0" w:line="276" w:lineRule="auto"/>
              <w:rPr>
                <w:rFonts w:asciiTheme="minorHAnsi" w:eastAsia="Times New Roman" w:hAnsiTheme="minorHAnsi" w:cstheme="minorHAnsi"/>
                <w:sz w:val="20"/>
                <w:szCs w:val="20"/>
              </w:rPr>
            </w:pPr>
            <w:r w:rsidRPr="001F6736">
              <w:rPr>
                <w:rStyle w:val="normaltextrun"/>
                <w:rFonts w:cs="Calibri"/>
                <w:sz w:val="20"/>
                <w:szCs w:val="20"/>
              </w:rPr>
              <w:t>Annual Flu Vaccine</w:t>
            </w:r>
          </w:p>
        </w:tc>
        <w:tc>
          <w:tcPr>
            <w:tcW w:w="900" w:type="dxa"/>
            <w:shd w:val="clear" w:color="auto" w:fill="F2F2F2" w:themeFill="background1" w:themeFillShade="F2"/>
            <w:vAlign w:val="center"/>
          </w:tcPr>
          <w:p w14:paraId="553D9404" w14:textId="00A8AEA8" w:rsidR="00435DE6" w:rsidRPr="0039776A" w:rsidRDefault="00EE3227" w:rsidP="00E17BEC">
            <w:pPr>
              <w:spacing w:after="0" w:line="276" w:lineRule="auto"/>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73.0%</w:t>
            </w:r>
          </w:p>
        </w:tc>
        <w:tc>
          <w:tcPr>
            <w:tcW w:w="900" w:type="dxa"/>
            <w:shd w:val="clear" w:color="auto" w:fill="F2F2F2" w:themeFill="background1" w:themeFillShade="F2"/>
            <w:noWrap/>
            <w:vAlign w:val="center"/>
          </w:tcPr>
          <w:p w14:paraId="366447A1" w14:textId="4C31A49C" w:rsidR="00435DE6" w:rsidRPr="0039776A" w:rsidRDefault="00E24318" w:rsidP="00E17BEC">
            <w:pPr>
              <w:spacing w:after="0" w:line="276" w:lineRule="auto"/>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71.7%</w:t>
            </w:r>
          </w:p>
        </w:tc>
        <w:tc>
          <w:tcPr>
            <w:tcW w:w="900" w:type="dxa"/>
            <w:shd w:val="clear" w:color="auto" w:fill="F2F2F2" w:themeFill="background1" w:themeFillShade="F2"/>
            <w:noWrap/>
            <w:vAlign w:val="center"/>
          </w:tcPr>
          <w:p w14:paraId="401CADBA" w14:textId="2E0D8191" w:rsidR="00435DE6" w:rsidRPr="0039776A" w:rsidRDefault="005D0DE8" w:rsidP="00E17BEC">
            <w:pPr>
              <w:spacing w:after="0" w:line="276" w:lineRule="auto"/>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69.1%</w:t>
            </w:r>
          </w:p>
        </w:tc>
      </w:tr>
      <w:tr w:rsidR="00435DE6" w:rsidRPr="0049778F" w14:paraId="0F3F47F7" w14:textId="77777777" w:rsidTr="00F6706B">
        <w:trPr>
          <w:trHeight w:val="302"/>
        </w:trPr>
        <w:tc>
          <w:tcPr>
            <w:tcW w:w="1440" w:type="dxa"/>
            <w:tcBorders>
              <w:top w:val="single" w:sz="6" w:space="0" w:color="auto"/>
              <w:left w:val="single" w:sz="6" w:space="0" w:color="auto"/>
              <w:bottom w:val="single" w:sz="6" w:space="0" w:color="auto"/>
              <w:right w:val="single" w:sz="6" w:space="0" w:color="auto"/>
            </w:tcBorders>
            <w:shd w:val="clear" w:color="auto" w:fill="FFFFFF"/>
            <w:noWrap/>
          </w:tcPr>
          <w:p w14:paraId="1F7BF4F0" w14:textId="428FF449" w:rsidR="00435DE6" w:rsidRPr="001F6736" w:rsidRDefault="00CA2597" w:rsidP="00E17BEC">
            <w:pPr>
              <w:spacing w:after="0" w:line="276" w:lineRule="auto"/>
              <w:jc w:val="center"/>
              <w:rPr>
                <w:rFonts w:asciiTheme="minorHAnsi" w:eastAsia="Times New Roman" w:hAnsiTheme="minorHAnsi" w:cstheme="minorHAnsi"/>
                <w:color w:val="000000"/>
                <w:sz w:val="20"/>
                <w:szCs w:val="20"/>
              </w:rPr>
            </w:pPr>
            <w:r w:rsidRPr="001F6736">
              <w:rPr>
                <w:rStyle w:val="normaltextrun"/>
                <w:rFonts w:cs="Calibri"/>
                <w:sz w:val="20"/>
                <w:szCs w:val="20"/>
              </w:rPr>
              <w:t>CBP</w:t>
            </w:r>
          </w:p>
        </w:tc>
        <w:tc>
          <w:tcPr>
            <w:tcW w:w="6475" w:type="dxa"/>
            <w:tcBorders>
              <w:top w:val="single" w:sz="6" w:space="0" w:color="auto"/>
              <w:left w:val="single" w:sz="6" w:space="0" w:color="auto"/>
              <w:bottom w:val="single" w:sz="6" w:space="0" w:color="auto"/>
              <w:right w:val="single" w:sz="6" w:space="0" w:color="auto"/>
            </w:tcBorders>
            <w:shd w:val="clear" w:color="auto" w:fill="FFFFFF"/>
          </w:tcPr>
          <w:p w14:paraId="7170715A" w14:textId="33F63D41" w:rsidR="00435DE6" w:rsidRPr="001F6736" w:rsidRDefault="00CA2597" w:rsidP="00E17BEC">
            <w:pPr>
              <w:spacing w:after="0" w:line="276" w:lineRule="auto"/>
              <w:rPr>
                <w:rFonts w:asciiTheme="minorHAnsi" w:eastAsia="Times New Roman" w:hAnsiTheme="minorHAnsi" w:cstheme="minorHAnsi"/>
                <w:sz w:val="20"/>
                <w:szCs w:val="20"/>
              </w:rPr>
            </w:pPr>
            <w:r w:rsidRPr="001F6736">
              <w:rPr>
                <w:rStyle w:val="normaltextrun"/>
                <w:rFonts w:cs="Calibri"/>
                <w:sz w:val="20"/>
                <w:szCs w:val="20"/>
              </w:rPr>
              <w:t>Controlling High Blood Pressure  </w:t>
            </w:r>
            <w:r w:rsidRPr="001F6736">
              <w:rPr>
                <w:rStyle w:val="eop"/>
                <w:rFonts w:cs="Calibri"/>
                <w:sz w:val="20"/>
                <w:szCs w:val="20"/>
              </w:rPr>
              <w:t> </w:t>
            </w:r>
          </w:p>
        </w:tc>
        <w:tc>
          <w:tcPr>
            <w:tcW w:w="900" w:type="dxa"/>
            <w:shd w:val="clear" w:color="auto" w:fill="auto"/>
            <w:noWrap/>
            <w:vAlign w:val="center"/>
          </w:tcPr>
          <w:p w14:paraId="01B9858E" w14:textId="4346B92C" w:rsidR="00435DE6" w:rsidRPr="0039776A" w:rsidRDefault="00CE56AD" w:rsidP="00E17BEC">
            <w:pPr>
              <w:spacing w:after="0" w:line="276" w:lineRule="auto"/>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56.7%</w:t>
            </w:r>
          </w:p>
        </w:tc>
        <w:tc>
          <w:tcPr>
            <w:tcW w:w="900" w:type="dxa"/>
            <w:shd w:val="clear" w:color="auto" w:fill="auto"/>
            <w:noWrap/>
            <w:vAlign w:val="center"/>
          </w:tcPr>
          <w:p w14:paraId="454555CD" w14:textId="53A78EB3" w:rsidR="00435DE6" w:rsidRPr="0039776A" w:rsidRDefault="00F45ADD" w:rsidP="00E17BEC">
            <w:pPr>
              <w:spacing w:after="0" w:line="276" w:lineRule="auto"/>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67.1%</w:t>
            </w:r>
          </w:p>
        </w:tc>
        <w:tc>
          <w:tcPr>
            <w:tcW w:w="900" w:type="dxa"/>
            <w:shd w:val="clear" w:color="auto" w:fill="auto"/>
            <w:noWrap/>
            <w:vAlign w:val="center"/>
          </w:tcPr>
          <w:p w14:paraId="0FF982AD" w14:textId="47B2639A" w:rsidR="00435DE6" w:rsidRPr="0039776A" w:rsidRDefault="00D6086F" w:rsidP="00E17BEC">
            <w:pPr>
              <w:spacing w:after="0" w:line="276" w:lineRule="auto"/>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57.2%</w:t>
            </w:r>
          </w:p>
        </w:tc>
      </w:tr>
      <w:tr w:rsidR="00435DE6" w:rsidRPr="0049778F" w14:paraId="3A1BB6C7" w14:textId="77777777" w:rsidTr="00D5151E">
        <w:trPr>
          <w:trHeight w:val="302"/>
        </w:trPr>
        <w:tc>
          <w:tcPr>
            <w:tcW w:w="144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Pr>
          <w:p w14:paraId="09B87732" w14:textId="3DEB49D3" w:rsidR="00435DE6" w:rsidRPr="001F6736" w:rsidRDefault="00CA2597" w:rsidP="00E17BEC">
            <w:pPr>
              <w:spacing w:after="0" w:line="276" w:lineRule="auto"/>
              <w:jc w:val="center"/>
              <w:rPr>
                <w:rFonts w:asciiTheme="minorHAnsi" w:eastAsia="Times New Roman" w:hAnsiTheme="minorHAnsi" w:cstheme="minorHAnsi"/>
                <w:color w:val="000000"/>
                <w:sz w:val="20"/>
                <w:szCs w:val="20"/>
              </w:rPr>
            </w:pPr>
            <w:r w:rsidRPr="001F6736">
              <w:rPr>
                <w:rStyle w:val="normaltextrun"/>
                <w:rFonts w:cs="Calibri"/>
                <w:sz w:val="20"/>
                <w:szCs w:val="20"/>
              </w:rPr>
              <w:t>CDC</w:t>
            </w:r>
          </w:p>
        </w:tc>
        <w:tc>
          <w:tcPr>
            <w:tcW w:w="64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4C16FF1" w14:textId="1CAF051C" w:rsidR="00435DE6" w:rsidRPr="001F6736" w:rsidRDefault="00CA2597" w:rsidP="00E17BEC">
            <w:pPr>
              <w:spacing w:after="0" w:line="276" w:lineRule="auto"/>
              <w:rPr>
                <w:rFonts w:asciiTheme="minorHAnsi" w:eastAsia="Times New Roman" w:hAnsiTheme="minorHAnsi" w:cstheme="minorHAnsi"/>
                <w:sz w:val="20"/>
                <w:szCs w:val="20"/>
              </w:rPr>
            </w:pPr>
            <w:r w:rsidRPr="001F6736">
              <w:rPr>
                <w:rStyle w:val="normaltextrun"/>
                <w:rFonts w:cs="Calibri"/>
                <w:sz w:val="20"/>
                <w:szCs w:val="20"/>
              </w:rPr>
              <w:t xml:space="preserve">Comprehensive Diabetes Care: </w:t>
            </w:r>
            <w:r w:rsidR="0008312B" w:rsidRPr="001F6736">
              <w:rPr>
                <w:rStyle w:val="normaltextrun"/>
                <w:rFonts w:cs="Calibri"/>
                <w:sz w:val="20"/>
                <w:szCs w:val="20"/>
              </w:rPr>
              <w:t>Blood Sugar Controlled</w:t>
            </w:r>
            <w:r w:rsidRPr="001F6736">
              <w:rPr>
                <w:rStyle w:val="eop"/>
                <w:rFonts w:cs="Calibri"/>
                <w:sz w:val="20"/>
                <w:szCs w:val="20"/>
              </w:rPr>
              <w:t> </w:t>
            </w:r>
          </w:p>
        </w:tc>
        <w:tc>
          <w:tcPr>
            <w:tcW w:w="900" w:type="dxa"/>
            <w:shd w:val="clear" w:color="auto" w:fill="F2F2F2" w:themeFill="background1" w:themeFillShade="F2"/>
            <w:vAlign w:val="center"/>
          </w:tcPr>
          <w:p w14:paraId="0BF01B90" w14:textId="2A7F085C" w:rsidR="00435DE6" w:rsidRPr="0039776A" w:rsidRDefault="00D5151E" w:rsidP="00E17BEC">
            <w:pPr>
              <w:spacing w:after="0" w:line="276" w:lineRule="auto"/>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54.</w:t>
            </w:r>
            <w:r w:rsidR="005B4F1D">
              <w:rPr>
                <w:rFonts w:asciiTheme="minorHAnsi" w:eastAsia="Times New Roman" w:hAnsiTheme="minorHAnsi" w:cstheme="minorHAnsi"/>
                <w:color w:val="000000"/>
                <w:sz w:val="18"/>
                <w:szCs w:val="18"/>
              </w:rPr>
              <w:t>7%</w:t>
            </w:r>
          </w:p>
        </w:tc>
        <w:tc>
          <w:tcPr>
            <w:tcW w:w="900" w:type="dxa"/>
            <w:shd w:val="clear" w:color="auto" w:fill="F2F2F2" w:themeFill="background1" w:themeFillShade="F2"/>
            <w:noWrap/>
            <w:vAlign w:val="center"/>
          </w:tcPr>
          <w:p w14:paraId="155E20D5" w14:textId="327B2CA7" w:rsidR="00435DE6" w:rsidRPr="0039776A" w:rsidRDefault="006016D0" w:rsidP="00E17BEC">
            <w:pPr>
              <w:spacing w:after="0" w:line="276" w:lineRule="auto"/>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54.5%</w:t>
            </w:r>
          </w:p>
        </w:tc>
        <w:tc>
          <w:tcPr>
            <w:tcW w:w="900" w:type="dxa"/>
            <w:shd w:val="clear" w:color="auto" w:fill="F2F2F2" w:themeFill="background1" w:themeFillShade="F2"/>
            <w:noWrap/>
            <w:vAlign w:val="center"/>
          </w:tcPr>
          <w:p w14:paraId="571E43B9" w14:textId="615BEDAD" w:rsidR="00435DE6" w:rsidRPr="0039776A" w:rsidRDefault="002F6202" w:rsidP="00E17BEC">
            <w:pPr>
              <w:spacing w:after="0" w:line="276" w:lineRule="auto"/>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56.9%</w:t>
            </w:r>
          </w:p>
        </w:tc>
      </w:tr>
      <w:tr w:rsidR="00435DE6" w:rsidRPr="0049778F" w14:paraId="1DBB5989" w14:textId="77777777" w:rsidTr="00F6706B">
        <w:trPr>
          <w:trHeight w:val="302"/>
        </w:trPr>
        <w:tc>
          <w:tcPr>
            <w:tcW w:w="1440" w:type="dxa"/>
            <w:tcBorders>
              <w:top w:val="single" w:sz="6" w:space="0" w:color="auto"/>
              <w:left w:val="single" w:sz="6" w:space="0" w:color="auto"/>
              <w:bottom w:val="single" w:sz="6" w:space="0" w:color="auto"/>
              <w:right w:val="single" w:sz="6" w:space="0" w:color="auto"/>
            </w:tcBorders>
            <w:shd w:val="clear" w:color="auto" w:fill="FFFFFF"/>
            <w:noWrap/>
          </w:tcPr>
          <w:p w14:paraId="543FB29B" w14:textId="067BFD92" w:rsidR="00435DE6" w:rsidRPr="001F6736" w:rsidRDefault="00CA2597" w:rsidP="00E17BEC">
            <w:pPr>
              <w:spacing w:after="0" w:line="276" w:lineRule="auto"/>
              <w:jc w:val="center"/>
              <w:rPr>
                <w:rFonts w:asciiTheme="minorHAnsi" w:eastAsia="Times New Roman" w:hAnsiTheme="minorHAnsi" w:cstheme="minorHAnsi"/>
                <w:color w:val="000000"/>
                <w:sz w:val="20"/>
                <w:szCs w:val="20"/>
              </w:rPr>
            </w:pPr>
            <w:r w:rsidRPr="001F6736">
              <w:rPr>
                <w:rStyle w:val="normaltextrun"/>
                <w:rFonts w:cs="Calibri"/>
                <w:sz w:val="20"/>
                <w:szCs w:val="20"/>
              </w:rPr>
              <w:t>MA 1.3</w:t>
            </w:r>
          </w:p>
        </w:tc>
        <w:tc>
          <w:tcPr>
            <w:tcW w:w="6475" w:type="dxa"/>
            <w:tcBorders>
              <w:top w:val="single" w:sz="6" w:space="0" w:color="auto"/>
              <w:left w:val="single" w:sz="6" w:space="0" w:color="auto"/>
              <w:bottom w:val="single" w:sz="6" w:space="0" w:color="auto"/>
              <w:right w:val="single" w:sz="6" w:space="0" w:color="auto"/>
            </w:tcBorders>
            <w:shd w:val="clear" w:color="auto" w:fill="FFFFFF"/>
          </w:tcPr>
          <w:p w14:paraId="2AB3B4A2" w14:textId="1DF08180" w:rsidR="00435DE6" w:rsidRPr="001F6736" w:rsidRDefault="00CA2597" w:rsidP="00E17BEC">
            <w:pPr>
              <w:spacing w:after="0" w:line="276" w:lineRule="auto"/>
              <w:rPr>
                <w:rFonts w:asciiTheme="minorHAnsi" w:eastAsia="Times New Roman" w:hAnsiTheme="minorHAnsi" w:cstheme="minorHAnsi"/>
                <w:sz w:val="20"/>
                <w:szCs w:val="20"/>
              </w:rPr>
            </w:pPr>
            <w:r w:rsidRPr="001F6736">
              <w:rPr>
                <w:rStyle w:val="normaltextrun"/>
                <w:rFonts w:cs="Calibri"/>
                <w:sz w:val="20"/>
                <w:szCs w:val="20"/>
              </w:rPr>
              <w:t>Access to LTS Coordinator - Percent of members with LTSS needs who have a referral to an LTS Coordinator within 90 days of enrollment</w:t>
            </w:r>
            <w:r w:rsidRPr="001F6736">
              <w:rPr>
                <w:rStyle w:val="eop"/>
                <w:rFonts w:cs="Calibri"/>
                <w:sz w:val="20"/>
                <w:szCs w:val="20"/>
              </w:rPr>
              <w:t> </w:t>
            </w:r>
          </w:p>
        </w:tc>
        <w:tc>
          <w:tcPr>
            <w:tcW w:w="900" w:type="dxa"/>
            <w:shd w:val="clear" w:color="auto" w:fill="auto"/>
            <w:vAlign w:val="center"/>
          </w:tcPr>
          <w:p w14:paraId="4B2579E7" w14:textId="4B21EA30" w:rsidR="00435DE6" w:rsidRPr="0039776A" w:rsidRDefault="00B34D1B" w:rsidP="00E17BEC">
            <w:pPr>
              <w:spacing w:after="0" w:line="276" w:lineRule="auto"/>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98</w:t>
            </w:r>
            <w:r w:rsidR="00EB7EEA">
              <w:rPr>
                <w:rFonts w:asciiTheme="minorHAnsi" w:eastAsia="Times New Roman" w:hAnsiTheme="minorHAnsi" w:cstheme="minorHAnsi"/>
                <w:color w:val="000000"/>
                <w:sz w:val="18"/>
                <w:szCs w:val="18"/>
              </w:rPr>
              <w:t>.</w:t>
            </w:r>
            <w:r w:rsidR="00613FBA">
              <w:rPr>
                <w:rFonts w:asciiTheme="minorHAnsi" w:eastAsia="Times New Roman" w:hAnsiTheme="minorHAnsi" w:cstheme="minorHAnsi"/>
                <w:color w:val="000000"/>
                <w:sz w:val="18"/>
                <w:szCs w:val="18"/>
              </w:rPr>
              <w:t>2%</w:t>
            </w:r>
          </w:p>
        </w:tc>
        <w:tc>
          <w:tcPr>
            <w:tcW w:w="900" w:type="dxa"/>
            <w:shd w:val="clear" w:color="auto" w:fill="auto"/>
            <w:noWrap/>
            <w:vAlign w:val="center"/>
          </w:tcPr>
          <w:p w14:paraId="77C25E98" w14:textId="4A07C327" w:rsidR="00435DE6" w:rsidRPr="0039776A" w:rsidRDefault="005540B5" w:rsidP="00E17BEC">
            <w:pPr>
              <w:spacing w:after="0" w:line="276" w:lineRule="auto"/>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98.0%</w:t>
            </w:r>
          </w:p>
        </w:tc>
        <w:tc>
          <w:tcPr>
            <w:tcW w:w="900" w:type="dxa"/>
            <w:shd w:val="clear" w:color="auto" w:fill="auto"/>
            <w:noWrap/>
            <w:vAlign w:val="center"/>
          </w:tcPr>
          <w:p w14:paraId="76B3D897" w14:textId="5043EA2A" w:rsidR="00435DE6" w:rsidRPr="0039776A" w:rsidRDefault="00186BC7" w:rsidP="00E17BEC">
            <w:pPr>
              <w:spacing w:after="0" w:line="276" w:lineRule="auto"/>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100.0%</w:t>
            </w:r>
          </w:p>
        </w:tc>
      </w:tr>
      <w:tr w:rsidR="00435DE6" w:rsidRPr="0049778F" w14:paraId="7FBC794A" w14:textId="77777777" w:rsidTr="00B83C9B">
        <w:trPr>
          <w:trHeight w:val="302"/>
        </w:trPr>
        <w:tc>
          <w:tcPr>
            <w:tcW w:w="144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Pr>
          <w:p w14:paraId="3766A91F" w14:textId="5DBB7C51" w:rsidR="00435DE6" w:rsidRPr="001F6736" w:rsidRDefault="00CA2597" w:rsidP="00E17BEC">
            <w:pPr>
              <w:spacing w:after="0" w:line="276" w:lineRule="auto"/>
              <w:jc w:val="center"/>
              <w:rPr>
                <w:rFonts w:asciiTheme="minorHAnsi" w:eastAsia="Times New Roman" w:hAnsiTheme="minorHAnsi" w:cstheme="minorHAnsi"/>
                <w:color w:val="000000"/>
                <w:sz w:val="20"/>
                <w:szCs w:val="20"/>
              </w:rPr>
            </w:pPr>
            <w:r w:rsidRPr="001F6736">
              <w:rPr>
                <w:rStyle w:val="normaltextrun"/>
                <w:rFonts w:cs="Calibri"/>
                <w:sz w:val="20"/>
                <w:szCs w:val="20"/>
              </w:rPr>
              <w:t>MA 5.1</w:t>
            </w:r>
          </w:p>
        </w:tc>
        <w:tc>
          <w:tcPr>
            <w:tcW w:w="64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872E79F" w14:textId="02983EFA" w:rsidR="00435DE6" w:rsidRPr="001F6736" w:rsidRDefault="00CA2597" w:rsidP="00E17BEC">
            <w:pPr>
              <w:spacing w:after="0" w:line="276" w:lineRule="auto"/>
              <w:rPr>
                <w:rFonts w:asciiTheme="minorHAnsi" w:eastAsia="Times New Roman" w:hAnsiTheme="minorHAnsi" w:cstheme="minorHAnsi"/>
                <w:sz w:val="20"/>
                <w:szCs w:val="20"/>
              </w:rPr>
            </w:pPr>
            <w:r w:rsidRPr="001F6736">
              <w:rPr>
                <w:rStyle w:val="normaltextrun"/>
                <w:rFonts w:cs="Calibri"/>
                <w:sz w:val="20"/>
                <w:szCs w:val="20"/>
              </w:rPr>
              <w:t>Tracking of Demographic Information - Percent of members whose demographic data are collected and maintained in the MMP Centralized Enrollee Record (race/ethnicity/ primary language/homelessness/disability type/LGBTQ identity</w:t>
            </w:r>
            <w:r w:rsidRPr="001F6736">
              <w:rPr>
                <w:rStyle w:val="eop"/>
                <w:rFonts w:cs="Calibri"/>
                <w:sz w:val="20"/>
                <w:szCs w:val="20"/>
              </w:rPr>
              <w:t> </w:t>
            </w:r>
          </w:p>
        </w:tc>
        <w:tc>
          <w:tcPr>
            <w:tcW w:w="900" w:type="dxa"/>
            <w:shd w:val="clear" w:color="auto" w:fill="F2F2F2" w:themeFill="background1" w:themeFillShade="F2"/>
            <w:vAlign w:val="center"/>
          </w:tcPr>
          <w:p w14:paraId="6B2CA509" w14:textId="6F9409CE" w:rsidR="00435DE6" w:rsidRPr="0039776A" w:rsidRDefault="00B032CC" w:rsidP="00E17BEC">
            <w:pPr>
              <w:spacing w:after="0" w:line="276" w:lineRule="auto"/>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67.2%</w:t>
            </w:r>
          </w:p>
        </w:tc>
        <w:tc>
          <w:tcPr>
            <w:tcW w:w="900" w:type="dxa"/>
            <w:shd w:val="clear" w:color="auto" w:fill="F2F2F2" w:themeFill="background1" w:themeFillShade="F2"/>
            <w:noWrap/>
            <w:vAlign w:val="center"/>
          </w:tcPr>
          <w:p w14:paraId="2AC4483A" w14:textId="04B1FE17" w:rsidR="00435DE6" w:rsidRPr="0039776A" w:rsidRDefault="00EB7A6D" w:rsidP="00E17BEC">
            <w:pPr>
              <w:spacing w:after="0" w:line="276" w:lineRule="auto"/>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66.8%</w:t>
            </w:r>
          </w:p>
        </w:tc>
        <w:tc>
          <w:tcPr>
            <w:tcW w:w="900" w:type="dxa"/>
            <w:shd w:val="clear" w:color="auto" w:fill="F2F2F2" w:themeFill="background1" w:themeFillShade="F2"/>
            <w:noWrap/>
            <w:vAlign w:val="center"/>
          </w:tcPr>
          <w:p w14:paraId="47139995" w14:textId="1CE0A841" w:rsidR="00435DE6" w:rsidRPr="0039776A" w:rsidRDefault="007A0DDF" w:rsidP="00E17BEC">
            <w:pPr>
              <w:spacing w:after="0" w:line="276" w:lineRule="auto"/>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70.8%</w:t>
            </w:r>
          </w:p>
        </w:tc>
      </w:tr>
      <w:tr w:rsidR="00435DE6" w:rsidRPr="0049778F" w14:paraId="68438D87" w14:textId="77777777" w:rsidTr="00F6706B">
        <w:trPr>
          <w:trHeight w:val="302"/>
        </w:trPr>
        <w:tc>
          <w:tcPr>
            <w:tcW w:w="1440" w:type="dxa"/>
            <w:tcBorders>
              <w:top w:val="single" w:sz="6" w:space="0" w:color="auto"/>
              <w:left w:val="single" w:sz="6" w:space="0" w:color="auto"/>
              <w:bottom w:val="single" w:sz="6" w:space="0" w:color="auto"/>
              <w:right w:val="single" w:sz="6" w:space="0" w:color="auto"/>
            </w:tcBorders>
            <w:shd w:val="clear" w:color="auto" w:fill="FFFFFF"/>
            <w:noWrap/>
          </w:tcPr>
          <w:p w14:paraId="7C860FD4" w14:textId="72AA5F3B" w:rsidR="00435DE6" w:rsidRPr="001F6736" w:rsidRDefault="00CA2597" w:rsidP="00646F59">
            <w:pPr>
              <w:pStyle w:val="paragraph"/>
              <w:spacing w:before="0" w:beforeAutospacing="0" w:after="0" w:afterAutospacing="0"/>
              <w:jc w:val="center"/>
              <w:textAlignment w:val="baseline"/>
              <w:divId w:val="1755320368"/>
              <w:rPr>
                <w:rFonts w:asciiTheme="minorHAnsi" w:hAnsiTheme="minorHAnsi" w:cstheme="minorHAnsi"/>
                <w:color w:val="000000"/>
                <w:sz w:val="20"/>
                <w:szCs w:val="20"/>
              </w:rPr>
            </w:pPr>
            <w:r w:rsidRPr="001F6736">
              <w:rPr>
                <w:rStyle w:val="normaltextrun"/>
                <w:rFonts w:ascii="Calibri" w:hAnsi="Calibri" w:cs="Calibri"/>
                <w:sz w:val="20"/>
                <w:szCs w:val="20"/>
              </w:rPr>
              <w:t>CMS – Core 2.1</w:t>
            </w:r>
          </w:p>
        </w:tc>
        <w:tc>
          <w:tcPr>
            <w:tcW w:w="6475" w:type="dxa"/>
            <w:tcBorders>
              <w:top w:val="single" w:sz="6" w:space="0" w:color="auto"/>
              <w:left w:val="single" w:sz="6" w:space="0" w:color="auto"/>
              <w:bottom w:val="single" w:sz="6" w:space="0" w:color="auto"/>
              <w:right w:val="single" w:sz="6" w:space="0" w:color="auto"/>
            </w:tcBorders>
            <w:shd w:val="clear" w:color="auto" w:fill="FFFFFF"/>
          </w:tcPr>
          <w:p w14:paraId="3E1A3346" w14:textId="49D97F8F" w:rsidR="00435DE6" w:rsidRPr="001F6736" w:rsidRDefault="00CA2597" w:rsidP="005E5535">
            <w:pPr>
              <w:pStyle w:val="paragraph"/>
              <w:spacing w:before="0" w:beforeAutospacing="0" w:after="0" w:afterAutospacing="0"/>
              <w:ind w:right="135"/>
              <w:textAlignment w:val="baseline"/>
              <w:divId w:val="267852508"/>
              <w:rPr>
                <w:rFonts w:asciiTheme="minorHAnsi" w:hAnsiTheme="minorHAnsi" w:cstheme="minorHAnsi"/>
                <w:sz w:val="20"/>
                <w:szCs w:val="20"/>
              </w:rPr>
            </w:pPr>
            <w:r w:rsidRPr="001F6736">
              <w:rPr>
                <w:rStyle w:val="normaltextrun"/>
                <w:rFonts w:ascii="Calibri" w:hAnsi="Calibri" w:cs="Calibri"/>
                <w:sz w:val="20"/>
                <w:szCs w:val="20"/>
              </w:rPr>
              <w:t>Timely Assessment - Percent of members with an initial assessment completed within 90 days of enrollment</w:t>
            </w:r>
            <w:r w:rsidRPr="001F6736">
              <w:rPr>
                <w:rStyle w:val="eop"/>
                <w:rFonts w:ascii="Calibri" w:hAnsi="Calibri" w:cs="Calibri"/>
                <w:sz w:val="20"/>
                <w:szCs w:val="20"/>
              </w:rPr>
              <w:t> </w:t>
            </w:r>
          </w:p>
        </w:tc>
        <w:tc>
          <w:tcPr>
            <w:tcW w:w="900" w:type="dxa"/>
            <w:shd w:val="clear" w:color="auto" w:fill="auto"/>
            <w:noWrap/>
            <w:vAlign w:val="center"/>
          </w:tcPr>
          <w:p w14:paraId="0E2DD6A1" w14:textId="0A5036C1" w:rsidR="00435DE6" w:rsidRPr="0039776A" w:rsidRDefault="00225E88" w:rsidP="00E17BEC">
            <w:pPr>
              <w:spacing w:after="0" w:line="276" w:lineRule="auto"/>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91.8%</w:t>
            </w:r>
          </w:p>
        </w:tc>
        <w:tc>
          <w:tcPr>
            <w:tcW w:w="900" w:type="dxa"/>
            <w:shd w:val="clear" w:color="auto" w:fill="auto"/>
            <w:noWrap/>
            <w:vAlign w:val="center"/>
          </w:tcPr>
          <w:p w14:paraId="0F8F9BEF" w14:textId="17DE92BA" w:rsidR="00435DE6" w:rsidRPr="0039776A" w:rsidRDefault="00BD17AA" w:rsidP="00E17BEC">
            <w:pPr>
              <w:spacing w:after="0" w:line="276" w:lineRule="auto"/>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93.0%</w:t>
            </w:r>
          </w:p>
        </w:tc>
        <w:tc>
          <w:tcPr>
            <w:tcW w:w="900" w:type="dxa"/>
            <w:shd w:val="clear" w:color="auto" w:fill="auto"/>
            <w:noWrap/>
            <w:vAlign w:val="center"/>
          </w:tcPr>
          <w:p w14:paraId="135DD134" w14:textId="2E915148" w:rsidR="00435DE6" w:rsidRPr="0039776A" w:rsidRDefault="004E3F80" w:rsidP="00E17BEC">
            <w:pPr>
              <w:spacing w:after="0" w:line="276" w:lineRule="auto"/>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81.6%</w:t>
            </w:r>
          </w:p>
        </w:tc>
      </w:tr>
      <w:tr w:rsidR="00435DE6" w:rsidRPr="0049778F" w14:paraId="32566299" w14:textId="77777777" w:rsidTr="00B83C9B">
        <w:trPr>
          <w:trHeight w:val="302"/>
        </w:trPr>
        <w:tc>
          <w:tcPr>
            <w:tcW w:w="144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Pr>
          <w:p w14:paraId="029966FD" w14:textId="7C9D04B1" w:rsidR="00435DE6" w:rsidRPr="001F6736" w:rsidRDefault="00CA2597" w:rsidP="00E17BEC">
            <w:pPr>
              <w:spacing w:after="0" w:line="276" w:lineRule="auto"/>
              <w:jc w:val="center"/>
              <w:rPr>
                <w:rFonts w:asciiTheme="minorHAnsi" w:eastAsia="Times New Roman" w:hAnsiTheme="minorHAnsi" w:cstheme="minorHAnsi"/>
                <w:color w:val="000000"/>
                <w:sz w:val="20"/>
                <w:szCs w:val="20"/>
              </w:rPr>
            </w:pPr>
            <w:r w:rsidRPr="001F6736">
              <w:rPr>
                <w:rStyle w:val="normaltextrun"/>
                <w:rFonts w:cs="Calibri"/>
                <w:sz w:val="20"/>
                <w:szCs w:val="20"/>
              </w:rPr>
              <w:t>MA 1.2</w:t>
            </w:r>
          </w:p>
        </w:tc>
        <w:tc>
          <w:tcPr>
            <w:tcW w:w="64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2109D73" w14:textId="2F403AF0" w:rsidR="00435DE6" w:rsidRPr="001F6736" w:rsidRDefault="00CA2597" w:rsidP="00E17BEC">
            <w:pPr>
              <w:spacing w:after="0" w:line="276" w:lineRule="auto"/>
              <w:rPr>
                <w:rFonts w:asciiTheme="minorHAnsi" w:eastAsia="Times New Roman" w:hAnsiTheme="minorHAnsi" w:cstheme="minorHAnsi"/>
                <w:sz w:val="20"/>
                <w:szCs w:val="20"/>
              </w:rPr>
            </w:pPr>
            <w:r w:rsidRPr="001F6736">
              <w:rPr>
                <w:rStyle w:val="normaltextrun"/>
                <w:rFonts w:cs="Calibri"/>
                <w:sz w:val="20"/>
                <w:szCs w:val="20"/>
              </w:rPr>
              <w:t>Documentation of Care Plan Goals - Percent of members with documented discussions of care goals</w:t>
            </w:r>
            <w:r w:rsidRPr="001F6736">
              <w:rPr>
                <w:rStyle w:val="eop"/>
                <w:rFonts w:cs="Calibri"/>
                <w:sz w:val="20"/>
                <w:szCs w:val="20"/>
              </w:rPr>
              <w:t> </w:t>
            </w:r>
          </w:p>
        </w:tc>
        <w:tc>
          <w:tcPr>
            <w:tcW w:w="900" w:type="dxa"/>
            <w:shd w:val="clear" w:color="auto" w:fill="F2F2F2" w:themeFill="background1" w:themeFillShade="F2"/>
            <w:noWrap/>
            <w:vAlign w:val="center"/>
          </w:tcPr>
          <w:p w14:paraId="62751EB1" w14:textId="059856F9" w:rsidR="00435DE6" w:rsidRPr="0039776A" w:rsidRDefault="008D61B1" w:rsidP="00E17BEC">
            <w:pPr>
              <w:spacing w:after="0" w:line="276" w:lineRule="auto"/>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98.8%</w:t>
            </w:r>
          </w:p>
        </w:tc>
        <w:tc>
          <w:tcPr>
            <w:tcW w:w="900" w:type="dxa"/>
            <w:shd w:val="clear" w:color="auto" w:fill="F2F2F2" w:themeFill="background1" w:themeFillShade="F2"/>
            <w:noWrap/>
            <w:vAlign w:val="center"/>
          </w:tcPr>
          <w:p w14:paraId="42275BF2" w14:textId="6CE63A15" w:rsidR="00435DE6" w:rsidRPr="0039776A" w:rsidRDefault="00133590" w:rsidP="00E17BEC">
            <w:pPr>
              <w:spacing w:after="0" w:line="276" w:lineRule="auto"/>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100.0%</w:t>
            </w:r>
          </w:p>
        </w:tc>
        <w:tc>
          <w:tcPr>
            <w:tcW w:w="900" w:type="dxa"/>
            <w:shd w:val="clear" w:color="auto" w:fill="F2F2F2" w:themeFill="background1" w:themeFillShade="F2"/>
            <w:noWrap/>
            <w:vAlign w:val="center"/>
          </w:tcPr>
          <w:p w14:paraId="7AFF1F1D" w14:textId="5433E291" w:rsidR="00435DE6" w:rsidRPr="0039776A" w:rsidRDefault="00486626" w:rsidP="00E17BEC">
            <w:pPr>
              <w:spacing w:after="0" w:line="276" w:lineRule="auto"/>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88.3%</w:t>
            </w:r>
          </w:p>
        </w:tc>
      </w:tr>
      <w:tr w:rsidR="00435DE6" w:rsidRPr="0049778F" w14:paraId="16433F04" w14:textId="77777777" w:rsidTr="00F6706B">
        <w:trPr>
          <w:trHeight w:val="302"/>
        </w:trPr>
        <w:tc>
          <w:tcPr>
            <w:tcW w:w="1440" w:type="dxa"/>
            <w:tcBorders>
              <w:top w:val="single" w:sz="6" w:space="0" w:color="auto"/>
              <w:left w:val="single" w:sz="6" w:space="0" w:color="auto"/>
              <w:bottom w:val="single" w:sz="6" w:space="0" w:color="auto"/>
              <w:right w:val="single" w:sz="6" w:space="0" w:color="auto"/>
            </w:tcBorders>
            <w:shd w:val="clear" w:color="auto" w:fill="FFFFFF"/>
            <w:noWrap/>
          </w:tcPr>
          <w:p w14:paraId="37116864" w14:textId="2EC9EF44" w:rsidR="00435DE6" w:rsidRPr="001F6736" w:rsidRDefault="00CA2597" w:rsidP="00E17BEC">
            <w:pPr>
              <w:spacing w:after="0" w:line="276" w:lineRule="auto"/>
              <w:jc w:val="center"/>
              <w:rPr>
                <w:rFonts w:asciiTheme="minorHAnsi" w:eastAsia="Times New Roman" w:hAnsiTheme="minorHAnsi" w:cstheme="minorHAnsi"/>
                <w:color w:val="000000"/>
                <w:sz w:val="20"/>
                <w:szCs w:val="20"/>
              </w:rPr>
            </w:pPr>
            <w:r w:rsidRPr="001F6736">
              <w:rPr>
                <w:rStyle w:val="normaltextrun"/>
                <w:rFonts w:cs="Calibri"/>
                <w:sz w:val="20"/>
                <w:szCs w:val="20"/>
              </w:rPr>
              <w:t>FUH-30</w:t>
            </w:r>
          </w:p>
        </w:tc>
        <w:tc>
          <w:tcPr>
            <w:tcW w:w="6475" w:type="dxa"/>
            <w:tcBorders>
              <w:top w:val="single" w:sz="6" w:space="0" w:color="auto"/>
              <w:left w:val="single" w:sz="6" w:space="0" w:color="auto"/>
              <w:bottom w:val="single" w:sz="6" w:space="0" w:color="auto"/>
              <w:right w:val="single" w:sz="6" w:space="0" w:color="auto"/>
            </w:tcBorders>
            <w:shd w:val="clear" w:color="auto" w:fill="FFFFFF"/>
          </w:tcPr>
          <w:p w14:paraId="31DE91E1" w14:textId="01DEF9F3" w:rsidR="00435DE6" w:rsidRPr="001F6736" w:rsidRDefault="00CA2597" w:rsidP="00E17BEC">
            <w:pPr>
              <w:spacing w:after="0" w:line="276" w:lineRule="auto"/>
              <w:rPr>
                <w:rFonts w:asciiTheme="minorHAnsi" w:eastAsia="Times New Roman" w:hAnsiTheme="minorHAnsi" w:cstheme="minorHAnsi"/>
                <w:sz w:val="20"/>
                <w:szCs w:val="20"/>
              </w:rPr>
            </w:pPr>
            <w:r w:rsidRPr="001F6736">
              <w:rPr>
                <w:rStyle w:val="normaltextrun"/>
                <w:rFonts w:cs="Calibri"/>
                <w:sz w:val="20"/>
                <w:szCs w:val="20"/>
              </w:rPr>
              <w:t>Follow-Up After Hospitalization for Mental Illness (30 days) </w:t>
            </w:r>
            <w:r w:rsidRPr="001F6736">
              <w:rPr>
                <w:rStyle w:val="eop"/>
                <w:rFonts w:cs="Calibri"/>
                <w:sz w:val="20"/>
                <w:szCs w:val="20"/>
              </w:rPr>
              <w:t> </w:t>
            </w:r>
          </w:p>
        </w:tc>
        <w:tc>
          <w:tcPr>
            <w:tcW w:w="900" w:type="dxa"/>
            <w:shd w:val="clear" w:color="auto" w:fill="auto"/>
            <w:vAlign w:val="center"/>
          </w:tcPr>
          <w:p w14:paraId="428F3E81" w14:textId="19297291" w:rsidR="00435DE6" w:rsidRPr="0039776A" w:rsidRDefault="00051335" w:rsidP="002F7DA2">
            <w:pPr>
              <w:spacing w:after="0" w:line="276" w:lineRule="auto"/>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66.2%</w:t>
            </w:r>
          </w:p>
        </w:tc>
        <w:tc>
          <w:tcPr>
            <w:tcW w:w="900" w:type="dxa"/>
            <w:shd w:val="clear" w:color="auto" w:fill="auto"/>
            <w:noWrap/>
            <w:vAlign w:val="center"/>
          </w:tcPr>
          <w:p w14:paraId="0C5DA592" w14:textId="7B82C0E8" w:rsidR="00435DE6" w:rsidRPr="0039776A" w:rsidRDefault="005F61E0" w:rsidP="00E17BEC">
            <w:pPr>
              <w:spacing w:after="0" w:line="276" w:lineRule="auto"/>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65.7%</w:t>
            </w:r>
          </w:p>
        </w:tc>
        <w:tc>
          <w:tcPr>
            <w:tcW w:w="900" w:type="dxa"/>
            <w:shd w:val="clear" w:color="auto" w:fill="auto"/>
            <w:noWrap/>
            <w:vAlign w:val="center"/>
          </w:tcPr>
          <w:p w14:paraId="7FA5892F" w14:textId="292ABA58" w:rsidR="00435DE6" w:rsidRPr="0039776A" w:rsidRDefault="00327FB4" w:rsidP="00E17BEC">
            <w:pPr>
              <w:spacing w:after="0" w:line="276" w:lineRule="auto"/>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70.7%</w:t>
            </w:r>
          </w:p>
        </w:tc>
      </w:tr>
      <w:tr w:rsidR="00435DE6" w:rsidRPr="0049778F" w14:paraId="542BA3D0" w14:textId="77777777" w:rsidTr="00B83C9B">
        <w:trPr>
          <w:trHeight w:val="302"/>
        </w:trPr>
        <w:tc>
          <w:tcPr>
            <w:tcW w:w="144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Pr>
          <w:p w14:paraId="2CD534E0" w14:textId="13ECCC03" w:rsidR="00435DE6" w:rsidRPr="001F6736" w:rsidRDefault="00CA2597" w:rsidP="00E17BEC">
            <w:pPr>
              <w:spacing w:after="0" w:line="276" w:lineRule="auto"/>
              <w:jc w:val="center"/>
              <w:rPr>
                <w:rFonts w:asciiTheme="minorHAnsi" w:eastAsia="Times New Roman" w:hAnsiTheme="minorHAnsi" w:cstheme="minorHAnsi"/>
                <w:color w:val="000000"/>
                <w:sz w:val="20"/>
                <w:szCs w:val="20"/>
              </w:rPr>
            </w:pPr>
            <w:r w:rsidRPr="001F6736">
              <w:rPr>
                <w:rStyle w:val="normaltextrun"/>
                <w:rFonts w:cs="Calibri"/>
                <w:sz w:val="20"/>
                <w:szCs w:val="20"/>
              </w:rPr>
              <w:t>IET-I</w:t>
            </w:r>
          </w:p>
        </w:tc>
        <w:tc>
          <w:tcPr>
            <w:tcW w:w="64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A5A469A" w14:textId="20502928" w:rsidR="00435DE6" w:rsidRPr="001F6736" w:rsidRDefault="00CA2597" w:rsidP="00E17BEC">
            <w:pPr>
              <w:spacing w:after="0" w:line="276" w:lineRule="auto"/>
              <w:rPr>
                <w:rFonts w:asciiTheme="minorHAnsi" w:eastAsia="Times New Roman" w:hAnsiTheme="minorHAnsi" w:cstheme="minorHAnsi"/>
                <w:sz w:val="20"/>
                <w:szCs w:val="20"/>
              </w:rPr>
            </w:pPr>
            <w:r w:rsidRPr="001F6736">
              <w:rPr>
                <w:rStyle w:val="normaltextrun"/>
                <w:rFonts w:cs="Calibri"/>
                <w:sz w:val="20"/>
                <w:szCs w:val="20"/>
              </w:rPr>
              <w:t>Initiation and Engagement of Alcohol, Opioid, or Other Drug Abuse or Dependence Treatment (Initiation)</w:t>
            </w:r>
            <w:r w:rsidRPr="001F6736">
              <w:rPr>
                <w:rStyle w:val="eop"/>
                <w:rFonts w:cs="Calibri"/>
                <w:sz w:val="20"/>
                <w:szCs w:val="20"/>
              </w:rPr>
              <w:t> </w:t>
            </w:r>
          </w:p>
        </w:tc>
        <w:tc>
          <w:tcPr>
            <w:tcW w:w="900" w:type="dxa"/>
            <w:shd w:val="clear" w:color="auto" w:fill="F2F2F2" w:themeFill="background1" w:themeFillShade="F2"/>
            <w:noWrap/>
            <w:vAlign w:val="center"/>
          </w:tcPr>
          <w:p w14:paraId="44533186" w14:textId="0B4AF3DE" w:rsidR="00435DE6" w:rsidRPr="0039776A" w:rsidRDefault="00C730AC" w:rsidP="00E17BEC">
            <w:pPr>
              <w:spacing w:after="0" w:line="276" w:lineRule="auto"/>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39.8%</w:t>
            </w:r>
          </w:p>
        </w:tc>
        <w:tc>
          <w:tcPr>
            <w:tcW w:w="900" w:type="dxa"/>
            <w:shd w:val="clear" w:color="auto" w:fill="F2F2F2" w:themeFill="background1" w:themeFillShade="F2"/>
            <w:noWrap/>
            <w:vAlign w:val="center"/>
          </w:tcPr>
          <w:p w14:paraId="469FC8A2" w14:textId="3EB86E30" w:rsidR="00435DE6" w:rsidRPr="0039776A" w:rsidRDefault="002F44B6" w:rsidP="00E17BEC">
            <w:pPr>
              <w:spacing w:after="0" w:line="276" w:lineRule="auto"/>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40.0%</w:t>
            </w:r>
          </w:p>
        </w:tc>
        <w:tc>
          <w:tcPr>
            <w:tcW w:w="900" w:type="dxa"/>
            <w:shd w:val="clear" w:color="auto" w:fill="F2F2F2" w:themeFill="background1" w:themeFillShade="F2"/>
            <w:noWrap/>
            <w:vAlign w:val="center"/>
          </w:tcPr>
          <w:p w14:paraId="7AE0B85A" w14:textId="44A3A62B" w:rsidR="00435DE6" w:rsidRPr="0039776A" w:rsidRDefault="00A40686" w:rsidP="00E17BEC">
            <w:pPr>
              <w:spacing w:after="0" w:line="276" w:lineRule="auto"/>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38.0%</w:t>
            </w:r>
          </w:p>
        </w:tc>
      </w:tr>
      <w:tr w:rsidR="00435DE6" w:rsidRPr="0049778F" w14:paraId="1971DEF0" w14:textId="77777777" w:rsidTr="00F6706B">
        <w:trPr>
          <w:trHeight w:val="302"/>
        </w:trPr>
        <w:tc>
          <w:tcPr>
            <w:tcW w:w="1440" w:type="dxa"/>
            <w:tcBorders>
              <w:top w:val="single" w:sz="6" w:space="0" w:color="auto"/>
              <w:left w:val="single" w:sz="6" w:space="0" w:color="auto"/>
              <w:bottom w:val="single" w:sz="6" w:space="0" w:color="auto"/>
              <w:right w:val="single" w:sz="6" w:space="0" w:color="auto"/>
            </w:tcBorders>
            <w:shd w:val="clear" w:color="auto" w:fill="FFFFFF"/>
            <w:noWrap/>
          </w:tcPr>
          <w:p w14:paraId="29384B77" w14:textId="00D7659E" w:rsidR="00435DE6" w:rsidRPr="001F6736" w:rsidRDefault="00CA2597" w:rsidP="00E17BEC">
            <w:pPr>
              <w:spacing w:after="0" w:line="276" w:lineRule="auto"/>
              <w:jc w:val="center"/>
              <w:rPr>
                <w:rFonts w:asciiTheme="minorHAnsi" w:eastAsia="Times New Roman" w:hAnsiTheme="minorHAnsi" w:cstheme="minorHAnsi"/>
                <w:color w:val="000000"/>
                <w:sz w:val="20"/>
                <w:szCs w:val="20"/>
              </w:rPr>
            </w:pPr>
            <w:r w:rsidRPr="001F6736">
              <w:rPr>
                <w:rStyle w:val="normaltextrun"/>
                <w:rFonts w:cs="Calibri"/>
                <w:sz w:val="20"/>
                <w:szCs w:val="20"/>
              </w:rPr>
              <w:t>IET-E</w:t>
            </w:r>
          </w:p>
        </w:tc>
        <w:tc>
          <w:tcPr>
            <w:tcW w:w="6475" w:type="dxa"/>
            <w:tcBorders>
              <w:top w:val="single" w:sz="6" w:space="0" w:color="auto"/>
              <w:left w:val="single" w:sz="6" w:space="0" w:color="auto"/>
              <w:bottom w:val="single" w:sz="6" w:space="0" w:color="auto"/>
              <w:right w:val="single" w:sz="6" w:space="0" w:color="auto"/>
            </w:tcBorders>
            <w:shd w:val="clear" w:color="auto" w:fill="FFFFFF"/>
          </w:tcPr>
          <w:p w14:paraId="6FB3D318" w14:textId="5D36855A" w:rsidR="00435DE6" w:rsidRPr="001F6736" w:rsidRDefault="00CA2597" w:rsidP="00E17BEC">
            <w:pPr>
              <w:spacing w:after="0" w:line="276" w:lineRule="auto"/>
              <w:rPr>
                <w:rFonts w:asciiTheme="minorHAnsi" w:eastAsia="Times New Roman" w:hAnsiTheme="minorHAnsi" w:cstheme="minorHAnsi"/>
                <w:sz w:val="20"/>
                <w:szCs w:val="20"/>
              </w:rPr>
            </w:pPr>
            <w:r w:rsidRPr="001F6736">
              <w:rPr>
                <w:rStyle w:val="normaltextrun"/>
                <w:rFonts w:cs="Calibri"/>
                <w:sz w:val="20"/>
                <w:szCs w:val="20"/>
              </w:rPr>
              <w:t>Initiation and Engagement of Alcohol, Opioid, or Other Drug Abuse or Dependence Treatment (Engagement)</w:t>
            </w:r>
            <w:r w:rsidRPr="001F6736">
              <w:rPr>
                <w:rStyle w:val="eop"/>
                <w:rFonts w:cs="Calibri"/>
                <w:sz w:val="20"/>
                <w:szCs w:val="20"/>
              </w:rPr>
              <w:t> </w:t>
            </w:r>
          </w:p>
        </w:tc>
        <w:tc>
          <w:tcPr>
            <w:tcW w:w="900" w:type="dxa"/>
            <w:shd w:val="clear" w:color="auto" w:fill="FFFFFF" w:themeFill="background1"/>
            <w:noWrap/>
            <w:vAlign w:val="center"/>
          </w:tcPr>
          <w:p w14:paraId="60B628C4" w14:textId="315B293F" w:rsidR="00435DE6" w:rsidRPr="0039776A" w:rsidRDefault="00C730AC" w:rsidP="00E17BEC">
            <w:pPr>
              <w:spacing w:after="0" w:line="276" w:lineRule="auto"/>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11.9%</w:t>
            </w:r>
          </w:p>
        </w:tc>
        <w:tc>
          <w:tcPr>
            <w:tcW w:w="900" w:type="dxa"/>
            <w:shd w:val="clear" w:color="auto" w:fill="FFFFFF" w:themeFill="background1"/>
            <w:noWrap/>
            <w:vAlign w:val="center"/>
          </w:tcPr>
          <w:p w14:paraId="4746DA85" w14:textId="6A1F5FF0" w:rsidR="00435DE6" w:rsidRPr="0039776A" w:rsidRDefault="002821B6" w:rsidP="00E17BEC">
            <w:pPr>
              <w:spacing w:after="0" w:line="276" w:lineRule="auto"/>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11.7%</w:t>
            </w:r>
          </w:p>
        </w:tc>
        <w:tc>
          <w:tcPr>
            <w:tcW w:w="900" w:type="dxa"/>
            <w:shd w:val="clear" w:color="auto" w:fill="FFFFFF" w:themeFill="background1"/>
            <w:noWrap/>
            <w:vAlign w:val="center"/>
          </w:tcPr>
          <w:p w14:paraId="0439E8B3" w14:textId="0B5D9A8E" w:rsidR="00435DE6" w:rsidRPr="0039776A" w:rsidRDefault="00F94078" w:rsidP="00E17BEC">
            <w:pPr>
              <w:spacing w:after="0" w:line="276" w:lineRule="auto"/>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13.3%</w:t>
            </w:r>
          </w:p>
        </w:tc>
      </w:tr>
      <w:tr w:rsidR="00435DE6" w:rsidRPr="0049778F" w14:paraId="6A94C177" w14:textId="77777777" w:rsidTr="00B83C9B">
        <w:trPr>
          <w:trHeight w:val="302"/>
        </w:trPr>
        <w:tc>
          <w:tcPr>
            <w:tcW w:w="144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tcPr>
          <w:p w14:paraId="408265B8" w14:textId="7E5B4D6D" w:rsidR="00435DE6" w:rsidRPr="001F6736" w:rsidRDefault="00CA2597" w:rsidP="00E17BEC">
            <w:pPr>
              <w:spacing w:after="0" w:line="276" w:lineRule="auto"/>
              <w:jc w:val="center"/>
              <w:rPr>
                <w:rFonts w:asciiTheme="minorHAnsi" w:eastAsia="Times New Roman" w:hAnsiTheme="minorHAnsi" w:cstheme="minorHAnsi"/>
                <w:color w:val="000000"/>
                <w:sz w:val="20"/>
                <w:szCs w:val="20"/>
              </w:rPr>
            </w:pPr>
            <w:r w:rsidRPr="001F6736">
              <w:rPr>
                <w:rStyle w:val="normaltextrun"/>
                <w:rFonts w:cs="Calibri"/>
                <w:sz w:val="20"/>
                <w:szCs w:val="20"/>
              </w:rPr>
              <w:t>PCR (&lt;65)</w:t>
            </w:r>
          </w:p>
        </w:tc>
        <w:tc>
          <w:tcPr>
            <w:tcW w:w="647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58524BE" w14:textId="09674E12" w:rsidR="00435DE6" w:rsidRPr="001F6736" w:rsidRDefault="00CA2597" w:rsidP="00E17BEC">
            <w:pPr>
              <w:spacing w:after="0" w:line="276" w:lineRule="auto"/>
              <w:rPr>
                <w:rFonts w:asciiTheme="minorHAnsi" w:eastAsia="Times New Roman" w:hAnsiTheme="minorHAnsi" w:cstheme="minorHAnsi"/>
                <w:sz w:val="20"/>
                <w:szCs w:val="20"/>
              </w:rPr>
            </w:pPr>
            <w:r w:rsidRPr="001F6736">
              <w:rPr>
                <w:rStyle w:val="normaltextrun"/>
                <w:rFonts w:cs="Calibri"/>
                <w:sz w:val="20"/>
                <w:szCs w:val="20"/>
              </w:rPr>
              <w:t>Plan All-Cause Readmission (observed/expected ratio) (18-64 years) </w:t>
            </w:r>
            <w:r w:rsidRPr="001F6736">
              <w:rPr>
                <w:rStyle w:val="eop"/>
                <w:rFonts w:cs="Calibri"/>
                <w:sz w:val="20"/>
                <w:szCs w:val="20"/>
              </w:rPr>
              <w:t> </w:t>
            </w:r>
          </w:p>
        </w:tc>
        <w:tc>
          <w:tcPr>
            <w:tcW w:w="900" w:type="dxa"/>
            <w:shd w:val="clear" w:color="auto" w:fill="F2F2F2" w:themeFill="background1" w:themeFillShade="F2"/>
            <w:noWrap/>
            <w:vAlign w:val="center"/>
          </w:tcPr>
          <w:p w14:paraId="3FDF800A" w14:textId="4503E99F" w:rsidR="00435DE6" w:rsidRPr="0039776A" w:rsidRDefault="00173497" w:rsidP="00E17BEC">
            <w:pPr>
              <w:spacing w:after="0" w:line="276" w:lineRule="auto"/>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1.33</w:t>
            </w:r>
          </w:p>
        </w:tc>
        <w:tc>
          <w:tcPr>
            <w:tcW w:w="900" w:type="dxa"/>
            <w:shd w:val="clear" w:color="auto" w:fill="F2F2F2" w:themeFill="background1" w:themeFillShade="F2"/>
            <w:noWrap/>
            <w:vAlign w:val="center"/>
          </w:tcPr>
          <w:p w14:paraId="7C3FD280" w14:textId="56FC495C" w:rsidR="00435DE6" w:rsidRPr="0039776A" w:rsidRDefault="001C220E" w:rsidP="00E17BEC">
            <w:pPr>
              <w:spacing w:after="0" w:line="276" w:lineRule="auto"/>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1.38</w:t>
            </w:r>
          </w:p>
        </w:tc>
        <w:tc>
          <w:tcPr>
            <w:tcW w:w="900" w:type="dxa"/>
            <w:shd w:val="clear" w:color="auto" w:fill="F2F2F2" w:themeFill="background1" w:themeFillShade="F2"/>
            <w:noWrap/>
            <w:vAlign w:val="center"/>
          </w:tcPr>
          <w:p w14:paraId="377B74A8" w14:textId="3F0786F6" w:rsidR="00435DE6" w:rsidRPr="0039776A" w:rsidRDefault="00F6706B" w:rsidP="00E17BEC">
            <w:pPr>
              <w:spacing w:after="0" w:line="276" w:lineRule="auto"/>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1.01</w:t>
            </w:r>
          </w:p>
        </w:tc>
      </w:tr>
      <w:bookmarkEnd w:id="23"/>
    </w:tbl>
    <w:p w14:paraId="29E6766F" w14:textId="77777777" w:rsidR="00A01C65" w:rsidRDefault="00A01C65">
      <w:pPr>
        <w:rPr>
          <w:b/>
          <w:bCs/>
          <w:sz w:val="20"/>
          <w:szCs w:val="20"/>
        </w:rPr>
      </w:pPr>
      <w:r>
        <w:rPr>
          <w:b/>
          <w:bCs/>
          <w:sz w:val="20"/>
          <w:szCs w:val="20"/>
        </w:rPr>
        <w:br w:type="page"/>
      </w:r>
    </w:p>
    <w:p w14:paraId="6BC0112D" w14:textId="6587E844" w:rsidR="00962079" w:rsidRPr="00A00757" w:rsidRDefault="00962079" w:rsidP="00A00757">
      <w:pPr>
        <w:pStyle w:val="ListParagraph"/>
        <w:spacing w:before="240"/>
        <w:ind w:left="-360"/>
        <w:rPr>
          <w:b/>
          <w:bCs/>
          <w:sz w:val="20"/>
          <w:szCs w:val="20"/>
        </w:rPr>
      </w:pPr>
      <w:r w:rsidRPr="00DD20DE">
        <w:rPr>
          <w:b/>
          <w:bCs/>
          <w:sz w:val="20"/>
          <w:szCs w:val="20"/>
        </w:rPr>
        <w:lastRenderedPageBreak/>
        <w:t>Chart B-4.</w:t>
      </w:r>
      <w:r w:rsidR="00A00757">
        <w:rPr>
          <w:b/>
          <w:bCs/>
          <w:sz w:val="20"/>
          <w:szCs w:val="20"/>
        </w:rPr>
        <w:t>2</w:t>
      </w:r>
      <w:r w:rsidRPr="00A00757">
        <w:rPr>
          <w:b/>
          <w:bCs/>
          <w:sz w:val="20"/>
          <w:szCs w:val="20"/>
        </w:rPr>
        <w:t>: SCO Contract Level Performance, MY2021</w:t>
      </w:r>
    </w:p>
    <w:tbl>
      <w:tblPr>
        <w:tblStyle w:val="TableGrid"/>
        <w:tblW w:w="14230" w:type="dxa"/>
        <w:tblLayout w:type="fixed"/>
        <w:tblLook w:val="04A0" w:firstRow="1" w:lastRow="0" w:firstColumn="1" w:lastColumn="0" w:noHBand="0" w:noVBand="1"/>
      </w:tblPr>
      <w:tblGrid>
        <w:gridCol w:w="1440"/>
        <w:gridCol w:w="6336"/>
        <w:gridCol w:w="922"/>
        <w:gridCol w:w="922"/>
        <w:gridCol w:w="922"/>
        <w:gridCol w:w="922"/>
        <w:gridCol w:w="922"/>
        <w:gridCol w:w="922"/>
        <w:gridCol w:w="922"/>
      </w:tblGrid>
      <w:tr w:rsidR="00186062" w14:paraId="5CEC6CE5" w14:textId="77777777" w:rsidTr="0039776A">
        <w:tc>
          <w:tcPr>
            <w:tcW w:w="1440" w:type="dxa"/>
            <w:shd w:val="clear" w:color="auto" w:fill="FFFFFF" w:themeFill="background1"/>
            <w:vAlign w:val="center"/>
          </w:tcPr>
          <w:p w14:paraId="159B154A" w14:textId="7CC36D25" w:rsidR="00186062" w:rsidRPr="001F6736" w:rsidRDefault="00186062" w:rsidP="009A513A">
            <w:pPr>
              <w:jc w:val="center"/>
              <w:rPr>
                <w:rFonts w:asciiTheme="minorHAnsi" w:hAnsiTheme="minorHAnsi" w:cstheme="minorHAnsi"/>
                <w:sz w:val="20"/>
                <w:szCs w:val="20"/>
              </w:rPr>
            </w:pPr>
            <w:r w:rsidRPr="001F6736">
              <w:rPr>
                <w:rFonts w:asciiTheme="minorHAnsi" w:eastAsia="Times New Roman" w:hAnsiTheme="minorHAnsi" w:cstheme="minorHAnsi"/>
                <w:b/>
                <w:color w:val="000000"/>
                <w:sz w:val="20"/>
                <w:szCs w:val="20"/>
              </w:rPr>
              <w:t>Ref</w:t>
            </w:r>
          </w:p>
        </w:tc>
        <w:tc>
          <w:tcPr>
            <w:tcW w:w="6336" w:type="dxa"/>
            <w:shd w:val="clear" w:color="auto" w:fill="FFFFFF" w:themeFill="background1"/>
            <w:vAlign w:val="center"/>
          </w:tcPr>
          <w:p w14:paraId="628CAF96" w14:textId="27A2E8D8" w:rsidR="00186062" w:rsidRPr="001F6736" w:rsidRDefault="00186062" w:rsidP="009A513A">
            <w:pPr>
              <w:jc w:val="center"/>
              <w:rPr>
                <w:rFonts w:asciiTheme="minorHAnsi" w:hAnsiTheme="minorHAnsi" w:cstheme="minorHAnsi"/>
                <w:sz w:val="20"/>
                <w:szCs w:val="20"/>
              </w:rPr>
            </w:pPr>
            <w:r w:rsidRPr="001F6736">
              <w:rPr>
                <w:rFonts w:asciiTheme="minorHAnsi" w:eastAsia="Times New Roman" w:hAnsiTheme="minorHAnsi" w:cstheme="minorHAnsi"/>
                <w:b/>
                <w:color w:val="000000"/>
                <w:sz w:val="20"/>
                <w:szCs w:val="20"/>
              </w:rPr>
              <w:t>2021 Measure</w:t>
            </w:r>
          </w:p>
        </w:tc>
        <w:tc>
          <w:tcPr>
            <w:tcW w:w="922" w:type="dxa"/>
            <w:shd w:val="clear" w:color="auto" w:fill="2F5496" w:themeFill="accent1" w:themeFillShade="BF"/>
            <w:vAlign w:val="center"/>
          </w:tcPr>
          <w:p w14:paraId="32C8E575" w14:textId="77777777" w:rsidR="00186062" w:rsidRPr="0039776A" w:rsidRDefault="00186062" w:rsidP="009A513A">
            <w:pPr>
              <w:jc w:val="center"/>
              <w:rPr>
                <w:rFonts w:asciiTheme="minorHAnsi" w:eastAsia="Times New Roman" w:hAnsiTheme="minorHAnsi" w:cstheme="minorHAnsi"/>
                <w:b/>
                <w:bCs/>
                <w:color w:val="FFFFFF" w:themeColor="background1"/>
                <w:sz w:val="18"/>
                <w:szCs w:val="18"/>
              </w:rPr>
            </w:pPr>
            <w:r w:rsidRPr="0039776A">
              <w:rPr>
                <w:rFonts w:asciiTheme="minorHAnsi" w:eastAsia="Times New Roman" w:hAnsiTheme="minorHAnsi" w:cstheme="minorHAnsi"/>
                <w:b/>
                <w:bCs/>
                <w:color w:val="FFFFFF" w:themeColor="background1"/>
                <w:sz w:val="18"/>
                <w:szCs w:val="18"/>
              </w:rPr>
              <w:t>Total</w:t>
            </w:r>
          </w:p>
          <w:p w14:paraId="331F2745" w14:textId="242ECF06" w:rsidR="00186062" w:rsidRPr="0039776A" w:rsidRDefault="00186062" w:rsidP="009A513A">
            <w:pPr>
              <w:jc w:val="center"/>
              <w:rPr>
                <w:rFonts w:asciiTheme="minorHAnsi" w:hAnsiTheme="minorHAnsi" w:cstheme="minorHAnsi"/>
                <w:sz w:val="18"/>
                <w:szCs w:val="18"/>
              </w:rPr>
            </w:pPr>
            <w:r w:rsidRPr="0039776A">
              <w:rPr>
                <w:rFonts w:asciiTheme="minorHAnsi" w:eastAsia="Times New Roman" w:hAnsiTheme="minorHAnsi" w:cstheme="minorHAnsi"/>
                <w:b/>
                <w:bCs/>
                <w:color w:val="FFFFFF" w:themeColor="background1"/>
                <w:sz w:val="18"/>
                <w:szCs w:val="18"/>
              </w:rPr>
              <w:t>SCO</w:t>
            </w:r>
          </w:p>
        </w:tc>
        <w:tc>
          <w:tcPr>
            <w:tcW w:w="922" w:type="dxa"/>
            <w:shd w:val="clear" w:color="auto" w:fill="2F5496" w:themeFill="accent1" w:themeFillShade="BF"/>
            <w:vAlign w:val="center"/>
          </w:tcPr>
          <w:p w14:paraId="3C5FC6D9" w14:textId="77777777" w:rsidR="00186062" w:rsidRPr="0039776A" w:rsidRDefault="00186062" w:rsidP="009A513A">
            <w:pPr>
              <w:jc w:val="center"/>
              <w:rPr>
                <w:rFonts w:asciiTheme="minorHAnsi" w:eastAsia="Times New Roman" w:hAnsiTheme="minorHAnsi" w:cstheme="minorHAnsi"/>
                <w:b/>
                <w:bCs/>
                <w:color w:val="FFFFFF" w:themeColor="background1"/>
                <w:sz w:val="18"/>
                <w:szCs w:val="18"/>
              </w:rPr>
            </w:pPr>
            <w:r w:rsidRPr="0039776A">
              <w:rPr>
                <w:rFonts w:asciiTheme="minorHAnsi" w:eastAsia="Times New Roman" w:hAnsiTheme="minorHAnsi" w:cstheme="minorHAnsi"/>
                <w:b/>
                <w:bCs/>
                <w:color w:val="FFFFFF" w:themeColor="background1"/>
                <w:sz w:val="18"/>
                <w:szCs w:val="18"/>
              </w:rPr>
              <w:t>BMC</w:t>
            </w:r>
          </w:p>
          <w:p w14:paraId="4D3251B7" w14:textId="6311C92E" w:rsidR="00186062" w:rsidRPr="0039776A" w:rsidRDefault="00186062" w:rsidP="009A513A">
            <w:pPr>
              <w:jc w:val="center"/>
              <w:rPr>
                <w:rFonts w:asciiTheme="minorHAnsi" w:hAnsiTheme="minorHAnsi" w:cstheme="minorHAnsi"/>
                <w:sz w:val="18"/>
                <w:szCs w:val="18"/>
              </w:rPr>
            </w:pPr>
            <w:r w:rsidRPr="0039776A">
              <w:rPr>
                <w:rFonts w:asciiTheme="minorHAnsi" w:eastAsia="Times New Roman" w:hAnsiTheme="minorHAnsi" w:cstheme="minorHAnsi"/>
                <w:b/>
                <w:bCs/>
                <w:color w:val="FFFFFF" w:themeColor="background1"/>
                <w:sz w:val="18"/>
                <w:szCs w:val="18"/>
              </w:rPr>
              <w:t>HNET</w:t>
            </w:r>
          </w:p>
        </w:tc>
        <w:tc>
          <w:tcPr>
            <w:tcW w:w="922" w:type="dxa"/>
            <w:shd w:val="clear" w:color="auto" w:fill="2F5496" w:themeFill="accent1" w:themeFillShade="BF"/>
            <w:vAlign w:val="center"/>
          </w:tcPr>
          <w:p w14:paraId="757A1C6F" w14:textId="77777777" w:rsidR="00186062" w:rsidRPr="0039776A" w:rsidRDefault="00186062" w:rsidP="009A513A">
            <w:pPr>
              <w:jc w:val="center"/>
              <w:rPr>
                <w:rFonts w:asciiTheme="minorHAnsi" w:eastAsia="Times New Roman" w:hAnsiTheme="minorHAnsi" w:cstheme="minorHAnsi"/>
                <w:b/>
                <w:bCs/>
                <w:color w:val="FFFFFF" w:themeColor="background1"/>
                <w:sz w:val="18"/>
                <w:szCs w:val="18"/>
              </w:rPr>
            </w:pPr>
            <w:r w:rsidRPr="0039776A">
              <w:rPr>
                <w:rFonts w:asciiTheme="minorHAnsi" w:eastAsia="Times New Roman" w:hAnsiTheme="minorHAnsi" w:cstheme="minorHAnsi"/>
                <w:b/>
                <w:bCs/>
                <w:color w:val="FFFFFF" w:themeColor="background1"/>
                <w:sz w:val="18"/>
                <w:szCs w:val="18"/>
              </w:rPr>
              <w:t>CCA</w:t>
            </w:r>
          </w:p>
          <w:p w14:paraId="1E75B68B" w14:textId="3D475AFB" w:rsidR="00186062" w:rsidRPr="0039776A" w:rsidRDefault="00186062" w:rsidP="009A513A">
            <w:pPr>
              <w:jc w:val="center"/>
              <w:rPr>
                <w:rFonts w:asciiTheme="minorHAnsi" w:hAnsiTheme="minorHAnsi" w:cstheme="minorHAnsi"/>
                <w:sz w:val="18"/>
                <w:szCs w:val="18"/>
              </w:rPr>
            </w:pPr>
            <w:r w:rsidRPr="0039776A">
              <w:rPr>
                <w:rFonts w:asciiTheme="minorHAnsi" w:eastAsia="Times New Roman" w:hAnsiTheme="minorHAnsi" w:cstheme="minorHAnsi"/>
                <w:b/>
                <w:bCs/>
                <w:color w:val="FFFFFF" w:themeColor="background1"/>
                <w:sz w:val="18"/>
                <w:szCs w:val="18"/>
              </w:rPr>
              <w:t>SCO</w:t>
            </w:r>
          </w:p>
        </w:tc>
        <w:tc>
          <w:tcPr>
            <w:tcW w:w="922" w:type="dxa"/>
            <w:shd w:val="clear" w:color="auto" w:fill="2F5496" w:themeFill="accent1" w:themeFillShade="BF"/>
            <w:vAlign w:val="center"/>
          </w:tcPr>
          <w:p w14:paraId="70BAC821" w14:textId="77777777" w:rsidR="00186062" w:rsidRPr="0039776A" w:rsidRDefault="00186062" w:rsidP="009A513A">
            <w:pPr>
              <w:jc w:val="center"/>
              <w:rPr>
                <w:rFonts w:asciiTheme="minorHAnsi" w:eastAsia="Times New Roman" w:hAnsiTheme="minorHAnsi" w:cstheme="minorHAnsi"/>
                <w:b/>
                <w:bCs/>
                <w:color w:val="FFFFFF" w:themeColor="background1"/>
                <w:sz w:val="18"/>
                <w:szCs w:val="18"/>
              </w:rPr>
            </w:pPr>
            <w:r w:rsidRPr="0039776A">
              <w:rPr>
                <w:rFonts w:asciiTheme="minorHAnsi" w:eastAsia="Times New Roman" w:hAnsiTheme="minorHAnsi" w:cstheme="minorHAnsi"/>
                <w:b/>
                <w:bCs/>
                <w:color w:val="FFFFFF" w:themeColor="background1"/>
                <w:sz w:val="18"/>
                <w:szCs w:val="18"/>
              </w:rPr>
              <w:t>Navi-</w:t>
            </w:r>
          </w:p>
          <w:p w14:paraId="24E8BCE7" w14:textId="489C8789" w:rsidR="00186062" w:rsidRPr="0039776A" w:rsidRDefault="00186062" w:rsidP="009A513A">
            <w:pPr>
              <w:jc w:val="center"/>
              <w:rPr>
                <w:rFonts w:asciiTheme="minorHAnsi" w:hAnsiTheme="minorHAnsi" w:cstheme="minorHAnsi"/>
                <w:sz w:val="18"/>
                <w:szCs w:val="18"/>
              </w:rPr>
            </w:pPr>
            <w:r w:rsidRPr="0039776A">
              <w:rPr>
                <w:rFonts w:asciiTheme="minorHAnsi" w:eastAsia="Times New Roman" w:hAnsiTheme="minorHAnsi" w:cstheme="minorHAnsi"/>
                <w:b/>
                <w:bCs/>
                <w:color w:val="FFFFFF" w:themeColor="background1"/>
                <w:sz w:val="18"/>
                <w:szCs w:val="18"/>
              </w:rPr>
              <w:t>care</w:t>
            </w:r>
          </w:p>
        </w:tc>
        <w:tc>
          <w:tcPr>
            <w:tcW w:w="922" w:type="dxa"/>
            <w:shd w:val="clear" w:color="auto" w:fill="2F5496" w:themeFill="accent1" w:themeFillShade="BF"/>
            <w:vAlign w:val="center"/>
          </w:tcPr>
          <w:p w14:paraId="0FA3AB8F" w14:textId="38085BD3" w:rsidR="00186062" w:rsidRPr="0039776A" w:rsidRDefault="00186062" w:rsidP="009A513A">
            <w:pPr>
              <w:jc w:val="center"/>
              <w:rPr>
                <w:rFonts w:asciiTheme="minorHAnsi" w:hAnsiTheme="minorHAnsi" w:cstheme="minorHAnsi"/>
                <w:sz w:val="18"/>
                <w:szCs w:val="18"/>
              </w:rPr>
            </w:pPr>
            <w:r w:rsidRPr="0039776A">
              <w:rPr>
                <w:rFonts w:asciiTheme="minorHAnsi" w:eastAsia="Times New Roman" w:hAnsiTheme="minorHAnsi" w:cstheme="minorHAnsi"/>
                <w:b/>
                <w:bCs/>
                <w:color w:val="FFFFFF" w:themeColor="background1"/>
                <w:sz w:val="18"/>
                <w:szCs w:val="18"/>
              </w:rPr>
              <w:t>SWH</w:t>
            </w:r>
          </w:p>
        </w:tc>
        <w:tc>
          <w:tcPr>
            <w:tcW w:w="922" w:type="dxa"/>
            <w:shd w:val="clear" w:color="auto" w:fill="2F5496" w:themeFill="accent1" w:themeFillShade="BF"/>
            <w:vAlign w:val="center"/>
          </w:tcPr>
          <w:p w14:paraId="0563EDF5" w14:textId="77777777" w:rsidR="00186062" w:rsidRPr="0039776A" w:rsidRDefault="00186062" w:rsidP="009A513A">
            <w:pPr>
              <w:jc w:val="center"/>
              <w:rPr>
                <w:rFonts w:asciiTheme="minorHAnsi" w:eastAsia="Times New Roman" w:hAnsiTheme="minorHAnsi" w:cstheme="minorHAnsi"/>
                <w:b/>
                <w:bCs/>
                <w:color w:val="FFFFFF" w:themeColor="background1"/>
                <w:sz w:val="18"/>
                <w:szCs w:val="18"/>
              </w:rPr>
            </w:pPr>
            <w:r w:rsidRPr="0039776A">
              <w:rPr>
                <w:rFonts w:asciiTheme="minorHAnsi" w:eastAsia="Times New Roman" w:hAnsiTheme="minorHAnsi" w:cstheme="minorHAnsi"/>
                <w:b/>
                <w:bCs/>
                <w:color w:val="FFFFFF" w:themeColor="background1"/>
                <w:sz w:val="18"/>
                <w:szCs w:val="18"/>
              </w:rPr>
              <w:t>THP</w:t>
            </w:r>
          </w:p>
          <w:p w14:paraId="14F944EC" w14:textId="5C10A3AC" w:rsidR="00186062" w:rsidRPr="0039776A" w:rsidRDefault="00186062" w:rsidP="009A513A">
            <w:pPr>
              <w:jc w:val="center"/>
              <w:rPr>
                <w:rFonts w:asciiTheme="minorHAnsi" w:hAnsiTheme="minorHAnsi" w:cstheme="minorHAnsi"/>
                <w:sz w:val="18"/>
                <w:szCs w:val="18"/>
              </w:rPr>
            </w:pPr>
            <w:r w:rsidRPr="0039776A">
              <w:rPr>
                <w:rFonts w:asciiTheme="minorHAnsi" w:eastAsia="Times New Roman" w:hAnsiTheme="minorHAnsi" w:cstheme="minorHAnsi"/>
                <w:b/>
                <w:bCs/>
                <w:color w:val="FFFFFF" w:themeColor="background1"/>
                <w:sz w:val="18"/>
                <w:szCs w:val="18"/>
              </w:rPr>
              <w:t>SCO</w:t>
            </w:r>
          </w:p>
        </w:tc>
        <w:tc>
          <w:tcPr>
            <w:tcW w:w="922" w:type="dxa"/>
            <w:shd w:val="clear" w:color="auto" w:fill="2F5496" w:themeFill="accent1" w:themeFillShade="BF"/>
            <w:vAlign w:val="center"/>
          </w:tcPr>
          <w:p w14:paraId="48E96D18" w14:textId="77777777" w:rsidR="00186062" w:rsidRDefault="00186062" w:rsidP="009A513A">
            <w:pPr>
              <w:jc w:val="center"/>
              <w:rPr>
                <w:rFonts w:asciiTheme="minorHAnsi" w:eastAsia="Times New Roman" w:hAnsiTheme="minorHAnsi" w:cstheme="minorHAnsi"/>
                <w:b/>
                <w:bCs/>
                <w:color w:val="FFFFFF" w:themeColor="background1"/>
                <w:sz w:val="18"/>
                <w:szCs w:val="18"/>
              </w:rPr>
            </w:pPr>
            <w:r w:rsidRPr="0039776A">
              <w:rPr>
                <w:rFonts w:asciiTheme="minorHAnsi" w:eastAsia="Times New Roman" w:hAnsiTheme="minorHAnsi" w:cstheme="minorHAnsi"/>
                <w:b/>
                <w:bCs/>
                <w:color w:val="FFFFFF" w:themeColor="background1"/>
                <w:sz w:val="18"/>
                <w:szCs w:val="18"/>
              </w:rPr>
              <w:t>United</w:t>
            </w:r>
          </w:p>
          <w:p w14:paraId="39D5DF83" w14:textId="696E53B7" w:rsidR="0064746B" w:rsidRPr="0039776A" w:rsidRDefault="0064746B" w:rsidP="009A513A">
            <w:pPr>
              <w:jc w:val="center"/>
              <w:rPr>
                <w:rFonts w:asciiTheme="minorHAnsi" w:hAnsiTheme="minorHAnsi" w:cstheme="minorHAnsi"/>
                <w:sz w:val="18"/>
                <w:szCs w:val="18"/>
              </w:rPr>
            </w:pPr>
            <w:r>
              <w:rPr>
                <w:rFonts w:asciiTheme="minorHAnsi" w:eastAsia="Times New Roman" w:hAnsiTheme="minorHAnsi" w:cstheme="minorHAnsi"/>
                <w:b/>
                <w:bCs/>
                <w:color w:val="FFFFFF" w:themeColor="background1"/>
                <w:sz w:val="18"/>
                <w:szCs w:val="18"/>
              </w:rPr>
              <w:t>SCO</w:t>
            </w:r>
          </w:p>
        </w:tc>
      </w:tr>
      <w:tr w:rsidR="00753EED" w14:paraId="332D4DD2" w14:textId="77777777" w:rsidTr="00AB45B8">
        <w:trPr>
          <w:trHeight w:val="302"/>
        </w:trPr>
        <w:tc>
          <w:tcPr>
            <w:tcW w:w="1440" w:type="dxa"/>
            <w:shd w:val="clear" w:color="auto" w:fill="FFFFFF" w:themeFill="background1"/>
          </w:tcPr>
          <w:p w14:paraId="7C87C04D" w14:textId="7684DA33" w:rsidR="00753EED" w:rsidRPr="001F6736" w:rsidRDefault="00753EED" w:rsidP="00753EED">
            <w:pPr>
              <w:spacing w:line="276" w:lineRule="auto"/>
              <w:jc w:val="center"/>
              <w:rPr>
                <w:rFonts w:asciiTheme="minorHAnsi" w:hAnsiTheme="minorHAnsi" w:cstheme="minorHAnsi"/>
                <w:sz w:val="20"/>
                <w:szCs w:val="20"/>
              </w:rPr>
            </w:pPr>
            <w:r w:rsidRPr="001F6736">
              <w:rPr>
                <w:rStyle w:val="normaltextrun"/>
                <w:rFonts w:cs="Calibri"/>
                <w:sz w:val="20"/>
                <w:szCs w:val="20"/>
              </w:rPr>
              <w:t>COL</w:t>
            </w:r>
          </w:p>
        </w:tc>
        <w:tc>
          <w:tcPr>
            <w:tcW w:w="6336" w:type="dxa"/>
            <w:shd w:val="clear" w:color="auto" w:fill="FFFFFF" w:themeFill="background1"/>
          </w:tcPr>
          <w:p w14:paraId="0223F78B" w14:textId="787E6715" w:rsidR="00753EED" w:rsidRPr="001F6736" w:rsidRDefault="00753EED" w:rsidP="00753EED">
            <w:pPr>
              <w:spacing w:line="276" w:lineRule="auto"/>
              <w:rPr>
                <w:rFonts w:asciiTheme="minorHAnsi" w:hAnsiTheme="minorHAnsi" w:cstheme="minorHAnsi"/>
                <w:sz w:val="20"/>
                <w:szCs w:val="20"/>
              </w:rPr>
            </w:pPr>
            <w:r w:rsidRPr="001F6736">
              <w:rPr>
                <w:rStyle w:val="normaltextrun"/>
                <w:rFonts w:cs="Calibri"/>
                <w:sz w:val="20"/>
                <w:szCs w:val="20"/>
              </w:rPr>
              <w:t>Colorectal Cancer Screening  </w:t>
            </w:r>
            <w:r w:rsidRPr="001F6736">
              <w:rPr>
                <w:rStyle w:val="eop"/>
                <w:rFonts w:cs="Calibri"/>
                <w:sz w:val="20"/>
                <w:szCs w:val="20"/>
              </w:rPr>
              <w:t> </w:t>
            </w:r>
          </w:p>
        </w:tc>
        <w:tc>
          <w:tcPr>
            <w:tcW w:w="922" w:type="dxa"/>
            <w:shd w:val="clear" w:color="auto" w:fill="FFFFFF" w:themeFill="background1"/>
            <w:vAlign w:val="center"/>
          </w:tcPr>
          <w:p w14:paraId="751A71E4" w14:textId="7589B664" w:rsidR="00753EED" w:rsidRPr="001F6736" w:rsidRDefault="007B6EBE" w:rsidP="00753EED">
            <w:pPr>
              <w:spacing w:line="276" w:lineRule="auto"/>
              <w:jc w:val="center"/>
              <w:rPr>
                <w:rFonts w:asciiTheme="minorHAnsi" w:hAnsiTheme="minorHAnsi" w:cstheme="minorHAnsi"/>
                <w:sz w:val="18"/>
                <w:szCs w:val="18"/>
              </w:rPr>
            </w:pPr>
            <w:r w:rsidRPr="001F6736">
              <w:rPr>
                <w:rFonts w:cs="Calibri"/>
                <w:color w:val="000000"/>
                <w:sz w:val="18"/>
                <w:szCs w:val="18"/>
              </w:rPr>
              <w:t>79.1%</w:t>
            </w:r>
          </w:p>
        </w:tc>
        <w:tc>
          <w:tcPr>
            <w:tcW w:w="922" w:type="dxa"/>
            <w:shd w:val="clear" w:color="auto" w:fill="FFFFFF" w:themeFill="background1"/>
            <w:vAlign w:val="center"/>
          </w:tcPr>
          <w:p w14:paraId="12903CD4" w14:textId="3F270600" w:rsidR="00753EED" w:rsidRPr="001F6736" w:rsidRDefault="007B6EBE" w:rsidP="00753EED">
            <w:pPr>
              <w:spacing w:line="276" w:lineRule="auto"/>
              <w:jc w:val="center"/>
              <w:rPr>
                <w:rFonts w:asciiTheme="minorHAnsi" w:hAnsiTheme="minorHAnsi" w:cstheme="minorHAnsi"/>
                <w:sz w:val="18"/>
                <w:szCs w:val="18"/>
              </w:rPr>
            </w:pPr>
            <w:r w:rsidRPr="001F6736">
              <w:rPr>
                <w:rFonts w:cs="Calibri"/>
                <w:color w:val="000000"/>
                <w:sz w:val="18"/>
                <w:szCs w:val="18"/>
              </w:rPr>
              <w:t>77.6%</w:t>
            </w:r>
          </w:p>
        </w:tc>
        <w:tc>
          <w:tcPr>
            <w:tcW w:w="922" w:type="dxa"/>
            <w:shd w:val="clear" w:color="auto" w:fill="FFFFFF" w:themeFill="background1"/>
            <w:vAlign w:val="center"/>
          </w:tcPr>
          <w:p w14:paraId="427A5460" w14:textId="571E0896" w:rsidR="00753EED" w:rsidRPr="001F6736" w:rsidRDefault="007B6EBE" w:rsidP="00753EED">
            <w:pPr>
              <w:spacing w:line="276" w:lineRule="auto"/>
              <w:jc w:val="center"/>
              <w:rPr>
                <w:rFonts w:asciiTheme="minorHAnsi" w:hAnsiTheme="minorHAnsi" w:cstheme="minorHAnsi"/>
                <w:sz w:val="18"/>
                <w:szCs w:val="18"/>
              </w:rPr>
            </w:pPr>
            <w:r w:rsidRPr="001F6736">
              <w:rPr>
                <w:rFonts w:cs="Calibri"/>
                <w:color w:val="000000"/>
                <w:sz w:val="18"/>
                <w:szCs w:val="18"/>
              </w:rPr>
              <w:t>78.8%</w:t>
            </w:r>
          </w:p>
        </w:tc>
        <w:tc>
          <w:tcPr>
            <w:tcW w:w="922" w:type="dxa"/>
            <w:shd w:val="clear" w:color="auto" w:fill="FFFFFF" w:themeFill="background1"/>
            <w:vAlign w:val="center"/>
          </w:tcPr>
          <w:p w14:paraId="6A03CC07" w14:textId="363C537C" w:rsidR="00753EED" w:rsidRPr="001F6736" w:rsidRDefault="007B6EBE" w:rsidP="00753EED">
            <w:pPr>
              <w:spacing w:line="276" w:lineRule="auto"/>
              <w:jc w:val="center"/>
              <w:rPr>
                <w:rFonts w:asciiTheme="minorHAnsi" w:hAnsiTheme="minorHAnsi" w:cstheme="minorHAnsi"/>
                <w:sz w:val="18"/>
                <w:szCs w:val="18"/>
              </w:rPr>
            </w:pPr>
            <w:r w:rsidRPr="001F6736">
              <w:rPr>
                <w:rFonts w:cs="Calibri"/>
                <w:color w:val="000000"/>
                <w:sz w:val="18"/>
                <w:szCs w:val="18"/>
              </w:rPr>
              <w:t>66.2%</w:t>
            </w:r>
          </w:p>
        </w:tc>
        <w:tc>
          <w:tcPr>
            <w:tcW w:w="922" w:type="dxa"/>
            <w:shd w:val="clear" w:color="auto" w:fill="FFFFFF" w:themeFill="background1"/>
            <w:vAlign w:val="center"/>
          </w:tcPr>
          <w:p w14:paraId="2EB70AA0" w14:textId="435B9297" w:rsidR="00753EED" w:rsidRPr="001F6736" w:rsidRDefault="007B6EBE" w:rsidP="00753EED">
            <w:pPr>
              <w:spacing w:line="276" w:lineRule="auto"/>
              <w:jc w:val="center"/>
              <w:rPr>
                <w:rFonts w:asciiTheme="minorHAnsi" w:hAnsiTheme="minorHAnsi" w:cstheme="minorHAnsi"/>
                <w:sz w:val="18"/>
                <w:szCs w:val="18"/>
              </w:rPr>
            </w:pPr>
            <w:r w:rsidRPr="001F6736">
              <w:rPr>
                <w:rFonts w:cs="Calibri"/>
                <w:color w:val="000000"/>
                <w:sz w:val="18"/>
                <w:szCs w:val="18"/>
              </w:rPr>
              <w:t>75.7%</w:t>
            </w:r>
          </w:p>
        </w:tc>
        <w:tc>
          <w:tcPr>
            <w:tcW w:w="922" w:type="dxa"/>
            <w:shd w:val="clear" w:color="auto" w:fill="FFFFFF" w:themeFill="background1"/>
            <w:vAlign w:val="center"/>
          </w:tcPr>
          <w:p w14:paraId="3F1F6D0C" w14:textId="2B137CD4" w:rsidR="00753EED" w:rsidRPr="001F6736" w:rsidRDefault="007B6EBE" w:rsidP="00753EED">
            <w:pPr>
              <w:spacing w:line="276" w:lineRule="auto"/>
              <w:jc w:val="center"/>
              <w:rPr>
                <w:rFonts w:asciiTheme="minorHAnsi" w:hAnsiTheme="minorHAnsi" w:cstheme="minorHAnsi"/>
                <w:sz w:val="18"/>
                <w:szCs w:val="18"/>
              </w:rPr>
            </w:pPr>
            <w:r w:rsidRPr="001F6736">
              <w:rPr>
                <w:rFonts w:cs="Calibri"/>
                <w:color w:val="000000"/>
                <w:sz w:val="18"/>
                <w:szCs w:val="18"/>
              </w:rPr>
              <w:t>72.5%</w:t>
            </w:r>
          </w:p>
        </w:tc>
        <w:tc>
          <w:tcPr>
            <w:tcW w:w="922" w:type="dxa"/>
            <w:shd w:val="clear" w:color="auto" w:fill="FFFFFF" w:themeFill="background1"/>
            <w:vAlign w:val="center"/>
          </w:tcPr>
          <w:p w14:paraId="33A745CB" w14:textId="25A89FEB" w:rsidR="00753EED" w:rsidRPr="001F6736" w:rsidRDefault="007B6EBE" w:rsidP="00753EED">
            <w:pPr>
              <w:spacing w:line="276" w:lineRule="auto"/>
              <w:jc w:val="center"/>
              <w:rPr>
                <w:rFonts w:asciiTheme="minorHAnsi" w:hAnsiTheme="minorHAnsi" w:cstheme="minorHAnsi"/>
                <w:sz w:val="18"/>
                <w:szCs w:val="18"/>
              </w:rPr>
            </w:pPr>
            <w:r w:rsidRPr="001F6736">
              <w:rPr>
                <w:rFonts w:cs="Calibri"/>
                <w:color w:val="000000"/>
                <w:sz w:val="18"/>
                <w:szCs w:val="18"/>
              </w:rPr>
              <w:t>88.1%</w:t>
            </w:r>
          </w:p>
        </w:tc>
      </w:tr>
      <w:tr w:rsidR="001174AB" w14:paraId="004DC26B" w14:textId="77777777" w:rsidTr="00AB45B8">
        <w:trPr>
          <w:trHeight w:val="302"/>
        </w:trPr>
        <w:tc>
          <w:tcPr>
            <w:tcW w:w="1440" w:type="dxa"/>
            <w:shd w:val="clear" w:color="auto" w:fill="F2F2F2" w:themeFill="background1" w:themeFillShade="F2"/>
          </w:tcPr>
          <w:p w14:paraId="2858B6EA" w14:textId="7F3F8FD6" w:rsidR="001174AB" w:rsidRPr="001F6736" w:rsidRDefault="007C3D56" w:rsidP="00C03C7E">
            <w:pPr>
              <w:pStyle w:val="paragraph"/>
              <w:spacing w:before="0" w:beforeAutospacing="0" w:after="0" w:afterAutospacing="0"/>
              <w:ind w:right="135"/>
              <w:jc w:val="center"/>
              <w:textAlignment w:val="baseline"/>
              <w:divId w:val="1954239654"/>
              <w:rPr>
                <w:rFonts w:ascii="Segoe UI" w:hAnsi="Segoe UI" w:cs="Segoe UI"/>
                <w:sz w:val="20"/>
                <w:szCs w:val="20"/>
              </w:rPr>
            </w:pPr>
            <w:r w:rsidRPr="001F6736">
              <w:rPr>
                <w:rStyle w:val="normaltextrun"/>
                <w:rFonts w:ascii="Calibri" w:hAnsi="Calibri" w:cs="Calibri"/>
                <w:sz w:val="20"/>
                <w:szCs w:val="20"/>
              </w:rPr>
              <w:t>FV</w:t>
            </w:r>
            <w:r w:rsidR="00B55D02" w:rsidRPr="001F6736">
              <w:rPr>
                <w:rStyle w:val="normaltextrun"/>
                <w:rFonts w:ascii="Calibri" w:hAnsi="Calibri" w:cs="Calibri"/>
                <w:sz w:val="20"/>
                <w:szCs w:val="20"/>
              </w:rPr>
              <w:t>A</w:t>
            </w:r>
          </w:p>
        </w:tc>
        <w:tc>
          <w:tcPr>
            <w:tcW w:w="6336" w:type="dxa"/>
            <w:shd w:val="clear" w:color="auto" w:fill="F2F2F2" w:themeFill="background1" w:themeFillShade="F2"/>
          </w:tcPr>
          <w:p w14:paraId="27AF7F85" w14:textId="521C159A" w:rsidR="001174AB" w:rsidRPr="001F6736" w:rsidRDefault="007C3D56" w:rsidP="005E28C3">
            <w:pPr>
              <w:spacing w:line="276" w:lineRule="auto"/>
              <w:rPr>
                <w:rFonts w:asciiTheme="minorHAnsi" w:hAnsiTheme="minorHAnsi" w:cstheme="minorHAnsi"/>
                <w:sz w:val="20"/>
                <w:szCs w:val="20"/>
              </w:rPr>
            </w:pPr>
            <w:r w:rsidRPr="001F6736">
              <w:rPr>
                <w:rStyle w:val="normaltextrun"/>
                <w:rFonts w:cs="Calibri"/>
                <w:sz w:val="20"/>
                <w:szCs w:val="20"/>
              </w:rPr>
              <w:t>Influenza Immunization (age 65+)</w:t>
            </w:r>
          </w:p>
        </w:tc>
        <w:tc>
          <w:tcPr>
            <w:tcW w:w="922" w:type="dxa"/>
            <w:shd w:val="clear" w:color="auto" w:fill="F2F2F2" w:themeFill="background1" w:themeFillShade="F2"/>
            <w:vAlign w:val="center"/>
          </w:tcPr>
          <w:p w14:paraId="6C0F394B" w14:textId="2B3111B3" w:rsidR="001174AB" w:rsidRPr="0039776A" w:rsidRDefault="00B55D02" w:rsidP="005E28C3">
            <w:pPr>
              <w:spacing w:line="276" w:lineRule="auto"/>
              <w:jc w:val="center"/>
              <w:rPr>
                <w:rFonts w:asciiTheme="minorHAnsi" w:hAnsiTheme="minorHAnsi" w:cstheme="minorHAnsi"/>
                <w:sz w:val="18"/>
                <w:szCs w:val="18"/>
              </w:rPr>
            </w:pPr>
            <w:r>
              <w:rPr>
                <w:rFonts w:asciiTheme="minorHAnsi" w:hAnsiTheme="minorHAnsi" w:cstheme="minorHAnsi"/>
                <w:sz w:val="18"/>
                <w:szCs w:val="18"/>
              </w:rPr>
              <w:t>80.0%</w:t>
            </w:r>
          </w:p>
        </w:tc>
        <w:tc>
          <w:tcPr>
            <w:tcW w:w="922" w:type="dxa"/>
            <w:shd w:val="clear" w:color="auto" w:fill="F2F2F2" w:themeFill="background1" w:themeFillShade="F2"/>
            <w:vAlign w:val="center"/>
          </w:tcPr>
          <w:p w14:paraId="1F15E171" w14:textId="004E7DCA" w:rsidR="001174AB" w:rsidRPr="0039776A" w:rsidRDefault="006C47E4" w:rsidP="005E28C3">
            <w:pPr>
              <w:spacing w:line="276" w:lineRule="auto"/>
              <w:jc w:val="center"/>
              <w:rPr>
                <w:rFonts w:asciiTheme="minorHAnsi" w:hAnsiTheme="minorHAnsi" w:cstheme="minorHAnsi"/>
                <w:sz w:val="18"/>
                <w:szCs w:val="18"/>
              </w:rPr>
            </w:pPr>
            <w:r>
              <w:rPr>
                <w:rFonts w:asciiTheme="minorHAnsi" w:hAnsiTheme="minorHAnsi" w:cstheme="minorHAnsi"/>
                <w:sz w:val="18"/>
                <w:szCs w:val="18"/>
              </w:rPr>
              <w:t>77.0%</w:t>
            </w:r>
          </w:p>
        </w:tc>
        <w:tc>
          <w:tcPr>
            <w:tcW w:w="922" w:type="dxa"/>
            <w:shd w:val="clear" w:color="auto" w:fill="F2F2F2" w:themeFill="background1" w:themeFillShade="F2"/>
            <w:vAlign w:val="center"/>
          </w:tcPr>
          <w:p w14:paraId="257674CF" w14:textId="6A400DA0" w:rsidR="001174AB" w:rsidRPr="0039776A" w:rsidRDefault="006C47E4" w:rsidP="005E28C3">
            <w:pPr>
              <w:spacing w:line="276" w:lineRule="auto"/>
              <w:jc w:val="center"/>
              <w:rPr>
                <w:rFonts w:asciiTheme="minorHAnsi" w:hAnsiTheme="minorHAnsi" w:cstheme="minorHAnsi"/>
                <w:sz w:val="18"/>
                <w:szCs w:val="18"/>
              </w:rPr>
            </w:pPr>
            <w:r>
              <w:rPr>
                <w:rFonts w:asciiTheme="minorHAnsi" w:hAnsiTheme="minorHAnsi" w:cstheme="minorHAnsi"/>
                <w:sz w:val="18"/>
                <w:szCs w:val="18"/>
              </w:rPr>
              <w:t>78.0%</w:t>
            </w:r>
          </w:p>
        </w:tc>
        <w:tc>
          <w:tcPr>
            <w:tcW w:w="922" w:type="dxa"/>
            <w:shd w:val="clear" w:color="auto" w:fill="F2F2F2" w:themeFill="background1" w:themeFillShade="F2"/>
            <w:vAlign w:val="center"/>
          </w:tcPr>
          <w:p w14:paraId="4C6BEAFC" w14:textId="57F8BEF9" w:rsidR="001174AB" w:rsidRPr="0039776A" w:rsidRDefault="00BD7D29" w:rsidP="005E28C3">
            <w:pPr>
              <w:spacing w:line="276" w:lineRule="auto"/>
              <w:jc w:val="center"/>
              <w:rPr>
                <w:rFonts w:asciiTheme="minorHAnsi" w:hAnsiTheme="minorHAnsi" w:cstheme="minorHAnsi"/>
                <w:sz w:val="18"/>
                <w:szCs w:val="18"/>
              </w:rPr>
            </w:pPr>
            <w:r>
              <w:rPr>
                <w:rFonts w:asciiTheme="minorHAnsi" w:hAnsiTheme="minorHAnsi" w:cstheme="minorHAnsi"/>
                <w:sz w:val="18"/>
                <w:szCs w:val="18"/>
              </w:rPr>
              <w:t>79.0%</w:t>
            </w:r>
          </w:p>
        </w:tc>
        <w:tc>
          <w:tcPr>
            <w:tcW w:w="922" w:type="dxa"/>
            <w:shd w:val="clear" w:color="auto" w:fill="F2F2F2" w:themeFill="background1" w:themeFillShade="F2"/>
            <w:vAlign w:val="center"/>
          </w:tcPr>
          <w:p w14:paraId="6322B1D1" w14:textId="0E484DE7" w:rsidR="001174AB" w:rsidRPr="0039776A" w:rsidRDefault="00BD7D29" w:rsidP="005E28C3">
            <w:pPr>
              <w:spacing w:line="276" w:lineRule="auto"/>
              <w:jc w:val="center"/>
              <w:rPr>
                <w:rFonts w:asciiTheme="minorHAnsi" w:hAnsiTheme="minorHAnsi" w:cstheme="minorHAnsi"/>
                <w:sz w:val="18"/>
                <w:szCs w:val="18"/>
              </w:rPr>
            </w:pPr>
            <w:r>
              <w:rPr>
                <w:rFonts w:asciiTheme="minorHAnsi" w:hAnsiTheme="minorHAnsi" w:cstheme="minorHAnsi"/>
                <w:sz w:val="18"/>
                <w:szCs w:val="18"/>
              </w:rPr>
              <w:t>79.0%</w:t>
            </w:r>
          </w:p>
        </w:tc>
        <w:tc>
          <w:tcPr>
            <w:tcW w:w="922" w:type="dxa"/>
            <w:shd w:val="clear" w:color="auto" w:fill="F2F2F2" w:themeFill="background1" w:themeFillShade="F2"/>
            <w:vAlign w:val="center"/>
          </w:tcPr>
          <w:p w14:paraId="450C8AD3" w14:textId="21E78D03" w:rsidR="001174AB" w:rsidRPr="0039776A" w:rsidRDefault="00BD7D29" w:rsidP="005E28C3">
            <w:pPr>
              <w:spacing w:line="276" w:lineRule="auto"/>
              <w:jc w:val="center"/>
              <w:rPr>
                <w:rFonts w:asciiTheme="minorHAnsi" w:hAnsiTheme="minorHAnsi" w:cstheme="minorHAnsi"/>
                <w:sz w:val="18"/>
                <w:szCs w:val="18"/>
              </w:rPr>
            </w:pPr>
            <w:r>
              <w:rPr>
                <w:rFonts w:asciiTheme="minorHAnsi" w:hAnsiTheme="minorHAnsi" w:cstheme="minorHAnsi"/>
                <w:sz w:val="18"/>
                <w:szCs w:val="18"/>
              </w:rPr>
              <w:t>86.0%</w:t>
            </w:r>
          </w:p>
        </w:tc>
        <w:tc>
          <w:tcPr>
            <w:tcW w:w="922" w:type="dxa"/>
            <w:shd w:val="clear" w:color="auto" w:fill="F2F2F2" w:themeFill="background1" w:themeFillShade="F2"/>
            <w:vAlign w:val="center"/>
          </w:tcPr>
          <w:p w14:paraId="0D3689B6" w14:textId="746F6E7F" w:rsidR="001174AB" w:rsidRPr="0039776A" w:rsidRDefault="00BD7D29" w:rsidP="005E28C3">
            <w:pPr>
              <w:spacing w:line="276" w:lineRule="auto"/>
              <w:jc w:val="center"/>
              <w:rPr>
                <w:rFonts w:asciiTheme="minorHAnsi" w:hAnsiTheme="minorHAnsi" w:cstheme="minorHAnsi"/>
                <w:sz w:val="18"/>
                <w:szCs w:val="18"/>
              </w:rPr>
            </w:pPr>
            <w:r>
              <w:rPr>
                <w:rFonts w:asciiTheme="minorHAnsi" w:hAnsiTheme="minorHAnsi" w:cstheme="minorHAnsi"/>
                <w:sz w:val="18"/>
                <w:szCs w:val="18"/>
              </w:rPr>
              <w:t>81.0%</w:t>
            </w:r>
          </w:p>
        </w:tc>
      </w:tr>
      <w:tr w:rsidR="00A34A26" w14:paraId="767007E2" w14:textId="77777777">
        <w:trPr>
          <w:trHeight w:val="302"/>
        </w:trPr>
        <w:tc>
          <w:tcPr>
            <w:tcW w:w="1440" w:type="dxa"/>
            <w:shd w:val="clear" w:color="auto" w:fill="FFFFFF" w:themeFill="background1"/>
          </w:tcPr>
          <w:p w14:paraId="4066A1A1" w14:textId="0139E0F4" w:rsidR="00A34A26" w:rsidRPr="001F6736" w:rsidRDefault="00A34A26" w:rsidP="00A34A26">
            <w:pPr>
              <w:spacing w:line="276" w:lineRule="auto"/>
              <w:jc w:val="center"/>
              <w:rPr>
                <w:rFonts w:asciiTheme="minorHAnsi" w:hAnsiTheme="minorHAnsi" w:cstheme="minorHAnsi"/>
                <w:sz w:val="20"/>
                <w:szCs w:val="20"/>
              </w:rPr>
            </w:pPr>
            <w:r w:rsidRPr="001F6736">
              <w:rPr>
                <w:rStyle w:val="normaltextrun"/>
                <w:rFonts w:cs="Calibri"/>
                <w:sz w:val="20"/>
                <w:szCs w:val="20"/>
              </w:rPr>
              <w:t>COA</w:t>
            </w:r>
          </w:p>
        </w:tc>
        <w:tc>
          <w:tcPr>
            <w:tcW w:w="6336" w:type="dxa"/>
            <w:shd w:val="clear" w:color="auto" w:fill="FFFFFF" w:themeFill="background1"/>
          </w:tcPr>
          <w:p w14:paraId="14E6AE16" w14:textId="3AB40A39" w:rsidR="00A34A26" w:rsidRPr="001F6736" w:rsidRDefault="00A34A26" w:rsidP="00A34A26">
            <w:pPr>
              <w:spacing w:line="276" w:lineRule="auto"/>
              <w:rPr>
                <w:rFonts w:asciiTheme="minorHAnsi" w:hAnsiTheme="minorHAnsi" w:cstheme="minorHAnsi"/>
                <w:sz w:val="20"/>
                <w:szCs w:val="20"/>
              </w:rPr>
            </w:pPr>
            <w:r w:rsidRPr="001F6736">
              <w:rPr>
                <w:rStyle w:val="normaltextrun"/>
                <w:rFonts w:cs="Calibri"/>
                <w:sz w:val="20"/>
                <w:szCs w:val="20"/>
              </w:rPr>
              <w:t>Care For Older Adults: Advance Care Plan</w:t>
            </w:r>
            <w:r w:rsidRPr="001F6736">
              <w:rPr>
                <w:rStyle w:val="eop"/>
                <w:rFonts w:cs="Calibri"/>
                <w:sz w:val="20"/>
                <w:szCs w:val="20"/>
              </w:rPr>
              <w:t> </w:t>
            </w:r>
          </w:p>
        </w:tc>
        <w:tc>
          <w:tcPr>
            <w:tcW w:w="922" w:type="dxa"/>
            <w:vAlign w:val="center"/>
          </w:tcPr>
          <w:p w14:paraId="7CD46C5C" w14:textId="47E7EEA3" w:rsidR="00A34A26" w:rsidRPr="001F6736" w:rsidRDefault="00A81830" w:rsidP="00A34A26">
            <w:pPr>
              <w:spacing w:line="276" w:lineRule="auto"/>
              <w:jc w:val="center"/>
              <w:rPr>
                <w:rFonts w:asciiTheme="minorHAnsi" w:hAnsiTheme="minorHAnsi" w:cstheme="minorHAnsi"/>
                <w:sz w:val="18"/>
                <w:szCs w:val="18"/>
              </w:rPr>
            </w:pPr>
            <w:r w:rsidRPr="001F6736">
              <w:rPr>
                <w:rFonts w:cs="Calibri"/>
                <w:color w:val="000000"/>
                <w:sz w:val="18"/>
                <w:szCs w:val="18"/>
              </w:rPr>
              <w:t>49.6%</w:t>
            </w:r>
          </w:p>
        </w:tc>
        <w:tc>
          <w:tcPr>
            <w:tcW w:w="922" w:type="dxa"/>
            <w:vAlign w:val="center"/>
          </w:tcPr>
          <w:p w14:paraId="7C4DF12A" w14:textId="27BAC73F" w:rsidR="00A34A26" w:rsidRPr="001F6736" w:rsidRDefault="00A81830" w:rsidP="00A34A26">
            <w:pPr>
              <w:spacing w:line="276" w:lineRule="auto"/>
              <w:jc w:val="center"/>
              <w:rPr>
                <w:rFonts w:asciiTheme="minorHAnsi" w:hAnsiTheme="minorHAnsi" w:cstheme="minorHAnsi"/>
                <w:sz w:val="18"/>
                <w:szCs w:val="18"/>
              </w:rPr>
            </w:pPr>
            <w:r w:rsidRPr="001F6736">
              <w:rPr>
                <w:rFonts w:cs="Calibri"/>
                <w:color w:val="000000"/>
                <w:sz w:val="18"/>
                <w:szCs w:val="18"/>
              </w:rPr>
              <w:t>16.7%</w:t>
            </w:r>
          </w:p>
        </w:tc>
        <w:tc>
          <w:tcPr>
            <w:tcW w:w="922" w:type="dxa"/>
            <w:vAlign w:val="center"/>
          </w:tcPr>
          <w:p w14:paraId="5529E040" w14:textId="437A822B" w:rsidR="00A34A26" w:rsidRPr="001F6736" w:rsidRDefault="00A81830" w:rsidP="00A34A26">
            <w:pPr>
              <w:spacing w:line="276" w:lineRule="auto"/>
              <w:jc w:val="center"/>
              <w:rPr>
                <w:rFonts w:asciiTheme="minorHAnsi" w:hAnsiTheme="minorHAnsi" w:cstheme="minorHAnsi"/>
                <w:sz w:val="18"/>
                <w:szCs w:val="18"/>
              </w:rPr>
            </w:pPr>
            <w:r w:rsidRPr="001F6736">
              <w:rPr>
                <w:rFonts w:cs="Calibri"/>
                <w:color w:val="000000"/>
                <w:sz w:val="18"/>
                <w:szCs w:val="18"/>
              </w:rPr>
              <w:t>33.2%</w:t>
            </w:r>
          </w:p>
        </w:tc>
        <w:tc>
          <w:tcPr>
            <w:tcW w:w="922" w:type="dxa"/>
            <w:vAlign w:val="center"/>
          </w:tcPr>
          <w:p w14:paraId="428CEB2A" w14:textId="4DE093FF" w:rsidR="00A34A26" w:rsidRPr="001F6736" w:rsidRDefault="00A81830" w:rsidP="00A34A26">
            <w:pPr>
              <w:spacing w:line="276" w:lineRule="auto"/>
              <w:jc w:val="center"/>
              <w:rPr>
                <w:rFonts w:asciiTheme="minorHAnsi" w:hAnsiTheme="minorHAnsi" w:cstheme="minorHAnsi"/>
                <w:sz w:val="18"/>
                <w:szCs w:val="18"/>
              </w:rPr>
            </w:pPr>
            <w:r w:rsidRPr="001F6736">
              <w:rPr>
                <w:rFonts w:cs="Calibri"/>
                <w:color w:val="000000"/>
                <w:sz w:val="18"/>
                <w:szCs w:val="18"/>
              </w:rPr>
              <w:t>74.1%</w:t>
            </w:r>
          </w:p>
        </w:tc>
        <w:tc>
          <w:tcPr>
            <w:tcW w:w="922" w:type="dxa"/>
            <w:vAlign w:val="center"/>
          </w:tcPr>
          <w:p w14:paraId="33268406" w14:textId="3B9A7873" w:rsidR="00A34A26" w:rsidRPr="001F6736" w:rsidRDefault="00A81830" w:rsidP="00A34A26">
            <w:pPr>
              <w:spacing w:line="276" w:lineRule="auto"/>
              <w:jc w:val="center"/>
              <w:rPr>
                <w:rFonts w:asciiTheme="minorHAnsi" w:hAnsiTheme="minorHAnsi" w:cstheme="minorHAnsi"/>
                <w:sz w:val="18"/>
                <w:szCs w:val="18"/>
              </w:rPr>
            </w:pPr>
            <w:r w:rsidRPr="001F6736">
              <w:rPr>
                <w:rFonts w:cs="Calibri"/>
                <w:color w:val="000000"/>
                <w:sz w:val="18"/>
                <w:szCs w:val="18"/>
              </w:rPr>
              <w:t>41.2%</w:t>
            </w:r>
          </w:p>
        </w:tc>
        <w:tc>
          <w:tcPr>
            <w:tcW w:w="922" w:type="dxa"/>
            <w:vAlign w:val="center"/>
          </w:tcPr>
          <w:p w14:paraId="67A3A4E2" w14:textId="300BB350" w:rsidR="00A34A26" w:rsidRPr="001F6736" w:rsidRDefault="00A81830" w:rsidP="00A34A26">
            <w:pPr>
              <w:spacing w:line="276" w:lineRule="auto"/>
              <w:jc w:val="center"/>
              <w:rPr>
                <w:rFonts w:asciiTheme="minorHAnsi" w:hAnsiTheme="minorHAnsi" w:cstheme="minorHAnsi"/>
                <w:sz w:val="18"/>
                <w:szCs w:val="18"/>
              </w:rPr>
            </w:pPr>
            <w:r w:rsidRPr="001F6736">
              <w:rPr>
                <w:rFonts w:cs="Calibri"/>
                <w:color w:val="000000"/>
                <w:sz w:val="18"/>
                <w:szCs w:val="18"/>
              </w:rPr>
              <w:t>N/A</w:t>
            </w:r>
          </w:p>
        </w:tc>
        <w:tc>
          <w:tcPr>
            <w:tcW w:w="922" w:type="dxa"/>
            <w:vAlign w:val="center"/>
          </w:tcPr>
          <w:p w14:paraId="0BF94F9E" w14:textId="4BEACE3E" w:rsidR="00A34A26" w:rsidRPr="001F6736" w:rsidRDefault="00A81830" w:rsidP="00A34A26">
            <w:pPr>
              <w:spacing w:line="276" w:lineRule="auto"/>
              <w:jc w:val="center"/>
              <w:rPr>
                <w:rFonts w:asciiTheme="minorHAnsi" w:hAnsiTheme="minorHAnsi" w:cstheme="minorHAnsi"/>
                <w:sz w:val="18"/>
                <w:szCs w:val="18"/>
              </w:rPr>
            </w:pPr>
            <w:r w:rsidRPr="001F6736">
              <w:rPr>
                <w:rFonts w:cs="Calibri"/>
                <w:color w:val="000000"/>
                <w:sz w:val="18"/>
                <w:szCs w:val="18"/>
              </w:rPr>
              <w:t>59.0%</w:t>
            </w:r>
          </w:p>
        </w:tc>
      </w:tr>
      <w:tr w:rsidR="001174AB" w14:paraId="404904D4" w14:textId="77777777">
        <w:trPr>
          <w:trHeight w:val="302"/>
        </w:trPr>
        <w:tc>
          <w:tcPr>
            <w:tcW w:w="1440" w:type="dxa"/>
            <w:shd w:val="clear" w:color="auto" w:fill="F2F2F2" w:themeFill="background1" w:themeFillShade="F2"/>
          </w:tcPr>
          <w:p w14:paraId="2F64B2B2" w14:textId="2477A385" w:rsidR="001174AB" w:rsidRPr="001F6736" w:rsidRDefault="007C3D56" w:rsidP="005E28C3">
            <w:pPr>
              <w:spacing w:line="276" w:lineRule="auto"/>
              <w:jc w:val="center"/>
              <w:rPr>
                <w:rFonts w:asciiTheme="minorHAnsi" w:hAnsiTheme="minorHAnsi" w:cstheme="minorHAnsi"/>
                <w:sz w:val="20"/>
                <w:szCs w:val="20"/>
              </w:rPr>
            </w:pPr>
            <w:r w:rsidRPr="001F6736">
              <w:rPr>
                <w:rStyle w:val="normaltextrun"/>
                <w:rFonts w:cs="Calibri"/>
                <w:sz w:val="20"/>
                <w:szCs w:val="20"/>
              </w:rPr>
              <w:t>TRC</w:t>
            </w:r>
          </w:p>
        </w:tc>
        <w:tc>
          <w:tcPr>
            <w:tcW w:w="6336" w:type="dxa"/>
            <w:shd w:val="clear" w:color="auto" w:fill="F2F2F2" w:themeFill="background1" w:themeFillShade="F2"/>
          </w:tcPr>
          <w:p w14:paraId="61EAD186" w14:textId="1654E7DB" w:rsidR="001174AB" w:rsidRPr="001F6736" w:rsidRDefault="007C3D56" w:rsidP="005E28C3">
            <w:pPr>
              <w:spacing w:line="276" w:lineRule="auto"/>
              <w:rPr>
                <w:rFonts w:asciiTheme="minorHAnsi" w:hAnsiTheme="minorHAnsi" w:cstheme="minorHAnsi"/>
                <w:sz w:val="20"/>
                <w:szCs w:val="20"/>
              </w:rPr>
            </w:pPr>
            <w:r w:rsidRPr="001F6736">
              <w:rPr>
                <w:rStyle w:val="normaltextrun"/>
                <w:rFonts w:cs="Calibri"/>
                <w:sz w:val="20"/>
                <w:szCs w:val="20"/>
              </w:rPr>
              <w:t>Transitions of Care: Medication Reconciliation Post-Discharge</w:t>
            </w:r>
            <w:r w:rsidRPr="001F6736">
              <w:rPr>
                <w:rStyle w:val="eop"/>
                <w:rFonts w:cs="Calibri"/>
                <w:sz w:val="20"/>
                <w:szCs w:val="20"/>
              </w:rPr>
              <w:t> </w:t>
            </w:r>
          </w:p>
        </w:tc>
        <w:tc>
          <w:tcPr>
            <w:tcW w:w="922" w:type="dxa"/>
            <w:shd w:val="clear" w:color="auto" w:fill="F2F2F2" w:themeFill="background1" w:themeFillShade="F2"/>
            <w:vAlign w:val="center"/>
          </w:tcPr>
          <w:p w14:paraId="42EB5EBD" w14:textId="4FD7C203" w:rsidR="001174AB" w:rsidRPr="001F6736" w:rsidRDefault="008622C5" w:rsidP="005E28C3">
            <w:pPr>
              <w:spacing w:line="276" w:lineRule="auto"/>
              <w:jc w:val="center"/>
              <w:rPr>
                <w:rFonts w:asciiTheme="minorHAnsi" w:hAnsiTheme="minorHAnsi" w:cstheme="minorHAnsi"/>
                <w:sz w:val="18"/>
                <w:szCs w:val="18"/>
              </w:rPr>
            </w:pPr>
            <w:r w:rsidRPr="001F6736">
              <w:rPr>
                <w:rFonts w:cs="Calibri"/>
                <w:color w:val="000000"/>
                <w:sz w:val="18"/>
                <w:szCs w:val="18"/>
              </w:rPr>
              <w:t>74.4%</w:t>
            </w:r>
          </w:p>
        </w:tc>
        <w:tc>
          <w:tcPr>
            <w:tcW w:w="922" w:type="dxa"/>
            <w:shd w:val="clear" w:color="auto" w:fill="F2F2F2" w:themeFill="background1" w:themeFillShade="F2"/>
            <w:vAlign w:val="center"/>
          </w:tcPr>
          <w:p w14:paraId="5A9E5964" w14:textId="233ACBF3" w:rsidR="001174AB" w:rsidRPr="001F6736" w:rsidRDefault="008622C5" w:rsidP="005E28C3">
            <w:pPr>
              <w:spacing w:line="276" w:lineRule="auto"/>
              <w:jc w:val="center"/>
              <w:rPr>
                <w:rFonts w:asciiTheme="minorHAnsi" w:hAnsiTheme="minorHAnsi" w:cstheme="minorHAnsi"/>
                <w:sz w:val="18"/>
                <w:szCs w:val="18"/>
              </w:rPr>
            </w:pPr>
            <w:r w:rsidRPr="001F6736">
              <w:rPr>
                <w:rFonts w:cs="Calibri"/>
                <w:color w:val="000000"/>
                <w:sz w:val="18"/>
                <w:szCs w:val="18"/>
              </w:rPr>
              <w:t>82.1%</w:t>
            </w:r>
          </w:p>
        </w:tc>
        <w:tc>
          <w:tcPr>
            <w:tcW w:w="922" w:type="dxa"/>
            <w:shd w:val="clear" w:color="auto" w:fill="F2F2F2" w:themeFill="background1" w:themeFillShade="F2"/>
            <w:vAlign w:val="center"/>
          </w:tcPr>
          <w:p w14:paraId="07D83E47" w14:textId="21AF0178" w:rsidR="001174AB" w:rsidRPr="001F6736" w:rsidRDefault="008622C5" w:rsidP="005E28C3">
            <w:pPr>
              <w:spacing w:line="276" w:lineRule="auto"/>
              <w:jc w:val="center"/>
              <w:rPr>
                <w:rFonts w:asciiTheme="minorHAnsi" w:hAnsiTheme="minorHAnsi" w:cstheme="minorHAnsi"/>
                <w:sz w:val="18"/>
                <w:szCs w:val="18"/>
              </w:rPr>
            </w:pPr>
            <w:r w:rsidRPr="001F6736">
              <w:rPr>
                <w:rFonts w:cs="Calibri"/>
                <w:color w:val="000000"/>
                <w:sz w:val="18"/>
                <w:szCs w:val="18"/>
              </w:rPr>
              <w:t>86.1%</w:t>
            </w:r>
          </w:p>
        </w:tc>
        <w:tc>
          <w:tcPr>
            <w:tcW w:w="922" w:type="dxa"/>
            <w:shd w:val="clear" w:color="auto" w:fill="F2F2F2" w:themeFill="background1" w:themeFillShade="F2"/>
            <w:vAlign w:val="center"/>
          </w:tcPr>
          <w:p w14:paraId="0DD9E151" w14:textId="51D82A6A" w:rsidR="001174AB" w:rsidRPr="001F6736" w:rsidRDefault="008622C5" w:rsidP="005E28C3">
            <w:pPr>
              <w:spacing w:line="276" w:lineRule="auto"/>
              <w:jc w:val="center"/>
              <w:rPr>
                <w:rFonts w:asciiTheme="minorHAnsi" w:hAnsiTheme="minorHAnsi" w:cstheme="minorHAnsi"/>
                <w:sz w:val="18"/>
                <w:szCs w:val="18"/>
              </w:rPr>
            </w:pPr>
            <w:r w:rsidRPr="001F6736">
              <w:rPr>
                <w:rFonts w:cs="Calibri"/>
                <w:color w:val="000000"/>
                <w:sz w:val="18"/>
                <w:szCs w:val="18"/>
              </w:rPr>
              <w:t>89.5%</w:t>
            </w:r>
          </w:p>
        </w:tc>
        <w:tc>
          <w:tcPr>
            <w:tcW w:w="922" w:type="dxa"/>
            <w:shd w:val="clear" w:color="auto" w:fill="F2F2F2" w:themeFill="background1" w:themeFillShade="F2"/>
            <w:vAlign w:val="center"/>
          </w:tcPr>
          <w:p w14:paraId="7AA5AAC0" w14:textId="6CE00BD5" w:rsidR="001174AB" w:rsidRPr="001F6736" w:rsidRDefault="008622C5" w:rsidP="005E28C3">
            <w:pPr>
              <w:spacing w:line="276" w:lineRule="auto"/>
              <w:jc w:val="center"/>
              <w:rPr>
                <w:rFonts w:asciiTheme="minorHAnsi" w:hAnsiTheme="minorHAnsi" w:cstheme="minorHAnsi"/>
                <w:sz w:val="18"/>
                <w:szCs w:val="18"/>
              </w:rPr>
            </w:pPr>
            <w:r w:rsidRPr="001F6736">
              <w:rPr>
                <w:rFonts w:cs="Calibri"/>
                <w:color w:val="000000"/>
                <w:sz w:val="18"/>
                <w:szCs w:val="18"/>
              </w:rPr>
              <w:t>57.2%</w:t>
            </w:r>
          </w:p>
        </w:tc>
        <w:tc>
          <w:tcPr>
            <w:tcW w:w="922" w:type="dxa"/>
            <w:shd w:val="clear" w:color="auto" w:fill="F2F2F2" w:themeFill="background1" w:themeFillShade="F2"/>
            <w:vAlign w:val="center"/>
          </w:tcPr>
          <w:p w14:paraId="40948F25" w14:textId="6A32D6B9" w:rsidR="001174AB" w:rsidRPr="001F6736" w:rsidRDefault="008622C5" w:rsidP="005E28C3">
            <w:pPr>
              <w:spacing w:line="276" w:lineRule="auto"/>
              <w:jc w:val="center"/>
              <w:rPr>
                <w:rFonts w:asciiTheme="minorHAnsi" w:hAnsiTheme="minorHAnsi" w:cstheme="minorHAnsi"/>
                <w:sz w:val="18"/>
                <w:szCs w:val="18"/>
              </w:rPr>
            </w:pPr>
            <w:r w:rsidRPr="001F6736">
              <w:rPr>
                <w:rFonts w:cs="Calibri"/>
                <w:color w:val="000000"/>
                <w:sz w:val="18"/>
                <w:szCs w:val="18"/>
              </w:rPr>
              <w:t>55.7%</w:t>
            </w:r>
          </w:p>
        </w:tc>
        <w:tc>
          <w:tcPr>
            <w:tcW w:w="922" w:type="dxa"/>
            <w:shd w:val="clear" w:color="auto" w:fill="F2F2F2" w:themeFill="background1" w:themeFillShade="F2"/>
            <w:vAlign w:val="center"/>
          </w:tcPr>
          <w:p w14:paraId="1E4460F9" w14:textId="3B646A39" w:rsidR="001174AB" w:rsidRPr="001F6736" w:rsidRDefault="008622C5" w:rsidP="005E28C3">
            <w:pPr>
              <w:spacing w:line="276" w:lineRule="auto"/>
              <w:jc w:val="center"/>
              <w:rPr>
                <w:rFonts w:asciiTheme="minorHAnsi" w:hAnsiTheme="minorHAnsi" w:cstheme="minorHAnsi"/>
                <w:sz w:val="18"/>
                <w:szCs w:val="18"/>
              </w:rPr>
            </w:pPr>
            <w:r w:rsidRPr="001F6736">
              <w:rPr>
                <w:rFonts w:cs="Calibri"/>
                <w:color w:val="000000"/>
                <w:sz w:val="18"/>
                <w:szCs w:val="18"/>
              </w:rPr>
              <w:t>73.5%</w:t>
            </w:r>
          </w:p>
        </w:tc>
      </w:tr>
      <w:tr w:rsidR="001174AB" w14:paraId="5939AE59" w14:textId="77777777">
        <w:trPr>
          <w:trHeight w:val="302"/>
        </w:trPr>
        <w:tc>
          <w:tcPr>
            <w:tcW w:w="1440" w:type="dxa"/>
            <w:shd w:val="clear" w:color="auto" w:fill="FFFFFF" w:themeFill="background1"/>
          </w:tcPr>
          <w:p w14:paraId="5B2E5B4C" w14:textId="1CC8E59C" w:rsidR="001174AB" w:rsidRPr="001F6736" w:rsidRDefault="007C3D56" w:rsidP="005E28C3">
            <w:pPr>
              <w:spacing w:line="276" w:lineRule="auto"/>
              <w:jc w:val="center"/>
              <w:rPr>
                <w:rFonts w:asciiTheme="minorHAnsi" w:hAnsiTheme="minorHAnsi" w:cstheme="minorHAnsi"/>
                <w:sz w:val="20"/>
                <w:szCs w:val="20"/>
              </w:rPr>
            </w:pPr>
            <w:r w:rsidRPr="001F6736">
              <w:rPr>
                <w:rStyle w:val="normaltextrun"/>
                <w:rFonts w:cs="Calibri"/>
                <w:sz w:val="20"/>
                <w:szCs w:val="20"/>
              </w:rPr>
              <w:t>PBH</w:t>
            </w:r>
          </w:p>
        </w:tc>
        <w:tc>
          <w:tcPr>
            <w:tcW w:w="6336" w:type="dxa"/>
            <w:shd w:val="clear" w:color="auto" w:fill="FFFFFF" w:themeFill="background1"/>
          </w:tcPr>
          <w:p w14:paraId="4ED5721A" w14:textId="4CD77773" w:rsidR="001174AB" w:rsidRPr="001F6736" w:rsidRDefault="007C3D56" w:rsidP="005E28C3">
            <w:pPr>
              <w:spacing w:line="276" w:lineRule="auto"/>
              <w:rPr>
                <w:rFonts w:asciiTheme="minorHAnsi" w:hAnsiTheme="minorHAnsi" w:cstheme="minorHAnsi"/>
                <w:sz w:val="20"/>
                <w:szCs w:val="20"/>
              </w:rPr>
            </w:pPr>
            <w:r w:rsidRPr="001F6736">
              <w:rPr>
                <w:rStyle w:val="normaltextrun"/>
                <w:rFonts w:cs="Calibri"/>
                <w:sz w:val="20"/>
                <w:szCs w:val="20"/>
              </w:rPr>
              <w:t>Persistence of Beta Blocker Treatment After Heart Attack </w:t>
            </w:r>
            <w:r w:rsidRPr="001F6736">
              <w:rPr>
                <w:rStyle w:val="eop"/>
                <w:rFonts w:cs="Calibri"/>
                <w:sz w:val="20"/>
                <w:szCs w:val="20"/>
              </w:rPr>
              <w:t> </w:t>
            </w:r>
          </w:p>
        </w:tc>
        <w:tc>
          <w:tcPr>
            <w:tcW w:w="922" w:type="dxa"/>
            <w:vAlign w:val="center"/>
          </w:tcPr>
          <w:p w14:paraId="4C4B00B9" w14:textId="0AF664D9" w:rsidR="001174AB" w:rsidRPr="001F6736" w:rsidRDefault="00200A3C" w:rsidP="005E28C3">
            <w:pPr>
              <w:spacing w:line="276" w:lineRule="auto"/>
              <w:jc w:val="center"/>
              <w:rPr>
                <w:rFonts w:asciiTheme="minorHAnsi" w:hAnsiTheme="minorHAnsi" w:cstheme="minorHAnsi"/>
                <w:sz w:val="18"/>
                <w:szCs w:val="18"/>
              </w:rPr>
            </w:pPr>
            <w:r w:rsidRPr="001F6736">
              <w:rPr>
                <w:rFonts w:cs="Calibri"/>
                <w:color w:val="000000"/>
                <w:sz w:val="18"/>
                <w:szCs w:val="18"/>
              </w:rPr>
              <w:t>83.6%</w:t>
            </w:r>
          </w:p>
        </w:tc>
        <w:tc>
          <w:tcPr>
            <w:tcW w:w="922" w:type="dxa"/>
            <w:vAlign w:val="center"/>
          </w:tcPr>
          <w:p w14:paraId="74678C86" w14:textId="29877EF9" w:rsidR="001174AB" w:rsidRPr="001F6736" w:rsidRDefault="00200A3C" w:rsidP="005E28C3">
            <w:pPr>
              <w:spacing w:line="276" w:lineRule="auto"/>
              <w:jc w:val="center"/>
              <w:rPr>
                <w:rFonts w:asciiTheme="minorHAnsi" w:hAnsiTheme="minorHAnsi" w:cstheme="minorHAnsi"/>
                <w:sz w:val="18"/>
                <w:szCs w:val="18"/>
              </w:rPr>
            </w:pPr>
            <w:r w:rsidRPr="001F6736">
              <w:rPr>
                <w:rFonts w:cs="Calibri"/>
                <w:color w:val="000000"/>
                <w:sz w:val="18"/>
                <w:szCs w:val="18"/>
              </w:rPr>
              <w:t>N/A</w:t>
            </w:r>
          </w:p>
        </w:tc>
        <w:tc>
          <w:tcPr>
            <w:tcW w:w="922" w:type="dxa"/>
            <w:vAlign w:val="center"/>
          </w:tcPr>
          <w:p w14:paraId="4386F048" w14:textId="4E1EDB64" w:rsidR="001174AB" w:rsidRPr="001F6736" w:rsidRDefault="00200A3C" w:rsidP="005E28C3">
            <w:pPr>
              <w:spacing w:line="276" w:lineRule="auto"/>
              <w:jc w:val="center"/>
              <w:rPr>
                <w:rFonts w:asciiTheme="minorHAnsi" w:hAnsiTheme="minorHAnsi" w:cstheme="minorHAnsi"/>
                <w:sz w:val="18"/>
                <w:szCs w:val="18"/>
              </w:rPr>
            </w:pPr>
            <w:r w:rsidRPr="001F6736">
              <w:rPr>
                <w:rFonts w:cs="Calibri"/>
                <w:color w:val="000000"/>
                <w:sz w:val="18"/>
                <w:szCs w:val="18"/>
              </w:rPr>
              <w:t>N/A</w:t>
            </w:r>
          </w:p>
        </w:tc>
        <w:tc>
          <w:tcPr>
            <w:tcW w:w="922" w:type="dxa"/>
            <w:vAlign w:val="center"/>
          </w:tcPr>
          <w:p w14:paraId="2ABCE0E2" w14:textId="10D3695E" w:rsidR="001174AB" w:rsidRPr="001F6736" w:rsidRDefault="00200A3C" w:rsidP="005E28C3">
            <w:pPr>
              <w:spacing w:line="276" w:lineRule="auto"/>
              <w:jc w:val="center"/>
              <w:rPr>
                <w:rFonts w:asciiTheme="minorHAnsi" w:hAnsiTheme="minorHAnsi" w:cstheme="minorHAnsi"/>
                <w:sz w:val="18"/>
                <w:szCs w:val="18"/>
              </w:rPr>
            </w:pPr>
            <w:r w:rsidRPr="001F6736">
              <w:rPr>
                <w:rFonts w:cs="Calibri"/>
                <w:color w:val="000000"/>
                <w:sz w:val="18"/>
                <w:szCs w:val="18"/>
              </w:rPr>
              <w:t>N/A</w:t>
            </w:r>
          </w:p>
        </w:tc>
        <w:tc>
          <w:tcPr>
            <w:tcW w:w="922" w:type="dxa"/>
            <w:vAlign w:val="center"/>
          </w:tcPr>
          <w:p w14:paraId="2B0C1911" w14:textId="197DED0E" w:rsidR="001174AB" w:rsidRPr="001F6736" w:rsidRDefault="00200A3C" w:rsidP="005E28C3">
            <w:pPr>
              <w:spacing w:line="276" w:lineRule="auto"/>
              <w:jc w:val="center"/>
              <w:rPr>
                <w:rFonts w:asciiTheme="minorHAnsi" w:hAnsiTheme="minorHAnsi" w:cstheme="minorHAnsi"/>
                <w:sz w:val="18"/>
                <w:szCs w:val="18"/>
              </w:rPr>
            </w:pPr>
            <w:r w:rsidRPr="001F6736">
              <w:rPr>
                <w:rFonts w:cs="Calibri"/>
                <w:color w:val="000000"/>
                <w:sz w:val="18"/>
                <w:szCs w:val="18"/>
              </w:rPr>
              <w:t>N/A</w:t>
            </w:r>
          </w:p>
        </w:tc>
        <w:tc>
          <w:tcPr>
            <w:tcW w:w="922" w:type="dxa"/>
            <w:vAlign w:val="center"/>
          </w:tcPr>
          <w:p w14:paraId="0A2A6849" w14:textId="0EFBE484" w:rsidR="001174AB" w:rsidRPr="001F6736" w:rsidRDefault="00200A3C" w:rsidP="005E28C3">
            <w:pPr>
              <w:spacing w:line="276" w:lineRule="auto"/>
              <w:jc w:val="center"/>
              <w:rPr>
                <w:rFonts w:asciiTheme="minorHAnsi" w:hAnsiTheme="minorHAnsi" w:cstheme="minorHAnsi"/>
                <w:sz w:val="18"/>
                <w:szCs w:val="18"/>
              </w:rPr>
            </w:pPr>
            <w:r w:rsidRPr="001F6736">
              <w:rPr>
                <w:rFonts w:cs="Calibri"/>
                <w:color w:val="000000"/>
                <w:sz w:val="18"/>
                <w:szCs w:val="18"/>
              </w:rPr>
              <w:t>N/A</w:t>
            </w:r>
          </w:p>
        </w:tc>
        <w:tc>
          <w:tcPr>
            <w:tcW w:w="922" w:type="dxa"/>
            <w:vAlign w:val="center"/>
          </w:tcPr>
          <w:p w14:paraId="17EF7A76" w14:textId="707A58CB" w:rsidR="001174AB" w:rsidRPr="001F6736" w:rsidRDefault="00200A3C" w:rsidP="005E28C3">
            <w:pPr>
              <w:spacing w:line="276" w:lineRule="auto"/>
              <w:jc w:val="center"/>
              <w:rPr>
                <w:rFonts w:asciiTheme="minorHAnsi" w:hAnsiTheme="minorHAnsi" w:cstheme="minorHAnsi"/>
                <w:sz w:val="18"/>
                <w:szCs w:val="18"/>
              </w:rPr>
            </w:pPr>
            <w:r w:rsidRPr="001F6736">
              <w:rPr>
                <w:rFonts w:cs="Calibri"/>
                <w:color w:val="000000"/>
                <w:sz w:val="18"/>
                <w:szCs w:val="18"/>
              </w:rPr>
              <w:t>N/A</w:t>
            </w:r>
          </w:p>
        </w:tc>
      </w:tr>
      <w:tr w:rsidR="001174AB" w14:paraId="790F9FF0" w14:textId="77777777">
        <w:trPr>
          <w:trHeight w:val="302"/>
        </w:trPr>
        <w:tc>
          <w:tcPr>
            <w:tcW w:w="1440" w:type="dxa"/>
            <w:shd w:val="clear" w:color="auto" w:fill="F2F2F2" w:themeFill="background1" w:themeFillShade="F2"/>
          </w:tcPr>
          <w:p w14:paraId="251BB65D" w14:textId="4780D2D1" w:rsidR="001174AB" w:rsidRPr="001F6736" w:rsidRDefault="007C3D56" w:rsidP="005E28C3">
            <w:pPr>
              <w:spacing w:line="276" w:lineRule="auto"/>
              <w:jc w:val="center"/>
              <w:rPr>
                <w:rFonts w:asciiTheme="minorHAnsi" w:hAnsiTheme="minorHAnsi" w:cstheme="minorHAnsi"/>
                <w:sz w:val="20"/>
                <w:szCs w:val="20"/>
              </w:rPr>
            </w:pPr>
            <w:r w:rsidRPr="001F6736">
              <w:rPr>
                <w:rStyle w:val="normaltextrun"/>
                <w:rFonts w:cs="Calibri"/>
                <w:sz w:val="20"/>
                <w:szCs w:val="20"/>
              </w:rPr>
              <w:t>CBP</w:t>
            </w:r>
          </w:p>
        </w:tc>
        <w:tc>
          <w:tcPr>
            <w:tcW w:w="6336" w:type="dxa"/>
            <w:shd w:val="clear" w:color="auto" w:fill="F2F2F2" w:themeFill="background1" w:themeFillShade="F2"/>
          </w:tcPr>
          <w:p w14:paraId="07E92A66" w14:textId="1DB8E941" w:rsidR="001174AB" w:rsidRPr="001F6736" w:rsidRDefault="007C3D56" w:rsidP="005E28C3">
            <w:pPr>
              <w:spacing w:line="276" w:lineRule="auto"/>
              <w:rPr>
                <w:rFonts w:asciiTheme="minorHAnsi" w:hAnsiTheme="minorHAnsi" w:cstheme="minorHAnsi"/>
                <w:sz w:val="20"/>
                <w:szCs w:val="20"/>
              </w:rPr>
            </w:pPr>
            <w:r w:rsidRPr="001F6736">
              <w:rPr>
                <w:rStyle w:val="normaltextrun"/>
                <w:rFonts w:cs="Calibri"/>
                <w:sz w:val="20"/>
                <w:szCs w:val="20"/>
              </w:rPr>
              <w:t>Controlling High Blood Pressure  </w:t>
            </w:r>
            <w:r w:rsidRPr="001F6736">
              <w:rPr>
                <w:rStyle w:val="eop"/>
                <w:rFonts w:cs="Calibri"/>
                <w:sz w:val="20"/>
                <w:szCs w:val="20"/>
              </w:rPr>
              <w:t> </w:t>
            </w:r>
          </w:p>
        </w:tc>
        <w:tc>
          <w:tcPr>
            <w:tcW w:w="922" w:type="dxa"/>
            <w:shd w:val="clear" w:color="auto" w:fill="F2F2F2" w:themeFill="background1" w:themeFillShade="F2"/>
            <w:vAlign w:val="center"/>
          </w:tcPr>
          <w:p w14:paraId="14E26FFD" w14:textId="7EC801A5" w:rsidR="001174AB" w:rsidRPr="001F6736" w:rsidRDefault="008926AC" w:rsidP="005E28C3">
            <w:pPr>
              <w:spacing w:line="276" w:lineRule="auto"/>
              <w:jc w:val="center"/>
              <w:rPr>
                <w:rFonts w:asciiTheme="minorHAnsi" w:hAnsiTheme="minorHAnsi" w:cstheme="minorHAnsi"/>
                <w:sz w:val="18"/>
                <w:szCs w:val="18"/>
              </w:rPr>
            </w:pPr>
            <w:r w:rsidRPr="001F6736">
              <w:rPr>
                <w:rFonts w:cs="Calibri"/>
                <w:color w:val="000000"/>
                <w:sz w:val="18"/>
                <w:szCs w:val="18"/>
              </w:rPr>
              <w:t>70.7%</w:t>
            </w:r>
          </w:p>
        </w:tc>
        <w:tc>
          <w:tcPr>
            <w:tcW w:w="922" w:type="dxa"/>
            <w:shd w:val="clear" w:color="auto" w:fill="F2F2F2" w:themeFill="background1" w:themeFillShade="F2"/>
            <w:vAlign w:val="center"/>
          </w:tcPr>
          <w:p w14:paraId="4DEF06B7" w14:textId="59F4162B" w:rsidR="001174AB" w:rsidRPr="001F6736" w:rsidRDefault="008926AC" w:rsidP="005E28C3">
            <w:pPr>
              <w:spacing w:line="276" w:lineRule="auto"/>
              <w:jc w:val="center"/>
              <w:rPr>
                <w:rFonts w:asciiTheme="minorHAnsi" w:hAnsiTheme="minorHAnsi" w:cstheme="minorHAnsi"/>
                <w:sz w:val="18"/>
                <w:szCs w:val="18"/>
              </w:rPr>
            </w:pPr>
            <w:r w:rsidRPr="001F6736">
              <w:rPr>
                <w:rFonts w:cs="Calibri"/>
                <w:color w:val="000000"/>
                <w:sz w:val="18"/>
                <w:szCs w:val="18"/>
              </w:rPr>
              <w:t>77.4%</w:t>
            </w:r>
          </w:p>
        </w:tc>
        <w:tc>
          <w:tcPr>
            <w:tcW w:w="922" w:type="dxa"/>
            <w:shd w:val="clear" w:color="auto" w:fill="F2F2F2" w:themeFill="background1" w:themeFillShade="F2"/>
            <w:vAlign w:val="center"/>
          </w:tcPr>
          <w:p w14:paraId="65E17118" w14:textId="040359F3" w:rsidR="001174AB" w:rsidRPr="001F6736" w:rsidRDefault="008926AC" w:rsidP="005E28C3">
            <w:pPr>
              <w:spacing w:line="276" w:lineRule="auto"/>
              <w:jc w:val="center"/>
              <w:rPr>
                <w:rFonts w:asciiTheme="minorHAnsi" w:hAnsiTheme="minorHAnsi" w:cstheme="minorHAnsi"/>
                <w:sz w:val="18"/>
                <w:szCs w:val="18"/>
              </w:rPr>
            </w:pPr>
            <w:r w:rsidRPr="001F6736">
              <w:rPr>
                <w:rFonts w:cs="Calibri"/>
                <w:color w:val="000000"/>
                <w:sz w:val="18"/>
                <w:szCs w:val="18"/>
              </w:rPr>
              <w:t>74.7%</w:t>
            </w:r>
          </w:p>
        </w:tc>
        <w:tc>
          <w:tcPr>
            <w:tcW w:w="922" w:type="dxa"/>
            <w:shd w:val="clear" w:color="auto" w:fill="F2F2F2" w:themeFill="background1" w:themeFillShade="F2"/>
            <w:vAlign w:val="center"/>
          </w:tcPr>
          <w:p w14:paraId="14BCA506" w14:textId="0F9E6917" w:rsidR="001174AB" w:rsidRPr="001F6736" w:rsidRDefault="008926AC" w:rsidP="005E28C3">
            <w:pPr>
              <w:spacing w:line="276" w:lineRule="auto"/>
              <w:jc w:val="center"/>
              <w:rPr>
                <w:rFonts w:asciiTheme="minorHAnsi" w:hAnsiTheme="minorHAnsi" w:cstheme="minorHAnsi"/>
                <w:sz w:val="18"/>
                <w:szCs w:val="18"/>
              </w:rPr>
            </w:pPr>
            <w:r w:rsidRPr="001F6736">
              <w:rPr>
                <w:rFonts w:cs="Calibri"/>
                <w:color w:val="000000"/>
                <w:sz w:val="18"/>
                <w:szCs w:val="18"/>
              </w:rPr>
              <w:t>66.7%</w:t>
            </w:r>
          </w:p>
        </w:tc>
        <w:tc>
          <w:tcPr>
            <w:tcW w:w="922" w:type="dxa"/>
            <w:shd w:val="clear" w:color="auto" w:fill="F2F2F2" w:themeFill="background1" w:themeFillShade="F2"/>
            <w:vAlign w:val="center"/>
          </w:tcPr>
          <w:p w14:paraId="2413A1F6" w14:textId="4B325878" w:rsidR="001174AB" w:rsidRPr="001F6736" w:rsidRDefault="008926AC" w:rsidP="005E28C3">
            <w:pPr>
              <w:spacing w:line="276" w:lineRule="auto"/>
              <w:jc w:val="center"/>
              <w:rPr>
                <w:rFonts w:asciiTheme="minorHAnsi" w:hAnsiTheme="minorHAnsi" w:cstheme="minorHAnsi"/>
                <w:sz w:val="18"/>
                <w:szCs w:val="18"/>
              </w:rPr>
            </w:pPr>
            <w:r w:rsidRPr="001F6736">
              <w:rPr>
                <w:rFonts w:cs="Calibri"/>
                <w:color w:val="000000"/>
                <w:sz w:val="18"/>
                <w:szCs w:val="18"/>
              </w:rPr>
              <w:t>56.7%</w:t>
            </w:r>
          </w:p>
        </w:tc>
        <w:tc>
          <w:tcPr>
            <w:tcW w:w="922" w:type="dxa"/>
            <w:shd w:val="clear" w:color="auto" w:fill="F2F2F2" w:themeFill="background1" w:themeFillShade="F2"/>
            <w:vAlign w:val="center"/>
          </w:tcPr>
          <w:p w14:paraId="2039187C" w14:textId="6578C783" w:rsidR="001174AB" w:rsidRPr="001F6736" w:rsidRDefault="008926AC" w:rsidP="005E28C3">
            <w:pPr>
              <w:spacing w:line="276" w:lineRule="auto"/>
              <w:jc w:val="center"/>
              <w:rPr>
                <w:rFonts w:asciiTheme="minorHAnsi" w:hAnsiTheme="minorHAnsi" w:cstheme="minorHAnsi"/>
                <w:sz w:val="18"/>
                <w:szCs w:val="18"/>
              </w:rPr>
            </w:pPr>
            <w:r w:rsidRPr="001F6736">
              <w:rPr>
                <w:rFonts w:cs="Calibri"/>
                <w:color w:val="000000"/>
                <w:sz w:val="18"/>
                <w:szCs w:val="18"/>
              </w:rPr>
              <w:t>74.5%</w:t>
            </w:r>
          </w:p>
        </w:tc>
        <w:tc>
          <w:tcPr>
            <w:tcW w:w="922" w:type="dxa"/>
            <w:shd w:val="clear" w:color="auto" w:fill="F2F2F2" w:themeFill="background1" w:themeFillShade="F2"/>
            <w:vAlign w:val="center"/>
          </w:tcPr>
          <w:p w14:paraId="496D16C7" w14:textId="658AD736" w:rsidR="001174AB" w:rsidRPr="001F6736" w:rsidRDefault="008926AC" w:rsidP="005E28C3">
            <w:pPr>
              <w:spacing w:line="276" w:lineRule="auto"/>
              <w:jc w:val="center"/>
              <w:rPr>
                <w:rFonts w:asciiTheme="minorHAnsi" w:hAnsiTheme="minorHAnsi" w:cstheme="minorHAnsi"/>
                <w:sz w:val="18"/>
                <w:szCs w:val="18"/>
              </w:rPr>
            </w:pPr>
            <w:r w:rsidRPr="001F6736">
              <w:rPr>
                <w:rFonts w:cs="Calibri"/>
                <w:color w:val="000000"/>
                <w:sz w:val="18"/>
                <w:szCs w:val="18"/>
              </w:rPr>
              <w:t>76.7%</w:t>
            </w:r>
          </w:p>
        </w:tc>
      </w:tr>
      <w:tr w:rsidR="001174AB" w14:paraId="5CC58AC8" w14:textId="77777777">
        <w:trPr>
          <w:trHeight w:val="302"/>
        </w:trPr>
        <w:tc>
          <w:tcPr>
            <w:tcW w:w="1440" w:type="dxa"/>
            <w:shd w:val="clear" w:color="auto" w:fill="FFFFFF" w:themeFill="background1"/>
          </w:tcPr>
          <w:p w14:paraId="3B2EE2EC" w14:textId="621D4ACE" w:rsidR="001174AB" w:rsidRPr="001F6736" w:rsidRDefault="007C3D56" w:rsidP="005E28C3">
            <w:pPr>
              <w:spacing w:line="276" w:lineRule="auto"/>
              <w:jc w:val="center"/>
              <w:rPr>
                <w:rFonts w:asciiTheme="minorHAnsi" w:hAnsiTheme="minorHAnsi" w:cstheme="minorHAnsi"/>
                <w:sz w:val="20"/>
                <w:szCs w:val="20"/>
              </w:rPr>
            </w:pPr>
            <w:r w:rsidRPr="001F6736">
              <w:rPr>
                <w:rStyle w:val="normaltextrun"/>
                <w:rFonts w:cs="Calibri"/>
                <w:sz w:val="20"/>
                <w:szCs w:val="20"/>
              </w:rPr>
              <w:t>PCE-C</w:t>
            </w:r>
          </w:p>
        </w:tc>
        <w:tc>
          <w:tcPr>
            <w:tcW w:w="6336" w:type="dxa"/>
            <w:shd w:val="clear" w:color="auto" w:fill="FFFFFF" w:themeFill="background1"/>
          </w:tcPr>
          <w:p w14:paraId="46DD93E3" w14:textId="560908A9" w:rsidR="001174AB" w:rsidRPr="001F6736" w:rsidRDefault="007C3D56" w:rsidP="005E28C3">
            <w:pPr>
              <w:spacing w:line="276" w:lineRule="auto"/>
              <w:rPr>
                <w:rFonts w:asciiTheme="minorHAnsi" w:hAnsiTheme="minorHAnsi" w:cstheme="minorHAnsi"/>
                <w:sz w:val="20"/>
                <w:szCs w:val="20"/>
              </w:rPr>
            </w:pPr>
            <w:r w:rsidRPr="001F6736">
              <w:rPr>
                <w:rStyle w:val="normaltextrun"/>
                <w:rFonts w:cs="Calibri"/>
                <w:sz w:val="20"/>
                <w:szCs w:val="20"/>
              </w:rPr>
              <w:t>Pharmacotherapy Management of COPD</w:t>
            </w:r>
            <w:r w:rsidR="00A52E51" w:rsidRPr="001F6736">
              <w:rPr>
                <w:rStyle w:val="normaltextrun"/>
                <w:rFonts w:cs="Calibri"/>
                <w:sz w:val="20"/>
                <w:szCs w:val="20"/>
              </w:rPr>
              <w:t xml:space="preserve"> </w:t>
            </w:r>
            <w:r w:rsidRPr="001F6736">
              <w:rPr>
                <w:rStyle w:val="normaltextrun"/>
                <w:rFonts w:cs="Calibri"/>
                <w:sz w:val="20"/>
                <w:szCs w:val="20"/>
              </w:rPr>
              <w:t>Exacerbation Corticosteroids</w:t>
            </w:r>
            <w:r w:rsidRPr="001F6736">
              <w:rPr>
                <w:rStyle w:val="eop"/>
                <w:rFonts w:cs="Calibri"/>
                <w:sz w:val="20"/>
                <w:szCs w:val="20"/>
              </w:rPr>
              <w:t> </w:t>
            </w:r>
          </w:p>
        </w:tc>
        <w:tc>
          <w:tcPr>
            <w:tcW w:w="922" w:type="dxa"/>
            <w:vAlign w:val="center"/>
          </w:tcPr>
          <w:p w14:paraId="6777BD9C" w14:textId="3697F77A" w:rsidR="001174AB" w:rsidRPr="001F6736" w:rsidRDefault="004E30FE" w:rsidP="005E28C3">
            <w:pPr>
              <w:spacing w:line="276" w:lineRule="auto"/>
              <w:jc w:val="center"/>
              <w:rPr>
                <w:rFonts w:asciiTheme="minorHAnsi" w:hAnsiTheme="minorHAnsi" w:cstheme="minorHAnsi"/>
                <w:sz w:val="18"/>
                <w:szCs w:val="18"/>
              </w:rPr>
            </w:pPr>
            <w:r w:rsidRPr="001F6736">
              <w:rPr>
                <w:rFonts w:cs="Calibri"/>
                <w:color w:val="000000"/>
                <w:sz w:val="18"/>
                <w:szCs w:val="18"/>
              </w:rPr>
              <w:t>74.6%</w:t>
            </w:r>
          </w:p>
        </w:tc>
        <w:tc>
          <w:tcPr>
            <w:tcW w:w="922" w:type="dxa"/>
            <w:vAlign w:val="center"/>
          </w:tcPr>
          <w:p w14:paraId="77B1FA96" w14:textId="7EFDD404" w:rsidR="001174AB" w:rsidRPr="001F6736" w:rsidRDefault="004E30FE" w:rsidP="005E28C3">
            <w:pPr>
              <w:spacing w:line="276" w:lineRule="auto"/>
              <w:jc w:val="center"/>
              <w:rPr>
                <w:rFonts w:asciiTheme="minorHAnsi" w:hAnsiTheme="minorHAnsi" w:cstheme="minorHAnsi"/>
                <w:sz w:val="18"/>
                <w:szCs w:val="18"/>
              </w:rPr>
            </w:pPr>
            <w:r w:rsidRPr="001F6736">
              <w:rPr>
                <w:rFonts w:cs="Calibri"/>
                <w:color w:val="000000"/>
                <w:sz w:val="18"/>
                <w:szCs w:val="18"/>
              </w:rPr>
              <w:t>68.5%</w:t>
            </w:r>
          </w:p>
        </w:tc>
        <w:tc>
          <w:tcPr>
            <w:tcW w:w="922" w:type="dxa"/>
            <w:vAlign w:val="center"/>
          </w:tcPr>
          <w:p w14:paraId="01E7426F" w14:textId="6ABB8F58" w:rsidR="001174AB" w:rsidRPr="001F6736" w:rsidRDefault="004E30FE" w:rsidP="005E28C3">
            <w:pPr>
              <w:spacing w:line="276" w:lineRule="auto"/>
              <w:jc w:val="center"/>
              <w:rPr>
                <w:rFonts w:asciiTheme="minorHAnsi" w:hAnsiTheme="minorHAnsi" w:cstheme="minorHAnsi"/>
                <w:sz w:val="18"/>
                <w:szCs w:val="18"/>
              </w:rPr>
            </w:pPr>
            <w:r w:rsidRPr="001F6736">
              <w:rPr>
                <w:rFonts w:cs="Calibri"/>
                <w:color w:val="000000"/>
                <w:sz w:val="18"/>
                <w:szCs w:val="18"/>
              </w:rPr>
              <w:t>66.6%</w:t>
            </w:r>
          </w:p>
        </w:tc>
        <w:tc>
          <w:tcPr>
            <w:tcW w:w="922" w:type="dxa"/>
            <w:vAlign w:val="center"/>
          </w:tcPr>
          <w:p w14:paraId="1FEC4C35" w14:textId="38770068" w:rsidR="001174AB" w:rsidRPr="001F6736" w:rsidRDefault="004E30FE" w:rsidP="005E28C3">
            <w:pPr>
              <w:spacing w:line="276" w:lineRule="auto"/>
              <w:jc w:val="center"/>
              <w:rPr>
                <w:rFonts w:asciiTheme="minorHAnsi" w:hAnsiTheme="minorHAnsi" w:cstheme="minorHAnsi"/>
                <w:sz w:val="18"/>
                <w:szCs w:val="18"/>
              </w:rPr>
            </w:pPr>
            <w:r w:rsidRPr="001F6736">
              <w:rPr>
                <w:rFonts w:cs="Calibri"/>
                <w:color w:val="000000"/>
                <w:sz w:val="18"/>
                <w:szCs w:val="18"/>
              </w:rPr>
              <w:t>78.5%</w:t>
            </w:r>
          </w:p>
        </w:tc>
        <w:tc>
          <w:tcPr>
            <w:tcW w:w="922" w:type="dxa"/>
            <w:vAlign w:val="center"/>
          </w:tcPr>
          <w:p w14:paraId="4734435B" w14:textId="48575CAA" w:rsidR="001174AB" w:rsidRPr="001F6736" w:rsidRDefault="004E30FE" w:rsidP="005E28C3">
            <w:pPr>
              <w:spacing w:line="276" w:lineRule="auto"/>
              <w:jc w:val="center"/>
              <w:rPr>
                <w:rFonts w:asciiTheme="minorHAnsi" w:hAnsiTheme="minorHAnsi" w:cstheme="minorHAnsi"/>
                <w:sz w:val="18"/>
                <w:szCs w:val="18"/>
              </w:rPr>
            </w:pPr>
            <w:r w:rsidRPr="001F6736">
              <w:rPr>
                <w:rFonts w:cs="Calibri"/>
                <w:color w:val="000000"/>
                <w:sz w:val="18"/>
                <w:szCs w:val="18"/>
              </w:rPr>
              <w:t>75.6%</w:t>
            </w:r>
          </w:p>
        </w:tc>
        <w:tc>
          <w:tcPr>
            <w:tcW w:w="922" w:type="dxa"/>
            <w:vAlign w:val="center"/>
          </w:tcPr>
          <w:p w14:paraId="3B08CA15" w14:textId="5A8AB927" w:rsidR="001174AB" w:rsidRPr="001F6736" w:rsidRDefault="004E30FE" w:rsidP="005E28C3">
            <w:pPr>
              <w:spacing w:line="276" w:lineRule="auto"/>
              <w:jc w:val="center"/>
              <w:rPr>
                <w:rFonts w:asciiTheme="minorHAnsi" w:hAnsiTheme="minorHAnsi" w:cstheme="minorHAnsi"/>
                <w:sz w:val="18"/>
                <w:szCs w:val="18"/>
              </w:rPr>
            </w:pPr>
            <w:r w:rsidRPr="001F6736">
              <w:rPr>
                <w:rFonts w:cs="Calibri"/>
                <w:color w:val="000000"/>
                <w:sz w:val="18"/>
                <w:szCs w:val="18"/>
              </w:rPr>
              <w:t>77.5%</w:t>
            </w:r>
          </w:p>
        </w:tc>
        <w:tc>
          <w:tcPr>
            <w:tcW w:w="922" w:type="dxa"/>
            <w:vAlign w:val="center"/>
          </w:tcPr>
          <w:p w14:paraId="5B3D612B" w14:textId="16EDED61" w:rsidR="001174AB" w:rsidRPr="001F6736" w:rsidRDefault="004E30FE" w:rsidP="005E28C3">
            <w:pPr>
              <w:spacing w:line="276" w:lineRule="auto"/>
              <w:jc w:val="center"/>
              <w:rPr>
                <w:rFonts w:asciiTheme="minorHAnsi" w:hAnsiTheme="minorHAnsi" w:cstheme="minorHAnsi"/>
                <w:sz w:val="18"/>
                <w:szCs w:val="18"/>
              </w:rPr>
            </w:pPr>
            <w:r w:rsidRPr="001F6736">
              <w:rPr>
                <w:rFonts w:cs="Calibri"/>
                <w:color w:val="000000"/>
                <w:sz w:val="18"/>
                <w:szCs w:val="18"/>
              </w:rPr>
              <w:t>79.5%</w:t>
            </w:r>
          </w:p>
        </w:tc>
      </w:tr>
      <w:tr w:rsidR="001174AB" w14:paraId="02DCA5AC" w14:textId="77777777">
        <w:trPr>
          <w:trHeight w:val="302"/>
        </w:trPr>
        <w:tc>
          <w:tcPr>
            <w:tcW w:w="1440" w:type="dxa"/>
            <w:shd w:val="clear" w:color="auto" w:fill="F2F2F2" w:themeFill="background1" w:themeFillShade="F2"/>
          </w:tcPr>
          <w:p w14:paraId="5DE03E25" w14:textId="18CB9AB7" w:rsidR="001174AB" w:rsidRPr="001F6736" w:rsidRDefault="007C3D56" w:rsidP="005E28C3">
            <w:pPr>
              <w:spacing w:line="276" w:lineRule="auto"/>
              <w:jc w:val="center"/>
              <w:rPr>
                <w:rFonts w:asciiTheme="minorHAnsi" w:hAnsiTheme="minorHAnsi" w:cstheme="minorHAnsi"/>
                <w:sz w:val="20"/>
                <w:szCs w:val="20"/>
              </w:rPr>
            </w:pPr>
            <w:r w:rsidRPr="001F6736">
              <w:rPr>
                <w:rStyle w:val="normaltextrun"/>
                <w:rFonts w:cs="Calibri"/>
                <w:sz w:val="20"/>
                <w:szCs w:val="20"/>
              </w:rPr>
              <w:t>PCE-B</w:t>
            </w:r>
          </w:p>
        </w:tc>
        <w:tc>
          <w:tcPr>
            <w:tcW w:w="6336" w:type="dxa"/>
            <w:shd w:val="clear" w:color="auto" w:fill="F2F2F2" w:themeFill="background1" w:themeFillShade="F2"/>
          </w:tcPr>
          <w:p w14:paraId="4ECAA691" w14:textId="1D685039" w:rsidR="001174AB" w:rsidRPr="001F6736" w:rsidRDefault="007C3D56" w:rsidP="005E28C3">
            <w:pPr>
              <w:spacing w:line="276" w:lineRule="auto"/>
              <w:rPr>
                <w:rFonts w:asciiTheme="minorHAnsi" w:hAnsiTheme="minorHAnsi" w:cstheme="minorHAnsi"/>
                <w:sz w:val="20"/>
                <w:szCs w:val="20"/>
              </w:rPr>
            </w:pPr>
            <w:r w:rsidRPr="001F6736">
              <w:rPr>
                <w:rStyle w:val="normaltextrun"/>
                <w:rFonts w:cs="Calibri"/>
                <w:sz w:val="20"/>
                <w:szCs w:val="20"/>
              </w:rPr>
              <w:t>Pharmacotherapy Management of COPD Exacerbation Bronchodilators</w:t>
            </w:r>
            <w:r w:rsidRPr="001F6736">
              <w:rPr>
                <w:rStyle w:val="eop"/>
                <w:rFonts w:cs="Calibri"/>
                <w:sz w:val="20"/>
                <w:szCs w:val="20"/>
              </w:rPr>
              <w:t> </w:t>
            </w:r>
          </w:p>
        </w:tc>
        <w:tc>
          <w:tcPr>
            <w:tcW w:w="922" w:type="dxa"/>
            <w:shd w:val="clear" w:color="auto" w:fill="F2F2F2" w:themeFill="background1" w:themeFillShade="F2"/>
            <w:vAlign w:val="center"/>
          </w:tcPr>
          <w:p w14:paraId="216A0488" w14:textId="2EEC3D3E" w:rsidR="001174AB" w:rsidRPr="001F6736" w:rsidRDefault="00BE2591" w:rsidP="005E28C3">
            <w:pPr>
              <w:spacing w:line="276" w:lineRule="auto"/>
              <w:jc w:val="center"/>
              <w:rPr>
                <w:rFonts w:asciiTheme="minorHAnsi" w:hAnsiTheme="minorHAnsi" w:cstheme="minorHAnsi"/>
                <w:sz w:val="18"/>
                <w:szCs w:val="18"/>
              </w:rPr>
            </w:pPr>
            <w:r w:rsidRPr="001F6736">
              <w:rPr>
                <w:rFonts w:cs="Calibri"/>
                <w:color w:val="000000"/>
                <w:sz w:val="18"/>
                <w:szCs w:val="18"/>
              </w:rPr>
              <w:t>89.3%</w:t>
            </w:r>
          </w:p>
        </w:tc>
        <w:tc>
          <w:tcPr>
            <w:tcW w:w="922" w:type="dxa"/>
            <w:shd w:val="clear" w:color="auto" w:fill="F2F2F2" w:themeFill="background1" w:themeFillShade="F2"/>
            <w:vAlign w:val="center"/>
          </w:tcPr>
          <w:p w14:paraId="7B3CA221" w14:textId="37F62D85" w:rsidR="001174AB" w:rsidRPr="001F6736" w:rsidRDefault="00BE2591" w:rsidP="005E28C3">
            <w:pPr>
              <w:spacing w:line="276" w:lineRule="auto"/>
              <w:jc w:val="center"/>
              <w:rPr>
                <w:rFonts w:asciiTheme="minorHAnsi" w:hAnsiTheme="minorHAnsi" w:cstheme="minorHAnsi"/>
                <w:sz w:val="18"/>
                <w:szCs w:val="18"/>
              </w:rPr>
            </w:pPr>
            <w:r w:rsidRPr="001F6736">
              <w:rPr>
                <w:rFonts w:cs="Calibri"/>
                <w:color w:val="000000"/>
                <w:sz w:val="18"/>
                <w:szCs w:val="18"/>
              </w:rPr>
              <w:t>94.4%</w:t>
            </w:r>
          </w:p>
        </w:tc>
        <w:tc>
          <w:tcPr>
            <w:tcW w:w="922" w:type="dxa"/>
            <w:shd w:val="clear" w:color="auto" w:fill="F2F2F2" w:themeFill="background1" w:themeFillShade="F2"/>
            <w:vAlign w:val="center"/>
          </w:tcPr>
          <w:p w14:paraId="6024CC30" w14:textId="7A3D116B" w:rsidR="001174AB" w:rsidRPr="001F6736" w:rsidRDefault="00BE2591" w:rsidP="005E28C3">
            <w:pPr>
              <w:spacing w:line="276" w:lineRule="auto"/>
              <w:jc w:val="center"/>
              <w:rPr>
                <w:rFonts w:asciiTheme="minorHAnsi" w:hAnsiTheme="minorHAnsi" w:cstheme="minorHAnsi"/>
                <w:sz w:val="18"/>
                <w:szCs w:val="18"/>
              </w:rPr>
            </w:pPr>
            <w:r w:rsidRPr="001F6736">
              <w:rPr>
                <w:rFonts w:cs="Calibri"/>
                <w:color w:val="000000"/>
                <w:sz w:val="18"/>
                <w:szCs w:val="18"/>
              </w:rPr>
              <w:t>87.8%</w:t>
            </w:r>
          </w:p>
        </w:tc>
        <w:tc>
          <w:tcPr>
            <w:tcW w:w="922" w:type="dxa"/>
            <w:shd w:val="clear" w:color="auto" w:fill="F2F2F2" w:themeFill="background1" w:themeFillShade="F2"/>
            <w:vAlign w:val="center"/>
          </w:tcPr>
          <w:p w14:paraId="7EBA458B" w14:textId="13D2285D" w:rsidR="001174AB" w:rsidRPr="001F6736" w:rsidRDefault="00BE2591" w:rsidP="005E28C3">
            <w:pPr>
              <w:spacing w:line="276" w:lineRule="auto"/>
              <w:jc w:val="center"/>
              <w:rPr>
                <w:rFonts w:asciiTheme="minorHAnsi" w:hAnsiTheme="minorHAnsi" w:cstheme="minorHAnsi"/>
                <w:sz w:val="18"/>
                <w:szCs w:val="18"/>
              </w:rPr>
            </w:pPr>
            <w:r w:rsidRPr="001F6736">
              <w:rPr>
                <w:rFonts w:cs="Calibri"/>
                <w:color w:val="000000"/>
                <w:sz w:val="18"/>
                <w:szCs w:val="18"/>
              </w:rPr>
              <w:t>87.3%</w:t>
            </w:r>
          </w:p>
        </w:tc>
        <w:tc>
          <w:tcPr>
            <w:tcW w:w="922" w:type="dxa"/>
            <w:shd w:val="clear" w:color="auto" w:fill="F2F2F2" w:themeFill="background1" w:themeFillShade="F2"/>
            <w:vAlign w:val="center"/>
          </w:tcPr>
          <w:p w14:paraId="4B0AEC38" w14:textId="0063403F" w:rsidR="001174AB" w:rsidRPr="001F6736" w:rsidRDefault="00BE2591" w:rsidP="005E28C3">
            <w:pPr>
              <w:spacing w:line="276" w:lineRule="auto"/>
              <w:jc w:val="center"/>
              <w:rPr>
                <w:rFonts w:asciiTheme="minorHAnsi" w:hAnsiTheme="minorHAnsi" w:cstheme="minorHAnsi"/>
                <w:sz w:val="18"/>
                <w:szCs w:val="18"/>
              </w:rPr>
            </w:pPr>
            <w:r w:rsidRPr="001F6736">
              <w:rPr>
                <w:rFonts w:cs="Calibri"/>
                <w:color w:val="000000"/>
                <w:sz w:val="18"/>
                <w:szCs w:val="18"/>
              </w:rPr>
              <w:t>N/A</w:t>
            </w:r>
          </w:p>
        </w:tc>
        <w:tc>
          <w:tcPr>
            <w:tcW w:w="922" w:type="dxa"/>
            <w:shd w:val="clear" w:color="auto" w:fill="F2F2F2" w:themeFill="background1" w:themeFillShade="F2"/>
            <w:vAlign w:val="center"/>
          </w:tcPr>
          <w:p w14:paraId="7D14EA98" w14:textId="7AA456CC" w:rsidR="001174AB" w:rsidRPr="001F6736" w:rsidRDefault="00BE2591" w:rsidP="005E28C3">
            <w:pPr>
              <w:spacing w:line="276" w:lineRule="auto"/>
              <w:jc w:val="center"/>
              <w:rPr>
                <w:rFonts w:asciiTheme="minorHAnsi" w:hAnsiTheme="minorHAnsi" w:cstheme="minorHAnsi"/>
                <w:sz w:val="18"/>
                <w:szCs w:val="18"/>
              </w:rPr>
            </w:pPr>
            <w:r w:rsidRPr="001F6736">
              <w:rPr>
                <w:rFonts w:cs="Calibri"/>
                <w:color w:val="000000"/>
                <w:sz w:val="18"/>
                <w:szCs w:val="18"/>
              </w:rPr>
              <w:t>93.4%</w:t>
            </w:r>
          </w:p>
        </w:tc>
        <w:tc>
          <w:tcPr>
            <w:tcW w:w="922" w:type="dxa"/>
            <w:shd w:val="clear" w:color="auto" w:fill="F2F2F2" w:themeFill="background1" w:themeFillShade="F2"/>
            <w:vAlign w:val="center"/>
          </w:tcPr>
          <w:p w14:paraId="2678C9A6" w14:textId="0DA2CCDF" w:rsidR="001174AB" w:rsidRPr="001F6736" w:rsidRDefault="00BE2591" w:rsidP="005E28C3">
            <w:pPr>
              <w:spacing w:line="276" w:lineRule="auto"/>
              <w:jc w:val="center"/>
              <w:rPr>
                <w:rFonts w:asciiTheme="minorHAnsi" w:hAnsiTheme="minorHAnsi" w:cstheme="minorHAnsi"/>
                <w:sz w:val="18"/>
                <w:szCs w:val="18"/>
              </w:rPr>
            </w:pPr>
            <w:r w:rsidRPr="001F6736">
              <w:rPr>
                <w:rFonts w:cs="Calibri"/>
                <w:color w:val="000000"/>
                <w:sz w:val="18"/>
                <w:szCs w:val="18"/>
              </w:rPr>
              <w:t>N/A</w:t>
            </w:r>
          </w:p>
        </w:tc>
      </w:tr>
      <w:tr w:rsidR="001174AB" w14:paraId="4571E6DC" w14:textId="77777777">
        <w:trPr>
          <w:trHeight w:val="302"/>
        </w:trPr>
        <w:tc>
          <w:tcPr>
            <w:tcW w:w="1440" w:type="dxa"/>
            <w:shd w:val="clear" w:color="auto" w:fill="FFFFFF" w:themeFill="background1"/>
          </w:tcPr>
          <w:p w14:paraId="47329D30" w14:textId="55FB206B" w:rsidR="001174AB" w:rsidRPr="001F6736" w:rsidRDefault="007C3D56" w:rsidP="005E28C3">
            <w:pPr>
              <w:spacing w:line="276" w:lineRule="auto"/>
              <w:jc w:val="center"/>
              <w:rPr>
                <w:rFonts w:asciiTheme="minorHAnsi" w:hAnsiTheme="minorHAnsi" w:cstheme="minorHAnsi"/>
                <w:sz w:val="20"/>
                <w:szCs w:val="20"/>
              </w:rPr>
            </w:pPr>
            <w:r w:rsidRPr="001F6736">
              <w:rPr>
                <w:rStyle w:val="normaltextrun"/>
                <w:rFonts w:cs="Calibri"/>
                <w:sz w:val="20"/>
                <w:szCs w:val="20"/>
              </w:rPr>
              <w:t>SPR</w:t>
            </w:r>
          </w:p>
        </w:tc>
        <w:tc>
          <w:tcPr>
            <w:tcW w:w="6336" w:type="dxa"/>
            <w:shd w:val="clear" w:color="auto" w:fill="FFFFFF" w:themeFill="background1"/>
          </w:tcPr>
          <w:p w14:paraId="3A900294" w14:textId="64D63D26" w:rsidR="001174AB" w:rsidRPr="001F6736" w:rsidRDefault="007C3D56" w:rsidP="005E28C3">
            <w:pPr>
              <w:spacing w:line="276" w:lineRule="auto"/>
              <w:rPr>
                <w:rFonts w:asciiTheme="minorHAnsi" w:hAnsiTheme="minorHAnsi" w:cstheme="minorHAnsi"/>
                <w:sz w:val="20"/>
                <w:szCs w:val="20"/>
              </w:rPr>
            </w:pPr>
            <w:r w:rsidRPr="001F6736">
              <w:rPr>
                <w:rStyle w:val="normaltextrun"/>
                <w:rFonts w:cs="Calibri"/>
                <w:sz w:val="20"/>
                <w:szCs w:val="20"/>
              </w:rPr>
              <w:t>Use of Spirometry Testing in the Assessment and Diagnosis of COPD </w:t>
            </w:r>
            <w:r w:rsidRPr="001F6736">
              <w:rPr>
                <w:rStyle w:val="eop"/>
                <w:rFonts w:cs="Calibri"/>
                <w:sz w:val="20"/>
                <w:szCs w:val="20"/>
              </w:rPr>
              <w:t> </w:t>
            </w:r>
          </w:p>
        </w:tc>
        <w:tc>
          <w:tcPr>
            <w:tcW w:w="922" w:type="dxa"/>
            <w:vAlign w:val="center"/>
          </w:tcPr>
          <w:p w14:paraId="65CC6C15" w14:textId="66974B8A" w:rsidR="001174AB" w:rsidRPr="001F6736" w:rsidRDefault="00EB2022" w:rsidP="005E28C3">
            <w:pPr>
              <w:spacing w:line="276" w:lineRule="auto"/>
              <w:jc w:val="center"/>
              <w:rPr>
                <w:rFonts w:asciiTheme="minorHAnsi" w:hAnsiTheme="minorHAnsi" w:cstheme="minorHAnsi"/>
                <w:sz w:val="18"/>
                <w:szCs w:val="18"/>
              </w:rPr>
            </w:pPr>
            <w:r w:rsidRPr="001F6736">
              <w:rPr>
                <w:rFonts w:cs="Calibri"/>
                <w:color w:val="000000"/>
                <w:sz w:val="18"/>
                <w:szCs w:val="18"/>
              </w:rPr>
              <w:t>22.1%</w:t>
            </w:r>
          </w:p>
        </w:tc>
        <w:tc>
          <w:tcPr>
            <w:tcW w:w="922" w:type="dxa"/>
            <w:vAlign w:val="center"/>
          </w:tcPr>
          <w:p w14:paraId="6E5B4F19" w14:textId="5539D00A" w:rsidR="001174AB" w:rsidRPr="001F6736" w:rsidRDefault="00EB2022" w:rsidP="005E28C3">
            <w:pPr>
              <w:spacing w:line="276" w:lineRule="auto"/>
              <w:jc w:val="center"/>
              <w:rPr>
                <w:rFonts w:asciiTheme="minorHAnsi" w:hAnsiTheme="minorHAnsi" w:cstheme="minorHAnsi"/>
                <w:sz w:val="18"/>
                <w:szCs w:val="18"/>
              </w:rPr>
            </w:pPr>
            <w:r w:rsidRPr="001F6736">
              <w:rPr>
                <w:rFonts w:cs="Calibri"/>
                <w:color w:val="000000"/>
                <w:sz w:val="18"/>
                <w:szCs w:val="18"/>
              </w:rPr>
              <w:t>N/A</w:t>
            </w:r>
          </w:p>
        </w:tc>
        <w:tc>
          <w:tcPr>
            <w:tcW w:w="922" w:type="dxa"/>
            <w:vAlign w:val="center"/>
          </w:tcPr>
          <w:p w14:paraId="3FF67163" w14:textId="25EEE07B" w:rsidR="001174AB" w:rsidRPr="001F6736" w:rsidRDefault="00EB2022" w:rsidP="005E28C3">
            <w:pPr>
              <w:spacing w:line="276" w:lineRule="auto"/>
              <w:jc w:val="center"/>
              <w:rPr>
                <w:rFonts w:asciiTheme="minorHAnsi" w:hAnsiTheme="minorHAnsi" w:cstheme="minorHAnsi"/>
                <w:sz w:val="18"/>
                <w:szCs w:val="18"/>
              </w:rPr>
            </w:pPr>
            <w:r w:rsidRPr="001F6736">
              <w:rPr>
                <w:rFonts w:cs="Calibri"/>
                <w:color w:val="000000"/>
                <w:sz w:val="18"/>
                <w:szCs w:val="18"/>
              </w:rPr>
              <w:t>22.0%</w:t>
            </w:r>
          </w:p>
        </w:tc>
        <w:tc>
          <w:tcPr>
            <w:tcW w:w="922" w:type="dxa"/>
            <w:vAlign w:val="center"/>
          </w:tcPr>
          <w:p w14:paraId="6C68ADD1" w14:textId="5826A826" w:rsidR="001174AB" w:rsidRPr="001F6736" w:rsidRDefault="00EB2022" w:rsidP="005E28C3">
            <w:pPr>
              <w:spacing w:line="276" w:lineRule="auto"/>
              <w:jc w:val="center"/>
              <w:rPr>
                <w:rFonts w:asciiTheme="minorHAnsi" w:hAnsiTheme="minorHAnsi" w:cstheme="minorHAnsi"/>
                <w:sz w:val="18"/>
                <w:szCs w:val="18"/>
              </w:rPr>
            </w:pPr>
            <w:r w:rsidRPr="001F6736">
              <w:rPr>
                <w:rFonts w:cs="Calibri"/>
                <w:color w:val="000000"/>
                <w:sz w:val="18"/>
                <w:szCs w:val="18"/>
              </w:rPr>
              <w:t>25.7%</w:t>
            </w:r>
          </w:p>
        </w:tc>
        <w:tc>
          <w:tcPr>
            <w:tcW w:w="922" w:type="dxa"/>
            <w:vAlign w:val="center"/>
          </w:tcPr>
          <w:p w14:paraId="06E11660" w14:textId="5E0D8EFF" w:rsidR="001174AB" w:rsidRPr="001F6736" w:rsidRDefault="00EB2022" w:rsidP="005E28C3">
            <w:pPr>
              <w:spacing w:line="276" w:lineRule="auto"/>
              <w:jc w:val="center"/>
              <w:rPr>
                <w:rFonts w:asciiTheme="minorHAnsi" w:hAnsiTheme="minorHAnsi" w:cstheme="minorHAnsi"/>
                <w:sz w:val="18"/>
                <w:szCs w:val="18"/>
              </w:rPr>
            </w:pPr>
            <w:r w:rsidRPr="001F6736">
              <w:rPr>
                <w:rFonts w:cs="Calibri"/>
                <w:color w:val="000000"/>
                <w:sz w:val="18"/>
                <w:szCs w:val="18"/>
              </w:rPr>
              <w:t>19.4%</w:t>
            </w:r>
          </w:p>
        </w:tc>
        <w:tc>
          <w:tcPr>
            <w:tcW w:w="922" w:type="dxa"/>
            <w:vAlign w:val="center"/>
          </w:tcPr>
          <w:p w14:paraId="042426A3" w14:textId="4933BAA2" w:rsidR="001174AB" w:rsidRPr="001F6736" w:rsidRDefault="00EB2022" w:rsidP="005E28C3">
            <w:pPr>
              <w:spacing w:line="276" w:lineRule="auto"/>
              <w:jc w:val="center"/>
              <w:rPr>
                <w:rFonts w:asciiTheme="minorHAnsi" w:hAnsiTheme="minorHAnsi" w:cstheme="minorHAnsi"/>
                <w:sz w:val="18"/>
                <w:szCs w:val="18"/>
              </w:rPr>
            </w:pPr>
            <w:r w:rsidRPr="001F6736">
              <w:rPr>
                <w:rFonts w:cs="Calibri"/>
                <w:color w:val="000000"/>
                <w:sz w:val="18"/>
                <w:szCs w:val="18"/>
              </w:rPr>
              <w:t>22.1%</w:t>
            </w:r>
          </w:p>
        </w:tc>
        <w:tc>
          <w:tcPr>
            <w:tcW w:w="922" w:type="dxa"/>
            <w:vAlign w:val="center"/>
          </w:tcPr>
          <w:p w14:paraId="79EAF2CF" w14:textId="608BA534" w:rsidR="001174AB" w:rsidRPr="001F6736" w:rsidRDefault="00EB2022" w:rsidP="005E28C3">
            <w:pPr>
              <w:spacing w:line="276" w:lineRule="auto"/>
              <w:jc w:val="center"/>
              <w:rPr>
                <w:rFonts w:asciiTheme="minorHAnsi" w:hAnsiTheme="minorHAnsi" w:cstheme="minorHAnsi"/>
                <w:sz w:val="18"/>
                <w:szCs w:val="18"/>
              </w:rPr>
            </w:pPr>
            <w:r w:rsidRPr="001F6736">
              <w:rPr>
                <w:rFonts w:cs="Calibri"/>
                <w:color w:val="000000"/>
                <w:sz w:val="18"/>
                <w:szCs w:val="18"/>
              </w:rPr>
              <w:t>22.8%</w:t>
            </w:r>
          </w:p>
        </w:tc>
      </w:tr>
      <w:tr w:rsidR="001174AB" w14:paraId="6C44E3D6" w14:textId="77777777">
        <w:trPr>
          <w:trHeight w:val="302"/>
        </w:trPr>
        <w:tc>
          <w:tcPr>
            <w:tcW w:w="1440" w:type="dxa"/>
            <w:shd w:val="clear" w:color="auto" w:fill="F2F2F2" w:themeFill="background1" w:themeFillShade="F2"/>
          </w:tcPr>
          <w:p w14:paraId="53716A7F" w14:textId="1E177CB8" w:rsidR="001174AB" w:rsidRPr="001F6736" w:rsidRDefault="007C3D56" w:rsidP="005E28C3">
            <w:pPr>
              <w:spacing w:line="276" w:lineRule="auto"/>
              <w:jc w:val="center"/>
              <w:rPr>
                <w:rFonts w:asciiTheme="minorHAnsi" w:hAnsiTheme="minorHAnsi" w:cstheme="minorHAnsi"/>
                <w:sz w:val="20"/>
                <w:szCs w:val="20"/>
              </w:rPr>
            </w:pPr>
            <w:r w:rsidRPr="001F6736">
              <w:rPr>
                <w:rStyle w:val="normaltextrun"/>
                <w:rFonts w:cs="Calibri"/>
                <w:sz w:val="20"/>
                <w:szCs w:val="20"/>
              </w:rPr>
              <w:t>DAE</w:t>
            </w:r>
          </w:p>
        </w:tc>
        <w:tc>
          <w:tcPr>
            <w:tcW w:w="6336" w:type="dxa"/>
            <w:shd w:val="clear" w:color="auto" w:fill="F2F2F2" w:themeFill="background1" w:themeFillShade="F2"/>
          </w:tcPr>
          <w:p w14:paraId="36076BE8" w14:textId="0C0ACC62" w:rsidR="001174AB" w:rsidRPr="001F6736" w:rsidRDefault="007C3D56" w:rsidP="005E28C3">
            <w:pPr>
              <w:spacing w:line="276" w:lineRule="auto"/>
              <w:rPr>
                <w:rFonts w:asciiTheme="minorHAnsi" w:hAnsiTheme="minorHAnsi" w:cstheme="minorHAnsi"/>
                <w:sz w:val="20"/>
                <w:szCs w:val="20"/>
              </w:rPr>
            </w:pPr>
            <w:r w:rsidRPr="001F6736">
              <w:rPr>
                <w:rStyle w:val="normaltextrun"/>
                <w:rFonts w:cs="Calibri"/>
                <w:sz w:val="20"/>
                <w:szCs w:val="20"/>
              </w:rPr>
              <w:t>Use of High-Risk Medications in the Elderly - Total</w:t>
            </w:r>
            <w:r w:rsidRPr="001F6736">
              <w:rPr>
                <w:rStyle w:val="eop"/>
                <w:rFonts w:cs="Calibri"/>
                <w:sz w:val="20"/>
                <w:szCs w:val="20"/>
              </w:rPr>
              <w:t> </w:t>
            </w:r>
          </w:p>
        </w:tc>
        <w:tc>
          <w:tcPr>
            <w:tcW w:w="922" w:type="dxa"/>
            <w:shd w:val="clear" w:color="auto" w:fill="F2F2F2" w:themeFill="background1" w:themeFillShade="F2"/>
            <w:vAlign w:val="center"/>
          </w:tcPr>
          <w:p w14:paraId="3DB262E9" w14:textId="6BDD5862" w:rsidR="001174AB" w:rsidRPr="001F6736" w:rsidRDefault="00E637E5" w:rsidP="005E28C3">
            <w:pPr>
              <w:spacing w:line="276" w:lineRule="auto"/>
              <w:jc w:val="center"/>
              <w:rPr>
                <w:rFonts w:asciiTheme="minorHAnsi" w:hAnsiTheme="minorHAnsi" w:cstheme="minorHAnsi"/>
                <w:sz w:val="18"/>
                <w:szCs w:val="18"/>
              </w:rPr>
            </w:pPr>
            <w:r w:rsidRPr="001F6736">
              <w:rPr>
                <w:rFonts w:cs="Calibri"/>
                <w:color w:val="000000"/>
                <w:sz w:val="18"/>
                <w:szCs w:val="18"/>
              </w:rPr>
              <w:t>21.6%</w:t>
            </w:r>
          </w:p>
        </w:tc>
        <w:tc>
          <w:tcPr>
            <w:tcW w:w="922" w:type="dxa"/>
            <w:shd w:val="clear" w:color="auto" w:fill="F2F2F2" w:themeFill="background1" w:themeFillShade="F2"/>
            <w:vAlign w:val="center"/>
          </w:tcPr>
          <w:p w14:paraId="7F894814" w14:textId="25948796" w:rsidR="001174AB" w:rsidRPr="001F6736" w:rsidRDefault="00E637E5" w:rsidP="005E28C3">
            <w:pPr>
              <w:spacing w:line="276" w:lineRule="auto"/>
              <w:jc w:val="center"/>
              <w:rPr>
                <w:rFonts w:asciiTheme="minorHAnsi" w:hAnsiTheme="minorHAnsi" w:cstheme="minorHAnsi"/>
                <w:sz w:val="18"/>
                <w:szCs w:val="18"/>
              </w:rPr>
            </w:pPr>
            <w:r w:rsidRPr="001F6736">
              <w:rPr>
                <w:rFonts w:cs="Calibri"/>
                <w:color w:val="000000"/>
                <w:sz w:val="18"/>
                <w:szCs w:val="18"/>
              </w:rPr>
              <w:t>17.0%</w:t>
            </w:r>
          </w:p>
        </w:tc>
        <w:tc>
          <w:tcPr>
            <w:tcW w:w="922" w:type="dxa"/>
            <w:shd w:val="clear" w:color="auto" w:fill="F2F2F2" w:themeFill="background1" w:themeFillShade="F2"/>
            <w:vAlign w:val="center"/>
          </w:tcPr>
          <w:p w14:paraId="509F1363" w14:textId="4E225331" w:rsidR="001174AB" w:rsidRPr="001F6736" w:rsidRDefault="00E637E5" w:rsidP="005E28C3">
            <w:pPr>
              <w:spacing w:line="276" w:lineRule="auto"/>
              <w:jc w:val="center"/>
              <w:rPr>
                <w:rFonts w:asciiTheme="minorHAnsi" w:hAnsiTheme="minorHAnsi" w:cstheme="minorHAnsi"/>
                <w:sz w:val="18"/>
                <w:szCs w:val="18"/>
              </w:rPr>
            </w:pPr>
            <w:r w:rsidRPr="001F6736">
              <w:rPr>
                <w:rFonts w:cs="Calibri"/>
                <w:color w:val="000000"/>
                <w:sz w:val="18"/>
                <w:szCs w:val="18"/>
              </w:rPr>
              <w:t>25.6%</w:t>
            </w:r>
          </w:p>
        </w:tc>
        <w:tc>
          <w:tcPr>
            <w:tcW w:w="922" w:type="dxa"/>
            <w:shd w:val="clear" w:color="auto" w:fill="F2F2F2" w:themeFill="background1" w:themeFillShade="F2"/>
            <w:vAlign w:val="center"/>
          </w:tcPr>
          <w:p w14:paraId="01B79B01" w14:textId="15DE6681" w:rsidR="001174AB" w:rsidRPr="001F6736" w:rsidRDefault="00E637E5" w:rsidP="005E28C3">
            <w:pPr>
              <w:spacing w:line="276" w:lineRule="auto"/>
              <w:jc w:val="center"/>
              <w:rPr>
                <w:rFonts w:asciiTheme="minorHAnsi" w:hAnsiTheme="minorHAnsi" w:cstheme="minorHAnsi"/>
                <w:sz w:val="18"/>
                <w:szCs w:val="18"/>
              </w:rPr>
            </w:pPr>
            <w:r w:rsidRPr="001F6736">
              <w:rPr>
                <w:rFonts w:cs="Calibri"/>
                <w:color w:val="000000"/>
                <w:sz w:val="18"/>
                <w:szCs w:val="18"/>
              </w:rPr>
              <w:t>25.1%</w:t>
            </w:r>
          </w:p>
        </w:tc>
        <w:tc>
          <w:tcPr>
            <w:tcW w:w="922" w:type="dxa"/>
            <w:shd w:val="clear" w:color="auto" w:fill="F2F2F2" w:themeFill="background1" w:themeFillShade="F2"/>
            <w:vAlign w:val="center"/>
          </w:tcPr>
          <w:p w14:paraId="7BC22743" w14:textId="100F2554" w:rsidR="001174AB" w:rsidRPr="001F6736" w:rsidRDefault="00E637E5" w:rsidP="005E28C3">
            <w:pPr>
              <w:spacing w:line="276" w:lineRule="auto"/>
              <w:jc w:val="center"/>
              <w:rPr>
                <w:rFonts w:asciiTheme="minorHAnsi" w:hAnsiTheme="minorHAnsi" w:cstheme="minorHAnsi"/>
                <w:sz w:val="18"/>
                <w:szCs w:val="18"/>
              </w:rPr>
            </w:pPr>
            <w:r w:rsidRPr="001F6736">
              <w:rPr>
                <w:rFonts w:cs="Calibri"/>
                <w:color w:val="000000"/>
                <w:sz w:val="18"/>
                <w:szCs w:val="18"/>
              </w:rPr>
              <w:t>18.3%</w:t>
            </w:r>
          </w:p>
        </w:tc>
        <w:tc>
          <w:tcPr>
            <w:tcW w:w="922" w:type="dxa"/>
            <w:shd w:val="clear" w:color="auto" w:fill="F2F2F2" w:themeFill="background1" w:themeFillShade="F2"/>
            <w:vAlign w:val="center"/>
          </w:tcPr>
          <w:p w14:paraId="6269347E" w14:textId="3017BF6A" w:rsidR="001174AB" w:rsidRPr="001F6736" w:rsidRDefault="00E637E5" w:rsidP="005E28C3">
            <w:pPr>
              <w:spacing w:line="276" w:lineRule="auto"/>
              <w:jc w:val="center"/>
              <w:rPr>
                <w:rFonts w:asciiTheme="minorHAnsi" w:hAnsiTheme="minorHAnsi" w:cstheme="minorHAnsi"/>
                <w:sz w:val="18"/>
                <w:szCs w:val="18"/>
              </w:rPr>
            </w:pPr>
            <w:r w:rsidRPr="001F6736">
              <w:rPr>
                <w:rFonts w:cs="Calibri"/>
                <w:color w:val="000000"/>
                <w:sz w:val="18"/>
                <w:szCs w:val="18"/>
              </w:rPr>
              <w:t>19.0%</w:t>
            </w:r>
          </w:p>
        </w:tc>
        <w:tc>
          <w:tcPr>
            <w:tcW w:w="922" w:type="dxa"/>
            <w:shd w:val="clear" w:color="auto" w:fill="F2F2F2" w:themeFill="background1" w:themeFillShade="F2"/>
            <w:vAlign w:val="center"/>
          </w:tcPr>
          <w:p w14:paraId="790FBFFA" w14:textId="1A170C51" w:rsidR="001174AB" w:rsidRPr="001F6736" w:rsidRDefault="00E637E5" w:rsidP="005E28C3">
            <w:pPr>
              <w:spacing w:line="276" w:lineRule="auto"/>
              <w:jc w:val="center"/>
              <w:rPr>
                <w:rFonts w:asciiTheme="minorHAnsi" w:hAnsiTheme="minorHAnsi" w:cstheme="minorHAnsi"/>
                <w:sz w:val="18"/>
                <w:szCs w:val="18"/>
              </w:rPr>
            </w:pPr>
            <w:r w:rsidRPr="001F6736">
              <w:rPr>
                <w:rFonts w:cs="Calibri"/>
                <w:color w:val="000000"/>
                <w:sz w:val="18"/>
                <w:szCs w:val="18"/>
              </w:rPr>
              <w:t>21.4%</w:t>
            </w:r>
          </w:p>
        </w:tc>
      </w:tr>
      <w:tr w:rsidR="001174AB" w14:paraId="2C238396" w14:textId="77777777">
        <w:trPr>
          <w:trHeight w:val="302"/>
        </w:trPr>
        <w:tc>
          <w:tcPr>
            <w:tcW w:w="1440" w:type="dxa"/>
            <w:shd w:val="clear" w:color="auto" w:fill="FFFFFF" w:themeFill="background1"/>
          </w:tcPr>
          <w:p w14:paraId="0BB34394" w14:textId="06185C24" w:rsidR="001174AB" w:rsidRPr="001F6736" w:rsidRDefault="007C3D56" w:rsidP="005E28C3">
            <w:pPr>
              <w:spacing w:line="276" w:lineRule="auto"/>
              <w:jc w:val="center"/>
              <w:rPr>
                <w:rFonts w:asciiTheme="minorHAnsi" w:hAnsiTheme="minorHAnsi" w:cstheme="minorHAnsi"/>
                <w:sz w:val="20"/>
                <w:szCs w:val="20"/>
              </w:rPr>
            </w:pPr>
            <w:r w:rsidRPr="001F6736">
              <w:rPr>
                <w:rStyle w:val="normaltextrun"/>
                <w:rFonts w:cs="Calibri"/>
                <w:sz w:val="20"/>
                <w:szCs w:val="20"/>
              </w:rPr>
              <w:t>DDE</w:t>
            </w:r>
          </w:p>
        </w:tc>
        <w:tc>
          <w:tcPr>
            <w:tcW w:w="6336" w:type="dxa"/>
            <w:shd w:val="clear" w:color="auto" w:fill="FFFFFF" w:themeFill="background1"/>
          </w:tcPr>
          <w:p w14:paraId="3CE1CC15" w14:textId="27887FE5" w:rsidR="001174AB" w:rsidRPr="001F6736" w:rsidRDefault="007C3D56" w:rsidP="005E28C3">
            <w:pPr>
              <w:spacing w:line="276" w:lineRule="auto"/>
              <w:rPr>
                <w:rFonts w:asciiTheme="minorHAnsi" w:hAnsiTheme="minorHAnsi" w:cstheme="minorHAnsi"/>
                <w:sz w:val="20"/>
                <w:szCs w:val="20"/>
              </w:rPr>
            </w:pPr>
            <w:r w:rsidRPr="001F6736">
              <w:rPr>
                <w:rStyle w:val="normaltextrun"/>
                <w:rFonts w:cs="Calibri"/>
                <w:sz w:val="20"/>
                <w:szCs w:val="20"/>
              </w:rPr>
              <w:t>Potentially Harmful Drug Disease Interactions in the Elderly (total) </w:t>
            </w:r>
            <w:r w:rsidRPr="001F6736">
              <w:rPr>
                <w:rStyle w:val="eop"/>
                <w:rFonts w:cs="Calibri"/>
                <w:sz w:val="20"/>
                <w:szCs w:val="20"/>
              </w:rPr>
              <w:t> </w:t>
            </w:r>
          </w:p>
        </w:tc>
        <w:tc>
          <w:tcPr>
            <w:tcW w:w="922" w:type="dxa"/>
            <w:vAlign w:val="center"/>
          </w:tcPr>
          <w:p w14:paraId="29E57910" w14:textId="01404BDB" w:rsidR="001174AB" w:rsidRPr="001F6736" w:rsidRDefault="00E637E5" w:rsidP="005E28C3">
            <w:pPr>
              <w:spacing w:line="276" w:lineRule="auto"/>
              <w:jc w:val="center"/>
              <w:rPr>
                <w:rFonts w:asciiTheme="minorHAnsi" w:hAnsiTheme="minorHAnsi" w:cstheme="minorHAnsi"/>
                <w:sz w:val="18"/>
                <w:szCs w:val="18"/>
              </w:rPr>
            </w:pPr>
            <w:r w:rsidRPr="001F6736">
              <w:rPr>
                <w:rFonts w:cs="Calibri"/>
                <w:color w:val="000000"/>
                <w:sz w:val="18"/>
                <w:szCs w:val="18"/>
              </w:rPr>
              <w:t>31.5%</w:t>
            </w:r>
          </w:p>
        </w:tc>
        <w:tc>
          <w:tcPr>
            <w:tcW w:w="922" w:type="dxa"/>
            <w:vAlign w:val="center"/>
          </w:tcPr>
          <w:p w14:paraId="63621913" w14:textId="1AAACE87" w:rsidR="001174AB" w:rsidRPr="001F6736" w:rsidRDefault="00E637E5" w:rsidP="005E28C3">
            <w:pPr>
              <w:spacing w:line="276" w:lineRule="auto"/>
              <w:jc w:val="center"/>
              <w:rPr>
                <w:rFonts w:asciiTheme="minorHAnsi" w:hAnsiTheme="minorHAnsi" w:cstheme="minorHAnsi"/>
                <w:sz w:val="18"/>
                <w:szCs w:val="18"/>
              </w:rPr>
            </w:pPr>
            <w:r w:rsidRPr="001F6736">
              <w:rPr>
                <w:rFonts w:cs="Calibri"/>
                <w:color w:val="000000"/>
                <w:sz w:val="18"/>
                <w:szCs w:val="18"/>
              </w:rPr>
              <w:t>29.3%</w:t>
            </w:r>
          </w:p>
        </w:tc>
        <w:tc>
          <w:tcPr>
            <w:tcW w:w="922" w:type="dxa"/>
            <w:vAlign w:val="center"/>
          </w:tcPr>
          <w:p w14:paraId="4568EBEF" w14:textId="25C1CCD7" w:rsidR="001174AB" w:rsidRPr="001F6736" w:rsidRDefault="00E637E5" w:rsidP="005E28C3">
            <w:pPr>
              <w:spacing w:line="276" w:lineRule="auto"/>
              <w:jc w:val="center"/>
              <w:rPr>
                <w:rFonts w:asciiTheme="minorHAnsi" w:hAnsiTheme="minorHAnsi" w:cstheme="minorHAnsi"/>
                <w:sz w:val="18"/>
                <w:szCs w:val="18"/>
              </w:rPr>
            </w:pPr>
            <w:r w:rsidRPr="001F6736">
              <w:rPr>
                <w:rFonts w:cs="Calibri"/>
                <w:color w:val="000000"/>
                <w:sz w:val="18"/>
                <w:szCs w:val="18"/>
              </w:rPr>
              <w:t>31.4%</w:t>
            </w:r>
          </w:p>
        </w:tc>
        <w:tc>
          <w:tcPr>
            <w:tcW w:w="922" w:type="dxa"/>
            <w:vAlign w:val="center"/>
          </w:tcPr>
          <w:p w14:paraId="652FF73B" w14:textId="16DC1123" w:rsidR="001174AB" w:rsidRPr="001F6736" w:rsidRDefault="00E637E5" w:rsidP="005E28C3">
            <w:pPr>
              <w:spacing w:line="276" w:lineRule="auto"/>
              <w:jc w:val="center"/>
              <w:rPr>
                <w:rFonts w:asciiTheme="minorHAnsi" w:hAnsiTheme="minorHAnsi" w:cstheme="minorHAnsi"/>
                <w:sz w:val="18"/>
                <w:szCs w:val="18"/>
              </w:rPr>
            </w:pPr>
            <w:r w:rsidRPr="001F6736">
              <w:rPr>
                <w:rFonts w:cs="Calibri"/>
                <w:color w:val="000000"/>
                <w:sz w:val="18"/>
                <w:szCs w:val="18"/>
              </w:rPr>
              <w:t>36.3%</w:t>
            </w:r>
          </w:p>
        </w:tc>
        <w:tc>
          <w:tcPr>
            <w:tcW w:w="922" w:type="dxa"/>
            <w:vAlign w:val="center"/>
          </w:tcPr>
          <w:p w14:paraId="7C2C703E" w14:textId="138A3051" w:rsidR="001174AB" w:rsidRPr="001F6736" w:rsidRDefault="00E637E5" w:rsidP="005E28C3">
            <w:pPr>
              <w:spacing w:line="276" w:lineRule="auto"/>
              <w:jc w:val="center"/>
              <w:rPr>
                <w:rFonts w:asciiTheme="minorHAnsi" w:hAnsiTheme="minorHAnsi" w:cstheme="minorHAnsi"/>
                <w:sz w:val="18"/>
                <w:szCs w:val="18"/>
              </w:rPr>
            </w:pPr>
            <w:r w:rsidRPr="001F6736">
              <w:rPr>
                <w:rFonts w:cs="Calibri"/>
                <w:color w:val="000000"/>
                <w:sz w:val="18"/>
                <w:szCs w:val="18"/>
              </w:rPr>
              <w:t>27.8%</w:t>
            </w:r>
          </w:p>
        </w:tc>
        <w:tc>
          <w:tcPr>
            <w:tcW w:w="922" w:type="dxa"/>
            <w:vAlign w:val="center"/>
          </w:tcPr>
          <w:p w14:paraId="4FDAE43F" w14:textId="376C3EEC" w:rsidR="001174AB" w:rsidRPr="001F6736" w:rsidRDefault="00E637E5" w:rsidP="005E28C3">
            <w:pPr>
              <w:spacing w:line="276" w:lineRule="auto"/>
              <w:jc w:val="center"/>
              <w:rPr>
                <w:rFonts w:asciiTheme="minorHAnsi" w:hAnsiTheme="minorHAnsi" w:cstheme="minorHAnsi"/>
                <w:sz w:val="18"/>
                <w:szCs w:val="18"/>
              </w:rPr>
            </w:pPr>
            <w:r w:rsidRPr="001F6736">
              <w:rPr>
                <w:rFonts w:cs="Calibri"/>
                <w:color w:val="000000"/>
                <w:sz w:val="18"/>
                <w:szCs w:val="18"/>
              </w:rPr>
              <w:t>31.4%</w:t>
            </w:r>
          </w:p>
        </w:tc>
        <w:tc>
          <w:tcPr>
            <w:tcW w:w="922" w:type="dxa"/>
            <w:vAlign w:val="center"/>
          </w:tcPr>
          <w:p w14:paraId="1B732A1E" w14:textId="4EB6BB5D" w:rsidR="001174AB" w:rsidRPr="001F6736" w:rsidRDefault="00E637E5" w:rsidP="005E28C3">
            <w:pPr>
              <w:spacing w:line="276" w:lineRule="auto"/>
              <w:jc w:val="center"/>
              <w:rPr>
                <w:rFonts w:asciiTheme="minorHAnsi" w:hAnsiTheme="minorHAnsi" w:cstheme="minorHAnsi"/>
                <w:sz w:val="18"/>
                <w:szCs w:val="18"/>
              </w:rPr>
            </w:pPr>
            <w:r w:rsidRPr="001F6736">
              <w:rPr>
                <w:rFonts w:cs="Calibri"/>
                <w:color w:val="000000"/>
                <w:sz w:val="18"/>
                <w:szCs w:val="18"/>
              </w:rPr>
              <w:t>32.6%</w:t>
            </w:r>
          </w:p>
        </w:tc>
      </w:tr>
      <w:tr w:rsidR="001174AB" w14:paraId="082ACE2B" w14:textId="77777777">
        <w:trPr>
          <w:trHeight w:val="302"/>
        </w:trPr>
        <w:tc>
          <w:tcPr>
            <w:tcW w:w="1440" w:type="dxa"/>
            <w:shd w:val="clear" w:color="auto" w:fill="F2F2F2" w:themeFill="background1" w:themeFillShade="F2"/>
          </w:tcPr>
          <w:p w14:paraId="2E922360" w14:textId="6F937484" w:rsidR="001174AB" w:rsidRPr="001F6736" w:rsidRDefault="007C3D56" w:rsidP="005E28C3">
            <w:pPr>
              <w:spacing w:line="276" w:lineRule="auto"/>
              <w:jc w:val="center"/>
              <w:rPr>
                <w:rFonts w:asciiTheme="minorHAnsi" w:hAnsiTheme="minorHAnsi" w:cstheme="minorHAnsi"/>
                <w:sz w:val="20"/>
                <w:szCs w:val="20"/>
              </w:rPr>
            </w:pPr>
            <w:r w:rsidRPr="001F6736">
              <w:rPr>
                <w:rStyle w:val="normaltextrun"/>
                <w:rFonts w:cs="Calibri"/>
                <w:sz w:val="20"/>
                <w:szCs w:val="20"/>
              </w:rPr>
              <w:t>FUH-7</w:t>
            </w:r>
          </w:p>
        </w:tc>
        <w:tc>
          <w:tcPr>
            <w:tcW w:w="6336" w:type="dxa"/>
            <w:shd w:val="clear" w:color="auto" w:fill="F2F2F2" w:themeFill="background1" w:themeFillShade="F2"/>
          </w:tcPr>
          <w:p w14:paraId="0B549C6A" w14:textId="08B2E66C" w:rsidR="001174AB" w:rsidRPr="001F6736" w:rsidRDefault="007C3D56" w:rsidP="005E28C3">
            <w:pPr>
              <w:spacing w:line="276" w:lineRule="auto"/>
              <w:rPr>
                <w:rFonts w:asciiTheme="minorHAnsi" w:hAnsiTheme="minorHAnsi" w:cstheme="minorHAnsi"/>
                <w:sz w:val="20"/>
                <w:szCs w:val="20"/>
              </w:rPr>
            </w:pPr>
            <w:r w:rsidRPr="001F6736">
              <w:rPr>
                <w:rStyle w:val="normaltextrun"/>
                <w:rFonts w:cs="Calibri"/>
                <w:sz w:val="20"/>
                <w:szCs w:val="20"/>
              </w:rPr>
              <w:t>Follow-Up After Hospitalization for Mental Illness (7 days) </w:t>
            </w:r>
            <w:r w:rsidRPr="001F6736">
              <w:rPr>
                <w:rStyle w:val="eop"/>
                <w:rFonts w:cs="Calibri"/>
                <w:sz w:val="20"/>
                <w:szCs w:val="20"/>
              </w:rPr>
              <w:t> </w:t>
            </w:r>
          </w:p>
        </w:tc>
        <w:tc>
          <w:tcPr>
            <w:tcW w:w="922" w:type="dxa"/>
            <w:shd w:val="clear" w:color="auto" w:fill="F2F2F2" w:themeFill="background1" w:themeFillShade="F2"/>
            <w:vAlign w:val="center"/>
          </w:tcPr>
          <w:p w14:paraId="697BDE4B" w14:textId="6F7A3907" w:rsidR="001174AB" w:rsidRPr="001F6736" w:rsidRDefault="004B33EE" w:rsidP="005E28C3">
            <w:pPr>
              <w:spacing w:line="276" w:lineRule="auto"/>
              <w:jc w:val="center"/>
              <w:rPr>
                <w:rFonts w:asciiTheme="minorHAnsi" w:hAnsiTheme="minorHAnsi" w:cstheme="minorHAnsi"/>
                <w:sz w:val="18"/>
                <w:szCs w:val="18"/>
              </w:rPr>
            </w:pPr>
            <w:r w:rsidRPr="001F6736">
              <w:rPr>
                <w:rFonts w:cs="Calibri"/>
                <w:color w:val="000000"/>
                <w:sz w:val="18"/>
                <w:szCs w:val="18"/>
              </w:rPr>
              <w:t>39.3%</w:t>
            </w:r>
          </w:p>
        </w:tc>
        <w:tc>
          <w:tcPr>
            <w:tcW w:w="922" w:type="dxa"/>
            <w:shd w:val="clear" w:color="auto" w:fill="F2F2F2" w:themeFill="background1" w:themeFillShade="F2"/>
            <w:vAlign w:val="center"/>
          </w:tcPr>
          <w:p w14:paraId="500BC40E" w14:textId="3EEAC2CB" w:rsidR="001174AB" w:rsidRPr="001F6736" w:rsidRDefault="004B33EE" w:rsidP="005E28C3">
            <w:pPr>
              <w:spacing w:line="276" w:lineRule="auto"/>
              <w:jc w:val="center"/>
              <w:rPr>
                <w:rFonts w:asciiTheme="minorHAnsi" w:hAnsiTheme="minorHAnsi" w:cstheme="minorHAnsi"/>
                <w:sz w:val="18"/>
                <w:szCs w:val="18"/>
              </w:rPr>
            </w:pPr>
            <w:r w:rsidRPr="001F6736">
              <w:rPr>
                <w:rFonts w:cs="Calibri"/>
                <w:color w:val="000000"/>
                <w:sz w:val="18"/>
                <w:szCs w:val="18"/>
              </w:rPr>
              <w:t>N/A</w:t>
            </w:r>
          </w:p>
        </w:tc>
        <w:tc>
          <w:tcPr>
            <w:tcW w:w="922" w:type="dxa"/>
            <w:shd w:val="clear" w:color="auto" w:fill="F2F2F2" w:themeFill="background1" w:themeFillShade="F2"/>
            <w:vAlign w:val="center"/>
          </w:tcPr>
          <w:p w14:paraId="6E6D1AA2" w14:textId="4F3FCC53" w:rsidR="001174AB" w:rsidRPr="001F6736" w:rsidRDefault="004B33EE" w:rsidP="005E28C3">
            <w:pPr>
              <w:spacing w:line="276" w:lineRule="auto"/>
              <w:jc w:val="center"/>
              <w:rPr>
                <w:rFonts w:asciiTheme="minorHAnsi" w:hAnsiTheme="minorHAnsi" w:cstheme="minorHAnsi"/>
                <w:sz w:val="18"/>
                <w:szCs w:val="18"/>
              </w:rPr>
            </w:pPr>
            <w:r w:rsidRPr="001F6736">
              <w:rPr>
                <w:rFonts w:cs="Calibri"/>
                <w:color w:val="000000"/>
                <w:sz w:val="18"/>
                <w:szCs w:val="18"/>
              </w:rPr>
              <w:t>48.9%</w:t>
            </w:r>
          </w:p>
        </w:tc>
        <w:tc>
          <w:tcPr>
            <w:tcW w:w="922" w:type="dxa"/>
            <w:shd w:val="clear" w:color="auto" w:fill="F2F2F2" w:themeFill="background1" w:themeFillShade="F2"/>
            <w:vAlign w:val="center"/>
          </w:tcPr>
          <w:p w14:paraId="6AA3B8FA" w14:textId="5D8E592D" w:rsidR="001174AB" w:rsidRPr="001F6736" w:rsidRDefault="004B33EE" w:rsidP="005E28C3">
            <w:pPr>
              <w:spacing w:line="276" w:lineRule="auto"/>
              <w:jc w:val="center"/>
              <w:rPr>
                <w:rFonts w:asciiTheme="minorHAnsi" w:hAnsiTheme="minorHAnsi" w:cstheme="minorHAnsi"/>
                <w:sz w:val="18"/>
                <w:szCs w:val="18"/>
              </w:rPr>
            </w:pPr>
            <w:r w:rsidRPr="001F6736">
              <w:rPr>
                <w:rFonts w:cs="Calibri"/>
                <w:color w:val="000000"/>
                <w:sz w:val="18"/>
                <w:szCs w:val="18"/>
              </w:rPr>
              <w:t>38.9%</w:t>
            </w:r>
          </w:p>
        </w:tc>
        <w:tc>
          <w:tcPr>
            <w:tcW w:w="922" w:type="dxa"/>
            <w:shd w:val="clear" w:color="auto" w:fill="F2F2F2" w:themeFill="background1" w:themeFillShade="F2"/>
            <w:vAlign w:val="center"/>
          </w:tcPr>
          <w:p w14:paraId="25FC400A" w14:textId="39000910" w:rsidR="001174AB" w:rsidRPr="001F6736" w:rsidRDefault="004B33EE" w:rsidP="005E28C3">
            <w:pPr>
              <w:spacing w:line="276" w:lineRule="auto"/>
              <w:jc w:val="center"/>
              <w:rPr>
                <w:rFonts w:asciiTheme="minorHAnsi" w:hAnsiTheme="minorHAnsi" w:cstheme="minorHAnsi"/>
                <w:sz w:val="18"/>
                <w:szCs w:val="18"/>
              </w:rPr>
            </w:pPr>
            <w:r w:rsidRPr="001F6736">
              <w:rPr>
                <w:rFonts w:cs="Calibri"/>
                <w:color w:val="000000"/>
                <w:sz w:val="18"/>
                <w:szCs w:val="18"/>
              </w:rPr>
              <w:t>N/A</w:t>
            </w:r>
          </w:p>
        </w:tc>
        <w:tc>
          <w:tcPr>
            <w:tcW w:w="922" w:type="dxa"/>
            <w:shd w:val="clear" w:color="auto" w:fill="F2F2F2" w:themeFill="background1" w:themeFillShade="F2"/>
            <w:vAlign w:val="center"/>
          </w:tcPr>
          <w:p w14:paraId="593184B7" w14:textId="51686C00" w:rsidR="001174AB" w:rsidRPr="001F6736" w:rsidRDefault="004B33EE" w:rsidP="005E28C3">
            <w:pPr>
              <w:spacing w:line="276" w:lineRule="auto"/>
              <w:jc w:val="center"/>
              <w:rPr>
                <w:rFonts w:asciiTheme="minorHAnsi" w:hAnsiTheme="minorHAnsi" w:cstheme="minorHAnsi"/>
                <w:sz w:val="18"/>
                <w:szCs w:val="18"/>
              </w:rPr>
            </w:pPr>
            <w:r w:rsidRPr="001F6736">
              <w:rPr>
                <w:rFonts w:cs="Calibri"/>
                <w:color w:val="000000"/>
                <w:sz w:val="18"/>
                <w:szCs w:val="18"/>
              </w:rPr>
              <w:t>50.0%</w:t>
            </w:r>
          </w:p>
        </w:tc>
        <w:tc>
          <w:tcPr>
            <w:tcW w:w="922" w:type="dxa"/>
            <w:shd w:val="clear" w:color="auto" w:fill="F2F2F2" w:themeFill="background1" w:themeFillShade="F2"/>
            <w:vAlign w:val="center"/>
          </w:tcPr>
          <w:p w14:paraId="5BBD4C73" w14:textId="2E0416E4" w:rsidR="001174AB" w:rsidRPr="001F6736" w:rsidRDefault="004B33EE" w:rsidP="005E28C3">
            <w:pPr>
              <w:spacing w:line="276" w:lineRule="auto"/>
              <w:jc w:val="center"/>
              <w:rPr>
                <w:rFonts w:asciiTheme="minorHAnsi" w:hAnsiTheme="minorHAnsi" w:cstheme="minorHAnsi"/>
                <w:sz w:val="18"/>
                <w:szCs w:val="18"/>
              </w:rPr>
            </w:pPr>
            <w:r w:rsidRPr="001F6736">
              <w:rPr>
                <w:rFonts w:cs="Calibri"/>
                <w:color w:val="000000"/>
                <w:sz w:val="18"/>
                <w:szCs w:val="18"/>
              </w:rPr>
              <w:t>19.1%</w:t>
            </w:r>
          </w:p>
        </w:tc>
      </w:tr>
      <w:tr w:rsidR="001174AB" w14:paraId="525F26F2" w14:textId="77777777">
        <w:trPr>
          <w:trHeight w:val="302"/>
        </w:trPr>
        <w:tc>
          <w:tcPr>
            <w:tcW w:w="1440" w:type="dxa"/>
            <w:shd w:val="clear" w:color="auto" w:fill="FFFFFF" w:themeFill="background1"/>
          </w:tcPr>
          <w:p w14:paraId="6DAF1E9D" w14:textId="06E9E8F0" w:rsidR="001174AB" w:rsidRPr="001F6736" w:rsidRDefault="007C3D56" w:rsidP="005E28C3">
            <w:pPr>
              <w:spacing w:line="276" w:lineRule="auto"/>
              <w:jc w:val="center"/>
              <w:rPr>
                <w:rFonts w:asciiTheme="minorHAnsi" w:hAnsiTheme="minorHAnsi" w:cstheme="minorHAnsi"/>
                <w:sz w:val="20"/>
                <w:szCs w:val="20"/>
              </w:rPr>
            </w:pPr>
            <w:r w:rsidRPr="001F6736">
              <w:rPr>
                <w:rStyle w:val="normaltextrun"/>
                <w:rFonts w:cs="Calibri"/>
                <w:sz w:val="20"/>
                <w:szCs w:val="20"/>
              </w:rPr>
              <w:t>FUH-30</w:t>
            </w:r>
          </w:p>
        </w:tc>
        <w:tc>
          <w:tcPr>
            <w:tcW w:w="6336" w:type="dxa"/>
            <w:shd w:val="clear" w:color="auto" w:fill="FFFFFF" w:themeFill="background1"/>
          </w:tcPr>
          <w:p w14:paraId="2A52E8E1" w14:textId="42C9CD05" w:rsidR="001174AB" w:rsidRPr="001F6736" w:rsidRDefault="007C3D56" w:rsidP="005E28C3">
            <w:pPr>
              <w:spacing w:line="276" w:lineRule="auto"/>
              <w:rPr>
                <w:rFonts w:asciiTheme="minorHAnsi" w:hAnsiTheme="minorHAnsi" w:cstheme="minorHAnsi"/>
                <w:sz w:val="20"/>
                <w:szCs w:val="20"/>
              </w:rPr>
            </w:pPr>
            <w:r w:rsidRPr="001F6736">
              <w:rPr>
                <w:rStyle w:val="normaltextrun"/>
                <w:rFonts w:cs="Calibri"/>
                <w:sz w:val="20"/>
                <w:szCs w:val="20"/>
              </w:rPr>
              <w:t>Follow-Up After Hospitalization for Mental Illness (30 days) </w:t>
            </w:r>
            <w:r w:rsidRPr="001F6736">
              <w:rPr>
                <w:rStyle w:val="eop"/>
                <w:rFonts w:cs="Calibri"/>
                <w:sz w:val="20"/>
                <w:szCs w:val="20"/>
              </w:rPr>
              <w:t> </w:t>
            </w:r>
          </w:p>
        </w:tc>
        <w:tc>
          <w:tcPr>
            <w:tcW w:w="922" w:type="dxa"/>
            <w:vAlign w:val="center"/>
          </w:tcPr>
          <w:p w14:paraId="6D33FACB" w14:textId="068AD6D0" w:rsidR="001174AB" w:rsidRPr="001F6736" w:rsidRDefault="00FD4876" w:rsidP="005E28C3">
            <w:pPr>
              <w:spacing w:line="276" w:lineRule="auto"/>
              <w:jc w:val="center"/>
              <w:rPr>
                <w:rFonts w:asciiTheme="minorHAnsi" w:hAnsiTheme="minorHAnsi" w:cstheme="minorHAnsi"/>
                <w:sz w:val="18"/>
                <w:szCs w:val="18"/>
              </w:rPr>
            </w:pPr>
            <w:r w:rsidRPr="001F6736">
              <w:rPr>
                <w:rFonts w:cs="Calibri"/>
                <w:color w:val="000000"/>
                <w:sz w:val="18"/>
                <w:szCs w:val="18"/>
              </w:rPr>
              <w:t>63.0%</w:t>
            </w:r>
          </w:p>
        </w:tc>
        <w:tc>
          <w:tcPr>
            <w:tcW w:w="922" w:type="dxa"/>
            <w:vAlign w:val="center"/>
          </w:tcPr>
          <w:p w14:paraId="7E294045" w14:textId="175F90E7" w:rsidR="001174AB" w:rsidRPr="001F6736" w:rsidRDefault="00FD4876" w:rsidP="005E28C3">
            <w:pPr>
              <w:spacing w:line="276" w:lineRule="auto"/>
              <w:jc w:val="center"/>
              <w:rPr>
                <w:rFonts w:asciiTheme="minorHAnsi" w:hAnsiTheme="minorHAnsi" w:cstheme="minorHAnsi"/>
                <w:sz w:val="18"/>
                <w:szCs w:val="18"/>
              </w:rPr>
            </w:pPr>
            <w:r w:rsidRPr="001F6736">
              <w:rPr>
                <w:rFonts w:cs="Calibri"/>
                <w:color w:val="000000"/>
                <w:sz w:val="18"/>
                <w:szCs w:val="18"/>
              </w:rPr>
              <w:t>N/A</w:t>
            </w:r>
          </w:p>
        </w:tc>
        <w:tc>
          <w:tcPr>
            <w:tcW w:w="922" w:type="dxa"/>
            <w:vAlign w:val="center"/>
          </w:tcPr>
          <w:p w14:paraId="0F938118" w14:textId="4846AF41" w:rsidR="001174AB" w:rsidRPr="001F6736" w:rsidRDefault="00FD4876" w:rsidP="005E28C3">
            <w:pPr>
              <w:spacing w:line="276" w:lineRule="auto"/>
              <w:jc w:val="center"/>
              <w:rPr>
                <w:rFonts w:asciiTheme="minorHAnsi" w:hAnsiTheme="minorHAnsi" w:cstheme="minorHAnsi"/>
                <w:sz w:val="18"/>
                <w:szCs w:val="18"/>
              </w:rPr>
            </w:pPr>
            <w:r w:rsidRPr="001F6736">
              <w:rPr>
                <w:rFonts w:cs="Calibri"/>
                <w:color w:val="000000"/>
                <w:sz w:val="18"/>
                <w:szCs w:val="18"/>
              </w:rPr>
              <w:t>70.5%</w:t>
            </w:r>
          </w:p>
        </w:tc>
        <w:tc>
          <w:tcPr>
            <w:tcW w:w="922" w:type="dxa"/>
            <w:vAlign w:val="center"/>
          </w:tcPr>
          <w:p w14:paraId="28CC2A18" w14:textId="5ABE3970" w:rsidR="001174AB" w:rsidRPr="001F6736" w:rsidRDefault="00FD4876" w:rsidP="005E28C3">
            <w:pPr>
              <w:spacing w:line="276" w:lineRule="auto"/>
              <w:jc w:val="center"/>
              <w:rPr>
                <w:rFonts w:asciiTheme="minorHAnsi" w:hAnsiTheme="minorHAnsi" w:cstheme="minorHAnsi"/>
                <w:sz w:val="18"/>
                <w:szCs w:val="18"/>
              </w:rPr>
            </w:pPr>
            <w:r w:rsidRPr="001F6736">
              <w:rPr>
                <w:rFonts w:cs="Calibri"/>
                <w:color w:val="000000"/>
                <w:sz w:val="18"/>
                <w:szCs w:val="18"/>
              </w:rPr>
              <w:t>61.1%</w:t>
            </w:r>
          </w:p>
        </w:tc>
        <w:tc>
          <w:tcPr>
            <w:tcW w:w="922" w:type="dxa"/>
            <w:vAlign w:val="center"/>
          </w:tcPr>
          <w:p w14:paraId="3B77B349" w14:textId="4EAE5BF2" w:rsidR="001174AB" w:rsidRPr="001F6736" w:rsidRDefault="00FD4876" w:rsidP="005E28C3">
            <w:pPr>
              <w:spacing w:line="276" w:lineRule="auto"/>
              <w:jc w:val="center"/>
              <w:rPr>
                <w:rFonts w:asciiTheme="minorHAnsi" w:hAnsiTheme="minorHAnsi" w:cstheme="minorHAnsi"/>
                <w:sz w:val="18"/>
                <w:szCs w:val="18"/>
              </w:rPr>
            </w:pPr>
            <w:r w:rsidRPr="001F6736">
              <w:rPr>
                <w:rFonts w:cs="Calibri"/>
                <w:color w:val="000000"/>
                <w:sz w:val="18"/>
                <w:szCs w:val="18"/>
              </w:rPr>
              <w:t>N/A</w:t>
            </w:r>
          </w:p>
        </w:tc>
        <w:tc>
          <w:tcPr>
            <w:tcW w:w="922" w:type="dxa"/>
            <w:vAlign w:val="center"/>
          </w:tcPr>
          <w:p w14:paraId="7A25C5D1" w14:textId="120A4016" w:rsidR="001174AB" w:rsidRPr="001F6736" w:rsidRDefault="00FD4876" w:rsidP="005E28C3">
            <w:pPr>
              <w:spacing w:line="276" w:lineRule="auto"/>
              <w:jc w:val="center"/>
              <w:rPr>
                <w:rFonts w:asciiTheme="minorHAnsi" w:hAnsiTheme="minorHAnsi" w:cstheme="minorHAnsi"/>
                <w:sz w:val="18"/>
                <w:szCs w:val="18"/>
              </w:rPr>
            </w:pPr>
            <w:r w:rsidRPr="001F6736">
              <w:rPr>
                <w:rFonts w:cs="Calibri"/>
                <w:color w:val="000000"/>
                <w:sz w:val="18"/>
                <w:szCs w:val="18"/>
              </w:rPr>
              <w:t>77.8%</w:t>
            </w:r>
          </w:p>
        </w:tc>
        <w:tc>
          <w:tcPr>
            <w:tcW w:w="922" w:type="dxa"/>
            <w:vAlign w:val="center"/>
          </w:tcPr>
          <w:p w14:paraId="1622DC03" w14:textId="2E49586C" w:rsidR="001174AB" w:rsidRPr="001F6736" w:rsidRDefault="00FD4876" w:rsidP="005E28C3">
            <w:pPr>
              <w:spacing w:line="276" w:lineRule="auto"/>
              <w:jc w:val="center"/>
              <w:rPr>
                <w:rFonts w:asciiTheme="minorHAnsi" w:hAnsiTheme="minorHAnsi" w:cstheme="minorHAnsi"/>
                <w:sz w:val="18"/>
                <w:szCs w:val="18"/>
              </w:rPr>
            </w:pPr>
            <w:r w:rsidRPr="001F6736">
              <w:rPr>
                <w:rFonts w:cs="Calibri"/>
                <w:color w:val="000000"/>
                <w:sz w:val="18"/>
                <w:szCs w:val="18"/>
              </w:rPr>
              <w:t>46.8%</w:t>
            </w:r>
          </w:p>
        </w:tc>
      </w:tr>
      <w:tr w:rsidR="001174AB" w14:paraId="2357525A" w14:textId="77777777">
        <w:trPr>
          <w:trHeight w:val="302"/>
        </w:trPr>
        <w:tc>
          <w:tcPr>
            <w:tcW w:w="1440" w:type="dxa"/>
            <w:shd w:val="clear" w:color="auto" w:fill="F2F2F2" w:themeFill="background1" w:themeFillShade="F2"/>
          </w:tcPr>
          <w:p w14:paraId="05F379A8" w14:textId="5699F1C3" w:rsidR="001174AB" w:rsidRPr="001F6736" w:rsidRDefault="007C3D56" w:rsidP="005E28C3">
            <w:pPr>
              <w:spacing w:line="276" w:lineRule="auto"/>
              <w:jc w:val="center"/>
              <w:rPr>
                <w:rFonts w:asciiTheme="minorHAnsi" w:hAnsiTheme="minorHAnsi" w:cstheme="minorHAnsi"/>
                <w:sz w:val="20"/>
                <w:szCs w:val="20"/>
              </w:rPr>
            </w:pPr>
            <w:r w:rsidRPr="001F6736">
              <w:rPr>
                <w:rStyle w:val="normaltextrun"/>
                <w:rFonts w:cs="Calibri"/>
                <w:sz w:val="20"/>
                <w:szCs w:val="20"/>
              </w:rPr>
              <w:t>PCR</w:t>
            </w:r>
          </w:p>
        </w:tc>
        <w:tc>
          <w:tcPr>
            <w:tcW w:w="6336" w:type="dxa"/>
            <w:shd w:val="clear" w:color="auto" w:fill="F2F2F2" w:themeFill="background1" w:themeFillShade="F2"/>
          </w:tcPr>
          <w:p w14:paraId="0AAFBB12" w14:textId="522A7920" w:rsidR="001174AB" w:rsidRPr="001F6736" w:rsidRDefault="007C3D56" w:rsidP="005E28C3">
            <w:pPr>
              <w:spacing w:line="276" w:lineRule="auto"/>
              <w:rPr>
                <w:rFonts w:asciiTheme="minorHAnsi" w:hAnsiTheme="minorHAnsi" w:cstheme="minorHAnsi"/>
                <w:sz w:val="20"/>
                <w:szCs w:val="20"/>
              </w:rPr>
            </w:pPr>
            <w:r w:rsidRPr="001F6736">
              <w:rPr>
                <w:rStyle w:val="normaltextrun"/>
                <w:rFonts w:cs="Calibri"/>
                <w:sz w:val="20"/>
                <w:szCs w:val="20"/>
              </w:rPr>
              <w:t>Plan All-Cause Readmission (Observed/Expected Ratio)</w:t>
            </w:r>
            <w:r w:rsidRPr="001F6736">
              <w:rPr>
                <w:rStyle w:val="eop"/>
                <w:rFonts w:cs="Calibri"/>
                <w:sz w:val="20"/>
                <w:szCs w:val="20"/>
              </w:rPr>
              <w:t> </w:t>
            </w:r>
          </w:p>
        </w:tc>
        <w:tc>
          <w:tcPr>
            <w:tcW w:w="922" w:type="dxa"/>
            <w:shd w:val="clear" w:color="auto" w:fill="F2F2F2" w:themeFill="background1" w:themeFillShade="F2"/>
            <w:vAlign w:val="center"/>
          </w:tcPr>
          <w:p w14:paraId="4885EFA3" w14:textId="7782E666" w:rsidR="001174AB" w:rsidRPr="001F6736" w:rsidRDefault="000775E9" w:rsidP="005E28C3">
            <w:pPr>
              <w:spacing w:line="276" w:lineRule="auto"/>
              <w:jc w:val="center"/>
              <w:rPr>
                <w:rFonts w:asciiTheme="minorHAnsi" w:hAnsiTheme="minorHAnsi" w:cstheme="minorHAnsi"/>
                <w:sz w:val="18"/>
                <w:szCs w:val="18"/>
              </w:rPr>
            </w:pPr>
            <w:r w:rsidRPr="001F6736">
              <w:rPr>
                <w:rFonts w:cs="Calibri"/>
                <w:sz w:val="18"/>
                <w:szCs w:val="18"/>
              </w:rPr>
              <w:t>1.2467</w:t>
            </w:r>
          </w:p>
        </w:tc>
        <w:tc>
          <w:tcPr>
            <w:tcW w:w="922" w:type="dxa"/>
            <w:shd w:val="clear" w:color="auto" w:fill="F2F2F2" w:themeFill="background1" w:themeFillShade="F2"/>
            <w:vAlign w:val="center"/>
          </w:tcPr>
          <w:p w14:paraId="554728F7" w14:textId="73CDC9B1" w:rsidR="001174AB" w:rsidRPr="001F6736" w:rsidRDefault="000775E9" w:rsidP="005E28C3">
            <w:pPr>
              <w:spacing w:line="276" w:lineRule="auto"/>
              <w:jc w:val="center"/>
              <w:rPr>
                <w:rFonts w:asciiTheme="minorHAnsi" w:hAnsiTheme="minorHAnsi" w:cstheme="minorHAnsi"/>
                <w:sz w:val="18"/>
                <w:szCs w:val="18"/>
              </w:rPr>
            </w:pPr>
            <w:r w:rsidRPr="001F6736">
              <w:rPr>
                <w:rFonts w:cs="Calibri"/>
                <w:sz w:val="18"/>
                <w:szCs w:val="18"/>
              </w:rPr>
              <w:t>1.1640</w:t>
            </w:r>
          </w:p>
        </w:tc>
        <w:tc>
          <w:tcPr>
            <w:tcW w:w="922" w:type="dxa"/>
            <w:shd w:val="clear" w:color="auto" w:fill="F2F2F2" w:themeFill="background1" w:themeFillShade="F2"/>
            <w:vAlign w:val="center"/>
          </w:tcPr>
          <w:p w14:paraId="25FB6306" w14:textId="38BF8835" w:rsidR="001174AB" w:rsidRPr="001F6736" w:rsidRDefault="000775E9" w:rsidP="005E28C3">
            <w:pPr>
              <w:spacing w:line="276" w:lineRule="auto"/>
              <w:jc w:val="center"/>
              <w:rPr>
                <w:rFonts w:asciiTheme="minorHAnsi" w:hAnsiTheme="minorHAnsi" w:cstheme="minorHAnsi"/>
                <w:sz w:val="18"/>
                <w:szCs w:val="18"/>
              </w:rPr>
            </w:pPr>
            <w:r w:rsidRPr="001F6736">
              <w:rPr>
                <w:rFonts w:cs="Calibri"/>
                <w:sz w:val="18"/>
                <w:szCs w:val="18"/>
              </w:rPr>
              <w:t>1.4845</w:t>
            </w:r>
          </w:p>
        </w:tc>
        <w:tc>
          <w:tcPr>
            <w:tcW w:w="922" w:type="dxa"/>
            <w:shd w:val="clear" w:color="auto" w:fill="F2F2F2" w:themeFill="background1" w:themeFillShade="F2"/>
            <w:vAlign w:val="center"/>
          </w:tcPr>
          <w:p w14:paraId="3812A81C" w14:textId="26D92B4D" w:rsidR="001174AB" w:rsidRPr="001F6736" w:rsidRDefault="000775E9" w:rsidP="005E28C3">
            <w:pPr>
              <w:spacing w:line="276" w:lineRule="auto"/>
              <w:jc w:val="center"/>
              <w:rPr>
                <w:rFonts w:asciiTheme="minorHAnsi" w:hAnsiTheme="minorHAnsi" w:cstheme="minorHAnsi"/>
                <w:sz w:val="18"/>
                <w:szCs w:val="18"/>
              </w:rPr>
            </w:pPr>
            <w:r w:rsidRPr="001F6736">
              <w:rPr>
                <w:rFonts w:cs="Calibri"/>
                <w:sz w:val="18"/>
                <w:szCs w:val="18"/>
              </w:rPr>
              <w:t>1.0457</w:t>
            </w:r>
          </w:p>
        </w:tc>
        <w:tc>
          <w:tcPr>
            <w:tcW w:w="922" w:type="dxa"/>
            <w:shd w:val="clear" w:color="auto" w:fill="F2F2F2" w:themeFill="background1" w:themeFillShade="F2"/>
            <w:vAlign w:val="center"/>
          </w:tcPr>
          <w:p w14:paraId="3EC80639" w14:textId="745EFED6" w:rsidR="001174AB" w:rsidRPr="001F6736" w:rsidRDefault="000775E9" w:rsidP="005E28C3">
            <w:pPr>
              <w:spacing w:line="276" w:lineRule="auto"/>
              <w:jc w:val="center"/>
              <w:rPr>
                <w:rFonts w:asciiTheme="minorHAnsi" w:hAnsiTheme="minorHAnsi" w:cstheme="minorHAnsi"/>
                <w:sz w:val="18"/>
                <w:szCs w:val="18"/>
              </w:rPr>
            </w:pPr>
            <w:r w:rsidRPr="001F6736">
              <w:rPr>
                <w:rFonts w:cs="Calibri"/>
                <w:sz w:val="18"/>
                <w:szCs w:val="18"/>
              </w:rPr>
              <w:t>1.1954</w:t>
            </w:r>
          </w:p>
        </w:tc>
        <w:tc>
          <w:tcPr>
            <w:tcW w:w="922" w:type="dxa"/>
            <w:shd w:val="clear" w:color="auto" w:fill="F2F2F2" w:themeFill="background1" w:themeFillShade="F2"/>
            <w:vAlign w:val="center"/>
          </w:tcPr>
          <w:p w14:paraId="1AA3A08F" w14:textId="7B635E16" w:rsidR="001174AB" w:rsidRPr="001F6736" w:rsidRDefault="000775E9" w:rsidP="005E28C3">
            <w:pPr>
              <w:spacing w:line="276" w:lineRule="auto"/>
              <w:jc w:val="center"/>
              <w:rPr>
                <w:rFonts w:asciiTheme="minorHAnsi" w:hAnsiTheme="minorHAnsi" w:cstheme="minorHAnsi"/>
                <w:sz w:val="18"/>
                <w:szCs w:val="18"/>
              </w:rPr>
            </w:pPr>
            <w:r w:rsidRPr="001F6736">
              <w:rPr>
                <w:rFonts w:cs="Calibri"/>
                <w:sz w:val="18"/>
                <w:szCs w:val="18"/>
              </w:rPr>
              <w:t>1.3668</w:t>
            </w:r>
          </w:p>
        </w:tc>
        <w:tc>
          <w:tcPr>
            <w:tcW w:w="922" w:type="dxa"/>
            <w:shd w:val="clear" w:color="auto" w:fill="F2F2F2" w:themeFill="background1" w:themeFillShade="F2"/>
            <w:vAlign w:val="center"/>
          </w:tcPr>
          <w:p w14:paraId="12535E5A" w14:textId="2E1D660F" w:rsidR="001174AB" w:rsidRPr="001F6736" w:rsidRDefault="000775E9" w:rsidP="005E28C3">
            <w:pPr>
              <w:spacing w:line="276" w:lineRule="auto"/>
              <w:jc w:val="center"/>
              <w:rPr>
                <w:rFonts w:asciiTheme="minorHAnsi" w:hAnsiTheme="minorHAnsi" w:cstheme="minorHAnsi"/>
                <w:sz w:val="18"/>
                <w:szCs w:val="18"/>
              </w:rPr>
            </w:pPr>
            <w:r w:rsidRPr="001F6736">
              <w:rPr>
                <w:rFonts w:cs="Calibri"/>
                <w:sz w:val="18"/>
                <w:szCs w:val="18"/>
              </w:rPr>
              <w:t>1.1656</w:t>
            </w:r>
          </w:p>
        </w:tc>
      </w:tr>
      <w:tr w:rsidR="001174AB" w14:paraId="523A1DD9" w14:textId="77777777">
        <w:trPr>
          <w:trHeight w:val="302"/>
        </w:trPr>
        <w:tc>
          <w:tcPr>
            <w:tcW w:w="1440" w:type="dxa"/>
            <w:shd w:val="clear" w:color="auto" w:fill="FFFFFF" w:themeFill="background1"/>
          </w:tcPr>
          <w:p w14:paraId="79C789E9" w14:textId="6ADCB6FB" w:rsidR="001174AB" w:rsidRPr="001F6736" w:rsidRDefault="007C3D56" w:rsidP="005E28C3">
            <w:pPr>
              <w:spacing w:line="276" w:lineRule="auto"/>
              <w:jc w:val="center"/>
              <w:rPr>
                <w:rFonts w:asciiTheme="minorHAnsi" w:eastAsia="Times New Roman" w:hAnsiTheme="minorHAnsi" w:cstheme="minorHAnsi"/>
                <w:color w:val="000000"/>
                <w:sz w:val="20"/>
                <w:szCs w:val="20"/>
              </w:rPr>
            </w:pPr>
            <w:r w:rsidRPr="001F6736">
              <w:rPr>
                <w:rStyle w:val="normaltextrun"/>
                <w:rFonts w:cs="Calibri"/>
                <w:sz w:val="20"/>
                <w:szCs w:val="20"/>
              </w:rPr>
              <w:t>OMW</w:t>
            </w:r>
          </w:p>
        </w:tc>
        <w:tc>
          <w:tcPr>
            <w:tcW w:w="6336" w:type="dxa"/>
            <w:shd w:val="clear" w:color="auto" w:fill="FFFFFF" w:themeFill="background1"/>
          </w:tcPr>
          <w:p w14:paraId="7702AB6C" w14:textId="38540F21" w:rsidR="001174AB" w:rsidRPr="001F6736" w:rsidRDefault="007C3D56" w:rsidP="005E28C3">
            <w:pPr>
              <w:spacing w:line="276" w:lineRule="auto"/>
              <w:rPr>
                <w:rFonts w:asciiTheme="minorHAnsi" w:eastAsia="Times New Roman" w:hAnsiTheme="minorHAnsi" w:cstheme="minorHAnsi"/>
                <w:sz w:val="20"/>
                <w:szCs w:val="20"/>
              </w:rPr>
            </w:pPr>
            <w:r w:rsidRPr="001F6736">
              <w:rPr>
                <w:rStyle w:val="normaltextrun"/>
                <w:rFonts w:cs="Calibri"/>
                <w:sz w:val="20"/>
                <w:szCs w:val="20"/>
              </w:rPr>
              <w:t>Osteoporosis Management in Women Who Had a Fracture  </w:t>
            </w:r>
            <w:r w:rsidRPr="001F6736">
              <w:rPr>
                <w:rStyle w:val="eop"/>
                <w:rFonts w:cs="Calibri"/>
                <w:sz w:val="20"/>
                <w:szCs w:val="20"/>
              </w:rPr>
              <w:t> </w:t>
            </w:r>
          </w:p>
        </w:tc>
        <w:tc>
          <w:tcPr>
            <w:tcW w:w="922" w:type="dxa"/>
            <w:vAlign w:val="center"/>
          </w:tcPr>
          <w:p w14:paraId="3C775122" w14:textId="665B6120" w:rsidR="001174AB" w:rsidRPr="001F6736" w:rsidRDefault="00757BAD" w:rsidP="005E28C3">
            <w:pPr>
              <w:spacing w:line="276" w:lineRule="auto"/>
              <w:jc w:val="center"/>
              <w:rPr>
                <w:rFonts w:asciiTheme="minorHAnsi" w:hAnsiTheme="minorHAnsi" w:cstheme="minorHAnsi"/>
                <w:sz w:val="18"/>
                <w:szCs w:val="18"/>
              </w:rPr>
            </w:pPr>
            <w:r w:rsidRPr="001F6736">
              <w:rPr>
                <w:rFonts w:cs="Calibri"/>
                <w:color w:val="000000"/>
                <w:sz w:val="18"/>
                <w:szCs w:val="18"/>
              </w:rPr>
              <w:t>36.1%</w:t>
            </w:r>
          </w:p>
        </w:tc>
        <w:tc>
          <w:tcPr>
            <w:tcW w:w="922" w:type="dxa"/>
            <w:vAlign w:val="center"/>
          </w:tcPr>
          <w:p w14:paraId="48706BC7" w14:textId="5AA9F44C" w:rsidR="001174AB" w:rsidRPr="001F6736" w:rsidRDefault="00757BAD" w:rsidP="005E28C3">
            <w:pPr>
              <w:spacing w:line="276" w:lineRule="auto"/>
              <w:jc w:val="center"/>
              <w:rPr>
                <w:rFonts w:asciiTheme="minorHAnsi" w:hAnsiTheme="minorHAnsi" w:cstheme="minorHAnsi"/>
                <w:sz w:val="18"/>
                <w:szCs w:val="18"/>
              </w:rPr>
            </w:pPr>
            <w:r w:rsidRPr="001F6736">
              <w:rPr>
                <w:rFonts w:cs="Calibri"/>
                <w:color w:val="000000"/>
                <w:sz w:val="18"/>
                <w:szCs w:val="18"/>
              </w:rPr>
              <w:t>N/A</w:t>
            </w:r>
          </w:p>
        </w:tc>
        <w:tc>
          <w:tcPr>
            <w:tcW w:w="922" w:type="dxa"/>
            <w:vAlign w:val="center"/>
          </w:tcPr>
          <w:p w14:paraId="1BE396C0" w14:textId="450DE21F" w:rsidR="001174AB" w:rsidRPr="001F6736" w:rsidRDefault="00757BAD" w:rsidP="005E28C3">
            <w:pPr>
              <w:spacing w:line="276" w:lineRule="auto"/>
              <w:jc w:val="center"/>
              <w:rPr>
                <w:rFonts w:asciiTheme="minorHAnsi" w:hAnsiTheme="minorHAnsi" w:cstheme="minorHAnsi"/>
                <w:sz w:val="18"/>
                <w:szCs w:val="18"/>
              </w:rPr>
            </w:pPr>
            <w:r w:rsidRPr="001F6736">
              <w:rPr>
                <w:rFonts w:cs="Calibri"/>
                <w:color w:val="000000"/>
                <w:sz w:val="18"/>
                <w:szCs w:val="18"/>
              </w:rPr>
              <w:t>38.5%</w:t>
            </w:r>
          </w:p>
        </w:tc>
        <w:tc>
          <w:tcPr>
            <w:tcW w:w="922" w:type="dxa"/>
            <w:vAlign w:val="center"/>
          </w:tcPr>
          <w:p w14:paraId="051AF4FB" w14:textId="40A8A949" w:rsidR="001174AB" w:rsidRPr="001F6736" w:rsidRDefault="00757BAD" w:rsidP="005E28C3">
            <w:pPr>
              <w:spacing w:line="276" w:lineRule="auto"/>
              <w:jc w:val="center"/>
              <w:rPr>
                <w:rFonts w:asciiTheme="minorHAnsi" w:hAnsiTheme="minorHAnsi" w:cstheme="minorHAnsi"/>
                <w:sz w:val="18"/>
                <w:szCs w:val="18"/>
              </w:rPr>
            </w:pPr>
            <w:r w:rsidRPr="001F6736">
              <w:rPr>
                <w:rFonts w:cs="Calibri"/>
                <w:color w:val="000000"/>
                <w:sz w:val="18"/>
                <w:szCs w:val="18"/>
              </w:rPr>
              <w:t>67.6%</w:t>
            </w:r>
          </w:p>
        </w:tc>
        <w:tc>
          <w:tcPr>
            <w:tcW w:w="922" w:type="dxa"/>
            <w:vAlign w:val="center"/>
          </w:tcPr>
          <w:p w14:paraId="7635019E" w14:textId="2173302F" w:rsidR="001174AB" w:rsidRPr="001F6736" w:rsidRDefault="00757BAD" w:rsidP="005E28C3">
            <w:pPr>
              <w:spacing w:line="276" w:lineRule="auto"/>
              <w:jc w:val="center"/>
              <w:rPr>
                <w:rFonts w:asciiTheme="minorHAnsi" w:hAnsiTheme="minorHAnsi" w:cstheme="minorHAnsi"/>
                <w:sz w:val="18"/>
                <w:szCs w:val="18"/>
              </w:rPr>
            </w:pPr>
            <w:r w:rsidRPr="001F6736">
              <w:rPr>
                <w:rFonts w:cs="Calibri"/>
                <w:color w:val="000000"/>
                <w:sz w:val="18"/>
                <w:szCs w:val="18"/>
              </w:rPr>
              <w:t>20.5%</w:t>
            </w:r>
          </w:p>
        </w:tc>
        <w:tc>
          <w:tcPr>
            <w:tcW w:w="922" w:type="dxa"/>
            <w:vAlign w:val="center"/>
          </w:tcPr>
          <w:p w14:paraId="6A8C12B1" w14:textId="5B0C4CAB" w:rsidR="001174AB" w:rsidRPr="001F6736" w:rsidRDefault="00757BAD" w:rsidP="005E28C3">
            <w:pPr>
              <w:spacing w:line="276" w:lineRule="auto"/>
              <w:jc w:val="center"/>
              <w:rPr>
                <w:rFonts w:asciiTheme="minorHAnsi" w:hAnsiTheme="minorHAnsi" w:cstheme="minorHAnsi"/>
                <w:sz w:val="18"/>
                <w:szCs w:val="18"/>
              </w:rPr>
            </w:pPr>
            <w:r w:rsidRPr="001F6736">
              <w:rPr>
                <w:rFonts w:cs="Calibri"/>
                <w:color w:val="000000"/>
                <w:sz w:val="18"/>
                <w:szCs w:val="18"/>
              </w:rPr>
              <w:t>23.7%</w:t>
            </w:r>
          </w:p>
        </w:tc>
        <w:tc>
          <w:tcPr>
            <w:tcW w:w="922" w:type="dxa"/>
            <w:vAlign w:val="center"/>
          </w:tcPr>
          <w:p w14:paraId="1AB5F9BA" w14:textId="01E634E9" w:rsidR="001174AB" w:rsidRPr="001F6736" w:rsidRDefault="00757BAD" w:rsidP="005E28C3">
            <w:pPr>
              <w:spacing w:line="276" w:lineRule="auto"/>
              <w:jc w:val="center"/>
              <w:rPr>
                <w:rFonts w:asciiTheme="minorHAnsi" w:hAnsiTheme="minorHAnsi" w:cstheme="minorHAnsi"/>
                <w:sz w:val="18"/>
                <w:szCs w:val="18"/>
              </w:rPr>
            </w:pPr>
            <w:r w:rsidRPr="001F6736">
              <w:rPr>
                <w:rFonts w:cs="Calibri"/>
                <w:color w:val="000000"/>
                <w:sz w:val="18"/>
                <w:szCs w:val="18"/>
              </w:rPr>
              <w:t>43.2%</w:t>
            </w:r>
          </w:p>
        </w:tc>
      </w:tr>
      <w:tr w:rsidR="001174AB" w14:paraId="47774E68" w14:textId="77777777">
        <w:trPr>
          <w:trHeight w:val="302"/>
        </w:trPr>
        <w:tc>
          <w:tcPr>
            <w:tcW w:w="1440" w:type="dxa"/>
            <w:shd w:val="clear" w:color="auto" w:fill="F2F2F2" w:themeFill="background1" w:themeFillShade="F2"/>
          </w:tcPr>
          <w:p w14:paraId="007B05C8" w14:textId="30649FAA" w:rsidR="001174AB" w:rsidRPr="001F6736" w:rsidRDefault="007C3D56" w:rsidP="005E28C3">
            <w:pPr>
              <w:spacing w:line="276" w:lineRule="auto"/>
              <w:jc w:val="center"/>
              <w:rPr>
                <w:rFonts w:asciiTheme="minorHAnsi" w:hAnsiTheme="minorHAnsi" w:cstheme="minorHAnsi"/>
                <w:sz w:val="20"/>
                <w:szCs w:val="20"/>
              </w:rPr>
            </w:pPr>
            <w:r w:rsidRPr="001F6736">
              <w:rPr>
                <w:rStyle w:val="normaltextrun"/>
                <w:rFonts w:cs="Calibri"/>
                <w:sz w:val="20"/>
                <w:szCs w:val="20"/>
              </w:rPr>
              <w:t>AMM-A</w:t>
            </w:r>
          </w:p>
        </w:tc>
        <w:tc>
          <w:tcPr>
            <w:tcW w:w="6336" w:type="dxa"/>
            <w:shd w:val="clear" w:color="auto" w:fill="F2F2F2" w:themeFill="background1" w:themeFillShade="F2"/>
          </w:tcPr>
          <w:p w14:paraId="6EE94BFA" w14:textId="1084696C" w:rsidR="001174AB" w:rsidRPr="001F6736" w:rsidRDefault="007C3D56" w:rsidP="005E28C3">
            <w:pPr>
              <w:spacing w:line="276" w:lineRule="auto"/>
              <w:rPr>
                <w:rFonts w:asciiTheme="minorHAnsi" w:hAnsiTheme="minorHAnsi" w:cstheme="minorHAnsi"/>
                <w:sz w:val="20"/>
                <w:szCs w:val="20"/>
              </w:rPr>
            </w:pPr>
            <w:r w:rsidRPr="001F6736">
              <w:rPr>
                <w:rStyle w:val="normaltextrun"/>
                <w:rFonts w:cs="Calibri"/>
                <w:sz w:val="20"/>
                <w:szCs w:val="20"/>
              </w:rPr>
              <w:t>Antidepressant Medication Management Acute</w:t>
            </w:r>
            <w:r w:rsidRPr="001F6736">
              <w:rPr>
                <w:rStyle w:val="eop"/>
                <w:rFonts w:cs="Calibri"/>
                <w:sz w:val="20"/>
                <w:szCs w:val="20"/>
              </w:rPr>
              <w:t> </w:t>
            </w:r>
          </w:p>
        </w:tc>
        <w:tc>
          <w:tcPr>
            <w:tcW w:w="922" w:type="dxa"/>
            <w:shd w:val="clear" w:color="auto" w:fill="F2F2F2" w:themeFill="background1" w:themeFillShade="F2"/>
            <w:vAlign w:val="center"/>
          </w:tcPr>
          <w:p w14:paraId="67FF0E40" w14:textId="3EE045E6" w:rsidR="001174AB" w:rsidRPr="001F6736" w:rsidRDefault="00AB45B8" w:rsidP="005E28C3">
            <w:pPr>
              <w:spacing w:line="276" w:lineRule="auto"/>
              <w:jc w:val="center"/>
              <w:rPr>
                <w:rFonts w:asciiTheme="minorHAnsi" w:hAnsiTheme="minorHAnsi" w:cstheme="minorHAnsi"/>
                <w:sz w:val="18"/>
                <w:szCs w:val="18"/>
              </w:rPr>
            </w:pPr>
            <w:r w:rsidRPr="001F6736">
              <w:rPr>
                <w:rFonts w:cs="Calibri"/>
                <w:color w:val="000000"/>
                <w:sz w:val="18"/>
                <w:szCs w:val="18"/>
              </w:rPr>
              <w:t>85.4%</w:t>
            </w:r>
          </w:p>
        </w:tc>
        <w:tc>
          <w:tcPr>
            <w:tcW w:w="922" w:type="dxa"/>
            <w:shd w:val="clear" w:color="auto" w:fill="F2F2F2" w:themeFill="background1" w:themeFillShade="F2"/>
            <w:vAlign w:val="center"/>
          </w:tcPr>
          <w:p w14:paraId="3ED298FF" w14:textId="3CE664B8" w:rsidR="001174AB" w:rsidRPr="001F6736" w:rsidRDefault="00AB45B8" w:rsidP="005E28C3">
            <w:pPr>
              <w:spacing w:line="276" w:lineRule="auto"/>
              <w:jc w:val="center"/>
              <w:rPr>
                <w:rFonts w:asciiTheme="minorHAnsi" w:hAnsiTheme="minorHAnsi" w:cstheme="minorHAnsi"/>
                <w:sz w:val="18"/>
                <w:szCs w:val="18"/>
              </w:rPr>
            </w:pPr>
            <w:r w:rsidRPr="001F6736">
              <w:rPr>
                <w:rFonts w:cs="Calibri"/>
                <w:color w:val="000000"/>
                <w:sz w:val="18"/>
                <w:szCs w:val="18"/>
              </w:rPr>
              <w:t>80.4%</w:t>
            </w:r>
          </w:p>
        </w:tc>
        <w:tc>
          <w:tcPr>
            <w:tcW w:w="922" w:type="dxa"/>
            <w:shd w:val="clear" w:color="auto" w:fill="F2F2F2" w:themeFill="background1" w:themeFillShade="F2"/>
            <w:vAlign w:val="center"/>
          </w:tcPr>
          <w:p w14:paraId="3044501F" w14:textId="6DB2AA5A" w:rsidR="001174AB" w:rsidRPr="001F6736" w:rsidRDefault="00AB45B8" w:rsidP="005E28C3">
            <w:pPr>
              <w:spacing w:line="276" w:lineRule="auto"/>
              <w:jc w:val="center"/>
              <w:rPr>
                <w:rFonts w:asciiTheme="minorHAnsi" w:hAnsiTheme="minorHAnsi" w:cstheme="minorHAnsi"/>
                <w:sz w:val="18"/>
                <w:szCs w:val="18"/>
              </w:rPr>
            </w:pPr>
            <w:r w:rsidRPr="001F6736">
              <w:rPr>
                <w:rFonts w:cs="Calibri"/>
                <w:color w:val="000000"/>
                <w:sz w:val="18"/>
                <w:szCs w:val="18"/>
              </w:rPr>
              <w:t>80.6%</w:t>
            </w:r>
          </w:p>
        </w:tc>
        <w:tc>
          <w:tcPr>
            <w:tcW w:w="922" w:type="dxa"/>
            <w:shd w:val="clear" w:color="auto" w:fill="F2F2F2" w:themeFill="background1" w:themeFillShade="F2"/>
            <w:vAlign w:val="center"/>
          </w:tcPr>
          <w:p w14:paraId="47C274CD" w14:textId="7A3E31C8" w:rsidR="001174AB" w:rsidRPr="001F6736" w:rsidRDefault="00AB45B8" w:rsidP="005E28C3">
            <w:pPr>
              <w:spacing w:line="276" w:lineRule="auto"/>
              <w:jc w:val="center"/>
              <w:rPr>
                <w:rFonts w:asciiTheme="minorHAnsi" w:hAnsiTheme="minorHAnsi" w:cstheme="minorHAnsi"/>
                <w:sz w:val="18"/>
                <w:szCs w:val="18"/>
              </w:rPr>
            </w:pPr>
            <w:r w:rsidRPr="001F6736">
              <w:rPr>
                <w:rFonts w:cs="Calibri"/>
                <w:color w:val="000000"/>
                <w:sz w:val="18"/>
                <w:szCs w:val="18"/>
              </w:rPr>
              <w:t>84.6%</w:t>
            </w:r>
          </w:p>
        </w:tc>
        <w:tc>
          <w:tcPr>
            <w:tcW w:w="922" w:type="dxa"/>
            <w:shd w:val="clear" w:color="auto" w:fill="F2F2F2" w:themeFill="background1" w:themeFillShade="F2"/>
            <w:vAlign w:val="center"/>
          </w:tcPr>
          <w:p w14:paraId="0A07B784" w14:textId="3F08C5DC" w:rsidR="001174AB" w:rsidRPr="001F6736" w:rsidRDefault="00AB45B8" w:rsidP="005E28C3">
            <w:pPr>
              <w:spacing w:line="276" w:lineRule="auto"/>
              <w:jc w:val="center"/>
              <w:rPr>
                <w:rFonts w:asciiTheme="minorHAnsi" w:hAnsiTheme="minorHAnsi" w:cstheme="minorHAnsi"/>
                <w:sz w:val="18"/>
                <w:szCs w:val="18"/>
              </w:rPr>
            </w:pPr>
            <w:r w:rsidRPr="001F6736">
              <w:rPr>
                <w:rFonts w:cs="Calibri"/>
                <w:color w:val="000000"/>
                <w:sz w:val="18"/>
                <w:szCs w:val="18"/>
              </w:rPr>
              <w:t>92.4%</w:t>
            </w:r>
          </w:p>
        </w:tc>
        <w:tc>
          <w:tcPr>
            <w:tcW w:w="922" w:type="dxa"/>
            <w:shd w:val="clear" w:color="auto" w:fill="F2F2F2" w:themeFill="background1" w:themeFillShade="F2"/>
            <w:vAlign w:val="center"/>
          </w:tcPr>
          <w:p w14:paraId="6517EAAA" w14:textId="4E9B5AAB" w:rsidR="001174AB" w:rsidRPr="001F6736" w:rsidRDefault="00AB45B8" w:rsidP="005E28C3">
            <w:pPr>
              <w:spacing w:line="276" w:lineRule="auto"/>
              <w:jc w:val="center"/>
              <w:rPr>
                <w:rFonts w:asciiTheme="minorHAnsi" w:hAnsiTheme="minorHAnsi" w:cstheme="minorHAnsi"/>
                <w:sz w:val="18"/>
                <w:szCs w:val="18"/>
              </w:rPr>
            </w:pPr>
            <w:r w:rsidRPr="001F6736">
              <w:rPr>
                <w:rFonts w:cs="Calibri"/>
                <w:color w:val="000000"/>
                <w:sz w:val="18"/>
                <w:szCs w:val="18"/>
              </w:rPr>
              <w:t>82.1%</w:t>
            </w:r>
          </w:p>
        </w:tc>
        <w:tc>
          <w:tcPr>
            <w:tcW w:w="922" w:type="dxa"/>
            <w:shd w:val="clear" w:color="auto" w:fill="F2F2F2" w:themeFill="background1" w:themeFillShade="F2"/>
            <w:vAlign w:val="center"/>
          </w:tcPr>
          <w:p w14:paraId="61925FEF" w14:textId="38F2327B" w:rsidR="001174AB" w:rsidRPr="001F6736" w:rsidRDefault="00AB45B8" w:rsidP="005E28C3">
            <w:pPr>
              <w:spacing w:line="276" w:lineRule="auto"/>
              <w:jc w:val="center"/>
              <w:rPr>
                <w:rFonts w:asciiTheme="minorHAnsi" w:hAnsiTheme="minorHAnsi" w:cstheme="minorHAnsi"/>
                <w:sz w:val="18"/>
                <w:szCs w:val="18"/>
              </w:rPr>
            </w:pPr>
            <w:r w:rsidRPr="001F6736">
              <w:rPr>
                <w:rFonts w:cs="Calibri"/>
                <w:color w:val="000000"/>
                <w:sz w:val="18"/>
                <w:szCs w:val="18"/>
              </w:rPr>
              <w:t>79.2%</w:t>
            </w:r>
          </w:p>
        </w:tc>
      </w:tr>
      <w:tr w:rsidR="001174AB" w14:paraId="264F6D51" w14:textId="77777777">
        <w:trPr>
          <w:trHeight w:val="302"/>
        </w:trPr>
        <w:tc>
          <w:tcPr>
            <w:tcW w:w="1440" w:type="dxa"/>
            <w:shd w:val="clear" w:color="auto" w:fill="FFFFFF" w:themeFill="background1"/>
          </w:tcPr>
          <w:p w14:paraId="64B64E02" w14:textId="58586E63" w:rsidR="001174AB" w:rsidRPr="001F6736" w:rsidRDefault="007C3D56" w:rsidP="005E28C3">
            <w:pPr>
              <w:spacing w:line="276" w:lineRule="auto"/>
              <w:jc w:val="center"/>
              <w:rPr>
                <w:rFonts w:asciiTheme="minorHAnsi" w:hAnsiTheme="minorHAnsi" w:cstheme="minorHAnsi"/>
                <w:sz w:val="20"/>
                <w:szCs w:val="20"/>
              </w:rPr>
            </w:pPr>
            <w:r w:rsidRPr="001F6736">
              <w:rPr>
                <w:rStyle w:val="normaltextrun"/>
                <w:rFonts w:cs="Calibri"/>
                <w:sz w:val="20"/>
                <w:szCs w:val="20"/>
              </w:rPr>
              <w:t>AMM-C</w:t>
            </w:r>
          </w:p>
        </w:tc>
        <w:tc>
          <w:tcPr>
            <w:tcW w:w="6336" w:type="dxa"/>
            <w:shd w:val="clear" w:color="auto" w:fill="FFFFFF" w:themeFill="background1"/>
          </w:tcPr>
          <w:p w14:paraId="76761DDA" w14:textId="4E93C3F4" w:rsidR="001174AB" w:rsidRPr="001F6736" w:rsidRDefault="007C3D56" w:rsidP="005E28C3">
            <w:pPr>
              <w:spacing w:line="276" w:lineRule="auto"/>
              <w:rPr>
                <w:rFonts w:asciiTheme="minorHAnsi" w:hAnsiTheme="minorHAnsi" w:cstheme="minorHAnsi"/>
                <w:sz w:val="20"/>
                <w:szCs w:val="20"/>
              </w:rPr>
            </w:pPr>
            <w:r w:rsidRPr="001F6736">
              <w:rPr>
                <w:rStyle w:val="normaltextrun"/>
                <w:rFonts w:cs="Calibri"/>
                <w:sz w:val="20"/>
                <w:szCs w:val="20"/>
              </w:rPr>
              <w:t>Antidepressant Medication Management Continuation</w:t>
            </w:r>
            <w:r w:rsidRPr="001F6736">
              <w:rPr>
                <w:rStyle w:val="eop"/>
                <w:rFonts w:cs="Calibri"/>
                <w:sz w:val="20"/>
                <w:szCs w:val="20"/>
              </w:rPr>
              <w:t> </w:t>
            </w:r>
          </w:p>
        </w:tc>
        <w:tc>
          <w:tcPr>
            <w:tcW w:w="922" w:type="dxa"/>
            <w:vAlign w:val="center"/>
          </w:tcPr>
          <w:p w14:paraId="1C6E9C71" w14:textId="3E8762CA" w:rsidR="001174AB" w:rsidRPr="001F6736" w:rsidRDefault="00AB45B8" w:rsidP="005E28C3">
            <w:pPr>
              <w:spacing w:line="276" w:lineRule="auto"/>
              <w:jc w:val="center"/>
              <w:rPr>
                <w:rFonts w:asciiTheme="minorHAnsi" w:hAnsiTheme="minorHAnsi" w:cstheme="minorHAnsi"/>
                <w:sz w:val="18"/>
                <w:szCs w:val="18"/>
              </w:rPr>
            </w:pPr>
            <w:r w:rsidRPr="001F6736">
              <w:rPr>
                <w:rFonts w:cs="Calibri"/>
                <w:color w:val="000000"/>
                <w:sz w:val="18"/>
                <w:szCs w:val="18"/>
              </w:rPr>
              <w:t>75.6%</w:t>
            </w:r>
          </w:p>
        </w:tc>
        <w:tc>
          <w:tcPr>
            <w:tcW w:w="922" w:type="dxa"/>
            <w:vAlign w:val="center"/>
          </w:tcPr>
          <w:p w14:paraId="5A745352" w14:textId="6AE5AB82" w:rsidR="001174AB" w:rsidRPr="001F6736" w:rsidRDefault="00AB45B8" w:rsidP="005E28C3">
            <w:pPr>
              <w:spacing w:line="276" w:lineRule="auto"/>
              <w:jc w:val="center"/>
              <w:rPr>
                <w:rFonts w:asciiTheme="minorHAnsi" w:hAnsiTheme="minorHAnsi" w:cstheme="minorHAnsi"/>
                <w:sz w:val="18"/>
                <w:szCs w:val="18"/>
              </w:rPr>
            </w:pPr>
            <w:r w:rsidRPr="001F6736">
              <w:rPr>
                <w:rFonts w:cs="Calibri"/>
                <w:color w:val="000000"/>
                <w:sz w:val="18"/>
                <w:szCs w:val="18"/>
              </w:rPr>
              <w:t>68.6%</w:t>
            </w:r>
          </w:p>
        </w:tc>
        <w:tc>
          <w:tcPr>
            <w:tcW w:w="922" w:type="dxa"/>
            <w:vAlign w:val="center"/>
          </w:tcPr>
          <w:p w14:paraId="3BAD5A70" w14:textId="07F1890D" w:rsidR="001174AB" w:rsidRPr="001F6736" w:rsidRDefault="00AB45B8" w:rsidP="005E28C3">
            <w:pPr>
              <w:spacing w:line="276" w:lineRule="auto"/>
              <w:jc w:val="center"/>
              <w:rPr>
                <w:rFonts w:asciiTheme="minorHAnsi" w:hAnsiTheme="minorHAnsi" w:cstheme="minorHAnsi"/>
                <w:sz w:val="18"/>
                <w:szCs w:val="18"/>
              </w:rPr>
            </w:pPr>
            <w:r w:rsidRPr="001F6736">
              <w:rPr>
                <w:rFonts w:cs="Calibri"/>
                <w:color w:val="000000"/>
                <w:sz w:val="18"/>
                <w:szCs w:val="18"/>
              </w:rPr>
              <w:t>72.9%</w:t>
            </w:r>
          </w:p>
        </w:tc>
        <w:tc>
          <w:tcPr>
            <w:tcW w:w="922" w:type="dxa"/>
            <w:vAlign w:val="center"/>
          </w:tcPr>
          <w:p w14:paraId="047358E0" w14:textId="58235DB6" w:rsidR="001174AB" w:rsidRPr="001F6736" w:rsidRDefault="00AB45B8" w:rsidP="005E28C3">
            <w:pPr>
              <w:spacing w:line="276" w:lineRule="auto"/>
              <w:jc w:val="center"/>
              <w:rPr>
                <w:rFonts w:asciiTheme="minorHAnsi" w:hAnsiTheme="minorHAnsi" w:cstheme="minorHAnsi"/>
                <w:sz w:val="18"/>
                <w:szCs w:val="18"/>
              </w:rPr>
            </w:pPr>
            <w:r w:rsidRPr="001F6736">
              <w:rPr>
                <w:rFonts w:cs="Calibri"/>
                <w:color w:val="000000"/>
                <w:sz w:val="18"/>
                <w:szCs w:val="18"/>
              </w:rPr>
              <w:t>68.0%</w:t>
            </w:r>
          </w:p>
        </w:tc>
        <w:tc>
          <w:tcPr>
            <w:tcW w:w="922" w:type="dxa"/>
            <w:vAlign w:val="center"/>
          </w:tcPr>
          <w:p w14:paraId="58254936" w14:textId="5FCEEC7A" w:rsidR="001174AB" w:rsidRPr="001F6736" w:rsidRDefault="00AB45B8" w:rsidP="005E28C3">
            <w:pPr>
              <w:spacing w:line="276" w:lineRule="auto"/>
              <w:jc w:val="center"/>
              <w:rPr>
                <w:rFonts w:asciiTheme="minorHAnsi" w:hAnsiTheme="minorHAnsi" w:cstheme="minorHAnsi"/>
                <w:sz w:val="18"/>
                <w:szCs w:val="18"/>
              </w:rPr>
            </w:pPr>
            <w:r w:rsidRPr="001F6736">
              <w:rPr>
                <w:rFonts w:cs="Calibri"/>
                <w:color w:val="000000"/>
                <w:sz w:val="18"/>
                <w:szCs w:val="18"/>
              </w:rPr>
              <w:t>87.1%</w:t>
            </w:r>
          </w:p>
        </w:tc>
        <w:tc>
          <w:tcPr>
            <w:tcW w:w="922" w:type="dxa"/>
            <w:vAlign w:val="center"/>
          </w:tcPr>
          <w:p w14:paraId="29769388" w14:textId="2052EA9A" w:rsidR="001174AB" w:rsidRPr="001F6736" w:rsidRDefault="00AB45B8" w:rsidP="005E28C3">
            <w:pPr>
              <w:spacing w:line="276" w:lineRule="auto"/>
              <w:jc w:val="center"/>
              <w:rPr>
                <w:rFonts w:asciiTheme="minorHAnsi" w:hAnsiTheme="minorHAnsi" w:cstheme="minorHAnsi"/>
                <w:sz w:val="18"/>
                <w:szCs w:val="18"/>
              </w:rPr>
            </w:pPr>
            <w:r w:rsidRPr="001F6736">
              <w:rPr>
                <w:rFonts w:cs="Calibri"/>
                <w:color w:val="000000"/>
                <w:sz w:val="18"/>
                <w:szCs w:val="18"/>
              </w:rPr>
              <w:t>68.1%</w:t>
            </w:r>
          </w:p>
        </w:tc>
        <w:tc>
          <w:tcPr>
            <w:tcW w:w="922" w:type="dxa"/>
            <w:vAlign w:val="center"/>
          </w:tcPr>
          <w:p w14:paraId="450685FF" w14:textId="27FEC71A" w:rsidR="001174AB" w:rsidRPr="001F6736" w:rsidRDefault="00AB45B8" w:rsidP="005E28C3">
            <w:pPr>
              <w:spacing w:line="276" w:lineRule="auto"/>
              <w:jc w:val="center"/>
              <w:rPr>
                <w:rFonts w:asciiTheme="minorHAnsi" w:hAnsiTheme="minorHAnsi" w:cstheme="minorHAnsi"/>
                <w:sz w:val="18"/>
                <w:szCs w:val="18"/>
              </w:rPr>
            </w:pPr>
            <w:r w:rsidRPr="001F6736">
              <w:rPr>
                <w:rFonts w:cs="Calibri"/>
                <w:color w:val="000000"/>
                <w:sz w:val="18"/>
                <w:szCs w:val="18"/>
              </w:rPr>
              <w:t>64.8%</w:t>
            </w:r>
          </w:p>
        </w:tc>
      </w:tr>
    </w:tbl>
    <w:p w14:paraId="22BD43A8" w14:textId="77777777" w:rsidR="00AC2B31" w:rsidRDefault="00AC2B31">
      <w:pPr>
        <w:rPr>
          <w:rFonts w:eastAsia="Times New Roman" w:cs="Calibri"/>
          <w:b/>
          <w:bCs/>
          <w:color w:val="000000" w:themeColor="text1"/>
          <w:sz w:val="20"/>
          <w:szCs w:val="20"/>
        </w:rPr>
      </w:pPr>
      <w:r>
        <w:rPr>
          <w:rFonts w:eastAsia="Times New Roman" w:cs="Calibri"/>
          <w:b/>
          <w:bCs/>
          <w:color w:val="000000" w:themeColor="text1"/>
          <w:sz w:val="20"/>
          <w:szCs w:val="20"/>
        </w:rPr>
        <w:br w:type="page"/>
      </w:r>
    </w:p>
    <w:p w14:paraId="1DF01BAE" w14:textId="39E1B3D8" w:rsidR="005E56AE" w:rsidRDefault="00CF37A1" w:rsidP="00CF37A1">
      <w:pPr>
        <w:spacing w:after="160" w:line="259" w:lineRule="auto"/>
        <w:ind w:left="-540"/>
        <w:rPr>
          <w:rFonts w:eastAsia="Times New Roman" w:cs="Calibri"/>
          <w:b/>
          <w:bCs/>
          <w:color w:val="000000"/>
          <w:sz w:val="20"/>
          <w:szCs w:val="20"/>
        </w:rPr>
      </w:pPr>
      <w:r w:rsidRPr="21CA7F43">
        <w:rPr>
          <w:rFonts w:eastAsia="Times New Roman" w:cs="Calibri"/>
          <w:b/>
          <w:bCs/>
          <w:color w:val="000000" w:themeColor="text1"/>
          <w:sz w:val="20"/>
          <w:szCs w:val="20"/>
        </w:rPr>
        <w:lastRenderedPageBreak/>
        <w:t xml:space="preserve">Appendix </w:t>
      </w:r>
      <w:r w:rsidR="00FD3DD2" w:rsidRPr="21CA7F43">
        <w:rPr>
          <w:rFonts w:eastAsia="Times New Roman" w:cs="Calibri"/>
          <w:b/>
          <w:bCs/>
          <w:color w:val="000000" w:themeColor="text1"/>
          <w:sz w:val="20"/>
          <w:szCs w:val="20"/>
        </w:rPr>
        <w:t>B</w:t>
      </w:r>
      <w:r w:rsidRPr="21CA7F43">
        <w:rPr>
          <w:rFonts w:eastAsia="Times New Roman" w:cs="Calibri"/>
          <w:b/>
          <w:bCs/>
          <w:color w:val="000000" w:themeColor="text1"/>
          <w:sz w:val="20"/>
          <w:szCs w:val="20"/>
        </w:rPr>
        <w:t>-</w:t>
      </w:r>
      <w:r w:rsidR="003020F5" w:rsidRPr="21CA7F43">
        <w:rPr>
          <w:rFonts w:eastAsia="Times New Roman" w:cs="Calibri"/>
          <w:b/>
          <w:bCs/>
          <w:color w:val="000000" w:themeColor="text1"/>
          <w:sz w:val="20"/>
          <w:szCs w:val="20"/>
        </w:rPr>
        <w:t>5</w:t>
      </w:r>
      <w:r w:rsidRPr="21CA7F43">
        <w:rPr>
          <w:rFonts w:eastAsia="Times New Roman" w:cs="Calibri"/>
          <w:b/>
          <w:bCs/>
          <w:color w:val="000000" w:themeColor="text1"/>
          <w:sz w:val="20"/>
          <w:szCs w:val="20"/>
        </w:rPr>
        <w:t xml:space="preserve">: Contact Level Performance, </w:t>
      </w:r>
      <w:r w:rsidR="3FC47F8D" w:rsidRPr="21CA7F43">
        <w:rPr>
          <w:rFonts w:eastAsia="Times New Roman" w:cs="Calibri"/>
          <w:b/>
          <w:bCs/>
          <w:color w:val="000000" w:themeColor="text1"/>
          <w:sz w:val="20"/>
          <w:szCs w:val="20"/>
        </w:rPr>
        <w:t>M</w:t>
      </w:r>
      <w:r w:rsidRPr="21CA7F43">
        <w:rPr>
          <w:rFonts w:eastAsia="Times New Roman" w:cs="Calibri"/>
          <w:b/>
          <w:bCs/>
          <w:color w:val="000000" w:themeColor="text1"/>
          <w:sz w:val="20"/>
          <w:szCs w:val="20"/>
        </w:rPr>
        <w:t>Y20</w:t>
      </w:r>
      <w:r w:rsidR="00D34BBA">
        <w:rPr>
          <w:rFonts w:eastAsia="Times New Roman" w:cs="Calibri"/>
          <w:b/>
          <w:bCs/>
          <w:color w:val="000000" w:themeColor="text1"/>
          <w:sz w:val="20"/>
          <w:szCs w:val="20"/>
        </w:rPr>
        <w:t>22</w:t>
      </w:r>
      <w:r w:rsidRPr="21CA7F43">
        <w:rPr>
          <w:rFonts w:eastAsia="Times New Roman" w:cs="Calibri"/>
          <w:b/>
          <w:bCs/>
          <w:color w:val="000000" w:themeColor="text1"/>
          <w:sz w:val="20"/>
          <w:szCs w:val="20"/>
        </w:rPr>
        <w:t>: (OneCare and SCO)</w:t>
      </w:r>
    </w:p>
    <w:p w14:paraId="60819395" w14:textId="38B2902C" w:rsidR="00FD3DD2" w:rsidRPr="00CE61A0" w:rsidRDefault="003020F5" w:rsidP="00FD3DD2">
      <w:pPr>
        <w:ind w:left="-900"/>
        <w:rPr>
          <w:shd w:val="clear" w:color="auto" w:fill="FFFFFF"/>
        </w:rPr>
      </w:pPr>
      <w:r>
        <w:rPr>
          <w:rStyle w:val="normaltextrun"/>
          <w:shd w:val="clear" w:color="auto" w:fill="FFFFFF"/>
        </w:rPr>
        <w:t>20</w:t>
      </w:r>
      <w:r w:rsidR="00D34BBA">
        <w:rPr>
          <w:rStyle w:val="normaltextrun"/>
          <w:shd w:val="clear" w:color="auto" w:fill="FFFFFF"/>
        </w:rPr>
        <w:t>22</w:t>
      </w:r>
      <w:r>
        <w:rPr>
          <w:rStyle w:val="normaltextrun"/>
          <w:shd w:val="clear" w:color="auto" w:fill="FFFFFF"/>
        </w:rPr>
        <w:t xml:space="preserve"> Quality measure performance for individual One</w:t>
      </w:r>
      <w:r w:rsidR="000705A8">
        <w:rPr>
          <w:rStyle w:val="normaltextrun"/>
          <w:shd w:val="clear" w:color="auto" w:fill="FFFFFF"/>
        </w:rPr>
        <w:t xml:space="preserve"> </w:t>
      </w:r>
      <w:r>
        <w:rPr>
          <w:rStyle w:val="normaltextrun"/>
          <w:shd w:val="clear" w:color="auto" w:fill="FFFFFF"/>
        </w:rPr>
        <w:t xml:space="preserve">Care and SCO plans is presented in Table </w:t>
      </w:r>
      <w:r w:rsidR="00FD3DD2">
        <w:rPr>
          <w:rStyle w:val="normaltextrun"/>
          <w:shd w:val="clear" w:color="auto" w:fill="FFFFFF"/>
        </w:rPr>
        <w:t>B-</w:t>
      </w:r>
      <w:r>
        <w:rPr>
          <w:rStyle w:val="normaltextrun"/>
          <w:shd w:val="clear" w:color="auto" w:fill="FFFFFF"/>
        </w:rPr>
        <w:t xml:space="preserve">5.  </w:t>
      </w:r>
      <w:r w:rsidR="00FD3DD2">
        <w:rPr>
          <w:rStyle w:val="normaltextrun"/>
          <w:shd w:val="clear" w:color="auto" w:fill="FFFFFF"/>
        </w:rPr>
        <w:t>Program-level totals are weighted means (WM). Please see Appendix A for a list of MassHealth’s managed care plans.</w:t>
      </w:r>
    </w:p>
    <w:p w14:paraId="7756603B" w14:textId="77777777" w:rsidR="003020F5" w:rsidRDefault="003020F5">
      <w:pPr>
        <w:pStyle w:val="ListParagraph"/>
        <w:numPr>
          <w:ilvl w:val="0"/>
          <w:numId w:val="3"/>
        </w:numPr>
        <w:ind w:left="-360" w:firstLine="0"/>
        <w:rPr>
          <w:b/>
          <w:bCs/>
        </w:rPr>
      </w:pPr>
      <w:r w:rsidRPr="00137463">
        <w:rPr>
          <w:b/>
          <w:bCs/>
        </w:rPr>
        <w:t xml:space="preserve">“--” indicates that the measure </w:t>
      </w:r>
      <w:r>
        <w:rPr>
          <w:b/>
          <w:bCs/>
        </w:rPr>
        <w:t>or target was</w:t>
      </w:r>
      <w:r w:rsidRPr="00137463">
        <w:rPr>
          <w:b/>
          <w:bCs/>
        </w:rPr>
        <w:t xml:space="preserve"> not</w:t>
      </w:r>
      <w:r>
        <w:rPr>
          <w:b/>
          <w:bCs/>
        </w:rPr>
        <w:t xml:space="preserve"> available, not</w:t>
      </w:r>
      <w:r w:rsidRPr="00137463">
        <w:rPr>
          <w:b/>
          <w:bCs/>
        </w:rPr>
        <w:t xml:space="preserve"> required, not collected, or not calculated</w:t>
      </w:r>
      <w:r>
        <w:rPr>
          <w:b/>
          <w:bCs/>
        </w:rPr>
        <w:t>.</w:t>
      </w:r>
    </w:p>
    <w:p w14:paraId="603526A7" w14:textId="77777777" w:rsidR="002A355C" w:rsidRDefault="003020F5" w:rsidP="002A355C">
      <w:pPr>
        <w:pStyle w:val="ListParagraph"/>
        <w:numPr>
          <w:ilvl w:val="0"/>
          <w:numId w:val="3"/>
        </w:numPr>
        <w:ind w:left="-360" w:firstLine="0"/>
        <w:rPr>
          <w:b/>
          <w:bCs/>
        </w:rPr>
      </w:pPr>
      <w:r>
        <w:rPr>
          <w:b/>
          <w:bCs/>
        </w:rPr>
        <w:t>“NA” indicates that the rate was not included due to small denominator (n &lt;30).</w:t>
      </w:r>
    </w:p>
    <w:p w14:paraId="25DC2E0F" w14:textId="1C608031" w:rsidR="002A355C" w:rsidRPr="002A355C" w:rsidRDefault="002A355C" w:rsidP="002A355C">
      <w:pPr>
        <w:ind w:left="-360"/>
        <w:rPr>
          <w:b/>
          <w:bCs/>
        </w:rPr>
      </w:pPr>
      <w:r w:rsidRPr="002A355C">
        <w:rPr>
          <w:b/>
          <w:bCs/>
          <w:sz w:val="20"/>
          <w:szCs w:val="20"/>
        </w:rPr>
        <w:t>Chart B-</w:t>
      </w:r>
      <w:r w:rsidR="007C5D3C">
        <w:rPr>
          <w:b/>
          <w:bCs/>
          <w:sz w:val="20"/>
          <w:szCs w:val="20"/>
        </w:rPr>
        <w:t>5</w:t>
      </w:r>
      <w:r w:rsidRPr="002A355C">
        <w:rPr>
          <w:b/>
          <w:bCs/>
          <w:sz w:val="20"/>
          <w:szCs w:val="20"/>
        </w:rPr>
        <w:t>.</w:t>
      </w:r>
      <w:r w:rsidR="007C5D3C">
        <w:rPr>
          <w:b/>
          <w:bCs/>
          <w:sz w:val="20"/>
          <w:szCs w:val="20"/>
        </w:rPr>
        <w:t>1</w:t>
      </w:r>
      <w:r w:rsidRPr="002A355C">
        <w:rPr>
          <w:b/>
          <w:bCs/>
          <w:sz w:val="20"/>
          <w:szCs w:val="20"/>
        </w:rPr>
        <w:t xml:space="preserve">: </w:t>
      </w:r>
      <w:r w:rsidR="007C5D3C">
        <w:rPr>
          <w:b/>
          <w:bCs/>
          <w:sz w:val="20"/>
          <w:szCs w:val="20"/>
        </w:rPr>
        <w:t>One Care</w:t>
      </w:r>
      <w:r w:rsidRPr="002A355C">
        <w:rPr>
          <w:b/>
          <w:bCs/>
          <w:sz w:val="20"/>
          <w:szCs w:val="20"/>
        </w:rPr>
        <w:t xml:space="preserve"> Contract Level Performance, MY202</w:t>
      </w:r>
      <w:r w:rsidR="007C5D3C">
        <w:rPr>
          <w:b/>
          <w:bCs/>
          <w:sz w:val="20"/>
          <w:szCs w:val="20"/>
        </w:rPr>
        <w:t>2</w:t>
      </w:r>
    </w:p>
    <w:tbl>
      <w:tblPr>
        <w:tblW w:w="11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6336"/>
        <w:gridCol w:w="922"/>
        <w:gridCol w:w="922"/>
        <w:gridCol w:w="922"/>
        <w:gridCol w:w="922"/>
      </w:tblGrid>
      <w:tr w:rsidR="004B6F19" w:rsidRPr="0049778F" w14:paraId="74F2CD36" w14:textId="0652E484" w:rsidTr="003C45E6">
        <w:trPr>
          <w:trHeight w:val="720"/>
          <w:tblHeader/>
        </w:trPr>
        <w:tc>
          <w:tcPr>
            <w:tcW w:w="1440" w:type="dxa"/>
            <w:shd w:val="clear" w:color="auto" w:fill="auto"/>
            <w:noWrap/>
            <w:vAlign w:val="center"/>
            <w:hideMark/>
          </w:tcPr>
          <w:p w14:paraId="0470042A" w14:textId="77777777" w:rsidR="004B6F19" w:rsidRPr="001F6736" w:rsidRDefault="004B6F19">
            <w:pPr>
              <w:spacing w:after="0"/>
              <w:jc w:val="center"/>
              <w:rPr>
                <w:rFonts w:eastAsia="Times New Roman" w:cs="Calibri"/>
                <w:b/>
                <w:color w:val="000000"/>
                <w:sz w:val="20"/>
                <w:szCs w:val="20"/>
              </w:rPr>
            </w:pPr>
            <w:r w:rsidRPr="001F6736">
              <w:rPr>
                <w:rFonts w:eastAsia="Times New Roman" w:cs="Calibri"/>
                <w:b/>
                <w:color w:val="000000"/>
                <w:sz w:val="20"/>
                <w:szCs w:val="20"/>
              </w:rPr>
              <w:t>Ref</w:t>
            </w:r>
          </w:p>
        </w:tc>
        <w:tc>
          <w:tcPr>
            <w:tcW w:w="6336" w:type="dxa"/>
            <w:shd w:val="clear" w:color="auto" w:fill="auto"/>
            <w:noWrap/>
            <w:vAlign w:val="center"/>
            <w:hideMark/>
          </w:tcPr>
          <w:p w14:paraId="585C82C4" w14:textId="77777777" w:rsidR="004B6F19" w:rsidRPr="001F6736" w:rsidRDefault="004B6F19">
            <w:pPr>
              <w:spacing w:after="0"/>
              <w:jc w:val="center"/>
              <w:rPr>
                <w:rFonts w:eastAsia="Times New Roman" w:cs="Calibri"/>
                <w:b/>
                <w:color w:val="000000"/>
                <w:sz w:val="20"/>
                <w:szCs w:val="20"/>
              </w:rPr>
            </w:pPr>
            <w:r w:rsidRPr="001F6736">
              <w:rPr>
                <w:rFonts w:eastAsia="Times New Roman" w:cs="Calibri"/>
                <w:b/>
                <w:color w:val="000000"/>
                <w:sz w:val="20"/>
                <w:szCs w:val="20"/>
              </w:rPr>
              <w:t>2022 Measure</w:t>
            </w:r>
          </w:p>
        </w:tc>
        <w:tc>
          <w:tcPr>
            <w:tcW w:w="922" w:type="dxa"/>
            <w:shd w:val="clear" w:color="auto" w:fill="8EAADB" w:themeFill="accent1" w:themeFillTint="99"/>
            <w:vAlign w:val="center"/>
            <w:hideMark/>
          </w:tcPr>
          <w:p w14:paraId="70118C4A" w14:textId="3E2C5B8E" w:rsidR="004B6F19" w:rsidRPr="0049778F" w:rsidRDefault="004B6F19">
            <w:pPr>
              <w:spacing w:after="0"/>
              <w:jc w:val="center"/>
              <w:rPr>
                <w:rFonts w:eastAsia="Times New Roman" w:cs="Calibri"/>
                <w:b/>
                <w:bCs/>
                <w:sz w:val="18"/>
                <w:szCs w:val="18"/>
              </w:rPr>
            </w:pPr>
            <w:r w:rsidRPr="0049778F">
              <w:rPr>
                <w:rFonts w:eastAsia="Times New Roman" w:cs="Calibri"/>
                <w:b/>
                <w:bCs/>
                <w:sz w:val="18"/>
                <w:szCs w:val="18"/>
              </w:rPr>
              <w:t xml:space="preserve">Total </w:t>
            </w:r>
            <w:r w:rsidR="00186BC7" w:rsidRPr="0049778F">
              <w:rPr>
                <w:rFonts w:eastAsia="Times New Roman" w:cs="Calibri"/>
                <w:b/>
                <w:bCs/>
                <w:sz w:val="18"/>
                <w:szCs w:val="18"/>
              </w:rPr>
              <w:t>One</w:t>
            </w:r>
            <w:r w:rsidR="001D7005">
              <w:rPr>
                <w:rFonts w:eastAsia="Times New Roman" w:cs="Calibri"/>
                <w:b/>
                <w:bCs/>
                <w:sz w:val="18"/>
                <w:szCs w:val="18"/>
              </w:rPr>
              <w:t xml:space="preserve"> </w:t>
            </w:r>
            <w:r w:rsidR="00186BC7" w:rsidRPr="0049778F">
              <w:rPr>
                <w:rFonts w:eastAsia="Times New Roman" w:cs="Calibri"/>
                <w:b/>
                <w:bCs/>
                <w:sz w:val="18"/>
                <w:szCs w:val="18"/>
              </w:rPr>
              <w:t>Care</w:t>
            </w:r>
          </w:p>
        </w:tc>
        <w:tc>
          <w:tcPr>
            <w:tcW w:w="922" w:type="dxa"/>
            <w:shd w:val="clear" w:color="auto" w:fill="8EAADB" w:themeFill="accent1" w:themeFillTint="99"/>
            <w:noWrap/>
            <w:vAlign w:val="center"/>
            <w:hideMark/>
          </w:tcPr>
          <w:p w14:paraId="6C3FF315" w14:textId="77777777" w:rsidR="004B6F19" w:rsidRPr="0049778F" w:rsidRDefault="004B6F19">
            <w:pPr>
              <w:spacing w:after="0"/>
              <w:jc w:val="center"/>
              <w:rPr>
                <w:rFonts w:eastAsia="Times New Roman" w:cs="Calibri"/>
                <w:b/>
                <w:bCs/>
                <w:sz w:val="18"/>
                <w:szCs w:val="18"/>
              </w:rPr>
            </w:pPr>
            <w:r w:rsidRPr="0049778F">
              <w:rPr>
                <w:rFonts w:eastAsia="Times New Roman" w:cs="Calibri"/>
                <w:b/>
                <w:bCs/>
                <w:sz w:val="18"/>
                <w:szCs w:val="18"/>
              </w:rPr>
              <w:t>CCA</w:t>
            </w:r>
          </w:p>
          <w:p w14:paraId="6C5D64BD" w14:textId="71755AE1" w:rsidR="004B6F19" w:rsidRPr="0049778F" w:rsidRDefault="00186BC7">
            <w:pPr>
              <w:spacing w:after="0"/>
              <w:jc w:val="center"/>
              <w:rPr>
                <w:rFonts w:eastAsia="Times New Roman" w:cs="Calibri"/>
                <w:b/>
                <w:bCs/>
                <w:sz w:val="18"/>
                <w:szCs w:val="18"/>
              </w:rPr>
            </w:pPr>
            <w:r w:rsidRPr="0049778F">
              <w:rPr>
                <w:rFonts w:eastAsia="Times New Roman" w:cs="Calibri"/>
                <w:b/>
                <w:bCs/>
                <w:sz w:val="18"/>
                <w:szCs w:val="18"/>
              </w:rPr>
              <w:t>One</w:t>
            </w:r>
            <w:r w:rsidR="001D7005">
              <w:rPr>
                <w:rFonts w:eastAsia="Times New Roman" w:cs="Calibri"/>
                <w:b/>
                <w:bCs/>
                <w:sz w:val="18"/>
                <w:szCs w:val="18"/>
              </w:rPr>
              <w:t xml:space="preserve"> </w:t>
            </w:r>
            <w:r w:rsidRPr="0049778F">
              <w:rPr>
                <w:rFonts w:eastAsia="Times New Roman" w:cs="Calibri"/>
                <w:b/>
                <w:bCs/>
                <w:sz w:val="18"/>
                <w:szCs w:val="18"/>
              </w:rPr>
              <w:t>Care</w:t>
            </w:r>
          </w:p>
        </w:tc>
        <w:tc>
          <w:tcPr>
            <w:tcW w:w="922" w:type="dxa"/>
            <w:shd w:val="clear" w:color="auto" w:fill="8EAADB" w:themeFill="accent1" w:themeFillTint="99"/>
            <w:noWrap/>
            <w:vAlign w:val="center"/>
            <w:hideMark/>
          </w:tcPr>
          <w:p w14:paraId="55EE8718" w14:textId="77777777" w:rsidR="004B6F19" w:rsidRPr="0049778F" w:rsidRDefault="004B6F19">
            <w:pPr>
              <w:spacing w:after="0"/>
              <w:jc w:val="center"/>
              <w:rPr>
                <w:rFonts w:eastAsia="Times New Roman" w:cs="Calibri"/>
                <w:b/>
                <w:bCs/>
                <w:sz w:val="18"/>
                <w:szCs w:val="18"/>
              </w:rPr>
            </w:pPr>
            <w:r w:rsidRPr="0049778F">
              <w:rPr>
                <w:rFonts w:eastAsia="Times New Roman" w:cs="Calibri"/>
                <w:b/>
                <w:bCs/>
                <w:sz w:val="18"/>
                <w:szCs w:val="18"/>
              </w:rPr>
              <w:t>THP</w:t>
            </w:r>
          </w:p>
          <w:p w14:paraId="3AC174DE" w14:textId="7E7BE10B" w:rsidR="004B6F19" w:rsidRPr="0049778F" w:rsidRDefault="00186BC7">
            <w:pPr>
              <w:spacing w:after="0"/>
              <w:jc w:val="center"/>
              <w:rPr>
                <w:rFonts w:eastAsia="Times New Roman" w:cs="Calibri"/>
                <w:b/>
                <w:bCs/>
                <w:sz w:val="18"/>
                <w:szCs w:val="18"/>
              </w:rPr>
            </w:pPr>
            <w:r w:rsidRPr="0049778F">
              <w:rPr>
                <w:rFonts w:eastAsia="Times New Roman" w:cs="Calibri"/>
                <w:b/>
                <w:bCs/>
                <w:sz w:val="18"/>
                <w:szCs w:val="18"/>
              </w:rPr>
              <w:t>One</w:t>
            </w:r>
            <w:r w:rsidR="001D7005">
              <w:rPr>
                <w:rFonts w:eastAsia="Times New Roman" w:cs="Calibri"/>
                <w:b/>
                <w:bCs/>
                <w:sz w:val="18"/>
                <w:szCs w:val="18"/>
              </w:rPr>
              <w:t xml:space="preserve"> </w:t>
            </w:r>
            <w:r w:rsidRPr="0049778F">
              <w:rPr>
                <w:rFonts w:eastAsia="Times New Roman" w:cs="Calibri"/>
                <w:b/>
                <w:bCs/>
                <w:sz w:val="18"/>
                <w:szCs w:val="18"/>
              </w:rPr>
              <w:t>Care</w:t>
            </w:r>
          </w:p>
        </w:tc>
        <w:tc>
          <w:tcPr>
            <w:tcW w:w="922" w:type="dxa"/>
            <w:shd w:val="clear" w:color="auto" w:fill="8EAADB" w:themeFill="accent1" w:themeFillTint="99"/>
            <w:vAlign w:val="center"/>
          </w:tcPr>
          <w:p w14:paraId="40BBC4DB" w14:textId="3DC74F01" w:rsidR="001D7005" w:rsidRDefault="003C45E6">
            <w:pPr>
              <w:spacing w:after="0"/>
              <w:jc w:val="center"/>
              <w:rPr>
                <w:rFonts w:eastAsia="Times New Roman" w:cs="Calibri"/>
                <w:b/>
                <w:bCs/>
                <w:sz w:val="18"/>
                <w:szCs w:val="18"/>
              </w:rPr>
            </w:pPr>
            <w:r>
              <w:rPr>
                <w:rFonts w:eastAsia="Times New Roman" w:cs="Calibri"/>
                <w:b/>
                <w:bCs/>
                <w:sz w:val="18"/>
                <w:szCs w:val="18"/>
              </w:rPr>
              <w:t>U</w:t>
            </w:r>
            <w:r>
              <w:rPr>
                <w:rFonts w:eastAsia="Times New Roman"/>
                <w:b/>
                <w:bCs/>
                <w:sz w:val="18"/>
                <w:szCs w:val="18"/>
              </w:rPr>
              <w:t>nited</w:t>
            </w:r>
          </w:p>
          <w:p w14:paraId="1C3DA350" w14:textId="6A43A91E" w:rsidR="00186BC7" w:rsidRPr="0049778F" w:rsidRDefault="001D7005">
            <w:pPr>
              <w:spacing w:after="0"/>
              <w:jc w:val="center"/>
              <w:rPr>
                <w:rFonts w:eastAsia="Times New Roman" w:cs="Calibri"/>
                <w:b/>
                <w:bCs/>
                <w:sz w:val="18"/>
                <w:szCs w:val="18"/>
              </w:rPr>
            </w:pPr>
            <w:r>
              <w:rPr>
                <w:rFonts w:eastAsia="Times New Roman" w:cs="Calibri"/>
                <w:b/>
                <w:bCs/>
                <w:sz w:val="18"/>
                <w:szCs w:val="18"/>
              </w:rPr>
              <w:t>One Care</w:t>
            </w:r>
          </w:p>
        </w:tc>
      </w:tr>
      <w:tr w:rsidR="004B6F19" w:rsidRPr="0049778F" w14:paraId="255A6437" w14:textId="788C33EA" w:rsidTr="005C70AF">
        <w:trPr>
          <w:trHeight w:val="302"/>
        </w:trPr>
        <w:tc>
          <w:tcPr>
            <w:tcW w:w="1440" w:type="dxa"/>
            <w:shd w:val="clear" w:color="auto" w:fill="auto"/>
            <w:noWrap/>
          </w:tcPr>
          <w:p w14:paraId="21B7976A" w14:textId="6F2E1190" w:rsidR="004B6F19" w:rsidRPr="001F6736" w:rsidRDefault="00186BC7">
            <w:pPr>
              <w:spacing w:after="0"/>
              <w:jc w:val="center"/>
              <w:rPr>
                <w:rFonts w:eastAsia="Times New Roman" w:cs="Calibri"/>
                <w:color w:val="000000"/>
                <w:sz w:val="20"/>
                <w:szCs w:val="20"/>
              </w:rPr>
            </w:pPr>
            <w:r w:rsidRPr="001F6736">
              <w:rPr>
                <w:rStyle w:val="normaltextrun"/>
                <w:rFonts w:cs="Calibri"/>
                <w:sz w:val="20"/>
                <w:szCs w:val="20"/>
              </w:rPr>
              <w:t>FV</w:t>
            </w:r>
            <w:r w:rsidR="00996BB9" w:rsidRPr="001F6736">
              <w:rPr>
                <w:rStyle w:val="normaltextrun"/>
                <w:rFonts w:cs="Calibri"/>
                <w:sz w:val="20"/>
                <w:szCs w:val="20"/>
              </w:rPr>
              <w:t>A</w:t>
            </w:r>
          </w:p>
        </w:tc>
        <w:tc>
          <w:tcPr>
            <w:tcW w:w="6336" w:type="dxa"/>
            <w:shd w:val="clear" w:color="000000" w:fill="FFFFFF"/>
          </w:tcPr>
          <w:p w14:paraId="1B388EA8" w14:textId="14BDDB1A" w:rsidR="004B6F19" w:rsidRPr="001F6736" w:rsidRDefault="0009293D">
            <w:pPr>
              <w:spacing w:after="0"/>
              <w:rPr>
                <w:rFonts w:eastAsia="Times New Roman" w:cs="Calibri"/>
                <w:sz w:val="20"/>
                <w:szCs w:val="20"/>
              </w:rPr>
            </w:pPr>
            <w:r w:rsidRPr="001F6736">
              <w:rPr>
                <w:rStyle w:val="normaltextrun"/>
                <w:sz w:val="20"/>
                <w:szCs w:val="20"/>
              </w:rPr>
              <w:t>Annual Flu Vaccine</w:t>
            </w:r>
          </w:p>
        </w:tc>
        <w:tc>
          <w:tcPr>
            <w:tcW w:w="922" w:type="dxa"/>
            <w:shd w:val="clear" w:color="auto" w:fill="auto"/>
            <w:vAlign w:val="center"/>
          </w:tcPr>
          <w:p w14:paraId="63C59201" w14:textId="58C9DFCE" w:rsidR="004B6F19" w:rsidRPr="0049778F" w:rsidRDefault="00CB4F89">
            <w:pPr>
              <w:spacing w:after="0"/>
              <w:jc w:val="center"/>
              <w:rPr>
                <w:rFonts w:eastAsia="Times New Roman" w:cs="Calibri"/>
                <w:color w:val="000000"/>
                <w:sz w:val="18"/>
                <w:szCs w:val="18"/>
              </w:rPr>
            </w:pPr>
            <w:r>
              <w:rPr>
                <w:rFonts w:eastAsia="Times New Roman" w:cs="Calibri"/>
                <w:color w:val="000000"/>
                <w:sz w:val="18"/>
                <w:szCs w:val="18"/>
              </w:rPr>
              <w:t>6</w:t>
            </w:r>
            <w:r>
              <w:rPr>
                <w:rFonts w:eastAsia="Times New Roman"/>
                <w:color w:val="000000"/>
                <w:sz w:val="18"/>
                <w:szCs w:val="18"/>
              </w:rPr>
              <w:t>9.0%</w:t>
            </w:r>
          </w:p>
        </w:tc>
        <w:tc>
          <w:tcPr>
            <w:tcW w:w="922" w:type="dxa"/>
            <w:shd w:val="clear" w:color="auto" w:fill="auto"/>
            <w:noWrap/>
            <w:vAlign w:val="center"/>
          </w:tcPr>
          <w:p w14:paraId="2D7F1B70" w14:textId="434685A8" w:rsidR="004B6F19" w:rsidRPr="0049778F" w:rsidRDefault="00B4624E">
            <w:pPr>
              <w:spacing w:after="0"/>
              <w:jc w:val="center"/>
              <w:rPr>
                <w:rFonts w:eastAsia="Times New Roman" w:cs="Calibri"/>
                <w:color w:val="000000"/>
                <w:sz w:val="18"/>
                <w:szCs w:val="18"/>
              </w:rPr>
            </w:pPr>
            <w:r>
              <w:rPr>
                <w:rFonts w:eastAsia="Times New Roman" w:cs="Calibri"/>
                <w:color w:val="000000"/>
                <w:sz w:val="18"/>
                <w:szCs w:val="18"/>
              </w:rPr>
              <w:t>74.7</w:t>
            </w:r>
            <w:r w:rsidR="00886920">
              <w:rPr>
                <w:rFonts w:eastAsia="Times New Roman" w:cs="Calibri"/>
                <w:color w:val="000000"/>
                <w:sz w:val="18"/>
                <w:szCs w:val="18"/>
              </w:rPr>
              <w:t>%</w:t>
            </w:r>
          </w:p>
        </w:tc>
        <w:tc>
          <w:tcPr>
            <w:tcW w:w="922" w:type="dxa"/>
            <w:shd w:val="clear" w:color="auto" w:fill="auto"/>
            <w:noWrap/>
            <w:vAlign w:val="center"/>
          </w:tcPr>
          <w:p w14:paraId="004C60D2" w14:textId="0185FF1D" w:rsidR="004B6F19" w:rsidRPr="0049778F" w:rsidRDefault="00B91A1D">
            <w:pPr>
              <w:spacing w:after="0"/>
              <w:jc w:val="center"/>
              <w:rPr>
                <w:rFonts w:eastAsia="Times New Roman" w:cs="Calibri"/>
                <w:color w:val="000000"/>
                <w:sz w:val="18"/>
                <w:szCs w:val="18"/>
              </w:rPr>
            </w:pPr>
            <w:r>
              <w:rPr>
                <w:rFonts w:eastAsia="Times New Roman" w:cs="Calibri"/>
                <w:color w:val="000000"/>
                <w:sz w:val="18"/>
                <w:szCs w:val="18"/>
              </w:rPr>
              <w:t>68.7%</w:t>
            </w:r>
          </w:p>
        </w:tc>
        <w:tc>
          <w:tcPr>
            <w:tcW w:w="922" w:type="dxa"/>
            <w:vAlign w:val="center"/>
          </w:tcPr>
          <w:p w14:paraId="59624056" w14:textId="092203D9" w:rsidR="00186BC7" w:rsidRDefault="005C70AF" w:rsidP="00B71DCF">
            <w:pPr>
              <w:spacing w:after="0"/>
              <w:jc w:val="center"/>
              <w:rPr>
                <w:rFonts w:eastAsia="Times New Roman" w:cs="Calibri"/>
                <w:color w:val="000000"/>
                <w:sz w:val="18"/>
                <w:szCs w:val="18"/>
              </w:rPr>
            </w:pPr>
            <w:r>
              <w:rPr>
                <w:rFonts w:eastAsia="Times New Roman" w:cs="Calibri"/>
                <w:color w:val="000000"/>
                <w:sz w:val="18"/>
                <w:szCs w:val="18"/>
              </w:rPr>
              <w:t>N/A</w:t>
            </w:r>
          </w:p>
        </w:tc>
      </w:tr>
      <w:tr w:rsidR="004B6F19" w:rsidRPr="0049778F" w14:paraId="09C67942" w14:textId="0E587929" w:rsidTr="005C70AF">
        <w:trPr>
          <w:trHeight w:val="302"/>
        </w:trPr>
        <w:tc>
          <w:tcPr>
            <w:tcW w:w="1440" w:type="dxa"/>
            <w:shd w:val="clear" w:color="auto" w:fill="F2F2F2" w:themeFill="background1" w:themeFillShade="F2"/>
            <w:noWrap/>
          </w:tcPr>
          <w:p w14:paraId="17C34A54" w14:textId="494297F2" w:rsidR="004B6F19" w:rsidRPr="001F6736" w:rsidRDefault="00B71DCF">
            <w:pPr>
              <w:spacing w:after="0"/>
              <w:jc w:val="center"/>
              <w:rPr>
                <w:rFonts w:eastAsia="Times New Roman" w:cs="Calibri"/>
                <w:color w:val="000000"/>
                <w:sz w:val="20"/>
                <w:szCs w:val="20"/>
              </w:rPr>
            </w:pPr>
            <w:r w:rsidRPr="001F6736">
              <w:rPr>
                <w:rStyle w:val="normaltextrun"/>
                <w:rFonts w:cs="Calibri"/>
                <w:sz w:val="20"/>
                <w:szCs w:val="20"/>
              </w:rPr>
              <w:t>CBP</w:t>
            </w:r>
          </w:p>
        </w:tc>
        <w:tc>
          <w:tcPr>
            <w:tcW w:w="6336" w:type="dxa"/>
            <w:shd w:val="clear" w:color="auto" w:fill="F2F2F2" w:themeFill="background1" w:themeFillShade="F2"/>
          </w:tcPr>
          <w:p w14:paraId="3A0742C5" w14:textId="1ACBFCCD" w:rsidR="004B6F19" w:rsidRPr="001F6736" w:rsidRDefault="00B71DCF">
            <w:pPr>
              <w:spacing w:after="0"/>
              <w:rPr>
                <w:rFonts w:eastAsia="Times New Roman" w:cs="Calibri"/>
                <w:sz w:val="20"/>
                <w:szCs w:val="20"/>
              </w:rPr>
            </w:pPr>
            <w:r w:rsidRPr="001F6736">
              <w:rPr>
                <w:rStyle w:val="normaltextrun"/>
                <w:rFonts w:cs="Calibri"/>
                <w:sz w:val="20"/>
                <w:szCs w:val="20"/>
              </w:rPr>
              <w:t>Controlling High Blood Pressure  </w:t>
            </w:r>
            <w:r w:rsidRPr="001F6736">
              <w:rPr>
                <w:rStyle w:val="eop"/>
                <w:rFonts w:cs="Calibri"/>
                <w:sz w:val="20"/>
                <w:szCs w:val="20"/>
              </w:rPr>
              <w:t> </w:t>
            </w:r>
          </w:p>
        </w:tc>
        <w:tc>
          <w:tcPr>
            <w:tcW w:w="922" w:type="dxa"/>
            <w:shd w:val="clear" w:color="auto" w:fill="F2F2F2" w:themeFill="background1" w:themeFillShade="F2"/>
            <w:noWrap/>
            <w:vAlign w:val="center"/>
          </w:tcPr>
          <w:p w14:paraId="439959A1" w14:textId="63BEE8A0" w:rsidR="004B6F19" w:rsidRPr="0049778F" w:rsidRDefault="006B07F0">
            <w:pPr>
              <w:spacing w:after="0"/>
              <w:jc w:val="center"/>
              <w:rPr>
                <w:rFonts w:eastAsia="Times New Roman" w:cs="Calibri"/>
                <w:color w:val="000000"/>
                <w:sz w:val="18"/>
                <w:szCs w:val="18"/>
              </w:rPr>
            </w:pPr>
            <w:r>
              <w:rPr>
                <w:rFonts w:eastAsia="Times New Roman" w:cs="Calibri"/>
                <w:color w:val="000000"/>
                <w:sz w:val="18"/>
                <w:szCs w:val="18"/>
              </w:rPr>
              <w:t>72.6%</w:t>
            </w:r>
          </w:p>
        </w:tc>
        <w:tc>
          <w:tcPr>
            <w:tcW w:w="922" w:type="dxa"/>
            <w:shd w:val="clear" w:color="auto" w:fill="F2F2F2" w:themeFill="background1" w:themeFillShade="F2"/>
            <w:noWrap/>
            <w:vAlign w:val="center"/>
          </w:tcPr>
          <w:p w14:paraId="6D105C10" w14:textId="40B76356" w:rsidR="004B6F19" w:rsidRPr="0049778F" w:rsidRDefault="0007604B">
            <w:pPr>
              <w:spacing w:after="0"/>
              <w:jc w:val="center"/>
              <w:rPr>
                <w:rFonts w:eastAsia="Times New Roman" w:cs="Calibri"/>
                <w:color w:val="000000"/>
                <w:sz w:val="18"/>
                <w:szCs w:val="18"/>
              </w:rPr>
            </w:pPr>
            <w:r>
              <w:rPr>
                <w:rFonts w:eastAsia="Times New Roman" w:cs="Calibri"/>
                <w:color w:val="000000"/>
                <w:sz w:val="18"/>
                <w:szCs w:val="18"/>
              </w:rPr>
              <w:t>73.2%</w:t>
            </w:r>
          </w:p>
        </w:tc>
        <w:tc>
          <w:tcPr>
            <w:tcW w:w="922" w:type="dxa"/>
            <w:shd w:val="clear" w:color="auto" w:fill="F2F2F2" w:themeFill="background1" w:themeFillShade="F2"/>
            <w:noWrap/>
            <w:vAlign w:val="center"/>
          </w:tcPr>
          <w:p w14:paraId="27A8C534" w14:textId="1AA947C5" w:rsidR="004B6F19" w:rsidRPr="0049778F" w:rsidRDefault="00385695">
            <w:pPr>
              <w:spacing w:after="0"/>
              <w:jc w:val="center"/>
              <w:rPr>
                <w:rFonts w:eastAsia="Times New Roman" w:cs="Calibri"/>
                <w:color w:val="000000"/>
                <w:sz w:val="18"/>
                <w:szCs w:val="18"/>
              </w:rPr>
            </w:pPr>
            <w:r>
              <w:rPr>
                <w:rFonts w:eastAsia="Times New Roman" w:cs="Calibri"/>
                <w:color w:val="000000"/>
                <w:sz w:val="18"/>
                <w:szCs w:val="18"/>
              </w:rPr>
              <w:t>6</w:t>
            </w:r>
            <w:r>
              <w:rPr>
                <w:rFonts w:eastAsia="Times New Roman"/>
                <w:color w:val="000000"/>
                <w:sz w:val="18"/>
                <w:szCs w:val="18"/>
              </w:rPr>
              <w:t>7.3%</w:t>
            </w:r>
          </w:p>
        </w:tc>
        <w:tc>
          <w:tcPr>
            <w:tcW w:w="922" w:type="dxa"/>
            <w:shd w:val="clear" w:color="auto" w:fill="F2F2F2" w:themeFill="background1" w:themeFillShade="F2"/>
            <w:vAlign w:val="center"/>
          </w:tcPr>
          <w:p w14:paraId="05F177E4" w14:textId="25C4C813" w:rsidR="00186BC7" w:rsidRDefault="00F25FD9" w:rsidP="00B71DCF">
            <w:pPr>
              <w:spacing w:after="0"/>
              <w:jc w:val="center"/>
              <w:rPr>
                <w:rFonts w:eastAsia="Times New Roman" w:cs="Calibri"/>
                <w:color w:val="000000"/>
                <w:sz w:val="18"/>
                <w:szCs w:val="18"/>
              </w:rPr>
            </w:pPr>
            <w:r>
              <w:rPr>
                <w:rFonts w:eastAsia="Times New Roman" w:cs="Calibri"/>
                <w:color w:val="000000"/>
                <w:sz w:val="18"/>
                <w:szCs w:val="18"/>
              </w:rPr>
              <w:t>N/A</w:t>
            </w:r>
          </w:p>
        </w:tc>
      </w:tr>
      <w:tr w:rsidR="004B6F19" w:rsidRPr="0049778F" w14:paraId="3D633A13" w14:textId="34D43F5E" w:rsidTr="005C70AF">
        <w:trPr>
          <w:trHeight w:val="302"/>
        </w:trPr>
        <w:tc>
          <w:tcPr>
            <w:tcW w:w="1440" w:type="dxa"/>
            <w:shd w:val="clear" w:color="auto" w:fill="auto"/>
            <w:noWrap/>
          </w:tcPr>
          <w:p w14:paraId="1E267F1E" w14:textId="1EAE0ECE" w:rsidR="004B6F19" w:rsidRPr="001F6736" w:rsidRDefault="00B71DCF">
            <w:pPr>
              <w:spacing w:after="0"/>
              <w:jc w:val="center"/>
              <w:rPr>
                <w:rFonts w:eastAsia="Times New Roman" w:cs="Calibri"/>
                <w:color w:val="000000"/>
                <w:sz w:val="20"/>
                <w:szCs w:val="20"/>
              </w:rPr>
            </w:pPr>
            <w:r w:rsidRPr="001F6736">
              <w:rPr>
                <w:rStyle w:val="normaltextrun"/>
                <w:rFonts w:cs="Calibri"/>
                <w:sz w:val="20"/>
                <w:szCs w:val="20"/>
              </w:rPr>
              <w:t>CDC</w:t>
            </w:r>
          </w:p>
        </w:tc>
        <w:tc>
          <w:tcPr>
            <w:tcW w:w="6336" w:type="dxa"/>
            <w:shd w:val="clear" w:color="auto" w:fill="auto"/>
          </w:tcPr>
          <w:p w14:paraId="45E766D5" w14:textId="19942A81" w:rsidR="004B6F19" w:rsidRPr="001F6736" w:rsidRDefault="00B71DCF">
            <w:pPr>
              <w:spacing w:after="0"/>
              <w:rPr>
                <w:rFonts w:eastAsia="Times New Roman" w:cs="Calibri"/>
                <w:sz w:val="20"/>
                <w:szCs w:val="20"/>
              </w:rPr>
            </w:pPr>
            <w:r w:rsidRPr="001F6736">
              <w:rPr>
                <w:rStyle w:val="normaltextrun"/>
                <w:rFonts w:cs="Calibri"/>
                <w:sz w:val="20"/>
                <w:szCs w:val="20"/>
              </w:rPr>
              <w:t xml:space="preserve">Comprehensive Diabetes Care: </w:t>
            </w:r>
            <w:r w:rsidR="00A62C68" w:rsidRPr="001F6736">
              <w:rPr>
                <w:rStyle w:val="normaltextrun"/>
                <w:rFonts w:cs="Calibri"/>
                <w:sz w:val="20"/>
                <w:szCs w:val="20"/>
              </w:rPr>
              <w:t>Blood Sugar Controlled</w:t>
            </w:r>
          </w:p>
        </w:tc>
        <w:tc>
          <w:tcPr>
            <w:tcW w:w="922" w:type="dxa"/>
            <w:shd w:val="clear" w:color="auto" w:fill="auto"/>
            <w:vAlign w:val="center"/>
          </w:tcPr>
          <w:p w14:paraId="5960D76A" w14:textId="0A3F2300" w:rsidR="004B6F19" w:rsidRPr="0049778F" w:rsidRDefault="002437FB">
            <w:pPr>
              <w:spacing w:after="0"/>
              <w:jc w:val="center"/>
              <w:rPr>
                <w:rFonts w:eastAsia="Times New Roman" w:cs="Calibri"/>
                <w:color w:val="000000"/>
                <w:sz w:val="18"/>
                <w:szCs w:val="18"/>
              </w:rPr>
            </w:pPr>
            <w:r>
              <w:rPr>
                <w:rFonts w:eastAsia="Times New Roman" w:cs="Calibri"/>
                <w:color w:val="000000"/>
                <w:sz w:val="18"/>
                <w:szCs w:val="18"/>
              </w:rPr>
              <w:t>64.3%</w:t>
            </w:r>
          </w:p>
        </w:tc>
        <w:tc>
          <w:tcPr>
            <w:tcW w:w="922" w:type="dxa"/>
            <w:shd w:val="clear" w:color="auto" w:fill="auto"/>
            <w:noWrap/>
            <w:vAlign w:val="center"/>
          </w:tcPr>
          <w:p w14:paraId="7334D5C5" w14:textId="10023281" w:rsidR="004B6F19" w:rsidRPr="0049778F" w:rsidRDefault="006172C8">
            <w:pPr>
              <w:spacing w:after="0"/>
              <w:jc w:val="center"/>
              <w:rPr>
                <w:rFonts w:eastAsia="Times New Roman" w:cs="Calibri"/>
                <w:color w:val="000000"/>
                <w:sz w:val="18"/>
                <w:szCs w:val="18"/>
              </w:rPr>
            </w:pPr>
            <w:r>
              <w:rPr>
                <w:rFonts w:eastAsia="Times New Roman" w:cs="Calibri"/>
                <w:color w:val="000000"/>
                <w:sz w:val="18"/>
                <w:szCs w:val="18"/>
              </w:rPr>
              <w:t>63.7%</w:t>
            </w:r>
          </w:p>
        </w:tc>
        <w:tc>
          <w:tcPr>
            <w:tcW w:w="922" w:type="dxa"/>
            <w:shd w:val="clear" w:color="auto" w:fill="auto"/>
            <w:noWrap/>
            <w:vAlign w:val="center"/>
          </w:tcPr>
          <w:p w14:paraId="4CF9E5B8" w14:textId="10AC296F" w:rsidR="004B6F19" w:rsidRPr="0049778F" w:rsidRDefault="004F1B26">
            <w:pPr>
              <w:spacing w:after="0"/>
              <w:jc w:val="center"/>
              <w:rPr>
                <w:rFonts w:eastAsia="Times New Roman" w:cs="Calibri"/>
                <w:color w:val="000000"/>
                <w:sz w:val="18"/>
                <w:szCs w:val="18"/>
              </w:rPr>
            </w:pPr>
            <w:r>
              <w:rPr>
                <w:rFonts w:eastAsia="Times New Roman" w:cs="Calibri"/>
                <w:color w:val="000000"/>
                <w:sz w:val="18"/>
                <w:szCs w:val="18"/>
              </w:rPr>
              <w:t>70.8%</w:t>
            </w:r>
          </w:p>
        </w:tc>
        <w:tc>
          <w:tcPr>
            <w:tcW w:w="922" w:type="dxa"/>
            <w:vAlign w:val="center"/>
          </w:tcPr>
          <w:p w14:paraId="373899E7" w14:textId="3FB4C585" w:rsidR="00186BC7" w:rsidRDefault="009D5218" w:rsidP="00B71DCF">
            <w:pPr>
              <w:spacing w:after="0"/>
              <w:jc w:val="center"/>
              <w:rPr>
                <w:rFonts w:eastAsia="Times New Roman" w:cs="Calibri"/>
                <w:color w:val="000000"/>
                <w:sz w:val="18"/>
                <w:szCs w:val="18"/>
              </w:rPr>
            </w:pPr>
            <w:r>
              <w:rPr>
                <w:rFonts w:eastAsia="Times New Roman" w:cs="Calibri"/>
                <w:color w:val="000000"/>
                <w:sz w:val="18"/>
                <w:szCs w:val="18"/>
              </w:rPr>
              <w:t>N/A</w:t>
            </w:r>
          </w:p>
        </w:tc>
      </w:tr>
      <w:tr w:rsidR="004B6F19" w:rsidRPr="0049778F" w14:paraId="19665FDD" w14:textId="4C8CD33B" w:rsidTr="005C70AF">
        <w:trPr>
          <w:trHeight w:val="302"/>
        </w:trPr>
        <w:tc>
          <w:tcPr>
            <w:tcW w:w="1440" w:type="dxa"/>
            <w:shd w:val="clear" w:color="auto" w:fill="F2F2F2" w:themeFill="background1" w:themeFillShade="F2"/>
            <w:noWrap/>
          </w:tcPr>
          <w:p w14:paraId="22B7B203" w14:textId="7BABCA51" w:rsidR="004B6F19" w:rsidRPr="001F6736" w:rsidRDefault="00B71DCF">
            <w:pPr>
              <w:spacing w:after="0"/>
              <w:jc w:val="center"/>
              <w:rPr>
                <w:rFonts w:eastAsia="Times New Roman" w:cs="Calibri"/>
                <w:color w:val="000000"/>
                <w:sz w:val="20"/>
                <w:szCs w:val="20"/>
              </w:rPr>
            </w:pPr>
            <w:r w:rsidRPr="001F6736">
              <w:rPr>
                <w:rStyle w:val="normaltextrun"/>
                <w:rFonts w:cs="Calibri"/>
                <w:sz w:val="20"/>
                <w:szCs w:val="20"/>
              </w:rPr>
              <w:t>MA 1.3</w:t>
            </w:r>
          </w:p>
        </w:tc>
        <w:tc>
          <w:tcPr>
            <w:tcW w:w="6336" w:type="dxa"/>
            <w:shd w:val="clear" w:color="auto" w:fill="F2F2F2" w:themeFill="background1" w:themeFillShade="F2"/>
          </w:tcPr>
          <w:p w14:paraId="7C34DF06" w14:textId="087D7932" w:rsidR="004B6F19" w:rsidRPr="001F6736" w:rsidRDefault="00B71DCF">
            <w:pPr>
              <w:spacing w:after="0"/>
              <w:rPr>
                <w:rFonts w:eastAsia="Times New Roman" w:cs="Calibri"/>
                <w:sz w:val="20"/>
                <w:szCs w:val="20"/>
              </w:rPr>
            </w:pPr>
            <w:r w:rsidRPr="001F6736">
              <w:rPr>
                <w:rStyle w:val="normaltextrun"/>
                <w:rFonts w:cs="Calibri"/>
                <w:sz w:val="20"/>
                <w:szCs w:val="20"/>
              </w:rPr>
              <w:t>Access to LTS Coordinator - Percent of members with LTSS needs who have a referral to an LTS Coordinator within 90 days of enrollment</w:t>
            </w:r>
            <w:r w:rsidRPr="001F6736">
              <w:rPr>
                <w:rStyle w:val="eop"/>
                <w:rFonts w:cs="Calibri"/>
                <w:sz w:val="20"/>
                <w:szCs w:val="20"/>
              </w:rPr>
              <w:t> </w:t>
            </w:r>
          </w:p>
        </w:tc>
        <w:tc>
          <w:tcPr>
            <w:tcW w:w="922" w:type="dxa"/>
            <w:shd w:val="clear" w:color="auto" w:fill="F2F2F2" w:themeFill="background1" w:themeFillShade="F2"/>
            <w:vAlign w:val="center"/>
          </w:tcPr>
          <w:p w14:paraId="135CE364" w14:textId="4C24ADE9" w:rsidR="004B6F19" w:rsidRPr="0049778F" w:rsidRDefault="003E0B2E">
            <w:pPr>
              <w:spacing w:after="0"/>
              <w:jc w:val="center"/>
              <w:rPr>
                <w:rFonts w:cs="Calibri"/>
                <w:color w:val="000000"/>
                <w:sz w:val="18"/>
                <w:szCs w:val="18"/>
              </w:rPr>
            </w:pPr>
            <w:r>
              <w:rPr>
                <w:rFonts w:cs="Calibri"/>
                <w:color w:val="000000"/>
                <w:sz w:val="18"/>
                <w:szCs w:val="18"/>
              </w:rPr>
              <w:t>96.1%</w:t>
            </w:r>
          </w:p>
        </w:tc>
        <w:tc>
          <w:tcPr>
            <w:tcW w:w="922" w:type="dxa"/>
            <w:shd w:val="clear" w:color="auto" w:fill="F2F2F2" w:themeFill="background1" w:themeFillShade="F2"/>
            <w:noWrap/>
            <w:vAlign w:val="center"/>
          </w:tcPr>
          <w:p w14:paraId="6D8C30B1" w14:textId="1AB2F637" w:rsidR="004B6F19" w:rsidRPr="0049778F" w:rsidRDefault="00D95310">
            <w:pPr>
              <w:spacing w:after="0"/>
              <w:jc w:val="center"/>
              <w:rPr>
                <w:rFonts w:cs="Calibri"/>
                <w:color w:val="000000"/>
                <w:sz w:val="18"/>
                <w:szCs w:val="18"/>
              </w:rPr>
            </w:pPr>
            <w:r>
              <w:rPr>
                <w:rFonts w:cs="Calibri"/>
                <w:color w:val="000000"/>
                <w:sz w:val="18"/>
                <w:szCs w:val="18"/>
              </w:rPr>
              <w:t>99.9%</w:t>
            </w:r>
          </w:p>
        </w:tc>
        <w:tc>
          <w:tcPr>
            <w:tcW w:w="922" w:type="dxa"/>
            <w:shd w:val="clear" w:color="auto" w:fill="F2F2F2" w:themeFill="background1" w:themeFillShade="F2"/>
            <w:noWrap/>
            <w:vAlign w:val="center"/>
          </w:tcPr>
          <w:p w14:paraId="3634ED70" w14:textId="26CAA3A8" w:rsidR="004B6F19" w:rsidRPr="0049778F" w:rsidRDefault="00F679BF">
            <w:pPr>
              <w:spacing w:after="0"/>
              <w:jc w:val="center"/>
              <w:rPr>
                <w:rFonts w:cs="Calibri"/>
                <w:color w:val="000000"/>
                <w:sz w:val="18"/>
                <w:szCs w:val="18"/>
              </w:rPr>
            </w:pPr>
            <w:r>
              <w:rPr>
                <w:rFonts w:cs="Calibri"/>
                <w:color w:val="000000"/>
                <w:sz w:val="18"/>
                <w:szCs w:val="18"/>
              </w:rPr>
              <w:t>71.4%</w:t>
            </w:r>
          </w:p>
        </w:tc>
        <w:tc>
          <w:tcPr>
            <w:tcW w:w="922" w:type="dxa"/>
            <w:shd w:val="clear" w:color="auto" w:fill="F2F2F2" w:themeFill="background1" w:themeFillShade="F2"/>
            <w:vAlign w:val="center"/>
          </w:tcPr>
          <w:p w14:paraId="13C048F6" w14:textId="3A1BC712" w:rsidR="00186BC7" w:rsidRDefault="00263057" w:rsidP="00B71DCF">
            <w:pPr>
              <w:spacing w:after="0"/>
              <w:jc w:val="center"/>
              <w:rPr>
                <w:rFonts w:cs="Calibri"/>
                <w:color w:val="000000"/>
                <w:sz w:val="18"/>
                <w:szCs w:val="18"/>
              </w:rPr>
            </w:pPr>
            <w:r>
              <w:rPr>
                <w:rFonts w:cs="Calibri"/>
                <w:color w:val="000000"/>
                <w:sz w:val="18"/>
                <w:szCs w:val="18"/>
              </w:rPr>
              <w:t>33.7%</w:t>
            </w:r>
          </w:p>
        </w:tc>
      </w:tr>
      <w:tr w:rsidR="004B6F19" w:rsidRPr="0049778F" w14:paraId="58213B4F" w14:textId="26B327E4" w:rsidTr="005C70AF">
        <w:trPr>
          <w:trHeight w:val="302"/>
        </w:trPr>
        <w:tc>
          <w:tcPr>
            <w:tcW w:w="1440" w:type="dxa"/>
            <w:shd w:val="clear" w:color="auto" w:fill="auto"/>
            <w:noWrap/>
          </w:tcPr>
          <w:p w14:paraId="1633ECAD" w14:textId="509F18B4" w:rsidR="004B6F19" w:rsidRPr="001F6736" w:rsidRDefault="00B71DCF">
            <w:pPr>
              <w:spacing w:after="0"/>
              <w:jc w:val="center"/>
              <w:rPr>
                <w:rFonts w:eastAsia="Times New Roman" w:cs="Calibri"/>
                <w:color w:val="000000"/>
                <w:sz w:val="20"/>
                <w:szCs w:val="20"/>
              </w:rPr>
            </w:pPr>
            <w:r w:rsidRPr="001F6736">
              <w:rPr>
                <w:rStyle w:val="normaltextrun"/>
                <w:rFonts w:cs="Calibri"/>
                <w:sz w:val="20"/>
                <w:szCs w:val="20"/>
              </w:rPr>
              <w:t>MA 5.1</w:t>
            </w:r>
          </w:p>
        </w:tc>
        <w:tc>
          <w:tcPr>
            <w:tcW w:w="6336" w:type="dxa"/>
            <w:shd w:val="clear" w:color="auto" w:fill="auto"/>
          </w:tcPr>
          <w:p w14:paraId="610B6144" w14:textId="02838B4F" w:rsidR="004B6F19" w:rsidRPr="001F6736" w:rsidRDefault="00B71DCF">
            <w:pPr>
              <w:spacing w:after="0"/>
              <w:rPr>
                <w:rFonts w:eastAsia="Times New Roman" w:cs="Calibri"/>
                <w:sz w:val="20"/>
                <w:szCs w:val="20"/>
              </w:rPr>
            </w:pPr>
            <w:r w:rsidRPr="001F6736">
              <w:rPr>
                <w:rStyle w:val="normaltextrun"/>
                <w:rFonts w:cs="Calibri"/>
                <w:sz w:val="20"/>
                <w:szCs w:val="20"/>
              </w:rPr>
              <w:t>Tracking of Demographic Information - Percent of members whose demographic data are collected and maintained in the MMP Centralized Enrollee Record (race/ethnicity/ primary language/homelessness/disability type/LGBTQ identity</w:t>
            </w:r>
            <w:r w:rsidRPr="001F6736">
              <w:rPr>
                <w:rStyle w:val="eop"/>
                <w:rFonts w:cs="Calibri"/>
                <w:sz w:val="20"/>
                <w:szCs w:val="20"/>
              </w:rPr>
              <w:t> </w:t>
            </w:r>
          </w:p>
        </w:tc>
        <w:tc>
          <w:tcPr>
            <w:tcW w:w="922" w:type="dxa"/>
            <w:shd w:val="clear" w:color="auto" w:fill="auto"/>
            <w:noWrap/>
            <w:vAlign w:val="center"/>
          </w:tcPr>
          <w:p w14:paraId="0C9F654B" w14:textId="441375FF" w:rsidR="004B6F19" w:rsidRPr="0049778F" w:rsidRDefault="00392DA1">
            <w:pPr>
              <w:spacing w:after="0"/>
              <w:jc w:val="center"/>
              <w:rPr>
                <w:rFonts w:eastAsia="Times New Roman" w:cs="Calibri"/>
                <w:color w:val="000000"/>
                <w:sz w:val="18"/>
                <w:szCs w:val="18"/>
              </w:rPr>
            </w:pPr>
            <w:r>
              <w:rPr>
                <w:rFonts w:eastAsia="Times New Roman" w:cs="Calibri"/>
                <w:color w:val="000000"/>
                <w:sz w:val="18"/>
                <w:szCs w:val="18"/>
              </w:rPr>
              <w:t>73.7%</w:t>
            </w:r>
          </w:p>
        </w:tc>
        <w:tc>
          <w:tcPr>
            <w:tcW w:w="922" w:type="dxa"/>
            <w:shd w:val="clear" w:color="auto" w:fill="auto"/>
            <w:noWrap/>
            <w:vAlign w:val="center"/>
          </w:tcPr>
          <w:p w14:paraId="59FD9DD3" w14:textId="6976FE43" w:rsidR="004B6F19" w:rsidRPr="0049778F" w:rsidRDefault="00B62444">
            <w:pPr>
              <w:spacing w:after="0"/>
              <w:jc w:val="center"/>
              <w:rPr>
                <w:rFonts w:eastAsia="Times New Roman" w:cs="Calibri"/>
                <w:color w:val="000000"/>
                <w:sz w:val="18"/>
                <w:szCs w:val="18"/>
              </w:rPr>
            </w:pPr>
            <w:r>
              <w:rPr>
                <w:rFonts w:eastAsia="Times New Roman" w:cs="Calibri"/>
                <w:color w:val="000000"/>
                <w:sz w:val="18"/>
                <w:szCs w:val="18"/>
              </w:rPr>
              <w:t>75.5%</w:t>
            </w:r>
          </w:p>
        </w:tc>
        <w:tc>
          <w:tcPr>
            <w:tcW w:w="922" w:type="dxa"/>
            <w:shd w:val="clear" w:color="auto" w:fill="auto"/>
            <w:noWrap/>
            <w:vAlign w:val="center"/>
          </w:tcPr>
          <w:p w14:paraId="719C8E9A" w14:textId="54A20F4B" w:rsidR="004B6F19" w:rsidRPr="0049778F" w:rsidRDefault="00D6419C">
            <w:pPr>
              <w:spacing w:after="0"/>
              <w:jc w:val="center"/>
              <w:rPr>
                <w:rFonts w:eastAsia="Times New Roman" w:cs="Calibri"/>
                <w:color w:val="000000"/>
                <w:sz w:val="18"/>
                <w:szCs w:val="18"/>
              </w:rPr>
            </w:pPr>
            <w:r>
              <w:rPr>
                <w:rFonts w:eastAsia="Times New Roman" w:cs="Calibri"/>
                <w:color w:val="000000"/>
                <w:sz w:val="18"/>
                <w:szCs w:val="18"/>
              </w:rPr>
              <w:t>70.0%</w:t>
            </w:r>
          </w:p>
        </w:tc>
        <w:tc>
          <w:tcPr>
            <w:tcW w:w="922" w:type="dxa"/>
            <w:vAlign w:val="center"/>
          </w:tcPr>
          <w:p w14:paraId="55BDFC3E" w14:textId="726232F7" w:rsidR="00186BC7" w:rsidRDefault="008763CF" w:rsidP="00B71DCF">
            <w:pPr>
              <w:spacing w:after="0"/>
              <w:jc w:val="center"/>
              <w:rPr>
                <w:rFonts w:eastAsia="Times New Roman" w:cs="Calibri"/>
                <w:color w:val="000000"/>
                <w:sz w:val="18"/>
                <w:szCs w:val="18"/>
              </w:rPr>
            </w:pPr>
            <w:r>
              <w:rPr>
                <w:rFonts w:eastAsia="Times New Roman" w:cs="Calibri"/>
                <w:color w:val="000000"/>
                <w:sz w:val="18"/>
                <w:szCs w:val="18"/>
              </w:rPr>
              <w:t>61.0%</w:t>
            </w:r>
          </w:p>
        </w:tc>
      </w:tr>
      <w:tr w:rsidR="004B6F19" w:rsidRPr="0049778F" w14:paraId="42334603" w14:textId="3F375616" w:rsidTr="005C70AF">
        <w:trPr>
          <w:trHeight w:val="302"/>
        </w:trPr>
        <w:tc>
          <w:tcPr>
            <w:tcW w:w="1440" w:type="dxa"/>
            <w:shd w:val="clear" w:color="auto" w:fill="F2F2F2" w:themeFill="background1" w:themeFillShade="F2"/>
            <w:noWrap/>
          </w:tcPr>
          <w:p w14:paraId="0DED3D37" w14:textId="0B8407FB" w:rsidR="004B6F19" w:rsidRPr="001F6736" w:rsidRDefault="00B71DCF">
            <w:pPr>
              <w:spacing w:after="0"/>
              <w:jc w:val="center"/>
              <w:rPr>
                <w:rFonts w:eastAsia="Times New Roman" w:cs="Calibri"/>
                <w:color w:val="000000"/>
                <w:sz w:val="20"/>
                <w:szCs w:val="20"/>
              </w:rPr>
            </w:pPr>
            <w:r w:rsidRPr="001F6736">
              <w:rPr>
                <w:rStyle w:val="normaltextrun"/>
                <w:rFonts w:cs="Calibri"/>
                <w:sz w:val="20"/>
                <w:szCs w:val="20"/>
              </w:rPr>
              <w:t>CMS – Core 2.1</w:t>
            </w:r>
          </w:p>
        </w:tc>
        <w:tc>
          <w:tcPr>
            <w:tcW w:w="6336" w:type="dxa"/>
            <w:shd w:val="clear" w:color="auto" w:fill="F2F2F2" w:themeFill="background1" w:themeFillShade="F2"/>
          </w:tcPr>
          <w:p w14:paraId="61520F97" w14:textId="196E0BE1" w:rsidR="004B6F19" w:rsidRPr="001F6736" w:rsidRDefault="00B71DCF">
            <w:pPr>
              <w:spacing w:after="0"/>
              <w:rPr>
                <w:rFonts w:eastAsia="Times New Roman" w:cs="Calibri"/>
                <w:sz w:val="20"/>
                <w:szCs w:val="20"/>
              </w:rPr>
            </w:pPr>
            <w:r w:rsidRPr="001F6736">
              <w:rPr>
                <w:rStyle w:val="normaltextrun"/>
                <w:rFonts w:cs="Calibri"/>
                <w:sz w:val="20"/>
                <w:szCs w:val="20"/>
              </w:rPr>
              <w:t>Timely Assessment - Percent of members with an initial assessment completed within 90 days of enrollment</w:t>
            </w:r>
            <w:r w:rsidRPr="001F6736">
              <w:rPr>
                <w:rStyle w:val="eop"/>
                <w:rFonts w:cs="Calibri"/>
                <w:sz w:val="20"/>
                <w:szCs w:val="20"/>
              </w:rPr>
              <w:t> </w:t>
            </w:r>
          </w:p>
        </w:tc>
        <w:tc>
          <w:tcPr>
            <w:tcW w:w="922" w:type="dxa"/>
            <w:shd w:val="clear" w:color="auto" w:fill="F2F2F2" w:themeFill="background1" w:themeFillShade="F2"/>
            <w:noWrap/>
            <w:vAlign w:val="center"/>
          </w:tcPr>
          <w:p w14:paraId="242CFEEE" w14:textId="61DABF5E" w:rsidR="004B6F19" w:rsidRPr="0049778F" w:rsidRDefault="00D82A02">
            <w:pPr>
              <w:spacing w:after="0"/>
              <w:jc w:val="center"/>
              <w:rPr>
                <w:rFonts w:eastAsia="Times New Roman" w:cs="Calibri"/>
                <w:color w:val="000000"/>
                <w:sz w:val="18"/>
                <w:szCs w:val="18"/>
              </w:rPr>
            </w:pPr>
            <w:r>
              <w:rPr>
                <w:rFonts w:eastAsia="Times New Roman" w:cs="Calibri"/>
                <w:color w:val="000000"/>
                <w:sz w:val="18"/>
                <w:szCs w:val="18"/>
              </w:rPr>
              <w:t>88.5%</w:t>
            </w:r>
          </w:p>
        </w:tc>
        <w:tc>
          <w:tcPr>
            <w:tcW w:w="922" w:type="dxa"/>
            <w:shd w:val="clear" w:color="auto" w:fill="F2F2F2" w:themeFill="background1" w:themeFillShade="F2"/>
            <w:noWrap/>
            <w:vAlign w:val="center"/>
          </w:tcPr>
          <w:p w14:paraId="6D3CB997" w14:textId="262B6963" w:rsidR="004B6F19" w:rsidRPr="0049778F" w:rsidRDefault="002847B7">
            <w:pPr>
              <w:spacing w:after="0"/>
              <w:jc w:val="center"/>
              <w:rPr>
                <w:rFonts w:eastAsia="Times New Roman" w:cs="Calibri"/>
                <w:color w:val="000000"/>
                <w:sz w:val="18"/>
                <w:szCs w:val="18"/>
              </w:rPr>
            </w:pPr>
            <w:r>
              <w:rPr>
                <w:rFonts w:eastAsia="Times New Roman" w:cs="Calibri"/>
                <w:color w:val="000000"/>
                <w:sz w:val="18"/>
                <w:szCs w:val="18"/>
              </w:rPr>
              <w:t>9</w:t>
            </w:r>
            <w:r>
              <w:rPr>
                <w:rFonts w:eastAsia="Times New Roman"/>
                <w:color w:val="000000"/>
                <w:sz w:val="18"/>
                <w:szCs w:val="18"/>
              </w:rPr>
              <w:t>2.0%</w:t>
            </w:r>
          </w:p>
        </w:tc>
        <w:tc>
          <w:tcPr>
            <w:tcW w:w="922" w:type="dxa"/>
            <w:shd w:val="clear" w:color="auto" w:fill="F2F2F2" w:themeFill="background1" w:themeFillShade="F2"/>
            <w:noWrap/>
            <w:vAlign w:val="center"/>
          </w:tcPr>
          <w:p w14:paraId="4DA8BA7C" w14:textId="6EDB9DD6" w:rsidR="004B6F19" w:rsidRPr="0049778F" w:rsidRDefault="00481DCB">
            <w:pPr>
              <w:spacing w:after="0"/>
              <w:jc w:val="center"/>
              <w:rPr>
                <w:rFonts w:eastAsia="Times New Roman" w:cs="Calibri"/>
                <w:color w:val="000000"/>
                <w:sz w:val="18"/>
                <w:szCs w:val="18"/>
              </w:rPr>
            </w:pPr>
            <w:r>
              <w:rPr>
                <w:rFonts w:eastAsia="Times New Roman" w:cs="Calibri"/>
                <w:color w:val="000000"/>
                <w:sz w:val="18"/>
                <w:szCs w:val="18"/>
              </w:rPr>
              <w:t>90.8%</w:t>
            </w:r>
          </w:p>
        </w:tc>
        <w:tc>
          <w:tcPr>
            <w:tcW w:w="922" w:type="dxa"/>
            <w:shd w:val="clear" w:color="auto" w:fill="F2F2F2" w:themeFill="background1" w:themeFillShade="F2"/>
            <w:vAlign w:val="center"/>
          </w:tcPr>
          <w:p w14:paraId="3512E153" w14:textId="0E4338D6" w:rsidR="00186BC7" w:rsidRDefault="00192F51" w:rsidP="00B71DCF">
            <w:pPr>
              <w:spacing w:after="0"/>
              <w:jc w:val="center"/>
              <w:rPr>
                <w:rFonts w:eastAsia="Times New Roman" w:cs="Calibri"/>
                <w:color w:val="000000"/>
                <w:sz w:val="18"/>
                <w:szCs w:val="18"/>
              </w:rPr>
            </w:pPr>
            <w:r>
              <w:rPr>
                <w:rFonts w:eastAsia="Times New Roman" w:cs="Calibri"/>
                <w:color w:val="000000"/>
                <w:sz w:val="18"/>
                <w:szCs w:val="18"/>
              </w:rPr>
              <w:t>46.9%</w:t>
            </w:r>
          </w:p>
        </w:tc>
      </w:tr>
      <w:tr w:rsidR="004B6F19" w:rsidRPr="0049778F" w14:paraId="6833EED9" w14:textId="00AE9E98" w:rsidTr="005C70AF">
        <w:trPr>
          <w:trHeight w:val="302"/>
        </w:trPr>
        <w:tc>
          <w:tcPr>
            <w:tcW w:w="1440" w:type="dxa"/>
            <w:shd w:val="clear" w:color="auto" w:fill="auto"/>
            <w:noWrap/>
          </w:tcPr>
          <w:p w14:paraId="4411C7F7" w14:textId="307272F3" w:rsidR="004B6F19" w:rsidRPr="001F6736" w:rsidRDefault="00B71DCF">
            <w:pPr>
              <w:spacing w:after="0"/>
              <w:jc w:val="center"/>
              <w:rPr>
                <w:rFonts w:eastAsia="Times New Roman" w:cs="Calibri"/>
                <w:color w:val="000000"/>
                <w:sz w:val="20"/>
                <w:szCs w:val="20"/>
              </w:rPr>
            </w:pPr>
            <w:r w:rsidRPr="001F6736">
              <w:rPr>
                <w:rStyle w:val="normaltextrun"/>
                <w:rFonts w:cs="Calibri"/>
                <w:sz w:val="20"/>
                <w:szCs w:val="20"/>
              </w:rPr>
              <w:t>MA 1.2</w:t>
            </w:r>
          </w:p>
        </w:tc>
        <w:tc>
          <w:tcPr>
            <w:tcW w:w="6336" w:type="dxa"/>
            <w:shd w:val="clear" w:color="auto" w:fill="auto"/>
          </w:tcPr>
          <w:p w14:paraId="793137A0" w14:textId="31B0AA85" w:rsidR="004B6F19" w:rsidRPr="001F6736" w:rsidRDefault="00B71DCF">
            <w:pPr>
              <w:spacing w:after="0"/>
              <w:rPr>
                <w:rFonts w:eastAsia="Times New Roman" w:cs="Calibri"/>
                <w:sz w:val="20"/>
                <w:szCs w:val="20"/>
              </w:rPr>
            </w:pPr>
            <w:r w:rsidRPr="001F6736">
              <w:rPr>
                <w:rStyle w:val="normaltextrun"/>
                <w:rFonts w:cs="Calibri"/>
                <w:sz w:val="20"/>
                <w:szCs w:val="20"/>
              </w:rPr>
              <w:t>Documentation of Care Plan Goals - Percent of members with documented discussions of care goals</w:t>
            </w:r>
            <w:r w:rsidRPr="001F6736">
              <w:rPr>
                <w:rStyle w:val="eop"/>
                <w:rFonts w:cs="Calibri"/>
                <w:sz w:val="20"/>
                <w:szCs w:val="20"/>
              </w:rPr>
              <w:t> </w:t>
            </w:r>
          </w:p>
        </w:tc>
        <w:tc>
          <w:tcPr>
            <w:tcW w:w="922" w:type="dxa"/>
            <w:shd w:val="clear" w:color="auto" w:fill="auto"/>
            <w:vAlign w:val="center"/>
          </w:tcPr>
          <w:p w14:paraId="703000B7" w14:textId="1279BBA4" w:rsidR="004B6F19" w:rsidRPr="0049778F" w:rsidRDefault="007E579B">
            <w:pPr>
              <w:spacing w:after="0"/>
              <w:jc w:val="center"/>
              <w:rPr>
                <w:rFonts w:eastAsia="Times New Roman" w:cs="Calibri"/>
                <w:color w:val="000000"/>
                <w:sz w:val="18"/>
                <w:szCs w:val="18"/>
              </w:rPr>
            </w:pPr>
            <w:r>
              <w:rPr>
                <w:rFonts w:eastAsia="Times New Roman" w:cs="Calibri"/>
                <w:color w:val="000000"/>
                <w:sz w:val="18"/>
                <w:szCs w:val="18"/>
              </w:rPr>
              <w:t>95.8%</w:t>
            </w:r>
          </w:p>
        </w:tc>
        <w:tc>
          <w:tcPr>
            <w:tcW w:w="922" w:type="dxa"/>
            <w:shd w:val="clear" w:color="auto" w:fill="auto"/>
            <w:noWrap/>
            <w:vAlign w:val="center"/>
          </w:tcPr>
          <w:p w14:paraId="7C98559A" w14:textId="153E2478" w:rsidR="004B6F19" w:rsidRPr="0049778F" w:rsidRDefault="00CB0C90">
            <w:pPr>
              <w:spacing w:after="0"/>
              <w:jc w:val="center"/>
              <w:rPr>
                <w:rFonts w:eastAsia="Times New Roman" w:cs="Calibri"/>
                <w:color w:val="000000"/>
                <w:sz w:val="18"/>
                <w:szCs w:val="18"/>
              </w:rPr>
            </w:pPr>
            <w:r>
              <w:rPr>
                <w:rFonts w:eastAsia="Times New Roman" w:cs="Calibri"/>
                <w:color w:val="000000"/>
                <w:sz w:val="18"/>
                <w:szCs w:val="18"/>
              </w:rPr>
              <w:t>1</w:t>
            </w:r>
            <w:r>
              <w:rPr>
                <w:rFonts w:eastAsia="Times New Roman"/>
                <w:color w:val="000000"/>
                <w:sz w:val="18"/>
                <w:szCs w:val="18"/>
              </w:rPr>
              <w:t>00.0%</w:t>
            </w:r>
          </w:p>
        </w:tc>
        <w:tc>
          <w:tcPr>
            <w:tcW w:w="922" w:type="dxa"/>
            <w:shd w:val="clear" w:color="auto" w:fill="auto"/>
            <w:noWrap/>
            <w:vAlign w:val="center"/>
          </w:tcPr>
          <w:p w14:paraId="7B18EF26" w14:textId="27F178CE" w:rsidR="004B6F19" w:rsidRPr="0049778F" w:rsidRDefault="00AC1449">
            <w:pPr>
              <w:spacing w:after="0"/>
              <w:jc w:val="center"/>
              <w:rPr>
                <w:rFonts w:eastAsia="Times New Roman" w:cs="Calibri"/>
                <w:color w:val="000000"/>
                <w:sz w:val="18"/>
                <w:szCs w:val="18"/>
              </w:rPr>
            </w:pPr>
            <w:r>
              <w:rPr>
                <w:rFonts w:eastAsia="Times New Roman" w:cs="Calibri"/>
                <w:color w:val="000000"/>
                <w:sz w:val="18"/>
                <w:szCs w:val="18"/>
              </w:rPr>
              <w:t>68.5%</w:t>
            </w:r>
          </w:p>
        </w:tc>
        <w:tc>
          <w:tcPr>
            <w:tcW w:w="922" w:type="dxa"/>
            <w:vAlign w:val="center"/>
          </w:tcPr>
          <w:p w14:paraId="790E653B" w14:textId="01B585ED" w:rsidR="00186BC7" w:rsidRDefault="009D26A8" w:rsidP="00B71DCF">
            <w:pPr>
              <w:spacing w:after="0"/>
              <w:jc w:val="center"/>
              <w:rPr>
                <w:rFonts w:eastAsia="Times New Roman" w:cs="Calibri"/>
                <w:color w:val="000000"/>
                <w:sz w:val="18"/>
                <w:szCs w:val="18"/>
              </w:rPr>
            </w:pPr>
            <w:r>
              <w:rPr>
                <w:rFonts w:eastAsia="Times New Roman" w:cs="Calibri"/>
                <w:color w:val="000000"/>
                <w:sz w:val="18"/>
                <w:szCs w:val="18"/>
              </w:rPr>
              <w:t>99.1%</w:t>
            </w:r>
          </w:p>
        </w:tc>
      </w:tr>
      <w:tr w:rsidR="004B6F19" w:rsidRPr="0049778F" w14:paraId="11B653EA" w14:textId="7BFCDCA0" w:rsidTr="005C70AF">
        <w:trPr>
          <w:trHeight w:val="302"/>
        </w:trPr>
        <w:tc>
          <w:tcPr>
            <w:tcW w:w="1440" w:type="dxa"/>
            <w:shd w:val="clear" w:color="auto" w:fill="F2F2F2" w:themeFill="background1" w:themeFillShade="F2"/>
            <w:noWrap/>
          </w:tcPr>
          <w:p w14:paraId="2B5EFC29" w14:textId="618A8CC7" w:rsidR="004B6F19" w:rsidRPr="001F6736" w:rsidRDefault="00B71DCF">
            <w:pPr>
              <w:spacing w:after="0"/>
              <w:jc w:val="center"/>
              <w:rPr>
                <w:rFonts w:eastAsia="Times New Roman" w:cs="Calibri"/>
                <w:color w:val="000000"/>
                <w:sz w:val="20"/>
                <w:szCs w:val="20"/>
              </w:rPr>
            </w:pPr>
            <w:r w:rsidRPr="001F6736">
              <w:rPr>
                <w:rStyle w:val="normaltextrun"/>
                <w:rFonts w:cs="Calibri"/>
                <w:sz w:val="20"/>
                <w:szCs w:val="20"/>
              </w:rPr>
              <w:t>FUH-30</w:t>
            </w:r>
          </w:p>
        </w:tc>
        <w:tc>
          <w:tcPr>
            <w:tcW w:w="6336" w:type="dxa"/>
            <w:shd w:val="clear" w:color="auto" w:fill="F2F2F2" w:themeFill="background1" w:themeFillShade="F2"/>
          </w:tcPr>
          <w:p w14:paraId="75FC7800" w14:textId="1B478DAE" w:rsidR="004B6F19" w:rsidRPr="001F6736" w:rsidRDefault="00B71DCF">
            <w:pPr>
              <w:spacing w:after="0"/>
              <w:rPr>
                <w:rFonts w:eastAsia="Times New Roman" w:cs="Calibri"/>
                <w:sz w:val="20"/>
                <w:szCs w:val="20"/>
              </w:rPr>
            </w:pPr>
            <w:r w:rsidRPr="001F6736">
              <w:rPr>
                <w:rStyle w:val="normaltextrun"/>
                <w:rFonts w:cs="Calibri"/>
                <w:sz w:val="20"/>
                <w:szCs w:val="20"/>
              </w:rPr>
              <w:t>Follow-Up After Hospitalization for Mental Illness (30 days) </w:t>
            </w:r>
            <w:r w:rsidRPr="001F6736">
              <w:rPr>
                <w:rStyle w:val="eop"/>
                <w:rFonts w:cs="Calibri"/>
                <w:sz w:val="20"/>
                <w:szCs w:val="20"/>
              </w:rPr>
              <w:t> </w:t>
            </w:r>
          </w:p>
        </w:tc>
        <w:tc>
          <w:tcPr>
            <w:tcW w:w="922" w:type="dxa"/>
            <w:shd w:val="clear" w:color="auto" w:fill="F2F2F2" w:themeFill="background1" w:themeFillShade="F2"/>
            <w:noWrap/>
            <w:vAlign w:val="center"/>
          </w:tcPr>
          <w:p w14:paraId="7194804C" w14:textId="0A4EEC8E" w:rsidR="004B6F19" w:rsidRPr="0049778F" w:rsidRDefault="007F1A8A">
            <w:pPr>
              <w:spacing w:after="0"/>
              <w:jc w:val="center"/>
              <w:rPr>
                <w:rFonts w:eastAsia="Times New Roman" w:cs="Calibri"/>
                <w:color w:val="000000"/>
                <w:sz w:val="18"/>
                <w:szCs w:val="18"/>
              </w:rPr>
            </w:pPr>
            <w:r>
              <w:rPr>
                <w:rFonts w:eastAsia="Times New Roman" w:cs="Calibri"/>
                <w:color w:val="000000"/>
                <w:sz w:val="18"/>
                <w:szCs w:val="18"/>
              </w:rPr>
              <w:t>6</w:t>
            </w:r>
            <w:r>
              <w:rPr>
                <w:rFonts w:eastAsia="Times New Roman"/>
                <w:color w:val="000000"/>
                <w:sz w:val="18"/>
                <w:szCs w:val="18"/>
              </w:rPr>
              <w:t>2.2%</w:t>
            </w:r>
          </w:p>
        </w:tc>
        <w:tc>
          <w:tcPr>
            <w:tcW w:w="922" w:type="dxa"/>
            <w:shd w:val="clear" w:color="auto" w:fill="F2F2F2" w:themeFill="background1" w:themeFillShade="F2"/>
            <w:noWrap/>
            <w:vAlign w:val="center"/>
          </w:tcPr>
          <w:p w14:paraId="690ADDD1" w14:textId="29C14761" w:rsidR="004B6F19" w:rsidRPr="0049778F" w:rsidRDefault="00886920">
            <w:pPr>
              <w:spacing w:after="0"/>
              <w:jc w:val="center"/>
              <w:rPr>
                <w:rFonts w:eastAsia="Times New Roman" w:cs="Calibri"/>
                <w:color w:val="000000"/>
                <w:sz w:val="18"/>
                <w:szCs w:val="18"/>
              </w:rPr>
            </w:pPr>
            <w:r>
              <w:rPr>
                <w:rFonts w:eastAsia="Times New Roman" w:cs="Calibri"/>
                <w:color w:val="000000"/>
                <w:sz w:val="18"/>
                <w:szCs w:val="18"/>
              </w:rPr>
              <w:t>62.2%</w:t>
            </w:r>
          </w:p>
        </w:tc>
        <w:tc>
          <w:tcPr>
            <w:tcW w:w="922" w:type="dxa"/>
            <w:shd w:val="clear" w:color="auto" w:fill="F2F2F2" w:themeFill="background1" w:themeFillShade="F2"/>
            <w:noWrap/>
            <w:vAlign w:val="center"/>
          </w:tcPr>
          <w:p w14:paraId="60EC7EA7" w14:textId="5922D5AA" w:rsidR="004B6F19" w:rsidRPr="0049778F" w:rsidRDefault="00B5065E">
            <w:pPr>
              <w:spacing w:after="0"/>
              <w:jc w:val="center"/>
              <w:rPr>
                <w:rFonts w:eastAsia="Times New Roman" w:cs="Calibri"/>
                <w:color w:val="000000"/>
                <w:sz w:val="18"/>
                <w:szCs w:val="18"/>
              </w:rPr>
            </w:pPr>
            <w:r>
              <w:rPr>
                <w:rFonts w:eastAsia="Times New Roman" w:cs="Calibri"/>
                <w:color w:val="000000"/>
                <w:sz w:val="18"/>
                <w:szCs w:val="18"/>
              </w:rPr>
              <w:t>70.0%</w:t>
            </w:r>
          </w:p>
        </w:tc>
        <w:tc>
          <w:tcPr>
            <w:tcW w:w="922" w:type="dxa"/>
            <w:shd w:val="clear" w:color="auto" w:fill="F2F2F2" w:themeFill="background1" w:themeFillShade="F2"/>
            <w:vAlign w:val="center"/>
          </w:tcPr>
          <w:p w14:paraId="070579AC" w14:textId="5CA37CCA" w:rsidR="00186BC7" w:rsidRDefault="006F6DB2" w:rsidP="00B71DCF">
            <w:pPr>
              <w:spacing w:after="0"/>
              <w:jc w:val="center"/>
              <w:rPr>
                <w:rFonts w:eastAsia="Times New Roman" w:cs="Calibri"/>
                <w:color w:val="000000"/>
                <w:sz w:val="18"/>
                <w:szCs w:val="18"/>
              </w:rPr>
            </w:pPr>
            <w:r>
              <w:rPr>
                <w:rFonts w:eastAsia="Times New Roman" w:cs="Calibri"/>
                <w:color w:val="000000"/>
                <w:sz w:val="18"/>
                <w:szCs w:val="18"/>
              </w:rPr>
              <w:t>45.4%</w:t>
            </w:r>
          </w:p>
        </w:tc>
      </w:tr>
      <w:tr w:rsidR="004B6F19" w:rsidRPr="0049778F" w14:paraId="169F3134" w14:textId="007A5783" w:rsidTr="005C70AF">
        <w:trPr>
          <w:trHeight w:val="302"/>
        </w:trPr>
        <w:tc>
          <w:tcPr>
            <w:tcW w:w="1440" w:type="dxa"/>
            <w:shd w:val="clear" w:color="auto" w:fill="auto"/>
            <w:noWrap/>
          </w:tcPr>
          <w:p w14:paraId="1ABDE74A" w14:textId="23130875" w:rsidR="004B6F19" w:rsidRPr="001F6736" w:rsidRDefault="00B71DCF">
            <w:pPr>
              <w:spacing w:after="0"/>
              <w:jc w:val="center"/>
              <w:rPr>
                <w:rFonts w:eastAsia="Times New Roman" w:cs="Calibri"/>
                <w:color w:val="000000"/>
                <w:sz w:val="20"/>
                <w:szCs w:val="20"/>
              </w:rPr>
            </w:pPr>
            <w:r w:rsidRPr="001F6736">
              <w:rPr>
                <w:rStyle w:val="normaltextrun"/>
                <w:rFonts w:cs="Calibri"/>
                <w:sz w:val="20"/>
                <w:szCs w:val="20"/>
              </w:rPr>
              <w:t>IET-I</w:t>
            </w:r>
          </w:p>
        </w:tc>
        <w:tc>
          <w:tcPr>
            <w:tcW w:w="6336" w:type="dxa"/>
            <w:shd w:val="clear" w:color="auto" w:fill="auto"/>
          </w:tcPr>
          <w:p w14:paraId="025ECCF7" w14:textId="2C38257B" w:rsidR="004B6F19" w:rsidRPr="001F6736" w:rsidRDefault="00B71DCF">
            <w:pPr>
              <w:spacing w:after="0"/>
              <w:rPr>
                <w:rFonts w:eastAsia="Times New Roman" w:cs="Calibri"/>
                <w:sz w:val="20"/>
                <w:szCs w:val="20"/>
              </w:rPr>
            </w:pPr>
            <w:r w:rsidRPr="001F6736">
              <w:rPr>
                <w:rStyle w:val="normaltextrun"/>
                <w:rFonts w:cs="Calibri"/>
                <w:sz w:val="20"/>
                <w:szCs w:val="20"/>
              </w:rPr>
              <w:t>Initiation and Engagement of Alcohol, Opioid, or Other Drug Abuse or Dependence Treatment (Initiation)</w:t>
            </w:r>
            <w:r w:rsidRPr="001F6736">
              <w:rPr>
                <w:rStyle w:val="eop"/>
                <w:rFonts w:cs="Calibri"/>
                <w:sz w:val="20"/>
                <w:szCs w:val="20"/>
              </w:rPr>
              <w:t> </w:t>
            </w:r>
          </w:p>
        </w:tc>
        <w:tc>
          <w:tcPr>
            <w:tcW w:w="922" w:type="dxa"/>
            <w:shd w:val="clear" w:color="auto" w:fill="FFFFFF" w:themeFill="background1"/>
            <w:noWrap/>
            <w:vAlign w:val="center"/>
          </w:tcPr>
          <w:p w14:paraId="09E9D35C" w14:textId="0744C4BD" w:rsidR="004B6F19" w:rsidRPr="0049778F" w:rsidRDefault="00B35910">
            <w:pPr>
              <w:spacing w:after="0"/>
              <w:jc w:val="center"/>
              <w:rPr>
                <w:rFonts w:eastAsia="Times New Roman" w:cs="Calibri"/>
                <w:color w:val="000000"/>
                <w:sz w:val="18"/>
                <w:szCs w:val="18"/>
              </w:rPr>
            </w:pPr>
            <w:r>
              <w:rPr>
                <w:rFonts w:eastAsia="Times New Roman" w:cs="Calibri"/>
                <w:color w:val="000000"/>
                <w:sz w:val="18"/>
                <w:szCs w:val="18"/>
              </w:rPr>
              <w:t>3</w:t>
            </w:r>
            <w:r>
              <w:rPr>
                <w:rFonts w:eastAsia="Times New Roman"/>
                <w:color w:val="000000"/>
                <w:sz w:val="18"/>
                <w:szCs w:val="18"/>
              </w:rPr>
              <w:t>8.7%</w:t>
            </w:r>
          </w:p>
        </w:tc>
        <w:tc>
          <w:tcPr>
            <w:tcW w:w="922" w:type="dxa"/>
            <w:shd w:val="clear" w:color="auto" w:fill="FFFFFF" w:themeFill="background1"/>
            <w:noWrap/>
            <w:vAlign w:val="center"/>
          </w:tcPr>
          <w:p w14:paraId="6A5E29AB" w14:textId="430E3957" w:rsidR="004B6F19" w:rsidRPr="0049778F" w:rsidRDefault="000B4BA5">
            <w:pPr>
              <w:spacing w:after="0"/>
              <w:jc w:val="center"/>
              <w:rPr>
                <w:rFonts w:eastAsia="Times New Roman" w:cs="Calibri"/>
                <w:color w:val="000000"/>
                <w:sz w:val="18"/>
                <w:szCs w:val="18"/>
              </w:rPr>
            </w:pPr>
            <w:r>
              <w:rPr>
                <w:rFonts w:eastAsia="Times New Roman" w:cs="Calibri"/>
                <w:color w:val="000000"/>
                <w:sz w:val="18"/>
                <w:szCs w:val="18"/>
              </w:rPr>
              <w:t>3</w:t>
            </w:r>
            <w:r>
              <w:rPr>
                <w:rFonts w:eastAsia="Times New Roman"/>
                <w:color w:val="000000"/>
                <w:sz w:val="18"/>
                <w:szCs w:val="18"/>
              </w:rPr>
              <w:t>8.9%</w:t>
            </w:r>
          </w:p>
        </w:tc>
        <w:tc>
          <w:tcPr>
            <w:tcW w:w="922" w:type="dxa"/>
            <w:shd w:val="clear" w:color="auto" w:fill="FFFFFF" w:themeFill="background1"/>
            <w:noWrap/>
            <w:vAlign w:val="center"/>
          </w:tcPr>
          <w:p w14:paraId="39716D43" w14:textId="0852A318" w:rsidR="004B6F19" w:rsidRPr="0049778F" w:rsidRDefault="008025A5">
            <w:pPr>
              <w:spacing w:after="0"/>
              <w:jc w:val="center"/>
              <w:rPr>
                <w:rFonts w:eastAsia="Times New Roman" w:cs="Calibri"/>
                <w:color w:val="000000"/>
                <w:sz w:val="18"/>
                <w:szCs w:val="18"/>
              </w:rPr>
            </w:pPr>
            <w:r>
              <w:rPr>
                <w:rFonts w:eastAsia="Times New Roman" w:cs="Calibri"/>
                <w:color w:val="000000"/>
                <w:sz w:val="18"/>
                <w:szCs w:val="18"/>
              </w:rPr>
              <w:t>3</w:t>
            </w:r>
            <w:r>
              <w:rPr>
                <w:rFonts w:eastAsia="Times New Roman"/>
                <w:color w:val="000000"/>
                <w:sz w:val="18"/>
                <w:szCs w:val="18"/>
              </w:rPr>
              <w:t>8.2%</w:t>
            </w:r>
          </w:p>
        </w:tc>
        <w:tc>
          <w:tcPr>
            <w:tcW w:w="922" w:type="dxa"/>
            <w:shd w:val="clear" w:color="auto" w:fill="FFFFFF" w:themeFill="background1"/>
            <w:vAlign w:val="center"/>
          </w:tcPr>
          <w:p w14:paraId="699B537D" w14:textId="5FC2AA1B" w:rsidR="00186BC7" w:rsidRPr="0049778F" w:rsidRDefault="00581737" w:rsidP="00B71DCF">
            <w:pPr>
              <w:spacing w:after="0"/>
              <w:jc w:val="center"/>
              <w:rPr>
                <w:rFonts w:eastAsia="Times New Roman" w:cs="Calibri"/>
                <w:color w:val="000000"/>
                <w:sz w:val="18"/>
                <w:szCs w:val="18"/>
              </w:rPr>
            </w:pPr>
            <w:r>
              <w:rPr>
                <w:rFonts w:eastAsia="Times New Roman" w:cs="Calibri"/>
                <w:color w:val="000000"/>
                <w:sz w:val="18"/>
                <w:szCs w:val="18"/>
              </w:rPr>
              <w:t>N</w:t>
            </w:r>
            <w:r>
              <w:rPr>
                <w:rFonts w:eastAsia="Times New Roman"/>
                <w:color w:val="000000"/>
                <w:sz w:val="18"/>
                <w:szCs w:val="18"/>
              </w:rPr>
              <w:t>/A</w:t>
            </w:r>
          </w:p>
        </w:tc>
      </w:tr>
      <w:tr w:rsidR="004B6F19" w:rsidRPr="0049778F" w14:paraId="4DA57FD3" w14:textId="3B95B6D4" w:rsidTr="005C70AF">
        <w:trPr>
          <w:trHeight w:val="302"/>
        </w:trPr>
        <w:tc>
          <w:tcPr>
            <w:tcW w:w="1440" w:type="dxa"/>
            <w:shd w:val="clear" w:color="auto" w:fill="F2F2F2" w:themeFill="background1" w:themeFillShade="F2"/>
            <w:noWrap/>
          </w:tcPr>
          <w:p w14:paraId="742F4824" w14:textId="0102A346" w:rsidR="004B6F19" w:rsidRPr="001F6736" w:rsidRDefault="00B71DCF">
            <w:pPr>
              <w:spacing w:after="0"/>
              <w:jc w:val="center"/>
              <w:rPr>
                <w:rFonts w:eastAsia="Times New Roman" w:cs="Calibri"/>
                <w:color w:val="000000"/>
                <w:sz w:val="20"/>
                <w:szCs w:val="20"/>
              </w:rPr>
            </w:pPr>
            <w:r w:rsidRPr="001F6736">
              <w:rPr>
                <w:rStyle w:val="normaltextrun"/>
                <w:rFonts w:cs="Calibri"/>
                <w:sz w:val="20"/>
                <w:szCs w:val="20"/>
              </w:rPr>
              <w:t>IET-E</w:t>
            </w:r>
          </w:p>
        </w:tc>
        <w:tc>
          <w:tcPr>
            <w:tcW w:w="6336" w:type="dxa"/>
            <w:shd w:val="clear" w:color="auto" w:fill="F2F2F2" w:themeFill="background1" w:themeFillShade="F2"/>
          </w:tcPr>
          <w:p w14:paraId="54EF8C61" w14:textId="5D3E61C3" w:rsidR="004B6F19" w:rsidRPr="001F6736" w:rsidRDefault="00B71DCF">
            <w:pPr>
              <w:spacing w:after="0"/>
              <w:rPr>
                <w:rFonts w:eastAsia="Times New Roman" w:cs="Calibri"/>
                <w:sz w:val="20"/>
                <w:szCs w:val="20"/>
              </w:rPr>
            </w:pPr>
            <w:r w:rsidRPr="001F6736">
              <w:rPr>
                <w:rStyle w:val="normaltextrun"/>
                <w:rFonts w:cs="Calibri"/>
                <w:sz w:val="20"/>
                <w:szCs w:val="20"/>
              </w:rPr>
              <w:t>Initiation and Engagement of Alcohol, Opioid, or Other Drug Abuse or Dependence Treatment (Engagement)</w:t>
            </w:r>
            <w:r w:rsidRPr="001F6736">
              <w:rPr>
                <w:rStyle w:val="eop"/>
                <w:rFonts w:cs="Calibri"/>
                <w:sz w:val="20"/>
                <w:szCs w:val="20"/>
              </w:rPr>
              <w:t> </w:t>
            </w:r>
          </w:p>
        </w:tc>
        <w:tc>
          <w:tcPr>
            <w:tcW w:w="922" w:type="dxa"/>
            <w:shd w:val="clear" w:color="auto" w:fill="F2F2F2" w:themeFill="background1" w:themeFillShade="F2"/>
            <w:noWrap/>
            <w:vAlign w:val="center"/>
          </w:tcPr>
          <w:p w14:paraId="04E95675" w14:textId="24D39DFB" w:rsidR="004B6F19" w:rsidRPr="0049778F" w:rsidRDefault="009A6214">
            <w:pPr>
              <w:spacing w:after="0"/>
              <w:jc w:val="center"/>
              <w:rPr>
                <w:rFonts w:eastAsia="Times New Roman" w:cs="Calibri"/>
                <w:color w:val="000000"/>
                <w:sz w:val="18"/>
                <w:szCs w:val="18"/>
              </w:rPr>
            </w:pPr>
            <w:r>
              <w:rPr>
                <w:rFonts w:eastAsia="Times New Roman" w:cs="Calibri"/>
                <w:color w:val="000000"/>
                <w:sz w:val="18"/>
                <w:szCs w:val="18"/>
              </w:rPr>
              <w:t>10.7%</w:t>
            </w:r>
          </w:p>
        </w:tc>
        <w:tc>
          <w:tcPr>
            <w:tcW w:w="922" w:type="dxa"/>
            <w:shd w:val="clear" w:color="auto" w:fill="F2F2F2" w:themeFill="background1" w:themeFillShade="F2"/>
            <w:noWrap/>
            <w:vAlign w:val="center"/>
          </w:tcPr>
          <w:p w14:paraId="06A68B97" w14:textId="44A0A9DE" w:rsidR="004B6F19" w:rsidRPr="0049778F" w:rsidRDefault="00452B45">
            <w:pPr>
              <w:spacing w:after="0"/>
              <w:jc w:val="center"/>
              <w:rPr>
                <w:rFonts w:eastAsia="Times New Roman" w:cs="Calibri"/>
                <w:color w:val="000000"/>
                <w:sz w:val="18"/>
                <w:szCs w:val="18"/>
              </w:rPr>
            </w:pPr>
            <w:r>
              <w:rPr>
                <w:rFonts w:eastAsia="Times New Roman" w:cs="Calibri"/>
                <w:color w:val="000000"/>
                <w:sz w:val="18"/>
                <w:szCs w:val="18"/>
              </w:rPr>
              <w:t>10.6%</w:t>
            </w:r>
          </w:p>
        </w:tc>
        <w:tc>
          <w:tcPr>
            <w:tcW w:w="922" w:type="dxa"/>
            <w:shd w:val="clear" w:color="auto" w:fill="F2F2F2" w:themeFill="background1" w:themeFillShade="F2"/>
            <w:noWrap/>
            <w:vAlign w:val="center"/>
          </w:tcPr>
          <w:p w14:paraId="3E45E577" w14:textId="0D399189" w:rsidR="004B6F19" w:rsidRPr="0049778F" w:rsidRDefault="00452B45">
            <w:pPr>
              <w:spacing w:after="0"/>
              <w:jc w:val="center"/>
              <w:rPr>
                <w:rFonts w:eastAsia="Times New Roman" w:cs="Calibri"/>
                <w:color w:val="000000"/>
                <w:sz w:val="18"/>
                <w:szCs w:val="18"/>
              </w:rPr>
            </w:pPr>
            <w:r>
              <w:rPr>
                <w:rFonts w:eastAsia="Times New Roman" w:cs="Calibri"/>
                <w:color w:val="000000"/>
                <w:sz w:val="18"/>
                <w:szCs w:val="18"/>
              </w:rPr>
              <w:t>11.1%</w:t>
            </w:r>
          </w:p>
        </w:tc>
        <w:tc>
          <w:tcPr>
            <w:tcW w:w="922" w:type="dxa"/>
            <w:shd w:val="clear" w:color="auto" w:fill="F2F2F2" w:themeFill="background1" w:themeFillShade="F2"/>
            <w:vAlign w:val="center"/>
          </w:tcPr>
          <w:p w14:paraId="19521659" w14:textId="6B0A39BC" w:rsidR="00186BC7" w:rsidRPr="0049778F" w:rsidRDefault="00452B45" w:rsidP="00B71DCF">
            <w:pPr>
              <w:spacing w:after="0"/>
              <w:jc w:val="center"/>
              <w:rPr>
                <w:rFonts w:eastAsia="Times New Roman" w:cs="Calibri"/>
                <w:color w:val="000000"/>
                <w:sz w:val="18"/>
                <w:szCs w:val="18"/>
              </w:rPr>
            </w:pPr>
            <w:r>
              <w:rPr>
                <w:rFonts w:eastAsia="Times New Roman" w:cs="Calibri"/>
                <w:color w:val="000000"/>
                <w:sz w:val="18"/>
                <w:szCs w:val="18"/>
              </w:rPr>
              <w:t>N/A</w:t>
            </w:r>
          </w:p>
        </w:tc>
      </w:tr>
      <w:tr w:rsidR="004B6F19" w:rsidRPr="0049778F" w14:paraId="5C17263A" w14:textId="5037EAC4" w:rsidTr="005C70AF">
        <w:trPr>
          <w:trHeight w:val="302"/>
        </w:trPr>
        <w:tc>
          <w:tcPr>
            <w:tcW w:w="1440" w:type="dxa"/>
            <w:shd w:val="clear" w:color="auto" w:fill="auto"/>
            <w:noWrap/>
          </w:tcPr>
          <w:p w14:paraId="6125B21E" w14:textId="3D394B8F" w:rsidR="004B6F19" w:rsidRPr="001F6736" w:rsidRDefault="00B71DCF">
            <w:pPr>
              <w:spacing w:after="0"/>
              <w:jc w:val="center"/>
              <w:rPr>
                <w:rFonts w:eastAsia="Times New Roman" w:cs="Calibri"/>
                <w:color w:val="000000"/>
                <w:sz w:val="20"/>
                <w:szCs w:val="20"/>
              </w:rPr>
            </w:pPr>
            <w:r w:rsidRPr="001F6736">
              <w:rPr>
                <w:rStyle w:val="normaltextrun"/>
                <w:rFonts w:cs="Calibri"/>
                <w:sz w:val="20"/>
                <w:szCs w:val="20"/>
              </w:rPr>
              <w:t>PCR (&lt;65)</w:t>
            </w:r>
          </w:p>
        </w:tc>
        <w:tc>
          <w:tcPr>
            <w:tcW w:w="6336" w:type="dxa"/>
            <w:shd w:val="clear" w:color="auto" w:fill="auto"/>
          </w:tcPr>
          <w:p w14:paraId="7E2F1B63" w14:textId="5A148A75" w:rsidR="004B6F19" w:rsidRPr="001F6736" w:rsidRDefault="00B71DCF">
            <w:pPr>
              <w:spacing w:after="0"/>
              <w:rPr>
                <w:rFonts w:eastAsia="Times New Roman" w:cs="Calibri"/>
                <w:sz w:val="20"/>
                <w:szCs w:val="20"/>
              </w:rPr>
            </w:pPr>
            <w:r w:rsidRPr="001F6736">
              <w:rPr>
                <w:rStyle w:val="normaltextrun"/>
                <w:rFonts w:cs="Calibri"/>
                <w:sz w:val="20"/>
                <w:szCs w:val="20"/>
              </w:rPr>
              <w:t>Plan All-Cause Readmission (observed/expected ratio) (18-64 years) </w:t>
            </w:r>
            <w:r w:rsidRPr="001F6736">
              <w:rPr>
                <w:rStyle w:val="eop"/>
                <w:rFonts w:cs="Calibri"/>
                <w:sz w:val="20"/>
                <w:szCs w:val="20"/>
              </w:rPr>
              <w:t> </w:t>
            </w:r>
          </w:p>
        </w:tc>
        <w:tc>
          <w:tcPr>
            <w:tcW w:w="922" w:type="dxa"/>
            <w:shd w:val="clear" w:color="auto" w:fill="FFFFFF" w:themeFill="background1"/>
            <w:noWrap/>
            <w:vAlign w:val="center"/>
          </w:tcPr>
          <w:p w14:paraId="703A93C8" w14:textId="630E88B8" w:rsidR="004B6F19" w:rsidRPr="0049778F" w:rsidRDefault="0063302C">
            <w:pPr>
              <w:spacing w:after="0"/>
              <w:jc w:val="center"/>
              <w:rPr>
                <w:rFonts w:eastAsia="Times New Roman" w:cs="Calibri"/>
                <w:color w:val="000000"/>
                <w:sz w:val="18"/>
                <w:szCs w:val="18"/>
              </w:rPr>
            </w:pPr>
            <w:r>
              <w:rPr>
                <w:rFonts w:eastAsia="Times New Roman" w:cs="Calibri"/>
                <w:color w:val="000000"/>
                <w:sz w:val="18"/>
                <w:szCs w:val="18"/>
              </w:rPr>
              <w:t>1.34</w:t>
            </w:r>
          </w:p>
        </w:tc>
        <w:tc>
          <w:tcPr>
            <w:tcW w:w="922" w:type="dxa"/>
            <w:shd w:val="clear" w:color="auto" w:fill="FFFFFF" w:themeFill="background1"/>
            <w:noWrap/>
            <w:vAlign w:val="center"/>
          </w:tcPr>
          <w:p w14:paraId="12445260" w14:textId="37B67C22" w:rsidR="004B6F19" w:rsidRPr="0049778F" w:rsidRDefault="00B71DCF">
            <w:pPr>
              <w:spacing w:after="0"/>
              <w:jc w:val="center"/>
              <w:rPr>
                <w:rFonts w:eastAsia="Times New Roman" w:cs="Calibri"/>
                <w:color w:val="000000"/>
                <w:sz w:val="18"/>
                <w:szCs w:val="18"/>
              </w:rPr>
            </w:pPr>
            <w:r>
              <w:rPr>
                <w:rFonts w:eastAsia="Times New Roman" w:cs="Calibri"/>
                <w:color w:val="000000"/>
                <w:sz w:val="18"/>
                <w:szCs w:val="18"/>
              </w:rPr>
              <w:t>1.38</w:t>
            </w:r>
          </w:p>
        </w:tc>
        <w:tc>
          <w:tcPr>
            <w:tcW w:w="922" w:type="dxa"/>
            <w:shd w:val="clear" w:color="auto" w:fill="FFFFFF" w:themeFill="background1"/>
            <w:noWrap/>
            <w:vAlign w:val="center"/>
          </w:tcPr>
          <w:p w14:paraId="6218E3F2" w14:textId="1929A2B4" w:rsidR="004B6F19" w:rsidRPr="0049778F" w:rsidRDefault="001C5B62">
            <w:pPr>
              <w:spacing w:after="0"/>
              <w:jc w:val="center"/>
              <w:rPr>
                <w:rFonts w:eastAsia="Times New Roman" w:cs="Calibri"/>
                <w:color w:val="000000"/>
                <w:sz w:val="18"/>
                <w:szCs w:val="18"/>
              </w:rPr>
            </w:pPr>
            <w:r>
              <w:rPr>
                <w:rFonts w:eastAsia="Times New Roman" w:cs="Calibri"/>
                <w:color w:val="000000"/>
                <w:sz w:val="18"/>
                <w:szCs w:val="18"/>
              </w:rPr>
              <w:t>0.98</w:t>
            </w:r>
          </w:p>
        </w:tc>
        <w:tc>
          <w:tcPr>
            <w:tcW w:w="922" w:type="dxa"/>
            <w:shd w:val="clear" w:color="auto" w:fill="FFFFFF" w:themeFill="background1"/>
            <w:vAlign w:val="center"/>
          </w:tcPr>
          <w:p w14:paraId="5B63E0DF" w14:textId="1EA8618E" w:rsidR="00186BC7" w:rsidRDefault="005C70AF" w:rsidP="00B71DCF">
            <w:pPr>
              <w:spacing w:after="0"/>
              <w:jc w:val="center"/>
              <w:rPr>
                <w:rFonts w:eastAsia="Times New Roman" w:cs="Calibri"/>
                <w:color w:val="000000"/>
                <w:sz w:val="18"/>
                <w:szCs w:val="18"/>
              </w:rPr>
            </w:pPr>
            <w:r>
              <w:rPr>
                <w:rFonts w:eastAsia="Times New Roman" w:cs="Calibri"/>
                <w:color w:val="000000"/>
                <w:sz w:val="18"/>
                <w:szCs w:val="18"/>
              </w:rPr>
              <w:t>N/A</w:t>
            </w:r>
          </w:p>
        </w:tc>
      </w:tr>
    </w:tbl>
    <w:p w14:paraId="1A7EE8BE" w14:textId="77777777" w:rsidR="004B6F19" w:rsidRDefault="004B6F19">
      <w:pPr>
        <w:rPr>
          <w:b/>
          <w:bCs/>
        </w:rPr>
      </w:pPr>
      <w:r>
        <w:rPr>
          <w:b/>
          <w:bCs/>
        </w:rPr>
        <w:br w:type="page"/>
      </w:r>
    </w:p>
    <w:p w14:paraId="72491FD8" w14:textId="5896CA26" w:rsidR="004B6F19" w:rsidRPr="002A355C" w:rsidRDefault="004B6F19" w:rsidP="004B6F19">
      <w:pPr>
        <w:ind w:left="-360"/>
        <w:rPr>
          <w:b/>
          <w:bCs/>
        </w:rPr>
      </w:pPr>
      <w:r w:rsidRPr="002A355C">
        <w:rPr>
          <w:b/>
          <w:bCs/>
          <w:sz w:val="20"/>
          <w:szCs w:val="20"/>
        </w:rPr>
        <w:lastRenderedPageBreak/>
        <w:t>Chart B-</w:t>
      </w:r>
      <w:r>
        <w:rPr>
          <w:b/>
          <w:bCs/>
          <w:sz w:val="20"/>
          <w:szCs w:val="20"/>
        </w:rPr>
        <w:t>5</w:t>
      </w:r>
      <w:r w:rsidRPr="002A355C">
        <w:rPr>
          <w:b/>
          <w:bCs/>
          <w:sz w:val="20"/>
          <w:szCs w:val="20"/>
        </w:rPr>
        <w:t>.</w:t>
      </w:r>
      <w:r>
        <w:rPr>
          <w:b/>
          <w:bCs/>
          <w:sz w:val="20"/>
          <w:szCs w:val="20"/>
        </w:rPr>
        <w:t>2</w:t>
      </w:r>
      <w:r w:rsidRPr="002A355C">
        <w:rPr>
          <w:b/>
          <w:bCs/>
          <w:sz w:val="20"/>
          <w:szCs w:val="20"/>
        </w:rPr>
        <w:t xml:space="preserve">: </w:t>
      </w:r>
      <w:r>
        <w:rPr>
          <w:b/>
          <w:bCs/>
          <w:sz w:val="20"/>
          <w:szCs w:val="20"/>
        </w:rPr>
        <w:t>SCO</w:t>
      </w:r>
      <w:r w:rsidRPr="002A355C">
        <w:rPr>
          <w:b/>
          <w:bCs/>
          <w:sz w:val="20"/>
          <w:szCs w:val="20"/>
        </w:rPr>
        <w:t xml:space="preserve"> Contract Level Performance, MY202</w:t>
      </w:r>
      <w:r>
        <w:rPr>
          <w:b/>
          <w:bCs/>
          <w:sz w:val="20"/>
          <w:szCs w:val="20"/>
        </w:rPr>
        <w:t>2</w:t>
      </w:r>
    </w:p>
    <w:tbl>
      <w:tblPr>
        <w:tblW w:w="14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6336"/>
        <w:gridCol w:w="1135"/>
        <w:gridCol w:w="922"/>
        <w:gridCol w:w="922"/>
        <w:gridCol w:w="922"/>
        <w:gridCol w:w="922"/>
        <w:gridCol w:w="922"/>
        <w:gridCol w:w="922"/>
      </w:tblGrid>
      <w:tr w:rsidR="004B6F19" w:rsidRPr="0049778F" w14:paraId="37C943D1" w14:textId="77777777" w:rsidTr="00717A49">
        <w:trPr>
          <w:trHeight w:val="720"/>
          <w:tblHeader/>
        </w:trPr>
        <w:tc>
          <w:tcPr>
            <w:tcW w:w="1440" w:type="dxa"/>
            <w:shd w:val="clear" w:color="auto" w:fill="auto"/>
            <w:noWrap/>
            <w:vAlign w:val="center"/>
            <w:hideMark/>
          </w:tcPr>
          <w:p w14:paraId="3A7EF75B" w14:textId="77777777" w:rsidR="004B6F19" w:rsidRPr="001F6736" w:rsidRDefault="004B6F19" w:rsidP="00554F79">
            <w:pPr>
              <w:spacing w:after="0"/>
              <w:jc w:val="center"/>
              <w:rPr>
                <w:rFonts w:eastAsia="Times New Roman" w:cs="Calibri"/>
                <w:b/>
                <w:color w:val="000000"/>
                <w:sz w:val="20"/>
                <w:szCs w:val="20"/>
              </w:rPr>
            </w:pPr>
            <w:r w:rsidRPr="001F6736">
              <w:rPr>
                <w:rFonts w:eastAsia="Times New Roman" w:cs="Calibri"/>
                <w:b/>
                <w:color w:val="000000"/>
                <w:sz w:val="20"/>
                <w:szCs w:val="20"/>
              </w:rPr>
              <w:t>Ref</w:t>
            </w:r>
          </w:p>
        </w:tc>
        <w:tc>
          <w:tcPr>
            <w:tcW w:w="6336" w:type="dxa"/>
            <w:shd w:val="clear" w:color="auto" w:fill="auto"/>
            <w:noWrap/>
            <w:vAlign w:val="center"/>
            <w:hideMark/>
          </w:tcPr>
          <w:p w14:paraId="33E4350D" w14:textId="1FB308C4" w:rsidR="004B6F19" w:rsidRPr="001F6736" w:rsidRDefault="004B6F19" w:rsidP="00554F79">
            <w:pPr>
              <w:spacing w:after="0"/>
              <w:jc w:val="center"/>
              <w:rPr>
                <w:rFonts w:eastAsia="Times New Roman" w:cs="Calibri"/>
                <w:b/>
                <w:color w:val="000000"/>
                <w:sz w:val="20"/>
                <w:szCs w:val="20"/>
              </w:rPr>
            </w:pPr>
            <w:r w:rsidRPr="001F6736">
              <w:rPr>
                <w:rFonts w:eastAsia="Times New Roman" w:cs="Calibri"/>
                <w:b/>
                <w:color w:val="000000"/>
                <w:sz w:val="20"/>
                <w:szCs w:val="20"/>
              </w:rPr>
              <w:t>2022 Measure</w:t>
            </w:r>
          </w:p>
        </w:tc>
        <w:tc>
          <w:tcPr>
            <w:tcW w:w="1135" w:type="dxa"/>
            <w:shd w:val="clear" w:color="auto" w:fill="2F5496" w:themeFill="accent1" w:themeFillShade="BF"/>
            <w:noWrap/>
            <w:vAlign w:val="center"/>
            <w:hideMark/>
          </w:tcPr>
          <w:p w14:paraId="54038373" w14:textId="7D4E4D1B" w:rsidR="004B6F19" w:rsidRPr="0049778F" w:rsidRDefault="004B6F19" w:rsidP="00554F7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Total SCO</w:t>
            </w:r>
          </w:p>
        </w:tc>
        <w:tc>
          <w:tcPr>
            <w:tcW w:w="922" w:type="dxa"/>
            <w:shd w:val="clear" w:color="auto" w:fill="2F5496" w:themeFill="accent1" w:themeFillShade="BF"/>
            <w:noWrap/>
            <w:vAlign w:val="center"/>
            <w:hideMark/>
          </w:tcPr>
          <w:p w14:paraId="1D096DE0" w14:textId="77777777" w:rsidR="004B6F19" w:rsidRPr="0049778F" w:rsidRDefault="004B6F19" w:rsidP="00554F7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BMC</w:t>
            </w:r>
          </w:p>
          <w:p w14:paraId="25D6AE7E" w14:textId="0DC8EE90" w:rsidR="004B6F19" w:rsidRPr="0049778F" w:rsidRDefault="004B6F19" w:rsidP="00554F7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HNET</w:t>
            </w:r>
          </w:p>
        </w:tc>
        <w:tc>
          <w:tcPr>
            <w:tcW w:w="922" w:type="dxa"/>
            <w:shd w:val="clear" w:color="auto" w:fill="2F5496" w:themeFill="accent1" w:themeFillShade="BF"/>
            <w:noWrap/>
            <w:vAlign w:val="center"/>
            <w:hideMark/>
          </w:tcPr>
          <w:p w14:paraId="37F0EED7" w14:textId="4B50ECA8" w:rsidR="004B6F19" w:rsidRPr="0049778F" w:rsidRDefault="004B6F19" w:rsidP="00554F7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CCA SCO</w:t>
            </w:r>
          </w:p>
        </w:tc>
        <w:tc>
          <w:tcPr>
            <w:tcW w:w="922" w:type="dxa"/>
            <w:shd w:val="clear" w:color="auto" w:fill="2F5496" w:themeFill="accent1" w:themeFillShade="BF"/>
            <w:noWrap/>
            <w:vAlign w:val="center"/>
            <w:hideMark/>
          </w:tcPr>
          <w:p w14:paraId="10EFBEF7" w14:textId="77777777" w:rsidR="004B6F19" w:rsidRPr="0049778F" w:rsidRDefault="004B6F19" w:rsidP="00554F7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Navi-</w:t>
            </w:r>
          </w:p>
          <w:p w14:paraId="31078A7E" w14:textId="587DB81C" w:rsidR="004B6F19" w:rsidRPr="0049778F" w:rsidRDefault="004B6F19" w:rsidP="00554F7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care</w:t>
            </w:r>
          </w:p>
        </w:tc>
        <w:tc>
          <w:tcPr>
            <w:tcW w:w="922" w:type="dxa"/>
            <w:shd w:val="clear" w:color="auto" w:fill="2F5496" w:themeFill="accent1" w:themeFillShade="BF"/>
            <w:noWrap/>
            <w:vAlign w:val="center"/>
            <w:hideMark/>
          </w:tcPr>
          <w:p w14:paraId="0958DC31" w14:textId="0E151BED" w:rsidR="004B6F19" w:rsidRPr="0049778F" w:rsidRDefault="004B6F19" w:rsidP="00554F7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SWH</w:t>
            </w:r>
          </w:p>
        </w:tc>
        <w:tc>
          <w:tcPr>
            <w:tcW w:w="922" w:type="dxa"/>
            <w:shd w:val="clear" w:color="auto" w:fill="2F5496" w:themeFill="accent1" w:themeFillShade="BF"/>
            <w:noWrap/>
            <w:vAlign w:val="center"/>
            <w:hideMark/>
          </w:tcPr>
          <w:p w14:paraId="6C82E4E0" w14:textId="74A713B3" w:rsidR="004B6F19" w:rsidRPr="0049778F" w:rsidRDefault="004B6F19" w:rsidP="00554F7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THP</w:t>
            </w:r>
          </w:p>
          <w:p w14:paraId="3104042A" w14:textId="7493456E" w:rsidR="004B6F19" w:rsidRPr="0049778F" w:rsidRDefault="004B6F19" w:rsidP="00554F7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SCO</w:t>
            </w:r>
          </w:p>
        </w:tc>
        <w:tc>
          <w:tcPr>
            <w:tcW w:w="922" w:type="dxa"/>
            <w:shd w:val="clear" w:color="auto" w:fill="2F5496" w:themeFill="accent1" w:themeFillShade="BF"/>
            <w:noWrap/>
            <w:vAlign w:val="center"/>
            <w:hideMark/>
          </w:tcPr>
          <w:p w14:paraId="02209A3A" w14:textId="10FFDECD" w:rsidR="004B6F19" w:rsidRPr="0049778F" w:rsidRDefault="004B6F19" w:rsidP="00554F7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United</w:t>
            </w:r>
          </w:p>
        </w:tc>
      </w:tr>
      <w:tr w:rsidR="004B6F19" w:rsidRPr="0049778F" w14:paraId="6A9D7835" w14:textId="77777777" w:rsidTr="00AB45B8">
        <w:trPr>
          <w:trHeight w:val="302"/>
        </w:trPr>
        <w:tc>
          <w:tcPr>
            <w:tcW w:w="1440" w:type="dxa"/>
            <w:shd w:val="clear" w:color="auto" w:fill="F2F2F2" w:themeFill="background1" w:themeFillShade="F2"/>
            <w:noWrap/>
          </w:tcPr>
          <w:p w14:paraId="3F3B6ADE" w14:textId="14E575A6" w:rsidR="004B6F19" w:rsidRPr="001F6736" w:rsidRDefault="003C45E6" w:rsidP="00EB785C">
            <w:pPr>
              <w:spacing w:after="0"/>
              <w:jc w:val="center"/>
              <w:rPr>
                <w:rFonts w:eastAsia="Times New Roman" w:cs="Calibri"/>
                <w:color w:val="000000"/>
                <w:sz w:val="20"/>
                <w:szCs w:val="20"/>
              </w:rPr>
            </w:pPr>
            <w:r w:rsidRPr="001F6736">
              <w:rPr>
                <w:rStyle w:val="normaltextrun"/>
                <w:rFonts w:cs="Calibri"/>
                <w:sz w:val="20"/>
                <w:szCs w:val="20"/>
              </w:rPr>
              <w:t>COL</w:t>
            </w:r>
          </w:p>
        </w:tc>
        <w:tc>
          <w:tcPr>
            <w:tcW w:w="6336" w:type="dxa"/>
            <w:shd w:val="clear" w:color="auto" w:fill="F2F2F2" w:themeFill="background1" w:themeFillShade="F2"/>
          </w:tcPr>
          <w:p w14:paraId="657F8B22" w14:textId="41DF2677" w:rsidR="004B6F19" w:rsidRPr="001F6736" w:rsidRDefault="003C45E6" w:rsidP="00EB785C">
            <w:pPr>
              <w:spacing w:after="0"/>
              <w:rPr>
                <w:rFonts w:eastAsia="Times New Roman" w:cs="Calibri"/>
                <w:sz w:val="20"/>
                <w:szCs w:val="20"/>
              </w:rPr>
            </w:pPr>
            <w:r w:rsidRPr="001F6736">
              <w:rPr>
                <w:rStyle w:val="normaltextrun"/>
                <w:rFonts w:cs="Calibri"/>
                <w:sz w:val="20"/>
                <w:szCs w:val="20"/>
              </w:rPr>
              <w:t>Colorectal Cancer Screening  </w:t>
            </w:r>
            <w:r w:rsidRPr="001F6736">
              <w:rPr>
                <w:rStyle w:val="eop"/>
                <w:rFonts w:cs="Calibri"/>
                <w:sz w:val="20"/>
                <w:szCs w:val="20"/>
              </w:rPr>
              <w:t> </w:t>
            </w:r>
          </w:p>
        </w:tc>
        <w:tc>
          <w:tcPr>
            <w:tcW w:w="1135" w:type="dxa"/>
            <w:shd w:val="clear" w:color="auto" w:fill="F2F2F2" w:themeFill="background1" w:themeFillShade="F2"/>
            <w:noWrap/>
            <w:vAlign w:val="center"/>
          </w:tcPr>
          <w:p w14:paraId="7C28DB95" w14:textId="76C95BDF" w:rsidR="004B6F19" w:rsidRPr="001F6736" w:rsidRDefault="00942899" w:rsidP="00EB785C">
            <w:pPr>
              <w:spacing w:after="0"/>
              <w:jc w:val="center"/>
              <w:rPr>
                <w:rFonts w:eastAsia="Times New Roman" w:cs="Calibri"/>
                <w:color w:val="000000"/>
                <w:sz w:val="18"/>
                <w:szCs w:val="18"/>
              </w:rPr>
            </w:pPr>
            <w:r w:rsidRPr="001F6736">
              <w:rPr>
                <w:rFonts w:asciiTheme="minorHAnsi" w:hAnsiTheme="minorHAnsi" w:cstheme="minorHAnsi"/>
                <w:sz w:val="18"/>
                <w:szCs w:val="18"/>
              </w:rPr>
              <w:t>79.1%</w:t>
            </w:r>
          </w:p>
        </w:tc>
        <w:tc>
          <w:tcPr>
            <w:tcW w:w="922" w:type="dxa"/>
            <w:shd w:val="clear" w:color="auto" w:fill="F2F2F2" w:themeFill="background1" w:themeFillShade="F2"/>
            <w:noWrap/>
            <w:vAlign w:val="center"/>
          </w:tcPr>
          <w:p w14:paraId="467CD88B" w14:textId="25D682C2" w:rsidR="004B6F19" w:rsidRPr="001F6736" w:rsidRDefault="00942899" w:rsidP="00EB785C">
            <w:pPr>
              <w:spacing w:after="0"/>
              <w:jc w:val="center"/>
              <w:rPr>
                <w:rFonts w:eastAsia="Times New Roman" w:cs="Calibri"/>
                <w:color w:val="000000"/>
                <w:sz w:val="18"/>
                <w:szCs w:val="18"/>
              </w:rPr>
            </w:pPr>
            <w:r w:rsidRPr="001F6736">
              <w:rPr>
                <w:rFonts w:cs="Calibri"/>
                <w:color w:val="000000"/>
                <w:sz w:val="18"/>
                <w:szCs w:val="18"/>
              </w:rPr>
              <w:t>77.6%</w:t>
            </w:r>
          </w:p>
        </w:tc>
        <w:tc>
          <w:tcPr>
            <w:tcW w:w="922" w:type="dxa"/>
            <w:shd w:val="clear" w:color="auto" w:fill="F2F2F2" w:themeFill="background1" w:themeFillShade="F2"/>
            <w:noWrap/>
            <w:vAlign w:val="center"/>
          </w:tcPr>
          <w:p w14:paraId="3E8C1840" w14:textId="316312FC" w:rsidR="004B6F19" w:rsidRPr="001F6736" w:rsidRDefault="00942899" w:rsidP="00EB785C">
            <w:pPr>
              <w:spacing w:after="0"/>
              <w:jc w:val="center"/>
              <w:rPr>
                <w:rFonts w:eastAsia="Times New Roman" w:cs="Calibri"/>
                <w:color w:val="000000"/>
                <w:sz w:val="18"/>
                <w:szCs w:val="18"/>
              </w:rPr>
            </w:pPr>
            <w:r w:rsidRPr="001F6736">
              <w:rPr>
                <w:rFonts w:cs="Calibri"/>
                <w:color w:val="000000"/>
                <w:sz w:val="18"/>
                <w:szCs w:val="18"/>
              </w:rPr>
              <w:t>78.8%</w:t>
            </w:r>
          </w:p>
        </w:tc>
        <w:tc>
          <w:tcPr>
            <w:tcW w:w="922" w:type="dxa"/>
            <w:shd w:val="clear" w:color="auto" w:fill="F2F2F2" w:themeFill="background1" w:themeFillShade="F2"/>
            <w:noWrap/>
            <w:vAlign w:val="center"/>
          </w:tcPr>
          <w:p w14:paraId="1F8B1B3B" w14:textId="40DC2477" w:rsidR="004B6F19" w:rsidRPr="001F6736" w:rsidRDefault="00942899" w:rsidP="00EB785C">
            <w:pPr>
              <w:spacing w:after="0"/>
              <w:jc w:val="center"/>
              <w:rPr>
                <w:rFonts w:eastAsia="Times New Roman" w:cs="Calibri"/>
                <w:color w:val="000000"/>
                <w:sz w:val="18"/>
                <w:szCs w:val="18"/>
              </w:rPr>
            </w:pPr>
            <w:r w:rsidRPr="001F6736">
              <w:rPr>
                <w:rFonts w:cs="Calibri"/>
                <w:color w:val="000000"/>
                <w:sz w:val="18"/>
                <w:szCs w:val="18"/>
              </w:rPr>
              <w:t>66.2%</w:t>
            </w:r>
          </w:p>
        </w:tc>
        <w:tc>
          <w:tcPr>
            <w:tcW w:w="922" w:type="dxa"/>
            <w:shd w:val="clear" w:color="auto" w:fill="F2F2F2" w:themeFill="background1" w:themeFillShade="F2"/>
            <w:noWrap/>
            <w:vAlign w:val="center"/>
          </w:tcPr>
          <w:p w14:paraId="36A060F4" w14:textId="586FB7AE" w:rsidR="004B6F19" w:rsidRPr="001F6736" w:rsidRDefault="00942899" w:rsidP="00EB785C">
            <w:pPr>
              <w:spacing w:after="0"/>
              <w:jc w:val="center"/>
              <w:rPr>
                <w:rFonts w:eastAsia="Times New Roman" w:cs="Calibri"/>
                <w:color w:val="000000"/>
                <w:sz w:val="18"/>
                <w:szCs w:val="18"/>
              </w:rPr>
            </w:pPr>
            <w:r w:rsidRPr="001F6736">
              <w:rPr>
                <w:rFonts w:cs="Calibri"/>
                <w:color w:val="000000"/>
                <w:sz w:val="18"/>
                <w:szCs w:val="18"/>
              </w:rPr>
              <w:t>75.7%</w:t>
            </w:r>
          </w:p>
        </w:tc>
        <w:tc>
          <w:tcPr>
            <w:tcW w:w="922" w:type="dxa"/>
            <w:shd w:val="clear" w:color="auto" w:fill="F2F2F2" w:themeFill="background1" w:themeFillShade="F2"/>
            <w:noWrap/>
            <w:vAlign w:val="center"/>
          </w:tcPr>
          <w:p w14:paraId="41B44529" w14:textId="50E66EDE" w:rsidR="004B6F19" w:rsidRPr="001F6736" w:rsidRDefault="00942899" w:rsidP="00EB785C">
            <w:pPr>
              <w:spacing w:after="0"/>
              <w:jc w:val="center"/>
              <w:rPr>
                <w:rFonts w:eastAsia="Times New Roman" w:cs="Calibri"/>
                <w:color w:val="000000"/>
                <w:sz w:val="18"/>
                <w:szCs w:val="18"/>
              </w:rPr>
            </w:pPr>
            <w:r w:rsidRPr="001F6736">
              <w:rPr>
                <w:rFonts w:cs="Calibri"/>
                <w:color w:val="000000"/>
                <w:sz w:val="18"/>
                <w:szCs w:val="18"/>
              </w:rPr>
              <w:t>72.5%</w:t>
            </w:r>
          </w:p>
        </w:tc>
        <w:tc>
          <w:tcPr>
            <w:tcW w:w="922" w:type="dxa"/>
            <w:shd w:val="clear" w:color="auto" w:fill="F2F2F2" w:themeFill="background1" w:themeFillShade="F2"/>
            <w:noWrap/>
            <w:vAlign w:val="center"/>
          </w:tcPr>
          <w:p w14:paraId="3BCE0B8A" w14:textId="333820A0" w:rsidR="004B6F19" w:rsidRPr="001F6736" w:rsidRDefault="00942899" w:rsidP="00EB785C">
            <w:pPr>
              <w:spacing w:after="0"/>
              <w:jc w:val="center"/>
              <w:rPr>
                <w:rFonts w:eastAsia="Times New Roman" w:cs="Calibri"/>
                <w:color w:val="000000"/>
                <w:sz w:val="18"/>
                <w:szCs w:val="18"/>
              </w:rPr>
            </w:pPr>
            <w:r w:rsidRPr="001F6736">
              <w:rPr>
                <w:rFonts w:cs="Calibri"/>
                <w:color w:val="000000"/>
                <w:sz w:val="18"/>
                <w:szCs w:val="18"/>
              </w:rPr>
              <w:t>88.1%</w:t>
            </w:r>
          </w:p>
        </w:tc>
      </w:tr>
      <w:tr w:rsidR="004E0F74" w:rsidRPr="0049778F" w14:paraId="28F65D46" w14:textId="77777777" w:rsidTr="00AB45B8">
        <w:trPr>
          <w:trHeight w:val="302"/>
        </w:trPr>
        <w:tc>
          <w:tcPr>
            <w:tcW w:w="1440" w:type="dxa"/>
            <w:shd w:val="clear" w:color="auto" w:fill="FFFFFF" w:themeFill="background1"/>
            <w:noWrap/>
          </w:tcPr>
          <w:p w14:paraId="3619899B" w14:textId="5A1D2246" w:rsidR="004B6F19" w:rsidRPr="001F6736" w:rsidRDefault="003C45E6" w:rsidP="00EB785C">
            <w:pPr>
              <w:spacing w:after="0"/>
              <w:jc w:val="center"/>
              <w:rPr>
                <w:rFonts w:eastAsia="Times New Roman" w:cs="Calibri"/>
                <w:color w:val="000000"/>
                <w:sz w:val="20"/>
                <w:szCs w:val="20"/>
              </w:rPr>
            </w:pPr>
            <w:r w:rsidRPr="001F6736">
              <w:rPr>
                <w:rStyle w:val="normaltextrun"/>
                <w:rFonts w:cs="Calibri"/>
                <w:sz w:val="20"/>
                <w:szCs w:val="20"/>
              </w:rPr>
              <w:t>FV</w:t>
            </w:r>
            <w:r w:rsidR="00D03C95" w:rsidRPr="001F6736">
              <w:rPr>
                <w:rStyle w:val="normaltextrun"/>
                <w:rFonts w:cs="Calibri"/>
                <w:sz w:val="20"/>
                <w:szCs w:val="20"/>
              </w:rPr>
              <w:t>A</w:t>
            </w:r>
          </w:p>
        </w:tc>
        <w:tc>
          <w:tcPr>
            <w:tcW w:w="6336" w:type="dxa"/>
            <w:shd w:val="clear" w:color="auto" w:fill="FFFFFF" w:themeFill="background1"/>
          </w:tcPr>
          <w:p w14:paraId="0CC0DEEC" w14:textId="71E6A3D8" w:rsidR="004B6F19" w:rsidRPr="001F6736" w:rsidRDefault="00D03C95" w:rsidP="00EB785C">
            <w:pPr>
              <w:spacing w:after="0"/>
              <w:rPr>
                <w:rFonts w:eastAsia="Times New Roman" w:cs="Calibri"/>
                <w:sz w:val="20"/>
                <w:szCs w:val="20"/>
              </w:rPr>
            </w:pPr>
            <w:r w:rsidRPr="001F6736">
              <w:rPr>
                <w:rStyle w:val="normaltextrun"/>
                <w:rFonts w:cs="Calibri"/>
                <w:sz w:val="20"/>
                <w:szCs w:val="20"/>
              </w:rPr>
              <w:t>Annual Flu Vaccin</w:t>
            </w:r>
            <w:r w:rsidR="001F0C68" w:rsidRPr="001F6736">
              <w:rPr>
                <w:rStyle w:val="normaltextrun"/>
                <w:rFonts w:cs="Calibri"/>
                <w:sz w:val="20"/>
                <w:szCs w:val="20"/>
              </w:rPr>
              <w:t>e</w:t>
            </w:r>
            <w:r w:rsidR="003C45E6" w:rsidRPr="001F6736">
              <w:rPr>
                <w:rStyle w:val="normaltextrun"/>
                <w:rFonts w:cs="Calibri"/>
                <w:sz w:val="20"/>
                <w:szCs w:val="20"/>
              </w:rPr>
              <w:t xml:space="preserve"> (age 65+)</w:t>
            </w:r>
          </w:p>
        </w:tc>
        <w:tc>
          <w:tcPr>
            <w:tcW w:w="1135" w:type="dxa"/>
            <w:shd w:val="clear" w:color="auto" w:fill="FFFFFF" w:themeFill="background1"/>
            <w:noWrap/>
            <w:vAlign w:val="center"/>
          </w:tcPr>
          <w:p w14:paraId="6744A822" w14:textId="76AB7A62" w:rsidR="004B6F19" w:rsidRPr="001F6736" w:rsidRDefault="00D03C95" w:rsidP="00EB785C">
            <w:pPr>
              <w:spacing w:after="0"/>
              <w:jc w:val="center"/>
              <w:rPr>
                <w:rFonts w:eastAsia="Times New Roman" w:cs="Calibri"/>
                <w:color w:val="000000"/>
                <w:sz w:val="18"/>
                <w:szCs w:val="18"/>
              </w:rPr>
            </w:pPr>
            <w:r w:rsidRPr="001F6736">
              <w:rPr>
                <w:rFonts w:eastAsia="Times New Roman" w:cs="Calibri"/>
                <w:color w:val="000000"/>
                <w:sz w:val="18"/>
                <w:szCs w:val="18"/>
              </w:rPr>
              <w:t>8</w:t>
            </w:r>
            <w:r w:rsidRPr="001F6736">
              <w:rPr>
                <w:rFonts w:eastAsia="Times New Roman"/>
                <w:color w:val="000000"/>
                <w:sz w:val="18"/>
                <w:szCs w:val="18"/>
              </w:rPr>
              <w:t>0.0%</w:t>
            </w:r>
          </w:p>
        </w:tc>
        <w:tc>
          <w:tcPr>
            <w:tcW w:w="922" w:type="dxa"/>
            <w:shd w:val="clear" w:color="auto" w:fill="FFFFFF" w:themeFill="background1"/>
            <w:noWrap/>
            <w:vAlign w:val="center"/>
          </w:tcPr>
          <w:p w14:paraId="4FF304FB" w14:textId="503F574F" w:rsidR="004B6F19" w:rsidRPr="001F6736" w:rsidRDefault="00842B18" w:rsidP="00EB785C">
            <w:pPr>
              <w:spacing w:after="0"/>
              <w:jc w:val="center"/>
              <w:rPr>
                <w:rFonts w:eastAsia="Times New Roman" w:cs="Calibri"/>
                <w:color w:val="000000"/>
                <w:sz w:val="18"/>
                <w:szCs w:val="18"/>
              </w:rPr>
            </w:pPr>
            <w:r w:rsidRPr="001F6736">
              <w:rPr>
                <w:rFonts w:eastAsia="Times New Roman" w:cs="Calibri"/>
                <w:color w:val="000000"/>
                <w:sz w:val="18"/>
                <w:szCs w:val="18"/>
              </w:rPr>
              <w:t>78.0%</w:t>
            </w:r>
          </w:p>
        </w:tc>
        <w:tc>
          <w:tcPr>
            <w:tcW w:w="922" w:type="dxa"/>
            <w:shd w:val="clear" w:color="auto" w:fill="FFFFFF" w:themeFill="background1"/>
            <w:noWrap/>
            <w:vAlign w:val="center"/>
          </w:tcPr>
          <w:p w14:paraId="3912E8DA" w14:textId="3674D161" w:rsidR="004B6F19" w:rsidRPr="001F6736" w:rsidRDefault="00842B18" w:rsidP="00EB785C">
            <w:pPr>
              <w:spacing w:after="0"/>
              <w:jc w:val="center"/>
              <w:rPr>
                <w:rFonts w:eastAsia="Times New Roman" w:cs="Calibri"/>
                <w:color w:val="000000"/>
                <w:sz w:val="18"/>
                <w:szCs w:val="18"/>
              </w:rPr>
            </w:pPr>
            <w:r w:rsidRPr="001F6736">
              <w:rPr>
                <w:rFonts w:eastAsia="Times New Roman" w:cs="Calibri"/>
                <w:color w:val="000000"/>
                <w:sz w:val="18"/>
                <w:szCs w:val="18"/>
              </w:rPr>
              <w:t>78.0%</w:t>
            </w:r>
          </w:p>
        </w:tc>
        <w:tc>
          <w:tcPr>
            <w:tcW w:w="922" w:type="dxa"/>
            <w:shd w:val="clear" w:color="auto" w:fill="FFFFFF" w:themeFill="background1"/>
            <w:noWrap/>
            <w:vAlign w:val="center"/>
          </w:tcPr>
          <w:p w14:paraId="257BBA9B" w14:textId="54D67DC9" w:rsidR="004B6F19" w:rsidRPr="001F6736" w:rsidRDefault="00A40936" w:rsidP="00EB785C">
            <w:pPr>
              <w:spacing w:after="0"/>
              <w:jc w:val="center"/>
              <w:rPr>
                <w:rFonts w:eastAsia="Times New Roman" w:cs="Calibri"/>
                <w:color w:val="000000"/>
                <w:sz w:val="18"/>
                <w:szCs w:val="18"/>
              </w:rPr>
            </w:pPr>
            <w:r w:rsidRPr="001F6736">
              <w:rPr>
                <w:rFonts w:eastAsia="Times New Roman" w:cs="Calibri"/>
                <w:color w:val="000000"/>
                <w:sz w:val="18"/>
                <w:szCs w:val="18"/>
              </w:rPr>
              <w:t>80.0</w:t>
            </w:r>
            <w:r w:rsidR="006D1C9B" w:rsidRPr="001F6736">
              <w:rPr>
                <w:rFonts w:eastAsia="Times New Roman" w:cs="Calibri"/>
                <w:color w:val="000000"/>
                <w:sz w:val="18"/>
                <w:szCs w:val="18"/>
              </w:rPr>
              <w:t>%</w:t>
            </w:r>
          </w:p>
        </w:tc>
        <w:tc>
          <w:tcPr>
            <w:tcW w:w="922" w:type="dxa"/>
            <w:shd w:val="clear" w:color="auto" w:fill="FFFFFF" w:themeFill="background1"/>
            <w:noWrap/>
            <w:vAlign w:val="center"/>
          </w:tcPr>
          <w:p w14:paraId="16B283C2" w14:textId="17D75DBB" w:rsidR="004B6F19" w:rsidRPr="001F6736" w:rsidRDefault="000D7339" w:rsidP="00EB785C">
            <w:pPr>
              <w:spacing w:after="0"/>
              <w:jc w:val="center"/>
              <w:rPr>
                <w:rFonts w:eastAsia="Times New Roman" w:cs="Calibri"/>
                <w:color w:val="000000"/>
                <w:sz w:val="18"/>
                <w:szCs w:val="18"/>
              </w:rPr>
            </w:pPr>
            <w:r w:rsidRPr="001F6736">
              <w:rPr>
                <w:rFonts w:eastAsia="Times New Roman" w:cs="Calibri"/>
                <w:color w:val="000000"/>
                <w:sz w:val="18"/>
                <w:szCs w:val="18"/>
              </w:rPr>
              <w:t>79</w:t>
            </w:r>
            <w:r w:rsidR="006D1C9B" w:rsidRPr="001F6736">
              <w:rPr>
                <w:rFonts w:eastAsia="Times New Roman" w:cs="Calibri"/>
                <w:color w:val="000000"/>
                <w:sz w:val="18"/>
                <w:szCs w:val="18"/>
              </w:rPr>
              <w:t>.0</w:t>
            </w:r>
            <w:r w:rsidRPr="001F6736">
              <w:rPr>
                <w:rFonts w:eastAsia="Times New Roman" w:cs="Calibri"/>
                <w:color w:val="000000"/>
                <w:sz w:val="18"/>
                <w:szCs w:val="18"/>
              </w:rPr>
              <w:t>%</w:t>
            </w:r>
          </w:p>
        </w:tc>
        <w:tc>
          <w:tcPr>
            <w:tcW w:w="922" w:type="dxa"/>
            <w:shd w:val="clear" w:color="auto" w:fill="FFFFFF" w:themeFill="background1"/>
            <w:noWrap/>
            <w:vAlign w:val="center"/>
          </w:tcPr>
          <w:p w14:paraId="59756CD6" w14:textId="1F5E04F9" w:rsidR="004B6F19" w:rsidRPr="001F6736" w:rsidRDefault="000D7339" w:rsidP="00EB785C">
            <w:pPr>
              <w:spacing w:after="0"/>
              <w:jc w:val="center"/>
              <w:rPr>
                <w:rFonts w:eastAsia="Times New Roman" w:cs="Calibri"/>
                <w:color w:val="000000"/>
                <w:sz w:val="18"/>
                <w:szCs w:val="18"/>
              </w:rPr>
            </w:pPr>
            <w:r w:rsidRPr="001F6736">
              <w:rPr>
                <w:rFonts w:eastAsia="Times New Roman" w:cs="Calibri"/>
                <w:color w:val="000000"/>
                <w:sz w:val="18"/>
                <w:szCs w:val="18"/>
              </w:rPr>
              <w:t>82</w:t>
            </w:r>
            <w:r w:rsidR="006D1C9B" w:rsidRPr="001F6736">
              <w:rPr>
                <w:rFonts w:eastAsia="Times New Roman" w:cs="Calibri"/>
                <w:color w:val="000000"/>
                <w:sz w:val="18"/>
                <w:szCs w:val="18"/>
              </w:rPr>
              <w:t>.0</w:t>
            </w:r>
            <w:r w:rsidRPr="001F6736">
              <w:rPr>
                <w:rFonts w:eastAsia="Times New Roman" w:cs="Calibri"/>
                <w:color w:val="000000"/>
                <w:sz w:val="18"/>
                <w:szCs w:val="18"/>
              </w:rPr>
              <w:t>%</w:t>
            </w:r>
          </w:p>
        </w:tc>
        <w:tc>
          <w:tcPr>
            <w:tcW w:w="922" w:type="dxa"/>
            <w:shd w:val="clear" w:color="auto" w:fill="FFFFFF" w:themeFill="background1"/>
            <w:noWrap/>
            <w:vAlign w:val="center"/>
          </w:tcPr>
          <w:p w14:paraId="08DD32E6" w14:textId="47D4EEAA" w:rsidR="004B6F19" w:rsidRPr="001F6736" w:rsidRDefault="006D1C9B" w:rsidP="00EB785C">
            <w:pPr>
              <w:spacing w:after="0"/>
              <w:jc w:val="center"/>
              <w:rPr>
                <w:rFonts w:eastAsia="Times New Roman" w:cs="Calibri"/>
                <w:color w:val="000000"/>
                <w:sz w:val="18"/>
                <w:szCs w:val="18"/>
              </w:rPr>
            </w:pPr>
            <w:r w:rsidRPr="001F6736">
              <w:rPr>
                <w:rFonts w:eastAsia="Times New Roman" w:cs="Calibri"/>
                <w:color w:val="000000"/>
                <w:sz w:val="18"/>
                <w:szCs w:val="18"/>
              </w:rPr>
              <w:t>81.0%</w:t>
            </w:r>
          </w:p>
        </w:tc>
      </w:tr>
      <w:tr w:rsidR="004B6F19" w:rsidRPr="0049778F" w14:paraId="118ED9D2" w14:textId="77777777" w:rsidTr="00717A49">
        <w:trPr>
          <w:trHeight w:val="302"/>
        </w:trPr>
        <w:tc>
          <w:tcPr>
            <w:tcW w:w="1440" w:type="dxa"/>
            <w:shd w:val="clear" w:color="auto" w:fill="F2F2F2" w:themeFill="background1" w:themeFillShade="F2"/>
            <w:noWrap/>
          </w:tcPr>
          <w:p w14:paraId="28BDF3E2" w14:textId="525AC028" w:rsidR="004B6F19" w:rsidRPr="001F6736" w:rsidRDefault="003C45E6" w:rsidP="00EB785C">
            <w:pPr>
              <w:spacing w:after="0"/>
              <w:jc w:val="center"/>
              <w:rPr>
                <w:rFonts w:eastAsia="Times New Roman" w:cs="Calibri"/>
                <w:color w:val="000000"/>
                <w:sz w:val="20"/>
                <w:szCs w:val="20"/>
              </w:rPr>
            </w:pPr>
            <w:r w:rsidRPr="001F6736">
              <w:rPr>
                <w:rStyle w:val="normaltextrun"/>
                <w:rFonts w:cs="Calibri"/>
                <w:sz w:val="20"/>
                <w:szCs w:val="20"/>
              </w:rPr>
              <w:t>COA</w:t>
            </w:r>
          </w:p>
        </w:tc>
        <w:tc>
          <w:tcPr>
            <w:tcW w:w="6336" w:type="dxa"/>
            <w:shd w:val="clear" w:color="auto" w:fill="F2F2F2" w:themeFill="background1" w:themeFillShade="F2"/>
          </w:tcPr>
          <w:p w14:paraId="1A41F846" w14:textId="7E8A9419" w:rsidR="004B6F19" w:rsidRPr="001F6736" w:rsidRDefault="003C45E6" w:rsidP="00EB785C">
            <w:pPr>
              <w:spacing w:after="0"/>
              <w:rPr>
                <w:rFonts w:eastAsia="Times New Roman" w:cs="Calibri"/>
                <w:sz w:val="20"/>
                <w:szCs w:val="20"/>
              </w:rPr>
            </w:pPr>
            <w:r w:rsidRPr="001F6736">
              <w:rPr>
                <w:rStyle w:val="normaltextrun"/>
                <w:rFonts w:cs="Calibri"/>
                <w:sz w:val="20"/>
                <w:szCs w:val="20"/>
              </w:rPr>
              <w:t>Care For Older Adults: Advance Care Plan</w:t>
            </w:r>
            <w:r w:rsidRPr="001F6736">
              <w:rPr>
                <w:rStyle w:val="eop"/>
                <w:rFonts w:cs="Calibri"/>
                <w:sz w:val="20"/>
                <w:szCs w:val="20"/>
              </w:rPr>
              <w:t> </w:t>
            </w:r>
          </w:p>
        </w:tc>
        <w:tc>
          <w:tcPr>
            <w:tcW w:w="1135" w:type="dxa"/>
            <w:shd w:val="clear" w:color="auto" w:fill="F2F2F2" w:themeFill="background1" w:themeFillShade="F2"/>
            <w:noWrap/>
            <w:vAlign w:val="center"/>
          </w:tcPr>
          <w:p w14:paraId="3E7D889D" w14:textId="6FFB8D5D" w:rsidR="004B6F19" w:rsidRPr="001F6736" w:rsidRDefault="00942899" w:rsidP="00EB785C">
            <w:pPr>
              <w:spacing w:after="0"/>
              <w:jc w:val="center"/>
              <w:rPr>
                <w:rFonts w:eastAsia="Times New Roman" w:cs="Calibri"/>
                <w:color w:val="000000"/>
                <w:sz w:val="18"/>
                <w:szCs w:val="18"/>
              </w:rPr>
            </w:pPr>
            <w:r w:rsidRPr="001F6736">
              <w:rPr>
                <w:rFonts w:cs="Calibri"/>
                <w:color w:val="000000"/>
                <w:sz w:val="18"/>
                <w:szCs w:val="18"/>
              </w:rPr>
              <w:t>49.6%</w:t>
            </w:r>
          </w:p>
        </w:tc>
        <w:tc>
          <w:tcPr>
            <w:tcW w:w="922" w:type="dxa"/>
            <w:shd w:val="clear" w:color="auto" w:fill="F2F2F2" w:themeFill="background1" w:themeFillShade="F2"/>
            <w:noWrap/>
            <w:vAlign w:val="center"/>
          </w:tcPr>
          <w:p w14:paraId="70EEB371" w14:textId="206B1B5A" w:rsidR="004B6F19" w:rsidRPr="001F6736" w:rsidRDefault="00942899" w:rsidP="00EB785C">
            <w:pPr>
              <w:spacing w:after="0"/>
              <w:jc w:val="center"/>
              <w:rPr>
                <w:rFonts w:eastAsia="Times New Roman" w:cs="Calibri"/>
                <w:color w:val="000000"/>
                <w:sz w:val="18"/>
                <w:szCs w:val="18"/>
              </w:rPr>
            </w:pPr>
            <w:r w:rsidRPr="001F6736">
              <w:rPr>
                <w:rFonts w:cs="Calibri"/>
                <w:color w:val="000000"/>
                <w:sz w:val="18"/>
                <w:szCs w:val="18"/>
              </w:rPr>
              <w:t>16.7%</w:t>
            </w:r>
          </w:p>
        </w:tc>
        <w:tc>
          <w:tcPr>
            <w:tcW w:w="922" w:type="dxa"/>
            <w:shd w:val="clear" w:color="auto" w:fill="F2F2F2" w:themeFill="background1" w:themeFillShade="F2"/>
            <w:noWrap/>
            <w:vAlign w:val="center"/>
          </w:tcPr>
          <w:p w14:paraId="1066F00A" w14:textId="48051B32" w:rsidR="004B6F19" w:rsidRPr="001F6736" w:rsidRDefault="00942899" w:rsidP="00EB785C">
            <w:pPr>
              <w:spacing w:after="0"/>
              <w:jc w:val="center"/>
              <w:rPr>
                <w:rFonts w:eastAsia="Times New Roman" w:cs="Calibri"/>
                <w:color w:val="000000"/>
                <w:sz w:val="18"/>
                <w:szCs w:val="18"/>
              </w:rPr>
            </w:pPr>
            <w:r w:rsidRPr="001F6736">
              <w:rPr>
                <w:rFonts w:cs="Calibri"/>
                <w:color w:val="000000"/>
                <w:sz w:val="18"/>
                <w:szCs w:val="18"/>
              </w:rPr>
              <w:t>33.2%</w:t>
            </w:r>
          </w:p>
        </w:tc>
        <w:tc>
          <w:tcPr>
            <w:tcW w:w="922" w:type="dxa"/>
            <w:shd w:val="clear" w:color="auto" w:fill="F2F2F2" w:themeFill="background1" w:themeFillShade="F2"/>
            <w:noWrap/>
            <w:vAlign w:val="center"/>
          </w:tcPr>
          <w:p w14:paraId="58135805" w14:textId="06F11C4B" w:rsidR="004B6F19" w:rsidRPr="001F6736" w:rsidRDefault="00942899" w:rsidP="00EB785C">
            <w:pPr>
              <w:spacing w:after="0"/>
              <w:jc w:val="center"/>
              <w:rPr>
                <w:rFonts w:eastAsia="Times New Roman" w:cs="Calibri"/>
                <w:color w:val="000000"/>
                <w:sz w:val="18"/>
                <w:szCs w:val="18"/>
              </w:rPr>
            </w:pPr>
            <w:r w:rsidRPr="001F6736">
              <w:rPr>
                <w:rFonts w:cs="Calibri"/>
                <w:color w:val="000000"/>
                <w:sz w:val="18"/>
                <w:szCs w:val="18"/>
              </w:rPr>
              <w:t>74.1%</w:t>
            </w:r>
          </w:p>
        </w:tc>
        <w:tc>
          <w:tcPr>
            <w:tcW w:w="922" w:type="dxa"/>
            <w:shd w:val="clear" w:color="auto" w:fill="F2F2F2" w:themeFill="background1" w:themeFillShade="F2"/>
            <w:noWrap/>
            <w:vAlign w:val="center"/>
          </w:tcPr>
          <w:p w14:paraId="79248DFB" w14:textId="6AD71587" w:rsidR="004B6F19" w:rsidRPr="001F6736" w:rsidRDefault="00942899" w:rsidP="00EB785C">
            <w:pPr>
              <w:spacing w:after="0"/>
              <w:jc w:val="center"/>
              <w:rPr>
                <w:rFonts w:eastAsia="Times New Roman" w:cs="Calibri"/>
                <w:color w:val="000000"/>
                <w:sz w:val="18"/>
                <w:szCs w:val="18"/>
              </w:rPr>
            </w:pPr>
            <w:r w:rsidRPr="001F6736">
              <w:rPr>
                <w:rFonts w:cs="Calibri"/>
                <w:color w:val="000000"/>
                <w:sz w:val="18"/>
                <w:szCs w:val="18"/>
              </w:rPr>
              <w:t>41.2%</w:t>
            </w:r>
          </w:p>
        </w:tc>
        <w:tc>
          <w:tcPr>
            <w:tcW w:w="922" w:type="dxa"/>
            <w:shd w:val="clear" w:color="auto" w:fill="F2F2F2" w:themeFill="background1" w:themeFillShade="F2"/>
            <w:noWrap/>
            <w:vAlign w:val="center"/>
          </w:tcPr>
          <w:p w14:paraId="0A67D20B" w14:textId="5861C34B" w:rsidR="004B6F19" w:rsidRPr="001F6736" w:rsidRDefault="00942899" w:rsidP="00EB785C">
            <w:pPr>
              <w:spacing w:after="0"/>
              <w:jc w:val="center"/>
              <w:rPr>
                <w:rFonts w:eastAsia="Times New Roman" w:cs="Calibri"/>
                <w:color w:val="000000"/>
                <w:sz w:val="18"/>
                <w:szCs w:val="18"/>
              </w:rPr>
            </w:pPr>
            <w:r w:rsidRPr="001F6736">
              <w:rPr>
                <w:rFonts w:cs="Calibri"/>
                <w:color w:val="000000"/>
                <w:sz w:val="18"/>
                <w:szCs w:val="18"/>
              </w:rPr>
              <w:t>N/A</w:t>
            </w:r>
          </w:p>
        </w:tc>
        <w:tc>
          <w:tcPr>
            <w:tcW w:w="922" w:type="dxa"/>
            <w:shd w:val="clear" w:color="auto" w:fill="F2F2F2" w:themeFill="background1" w:themeFillShade="F2"/>
            <w:noWrap/>
            <w:vAlign w:val="center"/>
          </w:tcPr>
          <w:p w14:paraId="4BF1AD36" w14:textId="398DF9C6" w:rsidR="004B6F19" w:rsidRPr="001F6736" w:rsidRDefault="00942899" w:rsidP="00EB785C">
            <w:pPr>
              <w:spacing w:after="0"/>
              <w:jc w:val="center"/>
              <w:rPr>
                <w:rFonts w:eastAsia="Times New Roman" w:cs="Calibri"/>
                <w:color w:val="000000"/>
                <w:sz w:val="18"/>
                <w:szCs w:val="18"/>
              </w:rPr>
            </w:pPr>
            <w:r w:rsidRPr="001F6736">
              <w:rPr>
                <w:rFonts w:cs="Calibri"/>
                <w:color w:val="000000"/>
                <w:sz w:val="18"/>
                <w:szCs w:val="18"/>
              </w:rPr>
              <w:t>59.0%</w:t>
            </w:r>
          </w:p>
        </w:tc>
      </w:tr>
      <w:tr w:rsidR="004B6F19" w:rsidRPr="0049778F" w14:paraId="2AA47E12" w14:textId="77777777" w:rsidTr="00717A49">
        <w:trPr>
          <w:trHeight w:val="302"/>
        </w:trPr>
        <w:tc>
          <w:tcPr>
            <w:tcW w:w="1440" w:type="dxa"/>
            <w:shd w:val="clear" w:color="auto" w:fill="auto"/>
            <w:noWrap/>
          </w:tcPr>
          <w:p w14:paraId="304701AA" w14:textId="2560848F" w:rsidR="004B6F19" w:rsidRPr="001F6736" w:rsidRDefault="003C45E6" w:rsidP="00EB785C">
            <w:pPr>
              <w:spacing w:after="0"/>
              <w:jc w:val="center"/>
              <w:rPr>
                <w:rFonts w:eastAsia="Times New Roman" w:cs="Calibri"/>
                <w:color w:val="000000"/>
                <w:sz w:val="20"/>
                <w:szCs w:val="20"/>
              </w:rPr>
            </w:pPr>
            <w:r w:rsidRPr="001F6736">
              <w:rPr>
                <w:rStyle w:val="normaltextrun"/>
                <w:rFonts w:cs="Calibri"/>
                <w:sz w:val="20"/>
                <w:szCs w:val="20"/>
              </w:rPr>
              <w:t>TRC</w:t>
            </w:r>
          </w:p>
        </w:tc>
        <w:tc>
          <w:tcPr>
            <w:tcW w:w="6336" w:type="dxa"/>
            <w:shd w:val="clear" w:color="auto" w:fill="auto"/>
          </w:tcPr>
          <w:p w14:paraId="2F17AF53" w14:textId="02CA36FF" w:rsidR="004B6F19" w:rsidRPr="001F6736" w:rsidRDefault="003C45E6" w:rsidP="00EB785C">
            <w:pPr>
              <w:spacing w:after="0"/>
              <w:rPr>
                <w:rFonts w:eastAsia="Times New Roman" w:cs="Calibri"/>
                <w:sz w:val="20"/>
                <w:szCs w:val="20"/>
              </w:rPr>
            </w:pPr>
            <w:r w:rsidRPr="001F6736">
              <w:rPr>
                <w:rStyle w:val="normaltextrun"/>
                <w:rFonts w:cs="Calibri"/>
                <w:sz w:val="20"/>
                <w:szCs w:val="20"/>
              </w:rPr>
              <w:t>Transitions of Care: Medication Reconciliation Post-Discharge</w:t>
            </w:r>
            <w:r w:rsidRPr="001F6736">
              <w:rPr>
                <w:rStyle w:val="eop"/>
                <w:rFonts w:cs="Calibri"/>
                <w:sz w:val="20"/>
                <w:szCs w:val="20"/>
              </w:rPr>
              <w:t> </w:t>
            </w:r>
          </w:p>
        </w:tc>
        <w:tc>
          <w:tcPr>
            <w:tcW w:w="1135" w:type="dxa"/>
            <w:shd w:val="clear" w:color="auto" w:fill="auto"/>
            <w:noWrap/>
            <w:vAlign w:val="center"/>
          </w:tcPr>
          <w:p w14:paraId="61AABD55" w14:textId="16B3FF7E" w:rsidR="004B6F19" w:rsidRPr="001F6736" w:rsidRDefault="00942899" w:rsidP="00EB785C">
            <w:pPr>
              <w:spacing w:after="0"/>
              <w:jc w:val="center"/>
              <w:rPr>
                <w:rFonts w:eastAsia="Times New Roman" w:cs="Calibri"/>
                <w:color w:val="000000"/>
                <w:sz w:val="18"/>
                <w:szCs w:val="18"/>
              </w:rPr>
            </w:pPr>
            <w:r w:rsidRPr="001F6736">
              <w:rPr>
                <w:rFonts w:cs="Calibri"/>
                <w:color w:val="000000"/>
                <w:sz w:val="18"/>
                <w:szCs w:val="18"/>
              </w:rPr>
              <w:t>74.4%</w:t>
            </w:r>
          </w:p>
        </w:tc>
        <w:tc>
          <w:tcPr>
            <w:tcW w:w="922" w:type="dxa"/>
            <w:shd w:val="clear" w:color="auto" w:fill="auto"/>
            <w:noWrap/>
            <w:vAlign w:val="center"/>
          </w:tcPr>
          <w:p w14:paraId="6E2E5D3D" w14:textId="125D4118" w:rsidR="004B6F19" w:rsidRPr="001F6736" w:rsidRDefault="00942899" w:rsidP="00EB785C">
            <w:pPr>
              <w:spacing w:after="0"/>
              <w:jc w:val="center"/>
              <w:rPr>
                <w:rFonts w:eastAsia="Times New Roman" w:cs="Calibri"/>
                <w:color w:val="000000"/>
                <w:sz w:val="18"/>
                <w:szCs w:val="18"/>
              </w:rPr>
            </w:pPr>
            <w:r w:rsidRPr="001F6736">
              <w:rPr>
                <w:rFonts w:cs="Calibri"/>
                <w:color w:val="000000"/>
                <w:sz w:val="18"/>
                <w:szCs w:val="18"/>
              </w:rPr>
              <w:t>82.1%</w:t>
            </w:r>
          </w:p>
        </w:tc>
        <w:tc>
          <w:tcPr>
            <w:tcW w:w="922" w:type="dxa"/>
            <w:shd w:val="clear" w:color="auto" w:fill="auto"/>
            <w:noWrap/>
            <w:vAlign w:val="center"/>
          </w:tcPr>
          <w:p w14:paraId="03BBD491" w14:textId="1E96F1AA" w:rsidR="004B6F19" w:rsidRPr="001F6736" w:rsidRDefault="00942899" w:rsidP="00EB785C">
            <w:pPr>
              <w:spacing w:after="0"/>
              <w:jc w:val="center"/>
              <w:rPr>
                <w:rFonts w:eastAsia="Times New Roman" w:cs="Calibri"/>
                <w:color w:val="000000"/>
                <w:sz w:val="18"/>
                <w:szCs w:val="18"/>
              </w:rPr>
            </w:pPr>
            <w:r w:rsidRPr="001F6736">
              <w:rPr>
                <w:rFonts w:cs="Calibri"/>
                <w:color w:val="000000"/>
                <w:sz w:val="18"/>
                <w:szCs w:val="18"/>
              </w:rPr>
              <w:t>86.1%</w:t>
            </w:r>
          </w:p>
        </w:tc>
        <w:tc>
          <w:tcPr>
            <w:tcW w:w="922" w:type="dxa"/>
            <w:shd w:val="clear" w:color="auto" w:fill="auto"/>
            <w:noWrap/>
            <w:vAlign w:val="center"/>
          </w:tcPr>
          <w:p w14:paraId="57D66543" w14:textId="1FC1C639" w:rsidR="004B6F19" w:rsidRPr="001F6736" w:rsidRDefault="00942899" w:rsidP="00EB785C">
            <w:pPr>
              <w:spacing w:after="0"/>
              <w:jc w:val="center"/>
              <w:rPr>
                <w:rFonts w:eastAsia="Times New Roman" w:cs="Calibri"/>
                <w:color w:val="000000"/>
                <w:sz w:val="18"/>
                <w:szCs w:val="18"/>
              </w:rPr>
            </w:pPr>
            <w:r w:rsidRPr="001F6736">
              <w:rPr>
                <w:rFonts w:cs="Calibri"/>
                <w:color w:val="000000"/>
                <w:sz w:val="18"/>
                <w:szCs w:val="18"/>
              </w:rPr>
              <w:t>89.5%</w:t>
            </w:r>
          </w:p>
        </w:tc>
        <w:tc>
          <w:tcPr>
            <w:tcW w:w="922" w:type="dxa"/>
            <w:shd w:val="clear" w:color="auto" w:fill="auto"/>
            <w:noWrap/>
            <w:vAlign w:val="center"/>
          </w:tcPr>
          <w:p w14:paraId="56F7AA15" w14:textId="67DE4CC6" w:rsidR="004B6F19" w:rsidRPr="001F6736" w:rsidRDefault="00942899" w:rsidP="00EB785C">
            <w:pPr>
              <w:spacing w:after="0"/>
              <w:jc w:val="center"/>
              <w:rPr>
                <w:rFonts w:eastAsia="Times New Roman" w:cs="Calibri"/>
                <w:color w:val="000000"/>
                <w:sz w:val="18"/>
                <w:szCs w:val="18"/>
              </w:rPr>
            </w:pPr>
            <w:r w:rsidRPr="001F6736">
              <w:rPr>
                <w:rFonts w:cs="Calibri"/>
                <w:color w:val="000000"/>
                <w:sz w:val="18"/>
                <w:szCs w:val="18"/>
              </w:rPr>
              <w:t>57.2%</w:t>
            </w:r>
          </w:p>
        </w:tc>
        <w:tc>
          <w:tcPr>
            <w:tcW w:w="922" w:type="dxa"/>
            <w:shd w:val="clear" w:color="auto" w:fill="auto"/>
            <w:noWrap/>
            <w:vAlign w:val="center"/>
          </w:tcPr>
          <w:p w14:paraId="7644D34C" w14:textId="5634407D" w:rsidR="004B6F19" w:rsidRPr="001F6736" w:rsidRDefault="00942899" w:rsidP="00EB785C">
            <w:pPr>
              <w:spacing w:after="0"/>
              <w:jc w:val="center"/>
              <w:rPr>
                <w:rFonts w:eastAsia="Times New Roman" w:cs="Calibri"/>
                <w:color w:val="000000"/>
                <w:sz w:val="18"/>
                <w:szCs w:val="18"/>
              </w:rPr>
            </w:pPr>
            <w:r w:rsidRPr="001F6736">
              <w:rPr>
                <w:rFonts w:cs="Calibri"/>
                <w:color w:val="000000"/>
                <w:sz w:val="18"/>
                <w:szCs w:val="18"/>
              </w:rPr>
              <w:t>55.7%</w:t>
            </w:r>
          </w:p>
        </w:tc>
        <w:tc>
          <w:tcPr>
            <w:tcW w:w="922" w:type="dxa"/>
            <w:shd w:val="clear" w:color="auto" w:fill="auto"/>
            <w:noWrap/>
            <w:vAlign w:val="center"/>
          </w:tcPr>
          <w:p w14:paraId="496B0B7C" w14:textId="2D9ADF37" w:rsidR="004B6F19" w:rsidRPr="001F6736" w:rsidRDefault="00942899" w:rsidP="00EB785C">
            <w:pPr>
              <w:spacing w:after="0"/>
              <w:jc w:val="center"/>
              <w:rPr>
                <w:rFonts w:eastAsia="Times New Roman" w:cs="Calibri"/>
                <w:color w:val="000000"/>
                <w:sz w:val="18"/>
                <w:szCs w:val="18"/>
              </w:rPr>
            </w:pPr>
            <w:r w:rsidRPr="001F6736">
              <w:rPr>
                <w:rFonts w:cs="Calibri"/>
                <w:color w:val="000000"/>
                <w:sz w:val="18"/>
                <w:szCs w:val="18"/>
              </w:rPr>
              <w:t>73.5%</w:t>
            </w:r>
          </w:p>
        </w:tc>
      </w:tr>
      <w:tr w:rsidR="004B6F19" w:rsidRPr="0049778F" w14:paraId="113841C2" w14:textId="77777777" w:rsidTr="00717A49">
        <w:trPr>
          <w:trHeight w:val="302"/>
        </w:trPr>
        <w:tc>
          <w:tcPr>
            <w:tcW w:w="1440" w:type="dxa"/>
            <w:shd w:val="clear" w:color="auto" w:fill="F2F2F2" w:themeFill="background1" w:themeFillShade="F2"/>
            <w:noWrap/>
          </w:tcPr>
          <w:p w14:paraId="03855335" w14:textId="22AC8E55" w:rsidR="004B6F19" w:rsidRPr="001F6736" w:rsidRDefault="003C45E6" w:rsidP="00EB785C">
            <w:pPr>
              <w:spacing w:after="0"/>
              <w:jc w:val="center"/>
              <w:rPr>
                <w:rFonts w:eastAsia="Times New Roman" w:cs="Calibri"/>
                <w:color w:val="000000"/>
                <w:sz w:val="20"/>
                <w:szCs w:val="20"/>
              </w:rPr>
            </w:pPr>
            <w:r w:rsidRPr="001F6736">
              <w:rPr>
                <w:rStyle w:val="normaltextrun"/>
                <w:rFonts w:cs="Calibri"/>
                <w:sz w:val="20"/>
                <w:szCs w:val="20"/>
              </w:rPr>
              <w:t>PBH</w:t>
            </w:r>
          </w:p>
        </w:tc>
        <w:tc>
          <w:tcPr>
            <w:tcW w:w="6336" w:type="dxa"/>
            <w:shd w:val="clear" w:color="auto" w:fill="F2F2F2" w:themeFill="background1" w:themeFillShade="F2"/>
          </w:tcPr>
          <w:p w14:paraId="2CD5C37D" w14:textId="50DD2779" w:rsidR="004B6F19" w:rsidRPr="001F6736" w:rsidRDefault="003C45E6" w:rsidP="00EB785C">
            <w:pPr>
              <w:spacing w:after="0"/>
              <w:rPr>
                <w:rFonts w:eastAsia="Times New Roman" w:cs="Calibri"/>
                <w:sz w:val="20"/>
                <w:szCs w:val="20"/>
              </w:rPr>
            </w:pPr>
            <w:r w:rsidRPr="001F6736">
              <w:rPr>
                <w:rStyle w:val="normaltextrun"/>
                <w:rFonts w:cs="Calibri"/>
                <w:sz w:val="20"/>
                <w:szCs w:val="20"/>
              </w:rPr>
              <w:t>Persistence of Beta Blocker Treatment After Heart Attack </w:t>
            </w:r>
            <w:r w:rsidRPr="001F6736">
              <w:rPr>
                <w:rStyle w:val="eop"/>
                <w:rFonts w:cs="Calibri"/>
                <w:sz w:val="20"/>
                <w:szCs w:val="20"/>
              </w:rPr>
              <w:t> </w:t>
            </w:r>
          </w:p>
        </w:tc>
        <w:tc>
          <w:tcPr>
            <w:tcW w:w="1135" w:type="dxa"/>
            <w:shd w:val="clear" w:color="auto" w:fill="F2F2F2" w:themeFill="background1" w:themeFillShade="F2"/>
            <w:noWrap/>
            <w:vAlign w:val="center"/>
          </w:tcPr>
          <w:p w14:paraId="439B54C7" w14:textId="3B515675" w:rsidR="004B6F19" w:rsidRPr="001F6736" w:rsidRDefault="00C80F8B" w:rsidP="00EB785C">
            <w:pPr>
              <w:spacing w:after="0"/>
              <w:jc w:val="center"/>
              <w:rPr>
                <w:rFonts w:eastAsia="Times New Roman" w:cs="Calibri"/>
                <w:color w:val="000000"/>
                <w:sz w:val="18"/>
                <w:szCs w:val="18"/>
              </w:rPr>
            </w:pPr>
            <w:r w:rsidRPr="001F6736">
              <w:rPr>
                <w:rFonts w:cs="Calibri"/>
                <w:color w:val="000000"/>
                <w:sz w:val="18"/>
                <w:szCs w:val="18"/>
              </w:rPr>
              <w:t>83.6%</w:t>
            </w:r>
          </w:p>
        </w:tc>
        <w:tc>
          <w:tcPr>
            <w:tcW w:w="922" w:type="dxa"/>
            <w:shd w:val="clear" w:color="auto" w:fill="F2F2F2" w:themeFill="background1" w:themeFillShade="F2"/>
            <w:noWrap/>
            <w:vAlign w:val="center"/>
          </w:tcPr>
          <w:p w14:paraId="3910256C" w14:textId="3A6EA284" w:rsidR="004B6F19" w:rsidRPr="001F6736" w:rsidRDefault="00C80F8B" w:rsidP="00EB785C">
            <w:pPr>
              <w:spacing w:after="0"/>
              <w:jc w:val="center"/>
              <w:rPr>
                <w:rFonts w:eastAsia="Times New Roman" w:cs="Calibri"/>
                <w:color w:val="000000"/>
                <w:sz w:val="18"/>
                <w:szCs w:val="18"/>
              </w:rPr>
            </w:pPr>
            <w:r w:rsidRPr="001F6736">
              <w:rPr>
                <w:rFonts w:cs="Calibri"/>
                <w:color w:val="000000"/>
                <w:sz w:val="18"/>
                <w:szCs w:val="18"/>
              </w:rPr>
              <w:t>N/A</w:t>
            </w:r>
          </w:p>
        </w:tc>
        <w:tc>
          <w:tcPr>
            <w:tcW w:w="922" w:type="dxa"/>
            <w:shd w:val="clear" w:color="auto" w:fill="F2F2F2" w:themeFill="background1" w:themeFillShade="F2"/>
            <w:noWrap/>
            <w:vAlign w:val="center"/>
          </w:tcPr>
          <w:p w14:paraId="3B786385" w14:textId="415D7DE4" w:rsidR="004B6F19" w:rsidRPr="001F6736" w:rsidRDefault="00C80F8B" w:rsidP="00EB785C">
            <w:pPr>
              <w:spacing w:after="0"/>
              <w:jc w:val="center"/>
              <w:rPr>
                <w:rFonts w:eastAsia="Times New Roman" w:cs="Calibri"/>
                <w:color w:val="000000"/>
                <w:sz w:val="18"/>
                <w:szCs w:val="18"/>
              </w:rPr>
            </w:pPr>
            <w:r w:rsidRPr="001F6736">
              <w:rPr>
                <w:rFonts w:cs="Calibri"/>
                <w:color w:val="000000"/>
                <w:sz w:val="18"/>
                <w:szCs w:val="18"/>
              </w:rPr>
              <w:t>N/A</w:t>
            </w:r>
          </w:p>
        </w:tc>
        <w:tc>
          <w:tcPr>
            <w:tcW w:w="922" w:type="dxa"/>
            <w:shd w:val="clear" w:color="auto" w:fill="F2F2F2" w:themeFill="background1" w:themeFillShade="F2"/>
            <w:noWrap/>
            <w:vAlign w:val="center"/>
          </w:tcPr>
          <w:p w14:paraId="148EC381" w14:textId="3AB368CC" w:rsidR="004B6F19" w:rsidRPr="001F6736" w:rsidRDefault="00C80F8B" w:rsidP="00EB785C">
            <w:pPr>
              <w:spacing w:after="0"/>
              <w:jc w:val="center"/>
              <w:rPr>
                <w:rFonts w:eastAsia="Times New Roman" w:cs="Calibri"/>
                <w:color w:val="000000"/>
                <w:sz w:val="18"/>
                <w:szCs w:val="18"/>
              </w:rPr>
            </w:pPr>
            <w:r w:rsidRPr="001F6736">
              <w:rPr>
                <w:rFonts w:cs="Calibri"/>
                <w:color w:val="000000"/>
                <w:sz w:val="18"/>
                <w:szCs w:val="18"/>
              </w:rPr>
              <w:t>N/A</w:t>
            </w:r>
          </w:p>
        </w:tc>
        <w:tc>
          <w:tcPr>
            <w:tcW w:w="922" w:type="dxa"/>
            <w:shd w:val="clear" w:color="auto" w:fill="F2F2F2" w:themeFill="background1" w:themeFillShade="F2"/>
            <w:noWrap/>
            <w:vAlign w:val="center"/>
          </w:tcPr>
          <w:p w14:paraId="43EEEBB4" w14:textId="0FC83334" w:rsidR="004B6F19" w:rsidRPr="001F6736" w:rsidRDefault="00C80F8B" w:rsidP="00EB785C">
            <w:pPr>
              <w:spacing w:after="0"/>
              <w:jc w:val="center"/>
              <w:rPr>
                <w:rFonts w:eastAsia="Times New Roman" w:cs="Calibri"/>
                <w:color w:val="000000"/>
                <w:sz w:val="18"/>
                <w:szCs w:val="18"/>
              </w:rPr>
            </w:pPr>
            <w:r w:rsidRPr="001F6736">
              <w:rPr>
                <w:rFonts w:cs="Calibri"/>
                <w:color w:val="000000"/>
                <w:sz w:val="18"/>
                <w:szCs w:val="18"/>
              </w:rPr>
              <w:t>N/A</w:t>
            </w:r>
          </w:p>
        </w:tc>
        <w:tc>
          <w:tcPr>
            <w:tcW w:w="922" w:type="dxa"/>
            <w:shd w:val="clear" w:color="auto" w:fill="F2F2F2" w:themeFill="background1" w:themeFillShade="F2"/>
            <w:noWrap/>
            <w:vAlign w:val="center"/>
          </w:tcPr>
          <w:p w14:paraId="3FD528F0" w14:textId="0E61043F" w:rsidR="004B6F19" w:rsidRPr="001F6736" w:rsidRDefault="00C80F8B" w:rsidP="00EB785C">
            <w:pPr>
              <w:spacing w:after="0"/>
              <w:jc w:val="center"/>
              <w:rPr>
                <w:rFonts w:eastAsia="Times New Roman" w:cs="Calibri"/>
                <w:color w:val="000000"/>
                <w:sz w:val="18"/>
                <w:szCs w:val="18"/>
              </w:rPr>
            </w:pPr>
            <w:r w:rsidRPr="001F6736">
              <w:rPr>
                <w:rFonts w:cs="Calibri"/>
                <w:color w:val="000000"/>
                <w:sz w:val="18"/>
                <w:szCs w:val="18"/>
              </w:rPr>
              <w:t>N/A</w:t>
            </w:r>
          </w:p>
        </w:tc>
        <w:tc>
          <w:tcPr>
            <w:tcW w:w="922" w:type="dxa"/>
            <w:shd w:val="clear" w:color="auto" w:fill="F2F2F2" w:themeFill="background1" w:themeFillShade="F2"/>
            <w:noWrap/>
            <w:vAlign w:val="center"/>
          </w:tcPr>
          <w:p w14:paraId="6F906324" w14:textId="3AEC9AC3" w:rsidR="004B6F19" w:rsidRPr="001F6736" w:rsidRDefault="00C80F8B" w:rsidP="00EB785C">
            <w:pPr>
              <w:spacing w:after="0"/>
              <w:jc w:val="center"/>
              <w:rPr>
                <w:rFonts w:eastAsia="Times New Roman" w:cs="Calibri"/>
                <w:color w:val="000000"/>
                <w:sz w:val="18"/>
                <w:szCs w:val="18"/>
              </w:rPr>
            </w:pPr>
            <w:r w:rsidRPr="001F6736">
              <w:rPr>
                <w:rFonts w:cs="Calibri"/>
                <w:color w:val="000000"/>
                <w:sz w:val="18"/>
                <w:szCs w:val="18"/>
              </w:rPr>
              <w:t>N/A</w:t>
            </w:r>
          </w:p>
        </w:tc>
      </w:tr>
      <w:tr w:rsidR="004B6F19" w:rsidRPr="0049778F" w14:paraId="6852391B" w14:textId="77777777" w:rsidTr="00717A49">
        <w:trPr>
          <w:trHeight w:val="302"/>
        </w:trPr>
        <w:tc>
          <w:tcPr>
            <w:tcW w:w="1440" w:type="dxa"/>
            <w:shd w:val="clear" w:color="auto" w:fill="auto"/>
            <w:noWrap/>
          </w:tcPr>
          <w:p w14:paraId="363F75AF" w14:textId="4F404092" w:rsidR="004B6F19" w:rsidRPr="001F6736" w:rsidRDefault="003C45E6" w:rsidP="00EB785C">
            <w:pPr>
              <w:spacing w:after="0"/>
              <w:jc w:val="center"/>
              <w:rPr>
                <w:rFonts w:eastAsia="Times New Roman" w:cs="Calibri"/>
                <w:color w:val="000000"/>
                <w:sz w:val="20"/>
                <w:szCs w:val="20"/>
              </w:rPr>
            </w:pPr>
            <w:r w:rsidRPr="001F6736">
              <w:rPr>
                <w:rStyle w:val="normaltextrun"/>
                <w:rFonts w:cs="Calibri"/>
                <w:sz w:val="20"/>
                <w:szCs w:val="20"/>
              </w:rPr>
              <w:t>CBP</w:t>
            </w:r>
          </w:p>
        </w:tc>
        <w:tc>
          <w:tcPr>
            <w:tcW w:w="6336" w:type="dxa"/>
            <w:shd w:val="clear" w:color="auto" w:fill="auto"/>
          </w:tcPr>
          <w:p w14:paraId="3B929BFB" w14:textId="6EFA054A" w:rsidR="004B6F19" w:rsidRPr="001F6736" w:rsidRDefault="003C45E6" w:rsidP="00EB785C">
            <w:pPr>
              <w:spacing w:after="0"/>
              <w:rPr>
                <w:rFonts w:eastAsia="Times New Roman" w:cs="Calibri"/>
                <w:sz w:val="20"/>
                <w:szCs w:val="20"/>
              </w:rPr>
            </w:pPr>
            <w:r w:rsidRPr="001F6736">
              <w:rPr>
                <w:rStyle w:val="normaltextrun"/>
                <w:rFonts w:cs="Calibri"/>
                <w:sz w:val="20"/>
                <w:szCs w:val="20"/>
              </w:rPr>
              <w:t>Controlling High Blood Pressure  </w:t>
            </w:r>
            <w:r w:rsidRPr="001F6736">
              <w:rPr>
                <w:rStyle w:val="eop"/>
                <w:rFonts w:cs="Calibri"/>
                <w:sz w:val="20"/>
                <w:szCs w:val="20"/>
              </w:rPr>
              <w:t> </w:t>
            </w:r>
          </w:p>
        </w:tc>
        <w:tc>
          <w:tcPr>
            <w:tcW w:w="1135" w:type="dxa"/>
            <w:shd w:val="clear" w:color="auto" w:fill="auto"/>
            <w:noWrap/>
            <w:vAlign w:val="center"/>
          </w:tcPr>
          <w:p w14:paraId="0C6B2E83" w14:textId="0F1D31C7" w:rsidR="004B6F19" w:rsidRPr="001F6736" w:rsidRDefault="00D56373" w:rsidP="00EB785C">
            <w:pPr>
              <w:spacing w:after="0"/>
              <w:jc w:val="center"/>
              <w:rPr>
                <w:rFonts w:eastAsia="Times New Roman" w:cs="Calibri"/>
                <w:color w:val="000000"/>
                <w:sz w:val="18"/>
                <w:szCs w:val="18"/>
              </w:rPr>
            </w:pPr>
            <w:r w:rsidRPr="001F6736">
              <w:rPr>
                <w:rFonts w:cs="Calibri"/>
                <w:color w:val="000000"/>
                <w:sz w:val="18"/>
                <w:szCs w:val="18"/>
              </w:rPr>
              <w:t>70.7%</w:t>
            </w:r>
          </w:p>
        </w:tc>
        <w:tc>
          <w:tcPr>
            <w:tcW w:w="922" w:type="dxa"/>
            <w:shd w:val="clear" w:color="auto" w:fill="auto"/>
            <w:noWrap/>
            <w:vAlign w:val="center"/>
          </w:tcPr>
          <w:p w14:paraId="06E410FD" w14:textId="6E0B59A9" w:rsidR="004B6F19" w:rsidRPr="001F6736" w:rsidRDefault="00D56373" w:rsidP="00EB785C">
            <w:pPr>
              <w:spacing w:after="0"/>
              <w:jc w:val="center"/>
              <w:rPr>
                <w:rFonts w:eastAsia="Times New Roman" w:cs="Calibri"/>
                <w:color w:val="000000"/>
                <w:sz w:val="18"/>
                <w:szCs w:val="18"/>
              </w:rPr>
            </w:pPr>
            <w:r w:rsidRPr="001F6736">
              <w:rPr>
                <w:rFonts w:cs="Calibri"/>
                <w:color w:val="000000"/>
                <w:sz w:val="18"/>
                <w:szCs w:val="18"/>
              </w:rPr>
              <w:t>77.4%</w:t>
            </w:r>
          </w:p>
        </w:tc>
        <w:tc>
          <w:tcPr>
            <w:tcW w:w="922" w:type="dxa"/>
            <w:shd w:val="clear" w:color="auto" w:fill="auto"/>
            <w:noWrap/>
            <w:vAlign w:val="center"/>
          </w:tcPr>
          <w:p w14:paraId="766C72A1" w14:textId="447B9557" w:rsidR="004B6F19" w:rsidRPr="001F6736" w:rsidRDefault="00D56373" w:rsidP="00EB785C">
            <w:pPr>
              <w:spacing w:after="0"/>
              <w:jc w:val="center"/>
              <w:rPr>
                <w:rFonts w:eastAsia="Times New Roman" w:cs="Calibri"/>
                <w:color w:val="000000"/>
                <w:sz w:val="18"/>
                <w:szCs w:val="18"/>
              </w:rPr>
            </w:pPr>
            <w:r w:rsidRPr="001F6736">
              <w:rPr>
                <w:rFonts w:cs="Calibri"/>
                <w:color w:val="000000"/>
                <w:sz w:val="18"/>
                <w:szCs w:val="18"/>
              </w:rPr>
              <w:t>74.7%</w:t>
            </w:r>
          </w:p>
        </w:tc>
        <w:tc>
          <w:tcPr>
            <w:tcW w:w="922" w:type="dxa"/>
            <w:shd w:val="clear" w:color="auto" w:fill="auto"/>
            <w:noWrap/>
            <w:vAlign w:val="center"/>
          </w:tcPr>
          <w:p w14:paraId="39767796" w14:textId="541D08A4" w:rsidR="004B6F19" w:rsidRPr="001F6736" w:rsidRDefault="00D56373" w:rsidP="00EB785C">
            <w:pPr>
              <w:spacing w:after="0"/>
              <w:jc w:val="center"/>
              <w:rPr>
                <w:rFonts w:eastAsia="Times New Roman" w:cs="Calibri"/>
                <w:color w:val="000000"/>
                <w:sz w:val="18"/>
                <w:szCs w:val="18"/>
              </w:rPr>
            </w:pPr>
            <w:r w:rsidRPr="001F6736">
              <w:rPr>
                <w:rFonts w:cs="Calibri"/>
                <w:color w:val="000000"/>
                <w:sz w:val="18"/>
                <w:szCs w:val="18"/>
              </w:rPr>
              <w:t>66.7%</w:t>
            </w:r>
          </w:p>
        </w:tc>
        <w:tc>
          <w:tcPr>
            <w:tcW w:w="922" w:type="dxa"/>
            <w:shd w:val="clear" w:color="auto" w:fill="auto"/>
            <w:noWrap/>
            <w:vAlign w:val="center"/>
          </w:tcPr>
          <w:p w14:paraId="10D67AF4" w14:textId="78E153D7" w:rsidR="004B6F19" w:rsidRPr="001F6736" w:rsidRDefault="00D56373" w:rsidP="00EB785C">
            <w:pPr>
              <w:spacing w:after="0"/>
              <w:jc w:val="center"/>
              <w:rPr>
                <w:rFonts w:eastAsia="Times New Roman" w:cs="Calibri"/>
                <w:color w:val="000000"/>
                <w:sz w:val="18"/>
                <w:szCs w:val="18"/>
              </w:rPr>
            </w:pPr>
            <w:r w:rsidRPr="001F6736">
              <w:rPr>
                <w:rFonts w:cs="Calibri"/>
                <w:color w:val="000000"/>
                <w:sz w:val="18"/>
                <w:szCs w:val="18"/>
              </w:rPr>
              <w:t>56.7%</w:t>
            </w:r>
          </w:p>
        </w:tc>
        <w:tc>
          <w:tcPr>
            <w:tcW w:w="922" w:type="dxa"/>
            <w:shd w:val="clear" w:color="auto" w:fill="auto"/>
            <w:noWrap/>
            <w:vAlign w:val="center"/>
          </w:tcPr>
          <w:p w14:paraId="0F37A4BB" w14:textId="775A5E41" w:rsidR="004B6F19" w:rsidRPr="001F6736" w:rsidRDefault="00D56373" w:rsidP="00EB785C">
            <w:pPr>
              <w:spacing w:after="0"/>
              <w:jc w:val="center"/>
              <w:rPr>
                <w:rFonts w:eastAsia="Times New Roman" w:cs="Calibri"/>
                <w:color w:val="000000"/>
                <w:sz w:val="18"/>
                <w:szCs w:val="18"/>
              </w:rPr>
            </w:pPr>
            <w:r w:rsidRPr="001F6736">
              <w:rPr>
                <w:rFonts w:cs="Calibri"/>
                <w:color w:val="000000"/>
                <w:sz w:val="18"/>
                <w:szCs w:val="18"/>
              </w:rPr>
              <w:t>74.5%</w:t>
            </w:r>
          </w:p>
        </w:tc>
        <w:tc>
          <w:tcPr>
            <w:tcW w:w="922" w:type="dxa"/>
            <w:shd w:val="clear" w:color="auto" w:fill="auto"/>
            <w:noWrap/>
            <w:vAlign w:val="center"/>
          </w:tcPr>
          <w:p w14:paraId="64B7555A" w14:textId="60DEED41" w:rsidR="004B6F19" w:rsidRPr="001F6736" w:rsidRDefault="00D56373" w:rsidP="00EB785C">
            <w:pPr>
              <w:spacing w:after="0"/>
              <w:jc w:val="center"/>
              <w:rPr>
                <w:rFonts w:eastAsia="Times New Roman" w:cs="Calibri"/>
                <w:color w:val="000000"/>
                <w:sz w:val="18"/>
                <w:szCs w:val="18"/>
              </w:rPr>
            </w:pPr>
            <w:r w:rsidRPr="001F6736">
              <w:rPr>
                <w:rFonts w:cs="Calibri"/>
                <w:color w:val="000000"/>
                <w:sz w:val="18"/>
                <w:szCs w:val="18"/>
              </w:rPr>
              <w:t>76.7%</w:t>
            </w:r>
          </w:p>
        </w:tc>
      </w:tr>
      <w:tr w:rsidR="004B6F19" w:rsidRPr="0049778F" w14:paraId="1C344DE1" w14:textId="77777777" w:rsidTr="00717A49">
        <w:trPr>
          <w:trHeight w:val="302"/>
        </w:trPr>
        <w:tc>
          <w:tcPr>
            <w:tcW w:w="1440" w:type="dxa"/>
            <w:shd w:val="clear" w:color="auto" w:fill="F2F2F2" w:themeFill="background1" w:themeFillShade="F2"/>
            <w:noWrap/>
          </w:tcPr>
          <w:p w14:paraId="3565B1BA" w14:textId="08A9E970" w:rsidR="004B6F19" w:rsidRPr="001F6736" w:rsidRDefault="003C45E6" w:rsidP="00893148">
            <w:pPr>
              <w:spacing w:after="0"/>
              <w:jc w:val="center"/>
              <w:rPr>
                <w:rFonts w:eastAsia="Times New Roman" w:cs="Calibri"/>
                <w:color w:val="000000"/>
                <w:sz w:val="20"/>
                <w:szCs w:val="20"/>
              </w:rPr>
            </w:pPr>
            <w:r w:rsidRPr="001F6736">
              <w:rPr>
                <w:rStyle w:val="normaltextrun"/>
                <w:rFonts w:cs="Calibri"/>
                <w:sz w:val="20"/>
                <w:szCs w:val="20"/>
              </w:rPr>
              <w:t>PCE-C</w:t>
            </w:r>
          </w:p>
        </w:tc>
        <w:tc>
          <w:tcPr>
            <w:tcW w:w="6336" w:type="dxa"/>
            <w:shd w:val="clear" w:color="auto" w:fill="F2F2F2" w:themeFill="background1" w:themeFillShade="F2"/>
          </w:tcPr>
          <w:p w14:paraId="195FFC26" w14:textId="796D2368" w:rsidR="004B6F19" w:rsidRPr="001F6736" w:rsidRDefault="003C45E6" w:rsidP="00893148">
            <w:pPr>
              <w:spacing w:after="0"/>
              <w:rPr>
                <w:rFonts w:eastAsia="Times New Roman" w:cs="Calibri"/>
                <w:sz w:val="20"/>
                <w:szCs w:val="20"/>
              </w:rPr>
            </w:pPr>
            <w:r w:rsidRPr="001F6736">
              <w:rPr>
                <w:rStyle w:val="normaltextrun"/>
                <w:rFonts w:cs="Calibri"/>
                <w:sz w:val="20"/>
                <w:szCs w:val="20"/>
              </w:rPr>
              <w:t>Pharmacotherapy Management of COPD Exacerbation Corticosteroids</w:t>
            </w:r>
            <w:r w:rsidRPr="001F6736">
              <w:rPr>
                <w:rStyle w:val="eop"/>
                <w:rFonts w:cs="Calibri"/>
                <w:sz w:val="20"/>
                <w:szCs w:val="20"/>
              </w:rPr>
              <w:t> </w:t>
            </w:r>
          </w:p>
        </w:tc>
        <w:tc>
          <w:tcPr>
            <w:tcW w:w="1135" w:type="dxa"/>
            <w:shd w:val="clear" w:color="auto" w:fill="F2F2F2" w:themeFill="background1" w:themeFillShade="F2"/>
            <w:noWrap/>
            <w:vAlign w:val="center"/>
          </w:tcPr>
          <w:p w14:paraId="47DA87F1" w14:textId="2C1DDBC0" w:rsidR="004B6F19" w:rsidRPr="001F6736" w:rsidRDefault="00645800" w:rsidP="00893148">
            <w:pPr>
              <w:spacing w:after="0"/>
              <w:jc w:val="center"/>
              <w:rPr>
                <w:rFonts w:eastAsia="Times New Roman" w:cs="Calibri"/>
                <w:color w:val="000000"/>
                <w:sz w:val="18"/>
                <w:szCs w:val="18"/>
              </w:rPr>
            </w:pPr>
            <w:r w:rsidRPr="001F6736">
              <w:rPr>
                <w:rFonts w:cs="Calibri"/>
                <w:color w:val="000000"/>
                <w:sz w:val="18"/>
                <w:szCs w:val="18"/>
              </w:rPr>
              <w:t>74.6%</w:t>
            </w:r>
          </w:p>
        </w:tc>
        <w:tc>
          <w:tcPr>
            <w:tcW w:w="922" w:type="dxa"/>
            <w:shd w:val="clear" w:color="auto" w:fill="F2F2F2" w:themeFill="background1" w:themeFillShade="F2"/>
            <w:noWrap/>
            <w:vAlign w:val="center"/>
          </w:tcPr>
          <w:p w14:paraId="259E11E7" w14:textId="10842BAC" w:rsidR="004B6F19" w:rsidRPr="001F6736" w:rsidRDefault="00645800" w:rsidP="00893148">
            <w:pPr>
              <w:spacing w:after="0"/>
              <w:jc w:val="center"/>
              <w:rPr>
                <w:rFonts w:eastAsia="Times New Roman" w:cs="Calibri"/>
                <w:color w:val="000000"/>
                <w:sz w:val="18"/>
                <w:szCs w:val="18"/>
              </w:rPr>
            </w:pPr>
            <w:r w:rsidRPr="001F6736">
              <w:rPr>
                <w:rFonts w:cs="Calibri"/>
                <w:color w:val="000000"/>
                <w:sz w:val="18"/>
                <w:szCs w:val="18"/>
              </w:rPr>
              <w:t>68.5%</w:t>
            </w:r>
          </w:p>
        </w:tc>
        <w:tc>
          <w:tcPr>
            <w:tcW w:w="922" w:type="dxa"/>
            <w:shd w:val="clear" w:color="auto" w:fill="F2F2F2" w:themeFill="background1" w:themeFillShade="F2"/>
            <w:noWrap/>
            <w:vAlign w:val="center"/>
          </w:tcPr>
          <w:p w14:paraId="3C218D3B" w14:textId="398C0D92" w:rsidR="004B6F19" w:rsidRPr="001F6736" w:rsidRDefault="00645800" w:rsidP="00893148">
            <w:pPr>
              <w:spacing w:after="0"/>
              <w:jc w:val="center"/>
              <w:rPr>
                <w:rFonts w:eastAsia="Times New Roman" w:cs="Calibri"/>
                <w:color w:val="000000"/>
                <w:sz w:val="18"/>
                <w:szCs w:val="18"/>
              </w:rPr>
            </w:pPr>
            <w:r w:rsidRPr="001F6736">
              <w:rPr>
                <w:rFonts w:cs="Calibri"/>
                <w:color w:val="000000"/>
                <w:sz w:val="18"/>
                <w:szCs w:val="18"/>
              </w:rPr>
              <w:t>66.6%</w:t>
            </w:r>
          </w:p>
        </w:tc>
        <w:tc>
          <w:tcPr>
            <w:tcW w:w="922" w:type="dxa"/>
            <w:shd w:val="clear" w:color="auto" w:fill="F2F2F2" w:themeFill="background1" w:themeFillShade="F2"/>
            <w:noWrap/>
            <w:vAlign w:val="center"/>
          </w:tcPr>
          <w:p w14:paraId="6E33E0C1" w14:textId="4CF17AB2" w:rsidR="004B6F19" w:rsidRPr="001F6736" w:rsidRDefault="00645800" w:rsidP="00893148">
            <w:pPr>
              <w:spacing w:after="0"/>
              <w:jc w:val="center"/>
              <w:rPr>
                <w:rFonts w:eastAsia="Times New Roman" w:cs="Calibri"/>
                <w:color w:val="000000"/>
                <w:sz w:val="18"/>
                <w:szCs w:val="18"/>
              </w:rPr>
            </w:pPr>
            <w:r w:rsidRPr="001F6736">
              <w:rPr>
                <w:rFonts w:cs="Calibri"/>
                <w:color w:val="000000"/>
                <w:sz w:val="18"/>
                <w:szCs w:val="18"/>
              </w:rPr>
              <w:t>78.5%</w:t>
            </w:r>
          </w:p>
        </w:tc>
        <w:tc>
          <w:tcPr>
            <w:tcW w:w="922" w:type="dxa"/>
            <w:shd w:val="clear" w:color="auto" w:fill="F2F2F2" w:themeFill="background1" w:themeFillShade="F2"/>
            <w:noWrap/>
            <w:vAlign w:val="center"/>
          </w:tcPr>
          <w:p w14:paraId="57424186" w14:textId="66FCE4A4" w:rsidR="004B6F19" w:rsidRPr="001F6736" w:rsidRDefault="00645800" w:rsidP="00893148">
            <w:pPr>
              <w:spacing w:after="0"/>
              <w:jc w:val="center"/>
              <w:rPr>
                <w:rFonts w:eastAsia="Times New Roman" w:cs="Calibri"/>
                <w:color w:val="000000"/>
                <w:sz w:val="18"/>
                <w:szCs w:val="18"/>
              </w:rPr>
            </w:pPr>
            <w:r w:rsidRPr="001F6736">
              <w:rPr>
                <w:rFonts w:cs="Calibri"/>
                <w:color w:val="000000"/>
                <w:sz w:val="18"/>
                <w:szCs w:val="18"/>
              </w:rPr>
              <w:t>75.6%</w:t>
            </w:r>
          </w:p>
        </w:tc>
        <w:tc>
          <w:tcPr>
            <w:tcW w:w="922" w:type="dxa"/>
            <w:shd w:val="clear" w:color="auto" w:fill="F2F2F2" w:themeFill="background1" w:themeFillShade="F2"/>
            <w:noWrap/>
            <w:vAlign w:val="center"/>
          </w:tcPr>
          <w:p w14:paraId="23D8A3CC" w14:textId="0EDC4996" w:rsidR="004B6F19" w:rsidRPr="001F6736" w:rsidRDefault="00645800" w:rsidP="00893148">
            <w:pPr>
              <w:spacing w:after="0"/>
              <w:jc w:val="center"/>
              <w:rPr>
                <w:rFonts w:eastAsia="Times New Roman" w:cs="Calibri"/>
                <w:color w:val="000000"/>
                <w:sz w:val="18"/>
                <w:szCs w:val="18"/>
              </w:rPr>
            </w:pPr>
            <w:r w:rsidRPr="001F6736">
              <w:rPr>
                <w:rFonts w:cs="Calibri"/>
                <w:color w:val="000000"/>
                <w:sz w:val="18"/>
                <w:szCs w:val="18"/>
              </w:rPr>
              <w:t>77.5%</w:t>
            </w:r>
          </w:p>
        </w:tc>
        <w:tc>
          <w:tcPr>
            <w:tcW w:w="922" w:type="dxa"/>
            <w:shd w:val="clear" w:color="auto" w:fill="F2F2F2" w:themeFill="background1" w:themeFillShade="F2"/>
            <w:noWrap/>
            <w:vAlign w:val="center"/>
          </w:tcPr>
          <w:p w14:paraId="49109516" w14:textId="33FFC973" w:rsidR="004B6F19" w:rsidRPr="001F6736" w:rsidRDefault="00645800" w:rsidP="00893148">
            <w:pPr>
              <w:spacing w:after="0"/>
              <w:jc w:val="center"/>
              <w:rPr>
                <w:rFonts w:eastAsia="Times New Roman" w:cs="Calibri"/>
                <w:color w:val="000000"/>
                <w:sz w:val="18"/>
                <w:szCs w:val="18"/>
              </w:rPr>
            </w:pPr>
            <w:r w:rsidRPr="001F6736">
              <w:rPr>
                <w:rFonts w:cs="Calibri"/>
                <w:color w:val="000000"/>
                <w:sz w:val="18"/>
                <w:szCs w:val="18"/>
              </w:rPr>
              <w:t>79.5%</w:t>
            </w:r>
          </w:p>
        </w:tc>
      </w:tr>
      <w:tr w:rsidR="004B6F19" w:rsidRPr="0049778F" w14:paraId="4766D7BD" w14:textId="77777777" w:rsidTr="00717A49">
        <w:trPr>
          <w:trHeight w:val="302"/>
        </w:trPr>
        <w:tc>
          <w:tcPr>
            <w:tcW w:w="1440" w:type="dxa"/>
            <w:shd w:val="clear" w:color="auto" w:fill="auto"/>
            <w:noWrap/>
          </w:tcPr>
          <w:p w14:paraId="1D9C5EE6" w14:textId="6AF4560C" w:rsidR="004B6F19" w:rsidRPr="001F6736" w:rsidRDefault="003C45E6" w:rsidP="00893148">
            <w:pPr>
              <w:spacing w:after="0"/>
              <w:jc w:val="center"/>
              <w:rPr>
                <w:rFonts w:eastAsia="Times New Roman" w:cs="Calibri"/>
                <w:color w:val="000000"/>
                <w:sz w:val="20"/>
                <w:szCs w:val="20"/>
              </w:rPr>
            </w:pPr>
            <w:r w:rsidRPr="001F6736">
              <w:rPr>
                <w:rStyle w:val="normaltextrun"/>
                <w:rFonts w:cs="Calibri"/>
                <w:sz w:val="20"/>
                <w:szCs w:val="20"/>
              </w:rPr>
              <w:t>PCE-B</w:t>
            </w:r>
          </w:p>
        </w:tc>
        <w:tc>
          <w:tcPr>
            <w:tcW w:w="6336" w:type="dxa"/>
            <w:shd w:val="clear" w:color="auto" w:fill="auto"/>
          </w:tcPr>
          <w:p w14:paraId="12F14CD6" w14:textId="3A960192" w:rsidR="004B6F19" w:rsidRPr="001F6736" w:rsidRDefault="003C45E6" w:rsidP="00893148">
            <w:pPr>
              <w:spacing w:after="0"/>
              <w:rPr>
                <w:rFonts w:eastAsia="Times New Roman" w:cs="Calibri"/>
                <w:sz w:val="20"/>
                <w:szCs w:val="20"/>
              </w:rPr>
            </w:pPr>
            <w:r w:rsidRPr="001F6736">
              <w:rPr>
                <w:rStyle w:val="normaltextrun"/>
                <w:rFonts w:cs="Calibri"/>
                <w:sz w:val="20"/>
                <w:szCs w:val="20"/>
              </w:rPr>
              <w:t>Pharmacotherapy Management of COPD Exacerbation Bronchodilators</w:t>
            </w:r>
            <w:r w:rsidRPr="001F6736">
              <w:rPr>
                <w:rStyle w:val="eop"/>
                <w:rFonts w:cs="Calibri"/>
                <w:sz w:val="20"/>
                <w:szCs w:val="20"/>
              </w:rPr>
              <w:t> </w:t>
            </w:r>
          </w:p>
        </w:tc>
        <w:tc>
          <w:tcPr>
            <w:tcW w:w="1135" w:type="dxa"/>
            <w:shd w:val="clear" w:color="auto" w:fill="auto"/>
            <w:noWrap/>
            <w:vAlign w:val="center"/>
          </w:tcPr>
          <w:p w14:paraId="20C29191" w14:textId="765098CD" w:rsidR="004B6F19" w:rsidRPr="001F6736" w:rsidRDefault="004D4B25" w:rsidP="00893148">
            <w:pPr>
              <w:spacing w:after="0"/>
              <w:jc w:val="center"/>
              <w:rPr>
                <w:rFonts w:eastAsia="Times New Roman" w:cs="Calibri"/>
                <w:color w:val="000000"/>
                <w:sz w:val="18"/>
                <w:szCs w:val="18"/>
              </w:rPr>
            </w:pPr>
            <w:r w:rsidRPr="001F6736">
              <w:rPr>
                <w:rFonts w:cs="Calibri"/>
                <w:color w:val="000000"/>
                <w:sz w:val="18"/>
                <w:szCs w:val="18"/>
              </w:rPr>
              <w:t>89.3%</w:t>
            </w:r>
          </w:p>
        </w:tc>
        <w:tc>
          <w:tcPr>
            <w:tcW w:w="922" w:type="dxa"/>
            <w:shd w:val="clear" w:color="auto" w:fill="auto"/>
            <w:noWrap/>
            <w:vAlign w:val="center"/>
          </w:tcPr>
          <w:p w14:paraId="635736A6" w14:textId="0D02E7FD" w:rsidR="004B6F19" w:rsidRPr="001F6736" w:rsidRDefault="004D4B25" w:rsidP="00893148">
            <w:pPr>
              <w:spacing w:after="0"/>
              <w:jc w:val="center"/>
              <w:rPr>
                <w:rFonts w:eastAsia="Times New Roman" w:cs="Calibri"/>
                <w:color w:val="000000"/>
                <w:sz w:val="18"/>
                <w:szCs w:val="18"/>
              </w:rPr>
            </w:pPr>
            <w:r w:rsidRPr="001F6736">
              <w:rPr>
                <w:rFonts w:cs="Calibri"/>
                <w:color w:val="000000"/>
                <w:sz w:val="18"/>
                <w:szCs w:val="18"/>
              </w:rPr>
              <w:t>94.4%</w:t>
            </w:r>
          </w:p>
        </w:tc>
        <w:tc>
          <w:tcPr>
            <w:tcW w:w="922" w:type="dxa"/>
            <w:shd w:val="clear" w:color="auto" w:fill="auto"/>
            <w:noWrap/>
            <w:vAlign w:val="center"/>
          </w:tcPr>
          <w:p w14:paraId="23D86961" w14:textId="438A7D99" w:rsidR="004B6F19" w:rsidRPr="001F6736" w:rsidRDefault="004D4B25" w:rsidP="00893148">
            <w:pPr>
              <w:spacing w:after="0"/>
              <w:jc w:val="center"/>
              <w:rPr>
                <w:rFonts w:eastAsia="Times New Roman" w:cs="Calibri"/>
                <w:color w:val="000000"/>
                <w:sz w:val="18"/>
                <w:szCs w:val="18"/>
              </w:rPr>
            </w:pPr>
            <w:r w:rsidRPr="001F6736">
              <w:rPr>
                <w:rFonts w:cs="Calibri"/>
                <w:color w:val="000000"/>
                <w:sz w:val="18"/>
                <w:szCs w:val="18"/>
              </w:rPr>
              <w:t>87.8%</w:t>
            </w:r>
          </w:p>
        </w:tc>
        <w:tc>
          <w:tcPr>
            <w:tcW w:w="922" w:type="dxa"/>
            <w:shd w:val="clear" w:color="auto" w:fill="auto"/>
            <w:noWrap/>
            <w:vAlign w:val="center"/>
          </w:tcPr>
          <w:p w14:paraId="404F775E" w14:textId="33012243" w:rsidR="004B6F19" w:rsidRPr="001F6736" w:rsidRDefault="004D4B25" w:rsidP="00893148">
            <w:pPr>
              <w:spacing w:after="0"/>
              <w:jc w:val="center"/>
              <w:rPr>
                <w:rFonts w:eastAsia="Times New Roman" w:cs="Calibri"/>
                <w:color w:val="000000"/>
                <w:sz w:val="18"/>
                <w:szCs w:val="18"/>
              </w:rPr>
            </w:pPr>
            <w:r w:rsidRPr="001F6736">
              <w:rPr>
                <w:rFonts w:cs="Calibri"/>
                <w:color w:val="000000"/>
                <w:sz w:val="18"/>
                <w:szCs w:val="18"/>
              </w:rPr>
              <w:t>87.3%</w:t>
            </w:r>
          </w:p>
        </w:tc>
        <w:tc>
          <w:tcPr>
            <w:tcW w:w="922" w:type="dxa"/>
            <w:shd w:val="clear" w:color="auto" w:fill="auto"/>
            <w:noWrap/>
            <w:vAlign w:val="center"/>
          </w:tcPr>
          <w:p w14:paraId="43A335C7" w14:textId="4D8C2959" w:rsidR="004B6F19" w:rsidRPr="001F6736" w:rsidRDefault="004D4B25" w:rsidP="00893148">
            <w:pPr>
              <w:spacing w:after="0"/>
              <w:jc w:val="center"/>
              <w:rPr>
                <w:rFonts w:eastAsia="Times New Roman" w:cs="Calibri"/>
                <w:color w:val="000000"/>
                <w:sz w:val="18"/>
                <w:szCs w:val="18"/>
              </w:rPr>
            </w:pPr>
            <w:r w:rsidRPr="001F6736">
              <w:rPr>
                <w:rFonts w:cs="Calibri"/>
                <w:color w:val="000000"/>
                <w:sz w:val="18"/>
                <w:szCs w:val="18"/>
              </w:rPr>
              <w:t>N/A</w:t>
            </w:r>
          </w:p>
        </w:tc>
        <w:tc>
          <w:tcPr>
            <w:tcW w:w="922" w:type="dxa"/>
            <w:shd w:val="clear" w:color="auto" w:fill="auto"/>
            <w:noWrap/>
            <w:vAlign w:val="center"/>
          </w:tcPr>
          <w:p w14:paraId="6752EAF5" w14:textId="151B2057" w:rsidR="004B6F19" w:rsidRPr="001F6736" w:rsidRDefault="004D4B25" w:rsidP="00893148">
            <w:pPr>
              <w:spacing w:after="0"/>
              <w:jc w:val="center"/>
              <w:rPr>
                <w:rFonts w:eastAsia="Times New Roman" w:cs="Calibri"/>
                <w:color w:val="000000"/>
                <w:sz w:val="18"/>
                <w:szCs w:val="18"/>
              </w:rPr>
            </w:pPr>
            <w:r w:rsidRPr="001F6736">
              <w:rPr>
                <w:rFonts w:cs="Calibri"/>
                <w:color w:val="000000"/>
                <w:sz w:val="18"/>
                <w:szCs w:val="18"/>
              </w:rPr>
              <w:t>93.4%</w:t>
            </w:r>
          </w:p>
        </w:tc>
        <w:tc>
          <w:tcPr>
            <w:tcW w:w="922" w:type="dxa"/>
            <w:shd w:val="clear" w:color="auto" w:fill="auto"/>
            <w:noWrap/>
            <w:vAlign w:val="center"/>
          </w:tcPr>
          <w:p w14:paraId="730CA6C5" w14:textId="4CB45763" w:rsidR="004B6F19" w:rsidRPr="001F6736" w:rsidRDefault="004D4B25" w:rsidP="00893148">
            <w:pPr>
              <w:spacing w:after="0"/>
              <w:jc w:val="center"/>
              <w:rPr>
                <w:rFonts w:eastAsia="Times New Roman" w:cs="Calibri"/>
                <w:color w:val="000000"/>
                <w:sz w:val="18"/>
                <w:szCs w:val="18"/>
              </w:rPr>
            </w:pPr>
            <w:r w:rsidRPr="001F6736">
              <w:rPr>
                <w:rFonts w:cs="Calibri"/>
                <w:color w:val="000000"/>
                <w:sz w:val="18"/>
                <w:szCs w:val="18"/>
              </w:rPr>
              <w:t>N/A</w:t>
            </w:r>
          </w:p>
        </w:tc>
      </w:tr>
      <w:tr w:rsidR="004B6F19" w:rsidRPr="0049778F" w14:paraId="59BD3CD4" w14:textId="77777777" w:rsidTr="00717A49">
        <w:trPr>
          <w:trHeight w:val="302"/>
        </w:trPr>
        <w:tc>
          <w:tcPr>
            <w:tcW w:w="1440" w:type="dxa"/>
            <w:shd w:val="clear" w:color="auto" w:fill="F2F2F2" w:themeFill="background1" w:themeFillShade="F2"/>
            <w:noWrap/>
          </w:tcPr>
          <w:p w14:paraId="4F6F5762" w14:textId="27C71795" w:rsidR="004B6F19" w:rsidRPr="001F6736" w:rsidRDefault="003C45E6" w:rsidP="00893148">
            <w:pPr>
              <w:spacing w:after="0"/>
              <w:jc w:val="center"/>
              <w:rPr>
                <w:rFonts w:eastAsia="Times New Roman" w:cs="Calibri"/>
                <w:color w:val="000000"/>
                <w:sz w:val="20"/>
                <w:szCs w:val="20"/>
              </w:rPr>
            </w:pPr>
            <w:r w:rsidRPr="001F6736">
              <w:rPr>
                <w:rStyle w:val="normaltextrun"/>
                <w:rFonts w:cs="Calibri"/>
                <w:sz w:val="20"/>
                <w:szCs w:val="20"/>
              </w:rPr>
              <w:t>SPR</w:t>
            </w:r>
          </w:p>
        </w:tc>
        <w:tc>
          <w:tcPr>
            <w:tcW w:w="6336" w:type="dxa"/>
            <w:shd w:val="clear" w:color="auto" w:fill="F2F2F2" w:themeFill="background1" w:themeFillShade="F2"/>
          </w:tcPr>
          <w:p w14:paraId="7D782FC0" w14:textId="1BE064EE" w:rsidR="004B6F19" w:rsidRPr="001F6736" w:rsidRDefault="003C45E6" w:rsidP="00893148">
            <w:pPr>
              <w:spacing w:after="0"/>
              <w:rPr>
                <w:rFonts w:eastAsia="Times New Roman" w:cs="Calibri"/>
                <w:sz w:val="20"/>
                <w:szCs w:val="20"/>
              </w:rPr>
            </w:pPr>
            <w:r w:rsidRPr="001F6736">
              <w:rPr>
                <w:rStyle w:val="normaltextrun"/>
                <w:rFonts w:cs="Calibri"/>
                <w:sz w:val="20"/>
                <w:szCs w:val="20"/>
              </w:rPr>
              <w:t>Use of Spirometry Testing in the Assessment and Diagnosis of COPD </w:t>
            </w:r>
            <w:r w:rsidRPr="001F6736">
              <w:rPr>
                <w:rStyle w:val="eop"/>
                <w:rFonts w:cs="Calibri"/>
                <w:sz w:val="20"/>
                <w:szCs w:val="20"/>
              </w:rPr>
              <w:t> </w:t>
            </w:r>
          </w:p>
        </w:tc>
        <w:tc>
          <w:tcPr>
            <w:tcW w:w="1135" w:type="dxa"/>
            <w:shd w:val="clear" w:color="auto" w:fill="F2F2F2" w:themeFill="background1" w:themeFillShade="F2"/>
            <w:noWrap/>
            <w:vAlign w:val="center"/>
          </w:tcPr>
          <w:p w14:paraId="1BD8F890" w14:textId="224C457F" w:rsidR="004B6F19" w:rsidRPr="001F6736" w:rsidRDefault="00717A49" w:rsidP="00893148">
            <w:pPr>
              <w:spacing w:after="0"/>
              <w:jc w:val="center"/>
              <w:rPr>
                <w:rFonts w:eastAsia="Times New Roman" w:cs="Calibri"/>
                <w:color w:val="000000"/>
                <w:sz w:val="18"/>
                <w:szCs w:val="18"/>
              </w:rPr>
            </w:pPr>
            <w:r w:rsidRPr="001F6736">
              <w:rPr>
                <w:rFonts w:cs="Calibri"/>
                <w:color w:val="000000"/>
                <w:sz w:val="18"/>
                <w:szCs w:val="18"/>
              </w:rPr>
              <w:t>22.1%</w:t>
            </w:r>
          </w:p>
        </w:tc>
        <w:tc>
          <w:tcPr>
            <w:tcW w:w="922" w:type="dxa"/>
            <w:shd w:val="clear" w:color="auto" w:fill="F2F2F2" w:themeFill="background1" w:themeFillShade="F2"/>
            <w:noWrap/>
            <w:vAlign w:val="center"/>
          </w:tcPr>
          <w:p w14:paraId="6DC474C4" w14:textId="6312D647" w:rsidR="004B6F19" w:rsidRPr="001F6736" w:rsidRDefault="00717A49" w:rsidP="00893148">
            <w:pPr>
              <w:spacing w:after="0"/>
              <w:jc w:val="center"/>
              <w:rPr>
                <w:rFonts w:eastAsia="Times New Roman" w:cs="Calibri"/>
                <w:color w:val="000000"/>
                <w:sz w:val="18"/>
                <w:szCs w:val="18"/>
              </w:rPr>
            </w:pPr>
            <w:r w:rsidRPr="001F6736">
              <w:rPr>
                <w:rFonts w:cs="Calibri"/>
                <w:color w:val="000000"/>
                <w:sz w:val="18"/>
                <w:szCs w:val="18"/>
              </w:rPr>
              <w:t>N/A</w:t>
            </w:r>
          </w:p>
        </w:tc>
        <w:tc>
          <w:tcPr>
            <w:tcW w:w="922" w:type="dxa"/>
            <w:shd w:val="clear" w:color="auto" w:fill="F2F2F2" w:themeFill="background1" w:themeFillShade="F2"/>
            <w:noWrap/>
            <w:vAlign w:val="center"/>
          </w:tcPr>
          <w:p w14:paraId="24C075D8" w14:textId="64B34406" w:rsidR="004B6F19" w:rsidRPr="001F6736" w:rsidRDefault="00717A49" w:rsidP="00893148">
            <w:pPr>
              <w:spacing w:after="0"/>
              <w:jc w:val="center"/>
              <w:rPr>
                <w:rFonts w:eastAsia="Times New Roman" w:cs="Calibri"/>
                <w:color w:val="000000"/>
                <w:sz w:val="18"/>
                <w:szCs w:val="18"/>
              </w:rPr>
            </w:pPr>
            <w:r w:rsidRPr="001F6736">
              <w:rPr>
                <w:rFonts w:cs="Calibri"/>
                <w:color w:val="000000"/>
                <w:sz w:val="18"/>
                <w:szCs w:val="18"/>
              </w:rPr>
              <w:t>22.0%</w:t>
            </w:r>
          </w:p>
        </w:tc>
        <w:tc>
          <w:tcPr>
            <w:tcW w:w="922" w:type="dxa"/>
            <w:shd w:val="clear" w:color="auto" w:fill="F2F2F2" w:themeFill="background1" w:themeFillShade="F2"/>
            <w:noWrap/>
            <w:vAlign w:val="center"/>
          </w:tcPr>
          <w:p w14:paraId="0675B604" w14:textId="4C45790A" w:rsidR="004B6F19" w:rsidRPr="001F6736" w:rsidRDefault="00717A49" w:rsidP="00893148">
            <w:pPr>
              <w:spacing w:after="0"/>
              <w:jc w:val="center"/>
              <w:rPr>
                <w:rFonts w:eastAsia="Times New Roman" w:cs="Calibri"/>
                <w:color w:val="000000"/>
                <w:sz w:val="18"/>
                <w:szCs w:val="18"/>
              </w:rPr>
            </w:pPr>
            <w:r w:rsidRPr="001F6736">
              <w:rPr>
                <w:rFonts w:cs="Calibri"/>
                <w:color w:val="000000"/>
                <w:sz w:val="18"/>
                <w:szCs w:val="18"/>
              </w:rPr>
              <w:t>25.7%</w:t>
            </w:r>
          </w:p>
        </w:tc>
        <w:tc>
          <w:tcPr>
            <w:tcW w:w="922" w:type="dxa"/>
            <w:shd w:val="clear" w:color="auto" w:fill="F2F2F2" w:themeFill="background1" w:themeFillShade="F2"/>
            <w:noWrap/>
            <w:vAlign w:val="center"/>
          </w:tcPr>
          <w:p w14:paraId="6CD4630F" w14:textId="20414CD3" w:rsidR="004B6F19" w:rsidRPr="001F6736" w:rsidRDefault="00717A49" w:rsidP="00893148">
            <w:pPr>
              <w:spacing w:after="0"/>
              <w:jc w:val="center"/>
              <w:rPr>
                <w:rFonts w:eastAsia="Times New Roman" w:cs="Calibri"/>
                <w:color w:val="000000"/>
                <w:sz w:val="18"/>
                <w:szCs w:val="18"/>
              </w:rPr>
            </w:pPr>
            <w:r w:rsidRPr="001F6736">
              <w:rPr>
                <w:rFonts w:cs="Calibri"/>
                <w:color w:val="000000"/>
                <w:sz w:val="18"/>
                <w:szCs w:val="18"/>
              </w:rPr>
              <w:t>19.4%</w:t>
            </w:r>
          </w:p>
        </w:tc>
        <w:tc>
          <w:tcPr>
            <w:tcW w:w="922" w:type="dxa"/>
            <w:shd w:val="clear" w:color="auto" w:fill="F2F2F2" w:themeFill="background1" w:themeFillShade="F2"/>
            <w:noWrap/>
            <w:vAlign w:val="center"/>
          </w:tcPr>
          <w:p w14:paraId="2AE92BB7" w14:textId="042D0C7A" w:rsidR="004B6F19" w:rsidRPr="001F6736" w:rsidRDefault="00717A49" w:rsidP="00893148">
            <w:pPr>
              <w:spacing w:after="0"/>
              <w:jc w:val="center"/>
              <w:rPr>
                <w:rFonts w:eastAsia="Times New Roman" w:cs="Calibri"/>
                <w:color w:val="000000"/>
                <w:sz w:val="18"/>
                <w:szCs w:val="18"/>
              </w:rPr>
            </w:pPr>
            <w:r w:rsidRPr="001F6736">
              <w:rPr>
                <w:rFonts w:cs="Calibri"/>
                <w:color w:val="000000"/>
                <w:sz w:val="18"/>
                <w:szCs w:val="18"/>
              </w:rPr>
              <w:t>22.1%</w:t>
            </w:r>
          </w:p>
        </w:tc>
        <w:tc>
          <w:tcPr>
            <w:tcW w:w="922" w:type="dxa"/>
            <w:shd w:val="clear" w:color="auto" w:fill="F2F2F2" w:themeFill="background1" w:themeFillShade="F2"/>
            <w:noWrap/>
            <w:vAlign w:val="center"/>
          </w:tcPr>
          <w:p w14:paraId="4E3EC94C" w14:textId="4F446548" w:rsidR="004B6F19" w:rsidRPr="001F6736" w:rsidRDefault="00717A49" w:rsidP="00893148">
            <w:pPr>
              <w:spacing w:after="0"/>
              <w:jc w:val="center"/>
              <w:rPr>
                <w:rFonts w:eastAsia="Times New Roman" w:cs="Calibri"/>
                <w:color w:val="000000"/>
                <w:sz w:val="18"/>
                <w:szCs w:val="18"/>
              </w:rPr>
            </w:pPr>
            <w:r w:rsidRPr="001F6736">
              <w:rPr>
                <w:rFonts w:cs="Calibri"/>
                <w:color w:val="000000"/>
                <w:sz w:val="18"/>
                <w:szCs w:val="18"/>
              </w:rPr>
              <w:t>22.8%</w:t>
            </w:r>
          </w:p>
        </w:tc>
      </w:tr>
      <w:tr w:rsidR="004B6F19" w:rsidRPr="0049778F" w14:paraId="1A96F072" w14:textId="77777777" w:rsidTr="00717A49">
        <w:trPr>
          <w:trHeight w:val="302"/>
        </w:trPr>
        <w:tc>
          <w:tcPr>
            <w:tcW w:w="1440" w:type="dxa"/>
            <w:shd w:val="clear" w:color="auto" w:fill="auto"/>
            <w:noWrap/>
          </w:tcPr>
          <w:p w14:paraId="4BD37126" w14:textId="0A8CC1FA" w:rsidR="004B6F19" w:rsidRPr="001F6736" w:rsidRDefault="003C45E6" w:rsidP="00893148">
            <w:pPr>
              <w:spacing w:after="0"/>
              <w:jc w:val="center"/>
              <w:rPr>
                <w:rFonts w:eastAsia="Times New Roman" w:cs="Calibri"/>
                <w:color w:val="000000"/>
                <w:sz w:val="20"/>
                <w:szCs w:val="20"/>
              </w:rPr>
            </w:pPr>
            <w:r w:rsidRPr="001F6736">
              <w:rPr>
                <w:rStyle w:val="normaltextrun"/>
                <w:rFonts w:cs="Calibri"/>
                <w:sz w:val="20"/>
                <w:szCs w:val="20"/>
              </w:rPr>
              <w:t>DAE</w:t>
            </w:r>
          </w:p>
        </w:tc>
        <w:tc>
          <w:tcPr>
            <w:tcW w:w="6336" w:type="dxa"/>
            <w:shd w:val="clear" w:color="auto" w:fill="auto"/>
          </w:tcPr>
          <w:p w14:paraId="09A89A5F" w14:textId="54FA3A2F" w:rsidR="004B6F19" w:rsidRPr="001F6736" w:rsidRDefault="003C45E6" w:rsidP="00893148">
            <w:pPr>
              <w:spacing w:after="0"/>
              <w:rPr>
                <w:rFonts w:eastAsia="Times New Roman" w:cs="Calibri"/>
                <w:sz w:val="20"/>
                <w:szCs w:val="20"/>
              </w:rPr>
            </w:pPr>
            <w:r w:rsidRPr="001F6736">
              <w:rPr>
                <w:rStyle w:val="normaltextrun"/>
                <w:rFonts w:cs="Calibri"/>
                <w:sz w:val="20"/>
                <w:szCs w:val="20"/>
              </w:rPr>
              <w:t>Use of High-Risk Medications in the Elderly - Total</w:t>
            </w:r>
            <w:r w:rsidRPr="001F6736">
              <w:rPr>
                <w:rStyle w:val="eop"/>
                <w:rFonts w:cs="Calibri"/>
                <w:sz w:val="20"/>
                <w:szCs w:val="20"/>
              </w:rPr>
              <w:t> </w:t>
            </w:r>
          </w:p>
        </w:tc>
        <w:tc>
          <w:tcPr>
            <w:tcW w:w="1135" w:type="dxa"/>
            <w:shd w:val="clear" w:color="auto" w:fill="auto"/>
            <w:noWrap/>
            <w:vAlign w:val="center"/>
          </w:tcPr>
          <w:p w14:paraId="4FF6A9E4" w14:textId="34122B59" w:rsidR="004B6F19" w:rsidRPr="001F6736" w:rsidRDefault="00577CA0" w:rsidP="00893148">
            <w:pPr>
              <w:spacing w:after="0"/>
              <w:jc w:val="center"/>
              <w:rPr>
                <w:rFonts w:eastAsia="Times New Roman" w:cs="Calibri"/>
                <w:color w:val="000000"/>
                <w:sz w:val="18"/>
                <w:szCs w:val="18"/>
              </w:rPr>
            </w:pPr>
            <w:r w:rsidRPr="001F6736">
              <w:rPr>
                <w:rFonts w:cs="Calibri"/>
                <w:color w:val="000000"/>
                <w:sz w:val="18"/>
                <w:szCs w:val="18"/>
              </w:rPr>
              <w:t>21.6%</w:t>
            </w:r>
          </w:p>
        </w:tc>
        <w:tc>
          <w:tcPr>
            <w:tcW w:w="922" w:type="dxa"/>
            <w:shd w:val="clear" w:color="auto" w:fill="auto"/>
            <w:noWrap/>
            <w:vAlign w:val="center"/>
          </w:tcPr>
          <w:p w14:paraId="44E0749B" w14:textId="3815D29E" w:rsidR="004B6F19" w:rsidRPr="001F6736" w:rsidRDefault="00577CA0" w:rsidP="00893148">
            <w:pPr>
              <w:spacing w:after="0"/>
              <w:jc w:val="center"/>
              <w:rPr>
                <w:rFonts w:eastAsia="Times New Roman" w:cs="Calibri"/>
                <w:color w:val="000000"/>
                <w:sz w:val="18"/>
                <w:szCs w:val="18"/>
              </w:rPr>
            </w:pPr>
            <w:r w:rsidRPr="001F6736">
              <w:rPr>
                <w:rFonts w:cs="Calibri"/>
                <w:color w:val="000000"/>
                <w:sz w:val="18"/>
                <w:szCs w:val="18"/>
              </w:rPr>
              <w:t>17.0%</w:t>
            </w:r>
          </w:p>
        </w:tc>
        <w:tc>
          <w:tcPr>
            <w:tcW w:w="922" w:type="dxa"/>
            <w:shd w:val="clear" w:color="auto" w:fill="auto"/>
            <w:noWrap/>
            <w:vAlign w:val="center"/>
          </w:tcPr>
          <w:p w14:paraId="71E643E9" w14:textId="383DD6B5" w:rsidR="004B6F19" w:rsidRPr="001F6736" w:rsidRDefault="00577CA0" w:rsidP="00893148">
            <w:pPr>
              <w:spacing w:after="0"/>
              <w:jc w:val="center"/>
              <w:rPr>
                <w:rFonts w:eastAsia="Times New Roman" w:cs="Calibri"/>
                <w:color w:val="000000"/>
                <w:sz w:val="18"/>
                <w:szCs w:val="18"/>
              </w:rPr>
            </w:pPr>
            <w:r w:rsidRPr="001F6736">
              <w:rPr>
                <w:rFonts w:cs="Calibri"/>
                <w:color w:val="000000"/>
                <w:sz w:val="18"/>
                <w:szCs w:val="18"/>
              </w:rPr>
              <w:t>25.6%</w:t>
            </w:r>
          </w:p>
        </w:tc>
        <w:tc>
          <w:tcPr>
            <w:tcW w:w="922" w:type="dxa"/>
            <w:shd w:val="clear" w:color="auto" w:fill="auto"/>
            <w:noWrap/>
            <w:vAlign w:val="center"/>
          </w:tcPr>
          <w:p w14:paraId="29C8272D" w14:textId="3762B964" w:rsidR="004B6F19" w:rsidRPr="001F6736" w:rsidRDefault="00577CA0" w:rsidP="00893148">
            <w:pPr>
              <w:spacing w:after="0"/>
              <w:jc w:val="center"/>
              <w:rPr>
                <w:rFonts w:eastAsia="Times New Roman" w:cs="Calibri"/>
                <w:color w:val="000000"/>
                <w:sz w:val="18"/>
                <w:szCs w:val="18"/>
              </w:rPr>
            </w:pPr>
            <w:r w:rsidRPr="001F6736">
              <w:rPr>
                <w:rFonts w:cs="Calibri"/>
                <w:color w:val="000000"/>
                <w:sz w:val="18"/>
                <w:szCs w:val="18"/>
              </w:rPr>
              <w:t>25.1%</w:t>
            </w:r>
          </w:p>
        </w:tc>
        <w:tc>
          <w:tcPr>
            <w:tcW w:w="922" w:type="dxa"/>
            <w:shd w:val="clear" w:color="auto" w:fill="auto"/>
            <w:noWrap/>
            <w:vAlign w:val="center"/>
          </w:tcPr>
          <w:p w14:paraId="7E93A19E" w14:textId="616F10C9" w:rsidR="004B6F19" w:rsidRPr="001F6736" w:rsidRDefault="00577CA0" w:rsidP="00893148">
            <w:pPr>
              <w:spacing w:after="0"/>
              <w:jc w:val="center"/>
              <w:rPr>
                <w:rFonts w:eastAsia="Times New Roman" w:cs="Calibri"/>
                <w:color w:val="000000"/>
                <w:sz w:val="18"/>
                <w:szCs w:val="18"/>
              </w:rPr>
            </w:pPr>
            <w:r w:rsidRPr="001F6736">
              <w:rPr>
                <w:rFonts w:cs="Calibri"/>
                <w:color w:val="000000"/>
                <w:sz w:val="18"/>
                <w:szCs w:val="18"/>
              </w:rPr>
              <w:t>18.3%</w:t>
            </w:r>
          </w:p>
        </w:tc>
        <w:tc>
          <w:tcPr>
            <w:tcW w:w="922" w:type="dxa"/>
            <w:shd w:val="clear" w:color="auto" w:fill="auto"/>
            <w:noWrap/>
            <w:vAlign w:val="center"/>
          </w:tcPr>
          <w:p w14:paraId="00AC140D" w14:textId="7CE3D897" w:rsidR="004B6F19" w:rsidRPr="001F6736" w:rsidRDefault="00577CA0" w:rsidP="00893148">
            <w:pPr>
              <w:spacing w:after="0"/>
              <w:jc w:val="center"/>
              <w:rPr>
                <w:rFonts w:eastAsia="Times New Roman" w:cs="Calibri"/>
                <w:color w:val="000000"/>
                <w:sz w:val="18"/>
                <w:szCs w:val="18"/>
              </w:rPr>
            </w:pPr>
            <w:r w:rsidRPr="001F6736">
              <w:rPr>
                <w:rFonts w:cs="Calibri"/>
                <w:color w:val="000000"/>
                <w:sz w:val="18"/>
                <w:szCs w:val="18"/>
              </w:rPr>
              <w:t>19.0%</w:t>
            </w:r>
          </w:p>
        </w:tc>
        <w:tc>
          <w:tcPr>
            <w:tcW w:w="922" w:type="dxa"/>
            <w:shd w:val="clear" w:color="auto" w:fill="auto"/>
            <w:noWrap/>
            <w:vAlign w:val="center"/>
          </w:tcPr>
          <w:p w14:paraId="6489EEB1" w14:textId="4BF9166F" w:rsidR="004B6F19" w:rsidRPr="001F6736" w:rsidRDefault="00577CA0" w:rsidP="00893148">
            <w:pPr>
              <w:spacing w:after="0"/>
              <w:jc w:val="center"/>
              <w:rPr>
                <w:rFonts w:eastAsia="Times New Roman" w:cs="Calibri"/>
                <w:color w:val="000000"/>
                <w:sz w:val="18"/>
                <w:szCs w:val="18"/>
              </w:rPr>
            </w:pPr>
            <w:r w:rsidRPr="001F6736">
              <w:rPr>
                <w:rFonts w:cs="Calibri"/>
                <w:color w:val="000000"/>
                <w:sz w:val="18"/>
                <w:szCs w:val="18"/>
              </w:rPr>
              <w:t>21.4%</w:t>
            </w:r>
          </w:p>
        </w:tc>
      </w:tr>
      <w:tr w:rsidR="004B6F19" w:rsidRPr="0049778F" w14:paraId="5F482515" w14:textId="77777777" w:rsidTr="00717A49">
        <w:trPr>
          <w:trHeight w:val="302"/>
        </w:trPr>
        <w:tc>
          <w:tcPr>
            <w:tcW w:w="1440" w:type="dxa"/>
            <w:shd w:val="clear" w:color="auto" w:fill="F2F2F2" w:themeFill="background1" w:themeFillShade="F2"/>
            <w:noWrap/>
          </w:tcPr>
          <w:p w14:paraId="2B92F2D2" w14:textId="1E96F6EA" w:rsidR="004B6F19" w:rsidRPr="001F6736" w:rsidRDefault="003C45E6" w:rsidP="00893148">
            <w:pPr>
              <w:spacing w:after="0"/>
              <w:jc w:val="center"/>
              <w:rPr>
                <w:rFonts w:eastAsia="Times New Roman" w:cs="Calibri"/>
                <w:color w:val="000000"/>
                <w:sz w:val="20"/>
                <w:szCs w:val="20"/>
              </w:rPr>
            </w:pPr>
            <w:r w:rsidRPr="001F6736">
              <w:rPr>
                <w:rStyle w:val="normaltextrun"/>
                <w:rFonts w:cs="Calibri"/>
                <w:sz w:val="20"/>
                <w:szCs w:val="20"/>
              </w:rPr>
              <w:t>DDE</w:t>
            </w:r>
          </w:p>
        </w:tc>
        <w:tc>
          <w:tcPr>
            <w:tcW w:w="6336" w:type="dxa"/>
            <w:shd w:val="clear" w:color="auto" w:fill="F2F2F2" w:themeFill="background1" w:themeFillShade="F2"/>
          </w:tcPr>
          <w:p w14:paraId="3F7A3EFA" w14:textId="208B40AF" w:rsidR="004B6F19" w:rsidRPr="001F6736" w:rsidRDefault="003C45E6" w:rsidP="00893148">
            <w:pPr>
              <w:spacing w:after="0"/>
              <w:rPr>
                <w:rFonts w:eastAsia="Times New Roman" w:cs="Calibri"/>
                <w:sz w:val="20"/>
                <w:szCs w:val="20"/>
              </w:rPr>
            </w:pPr>
            <w:r w:rsidRPr="001F6736">
              <w:rPr>
                <w:rStyle w:val="normaltextrun"/>
                <w:rFonts w:cs="Calibri"/>
                <w:sz w:val="20"/>
                <w:szCs w:val="20"/>
              </w:rPr>
              <w:t>Potentially Harmful Drug Disease Interactions in the Elderly (total) </w:t>
            </w:r>
            <w:r w:rsidRPr="001F6736">
              <w:rPr>
                <w:rStyle w:val="eop"/>
                <w:rFonts w:cs="Calibri"/>
                <w:sz w:val="20"/>
                <w:szCs w:val="20"/>
              </w:rPr>
              <w:t> </w:t>
            </w:r>
          </w:p>
        </w:tc>
        <w:tc>
          <w:tcPr>
            <w:tcW w:w="1135" w:type="dxa"/>
            <w:shd w:val="clear" w:color="auto" w:fill="F2F2F2" w:themeFill="background1" w:themeFillShade="F2"/>
            <w:noWrap/>
            <w:vAlign w:val="center"/>
          </w:tcPr>
          <w:p w14:paraId="49D0A4A9" w14:textId="2DDE8AA6" w:rsidR="004B6F19" w:rsidRPr="001F6736" w:rsidRDefault="00577CA0" w:rsidP="00893148">
            <w:pPr>
              <w:spacing w:after="0"/>
              <w:jc w:val="center"/>
              <w:rPr>
                <w:rFonts w:eastAsia="Times New Roman" w:cs="Calibri"/>
                <w:color w:val="000000"/>
                <w:sz w:val="18"/>
                <w:szCs w:val="18"/>
              </w:rPr>
            </w:pPr>
            <w:r w:rsidRPr="001F6736">
              <w:rPr>
                <w:rFonts w:cs="Calibri"/>
                <w:color w:val="000000"/>
                <w:sz w:val="18"/>
                <w:szCs w:val="18"/>
              </w:rPr>
              <w:t>31.5%</w:t>
            </w:r>
          </w:p>
        </w:tc>
        <w:tc>
          <w:tcPr>
            <w:tcW w:w="922" w:type="dxa"/>
            <w:shd w:val="clear" w:color="auto" w:fill="F2F2F2" w:themeFill="background1" w:themeFillShade="F2"/>
            <w:noWrap/>
            <w:vAlign w:val="center"/>
          </w:tcPr>
          <w:p w14:paraId="6449CA00" w14:textId="4D79D27A" w:rsidR="004B6F19" w:rsidRPr="001F6736" w:rsidRDefault="00577CA0" w:rsidP="00893148">
            <w:pPr>
              <w:spacing w:after="0"/>
              <w:jc w:val="center"/>
              <w:rPr>
                <w:rFonts w:eastAsia="Times New Roman" w:cs="Calibri"/>
                <w:color w:val="000000"/>
                <w:sz w:val="18"/>
                <w:szCs w:val="18"/>
              </w:rPr>
            </w:pPr>
            <w:r w:rsidRPr="001F6736">
              <w:rPr>
                <w:rFonts w:cs="Calibri"/>
                <w:color w:val="000000"/>
                <w:sz w:val="18"/>
                <w:szCs w:val="18"/>
              </w:rPr>
              <w:t>29.3%</w:t>
            </w:r>
          </w:p>
        </w:tc>
        <w:tc>
          <w:tcPr>
            <w:tcW w:w="922" w:type="dxa"/>
            <w:shd w:val="clear" w:color="auto" w:fill="F2F2F2" w:themeFill="background1" w:themeFillShade="F2"/>
            <w:noWrap/>
            <w:vAlign w:val="center"/>
          </w:tcPr>
          <w:p w14:paraId="7DD73D56" w14:textId="558C79CC" w:rsidR="004B6F19" w:rsidRPr="001F6736" w:rsidRDefault="00577CA0" w:rsidP="00893148">
            <w:pPr>
              <w:spacing w:after="0"/>
              <w:jc w:val="center"/>
              <w:rPr>
                <w:rFonts w:eastAsia="Times New Roman" w:cs="Calibri"/>
                <w:color w:val="000000"/>
                <w:sz w:val="18"/>
                <w:szCs w:val="18"/>
              </w:rPr>
            </w:pPr>
            <w:r w:rsidRPr="001F6736">
              <w:rPr>
                <w:rFonts w:cs="Calibri"/>
                <w:color w:val="000000"/>
                <w:sz w:val="18"/>
                <w:szCs w:val="18"/>
              </w:rPr>
              <w:t>31.4%</w:t>
            </w:r>
          </w:p>
        </w:tc>
        <w:tc>
          <w:tcPr>
            <w:tcW w:w="922" w:type="dxa"/>
            <w:shd w:val="clear" w:color="auto" w:fill="F2F2F2" w:themeFill="background1" w:themeFillShade="F2"/>
            <w:noWrap/>
            <w:vAlign w:val="center"/>
          </w:tcPr>
          <w:p w14:paraId="4558F631" w14:textId="09295B08" w:rsidR="004B6F19" w:rsidRPr="001F6736" w:rsidRDefault="00577CA0" w:rsidP="00893148">
            <w:pPr>
              <w:spacing w:after="0"/>
              <w:jc w:val="center"/>
              <w:rPr>
                <w:rFonts w:eastAsia="Times New Roman" w:cs="Calibri"/>
                <w:color w:val="000000"/>
                <w:sz w:val="18"/>
                <w:szCs w:val="18"/>
              </w:rPr>
            </w:pPr>
            <w:r w:rsidRPr="001F6736">
              <w:rPr>
                <w:rFonts w:cs="Calibri"/>
                <w:color w:val="000000"/>
                <w:sz w:val="18"/>
                <w:szCs w:val="18"/>
              </w:rPr>
              <w:t>36.3%</w:t>
            </w:r>
          </w:p>
        </w:tc>
        <w:tc>
          <w:tcPr>
            <w:tcW w:w="922" w:type="dxa"/>
            <w:shd w:val="clear" w:color="auto" w:fill="F2F2F2" w:themeFill="background1" w:themeFillShade="F2"/>
            <w:noWrap/>
            <w:vAlign w:val="center"/>
          </w:tcPr>
          <w:p w14:paraId="00E989A6" w14:textId="1296062B" w:rsidR="004B6F19" w:rsidRPr="001F6736" w:rsidRDefault="00577CA0" w:rsidP="00893148">
            <w:pPr>
              <w:spacing w:after="0"/>
              <w:jc w:val="center"/>
              <w:rPr>
                <w:rFonts w:eastAsia="Times New Roman" w:cs="Calibri"/>
                <w:color w:val="000000"/>
                <w:sz w:val="18"/>
                <w:szCs w:val="18"/>
              </w:rPr>
            </w:pPr>
            <w:r w:rsidRPr="001F6736">
              <w:rPr>
                <w:rFonts w:cs="Calibri"/>
                <w:color w:val="000000"/>
                <w:sz w:val="18"/>
                <w:szCs w:val="18"/>
              </w:rPr>
              <w:t>27.8%</w:t>
            </w:r>
          </w:p>
        </w:tc>
        <w:tc>
          <w:tcPr>
            <w:tcW w:w="922" w:type="dxa"/>
            <w:shd w:val="clear" w:color="auto" w:fill="F2F2F2" w:themeFill="background1" w:themeFillShade="F2"/>
            <w:noWrap/>
            <w:vAlign w:val="center"/>
          </w:tcPr>
          <w:p w14:paraId="1A526299" w14:textId="2077654F" w:rsidR="004B6F19" w:rsidRPr="001F6736" w:rsidRDefault="00577CA0" w:rsidP="00893148">
            <w:pPr>
              <w:spacing w:after="0"/>
              <w:jc w:val="center"/>
              <w:rPr>
                <w:rFonts w:eastAsia="Times New Roman" w:cs="Calibri"/>
                <w:color w:val="000000"/>
                <w:sz w:val="18"/>
                <w:szCs w:val="18"/>
              </w:rPr>
            </w:pPr>
            <w:r w:rsidRPr="001F6736">
              <w:rPr>
                <w:rFonts w:cs="Calibri"/>
                <w:color w:val="000000"/>
                <w:sz w:val="18"/>
                <w:szCs w:val="18"/>
              </w:rPr>
              <w:t>31.4%</w:t>
            </w:r>
          </w:p>
        </w:tc>
        <w:tc>
          <w:tcPr>
            <w:tcW w:w="922" w:type="dxa"/>
            <w:shd w:val="clear" w:color="auto" w:fill="F2F2F2" w:themeFill="background1" w:themeFillShade="F2"/>
            <w:noWrap/>
            <w:vAlign w:val="center"/>
          </w:tcPr>
          <w:p w14:paraId="659D5163" w14:textId="1F763854" w:rsidR="004B6F19" w:rsidRPr="001F6736" w:rsidRDefault="00577CA0" w:rsidP="00893148">
            <w:pPr>
              <w:spacing w:after="0"/>
              <w:jc w:val="center"/>
              <w:rPr>
                <w:rFonts w:eastAsia="Times New Roman" w:cs="Calibri"/>
                <w:color w:val="000000"/>
                <w:sz w:val="18"/>
                <w:szCs w:val="18"/>
              </w:rPr>
            </w:pPr>
            <w:r w:rsidRPr="001F6736">
              <w:rPr>
                <w:rFonts w:cs="Calibri"/>
                <w:color w:val="000000"/>
                <w:sz w:val="18"/>
                <w:szCs w:val="18"/>
              </w:rPr>
              <w:t>32.6%</w:t>
            </w:r>
          </w:p>
        </w:tc>
      </w:tr>
      <w:tr w:rsidR="004B6F19" w:rsidRPr="0049778F" w14:paraId="14CEBAA8" w14:textId="77777777" w:rsidTr="00717A49">
        <w:trPr>
          <w:trHeight w:val="302"/>
        </w:trPr>
        <w:tc>
          <w:tcPr>
            <w:tcW w:w="1440" w:type="dxa"/>
            <w:shd w:val="clear" w:color="auto" w:fill="auto"/>
            <w:noWrap/>
          </w:tcPr>
          <w:p w14:paraId="6DC37E2D" w14:textId="193D2C9A" w:rsidR="004B6F19" w:rsidRPr="001F6736" w:rsidRDefault="003C45E6" w:rsidP="00893148">
            <w:pPr>
              <w:spacing w:after="0"/>
              <w:jc w:val="center"/>
              <w:rPr>
                <w:rFonts w:eastAsia="Times New Roman" w:cs="Calibri"/>
                <w:color w:val="000000"/>
                <w:sz w:val="20"/>
                <w:szCs w:val="20"/>
              </w:rPr>
            </w:pPr>
            <w:r w:rsidRPr="001F6736">
              <w:rPr>
                <w:rStyle w:val="normaltextrun"/>
                <w:rFonts w:cs="Calibri"/>
                <w:sz w:val="20"/>
                <w:szCs w:val="20"/>
              </w:rPr>
              <w:t>FUH-7</w:t>
            </w:r>
          </w:p>
        </w:tc>
        <w:tc>
          <w:tcPr>
            <w:tcW w:w="6336" w:type="dxa"/>
            <w:shd w:val="clear" w:color="auto" w:fill="auto"/>
          </w:tcPr>
          <w:p w14:paraId="7FCC8598" w14:textId="5AE4DE2B" w:rsidR="004B6F19" w:rsidRPr="001F6736" w:rsidRDefault="003C45E6" w:rsidP="00893148">
            <w:pPr>
              <w:spacing w:after="0"/>
              <w:rPr>
                <w:rFonts w:eastAsia="Times New Roman" w:cs="Calibri"/>
                <w:sz w:val="20"/>
                <w:szCs w:val="20"/>
              </w:rPr>
            </w:pPr>
            <w:r w:rsidRPr="001F6736">
              <w:rPr>
                <w:rStyle w:val="normaltextrun"/>
                <w:rFonts w:cs="Calibri"/>
                <w:sz w:val="20"/>
                <w:szCs w:val="20"/>
              </w:rPr>
              <w:t>Follow-Up After Hospitalization for Mental Illness (7 days) </w:t>
            </w:r>
            <w:r w:rsidRPr="001F6736">
              <w:rPr>
                <w:rStyle w:val="eop"/>
                <w:rFonts w:cs="Calibri"/>
                <w:sz w:val="20"/>
                <w:szCs w:val="20"/>
              </w:rPr>
              <w:t> </w:t>
            </w:r>
          </w:p>
        </w:tc>
        <w:tc>
          <w:tcPr>
            <w:tcW w:w="1135" w:type="dxa"/>
            <w:shd w:val="clear" w:color="auto" w:fill="auto"/>
            <w:noWrap/>
            <w:vAlign w:val="center"/>
          </w:tcPr>
          <w:p w14:paraId="1E1FC213" w14:textId="32667982" w:rsidR="004B6F19" w:rsidRPr="001F6736" w:rsidRDefault="005F1BC0" w:rsidP="00893148">
            <w:pPr>
              <w:spacing w:after="0"/>
              <w:jc w:val="center"/>
              <w:rPr>
                <w:rFonts w:eastAsia="Times New Roman" w:cs="Calibri"/>
                <w:color w:val="000000"/>
                <w:sz w:val="18"/>
                <w:szCs w:val="18"/>
              </w:rPr>
            </w:pPr>
            <w:r w:rsidRPr="001F6736">
              <w:rPr>
                <w:rFonts w:cs="Calibri"/>
                <w:color w:val="000000"/>
                <w:sz w:val="18"/>
                <w:szCs w:val="18"/>
              </w:rPr>
              <w:t>39.3%</w:t>
            </w:r>
          </w:p>
        </w:tc>
        <w:tc>
          <w:tcPr>
            <w:tcW w:w="922" w:type="dxa"/>
            <w:shd w:val="clear" w:color="auto" w:fill="auto"/>
            <w:noWrap/>
            <w:vAlign w:val="center"/>
          </w:tcPr>
          <w:p w14:paraId="436507CD" w14:textId="20504CFD" w:rsidR="004B6F19" w:rsidRPr="001F6736" w:rsidRDefault="005F1BC0" w:rsidP="00893148">
            <w:pPr>
              <w:spacing w:after="0"/>
              <w:jc w:val="center"/>
              <w:rPr>
                <w:rFonts w:eastAsia="Times New Roman" w:cs="Calibri"/>
                <w:color w:val="000000"/>
                <w:sz w:val="18"/>
                <w:szCs w:val="18"/>
              </w:rPr>
            </w:pPr>
            <w:r w:rsidRPr="001F6736">
              <w:rPr>
                <w:rFonts w:cs="Calibri"/>
                <w:color w:val="000000"/>
                <w:sz w:val="18"/>
                <w:szCs w:val="18"/>
              </w:rPr>
              <w:t>N/A</w:t>
            </w:r>
          </w:p>
        </w:tc>
        <w:tc>
          <w:tcPr>
            <w:tcW w:w="922" w:type="dxa"/>
            <w:shd w:val="clear" w:color="auto" w:fill="auto"/>
            <w:noWrap/>
            <w:vAlign w:val="center"/>
          </w:tcPr>
          <w:p w14:paraId="15E92675" w14:textId="43A65ACE" w:rsidR="004B6F19" w:rsidRPr="001F6736" w:rsidRDefault="005F1BC0" w:rsidP="00893148">
            <w:pPr>
              <w:spacing w:after="0"/>
              <w:jc w:val="center"/>
              <w:rPr>
                <w:rFonts w:eastAsia="Times New Roman" w:cs="Calibri"/>
                <w:color w:val="000000"/>
                <w:sz w:val="18"/>
                <w:szCs w:val="18"/>
              </w:rPr>
            </w:pPr>
            <w:r w:rsidRPr="001F6736">
              <w:rPr>
                <w:rFonts w:cs="Calibri"/>
                <w:color w:val="000000"/>
                <w:sz w:val="18"/>
                <w:szCs w:val="18"/>
              </w:rPr>
              <w:t>48.9%</w:t>
            </w:r>
          </w:p>
        </w:tc>
        <w:tc>
          <w:tcPr>
            <w:tcW w:w="922" w:type="dxa"/>
            <w:shd w:val="clear" w:color="auto" w:fill="auto"/>
            <w:noWrap/>
            <w:vAlign w:val="center"/>
          </w:tcPr>
          <w:p w14:paraId="2C7507F5" w14:textId="5FF662F5" w:rsidR="004B6F19" w:rsidRPr="001F6736" w:rsidRDefault="005F1BC0" w:rsidP="00893148">
            <w:pPr>
              <w:spacing w:after="0"/>
              <w:jc w:val="center"/>
              <w:rPr>
                <w:rFonts w:eastAsia="Times New Roman" w:cs="Calibri"/>
                <w:color w:val="000000"/>
                <w:sz w:val="18"/>
                <w:szCs w:val="18"/>
              </w:rPr>
            </w:pPr>
            <w:r w:rsidRPr="001F6736">
              <w:rPr>
                <w:rFonts w:cs="Calibri"/>
                <w:color w:val="000000"/>
                <w:sz w:val="18"/>
                <w:szCs w:val="18"/>
              </w:rPr>
              <w:t>38.9%</w:t>
            </w:r>
          </w:p>
        </w:tc>
        <w:tc>
          <w:tcPr>
            <w:tcW w:w="922" w:type="dxa"/>
            <w:shd w:val="clear" w:color="auto" w:fill="auto"/>
            <w:noWrap/>
            <w:vAlign w:val="center"/>
          </w:tcPr>
          <w:p w14:paraId="20BF1759" w14:textId="0A3F2DD8" w:rsidR="004B6F19" w:rsidRPr="001F6736" w:rsidRDefault="005F1BC0" w:rsidP="00893148">
            <w:pPr>
              <w:spacing w:after="0"/>
              <w:jc w:val="center"/>
              <w:rPr>
                <w:rFonts w:eastAsia="Times New Roman" w:cs="Calibri"/>
                <w:color w:val="000000"/>
                <w:sz w:val="18"/>
                <w:szCs w:val="18"/>
              </w:rPr>
            </w:pPr>
            <w:r w:rsidRPr="001F6736">
              <w:rPr>
                <w:rFonts w:cs="Calibri"/>
                <w:color w:val="000000"/>
                <w:sz w:val="18"/>
                <w:szCs w:val="18"/>
              </w:rPr>
              <w:t>N/A</w:t>
            </w:r>
          </w:p>
        </w:tc>
        <w:tc>
          <w:tcPr>
            <w:tcW w:w="922" w:type="dxa"/>
            <w:shd w:val="clear" w:color="auto" w:fill="auto"/>
            <w:noWrap/>
            <w:vAlign w:val="center"/>
          </w:tcPr>
          <w:p w14:paraId="5DEF86E6" w14:textId="34CE6CF8" w:rsidR="004B6F19" w:rsidRPr="001F6736" w:rsidRDefault="005F1BC0" w:rsidP="00893148">
            <w:pPr>
              <w:spacing w:after="0"/>
              <w:jc w:val="center"/>
              <w:rPr>
                <w:rFonts w:eastAsia="Times New Roman" w:cs="Calibri"/>
                <w:color w:val="000000"/>
                <w:sz w:val="18"/>
                <w:szCs w:val="18"/>
              </w:rPr>
            </w:pPr>
            <w:r w:rsidRPr="001F6736">
              <w:rPr>
                <w:rFonts w:cs="Calibri"/>
                <w:color w:val="000000"/>
                <w:sz w:val="18"/>
                <w:szCs w:val="18"/>
              </w:rPr>
              <w:t>50.0%</w:t>
            </w:r>
          </w:p>
        </w:tc>
        <w:tc>
          <w:tcPr>
            <w:tcW w:w="922" w:type="dxa"/>
            <w:shd w:val="clear" w:color="auto" w:fill="auto"/>
            <w:noWrap/>
            <w:vAlign w:val="center"/>
          </w:tcPr>
          <w:p w14:paraId="49171007" w14:textId="6E373417" w:rsidR="004B6F19" w:rsidRPr="001F6736" w:rsidRDefault="005F1BC0" w:rsidP="00893148">
            <w:pPr>
              <w:spacing w:after="0"/>
              <w:jc w:val="center"/>
              <w:rPr>
                <w:rFonts w:eastAsia="Times New Roman" w:cs="Calibri"/>
                <w:color w:val="000000"/>
                <w:sz w:val="18"/>
                <w:szCs w:val="18"/>
              </w:rPr>
            </w:pPr>
            <w:r w:rsidRPr="001F6736">
              <w:rPr>
                <w:rFonts w:cs="Calibri"/>
                <w:color w:val="000000"/>
                <w:sz w:val="18"/>
                <w:szCs w:val="18"/>
              </w:rPr>
              <w:t>19.1%</w:t>
            </w:r>
          </w:p>
        </w:tc>
      </w:tr>
      <w:tr w:rsidR="004B6F19" w:rsidRPr="0049778F" w14:paraId="2FC848CB" w14:textId="77777777" w:rsidTr="00717A49">
        <w:trPr>
          <w:trHeight w:val="302"/>
        </w:trPr>
        <w:tc>
          <w:tcPr>
            <w:tcW w:w="1440" w:type="dxa"/>
            <w:shd w:val="clear" w:color="auto" w:fill="F2F2F2" w:themeFill="background1" w:themeFillShade="F2"/>
            <w:noWrap/>
          </w:tcPr>
          <w:p w14:paraId="59DB77E7" w14:textId="192C09BD" w:rsidR="004B6F19" w:rsidRPr="001F6736" w:rsidRDefault="003C45E6" w:rsidP="00893148">
            <w:pPr>
              <w:spacing w:after="0"/>
              <w:jc w:val="center"/>
              <w:rPr>
                <w:rFonts w:eastAsia="Times New Roman" w:cs="Calibri"/>
                <w:color w:val="000000"/>
                <w:sz w:val="20"/>
                <w:szCs w:val="20"/>
              </w:rPr>
            </w:pPr>
            <w:r w:rsidRPr="001F6736">
              <w:rPr>
                <w:rStyle w:val="normaltextrun"/>
                <w:rFonts w:cs="Calibri"/>
                <w:sz w:val="20"/>
                <w:szCs w:val="20"/>
              </w:rPr>
              <w:t>FUH-30</w:t>
            </w:r>
          </w:p>
        </w:tc>
        <w:tc>
          <w:tcPr>
            <w:tcW w:w="6336" w:type="dxa"/>
            <w:shd w:val="clear" w:color="auto" w:fill="F2F2F2" w:themeFill="background1" w:themeFillShade="F2"/>
          </w:tcPr>
          <w:p w14:paraId="5393AD96" w14:textId="497E63A3" w:rsidR="004B6F19" w:rsidRPr="001F6736" w:rsidRDefault="003C45E6" w:rsidP="00893148">
            <w:pPr>
              <w:spacing w:after="0"/>
              <w:rPr>
                <w:rFonts w:eastAsia="Times New Roman" w:cs="Calibri"/>
                <w:sz w:val="20"/>
                <w:szCs w:val="20"/>
              </w:rPr>
            </w:pPr>
            <w:r w:rsidRPr="001F6736">
              <w:rPr>
                <w:rStyle w:val="normaltextrun"/>
                <w:rFonts w:cs="Calibri"/>
                <w:sz w:val="20"/>
                <w:szCs w:val="20"/>
              </w:rPr>
              <w:t>Follow-Up After Hospitalization for Mental Illness (30 days) </w:t>
            </w:r>
            <w:r w:rsidRPr="001F6736">
              <w:rPr>
                <w:rStyle w:val="eop"/>
                <w:rFonts w:cs="Calibri"/>
                <w:sz w:val="20"/>
                <w:szCs w:val="20"/>
              </w:rPr>
              <w:t> </w:t>
            </w:r>
          </w:p>
        </w:tc>
        <w:tc>
          <w:tcPr>
            <w:tcW w:w="1135" w:type="dxa"/>
            <w:shd w:val="clear" w:color="auto" w:fill="F2F2F2" w:themeFill="background1" w:themeFillShade="F2"/>
            <w:noWrap/>
            <w:vAlign w:val="center"/>
          </w:tcPr>
          <w:p w14:paraId="68BB40B1" w14:textId="6291D85E" w:rsidR="004B6F19" w:rsidRPr="001F6736" w:rsidRDefault="00486EC9" w:rsidP="00893148">
            <w:pPr>
              <w:spacing w:after="0"/>
              <w:jc w:val="center"/>
              <w:rPr>
                <w:rFonts w:eastAsia="Times New Roman" w:cs="Calibri"/>
                <w:color w:val="000000"/>
                <w:sz w:val="18"/>
                <w:szCs w:val="18"/>
              </w:rPr>
            </w:pPr>
            <w:r w:rsidRPr="001F6736">
              <w:rPr>
                <w:rFonts w:cs="Calibri"/>
                <w:color w:val="000000"/>
                <w:sz w:val="18"/>
                <w:szCs w:val="18"/>
              </w:rPr>
              <w:t>63.0%</w:t>
            </w:r>
          </w:p>
        </w:tc>
        <w:tc>
          <w:tcPr>
            <w:tcW w:w="922" w:type="dxa"/>
            <w:shd w:val="clear" w:color="auto" w:fill="F2F2F2" w:themeFill="background1" w:themeFillShade="F2"/>
            <w:noWrap/>
            <w:vAlign w:val="center"/>
          </w:tcPr>
          <w:p w14:paraId="72ADC1EE" w14:textId="1026746E" w:rsidR="004B6F19" w:rsidRPr="001F6736" w:rsidRDefault="00486EC9" w:rsidP="00893148">
            <w:pPr>
              <w:spacing w:after="0"/>
              <w:jc w:val="center"/>
              <w:rPr>
                <w:rFonts w:eastAsia="Times New Roman" w:cs="Calibri"/>
                <w:color w:val="000000"/>
                <w:sz w:val="18"/>
                <w:szCs w:val="18"/>
              </w:rPr>
            </w:pPr>
            <w:r w:rsidRPr="001F6736">
              <w:rPr>
                <w:rFonts w:cs="Calibri"/>
                <w:color w:val="000000"/>
                <w:sz w:val="18"/>
                <w:szCs w:val="18"/>
              </w:rPr>
              <w:t>N/A</w:t>
            </w:r>
          </w:p>
        </w:tc>
        <w:tc>
          <w:tcPr>
            <w:tcW w:w="922" w:type="dxa"/>
            <w:shd w:val="clear" w:color="auto" w:fill="F2F2F2" w:themeFill="background1" w:themeFillShade="F2"/>
            <w:noWrap/>
            <w:vAlign w:val="center"/>
          </w:tcPr>
          <w:p w14:paraId="0EF5BC6D" w14:textId="2E4D681E" w:rsidR="004B6F19" w:rsidRPr="001F6736" w:rsidRDefault="00486EC9" w:rsidP="00893148">
            <w:pPr>
              <w:spacing w:after="0"/>
              <w:jc w:val="center"/>
              <w:rPr>
                <w:rFonts w:eastAsia="Times New Roman" w:cs="Calibri"/>
                <w:color w:val="000000"/>
                <w:sz w:val="18"/>
                <w:szCs w:val="18"/>
              </w:rPr>
            </w:pPr>
            <w:r w:rsidRPr="001F6736">
              <w:rPr>
                <w:rFonts w:cs="Calibri"/>
                <w:color w:val="000000"/>
                <w:sz w:val="18"/>
                <w:szCs w:val="18"/>
              </w:rPr>
              <w:t>70.5%</w:t>
            </w:r>
          </w:p>
        </w:tc>
        <w:tc>
          <w:tcPr>
            <w:tcW w:w="922" w:type="dxa"/>
            <w:shd w:val="clear" w:color="auto" w:fill="F2F2F2" w:themeFill="background1" w:themeFillShade="F2"/>
            <w:noWrap/>
            <w:vAlign w:val="center"/>
          </w:tcPr>
          <w:p w14:paraId="044A69E8" w14:textId="6AA01DAA" w:rsidR="004B6F19" w:rsidRPr="001F6736" w:rsidRDefault="00486EC9" w:rsidP="00893148">
            <w:pPr>
              <w:spacing w:after="0"/>
              <w:jc w:val="center"/>
              <w:rPr>
                <w:rFonts w:eastAsia="Times New Roman" w:cs="Calibri"/>
                <w:color w:val="000000"/>
                <w:sz w:val="18"/>
                <w:szCs w:val="18"/>
              </w:rPr>
            </w:pPr>
            <w:r w:rsidRPr="001F6736">
              <w:rPr>
                <w:rFonts w:cs="Calibri"/>
                <w:color w:val="000000"/>
                <w:sz w:val="18"/>
                <w:szCs w:val="18"/>
              </w:rPr>
              <w:t>61.1%</w:t>
            </w:r>
          </w:p>
        </w:tc>
        <w:tc>
          <w:tcPr>
            <w:tcW w:w="922" w:type="dxa"/>
            <w:shd w:val="clear" w:color="auto" w:fill="F2F2F2" w:themeFill="background1" w:themeFillShade="F2"/>
            <w:noWrap/>
            <w:vAlign w:val="center"/>
          </w:tcPr>
          <w:p w14:paraId="35CDA79F" w14:textId="1B9EE9A3" w:rsidR="004B6F19" w:rsidRPr="001F6736" w:rsidRDefault="00486EC9" w:rsidP="00893148">
            <w:pPr>
              <w:spacing w:after="0"/>
              <w:jc w:val="center"/>
              <w:rPr>
                <w:rFonts w:eastAsia="Times New Roman" w:cs="Calibri"/>
                <w:color w:val="000000"/>
                <w:sz w:val="18"/>
                <w:szCs w:val="18"/>
              </w:rPr>
            </w:pPr>
            <w:r w:rsidRPr="001F6736">
              <w:rPr>
                <w:rFonts w:cs="Calibri"/>
                <w:color w:val="000000"/>
                <w:sz w:val="18"/>
                <w:szCs w:val="18"/>
              </w:rPr>
              <w:t>N/A</w:t>
            </w:r>
          </w:p>
        </w:tc>
        <w:tc>
          <w:tcPr>
            <w:tcW w:w="922" w:type="dxa"/>
            <w:shd w:val="clear" w:color="auto" w:fill="F2F2F2" w:themeFill="background1" w:themeFillShade="F2"/>
            <w:noWrap/>
            <w:vAlign w:val="center"/>
          </w:tcPr>
          <w:p w14:paraId="2DA45D66" w14:textId="3A75D4C0" w:rsidR="004B6F19" w:rsidRPr="001F6736" w:rsidRDefault="00486EC9" w:rsidP="00893148">
            <w:pPr>
              <w:spacing w:after="0"/>
              <w:jc w:val="center"/>
              <w:rPr>
                <w:rFonts w:eastAsia="Times New Roman" w:cs="Calibri"/>
                <w:color w:val="000000"/>
                <w:sz w:val="18"/>
                <w:szCs w:val="18"/>
              </w:rPr>
            </w:pPr>
            <w:r w:rsidRPr="001F6736">
              <w:rPr>
                <w:rFonts w:cs="Calibri"/>
                <w:color w:val="000000"/>
                <w:sz w:val="18"/>
                <w:szCs w:val="18"/>
              </w:rPr>
              <w:t>77.8%</w:t>
            </w:r>
          </w:p>
        </w:tc>
        <w:tc>
          <w:tcPr>
            <w:tcW w:w="922" w:type="dxa"/>
            <w:shd w:val="clear" w:color="auto" w:fill="F2F2F2" w:themeFill="background1" w:themeFillShade="F2"/>
            <w:noWrap/>
            <w:vAlign w:val="center"/>
          </w:tcPr>
          <w:p w14:paraId="159FD558" w14:textId="556FAEFA" w:rsidR="004B6F19" w:rsidRPr="001F6736" w:rsidRDefault="00486EC9" w:rsidP="00893148">
            <w:pPr>
              <w:spacing w:after="0"/>
              <w:jc w:val="center"/>
              <w:rPr>
                <w:rFonts w:eastAsia="Times New Roman" w:cs="Calibri"/>
                <w:color w:val="000000"/>
                <w:sz w:val="18"/>
                <w:szCs w:val="18"/>
              </w:rPr>
            </w:pPr>
            <w:r w:rsidRPr="001F6736">
              <w:rPr>
                <w:rFonts w:cs="Calibri"/>
                <w:color w:val="000000"/>
                <w:sz w:val="18"/>
                <w:szCs w:val="18"/>
              </w:rPr>
              <w:t>46.8%</w:t>
            </w:r>
          </w:p>
        </w:tc>
      </w:tr>
      <w:tr w:rsidR="004B6F19" w:rsidRPr="0049778F" w14:paraId="1E09DB3F" w14:textId="77777777" w:rsidTr="00717A49">
        <w:trPr>
          <w:trHeight w:val="302"/>
        </w:trPr>
        <w:tc>
          <w:tcPr>
            <w:tcW w:w="1440" w:type="dxa"/>
            <w:shd w:val="clear" w:color="auto" w:fill="auto"/>
          </w:tcPr>
          <w:p w14:paraId="319D5396" w14:textId="10C1451A" w:rsidR="004B6F19" w:rsidRPr="001F6736" w:rsidRDefault="003C45E6" w:rsidP="00893148">
            <w:pPr>
              <w:spacing w:after="0"/>
              <w:jc w:val="center"/>
              <w:rPr>
                <w:rFonts w:eastAsia="Times New Roman" w:cs="Calibri"/>
                <w:color w:val="000000"/>
                <w:sz w:val="20"/>
                <w:szCs w:val="20"/>
              </w:rPr>
            </w:pPr>
            <w:r w:rsidRPr="001F6736">
              <w:rPr>
                <w:rStyle w:val="normaltextrun"/>
                <w:rFonts w:cs="Calibri"/>
                <w:sz w:val="20"/>
                <w:szCs w:val="20"/>
              </w:rPr>
              <w:t>PCR</w:t>
            </w:r>
          </w:p>
        </w:tc>
        <w:tc>
          <w:tcPr>
            <w:tcW w:w="6336" w:type="dxa"/>
            <w:shd w:val="clear" w:color="auto" w:fill="auto"/>
          </w:tcPr>
          <w:p w14:paraId="7B9C7209" w14:textId="6184A499" w:rsidR="004B6F19" w:rsidRPr="001F6736" w:rsidRDefault="003C45E6" w:rsidP="00893148">
            <w:pPr>
              <w:spacing w:after="0"/>
              <w:rPr>
                <w:rFonts w:eastAsia="Times New Roman" w:cs="Calibri"/>
                <w:sz w:val="20"/>
                <w:szCs w:val="20"/>
              </w:rPr>
            </w:pPr>
            <w:r w:rsidRPr="001F6736">
              <w:rPr>
                <w:rStyle w:val="normaltextrun"/>
                <w:rFonts w:cs="Calibri"/>
                <w:sz w:val="20"/>
                <w:szCs w:val="20"/>
              </w:rPr>
              <w:t>Plan All-Cause Readmission (Observed/Expected Ratio)</w:t>
            </w:r>
            <w:r w:rsidRPr="001F6736">
              <w:rPr>
                <w:rStyle w:val="eop"/>
                <w:rFonts w:cs="Calibri"/>
                <w:sz w:val="20"/>
                <w:szCs w:val="20"/>
              </w:rPr>
              <w:t> </w:t>
            </w:r>
          </w:p>
        </w:tc>
        <w:tc>
          <w:tcPr>
            <w:tcW w:w="1135" w:type="dxa"/>
            <w:shd w:val="clear" w:color="auto" w:fill="auto"/>
            <w:noWrap/>
            <w:vAlign w:val="center"/>
          </w:tcPr>
          <w:p w14:paraId="3478B41F" w14:textId="16A90AB8" w:rsidR="004B6F19" w:rsidRPr="001F6736" w:rsidRDefault="00952E39" w:rsidP="00893148">
            <w:pPr>
              <w:spacing w:after="0"/>
              <w:jc w:val="center"/>
              <w:rPr>
                <w:rFonts w:eastAsia="Times New Roman" w:cs="Calibri"/>
                <w:color w:val="000000"/>
                <w:sz w:val="18"/>
                <w:szCs w:val="18"/>
              </w:rPr>
            </w:pPr>
            <w:r w:rsidRPr="001F6736">
              <w:rPr>
                <w:rFonts w:cs="Calibri"/>
                <w:sz w:val="18"/>
                <w:szCs w:val="18"/>
              </w:rPr>
              <w:t>1.2467</w:t>
            </w:r>
          </w:p>
        </w:tc>
        <w:tc>
          <w:tcPr>
            <w:tcW w:w="922" w:type="dxa"/>
            <w:shd w:val="clear" w:color="auto" w:fill="auto"/>
            <w:noWrap/>
            <w:vAlign w:val="center"/>
          </w:tcPr>
          <w:p w14:paraId="15A2C6B5" w14:textId="6E0CF009" w:rsidR="004B6F19" w:rsidRPr="001F6736" w:rsidRDefault="00952E39" w:rsidP="00893148">
            <w:pPr>
              <w:spacing w:after="0"/>
              <w:jc w:val="center"/>
              <w:rPr>
                <w:rFonts w:eastAsia="Times New Roman" w:cs="Calibri"/>
                <w:color w:val="000000"/>
                <w:sz w:val="18"/>
                <w:szCs w:val="18"/>
              </w:rPr>
            </w:pPr>
            <w:r w:rsidRPr="001F6736">
              <w:rPr>
                <w:rFonts w:cs="Calibri"/>
                <w:sz w:val="18"/>
                <w:szCs w:val="18"/>
              </w:rPr>
              <w:t>1.1640</w:t>
            </w:r>
          </w:p>
        </w:tc>
        <w:tc>
          <w:tcPr>
            <w:tcW w:w="922" w:type="dxa"/>
            <w:shd w:val="clear" w:color="auto" w:fill="auto"/>
            <w:noWrap/>
            <w:vAlign w:val="center"/>
          </w:tcPr>
          <w:p w14:paraId="20ADBF22" w14:textId="01617625" w:rsidR="004B6F19" w:rsidRPr="001F6736" w:rsidRDefault="00952E39" w:rsidP="00893148">
            <w:pPr>
              <w:spacing w:after="0"/>
              <w:jc w:val="center"/>
              <w:rPr>
                <w:rFonts w:eastAsia="Times New Roman" w:cs="Calibri"/>
                <w:color w:val="000000"/>
                <w:sz w:val="18"/>
                <w:szCs w:val="18"/>
              </w:rPr>
            </w:pPr>
            <w:r w:rsidRPr="001F6736">
              <w:rPr>
                <w:rFonts w:cs="Calibri"/>
                <w:sz w:val="18"/>
                <w:szCs w:val="18"/>
              </w:rPr>
              <w:t>1.4845</w:t>
            </w:r>
          </w:p>
        </w:tc>
        <w:tc>
          <w:tcPr>
            <w:tcW w:w="922" w:type="dxa"/>
            <w:shd w:val="clear" w:color="auto" w:fill="auto"/>
            <w:noWrap/>
            <w:vAlign w:val="center"/>
          </w:tcPr>
          <w:p w14:paraId="448A49BA" w14:textId="12FE1A13" w:rsidR="004B6F19" w:rsidRPr="001F6736" w:rsidRDefault="00952E39" w:rsidP="00893148">
            <w:pPr>
              <w:spacing w:after="0"/>
              <w:jc w:val="center"/>
              <w:rPr>
                <w:rFonts w:eastAsia="Times New Roman" w:cs="Calibri"/>
                <w:color w:val="000000"/>
                <w:sz w:val="18"/>
                <w:szCs w:val="18"/>
              </w:rPr>
            </w:pPr>
            <w:r w:rsidRPr="001F6736">
              <w:rPr>
                <w:rFonts w:cs="Calibri"/>
                <w:sz w:val="18"/>
                <w:szCs w:val="18"/>
              </w:rPr>
              <w:t>1.0457</w:t>
            </w:r>
          </w:p>
        </w:tc>
        <w:tc>
          <w:tcPr>
            <w:tcW w:w="922" w:type="dxa"/>
            <w:shd w:val="clear" w:color="auto" w:fill="auto"/>
            <w:noWrap/>
            <w:vAlign w:val="center"/>
          </w:tcPr>
          <w:p w14:paraId="083B3E43" w14:textId="393AF9F6" w:rsidR="004B6F19" w:rsidRPr="001F6736" w:rsidRDefault="00952E39" w:rsidP="00893148">
            <w:pPr>
              <w:spacing w:after="0"/>
              <w:jc w:val="center"/>
              <w:rPr>
                <w:rFonts w:eastAsia="Times New Roman" w:cs="Calibri"/>
                <w:color w:val="000000"/>
                <w:sz w:val="18"/>
                <w:szCs w:val="18"/>
              </w:rPr>
            </w:pPr>
            <w:r w:rsidRPr="001F6736">
              <w:rPr>
                <w:rFonts w:cs="Calibri"/>
                <w:sz w:val="18"/>
                <w:szCs w:val="18"/>
              </w:rPr>
              <w:t>1.1954</w:t>
            </w:r>
          </w:p>
        </w:tc>
        <w:tc>
          <w:tcPr>
            <w:tcW w:w="922" w:type="dxa"/>
            <w:shd w:val="clear" w:color="auto" w:fill="auto"/>
            <w:noWrap/>
            <w:vAlign w:val="center"/>
          </w:tcPr>
          <w:p w14:paraId="63D05413" w14:textId="2694140B" w:rsidR="004B6F19" w:rsidRPr="001F6736" w:rsidRDefault="00952E39" w:rsidP="00893148">
            <w:pPr>
              <w:spacing w:after="0"/>
              <w:jc w:val="center"/>
              <w:rPr>
                <w:rFonts w:eastAsia="Times New Roman" w:cs="Calibri"/>
                <w:color w:val="000000"/>
                <w:sz w:val="18"/>
                <w:szCs w:val="18"/>
              </w:rPr>
            </w:pPr>
            <w:r w:rsidRPr="001F6736">
              <w:rPr>
                <w:rFonts w:cs="Calibri"/>
                <w:sz w:val="18"/>
                <w:szCs w:val="18"/>
              </w:rPr>
              <w:t>1.3668</w:t>
            </w:r>
          </w:p>
        </w:tc>
        <w:tc>
          <w:tcPr>
            <w:tcW w:w="922" w:type="dxa"/>
            <w:shd w:val="clear" w:color="auto" w:fill="auto"/>
            <w:noWrap/>
            <w:vAlign w:val="center"/>
          </w:tcPr>
          <w:p w14:paraId="4A363E89" w14:textId="19D1B8AC" w:rsidR="004B6F19" w:rsidRPr="001F6736" w:rsidRDefault="00952E39" w:rsidP="00893148">
            <w:pPr>
              <w:spacing w:after="0"/>
              <w:jc w:val="center"/>
              <w:rPr>
                <w:rFonts w:eastAsia="Times New Roman" w:cs="Calibri"/>
                <w:color w:val="000000"/>
                <w:sz w:val="18"/>
                <w:szCs w:val="18"/>
              </w:rPr>
            </w:pPr>
            <w:r w:rsidRPr="001F6736">
              <w:rPr>
                <w:rFonts w:cs="Calibri"/>
                <w:sz w:val="18"/>
                <w:szCs w:val="18"/>
              </w:rPr>
              <w:t>1.1656</w:t>
            </w:r>
          </w:p>
        </w:tc>
      </w:tr>
      <w:tr w:rsidR="004B6F19" w:rsidRPr="0049778F" w14:paraId="674CE0FD" w14:textId="77777777" w:rsidTr="00717A49">
        <w:trPr>
          <w:trHeight w:val="302"/>
        </w:trPr>
        <w:tc>
          <w:tcPr>
            <w:tcW w:w="1440" w:type="dxa"/>
            <w:shd w:val="clear" w:color="auto" w:fill="F2F2F2" w:themeFill="background1" w:themeFillShade="F2"/>
            <w:noWrap/>
          </w:tcPr>
          <w:p w14:paraId="7B2CD2AE" w14:textId="38AB7D97" w:rsidR="004B6F19" w:rsidRPr="001F6736" w:rsidRDefault="003C45E6" w:rsidP="00893148">
            <w:pPr>
              <w:spacing w:after="0"/>
              <w:jc w:val="center"/>
              <w:rPr>
                <w:rFonts w:eastAsia="Times New Roman" w:cs="Calibri"/>
                <w:color w:val="000000"/>
                <w:sz w:val="20"/>
                <w:szCs w:val="20"/>
              </w:rPr>
            </w:pPr>
            <w:r w:rsidRPr="001F6736">
              <w:rPr>
                <w:rStyle w:val="normaltextrun"/>
                <w:rFonts w:cs="Calibri"/>
                <w:sz w:val="20"/>
                <w:szCs w:val="20"/>
              </w:rPr>
              <w:t>OMW</w:t>
            </w:r>
          </w:p>
        </w:tc>
        <w:tc>
          <w:tcPr>
            <w:tcW w:w="6336" w:type="dxa"/>
            <w:shd w:val="clear" w:color="auto" w:fill="F2F2F2" w:themeFill="background1" w:themeFillShade="F2"/>
          </w:tcPr>
          <w:p w14:paraId="019B5267" w14:textId="25FDD4EF" w:rsidR="004B6F19" w:rsidRPr="001F6736" w:rsidRDefault="003C45E6" w:rsidP="00893148">
            <w:pPr>
              <w:spacing w:after="0"/>
              <w:rPr>
                <w:rFonts w:eastAsia="Times New Roman" w:cs="Calibri"/>
                <w:sz w:val="20"/>
                <w:szCs w:val="20"/>
              </w:rPr>
            </w:pPr>
            <w:r w:rsidRPr="001F6736">
              <w:rPr>
                <w:rStyle w:val="normaltextrun"/>
                <w:rFonts w:cs="Calibri"/>
                <w:sz w:val="20"/>
                <w:szCs w:val="20"/>
              </w:rPr>
              <w:t>Osteoporosis Management in Women Who Had a Fracture  </w:t>
            </w:r>
            <w:r w:rsidRPr="001F6736">
              <w:rPr>
                <w:rStyle w:val="eop"/>
                <w:rFonts w:cs="Calibri"/>
                <w:sz w:val="20"/>
                <w:szCs w:val="20"/>
              </w:rPr>
              <w:t> </w:t>
            </w:r>
          </w:p>
        </w:tc>
        <w:tc>
          <w:tcPr>
            <w:tcW w:w="1135" w:type="dxa"/>
            <w:shd w:val="clear" w:color="auto" w:fill="F2F2F2" w:themeFill="background1" w:themeFillShade="F2"/>
            <w:noWrap/>
            <w:vAlign w:val="center"/>
          </w:tcPr>
          <w:p w14:paraId="785D5934" w14:textId="3A859502" w:rsidR="004B6F19" w:rsidRPr="001F6736" w:rsidRDefault="00AD4A2B" w:rsidP="00893148">
            <w:pPr>
              <w:spacing w:after="0"/>
              <w:jc w:val="center"/>
              <w:rPr>
                <w:rFonts w:eastAsia="Times New Roman" w:cs="Calibri"/>
                <w:color w:val="000000"/>
                <w:sz w:val="18"/>
                <w:szCs w:val="18"/>
              </w:rPr>
            </w:pPr>
            <w:r w:rsidRPr="001F6736">
              <w:rPr>
                <w:rFonts w:cs="Calibri"/>
                <w:color w:val="000000"/>
                <w:sz w:val="18"/>
                <w:szCs w:val="18"/>
              </w:rPr>
              <w:t>36.1%</w:t>
            </w:r>
          </w:p>
        </w:tc>
        <w:tc>
          <w:tcPr>
            <w:tcW w:w="922" w:type="dxa"/>
            <w:shd w:val="clear" w:color="auto" w:fill="F2F2F2" w:themeFill="background1" w:themeFillShade="F2"/>
            <w:noWrap/>
            <w:vAlign w:val="center"/>
          </w:tcPr>
          <w:p w14:paraId="3034262A" w14:textId="31B24671" w:rsidR="004B6F19" w:rsidRPr="001F6736" w:rsidRDefault="00AD4A2B" w:rsidP="00893148">
            <w:pPr>
              <w:spacing w:after="0"/>
              <w:jc w:val="center"/>
              <w:rPr>
                <w:rFonts w:eastAsia="Times New Roman" w:cs="Calibri"/>
                <w:color w:val="000000"/>
                <w:sz w:val="18"/>
                <w:szCs w:val="18"/>
              </w:rPr>
            </w:pPr>
            <w:r w:rsidRPr="001F6736">
              <w:rPr>
                <w:rFonts w:cs="Calibri"/>
                <w:color w:val="000000"/>
                <w:sz w:val="18"/>
                <w:szCs w:val="18"/>
              </w:rPr>
              <w:t>N/A</w:t>
            </w:r>
          </w:p>
        </w:tc>
        <w:tc>
          <w:tcPr>
            <w:tcW w:w="922" w:type="dxa"/>
            <w:shd w:val="clear" w:color="auto" w:fill="F2F2F2" w:themeFill="background1" w:themeFillShade="F2"/>
            <w:noWrap/>
            <w:vAlign w:val="center"/>
          </w:tcPr>
          <w:p w14:paraId="5BA8DFEA" w14:textId="1F45394A" w:rsidR="004B6F19" w:rsidRPr="001F6736" w:rsidRDefault="00AD4A2B" w:rsidP="00893148">
            <w:pPr>
              <w:spacing w:after="0"/>
              <w:jc w:val="center"/>
              <w:rPr>
                <w:rFonts w:eastAsia="Times New Roman" w:cs="Calibri"/>
                <w:color w:val="000000"/>
                <w:sz w:val="18"/>
                <w:szCs w:val="18"/>
              </w:rPr>
            </w:pPr>
            <w:r w:rsidRPr="001F6736">
              <w:rPr>
                <w:rFonts w:cs="Calibri"/>
                <w:color w:val="000000"/>
                <w:sz w:val="18"/>
                <w:szCs w:val="18"/>
              </w:rPr>
              <w:t>38.5%</w:t>
            </w:r>
          </w:p>
        </w:tc>
        <w:tc>
          <w:tcPr>
            <w:tcW w:w="922" w:type="dxa"/>
            <w:shd w:val="clear" w:color="auto" w:fill="F2F2F2" w:themeFill="background1" w:themeFillShade="F2"/>
            <w:noWrap/>
            <w:vAlign w:val="center"/>
          </w:tcPr>
          <w:p w14:paraId="78A2F8DC" w14:textId="3DB3965D" w:rsidR="004B6F19" w:rsidRPr="001F6736" w:rsidRDefault="00AD4A2B" w:rsidP="00893148">
            <w:pPr>
              <w:spacing w:after="0"/>
              <w:jc w:val="center"/>
              <w:rPr>
                <w:rFonts w:eastAsia="Times New Roman" w:cs="Calibri"/>
                <w:color w:val="000000"/>
                <w:sz w:val="18"/>
                <w:szCs w:val="18"/>
              </w:rPr>
            </w:pPr>
            <w:r w:rsidRPr="001F6736">
              <w:rPr>
                <w:rFonts w:cs="Calibri"/>
                <w:color w:val="000000"/>
                <w:sz w:val="18"/>
                <w:szCs w:val="18"/>
              </w:rPr>
              <w:t>67.6%</w:t>
            </w:r>
          </w:p>
        </w:tc>
        <w:tc>
          <w:tcPr>
            <w:tcW w:w="922" w:type="dxa"/>
            <w:shd w:val="clear" w:color="auto" w:fill="F2F2F2" w:themeFill="background1" w:themeFillShade="F2"/>
            <w:noWrap/>
            <w:vAlign w:val="center"/>
          </w:tcPr>
          <w:p w14:paraId="1F31FC7F" w14:textId="2D9C3664" w:rsidR="004B6F19" w:rsidRPr="001F6736" w:rsidRDefault="00AD4A2B" w:rsidP="00893148">
            <w:pPr>
              <w:spacing w:after="0"/>
              <w:jc w:val="center"/>
              <w:rPr>
                <w:rFonts w:eastAsia="Times New Roman" w:cs="Calibri"/>
                <w:color w:val="000000"/>
                <w:sz w:val="18"/>
                <w:szCs w:val="18"/>
              </w:rPr>
            </w:pPr>
            <w:r w:rsidRPr="001F6736">
              <w:rPr>
                <w:rFonts w:cs="Calibri"/>
                <w:color w:val="000000"/>
                <w:sz w:val="18"/>
                <w:szCs w:val="18"/>
              </w:rPr>
              <w:t>20.5%</w:t>
            </w:r>
          </w:p>
        </w:tc>
        <w:tc>
          <w:tcPr>
            <w:tcW w:w="922" w:type="dxa"/>
            <w:shd w:val="clear" w:color="auto" w:fill="F2F2F2" w:themeFill="background1" w:themeFillShade="F2"/>
            <w:noWrap/>
            <w:vAlign w:val="center"/>
          </w:tcPr>
          <w:p w14:paraId="5BB04F41" w14:textId="5CDF748A" w:rsidR="004B6F19" w:rsidRPr="001F6736" w:rsidRDefault="00AD4A2B" w:rsidP="00893148">
            <w:pPr>
              <w:spacing w:after="0"/>
              <w:jc w:val="center"/>
              <w:rPr>
                <w:rFonts w:eastAsia="Times New Roman" w:cs="Calibri"/>
                <w:color w:val="000000"/>
                <w:sz w:val="18"/>
                <w:szCs w:val="18"/>
              </w:rPr>
            </w:pPr>
            <w:r w:rsidRPr="001F6736">
              <w:rPr>
                <w:rFonts w:cs="Calibri"/>
                <w:color w:val="000000"/>
                <w:sz w:val="18"/>
                <w:szCs w:val="18"/>
              </w:rPr>
              <w:t>23.7%</w:t>
            </w:r>
          </w:p>
        </w:tc>
        <w:tc>
          <w:tcPr>
            <w:tcW w:w="922" w:type="dxa"/>
            <w:shd w:val="clear" w:color="auto" w:fill="F2F2F2" w:themeFill="background1" w:themeFillShade="F2"/>
            <w:noWrap/>
            <w:vAlign w:val="center"/>
          </w:tcPr>
          <w:p w14:paraId="15DD5685" w14:textId="0386C6A6" w:rsidR="004B6F19" w:rsidRPr="001F6736" w:rsidRDefault="00AD4A2B" w:rsidP="00893148">
            <w:pPr>
              <w:spacing w:after="0"/>
              <w:jc w:val="center"/>
              <w:rPr>
                <w:rFonts w:eastAsia="Times New Roman" w:cs="Calibri"/>
                <w:color w:val="000000"/>
                <w:sz w:val="18"/>
                <w:szCs w:val="18"/>
              </w:rPr>
            </w:pPr>
            <w:r w:rsidRPr="001F6736">
              <w:rPr>
                <w:rFonts w:cs="Calibri"/>
                <w:color w:val="000000"/>
                <w:sz w:val="18"/>
                <w:szCs w:val="18"/>
              </w:rPr>
              <w:t>43.2%</w:t>
            </w:r>
          </w:p>
        </w:tc>
      </w:tr>
      <w:tr w:rsidR="004B6F19" w:rsidRPr="0049778F" w14:paraId="7794017D" w14:textId="77777777" w:rsidTr="00717A49">
        <w:trPr>
          <w:trHeight w:val="302"/>
        </w:trPr>
        <w:tc>
          <w:tcPr>
            <w:tcW w:w="1440" w:type="dxa"/>
            <w:shd w:val="clear" w:color="auto" w:fill="auto"/>
            <w:noWrap/>
          </w:tcPr>
          <w:p w14:paraId="0B603E5A" w14:textId="15DEAED1" w:rsidR="004B6F19" w:rsidRPr="001F6736" w:rsidRDefault="003C45E6" w:rsidP="00893148">
            <w:pPr>
              <w:spacing w:after="0"/>
              <w:jc w:val="center"/>
              <w:rPr>
                <w:rFonts w:eastAsia="Times New Roman" w:cs="Calibri"/>
                <w:color w:val="000000"/>
                <w:sz w:val="20"/>
                <w:szCs w:val="20"/>
              </w:rPr>
            </w:pPr>
            <w:r w:rsidRPr="001F6736">
              <w:rPr>
                <w:rStyle w:val="normaltextrun"/>
                <w:rFonts w:cs="Calibri"/>
                <w:sz w:val="20"/>
                <w:szCs w:val="20"/>
              </w:rPr>
              <w:t>AMM-A</w:t>
            </w:r>
          </w:p>
        </w:tc>
        <w:tc>
          <w:tcPr>
            <w:tcW w:w="6336" w:type="dxa"/>
            <w:shd w:val="clear" w:color="auto" w:fill="auto"/>
          </w:tcPr>
          <w:p w14:paraId="0644C084" w14:textId="1AE5412C" w:rsidR="004B6F19" w:rsidRPr="001F6736" w:rsidRDefault="003C45E6" w:rsidP="00893148">
            <w:pPr>
              <w:spacing w:after="0"/>
              <w:rPr>
                <w:rFonts w:eastAsia="Times New Roman" w:cs="Calibri"/>
                <w:color w:val="000000"/>
                <w:sz w:val="20"/>
                <w:szCs w:val="20"/>
              </w:rPr>
            </w:pPr>
            <w:r w:rsidRPr="001F6736">
              <w:rPr>
                <w:rStyle w:val="normaltextrun"/>
                <w:rFonts w:cs="Calibri"/>
                <w:sz w:val="20"/>
                <w:szCs w:val="20"/>
              </w:rPr>
              <w:t>Antidepressant Medication Management Acute</w:t>
            </w:r>
            <w:r w:rsidRPr="001F6736">
              <w:rPr>
                <w:rStyle w:val="eop"/>
                <w:rFonts w:cs="Calibri"/>
                <w:sz w:val="20"/>
                <w:szCs w:val="20"/>
              </w:rPr>
              <w:t> </w:t>
            </w:r>
          </w:p>
        </w:tc>
        <w:tc>
          <w:tcPr>
            <w:tcW w:w="1135" w:type="dxa"/>
            <w:shd w:val="clear" w:color="auto" w:fill="auto"/>
            <w:noWrap/>
            <w:vAlign w:val="center"/>
          </w:tcPr>
          <w:p w14:paraId="71ECD58A" w14:textId="6BD4A9C2" w:rsidR="004B6F19" w:rsidRPr="001F6736" w:rsidRDefault="00B330CB" w:rsidP="00893148">
            <w:pPr>
              <w:spacing w:after="0"/>
              <w:jc w:val="center"/>
              <w:rPr>
                <w:rFonts w:eastAsia="Times New Roman" w:cs="Calibri"/>
                <w:color w:val="000000"/>
                <w:sz w:val="18"/>
                <w:szCs w:val="18"/>
              </w:rPr>
            </w:pPr>
            <w:r w:rsidRPr="001F6736">
              <w:rPr>
                <w:rFonts w:cs="Calibri"/>
                <w:color w:val="000000"/>
                <w:sz w:val="18"/>
                <w:szCs w:val="18"/>
              </w:rPr>
              <w:t>85.4%</w:t>
            </w:r>
          </w:p>
        </w:tc>
        <w:tc>
          <w:tcPr>
            <w:tcW w:w="922" w:type="dxa"/>
            <w:shd w:val="clear" w:color="auto" w:fill="auto"/>
            <w:noWrap/>
            <w:vAlign w:val="center"/>
          </w:tcPr>
          <w:p w14:paraId="25C8FCD4" w14:textId="58815895" w:rsidR="004B6F19" w:rsidRPr="001F6736" w:rsidRDefault="00B330CB" w:rsidP="00893148">
            <w:pPr>
              <w:spacing w:after="0"/>
              <w:jc w:val="center"/>
              <w:rPr>
                <w:rFonts w:eastAsia="Times New Roman" w:cs="Calibri"/>
                <w:color w:val="000000"/>
                <w:sz w:val="18"/>
                <w:szCs w:val="18"/>
              </w:rPr>
            </w:pPr>
            <w:r w:rsidRPr="001F6736">
              <w:rPr>
                <w:rFonts w:cs="Calibri"/>
                <w:color w:val="000000"/>
                <w:sz w:val="18"/>
                <w:szCs w:val="18"/>
              </w:rPr>
              <w:t>80.4%</w:t>
            </w:r>
          </w:p>
        </w:tc>
        <w:tc>
          <w:tcPr>
            <w:tcW w:w="922" w:type="dxa"/>
            <w:shd w:val="clear" w:color="auto" w:fill="auto"/>
            <w:noWrap/>
            <w:vAlign w:val="center"/>
          </w:tcPr>
          <w:p w14:paraId="2A9827DC" w14:textId="7530358D" w:rsidR="004B6F19" w:rsidRPr="001F6736" w:rsidRDefault="00B330CB" w:rsidP="00893148">
            <w:pPr>
              <w:spacing w:after="0"/>
              <w:jc w:val="center"/>
              <w:rPr>
                <w:rFonts w:eastAsia="Times New Roman" w:cs="Calibri"/>
                <w:color w:val="000000"/>
                <w:sz w:val="18"/>
                <w:szCs w:val="18"/>
              </w:rPr>
            </w:pPr>
            <w:r w:rsidRPr="001F6736">
              <w:rPr>
                <w:rFonts w:cs="Calibri"/>
                <w:color w:val="000000"/>
                <w:sz w:val="18"/>
                <w:szCs w:val="18"/>
              </w:rPr>
              <w:t>80.6%</w:t>
            </w:r>
          </w:p>
        </w:tc>
        <w:tc>
          <w:tcPr>
            <w:tcW w:w="922" w:type="dxa"/>
            <w:shd w:val="clear" w:color="auto" w:fill="auto"/>
            <w:noWrap/>
            <w:vAlign w:val="center"/>
          </w:tcPr>
          <w:p w14:paraId="2A3DEA68" w14:textId="558351DD" w:rsidR="004B6F19" w:rsidRPr="001F6736" w:rsidRDefault="00B330CB" w:rsidP="00893148">
            <w:pPr>
              <w:spacing w:after="0"/>
              <w:jc w:val="center"/>
              <w:rPr>
                <w:rFonts w:eastAsia="Times New Roman" w:cs="Calibri"/>
                <w:color w:val="000000"/>
                <w:sz w:val="18"/>
                <w:szCs w:val="18"/>
              </w:rPr>
            </w:pPr>
            <w:r w:rsidRPr="001F6736">
              <w:rPr>
                <w:rFonts w:cs="Calibri"/>
                <w:color w:val="000000"/>
                <w:sz w:val="18"/>
                <w:szCs w:val="18"/>
              </w:rPr>
              <w:t>84.6%</w:t>
            </w:r>
          </w:p>
        </w:tc>
        <w:tc>
          <w:tcPr>
            <w:tcW w:w="922" w:type="dxa"/>
            <w:shd w:val="clear" w:color="auto" w:fill="auto"/>
            <w:noWrap/>
            <w:vAlign w:val="center"/>
          </w:tcPr>
          <w:p w14:paraId="24565633" w14:textId="29E87E01" w:rsidR="004B6F19" w:rsidRPr="001F6736" w:rsidRDefault="00B330CB" w:rsidP="00893148">
            <w:pPr>
              <w:spacing w:after="0"/>
              <w:jc w:val="center"/>
              <w:rPr>
                <w:rFonts w:eastAsia="Times New Roman" w:cs="Calibri"/>
                <w:color w:val="000000"/>
                <w:sz w:val="18"/>
                <w:szCs w:val="18"/>
              </w:rPr>
            </w:pPr>
            <w:r w:rsidRPr="001F6736">
              <w:rPr>
                <w:rFonts w:cs="Calibri"/>
                <w:color w:val="000000"/>
                <w:sz w:val="18"/>
                <w:szCs w:val="18"/>
              </w:rPr>
              <w:t>92.4%</w:t>
            </w:r>
          </w:p>
        </w:tc>
        <w:tc>
          <w:tcPr>
            <w:tcW w:w="922" w:type="dxa"/>
            <w:shd w:val="clear" w:color="auto" w:fill="auto"/>
            <w:noWrap/>
            <w:vAlign w:val="center"/>
          </w:tcPr>
          <w:p w14:paraId="1F35A1C5" w14:textId="5736A35C" w:rsidR="004B6F19" w:rsidRPr="001F6736" w:rsidRDefault="00B330CB" w:rsidP="00893148">
            <w:pPr>
              <w:spacing w:after="0"/>
              <w:jc w:val="center"/>
              <w:rPr>
                <w:rFonts w:eastAsia="Times New Roman" w:cs="Calibri"/>
                <w:color w:val="000000"/>
                <w:sz w:val="18"/>
                <w:szCs w:val="18"/>
              </w:rPr>
            </w:pPr>
            <w:r w:rsidRPr="001F6736">
              <w:rPr>
                <w:rFonts w:cs="Calibri"/>
                <w:color w:val="000000"/>
                <w:sz w:val="18"/>
                <w:szCs w:val="18"/>
              </w:rPr>
              <w:t>82.1%</w:t>
            </w:r>
          </w:p>
        </w:tc>
        <w:tc>
          <w:tcPr>
            <w:tcW w:w="922" w:type="dxa"/>
            <w:shd w:val="clear" w:color="auto" w:fill="auto"/>
            <w:noWrap/>
            <w:vAlign w:val="center"/>
          </w:tcPr>
          <w:p w14:paraId="678BC1BB" w14:textId="6625E6B2" w:rsidR="004B6F19" w:rsidRPr="001F6736" w:rsidRDefault="00B330CB" w:rsidP="00893148">
            <w:pPr>
              <w:spacing w:after="0"/>
              <w:jc w:val="center"/>
              <w:rPr>
                <w:rFonts w:eastAsia="Times New Roman" w:cs="Calibri"/>
                <w:color w:val="000000"/>
                <w:sz w:val="18"/>
                <w:szCs w:val="18"/>
              </w:rPr>
            </w:pPr>
            <w:r w:rsidRPr="001F6736">
              <w:rPr>
                <w:rFonts w:cs="Calibri"/>
                <w:color w:val="000000"/>
                <w:sz w:val="18"/>
                <w:szCs w:val="18"/>
              </w:rPr>
              <w:t>79.2%</w:t>
            </w:r>
          </w:p>
        </w:tc>
      </w:tr>
      <w:tr w:rsidR="004B6F19" w:rsidRPr="0049778F" w14:paraId="5CFAFD14" w14:textId="77777777" w:rsidTr="00717A49">
        <w:trPr>
          <w:trHeight w:val="302"/>
        </w:trPr>
        <w:tc>
          <w:tcPr>
            <w:tcW w:w="1440" w:type="dxa"/>
            <w:shd w:val="clear" w:color="auto" w:fill="F2F2F2" w:themeFill="background1" w:themeFillShade="F2"/>
            <w:noWrap/>
          </w:tcPr>
          <w:p w14:paraId="040A2175" w14:textId="68020621" w:rsidR="004B6F19" w:rsidRPr="001F6736" w:rsidRDefault="003C45E6" w:rsidP="00893148">
            <w:pPr>
              <w:spacing w:after="0"/>
              <w:jc w:val="center"/>
              <w:rPr>
                <w:rFonts w:eastAsia="Times New Roman" w:cs="Calibri"/>
                <w:color w:val="000000"/>
                <w:sz w:val="20"/>
                <w:szCs w:val="20"/>
              </w:rPr>
            </w:pPr>
            <w:r w:rsidRPr="001F6736">
              <w:rPr>
                <w:rStyle w:val="normaltextrun"/>
                <w:rFonts w:cs="Calibri"/>
                <w:sz w:val="20"/>
                <w:szCs w:val="20"/>
              </w:rPr>
              <w:t>AMM-C</w:t>
            </w:r>
          </w:p>
        </w:tc>
        <w:tc>
          <w:tcPr>
            <w:tcW w:w="6336" w:type="dxa"/>
            <w:shd w:val="clear" w:color="auto" w:fill="F2F2F2" w:themeFill="background1" w:themeFillShade="F2"/>
          </w:tcPr>
          <w:p w14:paraId="13B24186" w14:textId="30B21554" w:rsidR="004B6F19" w:rsidRPr="001F6736" w:rsidRDefault="003C45E6" w:rsidP="00893148">
            <w:pPr>
              <w:spacing w:after="0"/>
              <w:rPr>
                <w:rFonts w:eastAsia="Times New Roman" w:cs="Calibri"/>
                <w:color w:val="000000"/>
                <w:sz w:val="20"/>
                <w:szCs w:val="20"/>
              </w:rPr>
            </w:pPr>
            <w:r w:rsidRPr="001F6736">
              <w:rPr>
                <w:rStyle w:val="normaltextrun"/>
                <w:rFonts w:cs="Calibri"/>
                <w:sz w:val="20"/>
                <w:szCs w:val="20"/>
              </w:rPr>
              <w:t>Antidepressant Medication Management Continuation</w:t>
            </w:r>
            <w:r w:rsidRPr="001F6736">
              <w:rPr>
                <w:rStyle w:val="eop"/>
                <w:rFonts w:cs="Calibri"/>
                <w:sz w:val="20"/>
                <w:szCs w:val="20"/>
              </w:rPr>
              <w:t> </w:t>
            </w:r>
          </w:p>
        </w:tc>
        <w:tc>
          <w:tcPr>
            <w:tcW w:w="1135" w:type="dxa"/>
            <w:shd w:val="clear" w:color="auto" w:fill="F2F2F2" w:themeFill="background1" w:themeFillShade="F2"/>
            <w:noWrap/>
            <w:vAlign w:val="center"/>
          </w:tcPr>
          <w:p w14:paraId="0241B8AF" w14:textId="5710388B" w:rsidR="004B6F19" w:rsidRPr="001F6736" w:rsidRDefault="00B330CB" w:rsidP="00893148">
            <w:pPr>
              <w:spacing w:after="0"/>
              <w:jc w:val="center"/>
              <w:rPr>
                <w:rFonts w:eastAsia="Times New Roman" w:cs="Calibri"/>
                <w:color w:val="000000"/>
                <w:sz w:val="18"/>
                <w:szCs w:val="18"/>
              </w:rPr>
            </w:pPr>
            <w:r w:rsidRPr="001F6736">
              <w:rPr>
                <w:rFonts w:cs="Calibri"/>
                <w:color w:val="000000"/>
                <w:sz w:val="18"/>
                <w:szCs w:val="18"/>
              </w:rPr>
              <w:t>75.6%</w:t>
            </w:r>
          </w:p>
        </w:tc>
        <w:tc>
          <w:tcPr>
            <w:tcW w:w="922" w:type="dxa"/>
            <w:shd w:val="clear" w:color="auto" w:fill="F2F2F2" w:themeFill="background1" w:themeFillShade="F2"/>
            <w:noWrap/>
            <w:vAlign w:val="center"/>
          </w:tcPr>
          <w:p w14:paraId="2E56D4B6" w14:textId="24560C55" w:rsidR="004B6F19" w:rsidRPr="001F6736" w:rsidRDefault="00B330CB" w:rsidP="00893148">
            <w:pPr>
              <w:spacing w:after="0"/>
              <w:jc w:val="center"/>
              <w:rPr>
                <w:rFonts w:eastAsia="Times New Roman" w:cs="Calibri"/>
                <w:color w:val="000000"/>
                <w:sz w:val="18"/>
                <w:szCs w:val="18"/>
              </w:rPr>
            </w:pPr>
            <w:r w:rsidRPr="001F6736">
              <w:rPr>
                <w:rFonts w:cs="Calibri"/>
                <w:color w:val="000000"/>
                <w:sz w:val="18"/>
                <w:szCs w:val="18"/>
              </w:rPr>
              <w:t>68.6%</w:t>
            </w:r>
          </w:p>
        </w:tc>
        <w:tc>
          <w:tcPr>
            <w:tcW w:w="922" w:type="dxa"/>
            <w:shd w:val="clear" w:color="auto" w:fill="F2F2F2" w:themeFill="background1" w:themeFillShade="F2"/>
            <w:noWrap/>
            <w:vAlign w:val="center"/>
          </w:tcPr>
          <w:p w14:paraId="542B1A5E" w14:textId="1423D892" w:rsidR="004B6F19" w:rsidRPr="001F6736" w:rsidRDefault="00B330CB" w:rsidP="00893148">
            <w:pPr>
              <w:spacing w:after="0"/>
              <w:jc w:val="center"/>
              <w:rPr>
                <w:rFonts w:eastAsia="Times New Roman" w:cs="Calibri"/>
                <w:color w:val="000000"/>
                <w:sz w:val="18"/>
                <w:szCs w:val="18"/>
              </w:rPr>
            </w:pPr>
            <w:r w:rsidRPr="001F6736">
              <w:rPr>
                <w:rFonts w:cs="Calibri"/>
                <w:color w:val="000000"/>
                <w:sz w:val="18"/>
                <w:szCs w:val="18"/>
              </w:rPr>
              <w:t>72.9%</w:t>
            </w:r>
          </w:p>
        </w:tc>
        <w:tc>
          <w:tcPr>
            <w:tcW w:w="922" w:type="dxa"/>
            <w:shd w:val="clear" w:color="auto" w:fill="F2F2F2" w:themeFill="background1" w:themeFillShade="F2"/>
            <w:noWrap/>
            <w:vAlign w:val="center"/>
          </w:tcPr>
          <w:p w14:paraId="149F673C" w14:textId="3E381BA7" w:rsidR="004B6F19" w:rsidRPr="001F6736" w:rsidRDefault="00B330CB" w:rsidP="00893148">
            <w:pPr>
              <w:spacing w:after="0"/>
              <w:jc w:val="center"/>
              <w:rPr>
                <w:rFonts w:eastAsia="Times New Roman" w:cs="Calibri"/>
                <w:color w:val="000000"/>
                <w:sz w:val="18"/>
                <w:szCs w:val="18"/>
              </w:rPr>
            </w:pPr>
            <w:r w:rsidRPr="001F6736">
              <w:rPr>
                <w:rFonts w:cs="Calibri"/>
                <w:color w:val="000000"/>
                <w:sz w:val="18"/>
                <w:szCs w:val="18"/>
              </w:rPr>
              <w:t>68.0%</w:t>
            </w:r>
          </w:p>
        </w:tc>
        <w:tc>
          <w:tcPr>
            <w:tcW w:w="922" w:type="dxa"/>
            <w:shd w:val="clear" w:color="auto" w:fill="F2F2F2" w:themeFill="background1" w:themeFillShade="F2"/>
            <w:noWrap/>
            <w:vAlign w:val="center"/>
          </w:tcPr>
          <w:p w14:paraId="42482F88" w14:textId="09899B81" w:rsidR="004B6F19" w:rsidRPr="001F6736" w:rsidRDefault="00B330CB" w:rsidP="00893148">
            <w:pPr>
              <w:spacing w:after="0"/>
              <w:jc w:val="center"/>
              <w:rPr>
                <w:rFonts w:eastAsia="Times New Roman" w:cs="Calibri"/>
                <w:color w:val="000000"/>
                <w:sz w:val="18"/>
                <w:szCs w:val="18"/>
              </w:rPr>
            </w:pPr>
            <w:r w:rsidRPr="001F6736">
              <w:rPr>
                <w:rFonts w:cs="Calibri"/>
                <w:color w:val="000000"/>
                <w:sz w:val="18"/>
                <w:szCs w:val="18"/>
              </w:rPr>
              <w:t>87.1%</w:t>
            </w:r>
          </w:p>
        </w:tc>
        <w:tc>
          <w:tcPr>
            <w:tcW w:w="922" w:type="dxa"/>
            <w:shd w:val="clear" w:color="auto" w:fill="F2F2F2" w:themeFill="background1" w:themeFillShade="F2"/>
            <w:noWrap/>
            <w:vAlign w:val="center"/>
          </w:tcPr>
          <w:p w14:paraId="665439DD" w14:textId="7F1F626D" w:rsidR="004B6F19" w:rsidRPr="001F6736" w:rsidRDefault="00B330CB" w:rsidP="00893148">
            <w:pPr>
              <w:spacing w:after="0"/>
              <w:jc w:val="center"/>
              <w:rPr>
                <w:rFonts w:eastAsia="Times New Roman" w:cs="Calibri"/>
                <w:color w:val="000000"/>
                <w:sz w:val="18"/>
                <w:szCs w:val="18"/>
              </w:rPr>
            </w:pPr>
            <w:r w:rsidRPr="001F6736">
              <w:rPr>
                <w:rFonts w:cs="Calibri"/>
                <w:color w:val="000000"/>
                <w:sz w:val="18"/>
                <w:szCs w:val="18"/>
              </w:rPr>
              <w:t>68.1%</w:t>
            </w:r>
          </w:p>
        </w:tc>
        <w:tc>
          <w:tcPr>
            <w:tcW w:w="922" w:type="dxa"/>
            <w:shd w:val="clear" w:color="auto" w:fill="F2F2F2" w:themeFill="background1" w:themeFillShade="F2"/>
            <w:noWrap/>
            <w:vAlign w:val="center"/>
          </w:tcPr>
          <w:p w14:paraId="483CBBBC" w14:textId="720FE322" w:rsidR="004B6F19" w:rsidRPr="001F6736" w:rsidRDefault="00B330CB" w:rsidP="00893148">
            <w:pPr>
              <w:spacing w:after="0"/>
              <w:jc w:val="center"/>
              <w:rPr>
                <w:rFonts w:eastAsia="Times New Roman" w:cs="Calibri"/>
                <w:color w:val="000000"/>
                <w:sz w:val="18"/>
                <w:szCs w:val="18"/>
              </w:rPr>
            </w:pPr>
            <w:r w:rsidRPr="001F6736">
              <w:rPr>
                <w:rFonts w:cs="Calibri"/>
                <w:color w:val="000000"/>
                <w:sz w:val="18"/>
                <w:szCs w:val="18"/>
              </w:rPr>
              <w:t>64.8%</w:t>
            </w:r>
          </w:p>
        </w:tc>
      </w:tr>
    </w:tbl>
    <w:p w14:paraId="7B62F09C" w14:textId="77777777" w:rsidR="00C25FFB" w:rsidRDefault="00C25FFB" w:rsidP="00E865D2">
      <w:pPr>
        <w:spacing w:after="160" w:line="259" w:lineRule="auto"/>
      </w:pPr>
    </w:p>
    <w:p w14:paraId="1B01C00D" w14:textId="07AC353A" w:rsidR="00866DFA" w:rsidRPr="00866DFA" w:rsidRDefault="00866DFA" w:rsidP="0061501B">
      <w:pPr>
        <w:tabs>
          <w:tab w:val="left" w:pos="4156"/>
        </w:tabs>
        <w:sectPr w:rsidR="00866DFA" w:rsidRPr="00866DFA" w:rsidSect="00FD1091">
          <w:headerReference w:type="default" r:id="rId19"/>
          <w:footnotePr>
            <w:numStart w:val="8"/>
          </w:footnotePr>
          <w:pgSz w:w="20160" w:h="12240" w:orient="landscape" w:code="5"/>
          <w:pgMar w:top="1440" w:right="1440" w:bottom="1440" w:left="1440" w:header="720" w:footer="720" w:gutter="0"/>
          <w:cols w:space="720"/>
          <w:docGrid w:linePitch="360"/>
        </w:sectPr>
      </w:pPr>
    </w:p>
    <w:p w14:paraId="5BEA972A" w14:textId="77777777" w:rsidR="00D67E5A" w:rsidRDefault="00D67E5A" w:rsidP="0061501B">
      <w:pPr>
        <w:pStyle w:val="Heading3"/>
        <w:spacing w:after="120"/>
        <w:ind w:left="0" w:firstLine="0"/>
      </w:pPr>
      <w:bookmarkStart w:id="24" w:name="_Toc190440067"/>
      <w:r w:rsidRPr="00533AA7">
        <w:lastRenderedPageBreak/>
        <w:t xml:space="preserve">Appendix </w:t>
      </w:r>
      <w:r>
        <w:t>C</w:t>
      </w:r>
      <w:r w:rsidRPr="00533AA7">
        <w:t>:</w:t>
      </w:r>
      <w:r>
        <w:t xml:space="preserve"> CMS Adult and Child Core Measure Sets Performance</w:t>
      </w:r>
      <w:r w:rsidR="00891A40">
        <w:t xml:space="preserve"> (Calculated and Reported by MassHealth)</w:t>
      </w:r>
      <w:bookmarkEnd w:id="24"/>
    </w:p>
    <w:p w14:paraId="5A472A54" w14:textId="64D1A5DD" w:rsidR="00723C99" w:rsidRPr="001F7E22" w:rsidRDefault="001F7E22" w:rsidP="001F7E22">
      <w:pPr>
        <w:tabs>
          <w:tab w:val="left" w:pos="4156"/>
        </w:tabs>
        <w:rPr>
          <w:b/>
          <w:bCs/>
        </w:rPr>
      </w:pPr>
      <w:r w:rsidRPr="001F7E22">
        <w:rPr>
          <w:b/>
          <w:bCs/>
        </w:rPr>
        <w:t>Table C.1: Adult Core Measure Set Performance</w:t>
      </w:r>
    </w:p>
    <w:tbl>
      <w:tblPr>
        <w:tblW w:w="18165" w:type="dxa"/>
        <w:jc w:val="center"/>
        <w:tblLook w:val="04A0" w:firstRow="1" w:lastRow="0" w:firstColumn="1" w:lastColumn="0" w:noHBand="0" w:noVBand="1"/>
      </w:tblPr>
      <w:tblGrid>
        <w:gridCol w:w="1368"/>
        <w:gridCol w:w="8476"/>
        <w:gridCol w:w="1107"/>
        <w:gridCol w:w="1280"/>
        <w:gridCol w:w="1444"/>
        <w:gridCol w:w="1713"/>
        <w:gridCol w:w="1527"/>
        <w:gridCol w:w="1250"/>
      </w:tblGrid>
      <w:tr w:rsidR="003352F5" w:rsidRPr="00F26259" w14:paraId="33AED4D1" w14:textId="0C8A92D3" w:rsidTr="003352F5">
        <w:trPr>
          <w:trHeight w:val="290"/>
          <w:tblHeader/>
          <w:jc w:val="center"/>
        </w:trPr>
        <w:tc>
          <w:tcPr>
            <w:tcW w:w="1368" w:type="dxa"/>
            <w:tcBorders>
              <w:top w:val="single" w:sz="4" w:space="0" w:color="auto"/>
              <w:left w:val="single" w:sz="4" w:space="0" w:color="auto"/>
              <w:bottom w:val="single" w:sz="4" w:space="0" w:color="auto"/>
              <w:right w:val="single" w:sz="4" w:space="0" w:color="auto"/>
            </w:tcBorders>
            <w:shd w:val="clear" w:color="auto" w:fill="auto"/>
            <w:noWrap/>
            <w:hideMark/>
          </w:tcPr>
          <w:p w14:paraId="75F56FF1" w14:textId="77777777" w:rsidR="004C5883" w:rsidRPr="00F26259" w:rsidRDefault="004C5883" w:rsidP="00696881">
            <w:pPr>
              <w:spacing w:after="0"/>
              <w:rPr>
                <w:rFonts w:eastAsia="Times New Roman" w:cs="Calibri"/>
                <w:b/>
                <w:bCs/>
                <w:color w:val="000000"/>
              </w:rPr>
            </w:pPr>
            <w:r w:rsidRPr="00F26259">
              <w:rPr>
                <w:rFonts w:eastAsia="Times New Roman" w:cs="Calibri"/>
                <w:b/>
                <w:bCs/>
                <w:color w:val="000000"/>
              </w:rPr>
              <w:t>Acronym</w:t>
            </w:r>
          </w:p>
        </w:tc>
        <w:tc>
          <w:tcPr>
            <w:tcW w:w="8476" w:type="dxa"/>
            <w:tcBorders>
              <w:top w:val="single" w:sz="4" w:space="0" w:color="auto"/>
              <w:left w:val="single" w:sz="4" w:space="0" w:color="auto"/>
              <w:bottom w:val="single" w:sz="4" w:space="0" w:color="auto"/>
              <w:right w:val="single" w:sz="4" w:space="0" w:color="auto"/>
            </w:tcBorders>
            <w:shd w:val="clear" w:color="auto" w:fill="auto"/>
            <w:noWrap/>
            <w:hideMark/>
          </w:tcPr>
          <w:p w14:paraId="69609D90" w14:textId="77777777" w:rsidR="004C5883" w:rsidRPr="00F26259" w:rsidRDefault="004C5883" w:rsidP="00696881">
            <w:pPr>
              <w:spacing w:after="0"/>
              <w:jc w:val="center"/>
              <w:rPr>
                <w:rFonts w:eastAsia="Times New Roman" w:cs="Calibri"/>
                <w:b/>
                <w:bCs/>
                <w:color w:val="000000"/>
              </w:rPr>
            </w:pPr>
            <w:r w:rsidRPr="00F26259">
              <w:rPr>
                <w:rFonts w:eastAsia="Times New Roman" w:cs="Calibri"/>
                <w:b/>
                <w:bCs/>
                <w:color w:val="000000"/>
              </w:rPr>
              <w:t>Measure Description</w:t>
            </w:r>
          </w:p>
        </w:tc>
        <w:tc>
          <w:tcPr>
            <w:tcW w:w="1107" w:type="dxa"/>
            <w:tcBorders>
              <w:top w:val="single" w:sz="4" w:space="0" w:color="auto"/>
              <w:left w:val="single" w:sz="4" w:space="0" w:color="auto"/>
              <w:bottom w:val="single" w:sz="4" w:space="0" w:color="auto"/>
              <w:right w:val="single" w:sz="4" w:space="0" w:color="auto"/>
            </w:tcBorders>
          </w:tcPr>
          <w:p w14:paraId="26AF1C2C" w14:textId="45D024A6" w:rsidR="004C5883" w:rsidRDefault="004C5883" w:rsidP="00696881">
            <w:pPr>
              <w:spacing w:after="0"/>
              <w:jc w:val="center"/>
              <w:rPr>
                <w:rFonts w:eastAsia="Times New Roman" w:cs="Calibri"/>
                <w:b/>
                <w:bCs/>
                <w:color w:val="000000"/>
              </w:rPr>
            </w:pPr>
            <w:r>
              <w:rPr>
                <w:rFonts w:eastAsia="Times New Roman" w:cs="Calibri"/>
                <w:b/>
                <w:bCs/>
                <w:color w:val="000000"/>
              </w:rPr>
              <w:t>M</w:t>
            </w:r>
            <w:r w:rsidRPr="00F26259">
              <w:rPr>
                <w:rFonts w:eastAsia="Times New Roman" w:cs="Calibri"/>
                <w:b/>
                <w:bCs/>
                <w:color w:val="000000"/>
              </w:rPr>
              <w:t>Y2020</w:t>
            </w:r>
            <w:r>
              <w:rPr>
                <w:rFonts w:eastAsia="Times New Roman" w:cs="Calibri"/>
                <w:b/>
                <w:bCs/>
                <w:color w:val="000000"/>
              </w:rPr>
              <w:t xml:space="preserve"> Rates</w:t>
            </w:r>
          </w:p>
        </w:tc>
        <w:tc>
          <w:tcPr>
            <w:tcW w:w="1280" w:type="dxa"/>
            <w:tcBorders>
              <w:top w:val="single" w:sz="4" w:space="0" w:color="auto"/>
              <w:left w:val="single" w:sz="4" w:space="0" w:color="auto"/>
              <w:bottom w:val="single" w:sz="4" w:space="0" w:color="auto"/>
              <w:right w:val="single" w:sz="4" w:space="0" w:color="auto"/>
            </w:tcBorders>
            <w:shd w:val="clear" w:color="000000" w:fill="F2F2F2"/>
            <w:noWrap/>
            <w:hideMark/>
          </w:tcPr>
          <w:p w14:paraId="3A898F81" w14:textId="2F895623" w:rsidR="004C5883" w:rsidRPr="00F26259" w:rsidRDefault="004C5883" w:rsidP="00696881">
            <w:pPr>
              <w:spacing w:after="0"/>
              <w:jc w:val="center"/>
              <w:rPr>
                <w:rFonts w:eastAsia="Times New Roman" w:cs="Calibri"/>
                <w:b/>
                <w:bCs/>
                <w:color w:val="000000"/>
              </w:rPr>
            </w:pPr>
            <w:r>
              <w:rPr>
                <w:rFonts w:eastAsia="Times New Roman" w:cs="Calibri"/>
                <w:b/>
                <w:bCs/>
                <w:color w:val="000000"/>
              </w:rPr>
              <w:t>M</w:t>
            </w:r>
            <w:r w:rsidRPr="00F26259">
              <w:rPr>
                <w:rFonts w:eastAsia="Times New Roman" w:cs="Calibri"/>
                <w:b/>
                <w:bCs/>
                <w:color w:val="000000"/>
              </w:rPr>
              <w:t>Y20</w:t>
            </w:r>
            <w:r>
              <w:rPr>
                <w:rFonts w:eastAsia="Times New Roman" w:cs="Calibri"/>
                <w:b/>
                <w:bCs/>
                <w:color w:val="000000"/>
              </w:rPr>
              <w:t>21 Rates</w:t>
            </w:r>
          </w:p>
        </w:tc>
        <w:tc>
          <w:tcPr>
            <w:tcW w:w="1444" w:type="dxa"/>
            <w:tcBorders>
              <w:top w:val="single" w:sz="4" w:space="0" w:color="auto"/>
              <w:left w:val="single" w:sz="4" w:space="0" w:color="auto"/>
              <w:bottom w:val="single" w:sz="4" w:space="0" w:color="auto"/>
              <w:right w:val="single" w:sz="4" w:space="0" w:color="auto"/>
            </w:tcBorders>
            <w:shd w:val="clear" w:color="000000" w:fill="F2F2F2"/>
            <w:noWrap/>
            <w:hideMark/>
          </w:tcPr>
          <w:p w14:paraId="4A531ACF" w14:textId="5A2116B2" w:rsidR="004C5883" w:rsidRPr="00F26259" w:rsidRDefault="004C5883" w:rsidP="00696881">
            <w:pPr>
              <w:spacing w:after="0"/>
              <w:jc w:val="center"/>
              <w:rPr>
                <w:rFonts w:eastAsia="Times New Roman" w:cs="Calibri"/>
                <w:b/>
                <w:bCs/>
                <w:color w:val="000000"/>
              </w:rPr>
            </w:pPr>
            <w:r>
              <w:rPr>
                <w:rFonts w:eastAsia="Times New Roman" w:cs="Calibri"/>
                <w:b/>
                <w:bCs/>
                <w:color w:val="000000"/>
              </w:rPr>
              <w:t>M</w:t>
            </w:r>
            <w:r w:rsidRPr="00F26259">
              <w:rPr>
                <w:rFonts w:eastAsia="Times New Roman" w:cs="Calibri"/>
                <w:b/>
                <w:bCs/>
                <w:color w:val="000000"/>
              </w:rPr>
              <w:t>Y20</w:t>
            </w:r>
            <w:r>
              <w:rPr>
                <w:rFonts w:eastAsia="Times New Roman" w:cs="Calibri"/>
                <w:b/>
                <w:bCs/>
                <w:color w:val="000000"/>
              </w:rPr>
              <w:t>22 Rates</w:t>
            </w:r>
          </w:p>
        </w:tc>
        <w:tc>
          <w:tcPr>
            <w:tcW w:w="1713" w:type="dxa"/>
            <w:tcBorders>
              <w:top w:val="single" w:sz="4" w:space="0" w:color="auto"/>
              <w:left w:val="single" w:sz="4" w:space="0" w:color="auto"/>
              <w:bottom w:val="single" w:sz="4" w:space="0" w:color="auto"/>
              <w:right w:val="single" w:sz="4" w:space="0" w:color="auto"/>
            </w:tcBorders>
            <w:shd w:val="clear" w:color="auto" w:fill="auto"/>
            <w:noWrap/>
            <w:hideMark/>
          </w:tcPr>
          <w:p w14:paraId="4410B189" w14:textId="4F665DB5" w:rsidR="004C5883" w:rsidRPr="002B5108" w:rsidRDefault="00AE0C7E" w:rsidP="00696881">
            <w:pPr>
              <w:spacing w:after="0"/>
              <w:jc w:val="center"/>
              <w:rPr>
                <w:rFonts w:eastAsia="Times New Roman" w:cs="Calibri"/>
                <w:b/>
                <w:bCs/>
                <w:color w:val="000000"/>
              </w:rPr>
            </w:pPr>
            <w:r>
              <w:rPr>
                <w:rFonts w:eastAsia="Times New Roman" w:cs="Calibri"/>
                <w:b/>
                <w:bCs/>
                <w:color w:val="000000"/>
              </w:rPr>
              <w:t xml:space="preserve">MY22 </w:t>
            </w:r>
            <w:r w:rsidR="00254931">
              <w:rPr>
                <w:rFonts w:eastAsia="Times New Roman" w:cs="Calibri"/>
                <w:b/>
                <w:bCs/>
                <w:color w:val="000000"/>
              </w:rPr>
              <w:t>Medicaid Bottom Quartile</w:t>
            </w:r>
          </w:p>
        </w:tc>
        <w:tc>
          <w:tcPr>
            <w:tcW w:w="1527" w:type="dxa"/>
            <w:tcBorders>
              <w:top w:val="single" w:sz="4" w:space="0" w:color="auto"/>
              <w:left w:val="single" w:sz="4" w:space="0" w:color="auto"/>
              <w:bottom w:val="single" w:sz="4" w:space="0" w:color="auto"/>
              <w:right w:val="single" w:sz="4" w:space="0" w:color="auto"/>
            </w:tcBorders>
            <w:shd w:val="clear" w:color="auto" w:fill="auto"/>
            <w:noWrap/>
            <w:hideMark/>
          </w:tcPr>
          <w:p w14:paraId="3EF0B725" w14:textId="7941AA1D" w:rsidR="004C5883" w:rsidRPr="002B5108" w:rsidRDefault="00AE0C7E" w:rsidP="00696881">
            <w:pPr>
              <w:spacing w:after="0"/>
              <w:jc w:val="center"/>
              <w:rPr>
                <w:rFonts w:eastAsia="Times New Roman" w:cs="Calibri"/>
                <w:b/>
                <w:bCs/>
                <w:color w:val="000000"/>
              </w:rPr>
            </w:pPr>
            <w:r>
              <w:rPr>
                <w:rFonts w:eastAsia="Times New Roman" w:cs="Calibri"/>
                <w:b/>
                <w:bCs/>
                <w:color w:val="000000"/>
              </w:rPr>
              <w:t xml:space="preserve">MY22 </w:t>
            </w:r>
            <w:r w:rsidR="00632381">
              <w:rPr>
                <w:rFonts w:eastAsia="Times New Roman" w:cs="Calibri"/>
                <w:b/>
                <w:bCs/>
                <w:color w:val="000000"/>
              </w:rPr>
              <w:t>Medicaid Median</w:t>
            </w:r>
          </w:p>
        </w:tc>
        <w:tc>
          <w:tcPr>
            <w:tcW w:w="1250" w:type="dxa"/>
            <w:tcBorders>
              <w:top w:val="single" w:sz="4" w:space="0" w:color="auto"/>
              <w:left w:val="single" w:sz="4" w:space="0" w:color="auto"/>
              <w:bottom w:val="single" w:sz="4" w:space="0" w:color="auto"/>
              <w:right w:val="single" w:sz="4" w:space="0" w:color="auto"/>
            </w:tcBorders>
          </w:tcPr>
          <w:p w14:paraId="54EB4C6F" w14:textId="4197B639" w:rsidR="004C5883" w:rsidRDefault="00AE0C7E" w:rsidP="00696881">
            <w:pPr>
              <w:spacing w:after="0"/>
              <w:jc w:val="center"/>
              <w:rPr>
                <w:rFonts w:eastAsia="Times New Roman" w:cs="Calibri"/>
                <w:b/>
                <w:bCs/>
                <w:color w:val="000000"/>
              </w:rPr>
            </w:pPr>
            <w:r>
              <w:rPr>
                <w:rFonts w:eastAsia="Times New Roman" w:cs="Calibri"/>
                <w:b/>
                <w:bCs/>
                <w:color w:val="000000"/>
              </w:rPr>
              <w:t xml:space="preserve">MY22 </w:t>
            </w:r>
            <w:r w:rsidR="003352F5">
              <w:rPr>
                <w:rFonts w:eastAsia="Times New Roman" w:cs="Calibri"/>
                <w:b/>
                <w:bCs/>
                <w:color w:val="000000"/>
              </w:rPr>
              <w:t>Medicaid Top Quartile</w:t>
            </w:r>
          </w:p>
        </w:tc>
      </w:tr>
      <w:tr w:rsidR="003352F5" w:rsidRPr="00F26259" w14:paraId="303794BA" w14:textId="0E512148" w:rsidTr="003352F5">
        <w:trPr>
          <w:trHeight w:val="215"/>
          <w:jc w:val="center"/>
        </w:trPr>
        <w:tc>
          <w:tcPr>
            <w:tcW w:w="1368" w:type="dxa"/>
            <w:tcBorders>
              <w:top w:val="single" w:sz="4" w:space="0" w:color="auto"/>
              <w:left w:val="single" w:sz="4" w:space="0" w:color="000000"/>
              <w:bottom w:val="single" w:sz="4" w:space="0" w:color="000000"/>
              <w:right w:val="single" w:sz="4" w:space="0" w:color="000000"/>
            </w:tcBorders>
            <w:shd w:val="clear" w:color="auto" w:fill="auto"/>
            <w:noWrap/>
          </w:tcPr>
          <w:p w14:paraId="65960E90" w14:textId="14DF61D6" w:rsidR="004C5883" w:rsidRDefault="004C5883" w:rsidP="00696881">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AAB</w:t>
            </w:r>
          </w:p>
        </w:tc>
        <w:tc>
          <w:tcPr>
            <w:tcW w:w="8476" w:type="dxa"/>
            <w:tcBorders>
              <w:top w:val="single" w:sz="4" w:space="0" w:color="auto"/>
              <w:left w:val="nil"/>
              <w:bottom w:val="single" w:sz="4" w:space="0" w:color="auto"/>
              <w:right w:val="single" w:sz="4" w:space="0" w:color="auto"/>
            </w:tcBorders>
            <w:shd w:val="clear" w:color="auto" w:fill="auto"/>
          </w:tcPr>
          <w:p w14:paraId="48B99DB4" w14:textId="18C9C391" w:rsidR="004C5883" w:rsidRPr="00B03E9B" w:rsidRDefault="004C5883" w:rsidP="00696881">
            <w:pPr>
              <w:spacing w:after="0"/>
              <w:rPr>
                <w:rFonts w:asciiTheme="minorHAnsi" w:eastAsia="Times New Roman" w:hAnsiTheme="minorHAnsi" w:cstheme="minorHAnsi"/>
                <w:sz w:val="20"/>
                <w:szCs w:val="20"/>
              </w:rPr>
            </w:pPr>
            <w:r>
              <w:rPr>
                <w:rFonts w:asciiTheme="minorHAnsi" w:eastAsia="Times New Roman" w:hAnsiTheme="minorHAnsi" w:cstheme="minorHAnsi"/>
                <w:sz w:val="20"/>
                <w:szCs w:val="20"/>
              </w:rPr>
              <w:t>Avoidance of Antibiotic Treatment for Acute Bronchitis/Bronchiolitis: 18-64</w:t>
            </w:r>
          </w:p>
        </w:tc>
        <w:tc>
          <w:tcPr>
            <w:tcW w:w="1107" w:type="dxa"/>
            <w:tcBorders>
              <w:top w:val="single" w:sz="4" w:space="0" w:color="auto"/>
              <w:bottom w:val="single" w:sz="4" w:space="0" w:color="auto"/>
              <w:right w:val="single" w:sz="4" w:space="0" w:color="auto"/>
            </w:tcBorders>
            <w:vAlign w:val="center"/>
          </w:tcPr>
          <w:p w14:paraId="13E3D1BE" w14:textId="3D065C0A" w:rsidR="004C5883" w:rsidRPr="00962971" w:rsidRDefault="004C5883" w:rsidP="00696881">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NR</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5F22737" w14:textId="7D75AADC" w:rsidR="004C5883" w:rsidRPr="00962971" w:rsidRDefault="004C5883" w:rsidP="00696881">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57.2%</w:t>
            </w:r>
          </w:p>
        </w:tc>
        <w:tc>
          <w:tcPr>
            <w:tcW w:w="1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5D71D81" w14:textId="3D1578CE" w:rsidR="004C5883" w:rsidRPr="00962971" w:rsidRDefault="004C5883" w:rsidP="00696881">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56.6%</w:t>
            </w:r>
          </w:p>
        </w:tc>
        <w:tc>
          <w:tcPr>
            <w:tcW w:w="1713"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3893C45E" w14:textId="359E9AA2" w:rsidR="004C5883" w:rsidRPr="00F61604" w:rsidRDefault="00862122" w:rsidP="00696881">
            <w:pPr>
              <w:spacing w:after="0"/>
              <w:jc w:val="center"/>
              <w:rPr>
                <w:rFonts w:asciiTheme="minorHAnsi" w:eastAsia="Times New Roman" w:hAnsiTheme="minorHAnsi" w:cstheme="minorHAnsi"/>
                <w:color w:val="FF0000"/>
                <w:sz w:val="20"/>
                <w:szCs w:val="20"/>
              </w:rPr>
            </w:pPr>
            <w:r w:rsidRPr="00862122">
              <w:rPr>
                <w:rFonts w:asciiTheme="minorHAnsi" w:eastAsia="Times New Roman" w:hAnsiTheme="minorHAnsi" w:cstheme="minorHAnsi"/>
                <w:sz w:val="20"/>
                <w:szCs w:val="20"/>
              </w:rPr>
              <w:t>40.1%</w:t>
            </w:r>
          </w:p>
        </w:tc>
        <w:tc>
          <w:tcPr>
            <w:tcW w:w="1527" w:type="dxa"/>
            <w:tcBorders>
              <w:top w:val="single" w:sz="4" w:space="0" w:color="auto"/>
              <w:left w:val="nil"/>
              <w:bottom w:val="single" w:sz="4" w:space="0" w:color="000000"/>
              <w:right w:val="single" w:sz="4" w:space="0" w:color="000000"/>
            </w:tcBorders>
            <w:shd w:val="clear" w:color="auto" w:fill="auto"/>
            <w:noWrap/>
            <w:vAlign w:val="center"/>
          </w:tcPr>
          <w:p w14:paraId="17E11036" w14:textId="5015FA91" w:rsidR="004C5883" w:rsidRPr="00F61604" w:rsidRDefault="00862122" w:rsidP="00696881">
            <w:pPr>
              <w:spacing w:after="0"/>
              <w:jc w:val="center"/>
              <w:rPr>
                <w:rFonts w:asciiTheme="minorHAnsi" w:eastAsia="Times New Roman" w:hAnsiTheme="minorHAnsi" w:cstheme="minorHAnsi"/>
                <w:color w:val="FF0000"/>
                <w:sz w:val="20"/>
                <w:szCs w:val="20"/>
              </w:rPr>
            </w:pPr>
            <w:r w:rsidRPr="00862122">
              <w:rPr>
                <w:rFonts w:asciiTheme="minorHAnsi" w:eastAsia="Times New Roman" w:hAnsiTheme="minorHAnsi" w:cstheme="minorHAnsi"/>
                <w:sz w:val="20"/>
                <w:szCs w:val="20"/>
              </w:rPr>
              <w:t>43.3%</w:t>
            </w:r>
          </w:p>
        </w:tc>
        <w:tc>
          <w:tcPr>
            <w:tcW w:w="1250" w:type="dxa"/>
            <w:tcBorders>
              <w:top w:val="single" w:sz="4" w:space="0" w:color="auto"/>
              <w:left w:val="nil"/>
              <w:bottom w:val="single" w:sz="4" w:space="0" w:color="000000"/>
              <w:right w:val="single" w:sz="4" w:space="0" w:color="000000"/>
            </w:tcBorders>
          </w:tcPr>
          <w:p w14:paraId="7182C225" w14:textId="3396DC25" w:rsidR="004C5883" w:rsidRDefault="00862122" w:rsidP="00696881">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54.4%</w:t>
            </w:r>
          </w:p>
        </w:tc>
      </w:tr>
      <w:tr w:rsidR="003352F5" w:rsidRPr="00F26259" w14:paraId="1DC53AA4" w14:textId="490D35C5" w:rsidTr="003352F5">
        <w:trPr>
          <w:trHeight w:val="215"/>
          <w:jc w:val="center"/>
        </w:trPr>
        <w:tc>
          <w:tcPr>
            <w:tcW w:w="1368" w:type="dxa"/>
            <w:tcBorders>
              <w:top w:val="single" w:sz="4" w:space="0" w:color="auto"/>
              <w:left w:val="single" w:sz="4" w:space="0" w:color="000000"/>
              <w:bottom w:val="single" w:sz="4" w:space="0" w:color="000000"/>
              <w:right w:val="single" w:sz="4" w:space="0" w:color="000000"/>
            </w:tcBorders>
            <w:shd w:val="clear" w:color="auto" w:fill="auto"/>
            <w:noWrap/>
          </w:tcPr>
          <w:p w14:paraId="55272F9D" w14:textId="72475584" w:rsidR="004C5883" w:rsidRPr="00F26259" w:rsidRDefault="004C5883" w:rsidP="00696881">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AMM</w:t>
            </w:r>
          </w:p>
        </w:tc>
        <w:tc>
          <w:tcPr>
            <w:tcW w:w="8476" w:type="dxa"/>
            <w:tcBorders>
              <w:top w:val="single" w:sz="4" w:space="0" w:color="auto"/>
              <w:left w:val="nil"/>
              <w:bottom w:val="single" w:sz="4" w:space="0" w:color="auto"/>
              <w:right w:val="single" w:sz="4" w:space="0" w:color="auto"/>
            </w:tcBorders>
            <w:shd w:val="clear" w:color="auto" w:fill="auto"/>
          </w:tcPr>
          <w:p w14:paraId="5B5A8422" w14:textId="440E28AD" w:rsidR="004C5883" w:rsidRPr="00B03E9B" w:rsidRDefault="004C5883" w:rsidP="00696881">
            <w:pPr>
              <w:spacing w:after="0"/>
              <w:rPr>
                <w:rFonts w:asciiTheme="minorHAnsi" w:eastAsia="Times New Roman" w:hAnsiTheme="minorHAnsi" w:cstheme="minorHAnsi"/>
                <w:sz w:val="20"/>
                <w:szCs w:val="20"/>
              </w:rPr>
            </w:pPr>
            <w:r w:rsidRPr="00B03E9B">
              <w:rPr>
                <w:rFonts w:asciiTheme="minorHAnsi" w:eastAsia="Times New Roman" w:hAnsiTheme="minorHAnsi" w:cstheme="minorHAnsi"/>
                <w:sz w:val="20"/>
                <w:szCs w:val="20"/>
              </w:rPr>
              <w:t xml:space="preserve">Antidepressant Medication Management </w:t>
            </w:r>
            <w:r>
              <w:rPr>
                <w:rFonts w:asciiTheme="minorHAnsi" w:eastAsia="Times New Roman" w:hAnsiTheme="minorHAnsi" w:cstheme="minorHAnsi"/>
                <w:sz w:val="20"/>
                <w:szCs w:val="20"/>
              </w:rPr>
              <w:t>–</w:t>
            </w:r>
            <w:r w:rsidRPr="00B03E9B">
              <w:rPr>
                <w:rFonts w:asciiTheme="minorHAnsi" w:eastAsia="Times New Roman" w:hAnsiTheme="minorHAnsi" w:cstheme="minorHAnsi"/>
                <w:sz w:val="20"/>
                <w:szCs w:val="20"/>
              </w:rPr>
              <w:t xml:space="preserve"> Acute</w:t>
            </w:r>
            <w:r>
              <w:rPr>
                <w:rFonts w:asciiTheme="minorHAnsi" w:eastAsia="Times New Roman" w:hAnsiTheme="minorHAnsi" w:cstheme="minorHAnsi"/>
                <w:sz w:val="20"/>
                <w:szCs w:val="20"/>
              </w:rPr>
              <w:t>: 18-64</w:t>
            </w:r>
          </w:p>
        </w:tc>
        <w:tc>
          <w:tcPr>
            <w:tcW w:w="1107" w:type="dxa"/>
            <w:tcBorders>
              <w:top w:val="single" w:sz="4" w:space="0" w:color="auto"/>
              <w:bottom w:val="single" w:sz="4" w:space="0" w:color="auto"/>
              <w:right w:val="single" w:sz="4" w:space="0" w:color="auto"/>
            </w:tcBorders>
            <w:vAlign w:val="center"/>
          </w:tcPr>
          <w:p w14:paraId="72A7B4C1" w14:textId="5D1ABBC9" w:rsidR="004C5883" w:rsidRPr="00962971" w:rsidRDefault="004C5883" w:rsidP="00696881">
            <w:pPr>
              <w:spacing w:after="0"/>
              <w:jc w:val="center"/>
              <w:rPr>
                <w:rFonts w:asciiTheme="minorHAnsi" w:eastAsia="Times New Roman" w:hAnsiTheme="minorHAnsi" w:cstheme="minorHAnsi"/>
                <w:sz w:val="20"/>
                <w:szCs w:val="20"/>
              </w:rPr>
            </w:pPr>
            <w:r w:rsidRPr="00962971">
              <w:rPr>
                <w:rFonts w:asciiTheme="minorHAnsi" w:eastAsia="Times New Roman" w:hAnsiTheme="minorHAnsi" w:cstheme="minorHAnsi"/>
                <w:sz w:val="20"/>
                <w:szCs w:val="20"/>
              </w:rPr>
              <w:t>54.8%</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A8BEDFC" w14:textId="2608FE15" w:rsidR="004C5883" w:rsidRPr="00962971" w:rsidRDefault="004C5883" w:rsidP="00696881">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62.0%</w:t>
            </w:r>
          </w:p>
        </w:tc>
        <w:tc>
          <w:tcPr>
            <w:tcW w:w="1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535AA06" w14:textId="505CCE4E" w:rsidR="004C5883" w:rsidRPr="00962971" w:rsidRDefault="004C5883" w:rsidP="00696881">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64.7%</w:t>
            </w:r>
          </w:p>
        </w:tc>
        <w:tc>
          <w:tcPr>
            <w:tcW w:w="1713"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242297A6" w14:textId="57152EB1" w:rsidR="004C5883" w:rsidRPr="00F61604" w:rsidRDefault="00EC10CC" w:rsidP="00696881">
            <w:pPr>
              <w:spacing w:after="0"/>
              <w:jc w:val="center"/>
              <w:rPr>
                <w:rFonts w:asciiTheme="minorHAnsi" w:eastAsia="Times New Roman" w:hAnsiTheme="minorHAnsi" w:cstheme="minorHAnsi"/>
                <w:color w:val="FF0000"/>
                <w:sz w:val="20"/>
                <w:szCs w:val="20"/>
              </w:rPr>
            </w:pPr>
            <w:r w:rsidRPr="00EC10CC">
              <w:rPr>
                <w:rFonts w:asciiTheme="minorHAnsi" w:eastAsia="Times New Roman" w:hAnsiTheme="minorHAnsi" w:cstheme="minorHAnsi"/>
                <w:sz w:val="20"/>
                <w:szCs w:val="20"/>
              </w:rPr>
              <w:t>54.6%</w:t>
            </w:r>
          </w:p>
        </w:tc>
        <w:tc>
          <w:tcPr>
            <w:tcW w:w="1527" w:type="dxa"/>
            <w:tcBorders>
              <w:top w:val="single" w:sz="4" w:space="0" w:color="auto"/>
              <w:left w:val="nil"/>
              <w:bottom w:val="single" w:sz="4" w:space="0" w:color="000000"/>
              <w:right w:val="single" w:sz="4" w:space="0" w:color="000000"/>
            </w:tcBorders>
            <w:shd w:val="clear" w:color="auto" w:fill="auto"/>
            <w:noWrap/>
            <w:vAlign w:val="center"/>
          </w:tcPr>
          <w:p w14:paraId="5E207213" w14:textId="3EBFFB5F" w:rsidR="004C5883" w:rsidRPr="00F61604" w:rsidRDefault="00EC10CC" w:rsidP="00696881">
            <w:pPr>
              <w:spacing w:after="0"/>
              <w:jc w:val="center"/>
              <w:rPr>
                <w:rFonts w:asciiTheme="minorHAnsi" w:eastAsia="Times New Roman" w:hAnsiTheme="minorHAnsi" w:cstheme="minorHAnsi"/>
                <w:color w:val="FF0000"/>
                <w:sz w:val="20"/>
                <w:szCs w:val="20"/>
              </w:rPr>
            </w:pPr>
            <w:r w:rsidRPr="00EC10CC">
              <w:rPr>
                <w:rFonts w:asciiTheme="minorHAnsi" w:eastAsia="Times New Roman" w:hAnsiTheme="minorHAnsi" w:cstheme="minorHAnsi"/>
                <w:sz w:val="20"/>
                <w:szCs w:val="20"/>
              </w:rPr>
              <w:t>58.8%</w:t>
            </w:r>
          </w:p>
        </w:tc>
        <w:tc>
          <w:tcPr>
            <w:tcW w:w="1250" w:type="dxa"/>
            <w:tcBorders>
              <w:top w:val="single" w:sz="4" w:space="0" w:color="auto"/>
              <w:left w:val="nil"/>
              <w:bottom w:val="single" w:sz="4" w:space="0" w:color="000000"/>
              <w:right w:val="single" w:sz="4" w:space="0" w:color="000000"/>
            </w:tcBorders>
          </w:tcPr>
          <w:p w14:paraId="6CC4D429" w14:textId="00785845" w:rsidR="004C5883" w:rsidRDefault="00EC10CC" w:rsidP="00696881">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64.0%</w:t>
            </w:r>
          </w:p>
        </w:tc>
      </w:tr>
      <w:tr w:rsidR="003352F5" w:rsidRPr="00F26259" w14:paraId="46EF37C0" w14:textId="35BF5583" w:rsidTr="003352F5">
        <w:trPr>
          <w:trHeight w:val="215"/>
          <w:jc w:val="center"/>
        </w:trPr>
        <w:tc>
          <w:tcPr>
            <w:tcW w:w="1368" w:type="dxa"/>
            <w:tcBorders>
              <w:top w:val="single" w:sz="4" w:space="0" w:color="auto"/>
              <w:left w:val="single" w:sz="4" w:space="0" w:color="000000"/>
              <w:bottom w:val="single" w:sz="4" w:space="0" w:color="000000"/>
              <w:right w:val="single" w:sz="4" w:space="0" w:color="000000"/>
            </w:tcBorders>
            <w:shd w:val="clear" w:color="auto" w:fill="auto"/>
            <w:noWrap/>
          </w:tcPr>
          <w:p w14:paraId="3BB4D04A" w14:textId="02BA3AC3" w:rsidR="004C5883" w:rsidRDefault="004C5883" w:rsidP="00696881">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AMM</w:t>
            </w:r>
          </w:p>
        </w:tc>
        <w:tc>
          <w:tcPr>
            <w:tcW w:w="8476" w:type="dxa"/>
            <w:tcBorders>
              <w:top w:val="single" w:sz="4" w:space="0" w:color="auto"/>
              <w:left w:val="nil"/>
              <w:bottom w:val="single" w:sz="4" w:space="0" w:color="auto"/>
              <w:right w:val="single" w:sz="4" w:space="0" w:color="auto"/>
            </w:tcBorders>
            <w:shd w:val="clear" w:color="auto" w:fill="auto"/>
          </w:tcPr>
          <w:p w14:paraId="22A7873E" w14:textId="6BE225F5" w:rsidR="004C5883" w:rsidRPr="00B03E9B" w:rsidRDefault="004C5883" w:rsidP="00696881">
            <w:pPr>
              <w:spacing w:after="0"/>
              <w:rPr>
                <w:rFonts w:asciiTheme="minorHAnsi" w:eastAsia="Times New Roman" w:hAnsiTheme="minorHAnsi" w:cstheme="minorHAnsi"/>
                <w:sz w:val="20"/>
                <w:szCs w:val="20"/>
              </w:rPr>
            </w:pPr>
            <w:r w:rsidRPr="00B03E9B">
              <w:rPr>
                <w:rFonts w:asciiTheme="minorHAnsi" w:eastAsia="Times New Roman" w:hAnsiTheme="minorHAnsi" w:cstheme="minorHAnsi"/>
                <w:sz w:val="20"/>
                <w:szCs w:val="20"/>
              </w:rPr>
              <w:t xml:space="preserve">Antidepressant Medication Management </w:t>
            </w:r>
            <w:r>
              <w:rPr>
                <w:rFonts w:asciiTheme="minorHAnsi" w:eastAsia="Times New Roman" w:hAnsiTheme="minorHAnsi" w:cstheme="minorHAnsi"/>
                <w:sz w:val="20"/>
                <w:szCs w:val="20"/>
              </w:rPr>
              <w:t>–</w:t>
            </w:r>
            <w:r w:rsidRPr="00B03E9B">
              <w:rPr>
                <w:rFonts w:asciiTheme="minorHAnsi" w:eastAsia="Times New Roman" w:hAnsiTheme="minorHAnsi" w:cstheme="minorHAnsi"/>
                <w:sz w:val="20"/>
                <w:szCs w:val="20"/>
              </w:rPr>
              <w:t xml:space="preserve"> Continuation</w:t>
            </w:r>
            <w:r>
              <w:rPr>
                <w:rFonts w:asciiTheme="minorHAnsi" w:eastAsia="Times New Roman" w:hAnsiTheme="minorHAnsi" w:cstheme="minorHAnsi"/>
                <w:sz w:val="20"/>
                <w:szCs w:val="20"/>
              </w:rPr>
              <w:t>: 18-64</w:t>
            </w:r>
          </w:p>
        </w:tc>
        <w:tc>
          <w:tcPr>
            <w:tcW w:w="1107" w:type="dxa"/>
            <w:tcBorders>
              <w:top w:val="single" w:sz="4" w:space="0" w:color="auto"/>
              <w:bottom w:val="single" w:sz="4" w:space="0" w:color="auto"/>
              <w:right w:val="single" w:sz="4" w:space="0" w:color="auto"/>
            </w:tcBorders>
            <w:vAlign w:val="center"/>
          </w:tcPr>
          <w:p w14:paraId="14D1C2BF" w14:textId="374961B7" w:rsidR="004C5883" w:rsidRPr="00962971" w:rsidRDefault="004C5883" w:rsidP="00696881">
            <w:pPr>
              <w:spacing w:after="0"/>
              <w:jc w:val="center"/>
              <w:rPr>
                <w:rFonts w:asciiTheme="minorHAnsi" w:hAnsiTheme="minorHAnsi" w:cstheme="minorHAnsi"/>
                <w:sz w:val="20"/>
                <w:szCs w:val="20"/>
              </w:rPr>
            </w:pPr>
            <w:r w:rsidRPr="00962971">
              <w:rPr>
                <w:rFonts w:asciiTheme="minorHAnsi" w:hAnsiTheme="minorHAnsi" w:cstheme="minorHAnsi"/>
                <w:sz w:val="20"/>
                <w:szCs w:val="20"/>
              </w:rPr>
              <w:t>40.7%</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FFC1FA1" w14:textId="5E743685" w:rsidR="004C5883" w:rsidRPr="00962971" w:rsidRDefault="004C5883" w:rsidP="00696881">
            <w:pPr>
              <w:spacing w:after="0"/>
              <w:jc w:val="center"/>
              <w:rPr>
                <w:rFonts w:asciiTheme="minorHAnsi" w:hAnsiTheme="minorHAnsi" w:cstheme="minorHAnsi"/>
                <w:sz w:val="20"/>
                <w:szCs w:val="20"/>
              </w:rPr>
            </w:pPr>
            <w:r>
              <w:rPr>
                <w:rFonts w:asciiTheme="minorHAnsi" w:hAnsiTheme="minorHAnsi" w:cstheme="minorHAnsi"/>
                <w:sz w:val="20"/>
                <w:szCs w:val="20"/>
              </w:rPr>
              <w:t>46.1%</w:t>
            </w:r>
          </w:p>
        </w:tc>
        <w:tc>
          <w:tcPr>
            <w:tcW w:w="1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6562F9D" w14:textId="0B9AEF7E" w:rsidR="004C5883" w:rsidRPr="00962971" w:rsidRDefault="004C5883" w:rsidP="00696881">
            <w:pPr>
              <w:spacing w:after="0"/>
              <w:jc w:val="center"/>
              <w:rPr>
                <w:rFonts w:asciiTheme="minorHAnsi" w:hAnsiTheme="minorHAnsi" w:cstheme="minorHAnsi"/>
                <w:sz w:val="20"/>
                <w:szCs w:val="20"/>
              </w:rPr>
            </w:pPr>
            <w:r>
              <w:rPr>
                <w:rFonts w:asciiTheme="minorHAnsi" w:hAnsiTheme="minorHAnsi" w:cstheme="minorHAnsi"/>
                <w:sz w:val="20"/>
                <w:szCs w:val="20"/>
              </w:rPr>
              <w:t>47.7%</w:t>
            </w:r>
          </w:p>
        </w:tc>
        <w:tc>
          <w:tcPr>
            <w:tcW w:w="1713"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5C2805D6" w14:textId="10D9B15A" w:rsidR="004C5883" w:rsidRPr="00F61604" w:rsidRDefault="00EC10CC" w:rsidP="00696881">
            <w:pPr>
              <w:spacing w:after="0"/>
              <w:jc w:val="center"/>
              <w:rPr>
                <w:rFonts w:asciiTheme="minorHAnsi" w:hAnsiTheme="minorHAnsi" w:cstheme="minorHAnsi"/>
                <w:color w:val="FF0000"/>
                <w:sz w:val="20"/>
                <w:szCs w:val="20"/>
              </w:rPr>
            </w:pPr>
            <w:r w:rsidRPr="00EC10CC">
              <w:rPr>
                <w:rFonts w:asciiTheme="minorHAnsi" w:hAnsiTheme="minorHAnsi" w:cstheme="minorHAnsi"/>
                <w:sz w:val="20"/>
                <w:szCs w:val="20"/>
              </w:rPr>
              <w:t>35.4%</w:t>
            </w:r>
          </w:p>
        </w:tc>
        <w:tc>
          <w:tcPr>
            <w:tcW w:w="1527" w:type="dxa"/>
            <w:tcBorders>
              <w:top w:val="single" w:sz="4" w:space="0" w:color="auto"/>
              <w:left w:val="nil"/>
              <w:bottom w:val="single" w:sz="4" w:space="0" w:color="000000"/>
              <w:right w:val="single" w:sz="4" w:space="0" w:color="000000"/>
            </w:tcBorders>
            <w:shd w:val="clear" w:color="auto" w:fill="auto"/>
            <w:noWrap/>
            <w:vAlign w:val="center"/>
          </w:tcPr>
          <w:p w14:paraId="0674B923" w14:textId="0D90F83D" w:rsidR="004C5883" w:rsidRPr="00EC10CC" w:rsidRDefault="00EC10CC" w:rsidP="00696881">
            <w:pPr>
              <w:spacing w:after="0"/>
              <w:jc w:val="center"/>
              <w:rPr>
                <w:rFonts w:asciiTheme="minorHAnsi" w:hAnsiTheme="minorHAnsi" w:cstheme="minorHAnsi"/>
                <w:sz w:val="20"/>
                <w:szCs w:val="20"/>
              </w:rPr>
            </w:pPr>
            <w:r w:rsidRPr="00EC10CC">
              <w:rPr>
                <w:rFonts w:asciiTheme="minorHAnsi" w:hAnsiTheme="minorHAnsi" w:cstheme="minorHAnsi"/>
                <w:sz w:val="20"/>
                <w:szCs w:val="20"/>
              </w:rPr>
              <w:t>41.8%</w:t>
            </w:r>
          </w:p>
        </w:tc>
        <w:tc>
          <w:tcPr>
            <w:tcW w:w="1250" w:type="dxa"/>
            <w:tcBorders>
              <w:top w:val="single" w:sz="4" w:space="0" w:color="auto"/>
              <w:left w:val="nil"/>
              <w:bottom w:val="single" w:sz="4" w:space="0" w:color="000000"/>
              <w:right w:val="single" w:sz="4" w:space="0" w:color="000000"/>
            </w:tcBorders>
          </w:tcPr>
          <w:p w14:paraId="313D4839" w14:textId="7F8ED5EE" w:rsidR="004C5883" w:rsidRDefault="00EC10CC" w:rsidP="00696881">
            <w:pPr>
              <w:spacing w:after="0"/>
              <w:jc w:val="center"/>
              <w:rPr>
                <w:rFonts w:asciiTheme="minorHAnsi" w:hAnsiTheme="minorHAnsi" w:cstheme="minorHAnsi"/>
                <w:sz w:val="20"/>
                <w:szCs w:val="20"/>
              </w:rPr>
            </w:pPr>
            <w:r>
              <w:rPr>
                <w:rFonts w:asciiTheme="minorHAnsi" w:hAnsiTheme="minorHAnsi" w:cstheme="minorHAnsi"/>
                <w:sz w:val="20"/>
                <w:szCs w:val="20"/>
              </w:rPr>
              <w:t>46.1%</w:t>
            </w:r>
          </w:p>
        </w:tc>
      </w:tr>
      <w:tr w:rsidR="003352F5" w:rsidRPr="00F26259" w14:paraId="15C489AD" w14:textId="0EE75782" w:rsidTr="003352F5">
        <w:trPr>
          <w:trHeight w:val="215"/>
          <w:jc w:val="center"/>
        </w:trPr>
        <w:tc>
          <w:tcPr>
            <w:tcW w:w="1368" w:type="dxa"/>
            <w:tcBorders>
              <w:top w:val="single" w:sz="4" w:space="0" w:color="auto"/>
              <w:left w:val="single" w:sz="4" w:space="0" w:color="000000"/>
              <w:bottom w:val="single" w:sz="4" w:space="0" w:color="000000"/>
              <w:right w:val="single" w:sz="4" w:space="0" w:color="000000"/>
            </w:tcBorders>
            <w:shd w:val="clear" w:color="auto" w:fill="auto"/>
            <w:noWrap/>
          </w:tcPr>
          <w:p w14:paraId="10C878D7" w14:textId="79D4BD7A" w:rsidR="004C5883" w:rsidRDefault="004C5883" w:rsidP="00696881">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AMR</w:t>
            </w:r>
          </w:p>
        </w:tc>
        <w:tc>
          <w:tcPr>
            <w:tcW w:w="8476" w:type="dxa"/>
            <w:tcBorders>
              <w:top w:val="single" w:sz="4" w:space="0" w:color="auto"/>
              <w:left w:val="nil"/>
              <w:bottom w:val="single" w:sz="4" w:space="0" w:color="auto"/>
              <w:right w:val="single" w:sz="4" w:space="0" w:color="auto"/>
            </w:tcBorders>
            <w:shd w:val="clear" w:color="auto" w:fill="auto"/>
          </w:tcPr>
          <w:p w14:paraId="75D0787D" w14:textId="485F32D8" w:rsidR="004C5883" w:rsidRPr="00B03E9B" w:rsidRDefault="004C5883" w:rsidP="00696881">
            <w:pPr>
              <w:spacing w:after="0"/>
              <w:rPr>
                <w:rFonts w:asciiTheme="minorHAnsi" w:eastAsia="Times New Roman" w:hAnsiTheme="minorHAnsi" w:cstheme="minorHAnsi"/>
                <w:sz w:val="20"/>
                <w:szCs w:val="20"/>
              </w:rPr>
            </w:pPr>
            <w:r w:rsidRPr="00B03E9B">
              <w:rPr>
                <w:rFonts w:asciiTheme="minorHAnsi" w:eastAsia="Times New Roman" w:hAnsiTheme="minorHAnsi" w:cstheme="minorHAnsi"/>
                <w:sz w:val="20"/>
                <w:szCs w:val="20"/>
              </w:rPr>
              <w:t>Asthma Medication Ratio</w:t>
            </w:r>
            <w:r w:rsidR="004A1B7F" w:rsidRPr="00B03E9B">
              <w:rPr>
                <w:rFonts w:asciiTheme="minorHAnsi" w:eastAsia="Times New Roman" w:hAnsiTheme="minorHAnsi" w:cstheme="minorHAnsi"/>
                <w:sz w:val="20"/>
                <w:szCs w:val="20"/>
              </w:rPr>
              <w:t>: Ages</w:t>
            </w:r>
            <w:r w:rsidRPr="00B03E9B">
              <w:rPr>
                <w:rFonts w:asciiTheme="minorHAnsi" w:eastAsia="Times New Roman" w:hAnsiTheme="minorHAnsi" w:cstheme="minorHAnsi"/>
                <w:sz w:val="20"/>
                <w:szCs w:val="20"/>
              </w:rPr>
              <w:t xml:space="preserve"> 19-50</w:t>
            </w:r>
          </w:p>
        </w:tc>
        <w:tc>
          <w:tcPr>
            <w:tcW w:w="1107" w:type="dxa"/>
            <w:tcBorders>
              <w:top w:val="single" w:sz="4" w:space="0" w:color="auto"/>
              <w:bottom w:val="single" w:sz="4" w:space="0" w:color="auto"/>
              <w:right w:val="single" w:sz="4" w:space="0" w:color="auto"/>
            </w:tcBorders>
            <w:vAlign w:val="center"/>
          </w:tcPr>
          <w:p w14:paraId="0289119E" w14:textId="63596080" w:rsidR="004C5883" w:rsidRPr="00962971" w:rsidRDefault="004C5883" w:rsidP="00696881">
            <w:pPr>
              <w:spacing w:after="0"/>
              <w:jc w:val="center"/>
              <w:rPr>
                <w:rFonts w:asciiTheme="minorHAnsi" w:hAnsiTheme="minorHAnsi" w:cstheme="minorHAnsi"/>
                <w:sz w:val="20"/>
                <w:szCs w:val="20"/>
              </w:rPr>
            </w:pPr>
            <w:r w:rsidRPr="00962971">
              <w:rPr>
                <w:rFonts w:asciiTheme="minorHAnsi" w:hAnsiTheme="minorHAnsi" w:cstheme="minorHAnsi"/>
                <w:sz w:val="20"/>
                <w:szCs w:val="20"/>
              </w:rPr>
              <w:t>47.4%</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9AB4FF1" w14:textId="31BE1FF6" w:rsidR="004C5883" w:rsidRPr="00962971" w:rsidRDefault="004C5883" w:rsidP="00696881">
            <w:pPr>
              <w:spacing w:after="0"/>
              <w:jc w:val="center"/>
              <w:rPr>
                <w:rFonts w:asciiTheme="minorHAnsi" w:hAnsiTheme="minorHAnsi" w:cstheme="minorHAnsi"/>
                <w:sz w:val="20"/>
                <w:szCs w:val="20"/>
              </w:rPr>
            </w:pPr>
            <w:r>
              <w:rPr>
                <w:rFonts w:asciiTheme="minorHAnsi" w:hAnsiTheme="minorHAnsi" w:cstheme="minorHAnsi"/>
                <w:sz w:val="20"/>
                <w:szCs w:val="20"/>
              </w:rPr>
              <w:t>51.2%</w:t>
            </w:r>
          </w:p>
        </w:tc>
        <w:tc>
          <w:tcPr>
            <w:tcW w:w="1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C26A632" w14:textId="498C53A9" w:rsidR="004C5883" w:rsidRPr="00962971" w:rsidRDefault="004C5883" w:rsidP="00696881">
            <w:pPr>
              <w:spacing w:after="0"/>
              <w:jc w:val="center"/>
              <w:rPr>
                <w:rFonts w:asciiTheme="minorHAnsi" w:hAnsiTheme="minorHAnsi" w:cstheme="minorHAnsi"/>
                <w:sz w:val="20"/>
                <w:szCs w:val="20"/>
              </w:rPr>
            </w:pPr>
            <w:r>
              <w:rPr>
                <w:rFonts w:asciiTheme="minorHAnsi" w:hAnsiTheme="minorHAnsi" w:cstheme="minorHAnsi"/>
                <w:sz w:val="20"/>
                <w:szCs w:val="20"/>
              </w:rPr>
              <w:t>55.6%</w:t>
            </w:r>
          </w:p>
        </w:tc>
        <w:tc>
          <w:tcPr>
            <w:tcW w:w="1713"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7130FF82" w14:textId="0D814E74" w:rsidR="004C5883" w:rsidRPr="00F61604" w:rsidRDefault="0005166C" w:rsidP="00696881">
            <w:pPr>
              <w:spacing w:after="0"/>
              <w:jc w:val="center"/>
              <w:rPr>
                <w:rFonts w:asciiTheme="minorHAnsi" w:hAnsiTheme="minorHAnsi" w:cstheme="minorHAnsi"/>
                <w:color w:val="FF0000"/>
                <w:sz w:val="20"/>
                <w:szCs w:val="20"/>
              </w:rPr>
            </w:pPr>
            <w:r w:rsidRPr="0005166C">
              <w:rPr>
                <w:rFonts w:asciiTheme="minorHAnsi" w:hAnsiTheme="minorHAnsi" w:cstheme="minorHAnsi"/>
                <w:sz w:val="20"/>
                <w:szCs w:val="20"/>
              </w:rPr>
              <w:t>53.8%</w:t>
            </w:r>
          </w:p>
        </w:tc>
        <w:tc>
          <w:tcPr>
            <w:tcW w:w="1527" w:type="dxa"/>
            <w:tcBorders>
              <w:top w:val="single" w:sz="4" w:space="0" w:color="auto"/>
              <w:left w:val="nil"/>
              <w:bottom w:val="single" w:sz="4" w:space="0" w:color="000000"/>
              <w:right w:val="single" w:sz="4" w:space="0" w:color="000000"/>
            </w:tcBorders>
            <w:shd w:val="clear" w:color="auto" w:fill="auto"/>
            <w:noWrap/>
            <w:vAlign w:val="center"/>
          </w:tcPr>
          <w:p w14:paraId="7FC72432" w14:textId="36113544" w:rsidR="004C5883" w:rsidRPr="00F61604" w:rsidRDefault="0005166C" w:rsidP="00696881">
            <w:pPr>
              <w:spacing w:after="0"/>
              <w:jc w:val="center"/>
              <w:rPr>
                <w:rFonts w:asciiTheme="minorHAnsi" w:hAnsiTheme="minorHAnsi" w:cstheme="minorHAnsi"/>
                <w:color w:val="FF0000"/>
                <w:sz w:val="20"/>
                <w:szCs w:val="20"/>
              </w:rPr>
            </w:pPr>
            <w:r w:rsidRPr="0005166C">
              <w:rPr>
                <w:rFonts w:asciiTheme="minorHAnsi" w:hAnsiTheme="minorHAnsi" w:cstheme="minorHAnsi"/>
                <w:sz w:val="20"/>
                <w:szCs w:val="20"/>
              </w:rPr>
              <w:t>57.8%</w:t>
            </w:r>
          </w:p>
        </w:tc>
        <w:tc>
          <w:tcPr>
            <w:tcW w:w="1250" w:type="dxa"/>
            <w:tcBorders>
              <w:top w:val="single" w:sz="4" w:space="0" w:color="auto"/>
              <w:left w:val="nil"/>
              <w:bottom w:val="single" w:sz="4" w:space="0" w:color="000000"/>
              <w:right w:val="single" w:sz="4" w:space="0" w:color="000000"/>
            </w:tcBorders>
          </w:tcPr>
          <w:p w14:paraId="1BB48847" w14:textId="06A03509" w:rsidR="004C5883" w:rsidRDefault="0005166C" w:rsidP="00696881">
            <w:pPr>
              <w:spacing w:after="0"/>
              <w:jc w:val="center"/>
              <w:rPr>
                <w:rFonts w:asciiTheme="minorHAnsi" w:hAnsiTheme="minorHAnsi" w:cstheme="minorHAnsi"/>
                <w:sz w:val="20"/>
                <w:szCs w:val="20"/>
              </w:rPr>
            </w:pPr>
            <w:r>
              <w:rPr>
                <w:rFonts w:asciiTheme="minorHAnsi" w:hAnsiTheme="minorHAnsi" w:cstheme="minorHAnsi"/>
                <w:sz w:val="20"/>
                <w:szCs w:val="20"/>
              </w:rPr>
              <w:t>63.1%</w:t>
            </w:r>
          </w:p>
        </w:tc>
      </w:tr>
      <w:tr w:rsidR="003352F5" w:rsidRPr="00F26259" w14:paraId="4E1260D0" w14:textId="6545F163" w:rsidTr="003352F5">
        <w:trPr>
          <w:trHeight w:val="215"/>
          <w:jc w:val="center"/>
        </w:trPr>
        <w:tc>
          <w:tcPr>
            <w:tcW w:w="1368" w:type="dxa"/>
            <w:tcBorders>
              <w:top w:val="single" w:sz="4" w:space="0" w:color="auto"/>
              <w:left w:val="single" w:sz="4" w:space="0" w:color="000000"/>
              <w:bottom w:val="single" w:sz="4" w:space="0" w:color="000000"/>
              <w:right w:val="single" w:sz="4" w:space="0" w:color="000000"/>
            </w:tcBorders>
            <w:shd w:val="clear" w:color="auto" w:fill="auto"/>
            <w:noWrap/>
          </w:tcPr>
          <w:p w14:paraId="7FD56DBB" w14:textId="13F656DE" w:rsidR="004C5883" w:rsidRDefault="004C5883" w:rsidP="00696881">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AMR</w:t>
            </w:r>
          </w:p>
        </w:tc>
        <w:tc>
          <w:tcPr>
            <w:tcW w:w="8476" w:type="dxa"/>
            <w:tcBorders>
              <w:top w:val="single" w:sz="4" w:space="0" w:color="auto"/>
              <w:left w:val="nil"/>
              <w:bottom w:val="single" w:sz="4" w:space="0" w:color="auto"/>
              <w:right w:val="single" w:sz="4" w:space="0" w:color="auto"/>
            </w:tcBorders>
            <w:shd w:val="clear" w:color="auto" w:fill="auto"/>
          </w:tcPr>
          <w:p w14:paraId="39DF8EE1" w14:textId="072E6289" w:rsidR="004C5883" w:rsidRPr="00B03E9B" w:rsidRDefault="004C5883" w:rsidP="00696881">
            <w:pPr>
              <w:spacing w:after="0"/>
              <w:rPr>
                <w:rFonts w:asciiTheme="minorHAnsi" w:eastAsia="Times New Roman" w:hAnsiTheme="minorHAnsi" w:cstheme="minorHAnsi"/>
                <w:sz w:val="20"/>
                <w:szCs w:val="20"/>
              </w:rPr>
            </w:pPr>
            <w:r w:rsidRPr="00B03E9B">
              <w:rPr>
                <w:rFonts w:asciiTheme="minorHAnsi" w:eastAsia="Times New Roman" w:hAnsiTheme="minorHAnsi" w:cstheme="minorHAnsi"/>
                <w:sz w:val="20"/>
                <w:szCs w:val="20"/>
              </w:rPr>
              <w:t>Asthma Medication Ratio</w:t>
            </w:r>
            <w:r w:rsidR="004A1B7F" w:rsidRPr="00B03E9B">
              <w:rPr>
                <w:rFonts w:asciiTheme="minorHAnsi" w:eastAsia="Times New Roman" w:hAnsiTheme="minorHAnsi" w:cstheme="minorHAnsi"/>
                <w:sz w:val="20"/>
                <w:szCs w:val="20"/>
              </w:rPr>
              <w:t>: Ages</w:t>
            </w:r>
            <w:r w:rsidRPr="00B03E9B">
              <w:rPr>
                <w:rFonts w:asciiTheme="minorHAnsi" w:eastAsia="Times New Roman" w:hAnsiTheme="minorHAnsi" w:cstheme="minorHAnsi"/>
                <w:sz w:val="20"/>
                <w:szCs w:val="20"/>
              </w:rPr>
              <w:t xml:space="preserve"> 51-64</w:t>
            </w:r>
            <w:r>
              <w:rPr>
                <w:rFonts w:asciiTheme="minorHAnsi" w:eastAsia="Times New Roman" w:hAnsiTheme="minorHAnsi" w:cstheme="minorHAnsi"/>
                <w:sz w:val="20"/>
                <w:szCs w:val="20"/>
              </w:rPr>
              <w:t xml:space="preserve"> </w:t>
            </w:r>
          </w:p>
        </w:tc>
        <w:tc>
          <w:tcPr>
            <w:tcW w:w="1107" w:type="dxa"/>
            <w:tcBorders>
              <w:top w:val="single" w:sz="4" w:space="0" w:color="auto"/>
              <w:bottom w:val="single" w:sz="4" w:space="0" w:color="auto"/>
              <w:right w:val="single" w:sz="4" w:space="0" w:color="auto"/>
            </w:tcBorders>
            <w:vAlign w:val="center"/>
          </w:tcPr>
          <w:p w14:paraId="5A86AF85" w14:textId="76D7F12D" w:rsidR="004C5883" w:rsidRPr="00962971" w:rsidRDefault="004C5883" w:rsidP="00696881">
            <w:pPr>
              <w:spacing w:after="0"/>
              <w:jc w:val="center"/>
              <w:rPr>
                <w:rFonts w:asciiTheme="minorHAnsi" w:hAnsiTheme="minorHAnsi" w:cstheme="minorHAnsi"/>
                <w:sz w:val="20"/>
                <w:szCs w:val="20"/>
              </w:rPr>
            </w:pPr>
            <w:r w:rsidRPr="00962971">
              <w:rPr>
                <w:rFonts w:asciiTheme="minorHAnsi" w:hAnsiTheme="minorHAnsi" w:cstheme="minorHAnsi"/>
                <w:sz w:val="20"/>
                <w:szCs w:val="20"/>
              </w:rPr>
              <w:t>54.4%</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0791AFD" w14:textId="732419A4" w:rsidR="004C5883" w:rsidRPr="00962971" w:rsidRDefault="004C5883" w:rsidP="00696881">
            <w:pPr>
              <w:spacing w:after="0"/>
              <w:jc w:val="center"/>
              <w:rPr>
                <w:rFonts w:asciiTheme="minorHAnsi" w:hAnsiTheme="minorHAnsi" w:cstheme="minorHAnsi"/>
                <w:sz w:val="20"/>
                <w:szCs w:val="20"/>
              </w:rPr>
            </w:pPr>
            <w:r>
              <w:rPr>
                <w:rFonts w:asciiTheme="minorHAnsi" w:hAnsiTheme="minorHAnsi" w:cstheme="minorHAnsi"/>
                <w:sz w:val="20"/>
                <w:szCs w:val="20"/>
              </w:rPr>
              <w:t>55.6%</w:t>
            </w:r>
          </w:p>
        </w:tc>
        <w:tc>
          <w:tcPr>
            <w:tcW w:w="1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10D402A" w14:textId="4583809F" w:rsidR="004C5883" w:rsidRPr="00962971" w:rsidRDefault="004C5883" w:rsidP="00696881">
            <w:pPr>
              <w:spacing w:after="0"/>
              <w:jc w:val="center"/>
              <w:rPr>
                <w:rFonts w:asciiTheme="minorHAnsi" w:hAnsiTheme="minorHAnsi" w:cstheme="minorHAnsi"/>
                <w:sz w:val="20"/>
                <w:szCs w:val="20"/>
              </w:rPr>
            </w:pPr>
            <w:r>
              <w:rPr>
                <w:rFonts w:asciiTheme="minorHAnsi" w:hAnsiTheme="minorHAnsi" w:cstheme="minorHAnsi"/>
                <w:sz w:val="20"/>
                <w:szCs w:val="20"/>
              </w:rPr>
              <w:t>59.9%</w:t>
            </w:r>
          </w:p>
        </w:tc>
        <w:tc>
          <w:tcPr>
            <w:tcW w:w="1713"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745DFF6C" w14:textId="2F41E02D" w:rsidR="004C5883" w:rsidRPr="00F61604" w:rsidRDefault="00CA4F98" w:rsidP="00696881">
            <w:pPr>
              <w:spacing w:after="0"/>
              <w:jc w:val="center"/>
              <w:rPr>
                <w:rFonts w:asciiTheme="minorHAnsi" w:hAnsiTheme="minorHAnsi" w:cstheme="minorHAnsi"/>
                <w:color w:val="FF0000"/>
                <w:sz w:val="20"/>
                <w:szCs w:val="20"/>
              </w:rPr>
            </w:pPr>
            <w:r w:rsidRPr="00CA4F98">
              <w:rPr>
                <w:rFonts w:asciiTheme="minorHAnsi" w:hAnsiTheme="minorHAnsi" w:cstheme="minorHAnsi"/>
                <w:sz w:val="20"/>
                <w:szCs w:val="20"/>
              </w:rPr>
              <w:t>53.4%</w:t>
            </w:r>
          </w:p>
        </w:tc>
        <w:tc>
          <w:tcPr>
            <w:tcW w:w="1527" w:type="dxa"/>
            <w:tcBorders>
              <w:top w:val="single" w:sz="4" w:space="0" w:color="auto"/>
              <w:left w:val="nil"/>
              <w:bottom w:val="single" w:sz="4" w:space="0" w:color="000000"/>
              <w:right w:val="single" w:sz="4" w:space="0" w:color="000000"/>
            </w:tcBorders>
            <w:shd w:val="clear" w:color="auto" w:fill="auto"/>
            <w:noWrap/>
            <w:vAlign w:val="center"/>
          </w:tcPr>
          <w:p w14:paraId="551CD489" w14:textId="4C924D25" w:rsidR="004C5883" w:rsidRPr="00F61604" w:rsidRDefault="00CA4F98" w:rsidP="00696881">
            <w:pPr>
              <w:spacing w:after="0"/>
              <w:jc w:val="center"/>
              <w:rPr>
                <w:rFonts w:asciiTheme="minorHAnsi" w:hAnsiTheme="minorHAnsi" w:cstheme="minorHAnsi"/>
                <w:color w:val="FF0000"/>
                <w:sz w:val="20"/>
                <w:szCs w:val="20"/>
              </w:rPr>
            </w:pPr>
            <w:r w:rsidRPr="00CA4F98">
              <w:rPr>
                <w:rFonts w:asciiTheme="minorHAnsi" w:hAnsiTheme="minorHAnsi" w:cstheme="minorHAnsi"/>
                <w:sz w:val="20"/>
                <w:szCs w:val="20"/>
              </w:rPr>
              <w:t>58.0%</w:t>
            </w:r>
          </w:p>
        </w:tc>
        <w:tc>
          <w:tcPr>
            <w:tcW w:w="1250" w:type="dxa"/>
            <w:tcBorders>
              <w:top w:val="single" w:sz="4" w:space="0" w:color="auto"/>
              <w:left w:val="nil"/>
              <w:bottom w:val="single" w:sz="4" w:space="0" w:color="000000"/>
              <w:right w:val="single" w:sz="4" w:space="0" w:color="000000"/>
            </w:tcBorders>
          </w:tcPr>
          <w:p w14:paraId="1E63D0F2" w14:textId="2251E2BF" w:rsidR="004C5883" w:rsidRDefault="00CA4F98" w:rsidP="00696881">
            <w:pPr>
              <w:spacing w:after="0"/>
              <w:jc w:val="center"/>
              <w:rPr>
                <w:rFonts w:asciiTheme="minorHAnsi" w:hAnsiTheme="minorHAnsi" w:cstheme="minorHAnsi"/>
                <w:sz w:val="20"/>
                <w:szCs w:val="20"/>
              </w:rPr>
            </w:pPr>
            <w:r>
              <w:rPr>
                <w:rFonts w:asciiTheme="minorHAnsi" w:hAnsiTheme="minorHAnsi" w:cstheme="minorHAnsi"/>
                <w:sz w:val="20"/>
                <w:szCs w:val="20"/>
              </w:rPr>
              <w:t>62.9%</w:t>
            </w:r>
          </w:p>
        </w:tc>
      </w:tr>
      <w:tr w:rsidR="003352F5" w:rsidRPr="00F26259" w14:paraId="6DBF75DD" w14:textId="1F7AD52D" w:rsidTr="003352F5">
        <w:trPr>
          <w:trHeight w:val="215"/>
          <w:jc w:val="center"/>
        </w:trPr>
        <w:tc>
          <w:tcPr>
            <w:tcW w:w="1368" w:type="dxa"/>
            <w:tcBorders>
              <w:top w:val="single" w:sz="4" w:space="0" w:color="auto"/>
              <w:left w:val="single" w:sz="4" w:space="0" w:color="000000"/>
              <w:bottom w:val="single" w:sz="4" w:space="0" w:color="000000"/>
              <w:right w:val="single" w:sz="4" w:space="0" w:color="000000"/>
            </w:tcBorders>
            <w:shd w:val="clear" w:color="auto" w:fill="auto"/>
            <w:noWrap/>
          </w:tcPr>
          <w:p w14:paraId="5B912A56" w14:textId="28C38883" w:rsidR="004C5883" w:rsidRDefault="004C5883" w:rsidP="00696881">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AMR</w:t>
            </w:r>
          </w:p>
        </w:tc>
        <w:tc>
          <w:tcPr>
            <w:tcW w:w="8476" w:type="dxa"/>
            <w:tcBorders>
              <w:top w:val="single" w:sz="4" w:space="0" w:color="auto"/>
              <w:left w:val="nil"/>
              <w:bottom w:val="single" w:sz="4" w:space="0" w:color="auto"/>
              <w:right w:val="single" w:sz="4" w:space="0" w:color="auto"/>
            </w:tcBorders>
            <w:shd w:val="clear" w:color="auto" w:fill="auto"/>
          </w:tcPr>
          <w:p w14:paraId="6B11F989" w14:textId="4257190F" w:rsidR="004C5883" w:rsidRPr="00B03E9B" w:rsidRDefault="004C5883" w:rsidP="00696881">
            <w:pPr>
              <w:spacing w:after="0"/>
              <w:rPr>
                <w:rFonts w:asciiTheme="minorHAnsi" w:eastAsia="Times New Roman" w:hAnsiTheme="minorHAnsi" w:cstheme="minorHAnsi"/>
                <w:sz w:val="20"/>
                <w:szCs w:val="20"/>
              </w:rPr>
            </w:pPr>
            <w:r>
              <w:rPr>
                <w:rFonts w:asciiTheme="minorHAnsi" w:eastAsia="Times New Roman" w:hAnsiTheme="minorHAnsi" w:cstheme="minorHAnsi"/>
                <w:sz w:val="20"/>
                <w:szCs w:val="20"/>
              </w:rPr>
              <w:t>Asthma Medication Ratio: Total 19-64</w:t>
            </w:r>
          </w:p>
        </w:tc>
        <w:tc>
          <w:tcPr>
            <w:tcW w:w="1107" w:type="dxa"/>
            <w:tcBorders>
              <w:top w:val="single" w:sz="4" w:space="0" w:color="auto"/>
              <w:bottom w:val="single" w:sz="4" w:space="0" w:color="auto"/>
              <w:right w:val="single" w:sz="4" w:space="0" w:color="auto"/>
            </w:tcBorders>
            <w:vAlign w:val="center"/>
          </w:tcPr>
          <w:p w14:paraId="2B9EE3DF" w14:textId="3CFA81E7" w:rsidR="004C5883" w:rsidRPr="00962971" w:rsidRDefault="004C5883" w:rsidP="00696881">
            <w:pPr>
              <w:spacing w:after="0"/>
              <w:jc w:val="center"/>
              <w:rPr>
                <w:rFonts w:asciiTheme="minorHAnsi" w:hAnsiTheme="minorHAnsi" w:cstheme="minorHAnsi"/>
                <w:sz w:val="20"/>
                <w:szCs w:val="20"/>
              </w:rPr>
            </w:pPr>
            <w:r>
              <w:rPr>
                <w:rFonts w:asciiTheme="minorHAnsi" w:hAnsiTheme="minorHAnsi" w:cstheme="minorHAnsi"/>
                <w:sz w:val="20"/>
                <w:szCs w:val="20"/>
              </w:rPr>
              <w:t>49.8%</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98B975" w14:textId="3FF13B5F" w:rsidR="004C5883" w:rsidRPr="00962971" w:rsidRDefault="004C5883" w:rsidP="00696881">
            <w:pPr>
              <w:spacing w:after="0"/>
              <w:jc w:val="center"/>
              <w:rPr>
                <w:rFonts w:asciiTheme="minorHAnsi" w:hAnsiTheme="minorHAnsi" w:cstheme="minorHAnsi"/>
                <w:sz w:val="20"/>
                <w:szCs w:val="20"/>
              </w:rPr>
            </w:pPr>
            <w:r>
              <w:rPr>
                <w:rFonts w:asciiTheme="minorHAnsi" w:hAnsiTheme="minorHAnsi" w:cstheme="minorHAnsi"/>
                <w:sz w:val="20"/>
                <w:szCs w:val="20"/>
              </w:rPr>
              <w:t>52.6%</w:t>
            </w:r>
          </w:p>
        </w:tc>
        <w:tc>
          <w:tcPr>
            <w:tcW w:w="1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30F7001" w14:textId="6493E73F" w:rsidR="004C5883" w:rsidRPr="00962971" w:rsidRDefault="004C5883" w:rsidP="00696881">
            <w:pPr>
              <w:spacing w:after="0"/>
              <w:jc w:val="center"/>
              <w:rPr>
                <w:rFonts w:asciiTheme="minorHAnsi" w:hAnsiTheme="minorHAnsi" w:cstheme="minorHAnsi"/>
                <w:sz w:val="20"/>
                <w:szCs w:val="20"/>
              </w:rPr>
            </w:pPr>
            <w:r>
              <w:rPr>
                <w:rFonts w:asciiTheme="minorHAnsi" w:hAnsiTheme="minorHAnsi" w:cstheme="minorHAnsi"/>
                <w:sz w:val="20"/>
                <w:szCs w:val="20"/>
              </w:rPr>
              <w:t>56.9%</w:t>
            </w:r>
          </w:p>
        </w:tc>
        <w:tc>
          <w:tcPr>
            <w:tcW w:w="1713"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4248C089" w14:textId="4C7AEF3F" w:rsidR="004C5883" w:rsidRPr="00F61604" w:rsidRDefault="00D3251F" w:rsidP="00696881">
            <w:pPr>
              <w:spacing w:after="0"/>
              <w:jc w:val="center"/>
              <w:rPr>
                <w:rFonts w:asciiTheme="minorHAnsi" w:hAnsiTheme="minorHAnsi" w:cstheme="minorHAnsi"/>
                <w:color w:val="FF0000"/>
                <w:sz w:val="20"/>
                <w:szCs w:val="20"/>
              </w:rPr>
            </w:pPr>
            <w:r w:rsidRPr="00D3251F">
              <w:rPr>
                <w:rFonts w:asciiTheme="minorHAnsi" w:hAnsiTheme="minorHAnsi" w:cstheme="minorHAnsi"/>
                <w:sz w:val="20"/>
                <w:szCs w:val="20"/>
              </w:rPr>
              <w:t>53.1%</w:t>
            </w:r>
          </w:p>
        </w:tc>
        <w:tc>
          <w:tcPr>
            <w:tcW w:w="1527" w:type="dxa"/>
            <w:tcBorders>
              <w:top w:val="single" w:sz="4" w:space="0" w:color="auto"/>
              <w:left w:val="nil"/>
              <w:bottom w:val="single" w:sz="4" w:space="0" w:color="000000"/>
              <w:right w:val="single" w:sz="4" w:space="0" w:color="000000"/>
            </w:tcBorders>
            <w:shd w:val="clear" w:color="auto" w:fill="auto"/>
            <w:noWrap/>
            <w:vAlign w:val="center"/>
          </w:tcPr>
          <w:p w14:paraId="7C0F305E" w14:textId="254BC703" w:rsidR="004C5883" w:rsidRPr="00F61604" w:rsidRDefault="00D3251F" w:rsidP="00696881">
            <w:pPr>
              <w:spacing w:after="0"/>
              <w:jc w:val="center"/>
              <w:rPr>
                <w:rFonts w:asciiTheme="minorHAnsi" w:hAnsiTheme="minorHAnsi" w:cstheme="minorHAnsi"/>
                <w:color w:val="FF0000"/>
                <w:sz w:val="20"/>
                <w:szCs w:val="20"/>
              </w:rPr>
            </w:pPr>
            <w:r w:rsidRPr="00D3251F">
              <w:rPr>
                <w:rFonts w:asciiTheme="minorHAnsi" w:hAnsiTheme="minorHAnsi" w:cstheme="minorHAnsi"/>
                <w:sz w:val="20"/>
                <w:szCs w:val="20"/>
              </w:rPr>
              <w:t>57.9%</w:t>
            </w:r>
          </w:p>
        </w:tc>
        <w:tc>
          <w:tcPr>
            <w:tcW w:w="1250" w:type="dxa"/>
            <w:tcBorders>
              <w:top w:val="single" w:sz="4" w:space="0" w:color="auto"/>
              <w:left w:val="nil"/>
              <w:bottom w:val="single" w:sz="4" w:space="0" w:color="000000"/>
              <w:right w:val="single" w:sz="4" w:space="0" w:color="000000"/>
            </w:tcBorders>
          </w:tcPr>
          <w:p w14:paraId="17973DAF" w14:textId="37686F02" w:rsidR="004C5883" w:rsidRDefault="00D3251F" w:rsidP="00696881">
            <w:pPr>
              <w:spacing w:after="0"/>
              <w:jc w:val="center"/>
              <w:rPr>
                <w:rFonts w:asciiTheme="minorHAnsi" w:hAnsiTheme="minorHAnsi" w:cstheme="minorHAnsi"/>
                <w:sz w:val="20"/>
                <w:szCs w:val="20"/>
              </w:rPr>
            </w:pPr>
            <w:r>
              <w:rPr>
                <w:rFonts w:asciiTheme="minorHAnsi" w:hAnsiTheme="minorHAnsi" w:cstheme="minorHAnsi"/>
                <w:sz w:val="20"/>
                <w:szCs w:val="20"/>
              </w:rPr>
              <w:t>62.4%</w:t>
            </w:r>
          </w:p>
        </w:tc>
      </w:tr>
      <w:tr w:rsidR="003352F5" w:rsidRPr="00F26259" w14:paraId="75363A58" w14:textId="7281D89D" w:rsidTr="003352F5">
        <w:trPr>
          <w:trHeight w:val="215"/>
          <w:jc w:val="center"/>
        </w:trPr>
        <w:tc>
          <w:tcPr>
            <w:tcW w:w="1368" w:type="dxa"/>
            <w:tcBorders>
              <w:top w:val="single" w:sz="4" w:space="0" w:color="auto"/>
              <w:left w:val="single" w:sz="4" w:space="0" w:color="000000"/>
              <w:bottom w:val="single" w:sz="4" w:space="0" w:color="000000"/>
              <w:right w:val="single" w:sz="4" w:space="0" w:color="000000"/>
            </w:tcBorders>
            <w:shd w:val="clear" w:color="auto" w:fill="auto"/>
            <w:noWrap/>
          </w:tcPr>
          <w:p w14:paraId="2C8F67E7" w14:textId="4ED6CCE1" w:rsidR="004C5883" w:rsidRDefault="004C5883" w:rsidP="00696881">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BCS</w:t>
            </w:r>
          </w:p>
        </w:tc>
        <w:tc>
          <w:tcPr>
            <w:tcW w:w="8476" w:type="dxa"/>
            <w:tcBorders>
              <w:top w:val="single" w:sz="4" w:space="0" w:color="auto"/>
              <w:left w:val="nil"/>
              <w:bottom w:val="single" w:sz="4" w:space="0" w:color="auto"/>
              <w:right w:val="single" w:sz="4" w:space="0" w:color="auto"/>
            </w:tcBorders>
            <w:shd w:val="clear" w:color="auto" w:fill="auto"/>
          </w:tcPr>
          <w:p w14:paraId="1491D99E" w14:textId="4F6CFC6D" w:rsidR="004C5883" w:rsidRPr="00B03E9B" w:rsidRDefault="004C5883" w:rsidP="00696881">
            <w:pPr>
              <w:spacing w:after="0"/>
              <w:rPr>
                <w:rFonts w:asciiTheme="minorHAnsi" w:eastAsia="Times New Roman" w:hAnsiTheme="minorHAnsi" w:cstheme="minorHAnsi"/>
                <w:sz w:val="20"/>
                <w:szCs w:val="20"/>
              </w:rPr>
            </w:pPr>
            <w:r w:rsidRPr="00B03E9B">
              <w:rPr>
                <w:rFonts w:asciiTheme="minorHAnsi" w:eastAsia="Times New Roman" w:hAnsiTheme="minorHAnsi" w:cstheme="minorHAnsi"/>
                <w:sz w:val="20"/>
                <w:szCs w:val="20"/>
              </w:rPr>
              <w:t>Breast Cancer Screening</w:t>
            </w:r>
          </w:p>
        </w:tc>
        <w:tc>
          <w:tcPr>
            <w:tcW w:w="1107" w:type="dxa"/>
            <w:tcBorders>
              <w:top w:val="single" w:sz="4" w:space="0" w:color="auto"/>
              <w:bottom w:val="single" w:sz="4" w:space="0" w:color="auto"/>
              <w:right w:val="single" w:sz="4" w:space="0" w:color="auto"/>
            </w:tcBorders>
            <w:vAlign w:val="center"/>
          </w:tcPr>
          <w:p w14:paraId="5B3E2390" w14:textId="554C5404" w:rsidR="004C5883" w:rsidRPr="00962971" w:rsidRDefault="004C5883" w:rsidP="00696881">
            <w:pPr>
              <w:spacing w:after="0"/>
              <w:jc w:val="center"/>
              <w:rPr>
                <w:rFonts w:asciiTheme="minorHAnsi" w:hAnsiTheme="minorHAnsi" w:cstheme="minorHAnsi"/>
                <w:sz w:val="20"/>
                <w:szCs w:val="20"/>
              </w:rPr>
            </w:pPr>
            <w:r w:rsidRPr="00962971">
              <w:rPr>
                <w:rFonts w:asciiTheme="minorHAnsi" w:hAnsiTheme="minorHAnsi" w:cstheme="minorHAnsi"/>
                <w:sz w:val="20"/>
                <w:szCs w:val="20"/>
              </w:rPr>
              <w:t>63.2%</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A564DED" w14:textId="6B6FB540" w:rsidR="004C5883" w:rsidRPr="00962971" w:rsidRDefault="004C5883" w:rsidP="00696881">
            <w:pPr>
              <w:spacing w:after="0"/>
              <w:jc w:val="center"/>
              <w:rPr>
                <w:rFonts w:asciiTheme="minorHAnsi" w:hAnsiTheme="minorHAnsi" w:cstheme="minorHAnsi"/>
                <w:sz w:val="20"/>
                <w:szCs w:val="20"/>
              </w:rPr>
            </w:pPr>
            <w:r>
              <w:rPr>
                <w:rFonts w:asciiTheme="minorHAnsi" w:hAnsiTheme="minorHAnsi" w:cstheme="minorHAnsi"/>
                <w:sz w:val="20"/>
                <w:szCs w:val="20"/>
              </w:rPr>
              <w:t>60.2%</w:t>
            </w:r>
          </w:p>
        </w:tc>
        <w:tc>
          <w:tcPr>
            <w:tcW w:w="1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BF85A89" w14:textId="10551D9A" w:rsidR="004C5883" w:rsidRPr="00962971" w:rsidRDefault="004C5883" w:rsidP="00696881">
            <w:pPr>
              <w:spacing w:after="0"/>
              <w:jc w:val="center"/>
              <w:rPr>
                <w:rFonts w:asciiTheme="minorHAnsi" w:hAnsiTheme="minorHAnsi" w:cstheme="minorHAnsi"/>
                <w:sz w:val="20"/>
                <w:szCs w:val="20"/>
              </w:rPr>
            </w:pPr>
            <w:r>
              <w:rPr>
                <w:rFonts w:asciiTheme="minorHAnsi" w:hAnsiTheme="minorHAnsi" w:cstheme="minorHAnsi"/>
                <w:sz w:val="20"/>
                <w:szCs w:val="20"/>
              </w:rPr>
              <w:t>63.7%</w:t>
            </w:r>
          </w:p>
        </w:tc>
        <w:tc>
          <w:tcPr>
            <w:tcW w:w="1713"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5E43DA10" w14:textId="4ABAF512" w:rsidR="004C5883" w:rsidRPr="00F61604" w:rsidRDefault="00FB0E7E" w:rsidP="00696881">
            <w:pPr>
              <w:spacing w:after="0"/>
              <w:jc w:val="center"/>
              <w:rPr>
                <w:rFonts w:asciiTheme="minorHAnsi" w:hAnsiTheme="minorHAnsi" w:cstheme="minorHAnsi"/>
                <w:color w:val="FF0000"/>
                <w:sz w:val="20"/>
                <w:szCs w:val="20"/>
              </w:rPr>
            </w:pPr>
            <w:r w:rsidRPr="00FB0E7E">
              <w:rPr>
                <w:rFonts w:asciiTheme="minorHAnsi" w:hAnsiTheme="minorHAnsi" w:cstheme="minorHAnsi"/>
                <w:sz w:val="20"/>
                <w:szCs w:val="20"/>
              </w:rPr>
              <w:t>43.6</w:t>
            </w:r>
            <w:r>
              <w:rPr>
                <w:rFonts w:asciiTheme="minorHAnsi" w:hAnsiTheme="minorHAnsi" w:cstheme="minorHAnsi"/>
                <w:sz w:val="20"/>
                <w:szCs w:val="20"/>
              </w:rPr>
              <w:t>%</w:t>
            </w:r>
          </w:p>
        </w:tc>
        <w:tc>
          <w:tcPr>
            <w:tcW w:w="1527" w:type="dxa"/>
            <w:tcBorders>
              <w:top w:val="single" w:sz="4" w:space="0" w:color="auto"/>
              <w:left w:val="nil"/>
              <w:bottom w:val="single" w:sz="4" w:space="0" w:color="000000"/>
              <w:right w:val="single" w:sz="4" w:space="0" w:color="000000"/>
            </w:tcBorders>
            <w:shd w:val="clear" w:color="auto" w:fill="auto"/>
            <w:noWrap/>
            <w:vAlign w:val="center"/>
          </w:tcPr>
          <w:p w14:paraId="6C117805" w14:textId="022D1683" w:rsidR="004C5883" w:rsidRPr="00F61604" w:rsidRDefault="00FB0E7E" w:rsidP="00696881">
            <w:pPr>
              <w:spacing w:after="0"/>
              <w:jc w:val="center"/>
              <w:rPr>
                <w:rFonts w:asciiTheme="minorHAnsi" w:hAnsiTheme="minorHAnsi" w:cstheme="minorHAnsi"/>
                <w:color w:val="FF0000"/>
                <w:sz w:val="20"/>
                <w:szCs w:val="20"/>
              </w:rPr>
            </w:pPr>
            <w:r w:rsidRPr="00FB0E7E">
              <w:rPr>
                <w:rFonts w:asciiTheme="minorHAnsi" w:hAnsiTheme="minorHAnsi" w:cstheme="minorHAnsi"/>
                <w:sz w:val="20"/>
                <w:szCs w:val="20"/>
              </w:rPr>
              <w:t>48.8%</w:t>
            </w:r>
          </w:p>
        </w:tc>
        <w:tc>
          <w:tcPr>
            <w:tcW w:w="1250" w:type="dxa"/>
            <w:tcBorders>
              <w:top w:val="single" w:sz="4" w:space="0" w:color="auto"/>
              <w:left w:val="nil"/>
              <w:bottom w:val="single" w:sz="4" w:space="0" w:color="000000"/>
              <w:right w:val="single" w:sz="4" w:space="0" w:color="000000"/>
            </w:tcBorders>
          </w:tcPr>
          <w:p w14:paraId="021D41C0" w14:textId="0EFF132C" w:rsidR="004C5883" w:rsidRDefault="00FB0E7E" w:rsidP="00696881">
            <w:pPr>
              <w:spacing w:after="0"/>
              <w:jc w:val="center"/>
              <w:rPr>
                <w:rFonts w:asciiTheme="minorHAnsi" w:hAnsiTheme="minorHAnsi" w:cstheme="minorHAnsi"/>
                <w:sz w:val="20"/>
                <w:szCs w:val="20"/>
              </w:rPr>
            </w:pPr>
            <w:r>
              <w:rPr>
                <w:rFonts w:asciiTheme="minorHAnsi" w:hAnsiTheme="minorHAnsi" w:cstheme="minorHAnsi"/>
                <w:sz w:val="20"/>
                <w:szCs w:val="20"/>
              </w:rPr>
              <w:t>54.0%</w:t>
            </w:r>
          </w:p>
        </w:tc>
      </w:tr>
      <w:tr w:rsidR="003352F5" w:rsidRPr="00F26259" w14:paraId="6A1BD2CF" w14:textId="5D4014C5" w:rsidTr="003352F5">
        <w:trPr>
          <w:trHeight w:val="215"/>
          <w:jc w:val="center"/>
        </w:trPr>
        <w:tc>
          <w:tcPr>
            <w:tcW w:w="1368" w:type="dxa"/>
            <w:tcBorders>
              <w:top w:val="single" w:sz="4" w:space="0" w:color="auto"/>
              <w:left w:val="single" w:sz="4" w:space="0" w:color="000000"/>
              <w:bottom w:val="single" w:sz="4" w:space="0" w:color="000000"/>
              <w:right w:val="single" w:sz="4" w:space="0" w:color="000000"/>
            </w:tcBorders>
            <w:shd w:val="clear" w:color="auto" w:fill="auto"/>
            <w:noWrap/>
          </w:tcPr>
          <w:p w14:paraId="2B645CED" w14:textId="7DBE1C98" w:rsidR="004C5883" w:rsidRDefault="004C5883" w:rsidP="00696881">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COB</w:t>
            </w:r>
          </w:p>
        </w:tc>
        <w:tc>
          <w:tcPr>
            <w:tcW w:w="8476" w:type="dxa"/>
            <w:tcBorders>
              <w:top w:val="single" w:sz="4" w:space="0" w:color="auto"/>
              <w:left w:val="nil"/>
              <w:bottom w:val="single" w:sz="4" w:space="0" w:color="auto"/>
              <w:right w:val="single" w:sz="4" w:space="0" w:color="auto"/>
            </w:tcBorders>
            <w:shd w:val="clear" w:color="auto" w:fill="auto"/>
          </w:tcPr>
          <w:p w14:paraId="444DB3AF" w14:textId="0A539F8D" w:rsidR="004C5883" w:rsidRPr="00B03E9B" w:rsidRDefault="004C5883" w:rsidP="00696881">
            <w:pPr>
              <w:spacing w:after="0"/>
              <w:rPr>
                <w:rFonts w:asciiTheme="minorHAnsi" w:eastAsia="Times New Roman" w:hAnsiTheme="minorHAnsi" w:cstheme="minorHAnsi"/>
                <w:sz w:val="20"/>
                <w:szCs w:val="20"/>
              </w:rPr>
            </w:pPr>
            <w:r w:rsidRPr="00B03E9B">
              <w:rPr>
                <w:rFonts w:asciiTheme="minorHAnsi" w:eastAsia="Times New Roman" w:hAnsiTheme="minorHAnsi" w:cstheme="minorHAnsi"/>
                <w:sz w:val="20"/>
                <w:szCs w:val="20"/>
              </w:rPr>
              <w:t>Concurrent Use of Opioids and Benzodiazepines</w:t>
            </w:r>
          </w:p>
        </w:tc>
        <w:tc>
          <w:tcPr>
            <w:tcW w:w="1107" w:type="dxa"/>
            <w:tcBorders>
              <w:top w:val="single" w:sz="4" w:space="0" w:color="auto"/>
              <w:bottom w:val="single" w:sz="4" w:space="0" w:color="auto"/>
              <w:right w:val="single" w:sz="4" w:space="0" w:color="auto"/>
            </w:tcBorders>
            <w:vAlign w:val="center"/>
          </w:tcPr>
          <w:p w14:paraId="29C3E3D9" w14:textId="6ECAB539" w:rsidR="004C5883" w:rsidRPr="00962971" w:rsidRDefault="004C5883" w:rsidP="00696881">
            <w:pPr>
              <w:spacing w:after="0"/>
              <w:jc w:val="center"/>
              <w:rPr>
                <w:rFonts w:asciiTheme="minorHAnsi" w:hAnsiTheme="minorHAnsi" w:cstheme="minorHAnsi"/>
                <w:sz w:val="20"/>
                <w:szCs w:val="20"/>
              </w:rPr>
            </w:pPr>
            <w:r w:rsidRPr="00962971">
              <w:rPr>
                <w:rFonts w:asciiTheme="minorHAnsi" w:hAnsiTheme="minorHAnsi" w:cstheme="minorHAnsi"/>
                <w:sz w:val="20"/>
                <w:szCs w:val="20"/>
              </w:rPr>
              <w:t>3.8%</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3F31444" w14:textId="5431DA4C" w:rsidR="004C5883" w:rsidRPr="00962971" w:rsidRDefault="004C5883" w:rsidP="00696881">
            <w:pPr>
              <w:spacing w:after="0"/>
              <w:jc w:val="center"/>
              <w:rPr>
                <w:rFonts w:asciiTheme="minorHAnsi" w:hAnsiTheme="minorHAnsi" w:cstheme="minorHAnsi"/>
                <w:sz w:val="20"/>
                <w:szCs w:val="20"/>
              </w:rPr>
            </w:pPr>
            <w:r>
              <w:rPr>
                <w:rFonts w:asciiTheme="minorHAnsi" w:hAnsiTheme="minorHAnsi" w:cstheme="minorHAnsi"/>
                <w:sz w:val="20"/>
                <w:szCs w:val="20"/>
              </w:rPr>
              <w:t>3.6%</w:t>
            </w:r>
          </w:p>
        </w:tc>
        <w:tc>
          <w:tcPr>
            <w:tcW w:w="1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F5D70C9" w14:textId="448B371D" w:rsidR="004C5883" w:rsidRPr="00962971" w:rsidRDefault="004C5883" w:rsidP="00696881">
            <w:pPr>
              <w:spacing w:after="0"/>
              <w:jc w:val="center"/>
              <w:rPr>
                <w:rFonts w:asciiTheme="minorHAnsi" w:hAnsiTheme="minorHAnsi" w:cstheme="minorHAnsi"/>
                <w:sz w:val="20"/>
                <w:szCs w:val="20"/>
              </w:rPr>
            </w:pPr>
            <w:r>
              <w:rPr>
                <w:rFonts w:asciiTheme="minorHAnsi" w:hAnsiTheme="minorHAnsi" w:cstheme="minorHAnsi"/>
                <w:sz w:val="20"/>
                <w:szCs w:val="20"/>
              </w:rPr>
              <w:t>3.2%</w:t>
            </w:r>
          </w:p>
        </w:tc>
        <w:tc>
          <w:tcPr>
            <w:tcW w:w="1713"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357BDF0B" w14:textId="68F55F2C" w:rsidR="004C5883" w:rsidRPr="00F61604" w:rsidRDefault="001E1B95" w:rsidP="00696881">
            <w:pPr>
              <w:spacing w:after="0"/>
              <w:jc w:val="center"/>
              <w:rPr>
                <w:rFonts w:asciiTheme="minorHAnsi" w:hAnsiTheme="minorHAnsi" w:cstheme="minorHAnsi"/>
                <w:color w:val="FF0000"/>
                <w:sz w:val="20"/>
                <w:szCs w:val="20"/>
              </w:rPr>
            </w:pPr>
            <w:r w:rsidRPr="001E1B95">
              <w:rPr>
                <w:rFonts w:asciiTheme="minorHAnsi" w:hAnsiTheme="minorHAnsi" w:cstheme="minorHAnsi"/>
                <w:sz w:val="20"/>
                <w:szCs w:val="20"/>
              </w:rPr>
              <w:t>16.0%</w:t>
            </w:r>
          </w:p>
        </w:tc>
        <w:tc>
          <w:tcPr>
            <w:tcW w:w="1527" w:type="dxa"/>
            <w:tcBorders>
              <w:top w:val="single" w:sz="4" w:space="0" w:color="auto"/>
              <w:left w:val="nil"/>
              <w:bottom w:val="single" w:sz="4" w:space="0" w:color="000000"/>
              <w:right w:val="single" w:sz="4" w:space="0" w:color="000000"/>
            </w:tcBorders>
            <w:shd w:val="clear" w:color="auto" w:fill="auto"/>
            <w:noWrap/>
            <w:vAlign w:val="center"/>
          </w:tcPr>
          <w:p w14:paraId="6C2888FA" w14:textId="47BAF37E" w:rsidR="004C5883" w:rsidRPr="00F61604" w:rsidRDefault="001E1B95" w:rsidP="00696881">
            <w:pPr>
              <w:spacing w:after="0"/>
              <w:jc w:val="center"/>
              <w:rPr>
                <w:rFonts w:asciiTheme="minorHAnsi" w:hAnsiTheme="minorHAnsi" w:cstheme="minorHAnsi"/>
                <w:color w:val="FF0000"/>
                <w:sz w:val="20"/>
                <w:szCs w:val="20"/>
              </w:rPr>
            </w:pPr>
            <w:r w:rsidRPr="001E1B95">
              <w:rPr>
                <w:rFonts w:asciiTheme="minorHAnsi" w:hAnsiTheme="minorHAnsi" w:cstheme="minorHAnsi"/>
                <w:sz w:val="20"/>
                <w:szCs w:val="20"/>
              </w:rPr>
              <w:t>13.3%</w:t>
            </w:r>
          </w:p>
        </w:tc>
        <w:tc>
          <w:tcPr>
            <w:tcW w:w="1250" w:type="dxa"/>
            <w:tcBorders>
              <w:top w:val="single" w:sz="4" w:space="0" w:color="auto"/>
              <w:left w:val="nil"/>
              <w:bottom w:val="single" w:sz="4" w:space="0" w:color="000000"/>
              <w:right w:val="single" w:sz="4" w:space="0" w:color="000000"/>
            </w:tcBorders>
          </w:tcPr>
          <w:p w14:paraId="309206DC" w14:textId="22AAA620" w:rsidR="004C5883" w:rsidRDefault="001E1B95" w:rsidP="00696881">
            <w:pPr>
              <w:spacing w:after="0"/>
              <w:jc w:val="center"/>
              <w:rPr>
                <w:rFonts w:asciiTheme="minorHAnsi" w:hAnsiTheme="minorHAnsi" w:cstheme="minorHAnsi"/>
                <w:sz w:val="20"/>
                <w:szCs w:val="20"/>
              </w:rPr>
            </w:pPr>
            <w:r>
              <w:rPr>
                <w:rFonts w:asciiTheme="minorHAnsi" w:hAnsiTheme="minorHAnsi" w:cstheme="minorHAnsi"/>
                <w:sz w:val="20"/>
                <w:szCs w:val="20"/>
              </w:rPr>
              <w:t>9.7%</w:t>
            </w:r>
          </w:p>
        </w:tc>
      </w:tr>
      <w:tr w:rsidR="003352F5" w:rsidRPr="00F26259" w14:paraId="0ECAC274" w14:textId="3A5ED1E7" w:rsidTr="003352F5">
        <w:trPr>
          <w:trHeight w:val="290"/>
          <w:jc w:val="center"/>
        </w:trPr>
        <w:tc>
          <w:tcPr>
            <w:tcW w:w="1368" w:type="dxa"/>
            <w:tcBorders>
              <w:top w:val="nil"/>
              <w:left w:val="single" w:sz="4" w:space="0" w:color="000000"/>
              <w:bottom w:val="single" w:sz="4" w:space="0" w:color="000000"/>
              <w:right w:val="single" w:sz="4" w:space="0" w:color="000000"/>
            </w:tcBorders>
            <w:shd w:val="clear" w:color="auto" w:fill="auto"/>
            <w:noWrap/>
          </w:tcPr>
          <w:p w14:paraId="1FA153E0" w14:textId="1392A75F" w:rsidR="004C5883" w:rsidRPr="00F26259" w:rsidRDefault="004C5883" w:rsidP="00696881">
            <w:pPr>
              <w:spacing w:after="0"/>
              <w:jc w:val="center"/>
              <w:rPr>
                <w:rFonts w:asciiTheme="minorHAnsi" w:eastAsia="Times New Roman" w:hAnsiTheme="minorHAnsi" w:cstheme="minorHAnsi"/>
                <w:color w:val="000000"/>
                <w:sz w:val="20"/>
                <w:szCs w:val="20"/>
              </w:rPr>
            </w:pPr>
            <w:r>
              <w:rPr>
                <w:rFonts w:cs="Calibri"/>
                <w:color w:val="000000"/>
                <w:sz w:val="20"/>
                <w:szCs w:val="20"/>
              </w:rPr>
              <w:t>CBP</w:t>
            </w:r>
          </w:p>
        </w:tc>
        <w:tc>
          <w:tcPr>
            <w:tcW w:w="8476" w:type="dxa"/>
            <w:tcBorders>
              <w:top w:val="nil"/>
              <w:left w:val="nil"/>
              <w:bottom w:val="single" w:sz="4" w:space="0" w:color="auto"/>
              <w:right w:val="single" w:sz="4" w:space="0" w:color="auto"/>
            </w:tcBorders>
            <w:shd w:val="clear" w:color="auto" w:fill="auto"/>
          </w:tcPr>
          <w:p w14:paraId="0B1B748C" w14:textId="57792471" w:rsidR="004C5883" w:rsidRPr="00077932" w:rsidRDefault="004C5883" w:rsidP="00696881">
            <w:pPr>
              <w:spacing w:after="0"/>
              <w:rPr>
                <w:rFonts w:asciiTheme="minorHAnsi" w:eastAsia="Times New Roman" w:hAnsiTheme="minorHAnsi" w:cstheme="minorHAnsi"/>
                <w:sz w:val="20"/>
                <w:szCs w:val="20"/>
              </w:rPr>
            </w:pPr>
            <w:r w:rsidRPr="00077932">
              <w:rPr>
                <w:rFonts w:cs="Calibri"/>
                <w:sz w:val="20"/>
                <w:szCs w:val="20"/>
              </w:rPr>
              <w:t>Controlling High Blood Pressure: 18-6</w:t>
            </w:r>
            <w:r w:rsidR="00A81905">
              <w:rPr>
                <w:rFonts w:cs="Calibri"/>
                <w:sz w:val="20"/>
                <w:szCs w:val="20"/>
              </w:rPr>
              <w:t>4</w:t>
            </w:r>
          </w:p>
        </w:tc>
        <w:tc>
          <w:tcPr>
            <w:tcW w:w="1107" w:type="dxa"/>
            <w:tcBorders>
              <w:top w:val="single" w:sz="4" w:space="0" w:color="auto"/>
              <w:left w:val="nil"/>
              <w:bottom w:val="single" w:sz="4" w:space="0" w:color="auto"/>
              <w:right w:val="single" w:sz="4" w:space="0" w:color="auto"/>
            </w:tcBorders>
            <w:vAlign w:val="center"/>
          </w:tcPr>
          <w:p w14:paraId="5E22F3B8" w14:textId="7197446A" w:rsidR="004C5883" w:rsidRPr="00962971" w:rsidRDefault="004C5883" w:rsidP="00696881">
            <w:pPr>
              <w:spacing w:after="0"/>
              <w:jc w:val="center"/>
              <w:rPr>
                <w:rFonts w:asciiTheme="minorHAnsi" w:hAnsiTheme="minorHAnsi" w:cstheme="minorHAnsi"/>
                <w:color w:val="000000" w:themeColor="text1"/>
                <w:sz w:val="20"/>
                <w:szCs w:val="20"/>
              </w:rPr>
            </w:pPr>
            <w:r w:rsidRPr="00962971">
              <w:rPr>
                <w:rFonts w:asciiTheme="minorHAnsi" w:hAnsiTheme="minorHAnsi" w:cstheme="minorHAnsi"/>
                <w:color w:val="000000"/>
                <w:sz w:val="20"/>
                <w:szCs w:val="20"/>
              </w:rPr>
              <w:t>56.8%</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752CCDE" w14:textId="14E103AF" w:rsidR="004C5883" w:rsidRPr="00962971" w:rsidRDefault="004C5883" w:rsidP="00696881">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64.4%</w:t>
            </w:r>
          </w:p>
        </w:tc>
        <w:tc>
          <w:tcPr>
            <w:tcW w:w="144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E8A285A" w14:textId="570D51C6" w:rsidR="004C5883" w:rsidRPr="00962971" w:rsidRDefault="004C5883" w:rsidP="00696881">
            <w:pPr>
              <w:spacing w:after="0"/>
              <w:jc w:val="center"/>
              <w:rPr>
                <w:rFonts w:asciiTheme="minorHAnsi" w:hAnsiTheme="minorHAnsi" w:cstheme="minorHAnsi"/>
                <w:color w:val="FF0000"/>
                <w:sz w:val="20"/>
                <w:szCs w:val="20"/>
              </w:rPr>
            </w:pPr>
            <w:r w:rsidRPr="00AC6A1B">
              <w:rPr>
                <w:rFonts w:asciiTheme="minorHAnsi" w:hAnsiTheme="minorHAnsi" w:cstheme="minorHAnsi"/>
                <w:sz w:val="20"/>
                <w:szCs w:val="20"/>
              </w:rPr>
              <w:t>68.7%</w:t>
            </w:r>
          </w:p>
        </w:tc>
        <w:tc>
          <w:tcPr>
            <w:tcW w:w="1713" w:type="dxa"/>
            <w:tcBorders>
              <w:top w:val="nil"/>
              <w:left w:val="nil"/>
              <w:bottom w:val="single" w:sz="4" w:space="0" w:color="000000"/>
              <w:right w:val="single" w:sz="4" w:space="0" w:color="000000"/>
            </w:tcBorders>
            <w:shd w:val="clear" w:color="auto" w:fill="auto"/>
            <w:noWrap/>
            <w:vAlign w:val="center"/>
          </w:tcPr>
          <w:p w14:paraId="133DA87B" w14:textId="751DC25C" w:rsidR="004C5883" w:rsidRPr="00F61604" w:rsidRDefault="00A81905" w:rsidP="00696881">
            <w:pPr>
              <w:spacing w:after="0"/>
              <w:jc w:val="center"/>
              <w:rPr>
                <w:rFonts w:asciiTheme="minorHAnsi" w:eastAsia="Times New Roman" w:hAnsiTheme="minorHAnsi" w:cstheme="minorHAnsi"/>
                <w:color w:val="FF0000"/>
                <w:sz w:val="20"/>
                <w:szCs w:val="20"/>
              </w:rPr>
            </w:pPr>
            <w:r w:rsidRPr="00A81905">
              <w:rPr>
                <w:rFonts w:asciiTheme="minorHAnsi" w:eastAsia="Times New Roman" w:hAnsiTheme="minorHAnsi" w:cstheme="minorHAnsi"/>
                <w:sz w:val="20"/>
                <w:szCs w:val="20"/>
              </w:rPr>
              <w:t>52.1%</w:t>
            </w:r>
          </w:p>
        </w:tc>
        <w:tc>
          <w:tcPr>
            <w:tcW w:w="1527" w:type="dxa"/>
            <w:tcBorders>
              <w:top w:val="nil"/>
              <w:left w:val="nil"/>
              <w:bottom w:val="single" w:sz="4" w:space="0" w:color="000000"/>
              <w:right w:val="single" w:sz="4" w:space="0" w:color="000000"/>
            </w:tcBorders>
            <w:shd w:val="clear" w:color="auto" w:fill="auto"/>
            <w:noWrap/>
            <w:vAlign w:val="center"/>
          </w:tcPr>
          <w:p w14:paraId="3F7536F9" w14:textId="0B9DC9CE" w:rsidR="004C5883" w:rsidRPr="00F61604" w:rsidRDefault="00B87870" w:rsidP="00696881">
            <w:pPr>
              <w:spacing w:after="0"/>
              <w:jc w:val="center"/>
              <w:rPr>
                <w:rFonts w:asciiTheme="minorHAnsi" w:eastAsia="Times New Roman" w:hAnsiTheme="minorHAnsi" w:cstheme="minorHAnsi"/>
                <w:color w:val="FF0000"/>
                <w:sz w:val="20"/>
                <w:szCs w:val="20"/>
              </w:rPr>
            </w:pPr>
            <w:r w:rsidRPr="00B87870">
              <w:rPr>
                <w:rFonts w:asciiTheme="minorHAnsi" w:eastAsia="Times New Roman" w:hAnsiTheme="minorHAnsi" w:cstheme="minorHAnsi"/>
                <w:sz w:val="20"/>
                <w:szCs w:val="20"/>
              </w:rPr>
              <w:t>57.7%</w:t>
            </w:r>
          </w:p>
        </w:tc>
        <w:tc>
          <w:tcPr>
            <w:tcW w:w="1250" w:type="dxa"/>
            <w:tcBorders>
              <w:top w:val="nil"/>
              <w:left w:val="nil"/>
              <w:bottom w:val="single" w:sz="4" w:space="0" w:color="000000"/>
              <w:right w:val="single" w:sz="4" w:space="0" w:color="000000"/>
            </w:tcBorders>
          </w:tcPr>
          <w:p w14:paraId="29172F0E" w14:textId="2E7B7184" w:rsidR="004C5883" w:rsidRDefault="00B87870" w:rsidP="00696881">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62.1%</w:t>
            </w:r>
          </w:p>
        </w:tc>
      </w:tr>
      <w:tr w:rsidR="003352F5" w:rsidRPr="00F26259" w14:paraId="7C14E10C" w14:textId="7E7A6BA1" w:rsidTr="003352F5">
        <w:trPr>
          <w:trHeight w:val="215"/>
          <w:jc w:val="center"/>
        </w:trPr>
        <w:tc>
          <w:tcPr>
            <w:tcW w:w="1368" w:type="dxa"/>
            <w:tcBorders>
              <w:top w:val="single" w:sz="4" w:space="0" w:color="auto"/>
              <w:left w:val="single" w:sz="4" w:space="0" w:color="000000"/>
              <w:bottom w:val="single" w:sz="4" w:space="0" w:color="000000"/>
              <w:right w:val="single" w:sz="4" w:space="0" w:color="000000"/>
            </w:tcBorders>
            <w:shd w:val="clear" w:color="auto" w:fill="auto"/>
            <w:noWrap/>
          </w:tcPr>
          <w:p w14:paraId="4ED3C004" w14:textId="6A8A149B" w:rsidR="004C5883" w:rsidRDefault="004C5883" w:rsidP="00696881">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CCS</w:t>
            </w:r>
          </w:p>
        </w:tc>
        <w:tc>
          <w:tcPr>
            <w:tcW w:w="8476" w:type="dxa"/>
            <w:tcBorders>
              <w:top w:val="single" w:sz="4" w:space="0" w:color="auto"/>
              <w:left w:val="nil"/>
              <w:bottom w:val="single" w:sz="4" w:space="0" w:color="auto"/>
              <w:right w:val="single" w:sz="4" w:space="0" w:color="auto"/>
            </w:tcBorders>
            <w:shd w:val="clear" w:color="auto" w:fill="auto"/>
          </w:tcPr>
          <w:p w14:paraId="2C7A49B2" w14:textId="372C145A" w:rsidR="004C5883" w:rsidRPr="00B03E9B" w:rsidRDefault="004C5883" w:rsidP="00696881">
            <w:pPr>
              <w:spacing w:after="0"/>
              <w:rPr>
                <w:rFonts w:asciiTheme="minorHAnsi" w:eastAsia="Times New Roman" w:hAnsiTheme="minorHAnsi" w:cstheme="minorHAnsi"/>
                <w:sz w:val="20"/>
                <w:szCs w:val="20"/>
              </w:rPr>
            </w:pPr>
            <w:r w:rsidRPr="00B03E9B">
              <w:rPr>
                <w:rFonts w:asciiTheme="minorHAnsi" w:eastAsia="Times New Roman" w:hAnsiTheme="minorHAnsi" w:cstheme="minorHAnsi"/>
                <w:sz w:val="20"/>
                <w:szCs w:val="20"/>
              </w:rPr>
              <w:t>Cervical Cancer Screening</w:t>
            </w:r>
          </w:p>
        </w:tc>
        <w:tc>
          <w:tcPr>
            <w:tcW w:w="1107" w:type="dxa"/>
            <w:tcBorders>
              <w:top w:val="single" w:sz="4" w:space="0" w:color="auto"/>
              <w:bottom w:val="single" w:sz="4" w:space="0" w:color="auto"/>
              <w:right w:val="single" w:sz="4" w:space="0" w:color="auto"/>
            </w:tcBorders>
            <w:vAlign w:val="center"/>
          </w:tcPr>
          <w:p w14:paraId="3F683542" w14:textId="2AAB478F" w:rsidR="004C5883" w:rsidRPr="00962971" w:rsidRDefault="004C5883" w:rsidP="00696881">
            <w:pPr>
              <w:spacing w:after="0"/>
              <w:jc w:val="center"/>
              <w:rPr>
                <w:rFonts w:asciiTheme="minorHAnsi" w:hAnsiTheme="minorHAnsi" w:cstheme="minorHAnsi"/>
                <w:sz w:val="20"/>
                <w:szCs w:val="20"/>
              </w:rPr>
            </w:pPr>
            <w:r w:rsidRPr="00962971">
              <w:rPr>
                <w:rFonts w:asciiTheme="minorHAnsi" w:hAnsiTheme="minorHAnsi" w:cstheme="minorHAnsi"/>
                <w:sz w:val="20"/>
                <w:szCs w:val="20"/>
              </w:rPr>
              <w:t>6</w:t>
            </w:r>
            <w:r>
              <w:rPr>
                <w:rFonts w:asciiTheme="minorHAnsi" w:hAnsiTheme="minorHAnsi" w:cstheme="minorHAnsi"/>
                <w:sz w:val="20"/>
                <w:szCs w:val="20"/>
              </w:rPr>
              <w:t>5</w:t>
            </w:r>
            <w:r w:rsidRPr="00962971">
              <w:rPr>
                <w:rFonts w:asciiTheme="minorHAnsi" w:hAnsiTheme="minorHAnsi" w:cstheme="minorHAnsi"/>
                <w:sz w:val="20"/>
                <w:szCs w:val="20"/>
              </w:rPr>
              <w:t>.</w:t>
            </w:r>
            <w:r>
              <w:rPr>
                <w:rFonts w:asciiTheme="minorHAnsi" w:hAnsiTheme="minorHAnsi" w:cstheme="minorHAnsi"/>
                <w:sz w:val="20"/>
                <w:szCs w:val="20"/>
              </w:rPr>
              <w:t>8</w:t>
            </w:r>
            <w:r w:rsidRPr="00962971">
              <w:rPr>
                <w:rFonts w:asciiTheme="minorHAnsi" w:hAnsiTheme="minorHAnsi" w:cstheme="minorHAnsi"/>
                <w:sz w:val="20"/>
                <w:szCs w:val="20"/>
              </w:rPr>
              <w:t>%</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A6A0F3F" w14:textId="4998AB2E" w:rsidR="004C5883" w:rsidRPr="00962971" w:rsidRDefault="004C5883" w:rsidP="00696881">
            <w:pPr>
              <w:spacing w:after="0"/>
              <w:jc w:val="center"/>
              <w:rPr>
                <w:rFonts w:asciiTheme="minorHAnsi" w:hAnsiTheme="minorHAnsi" w:cstheme="minorHAnsi"/>
                <w:sz w:val="20"/>
                <w:szCs w:val="20"/>
              </w:rPr>
            </w:pPr>
            <w:r>
              <w:rPr>
                <w:rFonts w:asciiTheme="minorHAnsi" w:hAnsiTheme="minorHAnsi" w:cstheme="minorHAnsi"/>
                <w:sz w:val="20"/>
                <w:szCs w:val="20"/>
              </w:rPr>
              <w:t>65.3%</w:t>
            </w:r>
          </w:p>
        </w:tc>
        <w:tc>
          <w:tcPr>
            <w:tcW w:w="1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1D7DF13" w14:textId="59818EA8" w:rsidR="004C5883" w:rsidRPr="00962971" w:rsidRDefault="004C5883" w:rsidP="00696881">
            <w:pPr>
              <w:spacing w:after="0"/>
              <w:jc w:val="center"/>
              <w:rPr>
                <w:rFonts w:asciiTheme="minorHAnsi" w:hAnsiTheme="minorHAnsi" w:cstheme="minorHAnsi"/>
                <w:sz w:val="20"/>
                <w:szCs w:val="20"/>
              </w:rPr>
            </w:pPr>
            <w:r>
              <w:rPr>
                <w:rFonts w:asciiTheme="minorHAnsi" w:hAnsiTheme="minorHAnsi" w:cstheme="minorHAnsi"/>
                <w:sz w:val="20"/>
                <w:szCs w:val="20"/>
              </w:rPr>
              <w:t>65.5%</w:t>
            </w:r>
          </w:p>
        </w:tc>
        <w:tc>
          <w:tcPr>
            <w:tcW w:w="1713"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6F76E742" w14:textId="13C6C51B" w:rsidR="004C5883" w:rsidRPr="00F61604" w:rsidRDefault="00F81CD6" w:rsidP="00696881">
            <w:pPr>
              <w:spacing w:after="0"/>
              <w:jc w:val="center"/>
              <w:rPr>
                <w:rFonts w:asciiTheme="minorHAnsi" w:hAnsiTheme="minorHAnsi" w:cstheme="minorHAnsi"/>
                <w:color w:val="FF0000"/>
                <w:sz w:val="20"/>
                <w:szCs w:val="20"/>
              </w:rPr>
            </w:pPr>
            <w:r w:rsidRPr="00F81CD6">
              <w:rPr>
                <w:rFonts w:asciiTheme="minorHAnsi" w:hAnsiTheme="minorHAnsi" w:cstheme="minorHAnsi"/>
                <w:sz w:val="20"/>
                <w:szCs w:val="20"/>
              </w:rPr>
              <w:t>44.6%</w:t>
            </w:r>
          </w:p>
        </w:tc>
        <w:tc>
          <w:tcPr>
            <w:tcW w:w="1527" w:type="dxa"/>
            <w:tcBorders>
              <w:top w:val="single" w:sz="4" w:space="0" w:color="auto"/>
              <w:left w:val="nil"/>
              <w:bottom w:val="single" w:sz="4" w:space="0" w:color="000000"/>
              <w:right w:val="single" w:sz="4" w:space="0" w:color="000000"/>
            </w:tcBorders>
            <w:shd w:val="clear" w:color="auto" w:fill="auto"/>
            <w:noWrap/>
            <w:vAlign w:val="center"/>
          </w:tcPr>
          <w:p w14:paraId="3F92C178" w14:textId="0E8EB1C8" w:rsidR="004C5883" w:rsidRPr="00F61604" w:rsidRDefault="00F81CD6" w:rsidP="00696881">
            <w:pPr>
              <w:spacing w:after="0"/>
              <w:jc w:val="center"/>
              <w:rPr>
                <w:rFonts w:asciiTheme="minorHAnsi" w:hAnsiTheme="minorHAnsi" w:cstheme="minorHAnsi"/>
                <w:color w:val="FF0000"/>
                <w:sz w:val="20"/>
                <w:szCs w:val="20"/>
              </w:rPr>
            </w:pPr>
            <w:r w:rsidRPr="00F81CD6">
              <w:rPr>
                <w:rFonts w:asciiTheme="minorHAnsi" w:hAnsiTheme="minorHAnsi" w:cstheme="minorHAnsi"/>
                <w:sz w:val="20"/>
                <w:szCs w:val="20"/>
              </w:rPr>
              <w:t>51.4</w:t>
            </w:r>
            <w:r w:rsidR="004C5883" w:rsidRPr="00F81CD6">
              <w:rPr>
                <w:rFonts w:asciiTheme="minorHAnsi" w:hAnsiTheme="minorHAnsi" w:cstheme="minorHAnsi"/>
                <w:sz w:val="20"/>
                <w:szCs w:val="20"/>
              </w:rPr>
              <w:t>%</w:t>
            </w:r>
          </w:p>
        </w:tc>
        <w:tc>
          <w:tcPr>
            <w:tcW w:w="1250" w:type="dxa"/>
            <w:tcBorders>
              <w:top w:val="single" w:sz="4" w:space="0" w:color="auto"/>
              <w:left w:val="nil"/>
              <w:bottom w:val="single" w:sz="4" w:space="0" w:color="000000"/>
              <w:right w:val="single" w:sz="4" w:space="0" w:color="000000"/>
            </w:tcBorders>
          </w:tcPr>
          <w:p w14:paraId="23DB92B4" w14:textId="33715E36" w:rsidR="004C5883" w:rsidRDefault="00F81CD6" w:rsidP="00696881">
            <w:pPr>
              <w:spacing w:after="0"/>
              <w:jc w:val="center"/>
              <w:rPr>
                <w:rFonts w:asciiTheme="minorHAnsi" w:hAnsiTheme="minorHAnsi" w:cstheme="minorHAnsi"/>
                <w:sz w:val="20"/>
                <w:szCs w:val="20"/>
              </w:rPr>
            </w:pPr>
            <w:r>
              <w:rPr>
                <w:rFonts w:asciiTheme="minorHAnsi" w:hAnsiTheme="minorHAnsi" w:cstheme="minorHAnsi"/>
                <w:sz w:val="20"/>
                <w:szCs w:val="20"/>
              </w:rPr>
              <w:t>58.3%</w:t>
            </w:r>
          </w:p>
        </w:tc>
      </w:tr>
      <w:tr w:rsidR="003352F5" w:rsidRPr="00F26259" w14:paraId="63F341D1" w14:textId="53D592F4" w:rsidTr="003352F5">
        <w:trPr>
          <w:trHeight w:val="215"/>
          <w:jc w:val="center"/>
        </w:trPr>
        <w:tc>
          <w:tcPr>
            <w:tcW w:w="1368" w:type="dxa"/>
            <w:tcBorders>
              <w:top w:val="single" w:sz="4" w:space="0" w:color="auto"/>
              <w:left w:val="single" w:sz="4" w:space="0" w:color="000000"/>
              <w:bottom w:val="single" w:sz="4" w:space="0" w:color="000000"/>
              <w:right w:val="single" w:sz="4" w:space="0" w:color="000000"/>
            </w:tcBorders>
            <w:shd w:val="clear" w:color="auto" w:fill="auto"/>
            <w:noWrap/>
          </w:tcPr>
          <w:p w14:paraId="3EBE0D06" w14:textId="5B1AD646" w:rsidR="004C5883" w:rsidRDefault="004C5883" w:rsidP="00696881">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CHL</w:t>
            </w:r>
          </w:p>
        </w:tc>
        <w:tc>
          <w:tcPr>
            <w:tcW w:w="8476" w:type="dxa"/>
            <w:tcBorders>
              <w:top w:val="single" w:sz="4" w:space="0" w:color="auto"/>
              <w:left w:val="nil"/>
              <w:bottom w:val="single" w:sz="4" w:space="0" w:color="auto"/>
              <w:right w:val="single" w:sz="4" w:space="0" w:color="auto"/>
            </w:tcBorders>
            <w:shd w:val="clear" w:color="auto" w:fill="auto"/>
          </w:tcPr>
          <w:p w14:paraId="1C06798C" w14:textId="177B1FC2" w:rsidR="004C5883" w:rsidRPr="00B03E9B" w:rsidRDefault="004C5883" w:rsidP="00696881">
            <w:pPr>
              <w:spacing w:after="0"/>
              <w:rPr>
                <w:rFonts w:asciiTheme="minorHAnsi" w:eastAsia="Times New Roman" w:hAnsiTheme="minorHAnsi" w:cstheme="minorHAnsi"/>
                <w:sz w:val="20"/>
                <w:szCs w:val="20"/>
              </w:rPr>
            </w:pPr>
            <w:r w:rsidRPr="00B03E9B">
              <w:rPr>
                <w:rFonts w:asciiTheme="minorHAnsi" w:eastAsia="Times New Roman" w:hAnsiTheme="minorHAnsi" w:cstheme="minorHAnsi"/>
                <w:sz w:val="20"/>
                <w:szCs w:val="20"/>
              </w:rPr>
              <w:t>Chlamydia Screening in Women Ages 21-24</w:t>
            </w:r>
          </w:p>
        </w:tc>
        <w:tc>
          <w:tcPr>
            <w:tcW w:w="1107" w:type="dxa"/>
            <w:tcBorders>
              <w:top w:val="single" w:sz="4" w:space="0" w:color="auto"/>
              <w:bottom w:val="single" w:sz="4" w:space="0" w:color="auto"/>
              <w:right w:val="single" w:sz="4" w:space="0" w:color="auto"/>
            </w:tcBorders>
            <w:vAlign w:val="center"/>
          </w:tcPr>
          <w:p w14:paraId="1748DDE5" w14:textId="083FCCD5" w:rsidR="004C5883" w:rsidRPr="00962971" w:rsidRDefault="004C5883" w:rsidP="00696881">
            <w:pPr>
              <w:spacing w:after="0"/>
              <w:jc w:val="center"/>
              <w:rPr>
                <w:rFonts w:asciiTheme="minorHAnsi" w:hAnsiTheme="minorHAnsi" w:cstheme="minorHAnsi"/>
                <w:sz w:val="20"/>
                <w:szCs w:val="20"/>
              </w:rPr>
            </w:pPr>
            <w:r w:rsidRPr="00962971">
              <w:rPr>
                <w:rFonts w:asciiTheme="minorHAnsi" w:hAnsiTheme="minorHAnsi" w:cstheme="minorHAnsi"/>
                <w:sz w:val="20"/>
                <w:szCs w:val="20"/>
              </w:rPr>
              <w:t>65.8%</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F71A595" w14:textId="5477B290" w:rsidR="004C5883" w:rsidRPr="00962971" w:rsidRDefault="004C5883" w:rsidP="00696881">
            <w:pPr>
              <w:spacing w:after="0"/>
              <w:jc w:val="center"/>
              <w:rPr>
                <w:rFonts w:asciiTheme="minorHAnsi" w:hAnsiTheme="minorHAnsi" w:cstheme="minorHAnsi"/>
                <w:sz w:val="20"/>
                <w:szCs w:val="20"/>
              </w:rPr>
            </w:pPr>
            <w:r>
              <w:rPr>
                <w:rFonts w:asciiTheme="minorHAnsi" w:hAnsiTheme="minorHAnsi" w:cstheme="minorHAnsi"/>
                <w:sz w:val="20"/>
                <w:szCs w:val="20"/>
              </w:rPr>
              <w:t>68.8%</w:t>
            </w:r>
          </w:p>
        </w:tc>
        <w:tc>
          <w:tcPr>
            <w:tcW w:w="1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5EA280A" w14:textId="33ADA495" w:rsidR="004C5883" w:rsidRPr="00962971" w:rsidRDefault="004C5883" w:rsidP="00696881">
            <w:pPr>
              <w:spacing w:after="0"/>
              <w:jc w:val="center"/>
              <w:rPr>
                <w:rFonts w:asciiTheme="minorHAnsi" w:hAnsiTheme="minorHAnsi" w:cstheme="minorHAnsi"/>
                <w:sz w:val="20"/>
                <w:szCs w:val="20"/>
              </w:rPr>
            </w:pPr>
            <w:r>
              <w:rPr>
                <w:rFonts w:asciiTheme="minorHAnsi" w:hAnsiTheme="minorHAnsi" w:cstheme="minorHAnsi"/>
                <w:sz w:val="20"/>
                <w:szCs w:val="20"/>
              </w:rPr>
              <w:t>68.9%</w:t>
            </w:r>
          </w:p>
        </w:tc>
        <w:tc>
          <w:tcPr>
            <w:tcW w:w="1713"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65D4025C" w14:textId="579F4A21" w:rsidR="004C5883" w:rsidRPr="00F61604" w:rsidRDefault="00C34B10" w:rsidP="00696881">
            <w:pPr>
              <w:spacing w:after="0"/>
              <w:jc w:val="center"/>
              <w:rPr>
                <w:rFonts w:asciiTheme="minorHAnsi" w:hAnsiTheme="minorHAnsi" w:cstheme="minorHAnsi"/>
                <w:color w:val="FF0000"/>
                <w:sz w:val="20"/>
                <w:szCs w:val="20"/>
              </w:rPr>
            </w:pPr>
            <w:r w:rsidRPr="00C34B10">
              <w:rPr>
                <w:rFonts w:asciiTheme="minorHAnsi" w:hAnsiTheme="minorHAnsi" w:cstheme="minorHAnsi"/>
                <w:sz w:val="20"/>
                <w:szCs w:val="20"/>
              </w:rPr>
              <w:t>52.0%</w:t>
            </w:r>
          </w:p>
        </w:tc>
        <w:tc>
          <w:tcPr>
            <w:tcW w:w="1527" w:type="dxa"/>
            <w:tcBorders>
              <w:top w:val="single" w:sz="4" w:space="0" w:color="auto"/>
              <w:left w:val="nil"/>
              <w:bottom w:val="single" w:sz="4" w:space="0" w:color="000000"/>
              <w:right w:val="single" w:sz="4" w:space="0" w:color="000000"/>
            </w:tcBorders>
            <w:shd w:val="clear" w:color="auto" w:fill="auto"/>
            <w:noWrap/>
            <w:vAlign w:val="center"/>
          </w:tcPr>
          <w:p w14:paraId="116B7EFC" w14:textId="39D5C693" w:rsidR="004C5883" w:rsidRPr="00F61604" w:rsidRDefault="00C34B10" w:rsidP="00696881">
            <w:pPr>
              <w:spacing w:after="0"/>
              <w:jc w:val="center"/>
              <w:rPr>
                <w:rFonts w:asciiTheme="minorHAnsi" w:hAnsiTheme="minorHAnsi" w:cstheme="minorHAnsi"/>
                <w:color w:val="FF0000"/>
                <w:sz w:val="20"/>
                <w:szCs w:val="20"/>
              </w:rPr>
            </w:pPr>
            <w:r w:rsidRPr="00C34B10">
              <w:rPr>
                <w:rFonts w:asciiTheme="minorHAnsi" w:hAnsiTheme="minorHAnsi" w:cstheme="minorHAnsi"/>
                <w:sz w:val="20"/>
                <w:szCs w:val="20"/>
              </w:rPr>
              <w:t>55.9%</w:t>
            </w:r>
          </w:p>
        </w:tc>
        <w:tc>
          <w:tcPr>
            <w:tcW w:w="1250" w:type="dxa"/>
            <w:tcBorders>
              <w:top w:val="single" w:sz="4" w:space="0" w:color="auto"/>
              <w:left w:val="nil"/>
              <w:bottom w:val="single" w:sz="4" w:space="0" w:color="000000"/>
              <w:right w:val="single" w:sz="4" w:space="0" w:color="000000"/>
            </w:tcBorders>
          </w:tcPr>
          <w:p w14:paraId="16E18A9C" w14:textId="633BD446" w:rsidR="004C5883" w:rsidRDefault="00C34B10" w:rsidP="00696881">
            <w:pPr>
              <w:spacing w:after="0"/>
              <w:jc w:val="center"/>
              <w:rPr>
                <w:rFonts w:asciiTheme="minorHAnsi" w:hAnsiTheme="minorHAnsi" w:cstheme="minorHAnsi"/>
                <w:sz w:val="20"/>
                <w:szCs w:val="20"/>
              </w:rPr>
            </w:pPr>
            <w:r>
              <w:rPr>
                <w:rFonts w:asciiTheme="minorHAnsi" w:hAnsiTheme="minorHAnsi" w:cstheme="minorHAnsi"/>
                <w:sz w:val="20"/>
                <w:szCs w:val="20"/>
              </w:rPr>
              <w:t>64.1%</w:t>
            </w:r>
          </w:p>
        </w:tc>
      </w:tr>
      <w:tr w:rsidR="003352F5" w:rsidRPr="00F26259" w14:paraId="457F782A" w14:textId="2E1611F8" w:rsidTr="003352F5">
        <w:trPr>
          <w:trHeight w:val="215"/>
          <w:jc w:val="center"/>
        </w:trPr>
        <w:tc>
          <w:tcPr>
            <w:tcW w:w="1368" w:type="dxa"/>
            <w:tcBorders>
              <w:top w:val="single" w:sz="4" w:space="0" w:color="auto"/>
              <w:left w:val="single" w:sz="4" w:space="0" w:color="000000"/>
              <w:bottom w:val="single" w:sz="4" w:space="0" w:color="000000"/>
              <w:right w:val="single" w:sz="4" w:space="0" w:color="000000"/>
            </w:tcBorders>
            <w:shd w:val="clear" w:color="auto" w:fill="auto"/>
            <w:noWrap/>
          </w:tcPr>
          <w:p w14:paraId="07AA78F4" w14:textId="20372FB9" w:rsidR="004C5883" w:rsidRDefault="004C5883" w:rsidP="00895DFE">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CCP</w:t>
            </w:r>
          </w:p>
        </w:tc>
        <w:tc>
          <w:tcPr>
            <w:tcW w:w="8476" w:type="dxa"/>
            <w:tcBorders>
              <w:top w:val="single" w:sz="4" w:space="0" w:color="auto"/>
              <w:left w:val="nil"/>
              <w:bottom w:val="single" w:sz="4" w:space="0" w:color="auto"/>
              <w:right w:val="single" w:sz="4" w:space="0" w:color="auto"/>
            </w:tcBorders>
            <w:shd w:val="clear" w:color="auto" w:fill="auto"/>
          </w:tcPr>
          <w:p w14:paraId="31EEE45C" w14:textId="54B47556" w:rsidR="004C5883" w:rsidRPr="00B03E9B" w:rsidRDefault="004C5883" w:rsidP="00895DFE">
            <w:pPr>
              <w:spacing w:after="0"/>
              <w:rPr>
                <w:rFonts w:asciiTheme="minorHAnsi" w:eastAsia="Times New Roman" w:hAnsiTheme="minorHAnsi" w:cstheme="minorHAnsi"/>
                <w:sz w:val="20"/>
                <w:szCs w:val="20"/>
              </w:rPr>
            </w:pPr>
            <w:r w:rsidRPr="00B03E9B">
              <w:rPr>
                <w:rFonts w:asciiTheme="minorHAnsi" w:eastAsia="Times New Roman" w:hAnsiTheme="minorHAnsi" w:cstheme="minorHAnsi"/>
                <w:sz w:val="20"/>
                <w:szCs w:val="20"/>
              </w:rPr>
              <w:t>Contraceptive Care Postpartum</w:t>
            </w:r>
            <w:r>
              <w:rPr>
                <w:rFonts w:asciiTheme="minorHAnsi" w:eastAsia="Times New Roman" w:hAnsiTheme="minorHAnsi" w:cstheme="minorHAnsi"/>
                <w:sz w:val="20"/>
                <w:szCs w:val="20"/>
              </w:rPr>
              <w:t xml:space="preserve"> Women Ages 21-44: </w:t>
            </w:r>
            <w:r w:rsidRPr="00B03E9B">
              <w:rPr>
                <w:rFonts w:asciiTheme="minorHAnsi" w:eastAsia="Times New Roman" w:hAnsiTheme="minorHAnsi" w:cstheme="minorHAnsi"/>
                <w:sz w:val="20"/>
                <w:szCs w:val="20"/>
              </w:rPr>
              <w:t>Most/Moderate – 3 days</w:t>
            </w:r>
          </w:p>
        </w:tc>
        <w:tc>
          <w:tcPr>
            <w:tcW w:w="1107" w:type="dxa"/>
            <w:tcBorders>
              <w:top w:val="single" w:sz="4" w:space="0" w:color="auto"/>
              <w:bottom w:val="single" w:sz="4" w:space="0" w:color="auto"/>
              <w:right w:val="single" w:sz="4" w:space="0" w:color="auto"/>
            </w:tcBorders>
            <w:vAlign w:val="center"/>
          </w:tcPr>
          <w:p w14:paraId="3E3F9C25" w14:textId="12A1C546" w:rsidR="004C5883" w:rsidRPr="00962971" w:rsidRDefault="004C5883" w:rsidP="00895DFE">
            <w:pPr>
              <w:spacing w:after="0"/>
              <w:jc w:val="center"/>
              <w:rPr>
                <w:rFonts w:asciiTheme="minorHAnsi" w:hAnsiTheme="minorHAnsi" w:cstheme="minorHAnsi"/>
                <w:sz w:val="20"/>
                <w:szCs w:val="20"/>
              </w:rPr>
            </w:pPr>
            <w:r w:rsidRPr="00962971">
              <w:rPr>
                <w:rFonts w:asciiTheme="minorHAnsi" w:hAnsiTheme="minorHAnsi" w:cstheme="minorHAnsi"/>
                <w:sz w:val="20"/>
                <w:szCs w:val="20"/>
              </w:rPr>
              <w:t>15.5%</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4BB6E58" w14:textId="68AA3350" w:rsidR="004C5883" w:rsidRPr="00962971" w:rsidRDefault="004C5883" w:rsidP="00895DFE">
            <w:pPr>
              <w:spacing w:after="0"/>
              <w:jc w:val="center"/>
              <w:rPr>
                <w:rFonts w:asciiTheme="minorHAnsi" w:hAnsiTheme="minorHAnsi" w:cstheme="minorHAnsi"/>
                <w:sz w:val="20"/>
                <w:szCs w:val="20"/>
              </w:rPr>
            </w:pPr>
            <w:r>
              <w:rPr>
                <w:rFonts w:asciiTheme="minorHAnsi" w:hAnsiTheme="minorHAnsi" w:cstheme="minorHAnsi"/>
                <w:sz w:val="20"/>
                <w:szCs w:val="20"/>
              </w:rPr>
              <w:t>14.5%</w:t>
            </w:r>
          </w:p>
        </w:tc>
        <w:tc>
          <w:tcPr>
            <w:tcW w:w="1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5850668" w14:textId="2A46EE05" w:rsidR="004C5883" w:rsidRPr="00962971" w:rsidRDefault="004C5883" w:rsidP="00895DFE">
            <w:pPr>
              <w:spacing w:after="0"/>
              <w:jc w:val="center"/>
              <w:rPr>
                <w:rFonts w:asciiTheme="minorHAnsi" w:hAnsiTheme="minorHAnsi" w:cstheme="minorHAnsi"/>
                <w:sz w:val="20"/>
                <w:szCs w:val="20"/>
              </w:rPr>
            </w:pPr>
            <w:r>
              <w:rPr>
                <w:rFonts w:asciiTheme="minorHAnsi" w:hAnsiTheme="minorHAnsi" w:cstheme="minorHAnsi"/>
                <w:sz w:val="20"/>
                <w:szCs w:val="20"/>
              </w:rPr>
              <w:t>15.4%</w:t>
            </w:r>
          </w:p>
        </w:tc>
        <w:tc>
          <w:tcPr>
            <w:tcW w:w="1713" w:type="dxa"/>
            <w:tcBorders>
              <w:top w:val="single" w:sz="4" w:space="0" w:color="auto"/>
              <w:left w:val="single" w:sz="4" w:space="0" w:color="auto"/>
              <w:bottom w:val="single" w:sz="4" w:space="0" w:color="000000"/>
              <w:right w:val="single" w:sz="4" w:space="0" w:color="000000"/>
            </w:tcBorders>
            <w:shd w:val="clear" w:color="auto" w:fill="auto"/>
            <w:noWrap/>
          </w:tcPr>
          <w:p w14:paraId="3AC29FC8" w14:textId="6818C05C" w:rsidR="004C5883" w:rsidRPr="00F61604" w:rsidRDefault="00324F0C" w:rsidP="00895DFE">
            <w:pPr>
              <w:spacing w:after="0"/>
              <w:jc w:val="center"/>
              <w:rPr>
                <w:rFonts w:asciiTheme="minorHAnsi" w:hAnsiTheme="minorHAnsi" w:cstheme="minorHAnsi"/>
                <w:color w:val="FF0000"/>
                <w:sz w:val="20"/>
                <w:szCs w:val="20"/>
              </w:rPr>
            </w:pPr>
            <w:r w:rsidRPr="00324F0C">
              <w:rPr>
                <w:rFonts w:asciiTheme="minorHAnsi" w:hAnsiTheme="minorHAnsi" w:cstheme="minorHAnsi"/>
                <w:sz w:val="20"/>
                <w:szCs w:val="20"/>
              </w:rPr>
              <w:t>8.7%</w:t>
            </w:r>
          </w:p>
        </w:tc>
        <w:tc>
          <w:tcPr>
            <w:tcW w:w="1527" w:type="dxa"/>
            <w:tcBorders>
              <w:top w:val="single" w:sz="4" w:space="0" w:color="auto"/>
              <w:left w:val="nil"/>
              <w:bottom w:val="single" w:sz="4" w:space="0" w:color="000000"/>
              <w:right w:val="single" w:sz="4" w:space="0" w:color="000000"/>
            </w:tcBorders>
            <w:shd w:val="clear" w:color="auto" w:fill="auto"/>
            <w:noWrap/>
          </w:tcPr>
          <w:p w14:paraId="5778847C" w14:textId="04F6CD83" w:rsidR="004C5883" w:rsidRPr="00F61604" w:rsidRDefault="00324F0C" w:rsidP="00895DFE">
            <w:pPr>
              <w:spacing w:after="0"/>
              <w:jc w:val="center"/>
              <w:rPr>
                <w:rFonts w:asciiTheme="minorHAnsi" w:hAnsiTheme="minorHAnsi" w:cstheme="minorHAnsi"/>
                <w:color w:val="FF0000"/>
                <w:sz w:val="20"/>
                <w:szCs w:val="20"/>
              </w:rPr>
            </w:pPr>
            <w:r>
              <w:rPr>
                <w:rFonts w:asciiTheme="minorHAnsi" w:hAnsiTheme="minorHAnsi" w:cstheme="minorHAnsi"/>
                <w:sz w:val="20"/>
                <w:szCs w:val="20"/>
              </w:rPr>
              <w:t>11.7%</w:t>
            </w:r>
          </w:p>
        </w:tc>
        <w:tc>
          <w:tcPr>
            <w:tcW w:w="1250" w:type="dxa"/>
            <w:tcBorders>
              <w:top w:val="single" w:sz="4" w:space="0" w:color="auto"/>
              <w:left w:val="nil"/>
              <w:bottom w:val="single" w:sz="4" w:space="0" w:color="000000"/>
              <w:right w:val="single" w:sz="4" w:space="0" w:color="000000"/>
            </w:tcBorders>
          </w:tcPr>
          <w:p w14:paraId="4EE674B8" w14:textId="3FDB7189" w:rsidR="004C5883" w:rsidRPr="00855FCE" w:rsidRDefault="00324F0C" w:rsidP="00895DFE">
            <w:pPr>
              <w:spacing w:after="0"/>
              <w:jc w:val="center"/>
              <w:rPr>
                <w:rFonts w:asciiTheme="minorHAnsi" w:hAnsiTheme="minorHAnsi" w:cstheme="minorHAnsi"/>
                <w:sz w:val="20"/>
                <w:szCs w:val="20"/>
              </w:rPr>
            </w:pPr>
            <w:r>
              <w:rPr>
                <w:rFonts w:asciiTheme="minorHAnsi" w:hAnsiTheme="minorHAnsi" w:cstheme="minorHAnsi"/>
                <w:sz w:val="20"/>
                <w:szCs w:val="20"/>
              </w:rPr>
              <w:t>13.6%</w:t>
            </w:r>
          </w:p>
        </w:tc>
      </w:tr>
      <w:tr w:rsidR="003352F5" w:rsidRPr="00F26259" w14:paraId="7D0D7113" w14:textId="60C11F45" w:rsidTr="003352F5">
        <w:trPr>
          <w:trHeight w:val="215"/>
          <w:jc w:val="center"/>
        </w:trPr>
        <w:tc>
          <w:tcPr>
            <w:tcW w:w="1368" w:type="dxa"/>
            <w:tcBorders>
              <w:top w:val="single" w:sz="4" w:space="0" w:color="auto"/>
              <w:left w:val="single" w:sz="4" w:space="0" w:color="000000"/>
              <w:bottom w:val="single" w:sz="4" w:space="0" w:color="000000"/>
              <w:right w:val="single" w:sz="4" w:space="0" w:color="000000"/>
            </w:tcBorders>
            <w:shd w:val="clear" w:color="auto" w:fill="auto"/>
            <w:noWrap/>
          </w:tcPr>
          <w:p w14:paraId="03944BA5" w14:textId="6BF6B782" w:rsidR="004C5883" w:rsidRDefault="004C5883" w:rsidP="00895DFE">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CCP</w:t>
            </w:r>
          </w:p>
        </w:tc>
        <w:tc>
          <w:tcPr>
            <w:tcW w:w="8476" w:type="dxa"/>
            <w:tcBorders>
              <w:top w:val="single" w:sz="4" w:space="0" w:color="auto"/>
              <w:left w:val="nil"/>
              <w:bottom w:val="single" w:sz="4" w:space="0" w:color="auto"/>
              <w:right w:val="single" w:sz="4" w:space="0" w:color="auto"/>
            </w:tcBorders>
            <w:shd w:val="clear" w:color="auto" w:fill="auto"/>
          </w:tcPr>
          <w:p w14:paraId="6B26A66C" w14:textId="6A67776F" w:rsidR="004C5883" w:rsidRPr="00B03E9B" w:rsidRDefault="004C5883" w:rsidP="00895DFE">
            <w:pPr>
              <w:spacing w:after="0"/>
              <w:rPr>
                <w:rFonts w:asciiTheme="minorHAnsi" w:eastAsia="Times New Roman" w:hAnsiTheme="minorHAnsi" w:cstheme="minorHAnsi"/>
                <w:sz w:val="20"/>
                <w:szCs w:val="20"/>
              </w:rPr>
            </w:pPr>
            <w:r w:rsidRPr="00B03E9B">
              <w:rPr>
                <w:rFonts w:asciiTheme="minorHAnsi" w:eastAsia="Times New Roman" w:hAnsiTheme="minorHAnsi" w:cstheme="minorHAnsi"/>
                <w:sz w:val="20"/>
                <w:szCs w:val="20"/>
              </w:rPr>
              <w:t xml:space="preserve">Contraceptive Care Postpartum </w:t>
            </w:r>
            <w:r>
              <w:rPr>
                <w:rFonts w:asciiTheme="minorHAnsi" w:eastAsia="Times New Roman" w:hAnsiTheme="minorHAnsi" w:cstheme="minorHAnsi"/>
                <w:sz w:val="20"/>
                <w:szCs w:val="20"/>
              </w:rPr>
              <w:t xml:space="preserve">Women Ages 21-44- </w:t>
            </w:r>
            <w:r w:rsidRPr="00B03E9B">
              <w:rPr>
                <w:rFonts w:asciiTheme="minorHAnsi" w:eastAsia="Times New Roman" w:hAnsiTheme="minorHAnsi" w:cstheme="minorHAnsi"/>
                <w:sz w:val="20"/>
                <w:szCs w:val="20"/>
              </w:rPr>
              <w:t>Most/Moderate – 60 days</w:t>
            </w:r>
          </w:p>
        </w:tc>
        <w:tc>
          <w:tcPr>
            <w:tcW w:w="1107" w:type="dxa"/>
            <w:tcBorders>
              <w:top w:val="single" w:sz="4" w:space="0" w:color="auto"/>
              <w:bottom w:val="single" w:sz="4" w:space="0" w:color="auto"/>
              <w:right w:val="single" w:sz="4" w:space="0" w:color="auto"/>
            </w:tcBorders>
            <w:vAlign w:val="center"/>
          </w:tcPr>
          <w:p w14:paraId="52876F2B" w14:textId="6319C341" w:rsidR="004C5883" w:rsidRPr="00962971" w:rsidRDefault="004C5883" w:rsidP="00895DFE">
            <w:pPr>
              <w:spacing w:after="0"/>
              <w:jc w:val="center"/>
              <w:rPr>
                <w:rFonts w:asciiTheme="minorHAnsi" w:hAnsiTheme="minorHAnsi" w:cstheme="minorHAnsi"/>
                <w:sz w:val="20"/>
                <w:szCs w:val="20"/>
              </w:rPr>
            </w:pPr>
            <w:r w:rsidRPr="00962971">
              <w:rPr>
                <w:rFonts w:asciiTheme="minorHAnsi" w:hAnsiTheme="minorHAnsi" w:cstheme="minorHAnsi"/>
                <w:sz w:val="20"/>
                <w:szCs w:val="20"/>
              </w:rPr>
              <w:t>46.9%</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4CB60E4" w14:textId="0379892F" w:rsidR="004C5883" w:rsidRPr="00962971" w:rsidRDefault="004C5883" w:rsidP="00895DFE">
            <w:pPr>
              <w:spacing w:after="0"/>
              <w:jc w:val="center"/>
              <w:rPr>
                <w:rFonts w:asciiTheme="minorHAnsi" w:hAnsiTheme="minorHAnsi" w:cstheme="minorHAnsi"/>
                <w:sz w:val="20"/>
                <w:szCs w:val="20"/>
              </w:rPr>
            </w:pPr>
            <w:r>
              <w:rPr>
                <w:rFonts w:asciiTheme="minorHAnsi" w:hAnsiTheme="minorHAnsi" w:cstheme="minorHAnsi"/>
                <w:sz w:val="20"/>
                <w:szCs w:val="20"/>
              </w:rPr>
              <w:t>45.5%</w:t>
            </w:r>
          </w:p>
        </w:tc>
        <w:tc>
          <w:tcPr>
            <w:tcW w:w="1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950D4C8" w14:textId="31BF7409" w:rsidR="004C5883" w:rsidRPr="00962971" w:rsidRDefault="004C5883" w:rsidP="00895DFE">
            <w:pPr>
              <w:spacing w:after="0"/>
              <w:jc w:val="center"/>
              <w:rPr>
                <w:rFonts w:asciiTheme="minorHAnsi" w:hAnsiTheme="minorHAnsi" w:cstheme="minorHAnsi"/>
                <w:sz w:val="20"/>
                <w:szCs w:val="20"/>
              </w:rPr>
            </w:pPr>
            <w:r>
              <w:rPr>
                <w:rFonts w:asciiTheme="minorHAnsi" w:hAnsiTheme="minorHAnsi" w:cstheme="minorHAnsi"/>
                <w:sz w:val="20"/>
                <w:szCs w:val="20"/>
              </w:rPr>
              <w:t>NR</w:t>
            </w:r>
          </w:p>
        </w:tc>
        <w:tc>
          <w:tcPr>
            <w:tcW w:w="1713" w:type="dxa"/>
            <w:tcBorders>
              <w:top w:val="single" w:sz="4" w:space="0" w:color="auto"/>
              <w:left w:val="single" w:sz="4" w:space="0" w:color="auto"/>
              <w:bottom w:val="single" w:sz="4" w:space="0" w:color="000000"/>
              <w:right w:val="single" w:sz="4" w:space="0" w:color="000000"/>
            </w:tcBorders>
            <w:shd w:val="clear" w:color="auto" w:fill="auto"/>
            <w:noWrap/>
          </w:tcPr>
          <w:p w14:paraId="3F6FA551" w14:textId="3EDBAAB2" w:rsidR="004C5883" w:rsidRPr="00F61604" w:rsidRDefault="00324F0C" w:rsidP="00895DFE">
            <w:pPr>
              <w:spacing w:after="0"/>
              <w:jc w:val="center"/>
              <w:rPr>
                <w:rFonts w:asciiTheme="minorHAnsi" w:hAnsiTheme="minorHAnsi" w:cstheme="minorHAnsi"/>
                <w:color w:val="FF0000"/>
                <w:sz w:val="20"/>
                <w:szCs w:val="20"/>
              </w:rPr>
            </w:pPr>
            <w:r w:rsidRPr="00324F0C">
              <w:rPr>
                <w:rFonts w:asciiTheme="minorHAnsi" w:hAnsiTheme="minorHAnsi" w:cstheme="minorHAnsi"/>
                <w:sz w:val="20"/>
                <w:szCs w:val="20"/>
              </w:rPr>
              <w:t>34.1%</w:t>
            </w:r>
          </w:p>
        </w:tc>
        <w:tc>
          <w:tcPr>
            <w:tcW w:w="1527" w:type="dxa"/>
            <w:tcBorders>
              <w:top w:val="single" w:sz="4" w:space="0" w:color="auto"/>
              <w:left w:val="nil"/>
              <w:bottom w:val="single" w:sz="4" w:space="0" w:color="000000"/>
              <w:right w:val="single" w:sz="4" w:space="0" w:color="000000"/>
            </w:tcBorders>
            <w:shd w:val="clear" w:color="auto" w:fill="auto"/>
            <w:noWrap/>
          </w:tcPr>
          <w:p w14:paraId="3925DFF4" w14:textId="23FBD06F" w:rsidR="004C5883" w:rsidRPr="00F61604" w:rsidRDefault="00324F0C" w:rsidP="00895DFE">
            <w:pPr>
              <w:spacing w:after="0"/>
              <w:jc w:val="center"/>
              <w:rPr>
                <w:rFonts w:asciiTheme="minorHAnsi" w:hAnsiTheme="minorHAnsi" w:cstheme="minorHAnsi"/>
                <w:color w:val="FF0000"/>
                <w:sz w:val="20"/>
                <w:szCs w:val="20"/>
              </w:rPr>
            </w:pPr>
            <w:r>
              <w:rPr>
                <w:rFonts w:asciiTheme="minorHAnsi" w:hAnsiTheme="minorHAnsi" w:cstheme="minorHAnsi"/>
                <w:sz w:val="20"/>
                <w:szCs w:val="20"/>
              </w:rPr>
              <w:t>38.6%</w:t>
            </w:r>
          </w:p>
        </w:tc>
        <w:tc>
          <w:tcPr>
            <w:tcW w:w="1250" w:type="dxa"/>
            <w:tcBorders>
              <w:top w:val="single" w:sz="4" w:space="0" w:color="auto"/>
              <w:left w:val="nil"/>
              <w:bottom w:val="single" w:sz="4" w:space="0" w:color="000000"/>
              <w:right w:val="single" w:sz="4" w:space="0" w:color="000000"/>
            </w:tcBorders>
          </w:tcPr>
          <w:p w14:paraId="547DD5A7" w14:textId="74DB7ABE" w:rsidR="004C5883" w:rsidRPr="00855FCE" w:rsidRDefault="00324F0C" w:rsidP="00895DFE">
            <w:pPr>
              <w:spacing w:after="0"/>
              <w:jc w:val="center"/>
              <w:rPr>
                <w:rFonts w:asciiTheme="minorHAnsi" w:hAnsiTheme="minorHAnsi" w:cstheme="minorHAnsi"/>
                <w:sz w:val="20"/>
                <w:szCs w:val="20"/>
              </w:rPr>
            </w:pPr>
            <w:r>
              <w:rPr>
                <w:rFonts w:asciiTheme="minorHAnsi" w:hAnsiTheme="minorHAnsi" w:cstheme="minorHAnsi"/>
                <w:sz w:val="20"/>
                <w:szCs w:val="20"/>
              </w:rPr>
              <w:t>41.3%</w:t>
            </w:r>
          </w:p>
        </w:tc>
      </w:tr>
      <w:tr w:rsidR="003352F5" w:rsidRPr="00F26259" w14:paraId="507EE62E" w14:textId="0A3F7EE6" w:rsidTr="003352F5">
        <w:trPr>
          <w:trHeight w:val="215"/>
          <w:jc w:val="center"/>
        </w:trPr>
        <w:tc>
          <w:tcPr>
            <w:tcW w:w="1368" w:type="dxa"/>
            <w:tcBorders>
              <w:top w:val="single" w:sz="4" w:space="0" w:color="auto"/>
              <w:left w:val="single" w:sz="4" w:space="0" w:color="000000"/>
              <w:bottom w:val="single" w:sz="4" w:space="0" w:color="000000"/>
              <w:right w:val="single" w:sz="4" w:space="0" w:color="000000"/>
            </w:tcBorders>
            <w:shd w:val="clear" w:color="auto" w:fill="auto"/>
            <w:noWrap/>
          </w:tcPr>
          <w:p w14:paraId="6433FD62" w14:textId="7BE8FCC6" w:rsidR="004C5883" w:rsidRDefault="004C5883" w:rsidP="00895DFE">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CCP</w:t>
            </w:r>
          </w:p>
        </w:tc>
        <w:tc>
          <w:tcPr>
            <w:tcW w:w="8476" w:type="dxa"/>
            <w:tcBorders>
              <w:top w:val="single" w:sz="4" w:space="0" w:color="auto"/>
              <w:left w:val="nil"/>
              <w:bottom w:val="single" w:sz="4" w:space="0" w:color="auto"/>
              <w:right w:val="single" w:sz="4" w:space="0" w:color="auto"/>
            </w:tcBorders>
            <w:shd w:val="clear" w:color="auto" w:fill="auto"/>
          </w:tcPr>
          <w:p w14:paraId="398C8267" w14:textId="0B3DEFDC" w:rsidR="004C5883" w:rsidRPr="00B03E9B" w:rsidRDefault="004C5883" w:rsidP="00895DFE">
            <w:pPr>
              <w:spacing w:after="0"/>
              <w:rPr>
                <w:rFonts w:asciiTheme="minorHAnsi" w:eastAsia="Times New Roman" w:hAnsiTheme="minorHAnsi" w:cstheme="minorHAnsi"/>
                <w:sz w:val="20"/>
                <w:szCs w:val="20"/>
              </w:rPr>
            </w:pPr>
            <w:r w:rsidRPr="00B03E9B">
              <w:rPr>
                <w:rFonts w:asciiTheme="minorHAnsi" w:eastAsia="Times New Roman" w:hAnsiTheme="minorHAnsi" w:cstheme="minorHAnsi"/>
                <w:sz w:val="20"/>
                <w:szCs w:val="20"/>
              </w:rPr>
              <w:t xml:space="preserve">Contraceptive Care Postpartum </w:t>
            </w:r>
            <w:r>
              <w:rPr>
                <w:rFonts w:asciiTheme="minorHAnsi" w:eastAsia="Times New Roman" w:hAnsiTheme="minorHAnsi" w:cstheme="minorHAnsi"/>
                <w:sz w:val="20"/>
                <w:szCs w:val="20"/>
              </w:rPr>
              <w:t xml:space="preserve">Women Ages 21-44- </w:t>
            </w:r>
            <w:r w:rsidRPr="00B03E9B">
              <w:rPr>
                <w:rFonts w:asciiTheme="minorHAnsi" w:eastAsia="Times New Roman" w:hAnsiTheme="minorHAnsi" w:cstheme="minorHAnsi"/>
                <w:sz w:val="20"/>
                <w:szCs w:val="20"/>
              </w:rPr>
              <w:t>LARC – 3 days</w:t>
            </w:r>
          </w:p>
        </w:tc>
        <w:tc>
          <w:tcPr>
            <w:tcW w:w="1107" w:type="dxa"/>
            <w:tcBorders>
              <w:top w:val="single" w:sz="4" w:space="0" w:color="auto"/>
              <w:bottom w:val="single" w:sz="4" w:space="0" w:color="auto"/>
              <w:right w:val="single" w:sz="4" w:space="0" w:color="auto"/>
            </w:tcBorders>
            <w:vAlign w:val="center"/>
          </w:tcPr>
          <w:p w14:paraId="5E795B63" w14:textId="6E64709F" w:rsidR="004C5883" w:rsidRPr="00962971" w:rsidRDefault="004C5883" w:rsidP="00895DFE">
            <w:pPr>
              <w:spacing w:after="0"/>
              <w:jc w:val="center"/>
              <w:rPr>
                <w:rFonts w:asciiTheme="minorHAnsi" w:hAnsiTheme="minorHAnsi" w:cstheme="minorHAnsi"/>
                <w:sz w:val="20"/>
                <w:szCs w:val="20"/>
              </w:rPr>
            </w:pPr>
            <w:r w:rsidRPr="00962971">
              <w:rPr>
                <w:rFonts w:asciiTheme="minorHAnsi" w:hAnsiTheme="minorHAnsi" w:cstheme="minorHAnsi"/>
                <w:sz w:val="20"/>
                <w:szCs w:val="20"/>
              </w:rPr>
              <w:t>5.2%</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E736F2D" w14:textId="437E6CF8" w:rsidR="004C5883" w:rsidRPr="00962971" w:rsidRDefault="004C5883" w:rsidP="00895DFE">
            <w:pPr>
              <w:spacing w:after="0"/>
              <w:jc w:val="center"/>
              <w:rPr>
                <w:rFonts w:asciiTheme="minorHAnsi" w:hAnsiTheme="minorHAnsi" w:cstheme="minorHAnsi"/>
                <w:sz w:val="20"/>
                <w:szCs w:val="20"/>
              </w:rPr>
            </w:pPr>
            <w:r>
              <w:rPr>
                <w:rFonts w:asciiTheme="minorHAnsi" w:hAnsiTheme="minorHAnsi" w:cstheme="minorHAnsi"/>
                <w:sz w:val="20"/>
                <w:szCs w:val="20"/>
              </w:rPr>
              <w:t>4.3%</w:t>
            </w:r>
          </w:p>
        </w:tc>
        <w:tc>
          <w:tcPr>
            <w:tcW w:w="1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D7CEF50" w14:textId="603963DB" w:rsidR="004C5883" w:rsidRPr="00962971" w:rsidRDefault="004C5883" w:rsidP="00895DFE">
            <w:pPr>
              <w:spacing w:after="0"/>
              <w:jc w:val="center"/>
              <w:rPr>
                <w:rFonts w:asciiTheme="minorHAnsi" w:hAnsiTheme="minorHAnsi" w:cstheme="minorHAnsi"/>
                <w:sz w:val="20"/>
                <w:szCs w:val="20"/>
              </w:rPr>
            </w:pPr>
            <w:r>
              <w:rPr>
                <w:rFonts w:asciiTheme="minorHAnsi" w:hAnsiTheme="minorHAnsi" w:cstheme="minorHAnsi"/>
                <w:sz w:val="20"/>
                <w:szCs w:val="20"/>
              </w:rPr>
              <w:t>4.8%</w:t>
            </w:r>
          </w:p>
        </w:tc>
        <w:tc>
          <w:tcPr>
            <w:tcW w:w="1713" w:type="dxa"/>
            <w:tcBorders>
              <w:top w:val="single" w:sz="4" w:space="0" w:color="auto"/>
              <w:left w:val="single" w:sz="4" w:space="0" w:color="auto"/>
              <w:bottom w:val="single" w:sz="4" w:space="0" w:color="000000"/>
              <w:right w:val="single" w:sz="4" w:space="0" w:color="000000"/>
            </w:tcBorders>
            <w:shd w:val="clear" w:color="auto" w:fill="auto"/>
            <w:noWrap/>
          </w:tcPr>
          <w:p w14:paraId="407C658C" w14:textId="7C631E1B" w:rsidR="004C5883" w:rsidRPr="00F61604" w:rsidRDefault="00676B5A" w:rsidP="00895DFE">
            <w:pPr>
              <w:spacing w:after="0"/>
              <w:jc w:val="center"/>
              <w:rPr>
                <w:rFonts w:asciiTheme="minorHAnsi" w:hAnsiTheme="minorHAnsi" w:cstheme="minorHAnsi"/>
                <w:color w:val="FF0000"/>
                <w:sz w:val="20"/>
                <w:szCs w:val="20"/>
              </w:rPr>
            </w:pPr>
            <w:r w:rsidRPr="00676B5A">
              <w:rPr>
                <w:rFonts w:asciiTheme="minorHAnsi" w:hAnsiTheme="minorHAnsi" w:cstheme="minorHAnsi"/>
                <w:sz w:val="20"/>
                <w:szCs w:val="20"/>
              </w:rPr>
              <w:t>0.9%</w:t>
            </w:r>
          </w:p>
        </w:tc>
        <w:tc>
          <w:tcPr>
            <w:tcW w:w="1527" w:type="dxa"/>
            <w:tcBorders>
              <w:top w:val="single" w:sz="4" w:space="0" w:color="auto"/>
              <w:left w:val="nil"/>
              <w:bottom w:val="single" w:sz="4" w:space="0" w:color="000000"/>
              <w:right w:val="single" w:sz="4" w:space="0" w:color="000000"/>
            </w:tcBorders>
            <w:shd w:val="clear" w:color="auto" w:fill="auto"/>
            <w:noWrap/>
          </w:tcPr>
          <w:p w14:paraId="7F508EB0" w14:textId="5CB9A9EC" w:rsidR="004C5883" w:rsidRPr="00F61604" w:rsidRDefault="00676B5A" w:rsidP="00895DFE">
            <w:pPr>
              <w:spacing w:after="0"/>
              <w:jc w:val="center"/>
              <w:rPr>
                <w:rFonts w:asciiTheme="minorHAnsi" w:hAnsiTheme="minorHAnsi" w:cstheme="minorHAnsi"/>
                <w:color w:val="FF0000"/>
                <w:sz w:val="20"/>
                <w:szCs w:val="20"/>
              </w:rPr>
            </w:pPr>
            <w:r w:rsidRPr="00676B5A">
              <w:rPr>
                <w:rFonts w:asciiTheme="minorHAnsi" w:hAnsiTheme="minorHAnsi" w:cstheme="minorHAnsi"/>
                <w:sz w:val="20"/>
                <w:szCs w:val="20"/>
              </w:rPr>
              <w:t>2.1%</w:t>
            </w:r>
          </w:p>
        </w:tc>
        <w:tc>
          <w:tcPr>
            <w:tcW w:w="1250" w:type="dxa"/>
            <w:tcBorders>
              <w:top w:val="single" w:sz="4" w:space="0" w:color="auto"/>
              <w:left w:val="nil"/>
              <w:bottom w:val="single" w:sz="4" w:space="0" w:color="000000"/>
              <w:right w:val="single" w:sz="4" w:space="0" w:color="000000"/>
            </w:tcBorders>
          </w:tcPr>
          <w:p w14:paraId="3178589E" w14:textId="725B94CB" w:rsidR="004C5883" w:rsidRPr="00855FCE" w:rsidRDefault="00676B5A" w:rsidP="00895DFE">
            <w:pPr>
              <w:spacing w:after="0"/>
              <w:jc w:val="center"/>
              <w:rPr>
                <w:rFonts w:asciiTheme="minorHAnsi" w:hAnsiTheme="minorHAnsi" w:cstheme="minorHAnsi"/>
                <w:sz w:val="20"/>
                <w:szCs w:val="20"/>
              </w:rPr>
            </w:pPr>
            <w:r>
              <w:rPr>
                <w:rFonts w:asciiTheme="minorHAnsi" w:hAnsiTheme="minorHAnsi" w:cstheme="minorHAnsi"/>
                <w:sz w:val="20"/>
                <w:szCs w:val="20"/>
              </w:rPr>
              <w:t>3.0%</w:t>
            </w:r>
          </w:p>
        </w:tc>
      </w:tr>
      <w:tr w:rsidR="003352F5" w:rsidRPr="00F26259" w14:paraId="3C460A0A" w14:textId="449CC92A" w:rsidTr="003352F5">
        <w:trPr>
          <w:trHeight w:val="215"/>
          <w:jc w:val="center"/>
        </w:trPr>
        <w:tc>
          <w:tcPr>
            <w:tcW w:w="1368" w:type="dxa"/>
            <w:tcBorders>
              <w:top w:val="single" w:sz="4" w:space="0" w:color="auto"/>
              <w:left w:val="single" w:sz="4" w:space="0" w:color="000000"/>
              <w:bottom w:val="single" w:sz="4" w:space="0" w:color="000000"/>
              <w:right w:val="single" w:sz="4" w:space="0" w:color="000000"/>
            </w:tcBorders>
            <w:shd w:val="clear" w:color="auto" w:fill="auto"/>
            <w:noWrap/>
          </w:tcPr>
          <w:p w14:paraId="6CEA17F9" w14:textId="0DCD9C6E" w:rsidR="004C5883" w:rsidRDefault="004C5883" w:rsidP="00895DFE">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CCP</w:t>
            </w:r>
          </w:p>
        </w:tc>
        <w:tc>
          <w:tcPr>
            <w:tcW w:w="8476" w:type="dxa"/>
            <w:tcBorders>
              <w:top w:val="single" w:sz="4" w:space="0" w:color="auto"/>
              <w:left w:val="nil"/>
              <w:bottom w:val="single" w:sz="4" w:space="0" w:color="auto"/>
              <w:right w:val="single" w:sz="4" w:space="0" w:color="auto"/>
            </w:tcBorders>
            <w:shd w:val="clear" w:color="auto" w:fill="auto"/>
          </w:tcPr>
          <w:p w14:paraId="6BA68E96" w14:textId="1506EEDD" w:rsidR="004C5883" w:rsidRPr="00B03E9B" w:rsidRDefault="004C5883" w:rsidP="00895DFE">
            <w:pPr>
              <w:spacing w:after="0"/>
              <w:rPr>
                <w:rFonts w:asciiTheme="minorHAnsi" w:eastAsia="Times New Roman" w:hAnsiTheme="minorHAnsi" w:cstheme="minorHAnsi"/>
                <w:sz w:val="20"/>
                <w:szCs w:val="20"/>
              </w:rPr>
            </w:pPr>
            <w:r w:rsidRPr="00B03E9B">
              <w:rPr>
                <w:rFonts w:asciiTheme="minorHAnsi" w:eastAsia="Times New Roman" w:hAnsiTheme="minorHAnsi" w:cstheme="minorHAnsi"/>
                <w:sz w:val="20"/>
                <w:szCs w:val="20"/>
              </w:rPr>
              <w:t xml:space="preserve">Contraceptive Care Postpartum </w:t>
            </w:r>
            <w:r>
              <w:rPr>
                <w:rFonts w:asciiTheme="minorHAnsi" w:eastAsia="Times New Roman" w:hAnsiTheme="minorHAnsi" w:cstheme="minorHAnsi"/>
                <w:sz w:val="20"/>
                <w:szCs w:val="20"/>
              </w:rPr>
              <w:t xml:space="preserve">Women Ages 21-44 </w:t>
            </w:r>
            <w:r w:rsidRPr="00B03E9B">
              <w:rPr>
                <w:rFonts w:asciiTheme="minorHAnsi" w:eastAsia="Times New Roman" w:hAnsiTheme="minorHAnsi" w:cstheme="minorHAnsi"/>
                <w:sz w:val="20"/>
                <w:szCs w:val="20"/>
              </w:rPr>
              <w:t>LARC – 60 days</w:t>
            </w:r>
          </w:p>
        </w:tc>
        <w:tc>
          <w:tcPr>
            <w:tcW w:w="1107" w:type="dxa"/>
            <w:tcBorders>
              <w:top w:val="single" w:sz="4" w:space="0" w:color="auto"/>
              <w:bottom w:val="single" w:sz="4" w:space="0" w:color="auto"/>
              <w:right w:val="single" w:sz="4" w:space="0" w:color="auto"/>
            </w:tcBorders>
            <w:vAlign w:val="center"/>
          </w:tcPr>
          <w:p w14:paraId="1B113851" w14:textId="1E418610" w:rsidR="004C5883" w:rsidRPr="00962971" w:rsidRDefault="004C5883" w:rsidP="00895DFE">
            <w:pPr>
              <w:spacing w:after="0"/>
              <w:jc w:val="center"/>
              <w:rPr>
                <w:rFonts w:asciiTheme="minorHAnsi" w:hAnsiTheme="minorHAnsi" w:cstheme="minorHAnsi"/>
                <w:sz w:val="20"/>
                <w:szCs w:val="20"/>
              </w:rPr>
            </w:pPr>
            <w:r w:rsidRPr="00962971">
              <w:rPr>
                <w:rFonts w:asciiTheme="minorHAnsi" w:hAnsiTheme="minorHAnsi" w:cstheme="minorHAnsi"/>
                <w:sz w:val="20"/>
                <w:szCs w:val="20"/>
              </w:rPr>
              <w:t>16.2%</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FB8F651" w14:textId="782E6918" w:rsidR="004C5883" w:rsidRPr="00962971" w:rsidRDefault="004C5883" w:rsidP="00895DFE">
            <w:pPr>
              <w:spacing w:after="0"/>
              <w:jc w:val="center"/>
              <w:rPr>
                <w:rFonts w:asciiTheme="minorHAnsi" w:hAnsiTheme="minorHAnsi" w:cstheme="minorHAnsi"/>
                <w:sz w:val="20"/>
                <w:szCs w:val="20"/>
              </w:rPr>
            </w:pPr>
            <w:r>
              <w:rPr>
                <w:rFonts w:asciiTheme="minorHAnsi" w:hAnsiTheme="minorHAnsi" w:cstheme="minorHAnsi"/>
                <w:sz w:val="20"/>
                <w:szCs w:val="20"/>
              </w:rPr>
              <w:t>16.3%</w:t>
            </w:r>
          </w:p>
        </w:tc>
        <w:tc>
          <w:tcPr>
            <w:tcW w:w="1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5CE7BEF" w14:textId="7AF32AAF" w:rsidR="004C5883" w:rsidRPr="00962971" w:rsidRDefault="004C5883" w:rsidP="00895DFE">
            <w:pPr>
              <w:spacing w:after="0"/>
              <w:jc w:val="center"/>
              <w:rPr>
                <w:rFonts w:asciiTheme="minorHAnsi" w:hAnsiTheme="minorHAnsi" w:cstheme="minorHAnsi"/>
                <w:sz w:val="20"/>
                <w:szCs w:val="20"/>
              </w:rPr>
            </w:pPr>
            <w:r>
              <w:rPr>
                <w:rFonts w:asciiTheme="minorHAnsi" w:hAnsiTheme="minorHAnsi" w:cstheme="minorHAnsi"/>
                <w:sz w:val="20"/>
                <w:szCs w:val="20"/>
              </w:rPr>
              <w:t>NR</w:t>
            </w:r>
          </w:p>
        </w:tc>
        <w:tc>
          <w:tcPr>
            <w:tcW w:w="1713" w:type="dxa"/>
            <w:tcBorders>
              <w:top w:val="single" w:sz="4" w:space="0" w:color="auto"/>
              <w:left w:val="single" w:sz="4" w:space="0" w:color="auto"/>
              <w:bottom w:val="single" w:sz="4" w:space="0" w:color="000000"/>
              <w:right w:val="single" w:sz="4" w:space="0" w:color="000000"/>
            </w:tcBorders>
            <w:shd w:val="clear" w:color="auto" w:fill="auto"/>
            <w:noWrap/>
          </w:tcPr>
          <w:p w14:paraId="19E6A178" w14:textId="13176521" w:rsidR="004C5883" w:rsidRPr="00F61604" w:rsidRDefault="000E093D" w:rsidP="00895DFE">
            <w:pPr>
              <w:spacing w:after="0"/>
              <w:jc w:val="center"/>
              <w:rPr>
                <w:rFonts w:asciiTheme="minorHAnsi" w:hAnsiTheme="minorHAnsi" w:cstheme="minorHAnsi"/>
                <w:color w:val="FF0000"/>
                <w:sz w:val="20"/>
                <w:szCs w:val="20"/>
              </w:rPr>
            </w:pPr>
            <w:r w:rsidRPr="000E093D">
              <w:rPr>
                <w:rFonts w:asciiTheme="minorHAnsi" w:hAnsiTheme="minorHAnsi" w:cstheme="minorHAnsi"/>
                <w:sz w:val="20"/>
                <w:szCs w:val="20"/>
              </w:rPr>
              <w:t>9.1%</w:t>
            </w:r>
          </w:p>
        </w:tc>
        <w:tc>
          <w:tcPr>
            <w:tcW w:w="1527" w:type="dxa"/>
            <w:tcBorders>
              <w:top w:val="single" w:sz="4" w:space="0" w:color="auto"/>
              <w:left w:val="nil"/>
              <w:bottom w:val="single" w:sz="4" w:space="0" w:color="000000"/>
              <w:right w:val="single" w:sz="4" w:space="0" w:color="000000"/>
            </w:tcBorders>
            <w:shd w:val="clear" w:color="auto" w:fill="auto"/>
            <w:noWrap/>
          </w:tcPr>
          <w:p w14:paraId="3FCD2660" w14:textId="3C305A35" w:rsidR="004C5883" w:rsidRPr="00F61604" w:rsidRDefault="000E093D" w:rsidP="00895DFE">
            <w:pPr>
              <w:spacing w:after="0"/>
              <w:jc w:val="center"/>
              <w:rPr>
                <w:rFonts w:asciiTheme="minorHAnsi" w:hAnsiTheme="minorHAnsi" w:cstheme="minorHAnsi"/>
                <w:color w:val="FF0000"/>
                <w:sz w:val="20"/>
                <w:szCs w:val="20"/>
              </w:rPr>
            </w:pPr>
            <w:r w:rsidRPr="000E093D">
              <w:rPr>
                <w:rFonts w:asciiTheme="minorHAnsi" w:hAnsiTheme="minorHAnsi" w:cstheme="minorHAnsi"/>
                <w:sz w:val="20"/>
                <w:szCs w:val="20"/>
              </w:rPr>
              <w:t>11.7%</w:t>
            </w:r>
          </w:p>
        </w:tc>
        <w:tc>
          <w:tcPr>
            <w:tcW w:w="1250" w:type="dxa"/>
            <w:tcBorders>
              <w:top w:val="single" w:sz="4" w:space="0" w:color="auto"/>
              <w:left w:val="nil"/>
              <w:bottom w:val="single" w:sz="4" w:space="0" w:color="000000"/>
              <w:right w:val="single" w:sz="4" w:space="0" w:color="000000"/>
            </w:tcBorders>
          </w:tcPr>
          <w:p w14:paraId="7F262FAD" w14:textId="78C95859" w:rsidR="004C5883" w:rsidRPr="00855FCE" w:rsidRDefault="000E093D" w:rsidP="00895DFE">
            <w:pPr>
              <w:spacing w:after="0"/>
              <w:jc w:val="center"/>
              <w:rPr>
                <w:rFonts w:asciiTheme="minorHAnsi" w:hAnsiTheme="minorHAnsi" w:cstheme="minorHAnsi"/>
                <w:sz w:val="20"/>
                <w:szCs w:val="20"/>
              </w:rPr>
            </w:pPr>
            <w:r>
              <w:rPr>
                <w:rFonts w:asciiTheme="minorHAnsi" w:hAnsiTheme="minorHAnsi" w:cstheme="minorHAnsi"/>
                <w:sz w:val="20"/>
                <w:szCs w:val="20"/>
              </w:rPr>
              <w:t>13.9%</w:t>
            </w:r>
          </w:p>
        </w:tc>
      </w:tr>
      <w:tr w:rsidR="003352F5" w:rsidRPr="00F26259" w14:paraId="7C662E42" w14:textId="2658C587" w:rsidTr="003352F5">
        <w:trPr>
          <w:trHeight w:val="215"/>
          <w:jc w:val="center"/>
        </w:trPr>
        <w:tc>
          <w:tcPr>
            <w:tcW w:w="1368" w:type="dxa"/>
            <w:tcBorders>
              <w:top w:val="single" w:sz="4" w:space="0" w:color="auto"/>
              <w:left w:val="single" w:sz="4" w:space="0" w:color="000000"/>
              <w:bottom w:val="single" w:sz="4" w:space="0" w:color="000000"/>
              <w:right w:val="single" w:sz="4" w:space="0" w:color="000000"/>
            </w:tcBorders>
            <w:shd w:val="clear" w:color="auto" w:fill="auto"/>
            <w:noWrap/>
          </w:tcPr>
          <w:p w14:paraId="0A39E529" w14:textId="3762189B" w:rsidR="004C5883" w:rsidRDefault="004C5883" w:rsidP="002B34C8">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CCW</w:t>
            </w:r>
          </w:p>
        </w:tc>
        <w:tc>
          <w:tcPr>
            <w:tcW w:w="8476" w:type="dxa"/>
            <w:tcBorders>
              <w:top w:val="single" w:sz="4" w:space="0" w:color="auto"/>
              <w:left w:val="nil"/>
              <w:bottom w:val="single" w:sz="4" w:space="0" w:color="auto"/>
              <w:right w:val="single" w:sz="4" w:space="0" w:color="auto"/>
            </w:tcBorders>
            <w:shd w:val="clear" w:color="auto" w:fill="auto"/>
          </w:tcPr>
          <w:p w14:paraId="6A190F10" w14:textId="70F60DE3" w:rsidR="004C5883" w:rsidRPr="00B03E9B" w:rsidRDefault="004C5883" w:rsidP="002B34C8">
            <w:pPr>
              <w:spacing w:after="0"/>
              <w:rPr>
                <w:rFonts w:asciiTheme="minorHAnsi" w:eastAsia="Times New Roman" w:hAnsiTheme="minorHAnsi" w:cstheme="minorHAnsi"/>
                <w:sz w:val="20"/>
                <w:szCs w:val="20"/>
              </w:rPr>
            </w:pPr>
            <w:r w:rsidRPr="00B03E9B">
              <w:rPr>
                <w:rFonts w:asciiTheme="minorHAnsi" w:eastAsia="Times New Roman" w:hAnsiTheme="minorHAnsi" w:cstheme="minorHAnsi"/>
                <w:sz w:val="20"/>
                <w:szCs w:val="20"/>
              </w:rPr>
              <w:t>Contraceptive Care All Women Ages 21-44: Most/Moderately Effective</w:t>
            </w:r>
          </w:p>
        </w:tc>
        <w:tc>
          <w:tcPr>
            <w:tcW w:w="1107" w:type="dxa"/>
            <w:tcBorders>
              <w:top w:val="single" w:sz="4" w:space="0" w:color="auto"/>
              <w:bottom w:val="single" w:sz="4" w:space="0" w:color="auto"/>
              <w:right w:val="single" w:sz="4" w:space="0" w:color="auto"/>
            </w:tcBorders>
            <w:vAlign w:val="center"/>
          </w:tcPr>
          <w:p w14:paraId="42DF4515" w14:textId="52C0E8DB" w:rsidR="004C5883" w:rsidRPr="00962971" w:rsidRDefault="004C5883" w:rsidP="002B34C8">
            <w:pPr>
              <w:spacing w:after="0"/>
              <w:jc w:val="center"/>
              <w:rPr>
                <w:rFonts w:asciiTheme="minorHAnsi" w:hAnsiTheme="minorHAnsi" w:cstheme="minorHAnsi"/>
                <w:sz w:val="20"/>
                <w:szCs w:val="20"/>
              </w:rPr>
            </w:pPr>
            <w:r w:rsidRPr="00962971">
              <w:rPr>
                <w:rFonts w:asciiTheme="minorHAnsi" w:hAnsiTheme="minorHAnsi" w:cstheme="minorHAnsi"/>
                <w:sz w:val="20"/>
                <w:szCs w:val="20"/>
              </w:rPr>
              <w:t>19.7%</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E63C95A" w14:textId="20994AE1" w:rsidR="004C5883" w:rsidRPr="00962971" w:rsidRDefault="004C5883" w:rsidP="002B34C8">
            <w:pPr>
              <w:spacing w:after="0"/>
              <w:jc w:val="center"/>
              <w:rPr>
                <w:rFonts w:asciiTheme="minorHAnsi" w:hAnsiTheme="minorHAnsi" w:cstheme="minorHAnsi"/>
                <w:sz w:val="20"/>
                <w:szCs w:val="20"/>
              </w:rPr>
            </w:pPr>
            <w:r>
              <w:rPr>
                <w:rFonts w:asciiTheme="minorHAnsi" w:hAnsiTheme="minorHAnsi" w:cstheme="minorHAnsi"/>
                <w:sz w:val="20"/>
                <w:szCs w:val="20"/>
              </w:rPr>
              <w:t>16.9%</w:t>
            </w:r>
          </w:p>
        </w:tc>
        <w:tc>
          <w:tcPr>
            <w:tcW w:w="1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5307B28" w14:textId="06989605" w:rsidR="004C5883" w:rsidRPr="00962971" w:rsidRDefault="004C5883" w:rsidP="002B34C8">
            <w:pPr>
              <w:spacing w:after="0"/>
              <w:jc w:val="center"/>
              <w:rPr>
                <w:rFonts w:asciiTheme="minorHAnsi" w:hAnsiTheme="minorHAnsi" w:cstheme="minorHAnsi"/>
                <w:sz w:val="20"/>
                <w:szCs w:val="20"/>
              </w:rPr>
            </w:pPr>
            <w:r>
              <w:rPr>
                <w:rFonts w:asciiTheme="minorHAnsi" w:hAnsiTheme="minorHAnsi" w:cstheme="minorHAnsi"/>
                <w:sz w:val="20"/>
                <w:szCs w:val="20"/>
              </w:rPr>
              <w:t>27.4%</w:t>
            </w:r>
          </w:p>
        </w:tc>
        <w:tc>
          <w:tcPr>
            <w:tcW w:w="1713"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0CAA1E4E" w14:textId="53CE7F22" w:rsidR="004C5883" w:rsidRPr="00F61604" w:rsidRDefault="00DD0DC5" w:rsidP="002B34C8">
            <w:pPr>
              <w:spacing w:after="0"/>
              <w:jc w:val="center"/>
              <w:rPr>
                <w:rFonts w:asciiTheme="minorHAnsi" w:hAnsiTheme="minorHAnsi" w:cstheme="minorHAnsi"/>
                <w:color w:val="FF0000"/>
                <w:sz w:val="20"/>
                <w:szCs w:val="20"/>
              </w:rPr>
            </w:pPr>
            <w:r w:rsidRPr="00DD0DC5">
              <w:rPr>
                <w:rFonts w:asciiTheme="minorHAnsi" w:hAnsiTheme="minorHAnsi" w:cstheme="minorHAnsi"/>
                <w:sz w:val="20"/>
                <w:szCs w:val="20"/>
              </w:rPr>
              <w:t>21.2%</w:t>
            </w:r>
          </w:p>
        </w:tc>
        <w:tc>
          <w:tcPr>
            <w:tcW w:w="1527" w:type="dxa"/>
            <w:tcBorders>
              <w:top w:val="single" w:sz="4" w:space="0" w:color="auto"/>
              <w:left w:val="nil"/>
              <w:bottom w:val="single" w:sz="4" w:space="0" w:color="000000"/>
              <w:right w:val="single" w:sz="4" w:space="0" w:color="000000"/>
            </w:tcBorders>
            <w:shd w:val="clear" w:color="auto" w:fill="auto"/>
            <w:noWrap/>
            <w:vAlign w:val="center"/>
          </w:tcPr>
          <w:p w14:paraId="755942D7" w14:textId="453E26DD" w:rsidR="004C5883" w:rsidRPr="00F61604" w:rsidRDefault="00DD0DC5" w:rsidP="002B34C8">
            <w:pPr>
              <w:spacing w:after="0"/>
              <w:jc w:val="center"/>
              <w:rPr>
                <w:rFonts w:asciiTheme="minorHAnsi" w:hAnsiTheme="minorHAnsi" w:cstheme="minorHAnsi"/>
                <w:color w:val="FF0000"/>
                <w:sz w:val="20"/>
                <w:szCs w:val="20"/>
              </w:rPr>
            </w:pPr>
            <w:r w:rsidRPr="00DD0DC5">
              <w:rPr>
                <w:rFonts w:asciiTheme="minorHAnsi" w:hAnsiTheme="minorHAnsi" w:cstheme="minorHAnsi"/>
                <w:sz w:val="20"/>
                <w:szCs w:val="20"/>
              </w:rPr>
              <w:t>23.9%</w:t>
            </w:r>
          </w:p>
        </w:tc>
        <w:tc>
          <w:tcPr>
            <w:tcW w:w="1250" w:type="dxa"/>
            <w:tcBorders>
              <w:top w:val="single" w:sz="4" w:space="0" w:color="auto"/>
              <w:left w:val="nil"/>
              <w:bottom w:val="single" w:sz="4" w:space="0" w:color="000000"/>
              <w:right w:val="single" w:sz="4" w:space="0" w:color="000000"/>
            </w:tcBorders>
          </w:tcPr>
          <w:p w14:paraId="4C81934E" w14:textId="2BFF3792" w:rsidR="004C5883" w:rsidRDefault="00DD0DC5" w:rsidP="002B34C8">
            <w:pPr>
              <w:spacing w:after="0"/>
              <w:jc w:val="center"/>
              <w:rPr>
                <w:rFonts w:asciiTheme="minorHAnsi" w:hAnsiTheme="minorHAnsi" w:cstheme="minorHAnsi"/>
                <w:sz w:val="20"/>
                <w:szCs w:val="20"/>
              </w:rPr>
            </w:pPr>
            <w:r>
              <w:rPr>
                <w:rFonts w:asciiTheme="minorHAnsi" w:hAnsiTheme="minorHAnsi" w:cstheme="minorHAnsi"/>
                <w:sz w:val="20"/>
                <w:szCs w:val="20"/>
              </w:rPr>
              <w:t>25.9%</w:t>
            </w:r>
          </w:p>
        </w:tc>
      </w:tr>
      <w:tr w:rsidR="003352F5" w:rsidRPr="00F26259" w14:paraId="0AF32646" w14:textId="46936B06" w:rsidTr="003352F5">
        <w:trPr>
          <w:trHeight w:val="215"/>
          <w:jc w:val="center"/>
        </w:trPr>
        <w:tc>
          <w:tcPr>
            <w:tcW w:w="1368" w:type="dxa"/>
            <w:tcBorders>
              <w:top w:val="single" w:sz="4" w:space="0" w:color="auto"/>
              <w:left w:val="single" w:sz="4" w:space="0" w:color="000000"/>
              <w:bottom w:val="single" w:sz="4" w:space="0" w:color="000000"/>
              <w:right w:val="single" w:sz="4" w:space="0" w:color="000000"/>
            </w:tcBorders>
            <w:shd w:val="clear" w:color="auto" w:fill="auto"/>
            <w:noWrap/>
          </w:tcPr>
          <w:p w14:paraId="1B90CCB1" w14:textId="0DF6A8AF" w:rsidR="004C5883" w:rsidRDefault="004C5883" w:rsidP="002B34C8">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CCW</w:t>
            </w:r>
          </w:p>
        </w:tc>
        <w:tc>
          <w:tcPr>
            <w:tcW w:w="8476" w:type="dxa"/>
            <w:tcBorders>
              <w:top w:val="single" w:sz="4" w:space="0" w:color="auto"/>
              <w:left w:val="nil"/>
              <w:bottom w:val="single" w:sz="4" w:space="0" w:color="auto"/>
              <w:right w:val="single" w:sz="4" w:space="0" w:color="auto"/>
            </w:tcBorders>
            <w:shd w:val="clear" w:color="auto" w:fill="auto"/>
          </w:tcPr>
          <w:p w14:paraId="1D095C5F" w14:textId="31FDCEDF" w:rsidR="004C5883" w:rsidRPr="00B03E9B" w:rsidRDefault="004C5883" w:rsidP="002B34C8">
            <w:pPr>
              <w:spacing w:after="0"/>
              <w:rPr>
                <w:rFonts w:asciiTheme="minorHAnsi" w:eastAsia="Times New Roman" w:hAnsiTheme="minorHAnsi" w:cstheme="minorHAnsi"/>
                <w:sz w:val="20"/>
                <w:szCs w:val="20"/>
              </w:rPr>
            </w:pPr>
            <w:r w:rsidRPr="00B03E9B">
              <w:rPr>
                <w:rFonts w:asciiTheme="minorHAnsi" w:eastAsia="Times New Roman" w:hAnsiTheme="minorHAnsi" w:cstheme="minorHAnsi"/>
                <w:sz w:val="20"/>
                <w:szCs w:val="20"/>
              </w:rPr>
              <w:t xml:space="preserve">Contraceptive Care All Women Ages 21-44: </w:t>
            </w:r>
            <w:r>
              <w:rPr>
                <w:rFonts w:asciiTheme="minorHAnsi" w:eastAsia="Times New Roman" w:hAnsiTheme="minorHAnsi" w:cstheme="minorHAnsi"/>
                <w:sz w:val="20"/>
                <w:szCs w:val="20"/>
              </w:rPr>
              <w:t>LARC</w:t>
            </w:r>
          </w:p>
        </w:tc>
        <w:tc>
          <w:tcPr>
            <w:tcW w:w="1107" w:type="dxa"/>
            <w:tcBorders>
              <w:top w:val="single" w:sz="4" w:space="0" w:color="auto"/>
              <w:bottom w:val="single" w:sz="4" w:space="0" w:color="auto"/>
              <w:right w:val="single" w:sz="4" w:space="0" w:color="auto"/>
            </w:tcBorders>
            <w:vAlign w:val="center"/>
          </w:tcPr>
          <w:p w14:paraId="0B297996" w14:textId="1210736F" w:rsidR="004C5883" w:rsidRPr="00962971" w:rsidRDefault="004C5883" w:rsidP="002B34C8">
            <w:pPr>
              <w:spacing w:after="0"/>
              <w:jc w:val="center"/>
              <w:rPr>
                <w:rFonts w:asciiTheme="minorHAnsi" w:hAnsiTheme="minorHAnsi" w:cstheme="minorHAnsi"/>
                <w:sz w:val="20"/>
                <w:szCs w:val="20"/>
              </w:rPr>
            </w:pPr>
            <w:r>
              <w:rPr>
                <w:rFonts w:asciiTheme="minorHAnsi" w:hAnsiTheme="minorHAnsi" w:cstheme="minorHAnsi"/>
                <w:sz w:val="20"/>
                <w:szCs w:val="20"/>
              </w:rPr>
              <w:t>5.7%</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12A377F" w14:textId="3C22E9F2" w:rsidR="004C5883" w:rsidRPr="00962971" w:rsidRDefault="004C5883" w:rsidP="002B34C8">
            <w:pPr>
              <w:spacing w:after="0"/>
              <w:jc w:val="center"/>
              <w:rPr>
                <w:rFonts w:asciiTheme="minorHAnsi" w:hAnsiTheme="minorHAnsi" w:cstheme="minorHAnsi"/>
                <w:sz w:val="20"/>
                <w:szCs w:val="20"/>
              </w:rPr>
            </w:pPr>
            <w:r>
              <w:rPr>
                <w:rFonts w:asciiTheme="minorHAnsi" w:hAnsiTheme="minorHAnsi" w:cstheme="minorHAnsi"/>
                <w:sz w:val="20"/>
                <w:szCs w:val="20"/>
              </w:rPr>
              <w:t>4.8%</w:t>
            </w:r>
          </w:p>
        </w:tc>
        <w:tc>
          <w:tcPr>
            <w:tcW w:w="1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B9FF254" w14:textId="08633849" w:rsidR="004C5883" w:rsidRPr="00962971" w:rsidRDefault="004C5883" w:rsidP="002B34C8">
            <w:pPr>
              <w:spacing w:after="0"/>
              <w:jc w:val="center"/>
              <w:rPr>
                <w:rFonts w:asciiTheme="minorHAnsi" w:hAnsiTheme="minorHAnsi" w:cstheme="minorHAnsi"/>
                <w:sz w:val="20"/>
                <w:szCs w:val="20"/>
              </w:rPr>
            </w:pPr>
            <w:r>
              <w:rPr>
                <w:rFonts w:asciiTheme="minorHAnsi" w:hAnsiTheme="minorHAnsi" w:cstheme="minorHAnsi"/>
                <w:sz w:val="20"/>
                <w:szCs w:val="20"/>
              </w:rPr>
              <w:t>5.4%</w:t>
            </w:r>
          </w:p>
        </w:tc>
        <w:tc>
          <w:tcPr>
            <w:tcW w:w="1713"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22206FA3" w14:textId="64365259" w:rsidR="004C5883" w:rsidRPr="00F61604" w:rsidRDefault="002A230B" w:rsidP="002B34C8">
            <w:pPr>
              <w:spacing w:after="0"/>
              <w:jc w:val="center"/>
              <w:rPr>
                <w:rFonts w:asciiTheme="minorHAnsi" w:hAnsiTheme="minorHAnsi" w:cstheme="minorHAnsi"/>
                <w:color w:val="FF0000"/>
                <w:sz w:val="20"/>
                <w:szCs w:val="20"/>
              </w:rPr>
            </w:pPr>
            <w:r w:rsidRPr="002A230B">
              <w:rPr>
                <w:rFonts w:asciiTheme="minorHAnsi" w:hAnsiTheme="minorHAnsi" w:cstheme="minorHAnsi"/>
                <w:sz w:val="20"/>
                <w:szCs w:val="20"/>
              </w:rPr>
              <w:t>3.5%</w:t>
            </w:r>
          </w:p>
        </w:tc>
        <w:tc>
          <w:tcPr>
            <w:tcW w:w="1527" w:type="dxa"/>
            <w:tcBorders>
              <w:top w:val="single" w:sz="4" w:space="0" w:color="auto"/>
              <w:left w:val="nil"/>
              <w:bottom w:val="single" w:sz="4" w:space="0" w:color="000000"/>
              <w:right w:val="single" w:sz="4" w:space="0" w:color="000000"/>
            </w:tcBorders>
            <w:shd w:val="clear" w:color="auto" w:fill="auto"/>
            <w:noWrap/>
            <w:vAlign w:val="center"/>
          </w:tcPr>
          <w:p w14:paraId="51678200" w14:textId="576A9CFB" w:rsidR="004C5883" w:rsidRPr="00F61604" w:rsidRDefault="002A230B" w:rsidP="002B34C8">
            <w:pPr>
              <w:spacing w:after="0"/>
              <w:jc w:val="center"/>
              <w:rPr>
                <w:rFonts w:asciiTheme="minorHAnsi" w:hAnsiTheme="minorHAnsi" w:cstheme="minorHAnsi"/>
                <w:color w:val="FF0000"/>
                <w:sz w:val="20"/>
                <w:szCs w:val="20"/>
              </w:rPr>
            </w:pPr>
            <w:r w:rsidRPr="002A230B">
              <w:rPr>
                <w:rFonts w:asciiTheme="minorHAnsi" w:hAnsiTheme="minorHAnsi" w:cstheme="minorHAnsi"/>
                <w:sz w:val="20"/>
                <w:szCs w:val="20"/>
              </w:rPr>
              <w:t>4.3%</w:t>
            </w:r>
          </w:p>
        </w:tc>
        <w:tc>
          <w:tcPr>
            <w:tcW w:w="1250" w:type="dxa"/>
            <w:tcBorders>
              <w:top w:val="single" w:sz="4" w:space="0" w:color="auto"/>
              <w:left w:val="nil"/>
              <w:bottom w:val="single" w:sz="4" w:space="0" w:color="000000"/>
              <w:right w:val="single" w:sz="4" w:space="0" w:color="000000"/>
            </w:tcBorders>
          </w:tcPr>
          <w:p w14:paraId="70EDF91C" w14:textId="38E97E6C" w:rsidR="004C5883" w:rsidRDefault="002A230B" w:rsidP="002B34C8">
            <w:pPr>
              <w:spacing w:after="0"/>
              <w:jc w:val="center"/>
              <w:rPr>
                <w:rFonts w:asciiTheme="minorHAnsi" w:hAnsiTheme="minorHAnsi" w:cstheme="minorHAnsi"/>
                <w:sz w:val="20"/>
                <w:szCs w:val="20"/>
              </w:rPr>
            </w:pPr>
            <w:r>
              <w:rPr>
                <w:rFonts w:asciiTheme="minorHAnsi" w:hAnsiTheme="minorHAnsi" w:cstheme="minorHAnsi"/>
                <w:sz w:val="20"/>
                <w:szCs w:val="20"/>
              </w:rPr>
              <w:t>5.8%</w:t>
            </w:r>
          </w:p>
        </w:tc>
      </w:tr>
      <w:tr w:rsidR="003352F5" w:rsidRPr="00F26259" w14:paraId="2C14B3E6" w14:textId="4CB51AF8" w:rsidTr="003352F5">
        <w:trPr>
          <w:trHeight w:val="215"/>
          <w:jc w:val="center"/>
        </w:trPr>
        <w:tc>
          <w:tcPr>
            <w:tcW w:w="1368" w:type="dxa"/>
            <w:tcBorders>
              <w:top w:val="single" w:sz="4" w:space="0" w:color="auto"/>
              <w:left w:val="single" w:sz="4" w:space="0" w:color="000000"/>
              <w:bottom w:val="single" w:sz="4" w:space="0" w:color="000000"/>
              <w:right w:val="single" w:sz="4" w:space="0" w:color="000000"/>
            </w:tcBorders>
            <w:shd w:val="clear" w:color="auto" w:fill="auto"/>
            <w:noWrap/>
          </w:tcPr>
          <w:p w14:paraId="21740857" w14:textId="2DED35E7" w:rsidR="004C5883" w:rsidRDefault="004C5883" w:rsidP="002B34C8">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FUA</w:t>
            </w:r>
          </w:p>
        </w:tc>
        <w:tc>
          <w:tcPr>
            <w:tcW w:w="8476" w:type="dxa"/>
            <w:tcBorders>
              <w:top w:val="single" w:sz="4" w:space="0" w:color="auto"/>
              <w:left w:val="nil"/>
              <w:bottom w:val="single" w:sz="4" w:space="0" w:color="auto"/>
              <w:right w:val="single" w:sz="4" w:space="0" w:color="auto"/>
            </w:tcBorders>
            <w:shd w:val="clear" w:color="auto" w:fill="auto"/>
          </w:tcPr>
          <w:p w14:paraId="7B70A36E" w14:textId="5079E624" w:rsidR="004C5883" w:rsidRPr="00B03E9B" w:rsidRDefault="004C5883" w:rsidP="002B34C8">
            <w:pPr>
              <w:rPr>
                <w:rFonts w:eastAsia="Times New Roman" w:cs="Calibri"/>
                <w:color w:val="000000"/>
                <w:sz w:val="20"/>
                <w:szCs w:val="20"/>
              </w:rPr>
            </w:pPr>
            <w:r w:rsidRPr="00B03E9B">
              <w:rPr>
                <w:rFonts w:cs="Calibri"/>
                <w:color w:val="000000"/>
                <w:sz w:val="20"/>
                <w:szCs w:val="20"/>
              </w:rPr>
              <w:t xml:space="preserve">Follow-up After Emergency Department Visit for Alcohol and Other Drug Abuse or Dependence – 7 </w:t>
            </w:r>
            <w:proofErr w:type="gramStart"/>
            <w:r w:rsidRPr="00B03E9B">
              <w:rPr>
                <w:rFonts w:cs="Calibri"/>
                <w:color w:val="000000"/>
                <w:sz w:val="20"/>
                <w:szCs w:val="20"/>
              </w:rPr>
              <w:t>day</w:t>
            </w:r>
            <w:proofErr w:type="gramEnd"/>
          </w:p>
        </w:tc>
        <w:tc>
          <w:tcPr>
            <w:tcW w:w="1107" w:type="dxa"/>
            <w:tcBorders>
              <w:top w:val="single" w:sz="4" w:space="0" w:color="auto"/>
              <w:bottom w:val="single" w:sz="4" w:space="0" w:color="auto"/>
              <w:right w:val="single" w:sz="4" w:space="0" w:color="auto"/>
            </w:tcBorders>
            <w:vAlign w:val="center"/>
          </w:tcPr>
          <w:p w14:paraId="544DBA71" w14:textId="4DB1F99E" w:rsidR="004C5883" w:rsidRPr="004A1A02" w:rsidRDefault="004C5883" w:rsidP="002B34C8">
            <w:pPr>
              <w:spacing w:after="0"/>
              <w:jc w:val="center"/>
              <w:rPr>
                <w:rFonts w:asciiTheme="minorHAnsi" w:hAnsiTheme="minorHAnsi" w:cstheme="minorHAnsi"/>
                <w:sz w:val="20"/>
                <w:szCs w:val="20"/>
              </w:rPr>
            </w:pPr>
            <w:r w:rsidRPr="004A1A02">
              <w:rPr>
                <w:rFonts w:asciiTheme="minorHAnsi" w:hAnsiTheme="minorHAnsi" w:cstheme="minorHAnsi"/>
                <w:sz w:val="20"/>
                <w:szCs w:val="20"/>
              </w:rPr>
              <w:t>22.9%</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B3AAB26" w14:textId="31AD5ACB" w:rsidR="004C5883" w:rsidRPr="004A1A02" w:rsidRDefault="004C5883" w:rsidP="002B34C8">
            <w:pPr>
              <w:spacing w:after="0"/>
              <w:jc w:val="center"/>
              <w:rPr>
                <w:rFonts w:asciiTheme="minorHAnsi" w:hAnsiTheme="minorHAnsi" w:cstheme="minorHAnsi"/>
                <w:sz w:val="20"/>
                <w:szCs w:val="20"/>
              </w:rPr>
            </w:pPr>
            <w:r>
              <w:rPr>
                <w:rFonts w:asciiTheme="minorHAnsi" w:hAnsiTheme="minorHAnsi" w:cstheme="minorHAnsi"/>
                <w:sz w:val="20"/>
                <w:szCs w:val="20"/>
              </w:rPr>
              <w:t>21.3%</w:t>
            </w:r>
          </w:p>
        </w:tc>
        <w:tc>
          <w:tcPr>
            <w:tcW w:w="1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4C491C5" w14:textId="1AF5FE96" w:rsidR="004C5883" w:rsidRPr="004A1A02" w:rsidRDefault="004C5883" w:rsidP="002B34C8">
            <w:pPr>
              <w:spacing w:after="0"/>
              <w:jc w:val="center"/>
              <w:rPr>
                <w:rFonts w:asciiTheme="minorHAnsi" w:hAnsiTheme="minorHAnsi" w:cstheme="minorHAnsi"/>
                <w:sz w:val="20"/>
                <w:szCs w:val="20"/>
              </w:rPr>
            </w:pPr>
            <w:r>
              <w:rPr>
                <w:rFonts w:asciiTheme="minorHAnsi" w:hAnsiTheme="minorHAnsi" w:cstheme="minorHAnsi"/>
                <w:sz w:val="20"/>
                <w:szCs w:val="20"/>
              </w:rPr>
              <w:t>43.1%</w:t>
            </w:r>
          </w:p>
        </w:tc>
        <w:tc>
          <w:tcPr>
            <w:tcW w:w="1713"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4D0405B9" w14:textId="06909547" w:rsidR="004C5883" w:rsidRPr="00F61604" w:rsidRDefault="00B25902" w:rsidP="002B34C8">
            <w:pPr>
              <w:spacing w:after="0"/>
              <w:jc w:val="center"/>
              <w:rPr>
                <w:rFonts w:asciiTheme="minorHAnsi" w:hAnsiTheme="minorHAnsi" w:cstheme="minorHAnsi"/>
                <w:color w:val="FF0000"/>
                <w:sz w:val="20"/>
                <w:szCs w:val="20"/>
              </w:rPr>
            </w:pPr>
            <w:r w:rsidRPr="00B25902">
              <w:rPr>
                <w:rFonts w:asciiTheme="minorHAnsi" w:hAnsiTheme="minorHAnsi" w:cstheme="minorHAnsi"/>
                <w:sz w:val="20"/>
                <w:szCs w:val="20"/>
              </w:rPr>
              <w:t>10.9%</w:t>
            </w:r>
          </w:p>
        </w:tc>
        <w:tc>
          <w:tcPr>
            <w:tcW w:w="1527" w:type="dxa"/>
            <w:tcBorders>
              <w:top w:val="single" w:sz="4" w:space="0" w:color="auto"/>
              <w:left w:val="nil"/>
              <w:bottom w:val="single" w:sz="4" w:space="0" w:color="000000"/>
              <w:right w:val="single" w:sz="4" w:space="0" w:color="000000"/>
            </w:tcBorders>
            <w:shd w:val="clear" w:color="auto" w:fill="auto"/>
            <w:noWrap/>
            <w:vAlign w:val="center"/>
          </w:tcPr>
          <w:p w14:paraId="2E5C7581" w14:textId="16FDF4DB" w:rsidR="004C5883" w:rsidRPr="00F61604" w:rsidRDefault="00B25902" w:rsidP="002B34C8">
            <w:pPr>
              <w:spacing w:after="0"/>
              <w:jc w:val="center"/>
              <w:rPr>
                <w:rFonts w:asciiTheme="minorHAnsi" w:hAnsiTheme="minorHAnsi" w:cstheme="minorHAnsi"/>
                <w:color w:val="FF0000"/>
                <w:sz w:val="20"/>
                <w:szCs w:val="20"/>
              </w:rPr>
            </w:pPr>
            <w:r w:rsidRPr="00B25902">
              <w:rPr>
                <w:rFonts w:asciiTheme="minorHAnsi" w:hAnsiTheme="minorHAnsi" w:cstheme="minorHAnsi"/>
                <w:sz w:val="20"/>
                <w:szCs w:val="20"/>
              </w:rPr>
              <w:t>15.5</w:t>
            </w:r>
            <w:r w:rsidR="004C5883" w:rsidRPr="00B25902">
              <w:rPr>
                <w:rFonts w:asciiTheme="minorHAnsi" w:hAnsiTheme="minorHAnsi" w:cstheme="minorHAnsi"/>
                <w:sz w:val="20"/>
                <w:szCs w:val="20"/>
              </w:rPr>
              <w:t>%</w:t>
            </w:r>
          </w:p>
        </w:tc>
        <w:tc>
          <w:tcPr>
            <w:tcW w:w="1250" w:type="dxa"/>
            <w:tcBorders>
              <w:top w:val="single" w:sz="4" w:space="0" w:color="auto"/>
              <w:left w:val="nil"/>
              <w:bottom w:val="single" w:sz="4" w:space="0" w:color="000000"/>
              <w:right w:val="single" w:sz="4" w:space="0" w:color="000000"/>
            </w:tcBorders>
          </w:tcPr>
          <w:p w14:paraId="55B26F5A" w14:textId="77777777" w:rsidR="004C5883" w:rsidRDefault="004C5883" w:rsidP="002B34C8">
            <w:pPr>
              <w:spacing w:after="0"/>
              <w:jc w:val="center"/>
              <w:rPr>
                <w:rFonts w:asciiTheme="minorHAnsi" w:hAnsiTheme="minorHAnsi" w:cstheme="minorHAnsi"/>
                <w:sz w:val="20"/>
                <w:szCs w:val="20"/>
              </w:rPr>
            </w:pPr>
          </w:p>
          <w:p w14:paraId="506EE7F6" w14:textId="0297810D" w:rsidR="00B25902" w:rsidRPr="00B25902" w:rsidRDefault="00B25902" w:rsidP="00B25902">
            <w:pPr>
              <w:jc w:val="center"/>
              <w:rPr>
                <w:rFonts w:asciiTheme="minorHAnsi" w:hAnsiTheme="minorHAnsi" w:cstheme="minorHAnsi"/>
                <w:sz w:val="20"/>
                <w:szCs w:val="20"/>
              </w:rPr>
            </w:pPr>
            <w:r>
              <w:rPr>
                <w:rFonts w:asciiTheme="minorHAnsi" w:hAnsiTheme="minorHAnsi" w:cstheme="minorHAnsi"/>
                <w:sz w:val="20"/>
                <w:szCs w:val="20"/>
              </w:rPr>
              <w:t>19.1%</w:t>
            </w:r>
          </w:p>
        </w:tc>
      </w:tr>
      <w:tr w:rsidR="003352F5" w:rsidRPr="00F26259" w14:paraId="21CFEB7C" w14:textId="2C4354F0" w:rsidTr="003352F5">
        <w:trPr>
          <w:trHeight w:val="215"/>
          <w:jc w:val="center"/>
        </w:trPr>
        <w:tc>
          <w:tcPr>
            <w:tcW w:w="1368" w:type="dxa"/>
            <w:tcBorders>
              <w:top w:val="single" w:sz="4" w:space="0" w:color="auto"/>
              <w:left w:val="single" w:sz="4" w:space="0" w:color="000000"/>
              <w:bottom w:val="single" w:sz="4" w:space="0" w:color="000000"/>
              <w:right w:val="single" w:sz="4" w:space="0" w:color="000000"/>
            </w:tcBorders>
            <w:shd w:val="clear" w:color="auto" w:fill="auto"/>
            <w:noWrap/>
          </w:tcPr>
          <w:p w14:paraId="21DA5A42" w14:textId="7BFF4AAC" w:rsidR="004C5883" w:rsidRDefault="004C5883" w:rsidP="002B34C8">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FUA</w:t>
            </w:r>
          </w:p>
        </w:tc>
        <w:tc>
          <w:tcPr>
            <w:tcW w:w="8476" w:type="dxa"/>
            <w:tcBorders>
              <w:top w:val="single" w:sz="4" w:space="0" w:color="auto"/>
              <w:left w:val="nil"/>
              <w:bottom w:val="single" w:sz="4" w:space="0" w:color="auto"/>
              <w:right w:val="single" w:sz="4" w:space="0" w:color="auto"/>
            </w:tcBorders>
            <w:shd w:val="clear" w:color="auto" w:fill="auto"/>
          </w:tcPr>
          <w:p w14:paraId="50C5640D" w14:textId="0456BCCA" w:rsidR="004C5883" w:rsidRPr="00B03E9B" w:rsidRDefault="004C5883" w:rsidP="002B34C8">
            <w:pPr>
              <w:spacing w:after="0"/>
              <w:rPr>
                <w:rFonts w:cs="Calibri"/>
                <w:color w:val="000000"/>
                <w:sz w:val="20"/>
                <w:szCs w:val="20"/>
              </w:rPr>
            </w:pPr>
            <w:r w:rsidRPr="00B03E9B">
              <w:rPr>
                <w:rFonts w:cs="Calibri"/>
                <w:color w:val="000000"/>
                <w:sz w:val="20"/>
                <w:szCs w:val="20"/>
              </w:rPr>
              <w:t xml:space="preserve">Follow-up After Emergency Department Visit for Alcohol and Other Drug Abuse or Dependence – 30 </w:t>
            </w:r>
            <w:proofErr w:type="gramStart"/>
            <w:r w:rsidRPr="00B03E9B">
              <w:rPr>
                <w:rFonts w:cs="Calibri"/>
                <w:color w:val="000000"/>
                <w:sz w:val="20"/>
                <w:szCs w:val="20"/>
              </w:rPr>
              <w:t>day</w:t>
            </w:r>
            <w:proofErr w:type="gramEnd"/>
          </w:p>
        </w:tc>
        <w:tc>
          <w:tcPr>
            <w:tcW w:w="1107" w:type="dxa"/>
            <w:tcBorders>
              <w:top w:val="single" w:sz="4" w:space="0" w:color="auto"/>
              <w:bottom w:val="single" w:sz="4" w:space="0" w:color="auto"/>
              <w:right w:val="single" w:sz="4" w:space="0" w:color="auto"/>
            </w:tcBorders>
            <w:vAlign w:val="center"/>
          </w:tcPr>
          <w:p w14:paraId="65330E96" w14:textId="0F2D4AE3" w:rsidR="004C5883" w:rsidRPr="004A1A02" w:rsidRDefault="004C5883" w:rsidP="002B34C8">
            <w:pPr>
              <w:spacing w:after="0"/>
              <w:jc w:val="center"/>
              <w:rPr>
                <w:rFonts w:asciiTheme="minorHAnsi" w:hAnsiTheme="minorHAnsi" w:cstheme="minorHAnsi"/>
                <w:sz w:val="20"/>
                <w:szCs w:val="20"/>
              </w:rPr>
            </w:pPr>
            <w:r w:rsidRPr="004A1A02">
              <w:rPr>
                <w:rFonts w:asciiTheme="minorHAnsi" w:hAnsiTheme="minorHAnsi" w:cstheme="minorHAnsi"/>
                <w:sz w:val="20"/>
                <w:szCs w:val="20"/>
              </w:rPr>
              <w:t>33.1%</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F9C2AE7" w14:textId="112B450D" w:rsidR="004C5883" w:rsidRPr="004A1A02" w:rsidRDefault="004C5883" w:rsidP="002B34C8">
            <w:pPr>
              <w:spacing w:after="0"/>
              <w:jc w:val="center"/>
              <w:rPr>
                <w:rFonts w:asciiTheme="minorHAnsi" w:hAnsiTheme="minorHAnsi" w:cstheme="minorHAnsi"/>
                <w:sz w:val="20"/>
                <w:szCs w:val="20"/>
              </w:rPr>
            </w:pPr>
            <w:r>
              <w:rPr>
                <w:rFonts w:asciiTheme="minorHAnsi" w:hAnsiTheme="minorHAnsi" w:cstheme="minorHAnsi"/>
                <w:sz w:val="20"/>
                <w:szCs w:val="20"/>
              </w:rPr>
              <w:t>32.0%</w:t>
            </w:r>
          </w:p>
        </w:tc>
        <w:tc>
          <w:tcPr>
            <w:tcW w:w="1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526B423" w14:textId="36AF337B" w:rsidR="004C5883" w:rsidRPr="004A1A02" w:rsidRDefault="004C5883" w:rsidP="002B34C8">
            <w:pPr>
              <w:spacing w:after="0"/>
              <w:jc w:val="center"/>
              <w:rPr>
                <w:rFonts w:asciiTheme="minorHAnsi" w:hAnsiTheme="minorHAnsi" w:cstheme="minorHAnsi"/>
                <w:sz w:val="20"/>
                <w:szCs w:val="20"/>
              </w:rPr>
            </w:pPr>
            <w:r>
              <w:rPr>
                <w:rFonts w:asciiTheme="minorHAnsi" w:hAnsiTheme="minorHAnsi" w:cstheme="minorHAnsi"/>
                <w:sz w:val="20"/>
                <w:szCs w:val="20"/>
              </w:rPr>
              <w:t>56.1%</w:t>
            </w:r>
          </w:p>
        </w:tc>
        <w:tc>
          <w:tcPr>
            <w:tcW w:w="1713"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6B7D9A64" w14:textId="0DBE2015" w:rsidR="004C5883" w:rsidRPr="00F61604" w:rsidRDefault="00673497" w:rsidP="002B34C8">
            <w:pPr>
              <w:spacing w:after="0"/>
              <w:jc w:val="center"/>
              <w:rPr>
                <w:rFonts w:asciiTheme="minorHAnsi" w:hAnsiTheme="minorHAnsi" w:cstheme="minorHAnsi"/>
                <w:color w:val="FF0000"/>
                <w:sz w:val="20"/>
                <w:szCs w:val="20"/>
              </w:rPr>
            </w:pPr>
            <w:r w:rsidRPr="00673497">
              <w:rPr>
                <w:rFonts w:asciiTheme="minorHAnsi" w:hAnsiTheme="minorHAnsi" w:cstheme="minorHAnsi"/>
                <w:sz w:val="20"/>
                <w:szCs w:val="20"/>
              </w:rPr>
              <w:t>15.5%</w:t>
            </w:r>
          </w:p>
        </w:tc>
        <w:tc>
          <w:tcPr>
            <w:tcW w:w="1527" w:type="dxa"/>
            <w:tcBorders>
              <w:top w:val="single" w:sz="4" w:space="0" w:color="auto"/>
              <w:left w:val="nil"/>
              <w:bottom w:val="single" w:sz="4" w:space="0" w:color="000000"/>
              <w:right w:val="single" w:sz="4" w:space="0" w:color="000000"/>
            </w:tcBorders>
            <w:shd w:val="clear" w:color="auto" w:fill="auto"/>
            <w:noWrap/>
            <w:vAlign w:val="center"/>
          </w:tcPr>
          <w:p w14:paraId="4C98ED2E" w14:textId="11249EBA" w:rsidR="004C5883" w:rsidRPr="00F61604" w:rsidRDefault="00673497" w:rsidP="002B34C8">
            <w:pPr>
              <w:spacing w:after="0"/>
              <w:jc w:val="center"/>
              <w:rPr>
                <w:rFonts w:asciiTheme="minorHAnsi" w:hAnsiTheme="minorHAnsi" w:cstheme="minorHAnsi"/>
                <w:color w:val="FF0000"/>
                <w:sz w:val="20"/>
                <w:szCs w:val="20"/>
              </w:rPr>
            </w:pPr>
            <w:r w:rsidRPr="00673497">
              <w:rPr>
                <w:rFonts w:asciiTheme="minorHAnsi" w:hAnsiTheme="minorHAnsi" w:cstheme="minorHAnsi"/>
                <w:sz w:val="20"/>
                <w:szCs w:val="20"/>
              </w:rPr>
              <w:t>23.8%</w:t>
            </w:r>
          </w:p>
        </w:tc>
        <w:tc>
          <w:tcPr>
            <w:tcW w:w="1250" w:type="dxa"/>
            <w:tcBorders>
              <w:top w:val="single" w:sz="4" w:space="0" w:color="auto"/>
              <w:left w:val="nil"/>
              <w:bottom w:val="single" w:sz="4" w:space="0" w:color="000000"/>
              <w:right w:val="single" w:sz="4" w:space="0" w:color="000000"/>
            </w:tcBorders>
          </w:tcPr>
          <w:p w14:paraId="1DA02B37" w14:textId="7374A756" w:rsidR="004C5883" w:rsidRDefault="00673497" w:rsidP="002B34C8">
            <w:pPr>
              <w:spacing w:after="0"/>
              <w:jc w:val="center"/>
              <w:rPr>
                <w:rFonts w:asciiTheme="minorHAnsi" w:hAnsiTheme="minorHAnsi" w:cstheme="minorHAnsi"/>
                <w:sz w:val="20"/>
                <w:szCs w:val="20"/>
              </w:rPr>
            </w:pPr>
            <w:r>
              <w:rPr>
                <w:rFonts w:asciiTheme="minorHAnsi" w:hAnsiTheme="minorHAnsi" w:cstheme="minorHAnsi"/>
                <w:sz w:val="20"/>
                <w:szCs w:val="20"/>
              </w:rPr>
              <w:t>29.0%</w:t>
            </w:r>
          </w:p>
        </w:tc>
      </w:tr>
      <w:tr w:rsidR="003352F5" w:rsidRPr="00F26259" w14:paraId="3737B600" w14:textId="7A82E097" w:rsidTr="003352F5">
        <w:trPr>
          <w:trHeight w:val="215"/>
          <w:jc w:val="center"/>
        </w:trPr>
        <w:tc>
          <w:tcPr>
            <w:tcW w:w="1368" w:type="dxa"/>
            <w:tcBorders>
              <w:top w:val="single" w:sz="4" w:space="0" w:color="auto"/>
              <w:left w:val="single" w:sz="4" w:space="0" w:color="000000"/>
              <w:bottom w:val="single" w:sz="4" w:space="0" w:color="000000"/>
              <w:right w:val="single" w:sz="4" w:space="0" w:color="000000"/>
            </w:tcBorders>
            <w:shd w:val="clear" w:color="auto" w:fill="auto"/>
            <w:noWrap/>
          </w:tcPr>
          <w:p w14:paraId="03DD0434" w14:textId="00F4E21F" w:rsidR="004C5883" w:rsidRDefault="004C5883" w:rsidP="002B34C8">
            <w:pPr>
              <w:spacing w:after="0"/>
              <w:jc w:val="center"/>
              <w:rPr>
                <w:rFonts w:asciiTheme="minorHAnsi" w:eastAsia="Times New Roman" w:hAnsiTheme="minorHAnsi" w:cstheme="minorHAnsi"/>
                <w:color w:val="000000"/>
                <w:sz w:val="20"/>
                <w:szCs w:val="20"/>
              </w:rPr>
            </w:pPr>
            <w:r>
              <w:rPr>
                <w:rFonts w:cs="Calibri"/>
                <w:color w:val="000000"/>
                <w:sz w:val="20"/>
                <w:szCs w:val="20"/>
              </w:rPr>
              <w:t>FUH</w:t>
            </w:r>
          </w:p>
        </w:tc>
        <w:tc>
          <w:tcPr>
            <w:tcW w:w="8476" w:type="dxa"/>
            <w:tcBorders>
              <w:top w:val="single" w:sz="4" w:space="0" w:color="auto"/>
              <w:left w:val="nil"/>
              <w:bottom w:val="single" w:sz="4" w:space="0" w:color="auto"/>
              <w:right w:val="single" w:sz="4" w:space="0" w:color="auto"/>
            </w:tcBorders>
            <w:shd w:val="clear" w:color="auto" w:fill="auto"/>
          </w:tcPr>
          <w:p w14:paraId="50F6E40E" w14:textId="6301C1F4" w:rsidR="004C5883" w:rsidRPr="00B03E9B" w:rsidRDefault="004C5883" w:rsidP="002B34C8">
            <w:pPr>
              <w:spacing w:after="0"/>
              <w:rPr>
                <w:rFonts w:cs="Calibri"/>
                <w:color w:val="000000"/>
                <w:sz w:val="20"/>
                <w:szCs w:val="20"/>
              </w:rPr>
            </w:pPr>
            <w:r w:rsidRPr="00B03E9B">
              <w:rPr>
                <w:rFonts w:cs="Calibri"/>
                <w:sz w:val="20"/>
                <w:szCs w:val="20"/>
              </w:rPr>
              <w:t>Follow-Up After Hospitalization for Mental Illness -7 day</w:t>
            </w:r>
            <w:r>
              <w:rPr>
                <w:rFonts w:cs="Calibri"/>
                <w:sz w:val="20"/>
                <w:szCs w:val="20"/>
              </w:rPr>
              <w:t>: 18-6</w:t>
            </w:r>
            <w:r w:rsidR="0052058C">
              <w:rPr>
                <w:rFonts w:cs="Calibri"/>
                <w:sz w:val="20"/>
                <w:szCs w:val="20"/>
              </w:rPr>
              <w:t>4</w:t>
            </w:r>
          </w:p>
        </w:tc>
        <w:tc>
          <w:tcPr>
            <w:tcW w:w="1107" w:type="dxa"/>
            <w:tcBorders>
              <w:top w:val="single" w:sz="4" w:space="0" w:color="auto"/>
              <w:bottom w:val="single" w:sz="4" w:space="0" w:color="auto"/>
              <w:right w:val="single" w:sz="4" w:space="0" w:color="auto"/>
            </w:tcBorders>
            <w:vAlign w:val="center"/>
          </w:tcPr>
          <w:p w14:paraId="2DA091A0" w14:textId="7D6FE298" w:rsidR="004C5883" w:rsidRPr="004A1A02" w:rsidRDefault="004C5883" w:rsidP="002B34C8">
            <w:pPr>
              <w:spacing w:after="0"/>
              <w:jc w:val="center"/>
              <w:rPr>
                <w:rFonts w:asciiTheme="minorHAnsi" w:hAnsiTheme="minorHAnsi" w:cstheme="minorHAnsi"/>
                <w:color w:val="000000"/>
                <w:sz w:val="20"/>
                <w:szCs w:val="20"/>
              </w:rPr>
            </w:pPr>
            <w:r w:rsidRPr="004A1A02">
              <w:rPr>
                <w:rFonts w:asciiTheme="minorHAnsi" w:hAnsiTheme="minorHAnsi" w:cstheme="minorHAnsi"/>
                <w:color w:val="000000"/>
                <w:sz w:val="20"/>
                <w:szCs w:val="20"/>
              </w:rPr>
              <w:t>45.8%</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A97CA86" w14:textId="613090BB" w:rsidR="004C5883" w:rsidRPr="004A1A02" w:rsidRDefault="004C5883" w:rsidP="002B34C8">
            <w:pPr>
              <w:spacing w:after="0"/>
              <w:jc w:val="center"/>
              <w:rPr>
                <w:rFonts w:asciiTheme="minorHAnsi" w:hAnsiTheme="minorHAnsi" w:cstheme="minorHAnsi"/>
                <w:sz w:val="20"/>
                <w:szCs w:val="20"/>
              </w:rPr>
            </w:pPr>
            <w:r>
              <w:rPr>
                <w:rFonts w:asciiTheme="minorHAnsi" w:hAnsiTheme="minorHAnsi" w:cstheme="minorHAnsi"/>
                <w:sz w:val="20"/>
                <w:szCs w:val="20"/>
              </w:rPr>
              <w:t>43.3%</w:t>
            </w:r>
          </w:p>
        </w:tc>
        <w:tc>
          <w:tcPr>
            <w:tcW w:w="1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C413D90" w14:textId="6EFE1F77" w:rsidR="004C5883" w:rsidRPr="004A1A02" w:rsidRDefault="004C5883" w:rsidP="002B34C8">
            <w:pPr>
              <w:spacing w:after="0"/>
              <w:jc w:val="center"/>
              <w:rPr>
                <w:rFonts w:asciiTheme="minorHAnsi" w:hAnsiTheme="minorHAnsi" w:cstheme="minorHAnsi"/>
                <w:sz w:val="20"/>
                <w:szCs w:val="20"/>
              </w:rPr>
            </w:pPr>
            <w:r>
              <w:rPr>
                <w:rFonts w:asciiTheme="minorHAnsi" w:hAnsiTheme="minorHAnsi" w:cstheme="minorHAnsi"/>
                <w:sz w:val="20"/>
                <w:szCs w:val="20"/>
              </w:rPr>
              <w:t>40.3%</w:t>
            </w:r>
          </w:p>
        </w:tc>
        <w:tc>
          <w:tcPr>
            <w:tcW w:w="1713"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6E334FF6" w14:textId="4541D3D6" w:rsidR="004C5883" w:rsidRPr="00F61604" w:rsidRDefault="00A533E2" w:rsidP="002B34C8">
            <w:pPr>
              <w:spacing w:after="0"/>
              <w:jc w:val="center"/>
              <w:rPr>
                <w:rFonts w:asciiTheme="minorHAnsi" w:hAnsiTheme="minorHAnsi" w:cstheme="minorHAnsi"/>
                <w:color w:val="FF0000"/>
                <w:sz w:val="20"/>
                <w:szCs w:val="20"/>
              </w:rPr>
            </w:pPr>
            <w:r w:rsidRPr="00A533E2">
              <w:rPr>
                <w:rFonts w:asciiTheme="minorHAnsi" w:hAnsiTheme="minorHAnsi" w:cstheme="minorHAnsi"/>
                <w:sz w:val="20"/>
                <w:szCs w:val="20"/>
              </w:rPr>
              <w:t>28.6%</w:t>
            </w:r>
          </w:p>
        </w:tc>
        <w:tc>
          <w:tcPr>
            <w:tcW w:w="1527" w:type="dxa"/>
            <w:tcBorders>
              <w:top w:val="single" w:sz="4" w:space="0" w:color="auto"/>
              <w:left w:val="nil"/>
              <w:bottom w:val="single" w:sz="4" w:space="0" w:color="000000"/>
              <w:right w:val="single" w:sz="4" w:space="0" w:color="000000"/>
            </w:tcBorders>
            <w:shd w:val="clear" w:color="auto" w:fill="auto"/>
            <w:noWrap/>
            <w:vAlign w:val="center"/>
          </w:tcPr>
          <w:p w14:paraId="418F72E6" w14:textId="3ADD9EAE" w:rsidR="004C5883" w:rsidRPr="00F61604" w:rsidRDefault="00A533E2" w:rsidP="002B34C8">
            <w:pPr>
              <w:spacing w:after="0"/>
              <w:jc w:val="center"/>
              <w:rPr>
                <w:rFonts w:asciiTheme="minorHAnsi" w:hAnsiTheme="minorHAnsi" w:cstheme="minorHAnsi"/>
                <w:color w:val="FF0000"/>
                <w:sz w:val="20"/>
                <w:szCs w:val="20"/>
              </w:rPr>
            </w:pPr>
            <w:r w:rsidRPr="00A533E2">
              <w:rPr>
                <w:rFonts w:asciiTheme="minorHAnsi" w:hAnsiTheme="minorHAnsi" w:cstheme="minorHAnsi"/>
                <w:sz w:val="20"/>
                <w:szCs w:val="20"/>
              </w:rPr>
              <w:t>33.9%</w:t>
            </w:r>
          </w:p>
        </w:tc>
        <w:tc>
          <w:tcPr>
            <w:tcW w:w="1250" w:type="dxa"/>
            <w:tcBorders>
              <w:top w:val="single" w:sz="4" w:space="0" w:color="auto"/>
              <w:left w:val="nil"/>
              <w:bottom w:val="single" w:sz="4" w:space="0" w:color="000000"/>
              <w:right w:val="single" w:sz="4" w:space="0" w:color="000000"/>
            </w:tcBorders>
          </w:tcPr>
          <w:p w14:paraId="3FE82DF2" w14:textId="43AD1309" w:rsidR="004C5883" w:rsidRDefault="00A533E2" w:rsidP="002B34C8">
            <w:pPr>
              <w:spacing w:after="0"/>
              <w:jc w:val="center"/>
              <w:rPr>
                <w:rFonts w:asciiTheme="minorHAnsi" w:hAnsiTheme="minorHAnsi" w:cstheme="minorHAnsi"/>
                <w:sz w:val="20"/>
                <w:szCs w:val="20"/>
              </w:rPr>
            </w:pPr>
            <w:r>
              <w:rPr>
                <w:rFonts w:asciiTheme="minorHAnsi" w:hAnsiTheme="minorHAnsi" w:cstheme="minorHAnsi"/>
                <w:sz w:val="20"/>
                <w:szCs w:val="20"/>
              </w:rPr>
              <w:t>43.3%</w:t>
            </w:r>
          </w:p>
        </w:tc>
      </w:tr>
      <w:tr w:rsidR="003352F5" w:rsidRPr="00F26259" w14:paraId="45EC06CF" w14:textId="2C7B50F7" w:rsidTr="003352F5">
        <w:trPr>
          <w:trHeight w:val="215"/>
          <w:jc w:val="center"/>
        </w:trPr>
        <w:tc>
          <w:tcPr>
            <w:tcW w:w="1368" w:type="dxa"/>
            <w:tcBorders>
              <w:top w:val="single" w:sz="4" w:space="0" w:color="auto"/>
              <w:left w:val="single" w:sz="4" w:space="0" w:color="000000"/>
              <w:bottom w:val="single" w:sz="4" w:space="0" w:color="000000"/>
              <w:right w:val="single" w:sz="4" w:space="0" w:color="000000"/>
            </w:tcBorders>
            <w:shd w:val="clear" w:color="auto" w:fill="auto"/>
            <w:noWrap/>
          </w:tcPr>
          <w:p w14:paraId="7E1A6C5D" w14:textId="548408A1" w:rsidR="004C5883" w:rsidRDefault="004C5883" w:rsidP="002B34C8">
            <w:pPr>
              <w:spacing w:after="0"/>
              <w:jc w:val="center"/>
              <w:rPr>
                <w:rFonts w:asciiTheme="minorHAnsi" w:eastAsia="Times New Roman" w:hAnsiTheme="minorHAnsi" w:cstheme="minorHAnsi"/>
                <w:color w:val="000000"/>
                <w:sz w:val="20"/>
                <w:szCs w:val="20"/>
              </w:rPr>
            </w:pPr>
            <w:r>
              <w:rPr>
                <w:rFonts w:cs="Calibri"/>
                <w:color w:val="000000"/>
                <w:sz w:val="20"/>
                <w:szCs w:val="20"/>
              </w:rPr>
              <w:t>FUH</w:t>
            </w:r>
          </w:p>
        </w:tc>
        <w:tc>
          <w:tcPr>
            <w:tcW w:w="8476" w:type="dxa"/>
            <w:tcBorders>
              <w:top w:val="single" w:sz="4" w:space="0" w:color="auto"/>
              <w:left w:val="nil"/>
              <w:bottom w:val="single" w:sz="4" w:space="0" w:color="auto"/>
              <w:right w:val="single" w:sz="4" w:space="0" w:color="auto"/>
            </w:tcBorders>
            <w:shd w:val="clear" w:color="auto" w:fill="auto"/>
          </w:tcPr>
          <w:p w14:paraId="56BC1C67" w14:textId="7538FFBA" w:rsidR="004C5883" w:rsidRPr="00B03E9B" w:rsidRDefault="004C5883" w:rsidP="002B34C8">
            <w:pPr>
              <w:spacing w:after="0"/>
              <w:rPr>
                <w:rFonts w:cs="Calibri"/>
                <w:color w:val="000000"/>
                <w:sz w:val="20"/>
                <w:szCs w:val="20"/>
              </w:rPr>
            </w:pPr>
            <w:r w:rsidRPr="00B03E9B">
              <w:rPr>
                <w:rFonts w:cs="Calibri"/>
                <w:sz w:val="20"/>
                <w:szCs w:val="20"/>
              </w:rPr>
              <w:t>Follow-Up After Hospitalization for Mental Illness - 30 day</w:t>
            </w:r>
            <w:r>
              <w:rPr>
                <w:rFonts w:cs="Calibri"/>
                <w:sz w:val="20"/>
                <w:szCs w:val="20"/>
              </w:rPr>
              <w:t>: 18-6</w:t>
            </w:r>
            <w:r w:rsidR="0052058C">
              <w:rPr>
                <w:rFonts w:cs="Calibri"/>
                <w:sz w:val="20"/>
                <w:szCs w:val="20"/>
              </w:rPr>
              <w:t>4</w:t>
            </w:r>
          </w:p>
        </w:tc>
        <w:tc>
          <w:tcPr>
            <w:tcW w:w="1107" w:type="dxa"/>
            <w:tcBorders>
              <w:top w:val="single" w:sz="4" w:space="0" w:color="auto"/>
              <w:bottom w:val="single" w:sz="4" w:space="0" w:color="auto"/>
              <w:right w:val="single" w:sz="4" w:space="0" w:color="auto"/>
            </w:tcBorders>
            <w:vAlign w:val="center"/>
          </w:tcPr>
          <w:p w14:paraId="65F20B89" w14:textId="7BAEFA19" w:rsidR="004C5883" w:rsidRPr="004A1A02" w:rsidRDefault="004C5883" w:rsidP="002B34C8">
            <w:pPr>
              <w:spacing w:after="0"/>
              <w:jc w:val="center"/>
              <w:rPr>
                <w:rFonts w:asciiTheme="minorHAnsi" w:hAnsiTheme="minorHAnsi" w:cstheme="minorHAnsi"/>
                <w:color w:val="000000"/>
                <w:sz w:val="20"/>
                <w:szCs w:val="20"/>
              </w:rPr>
            </w:pPr>
            <w:r w:rsidRPr="004A1A02">
              <w:rPr>
                <w:rFonts w:asciiTheme="minorHAnsi" w:hAnsiTheme="minorHAnsi" w:cstheme="minorHAnsi"/>
                <w:sz w:val="20"/>
                <w:szCs w:val="20"/>
              </w:rPr>
              <w:t>66.7%</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9A758F" w14:textId="5AB79397" w:rsidR="004C5883" w:rsidRPr="004A1A02" w:rsidRDefault="004C5883" w:rsidP="002B34C8">
            <w:pPr>
              <w:spacing w:after="0"/>
              <w:jc w:val="center"/>
              <w:rPr>
                <w:rFonts w:asciiTheme="minorHAnsi" w:hAnsiTheme="minorHAnsi" w:cstheme="minorHAnsi"/>
                <w:sz w:val="20"/>
                <w:szCs w:val="20"/>
              </w:rPr>
            </w:pPr>
            <w:r>
              <w:rPr>
                <w:rFonts w:asciiTheme="minorHAnsi" w:hAnsiTheme="minorHAnsi" w:cstheme="minorHAnsi"/>
                <w:sz w:val="20"/>
                <w:szCs w:val="20"/>
              </w:rPr>
              <w:t>66.0%</w:t>
            </w:r>
          </w:p>
        </w:tc>
        <w:tc>
          <w:tcPr>
            <w:tcW w:w="1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59CB623" w14:textId="30A1125B" w:rsidR="004C5883" w:rsidRPr="004A1A02" w:rsidRDefault="004C5883" w:rsidP="002B34C8">
            <w:pPr>
              <w:spacing w:after="0"/>
              <w:jc w:val="center"/>
              <w:rPr>
                <w:rFonts w:asciiTheme="minorHAnsi" w:hAnsiTheme="minorHAnsi" w:cstheme="minorHAnsi"/>
                <w:sz w:val="20"/>
                <w:szCs w:val="20"/>
              </w:rPr>
            </w:pPr>
            <w:r>
              <w:rPr>
                <w:rFonts w:asciiTheme="minorHAnsi" w:hAnsiTheme="minorHAnsi" w:cstheme="minorHAnsi"/>
                <w:sz w:val="20"/>
                <w:szCs w:val="20"/>
              </w:rPr>
              <w:t>62.7%</w:t>
            </w:r>
          </w:p>
        </w:tc>
        <w:tc>
          <w:tcPr>
            <w:tcW w:w="1713"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7C6456B2" w14:textId="63138E2D" w:rsidR="004C5883" w:rsidRPr="00F61604" w:rsidRDefault="00C356CF" w:rsidP="002B34C8">
            <w:pPr>
              <w:spacing w:after="0"/>
              <w:jc w:val="center"/>
              <w:rPr>
                <w:rFonts w:asciiTheme="minorHAnsi" w:hAnsiTheme="minorHAnsi" w:cstheme="minorHAnsi"/>
                <w:color w:val="FF0000"/>
                <w:sz w:val="20"/>
                <w:szCs w:val="20"/>
              </w:rPr>
            </w:pPr>
            <w:r w:rsidRPr="00C356CF">
              <w:rPr>
                <w:rFonts w:asciiTheme="minorHAnsi" w:hAnsiTheme="minorHAnsi" w:cstheme="minorHAnsi"/>
                <w:sz w:val="20"/>
                <w:szCs w:val="20"/>
              </w:rPr>
              <w:t>48.3%</w:t>
            </w:r>
          </w:p>
        </w:tc>
        <w:tc>
          <w:tcPr>
            <w:tcW w:w="1527" w:type="dxa"/>
            <w:tcBorders>
              <w:top w:val="single" w:sz="4" w:space="0" w:color="auto"/>
              <w:left w:val="nil"/>
              <w:bottom w:val="single" w:sz="4" w:space="0" w:color="000000"/>
              <w:right w:val="single" w:sz="4" w:space="0" w:color="000000"/>
            </w:tcBorders>
            <w:shd w:val="clear" w:color="auto" w:fill="auto"/>
            <w:noWrap/>
            <w:vAlign w:val="center"/>
          </w:tcPr>
          <w:p w14:paraId="305EF50F" w14:textId="48C53BAD" w:rsidR="004C5883" w:rsidRPr="00F61604" w:rsidRDefault="00C356CF" w:rsidP="002B34C8">
            <w:pPr>
              <w:spacing w:after="0"/>
              <w:jc w:val="center"/>
              <w:rPr>
                <w:rFonts w:asciiTheme="minorHAnsi" w:hAnsiTheme="minorHAnsi" w:cstheme="minorHAnsi"/>
                <w:color w:val="FF0000"/>
                <w:sz w:val="20"/>
                <w:szCs w:val="20"/>
              </w:rPr>
            </w:pPr>
            <w:r w:rsidRPr="00C356CF">
              <w:rPr>
                <w:rFonts w:asciiTheme="minorHAnsi" w:hAnsiTheme="minorHAnsi" w:cstheme="minorHAnsi"/>
                <w:sz w:val="20"/>
                <w:szCs w:val="20"/>
              </w:rPr>
              <w:t>54.5%</w:t>
            </w:r>
          </w:p>
        </w:tc>
        <w:tc>
          <w:tcPr>
            <w:tcW w:w="1250" w:type="dxa"/>
            <w:tcBorders>
              <w:top w:val="single" w:sz="4" w:space="0" w:color="auto"/>
              <w:left w:val="nil"/>
              <w:bottom w:val="single" w:sz="4" w:space="0" w:color="000000"/>
              <w:right w:val="single" w:sz="4" w:space="0" w:color="000000"/>
            </w:tcBorders>
          </w:tcPr>
          <w:p w14:paraId="7B050C23" w14:textId="66ECB1E0" w:rsidR="004C5883" w:rsidRDefault="00FF75BC" w:rsidP="002B34C8">
            <w:pPr>
              <w:spacing w:after="0"/>
              <w:jc w:val="center"/>
              <w:rPr>
                <w:rFonts w:asciiTheme="minorHAnsi" w:hAnsiTheme="minorHAnsi" w:cstheme="minorHAnsi"/>
                <w:sz w:val="20"/>
                <w:szCs w:val="20"/>
              </w:rPr>
            </w:pPr>
            <w:r>
              <w:rPr>
                <w:rFonts w:asciiTheme="minorHAnsi" w:hAnsiTheme="minorHAnsi" w:cstheme="minorHAnsi"/>
                <w:sz w:val="20"/>
                <w:szCs w:val="20"/>
              </w:rPr>
              <w:t>64.9%</w:t>
            </w:r>
          </w:p>
        </w:tc>
      </w:tr>
      <w:tr w:rsidR="003352F5" w:rsidRPr="00F26259" w14:paraId="14612795" w14:textId="621399A7" w:rsidTr="003352F5">
        <w:trPr>
          <w:trHeight w:val="215"/>
          <w:jc w:val="center"/>
        </w:trPr>
        <w:tc>
          <w:tcPr>
            <w:tcW w:w="1368" w:type="dxa"/>
            <w:tcBorders>
              <w:top w:val="single" w:sz="4" w:space="0" w:color="auto"/>
              <w:left w:val="single" w:sz="4" w:space="0" w:color="000000"/>
              <w:bottom w:val="single" w:sz="4" w:space="0" w:color="000000"/>
              <w:right w:val="single" w:sz="4" w:space="0" w:color="000000"/>
            </w:tcBorders>
            <w:shd w:val="clear" w:color="auto" w:fill="auto"/>
            <w:noWrap/>
          </w:tcPr>
          <w:p w14:paraId="7C62A9CD" w14:textId="17E7B52E" w:rsidR="004C5883" w:rsidRDefault="004C5883" w:rsidP="002B34C8">
            <w:pPr>
              <w:spacing w:after="0"/>
              <w:jc w:val="center"/>
              <w:rPr>
                <w:rFonts w:asciiTheme="minorHAnsi" w:eastAsia="Times New Roman" w:hAnsiTheme="minorHAnsi" w:cstheme="minorHAnsi"/>
                <w:color w:val="000000"/>
                <w:sz w:val="20"/>
                <w:szCs w:val="20"/>
              </w:rPr>
            </w:pPr>
            <w:r>
              <w:rPr>
                <w:rFonts w:cs="Calibri"/>
                <w:color w:val="000000"/>
                <w:sz w:val="20"/>
                <w:szCs w:val="20"/>
              </w:rPr>
              <w:t>FUM</w:t>
            </w:r>
          </w:p>
        </w:tc>
        <w:tc>
          <w:tcPr>
            <w:tcW w:w="8476" w:type="dxa"/>
            <w:tcBorders>
              <w:top w:val="single" w:sz="4" w:space="0" w:color="auto"/>
              <w:left w:val="nil"/>
              <w:bottom w:val="single" w:sz="4" w:space="0" w:color="auto"/>
              <w:right w:val="single" w:sz="4" w:space="0" w:color="auto"/>
            </w:tcBorders>
            <w:shd w:val="clear" w:color="auto" w:fill="auto"/>
          </w:tcPr>
          <w:p w14:paraId="70192670" w14:textId="4EC7FF49" w:rsidR="004C5883" w:rsidRPr="001447FD" w:rsidRDefault="004C5883" w:rsidP="002B34C8">
            <w:pPr>
              <w:spacing w:after="0"/>
              <w:rPr>
                <w:rFonts w:cs="Calibri"/>
                <w:color w:val="000000"/>
                <w:sz w:val="20"/>
                <w:szCs w:val="20"/>
              </w:rPr>
            </w:pPr>
            <w:r w:rsidRPr="001447FD">
              <w:rPr>
                <w:rFonts w:cs="Calibri"/>
                <w:sz w:val="20"/>
                <w:szCs w:val="20"/>
              </w:rPr>
              <w:t xml:space="preserve">Follow-Up After Emergency Department Visit for Mental Illness – 7 </w:t>
            </w:r>
            <w:proofErr w:type="gramStart"/>
            <w:r w:rsidRPr="001447FD">
              <w:rPr>
                <w:rFonts w:cs="Calibri"/>
                <w:sz w:val="20"/>
                <w:szCs w:val="20"/>
              </w:rPr>
              <w:t>day</w:t>
            </w:r>
            <w:proofErr w:type="gramEnd"/>
            <w:r w:rsidRPr="001447FD">
              <w:rPr>
                <w:rFonts w:cs="Calibri"/>
                <w:sz w:val="20"/>
                <w:szCs w:val="20"/>
              </w:rPr>
              <w:t>: 18-6</w:t>
            </w:r>
            <w:r w:rsidR="00FF68B2">
              <w:rPr>
                <w:rFonts w:cs="Calibri"/>
                <w:sz w:val="20"/>
                <w:szCs w:val="20"/>
              </w:rPr>
              <w:t>4</w:t>
            </w:r>
          </w:p>
        </w:tc>
        <w:tc>
          <w:tcPr>
            <w:tcW w:w="1107" w:type="dxa"/>
            <w:tcBorders>
              <w:top w:val="single" w:sz="4" w:space="0" w:color="auto"/>
              <w:bottom w:val="single" w:sz="4" w:space="0" w:color="auto"/>
              <w:right w:val="single" w:sz="4" w:space="0" w:color="auto"/>
            </w:tcBorders>
            <w:vAlign w:val="center"/>
          </w:tcPr>
          <w:p w14:paraId="7D2CE00A" w14:textId="3D2DD2AF" w:rsidR="004C5883" w:rsidRPr="004A1A02" w:rsidRDefault="004C5883" w:rsidP="002B34C8">
            <w:pPr>
              <w:spacing w:after="0"/>
              <w:jc w:val="center"/>
              <w:rPr>
                <w:rFonts w:asciiTheme="minorHAnsi" w:hAnsiTheme="minorHAnsi" w:cstheme="minorHAnsi"/>
                <w:sz w:val="20"/>
                <w:szCs w:val="20"/>
              </w:rPr>
            </w:pPr>
            <w:r w:rsidRPr="004A1A02">
              <w:rPr>
                <w:rFonts w:asciiTheme="minorHAnsi" w:hAnsiTheme="minorHAnsi" w:cstheme="minorHAnsi"/>
                <w:color w:val="000000"/>
                <w:sz w:val="20"/>
                <w:szCs w:val="20"/>
              </w:rPr>
              <w:t>73.5%</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FE49864" w14:textId="19675923" w:rsidR="004C5883" w:rsidRPr="004A1A02" w:rsidRDefault="004C5883" w:rsidP="002B34C8">
            <w:pPr>
              <w:spacing w:after="0"/>
              <w:jc w:val="center"/>
              <w:rPr>
                <w:rFonts w:asciiTheme="minorHAnsi" w:hAnsiTheme="minorHAnsi" w:cstheme="minorHAnsi"/>
                <w:color w:val="FF0000"/>
                <w:sz w:val="20"/>
                <w:szCs w:val="20"/>
              </w:rPr>
            </w:pPr>
            <w:r w:rsidRPr="00B04A4A">
              <w:rPr>
                <w:rFonts w:asciiTheme="minorHAnsi" w:hAnsiTheme="minorHAnsi" w:cstheme="minorHAnsi"/>
                <w:sz w:val="20"/>
                <w:szCs w:val="20"/>
              </w:rPr>
              <w:t>74.5%</w:t>
            </w:r>
          </w:p>
        </w:tc>
        <w:tc>
          <w:tcPr>
            <w:tcW w:w="1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FB6F7FD" w14:textId="693CA7CE" w:rsidR="004C5883" w:rsidRPr="004A1A02" w:rsidRDefault="004C5883" w:rsidP="002B34C8">
            <w:pPr>
              <w:spacing w:after="0"/>
              <w:jc w:val="center"/>
              <w:rPr>
                <w:rFonts w:asciiTheme="minorHAnsi" w:hAnsiTheme="minorHAnsi" w:cstheme="minorHAnsi"/>
                <w:sz w:val="20"/>
                <w:szCs w:val="20"/>
              </w:rPr>
            </w:pPr>
            <w:r>
              <w:rPr>
                <w:rFonts w:asciiTheme="minorHAnsi" w:hAnsiTheme="minorHAnsi" w:cstheme="minorHAnsi"/>
                <w:sz w:val="20"/>
                <w:szCs w:val="20"/>
              </w:rPr>
              <w:t>72.9%</w:t>
            </w:r>
          </w:p>
        </w:tc>
        <w:tc>
          <w:tcPr>
            <w:tcW w:w="1713"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79AEFBFF" w14:textId="3BA7B81F" w:rsidR="004C5883" w:rsidRPr="00F61604" w:rsidRDefault="00F67D81" w:rsidP="002B34C8">
            <w:pPr>
              <w:spacing w:after="0"/>
              <w:jc w:val="center"/>
              <w:rPr>
                <w:rFonts w:asciiTheme="minorHAnsi" w:hAnsiTheme="minorHAnsi" w:cstheme="minorHAnsi"/>
                <w:color w:val="FF0000"/>
                <w:sz w:val="20"/>
                <w:szCs w:val="20"/>
              </w:rPr>
            </w:pPr>
            <w:r w:rsidRPr="00F67D81">
              <w:rPr>
                <w:rFonts w:asciiTheme="minorHAnsi" w:hAnsiTheme="minorHAnsi" w:cstheme="minorHAnsi"/>
                <w:sz w:val="20"/>
                <w:szCs w:val="20"/>
              </w:rPr>
              <w:t>29.2%</w:t>
            </w:r>
          </w:p>
        </w:tc>
        <w:tc>
          <w:tcPr>
            <w:tcW w:w="1527" w:type="dxa"/>
            <w:tcBorders>
              <w:top w:val="single" w:sz="4" w:space="0" w:color="auto"/>
              <w:left w:val="nil"/>
              <w:bottom w:val="single" w:sz="4" w:space="0" w:color="000000"/>
              <w:right w:val="single" w:sz="4" w:space="0" w:color="000000"/>
            </w:tcBorders>
            <w:shd w:val="clear" w:color="auto" w:fill="auto"/>
            <w:noWrap/>
            <w:vAlign w:val="center"/>
          </w:tcPr>
          <w:p w14:paraId="49065E6C" w14:textId="45058DDF" w:rsidR="004C5883" w:rsidRPr="00F61604" w:rsidRDefault="00F67D81" w:rsidP="002B34C8">
            <w:pPr>
              <w:spacing w:after="0"/>
              <w:jc w:val="center"/>
              <w:rPr>
                <w:rFonts w:asciiTheme="minorHAnsi" w:hAnsiTheme="minorHAnsi" w:cstheme="minorHAnsi"/>
                <w:color w:val="FF0000"/>
                <w:sz w:val="20"/>
                <w:szCs w:val="20"/>
              </w:rPr>
            </w:pPr>
            <w:r w:rsidRPr="00F67D81">
              <w:rPr>
                <w:rFonts w:asciiTheme="minorHAnsi" w:hAnsiTheme="minorHAnsi" w:cstheme="minorHAnsi"/>
                <w:sz w:val="20"/>
                <w:szCs w:val="20"/>
              </w:rPr>
              <w:t>38.9%</w:t>
            </w:r>
          </w:p>
        </w:tc>
        <w:tc>
          <w:tcPr>
            <w:tcW w:w="1250" w:type="dxa"/>
            <w:tcBorders>
              <w:top w:val="single" w:sz="4" w:space="0" w:color="auto"/>
              <w:left w:val="nil"/>
              <w:bottom w:val="single" w:sz="4" w:space="0" w:color="000000"/>
              <w:right w:val="single" w:sz="4" w:space="0" w:color="000000"/>
            </w:tcBorders>
          </w:tcPr>
          <w:p w14:paraId="0D1F7F04" w14:textId="5619EE35" w:rsidR="004C5883" w:rsidRDefault="004F6FDE" w:rsidP="002B34C8">
            <w:pPr>
              <w:spacing w:after="0"/>
              <w:jc w:val="center"/>
              <w:rPr>
                <w:rFonts w:asciiTheme="minorHAnsi" w:hAnsiTheme="minorHAnsi" w:cstheme="minorHAnsi"/>
                <w:sz w:val="20"/>
                <w:szCs w:val="20"/>
              </w:rPr>
            </w:pPr>
            <w:r>
              <w:rPr>
                <w:rFonts w:asciiTheme="minorHAnsi" w:hAnsiTheme="minorHAnsi" w:cstheme="minorHAnsi"/>
                <w:sz w:val="20"/>
                <w:szCs w:val="20"/>
              </w:rPr>
              <w:t>52.6%</w:t>
            </w:r>
          </w:p>
        </w:tc>
      </w:tr>
      <w:tr w:rsidR="003352F5" w:rsidRPr="00F26259" w14:paraId="6D7B80AE" w14:textId="1A901AC4" w:rsidTr="003352F5">
        <w:trPr>
          <w:trHeight w:val="449"/>
          <w:jc w:val="center"/>
        </w:trPr>
        <w:tc>
          <w:tcPr>
            <w:tcW w:w="1368" w:type="dxa"/>
            <w:tcBorders>
              <w:top w:val="nil"/>
              <w:left w:val="single" w:sz="4" w:space="0" w:color="000000"/>
              <w:bottom w:val="single" w:sz="4" w:space="0" w:color="000000"/>
              <w:right w:val="single" w:sz="4" w:space="0" w:color="000000"/>
            </w:tcBorders>
            <w:shd w:val="clear" w:color="auto" w:fill="auto"/>
            <w:noWrap/>
          </w:tcPr>
          <w:p w14:paraId="15256FE5" w14:textId="58B24DE8" w:rsidR="004C5883" w:rsidRPr="00F26259" w:rsidRDefault="004C5883" w:rsidP="002B34C8">
            <w:pPr>
              <w:spacing w:after="0"/>
              <w:jc w:val="center"/>
              <w:rPr>
                <w:rFonts w:asciiTheme="minorHAnsi" w:eastAsia="Times New Roman" w:hAnsiTheme="minorHAnsi" w:cstheme="minorHAnsi"/>
                <w:color w:val="000000"/>
                <w:sz w:val="20"/>
                <w:szCs w:val="20"/>
              </w:rPr>
            </w:pPr>
            <w:r>
              <w:rPr>
                <w:rFonts w:cs="Calibri"/>
                <w:color w:val="000000"/>
                <w:sz w:val="20"/>
                <w:szCs w:val="20"/>
              </w:rPr>
              <w:t>FUM</w:t>
            </w:r>
          </w:p>
        </w:tc>
        <w:tc>
          <w:tcPr>
            <w:tcW w:w="8476" w:type="dxa"/>
            <w:tcBorders>
              <w:top w:val="nil"/>
              <w:left w:val="nil"/>
              <w:bottom w:val="single" w:sz="4" w:space="0" w:color="auto"/>
              <w:right w:val="single" w:sz="4" w:space="0" w:color="auto"/>
            </w:tcBorders>
            <w:shd w:val="clear" w:color="auto" w:fill="auto"/>
          </w:tcPr>
          <w:p w14:paraId="58425412" w14:textId="46574529" w:rsidR="004C5883" w:rsidRPr="001447FD" w:rsidRDefault="004C5883" w:rsidP="002B34C8">
            <w:pPr>
              <w:spacing w:after="0"/>
              <w:rPr>
                <w:rFonts w:asciiTheme="minorHAnsi" w:eastAsia="Times New Roman" w:hAnsiTheme="minorHAnsi" w:cstheme="minorHAnsi"/>
                <w:sz w:val="20"/>
                <w:szCs w:val="20"/>
              </w:rPr>
            </w:pPr>
            <w:r w:rsidRPr="001447FD">
              <w:rPr>
                <w:rFonts w:cs="Calibri"/>
                <w:sz w:val="20"/>
                <w:szCs w:val="20"/>
              </w:rPr>
              <w:t>Follow-Up After Emergency Department Visit for Mental Illness - 30 day: 18-6</w:t>
            </w:r>
            <w:r w:rsidR="00FF68B2">
              <w:rPr>
                <w:rFonts w:cs="Calibri"/>
                <w:sz w:val="20"/>
                <w:szCs w:val="20"/>
              </w:rPr>
              <w:t>4</w:t>
            </w:r>
          </w:p>
        </w:tc>
        <w:tc>
          <w:tcPr>
            <w:tcW w:w="1107" w:type="dxa"/>
            <w:tcBorders>
              <w:top w:val="nil"/>
              <w:left w:val="nil"/>
              <w:bottom w:val="single" w:sz="4" w:space="0" w:color="auto"/>
              <w:right w:val="single" w:sz="4" w:space="0" w:color="auto"/>
            </w:tcBorders>
            <w:vAlign w:val="center"/>
          </w:tcPr>
          <w:p w14:paraId="7F3449CC" w14:textId="4F80BB8E" w:rsidR="004C5883" w:rsidRPr="004A1A02" w:rsidRDefault="004C5883" w:rsidP="002B34C8">
            <w:pPr>
              <w:spacing w:after="0"/>
              <w:jc w:val="center"/>
              <w:rPr>
                <w:rFonts w:asciiTheme="minorHAnsi" w:eastAsia="Times New Roman" w:hAnsiTheme="minorHAnsi" w:cstheme="minorHAnsi"/>
                <w:sz w:val="20"/>
                <w:szCs w:val="20"/>
              </w:rPr>
            </w:pPr>
            <w:r w:rsidRPr="004A1A02">
              <w:rPr>
                <w:rFonts w:asciiTheme="minorHAnsi" w:hAnsiTheme="minorHAnsi" w:cstheme="minorHAnsi"/>
                <w:sz w:val="20"/>
                <w:szCs w:val="20"/>
              </w:rPr>
              <w:t>80.5%</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3A01301" w14:textId="6F423346" w:rsidR="004C5883" w:rsidRPr="004A1A02" w:rsidRDefault="004C5883" w:rsidP="002B34C8">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80.4%</w:t>
            </w:r>
          </w:p>
        </w:tc>
        <w:tc>
          <w:tcPr>
            <w:tcW w:w="1444" w:type="dxa"/>
            <w:tcBorders>
              <w:top w:val="nil"/>
              <w:left w:val="nil"/>
              <w:bottom w:val="single" w:sz="4" w:space="0" w:color="auto"/>
              <w:right w:val="single" w:sz="4" w:space="0" w:color="auto"/>
            </w:tcBorders>
            <w:shd w:val="clear" w:color="auto" w:fill="F2F2F2" w:themeFill="background1" w:themeFillShade="F2"/>
            <w:noWrap/>
            <w:vAlign w:val="center"/>
          </w:tcPr>
          <w:p w14:paraId="2F05C663" w14:textId="310532F4" w:rsidR="004C5883" w:rsidRPr="004A1A02" w:rsidRDefault="004C5883" w:rsidP="002B34C8">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79.7%</w:t>
            </w:r>
          </w:p>
        </w:tc>
        <w:tc>
          <w:tcPr>
            <w:tcW w:w="1713" w:type="dxa"/>
            <w:tcBorders>
              <w:top w:val="nil"/>
              <w:left w:val="nil"/>
              <w:bottom w:val="single" w:sz="4" w:space="0" w:color="000000"/>
              <w:right w:val="single" w:sz="4" w:space="0" w:color="000000"/>
            </w:tcBorders>
            <w:shd w:val="clear" w:color="auto" w:fill="auto"/>
            <w:noWrap/>
            <w:vAlign w:val="center"/>
          </w:tcPr>
          <w:p w14:paraId="747B4C97" w14:textId="2BE2ED19" w:rsidR="004C5883" w:rsidRPr="00F61604" w:rsidRDefault="004F6FDE" w:rsidP="002B34C8">
            <w:pPr>
              <w:spacing w:after="0"/>
              <w:jc w:val="center"/>
              <w:rPr>
                <w:rFonts w:asciiTheme="minorHAnsi" w:eastAsia="Times New Roman" w:hAnsiTheme="minorHAnsi" w:cstheme="minorHAnsi"/>
                <w:color w:val="FF0000"/>
                <w:sz w:val="20"/>
                <w:szCs w:val="20"/>
              </w:rPr>
            </w:pPr>
            <w:r w:rsidRPr="004F6FDE">
              <w:rPr>
                <w:rFonts w:asciiTheme="minorHAnsi" w:eastAsia="Times New Roman" w:hAnsiTheme="minorHAnsi" w:cstheme="minorHAnsi"/>
                <w:sz w:val="20"/>
                <w:szCs w:val="20"/>
              </w:rPr>
              <w:t>42.9%</w:t>
            </w:r>
          </w:p>
        </w:tc>
        <w:tc>
          <w:tcPr>
            <w:tcW w:w="1527" w:type="dxa"/>
            <w:tcBorders>
              <w:top w:val="nil"/>
              <w:left w:val="nil"/>
              <w:bottom w:val="single" w:sz="4" w:space="0" w:color="000000"/>
              <w:right w:val="single" w:sz="4" w:space="0" w:color="000000"/>
            </w:tcBorders>
            <w:shd w:val="clear" w:color="auto" w:fill="auto"/>
            <w:noWrap/>
            <w:vAlign w:val="center"/>
          </w:tcPr>
          <w:p w14:paraId="393626CE" w14:textId="52714745" w:rsidR="004C5883" w:rsidRPr="00F61604" w:rsidRDefault="00A144B6" w:rsidP="002B34C8">
            <w:pPr>
              <w:spacing w:after="0"/>
              <w:jc w:val="center"/>
              <w:rPr>
                <w:rFonts w:asciiTheme="minorHAnsi" w:eastAsia="Times New Roman" w:hAnsiTheme="minorHAnsi" w:cstheme="minorHAnsi"/>
                <w:color w:val="FF0000"/>
                <w:sz w:val="20"/>
                <w:szCs w:val="20"/>
              </w:rPr>
            </w:pPr>
            <w:r w:rsidRPr="00A144B6">
              <w:rPr>
                <w:rFonts w:asciiTheme="minorHAnsi" w:eastAsia="Times New Roman" w:hAnsiTheme="minorHAnsi" w:cstheme="minorHAnsi"/>
                <w:sz w:val="20"/>
                <w:szCs w:val="20"/>
              </w:rPr>
              <w:t>52.5%</w:t>
            </w:r>
          </w:p>
        </w:tc>
        <w:tc>
          <w:tcPr>
            <w:tcW w:w="1250" w:type="dxa"/>
            <w:tcBorders>
              <w:top w:val="nil"/>
              <w:left w:val="nil"/>
              <w:bottom w:val="single" w:sz="4" w:space="0" w:color="000000"/>
              <w:right w:val="single" w:sz="4" w:space="0" w:color="000000"/>
            </w:tcBorders>
          </w:tcPr>
          <w:p w14:paraId="7E562491" w14:textId="739FBDC4" w:rsidR="004C5883" w:rsidRDefault="00A144B6" w:rsidP="002B34C8">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63.5%</w:t>
            </w:r>
          </w:p>
        </w:tc>
      </w:tr>
      <w:tr w:rsidR="003352F5" w:rsidRPr="00F26259" w14:paraId="5846F0C6" w14:textId="3EABBE7C" w:rsidTr="003352F5">
        <w:trPr>
          <w:trHeight w:val="215"/>
          <w:jc w:val="center"/>
        </w:trPr>
        <w:tc>
          <w:tcPr>
            <w:tcW w:w="1368" w:type="dxa"/>
            <w:tcBorders>
              <w:top w:val="single" w:sz="4" w:space="0" w:color="auto"/>
              <w:left w:val="single" w:sz="4" w:space="0" w:color="000000"/>
              <w:bottom w:val="single" w:sz="4" w:space="0" w:color="000000"/>
              <w:right w:val="single" w:sz="4" w:space="0" w:color="000000"/>
            </w:tcBorders>
            <w:shd w:val="clear" w:color="auto" w:fill="auto"/>
            <w:noWrap/>
          </w:tcPr>
          <w:p w14:paraId="4E01828F" w14:textId="22874420" w:rsidR="004C5883" w:rsidRDefault="004C5883" w:rsidP="002B34C8">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FVA</w:t>
            </w:r>
          </w:p>
        </w:tc>
        <w:tc>
          <w:tcPr>
            <w:tcW w:w="8476" w:type="dxa"/>
            <w:tcBorders>
              <w:top w:val="single" w:sz="4" w:space="0" w:color="auto"/>
              <w:left w:val="nil"/>
              <w:bottom w:val="single" w:sz="4" w:space="0" w:color="auto"/>
              <w:right w:val="single" w:sz="4" w:space="0" w:color="auto"/>
            </w:tcBorders>
            <w:shd w:val="clear" w:color="auto" w:fill="auto"/>
          </w:tcPr>
          <w:p w14:paraId="2AFA8F47" w14:textId="493D460F" w:rsidR="004C5883" w:rsidRPr="00B03E9B" w:rsidRDefault="004C5883" w:rsidP="002B34C8">
            <w:pPr>
              <w:rPr>
                <w:rFonts w:eastAsia="Times New Roman" w:cs="Calibri"/>
                <w:color w:val="000000"/>
                <w:sz w:val="20"/>
                <w:szCs w:val="20"/>
              </w:rPr>
            </w:pPr>
            <w:r w:rsidRPr="00B03E9B">
              <w:rPr>
                <w:rFonts w:cs="Calibri"/>
                <w:color w:val="000000"/>
                <w:sz w:val="20"/>
                <w:szCs w:val="20"/>
              </w:rPr>
              <w:t xml:space="preserve">Flu Vaccinations for Adults Ages 18-64 </w:t>
            </w:r>
          </w:p>
        </w:tc>
        <w:tc>
          <w:tcPr>
            <w:tcW w:w="1107" w:type="dxa"/>
            <w:tcBorders>
              <w:top w:val="single" w:sz="4" w:space="0" w:color="auto"/>
              <w:bottom w:val="single" w:sz="4" w:space="0" w:color="auto"/>
              <w:right w:val="single" w:sz="4" w:space="0" w:color="auto"/>
            </w:tcBorders>
            <w:vAlign w:val="center"/>
          </w:tcPr>
          <w:p w14:paraId="7186C4CE" w14:textId="01D2FF8D" w:rsidR="004C5883" w:rsidRPr="004A1A02" w:rsidRDefault="004C5883" w:rsidP="002B34C8">
            <w:pPr>
              <w:spacing w:after="0"/>
              <w:jc w:val="center"/>
              <w:rPr>
                <w:rFonts w:asciiTheme="minorHAnsi" w:hAnsiTheme="minorHAnsi" w:cstheme="minorHAnsi"/>
                <w:sz w:val="20"/>
                <w:szCs w:val="20"/>
              </w:rPr>
            </w:pPr>
            <w:r w:rsidRPr="004A1A02">
              <w:rPr>
                <w:rFonts w:asciiTheme="minorHAnsi" w:hAnsiTheme="minorHAnsi" w:cstheme="minorHAnsi"/>
                <w:sz w:val="20"/>
                <w:szCs w:val="20"/>
              </w:rPr>
              <w:t>46.6%</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9575CC6" w14:textId="4D379E35" w:rsidR="004C5883" w:rsidRPr="004A1A02" w:rsidRDefault="004C5883" w:rsidP="002B34C8">
            <w:pPr>
              <w:spacing w:after="0"/>
              <w:jc w:val="center"/>
              <w:rPr>
                <w:rFonts w:asciiTheme="minorHAnsi" w:hAnsiTheme="minorHAnsi" w:cstheme="minorHAnsi"/>
                <w:sz w:val="20"/>
                <w:szCs w:val="20"/>
              </w:rPr>
            </w:pPr>
            <w:r>
              <w:rPr>
                <w:rFonts w:asciiTheme="minorHAnsi" w:hAnsiTheme="minorHAnsi" w:cstheme="minorHAnsi"/>
                <w:sz w:val="20"/>
                <w:szCs w:val="20"/>
              </w:rPr>
              <w:t>47.4%</w:t>
            </w:r>
          </w:p>
        </w:tc>
        <w:tc>
          <w:tcPr>
            <w:tcW w:w="1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78F0ACB" w14:textId="3CE4C73B" w:rsidR="004C5883" w:rsidRPr="004A1A02" w:rsidRDefault="004C5883" w:rsidP="002B34C8">
            <w:pPr>
              <w:spacing w:after="0"/>
              <w:jc w:val="center"/>
              <w:rPr>
                <w:rFonts w:asciiTheme="minorHAnsi" w:hAnsiTheme="minorHAnsi" w:cstheme="minorHAnsi"/>
                <w:sz w:val="20"/>
                <w:szCs w:val="20"/>
              </w:rPr>
            </w:pPr>
            <w:r>
              <w:rPr>
                <w:rFonts w:asciiTheme="minorHAnsi" w:hAnsiTheme="minorHAnsi" w:cstheme="minorHAnsi"/>
                <w:sz w:val="20"/>
                <w:szCs w:val="20"/>
              </w:rPr>
              <w:t>49.1%</w:t>
            </w:r>
          </w:p>
        </w:tc>
        <w:tc>
          <w:tcPr>
            <w:tcW w:w="1713"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3867F908" w14:textId="7CC62B6B" w:rsidR="004C5883" w:rsidRPr="00F61604" w:rsidRDefault="00BF5A53" w:rsidP="002B34C8">
            <w:pPr>
              <w:spacing w:after="0"/>
              <w:jc w:val="center"/>
              <w:rPr>
                <w:rFonts w:asciiTheme="minorHAnsi" w:hAnsiTheme="minorHAnsi" w:cstheme="minorHAnsi"/>
                <w:color w:val="FF0000"/>
                <w:sz w:val="20"/>
                <w:szCs w:val="20"/>
              </w:rPr>
            </w:pPr>
            <w:r w:rsidRPr="00BF5A53">
              <w:rPr>
                <w:rFonts w:asciiTheme="minorHAnsi" w:hAnsiTheme="minorHAnsi" w:cstheme="minorHAnsi"/>
                <w:sz w:val="20"/>
                <w:szCs w:val="20"/>
              </w:rPr>
              <w:t>35.4%</w:t>
            </w:r>
          </w:p>
        </w:tc>
        <w:tc>
          <w:tcPr>
            <w:tcW w:w="1527" w:type="dxa"/>
            <w:tcBorders>
              <w:top w:val="single" w:sz="4" w:space="0" w:color="auto"/>
              <w:left w:val="nil"/>
              <w:bottom w:val="single" w:sz="4" w:space="0" w:color="000000"/>
              <w:right w:val="single" w:sz="4" w:space="0" w:color="000000"/>
            </w:tcBorders>
            <w:shd w:val="clear" w:color="auto" w:fill="auto"/>
            <w:noWrap/>
            <w:vAlign w:val="center"/>
          </w:tcPr>
          <w:p w14:paraId="07C9802D" w14:textId="6F387428" w:rsidR="004C5883" w:rsidRPr="00F61604" w:rsidRDefault="00BF5A53" w:rsidP="002B34C8">
            <w:pPr>
              <w:spacing w:after="0"/>
              <w:jc w:val="center"/>
              <w:rPr>
                <w:rFonts w:asciiTheme="minorHAnsi" w:hAnsiTheme="minorHAnsi" w:cstheme="minorHAnsi"/>
                <w:color w:val="FF0000"/>
                <w:sz w:val="20"/>
                <w:szCs w:val="20"/>
              </w:rPr>
            </w:pPr>
            <w:r w:rsidRPr="00BF5A53">
              <w:rPr>
                <w:rFonts w:asciiTheme="minorHAnsi" w:hAnsiTheme="minorHAnsi" w:cstheme="minorHAnsi"/>
                <w:sz w:val="20"/>
                <w:szCs w:val="20"/>
              </w:rPr>
              <w:t>40.5%</w:t>
            </w:r>
          </w:p>
        </w:tc>
        <w:tc>
          <w:tcPr>
            <w:tcW w:w="1250" w:type="dxa"/>
            <w:tcBorders>
              <w:top w:val="single" w:sz="4" w:space="0" w:color="auto"/>
              <w:left w:val="nil"/>
              <w:bottom w:val="single" w:sz="4" w:space="0" w:color="000000"/>
              <w:right w:val="single" w:sz="4" w:space="0" w:color="000000"/>
            </w:tcBorders>
          </w:tcPr>
          <w:p w14:paraId="0CA3326D" w14:textId="14F918D9" w:rsidR="004C5883" w:rsidRDefault="00BF5A53" w:rsidP="002B34C8">
            <w:pPr>
              <w:spacing w:after="0"/>
              <w:jc w:val="center"/>
              <w:rPr>
                <w:rFonts w:asciiTheme="minorHAnsi" w:hAnsiTheme="minorHAnsi" w:cstheme="minorHAnsi"/>
                <w:sz w:val="20"/>
                <w:szCs w:val="20"/>
              </w:rPr>
            </w:pPr>
            <w:r>
              <w:rPr>
                <w:rFonts w:asciiTheme="minorHAnsi" w:hAnsiTheme="minorHAnsi" w:cstheme="minorHAnsi"/>
                <w:sz w:val="20"/>
                <w:szCs w:val="20"/>
              </w:rPr>
              <w:t>46.4%</w:t>
            </w:r>
          </w:p>
        </w:tc>
      </w:tr>
      <w:tr w:rsidR="003352F5" w:rsidRPr="00F26259" w14:paraId="62B2637D" w14:textId="20B789BB" w:rsidTr="003352F5">
        <w:trPr>
          <w:trHeight w:val="215"/>
          <w:jc w:val="center"/>
        </w:trPr>
        <w:tc>
          <w:tcPr>
            <w:tcW w:w="1368" w:type="dxa"/>
            <w:tcBorders>
              <w:top w:val="single" w:sz="4" w:space="0" w:color="auto"/>
              <w:left w:val="single" w:sz="4" w:space="0" w:color="000000"/>
              <w:bottom w:val="single" w:sz="4" w:space="0" w:color="000000"/>
              <w:right w:val="single" w:sz="4" w:space="0" w:color="000000"/>
            </w:tcBorders>
            <w:shd w:val="clear" w:color="auto" w:fill="auto"/>
            <w:noWrap/>
          </w:tcPr>
          <w:p w14:paraId="06A5685A" w14:textId="7738B47F" w:rsidR="004C5883" w:rsidRDefault="004C5883" w:rsidP="004507C9">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lastRenderedPageBreak/>
              <w:t>HBD</w:t>
            </w:r>
          </w:p>
        </w:tc>
        <w:tc>
          <w:tcPr>
            <w:tcW w:w="8476" w:type="dxa"/>
            <w:tcBorders>
              <w:top w:val="single" w:sz="4" w:space="0" w:color="auto"/>
              <w:left w:val="nil"/>
              <w:bottom w:val="single" w:sz="4" w:space="0" w:color="auto"/>
              <w:right w:val="single" w:sz="4" w:space="0" w:color="auto"/>
            </w:tcBorders>
            <w:shd w:val="clear" w:color="auto" w:fill="auto"/>
          </w:tcPr>
          <w:p w14:paraId="12A0E824" w14:textId="1D5F7CA8" w:rsidR="004C5883" w:rsidRPr="00B03E9B" w:rsidRDefault="004C5883" w:rsidP="004507C9">
            <w:pPr>
              <w:rPr>
                <w:rFonts w:cs="Calibri"/>
                <w:color w:val="000000"/>
                <w:sz w:val="20"/>
                <w:szCs w:val="20"/>
              </w:rPr>
            </w:pPr>
            <w:r>
              <w:rPr>
                <w:rFonts w:cs="Calibri"/>
                <w:color w:val="000000"/>
                <w:sz w:val="20"/>
                <w:szCs w:val="20"/>
              </w:rPr>
              <w:t>HgbA1c Control for Patients with Diabetes- Poor Control: 18-6</w:t>
            </w:r>
            <w:r w:rsidR="006760C0">
              <w:rPr>
                <w:rFonts w:cs="Calibri"/>
                <w:color w:val="000000"/>
                <w:sz w:val="20"/>
                <w:szCs w:val="20"/>
              </w:rPr>
              <w:t>4</w:t>
            </w:r>
          </w:p>
        </w:tc>
        <w:tc>
          <w:tcPr>
            <w:tcW w:w="1107" w:type="dxa"/>
            <w:tcBorders>
              <w:top w:val="single" w:sz="4" w:space="0" w:color="auto"/>
              <w:bottom w:val="single" w:sz="4" w:space="0" w:color="auto"/>
              <w:right w:val="single" w:sz="4" w:space="0" w:color="auto"/>
            </w:tcBorders>
          </w:tcPr>
          <w:p w14:paraId="41F65D55" w14:textId="6DB235BE" w:rsidR="004C5883" w:rsidRPr="004A1A02" w:rsidRDefault="005E1BAC" w:rsidP="004507C9">
            <w:pPr>
              <w:spacing w:after="0"/>
              <w:jc w:val="center"/>
              <w:rPr>
                <w:rFonts w:asciiTheme="minorHAnsi" w:hAnsiTheme="minorHAnsi" w:cstheme="minorHAnsi"/>
                <w:sz w:val="20"/>
                <w:szCs w:val="20"/>
              </w:rPr>
            </w:pPr>
            <w:r>
              <w:rPr>
                <w:rFonts w:asciiTheme="minorHAnsi" w:hAnsiTheme="minorHAnsi" w:cstheme="minorHAnsi"/>
                <w:sz w:val="20"/>
                <w:szCs w:val="20"/>
              </w:rPr>
              <w:t>43.3%</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23675ED2" w14:textId="25B106E0" w:rsidR="004C5883" w:rsidRPr="004A1A02" w:rsidRDefault="004C5883" w:rsidP="004507C9">
            <w:pPr>
              <w:spacing w:after="0"/>
              <w:jc w:val="center"/>
              <w:rPr>
                <w:rFonts w:asciiTheme="minorHAnsi" w:hAnsiTheme="minorHAnsi" w:cstheme="minorHAnsi"/>
                <w:sz w:val="20"/>
                <w:szCs w:val="20"/>
              </w:rPr>
            </w:pPr>
            <w:r w:rsidRPr="00320E81">
              <w:rPr>
                <w:rFonts w:asciiTheme="minorHAnsi" w:hAnsiTheme="minorHAnsi" w:cstheme="minorHAnsi"/>
                <w:sz w:val="20"/>
                <w:szCs w:val="20"/>
              </w:rPr>
              <w:t>NR</w:t>
            </w:r>
          </w:p>
        </w:tc>
        <w:tc>
          <w:tcPr>
            <w:tcW w:w="1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FAD6911" w14:textId="026432F1" w:rsidR="004C5883" w:rsidRPr="004A1A02" w:rsidRDefault="004C5883" w:rsidP="004507C9">
            <w:pPr>
              <w:spacing w:after="0"/>
              <w:jc w:val="center"/>
              <w:rPr>
                <w:rFonts w:asciiTheme="minorHAnsi" w:hAnsiTheme="minorHAnsi" w:cstheme="minorHAnsi"/>
                <w:sz w:val="20"/>
                <w:szCs w:val="20"/>
              </w:rPr>
            </w:pPr>
            <w:r>
              <w:rPr>
                <w:rFonts w:asciiTheme="minorHAnsi" w:hAnsiTheme="minorHAnsi" w:cstheme="minorHAnsi"/>
                <w:sz w:val="20"/>
                <w:szCs w:val="20"/>
              </w:rPr>
              <w:t>33.4%</w:t>
            </w:r>
          </w:p>
        </w:tc>
        <w:tc>
          <w:tcPr>
            <w:tcW w:w="1713"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4AA495A7" w14:textId="1C0CDDAA" w:rsidR="004C5883" w:rsidRPr="00F61604" w:rsidRDefault="00B01BE9" w:rsidP="004507C9">
            <w:pPr>
              <w:spacing w:after="0"/>
              <w:jc w:val="center"/>
              <w:rPr>
                <w:rFonts w:asciiTheme="minorHAnsi" w:hAnsiTheme="minorHAnsi" w:cstheme="minorHAnsi"/>
                <w:color w:val="FF0000"/>
                <w:sz w:val="20"/>
                <w:szCs w:val="20"/>
              </w:rPr>
            </w:pPr>
            <w:r w:rsidRPr="00B01BE9">
              <w:rPr>
                <w:rFonts w:asciiTheme="minorHAnsi" w:hAnsiTheme="minorHAnsi" w:cstheme="minorHAnsi"/>
                <w:sz w:val="20"/>
                <w:szCs w:val="20"/>
              </w:rPr>
              <w:t>48.9%</w:t>
            </w:r>
          </w:p>
        </w:tc>
        <w:tc>
          <w:tcPr>
            <w:tcW w:w="1527" w:type="dxa"/>
            <w:tcBorders>
              <w:top w:val="single" w:sz="4" w:space="0" w:color="auto"/>
              <w:left w:val="nil"/>
              <w:bottom w:val="single" w:sz="4" w:space="0" w:color="000000"/>
              <w:right w:val="single" w:sz="4" w:space="0" w:color="000000"/>
            </w:tcBorders>
            <w:shd w:val="clear" w:color="auto" w:fill="auto"/>
            <w:noWrap/>
            <w:vAlign w:val="center"/>
          </w:tcPr>
          <w:p w14:paraId="270E17C3" w14:textId="41F2E3D5" w:rsidR="004C5883" w:rsidRPr="00F61604" w:rsidRDefault="00B01BE9" w:rsidP="004507C9">
            <w:pPr>
              <w:spacing w:after="0"/>
              <w:jc w:val="center"/>
              <w:rPr>
                <w:rFonts w:asciiTheme="minorHAnsi" w:hAnsiTheme="minorHAnsi" w:cstheme="minorHAnsi"/>
                <w:color w:val="FF0000"/>
                <w:sz w:val="20"/>
                <w:szCs w:val="20"/>
              </w:rPr>
            </w:pPr>
            <w:r w:rsidRPr="00B01BE9">
              <w:rPr>
                <w:rFonts w:asciiTheme="minorHAnsi" w:hAnsiTheme="minorHAnsi" w:cstheme="minorHAnsi"/>
                <w:sz w:val="20"/>
                <w:szCs w:val="20"/>
              </w:rPr>
              <w:t>41.2%</w:t>
            </w:r>
          </w:p>
        </w:tc>
        <w:tc>
          <w:tcPr>
            <w:tcW w:w="1250" w:type="dxa"/>
            <w:tcBorders>
              <w:top w:val="single" w:sz="4" w:space="0" w:color="auto"/>
              <w:left w:val="nil"/>
              <w:bottom w:val="single" w:sz="4" w:space="0" w:color="000000"/>
              <w:right w:val="single" w:sz="4" w:space="0" w:color="000000"/>
            </w:tcBorders>
          </w:tcPr>
          <w:p w14:paraId="33348C86" w14:textId="2B218F7D" w:rsidR="004C5883" w:rsidRDefault="00B01BE9" w:rsidP="004507C9">
            <w:pPr>
              <w:spacing w:after="0"/>
              <w:jc w:val="center"/>
              <w:rPr>
                <w:rFonts w:asciiTheme="minorHAnsi" w:hAnsiTheme="minorHAnsi" w:cstheme="minorHAnsi"/>
                <w:sz w:val="20"/>
                <w:szCs w:val="20"/>
              </w:rPr>
            </w:pPr>
            <w:r>
              <w:rPr>
                <w:rFonts w:asciiTheme="minorHAnsi" w:hAnsiTheme="minorHAnsi" w:cstheme="minorHAnsi"/>
                <w:sz w:val="20"/>
                <w:szCs w:val="20"/>
              </w:rPr>
              <w:t>36.8%</w:t>
            </w:r>
          </w:p>
        </w:tc>
      </w:tr>
      <w:tr w:rsidR="003352F5" w:rsidRPr="00F26259" w14:paraId="30E1505C" w14:textId="6F6276F2" w:rsidTr="003352F5">
        <w:trPr>
          <w:trHeight w:val="476"/>
          <w:jc w:val="center"/>
        </w:trPr>
        <w:tc>
          <w:tcPr>
            <w:tcW w:w="1368" w:type="dxa"/>
            <w:tcBorders>
              <w:top w:val="nil"/>
              <w:left w:val="single" w:sz="4" w:space="0" w:color="000000"/>
              <w:bottom w:val="single" w:sz="4" w:space="0" w:color="000000"/>
              <w:right w:val="single" w:sz="4" w:space="0" w:color="000000"/>
            </w:tcBorders>
            <w:shd w:val="clear" w:color="auto" w:fill="auto"/>
            <w:noWrap/>
          </w:tcPr>
          <w:p w14:paraId="3881D889" w14:textId="7FA5C76D" w:rsidR="004C5883" w:rsidRPr="00F26259" w:rsidRDefault="004C5883" w:rsidP="002B34C8">
            <w:pPr>
              <w:spacing w:after="0"/>
              <w:jc w:val="center"/>
              <w:rPr>
                <w:rFonts w:asciiTheme="minorHAnsi" w:eastAsia="Times New Roman" w:hAnsiTheme="minorHAnsi" w:cstheme="minorHAnsi"/>
                <w:color w:val="000000"/>
                <w:sz w:val="20"/>
                <w:szCs w:val="20"/>
              </w:rPr>
            </w:pPr>
            <w:r>
              <w:rPr>
                <w:rFonts w:cs="Calibri"/>
                <w:color w:val="000000"/>
                <w:sz w:val="20"/>
                <w:szCs w:val="20"/>
              </w:rPr>
              <w:t>IET</w:t>
            </w:r>
          </w:p>
        </w:tc>
        <w:tc>
          <w:tcPr>
            <w:tcW w:w="8476" w:type="dxa"/>
            <w:tcBorders>
              <w:top w:val="nil"/>
              <w:left w:val="nil"/>
              <w:bottom w:val="single" w:sz="4" w:space="0" w:color="auto"/>
              <w:right w:val="single" w:sz="4" w:space="0" w:color="auto"/>
            </w:tcBorders>
            <w:shd w:val="clear" w:color="auto" w:fill="auto"/>
          </w:tcPr>
          <w:p w14:paraId="685CDD6E" w14:textId="7C0CE3DE" w:rsidR="004C5883" w:rsidRPr="00B03E9B" w:rsidRDefault="004C5883" w:rsidP="002B34C8">
            <w:pPr>
              <w:spacing w:after="0"/>
              <w:rPr>
                <w:rFonts w:asciiTheme="minorHAnsi" w:eastAsia="Times New Roman" w:hAnsiTheme="minorHAnsi" w:cstheme="minorHAnsi"/>
                <w:sz w:val="20"/>
                <w:szCs w:val="20"/>
              </w:rPr>
            </w:pPr>
            <w:r w:rsidRPr="001D2192">
              <w:rPr>
                <w:rFonts w:cs="Calibri"/>
                <w:sz w:val="20"/>
                <w:szCs w:val="20"/>
              </w:rPr>
              <w:t>Initiation and Engagement of Alcohol, Opioid, or Other Drug Abuse or Dependence Treatment -Initiation (18-64)</w:t>
            </w:r>
          </w:p>
        </w:tc>
        <w:tc>
          <w:tcPr>
            <w:tcW w:w="1107" w:type="dxa"/>
            <w:tcBorders>
              <w:top w:val="nil"/>
              <w:left w:val="nil"/>
              <w:bottom w:val="single" w:sz="4" w:space="0" w:color="auto"/>
              <w:right w:val="single" w:sz="4" w:space="0" w:color="auto"/>
            </w:tcBorders>
            <w:vAlign w:val="center"/>
          </w:tcPr>
          <w:p w14:paraId="04813EBB" w14:textId="710DA8C0" w:rsidR="004C5883" w:rsidRPr="004A1A02" w:rsidRDefault="004C5883" w:rsidP="002B34C8">
            <w:pPr>
              <w:spacing w:after="0"/>
              <w:jc w:val="center"/>
              <w:rPr>
                <w:rFonts w:asciiTheme="minorHAnsi" w:hAnsiTheme="minorHAnsi" w:cstheme="minorHAnsi"/>
                <w:sz w:val="20"/>
                <w:szCs w:val="20"/>
              </w:rPr>
            </w:pPr>
            <w:r w:rsidRPr="004A1A02">
              <w:rPr>
                <w:rFonts w:asciiTheme="minorHAnsi" w:hAnsiTheme="minorHAnsi" w:cstheme="minorHAnsi"/>
                <w:sz w:val="20"/>
                <w:szCs w:val="20"/>
              </w:rPr>
              <w:t>48.1%</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DA7A0BF" w14:textId="6DE1E1F0" w:rsidR="004C5883" w:rsidRPr="004A1A02" w:rsidRDefault="004C5883" w:rsidP="002B34C8">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46.7%</w:t>
            </w:r>
          </w:p>
        </w:tc>
        <w:tc>
          <w:tcPr>
            <w:tcW w:w="144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2CEACC8" w14:textId="7965D208" w:rsidR="004C5883" w:rsidRPr="004A1A02" w:rsidRDefault="004C5883" w:rsidP="002B34C8">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48.3%</w:t>
            </w:r>
          </w:p>
        </w:tc>
        <w:tc>
          <w:tcPr>
            <w:tcW w:w="1713" w:type="dxa"/>
            <w:tcBorders>
              <w:top w:val="nil"/>
              <w:left w:val="nil"/>
              <w:bottom w:val="single" w:sz="4" w:space="0" w:color="000000"/>
              <w:right w:val="single" w:sz="4" w:space="0" w:color="000000"/>
            </w:tcBorders>
            <w:shd w:val="clear" w:color="auto" w:fill="auto"/>
            <w:noWrap/>
            <w:vAlign w:val="center"/>
          </w:tcPr>
          <w:p w14:paraId="233AA2E1" w14:textId="76942B25" w:rsidR="004C5883" w:rsidRPr="00F61604" w:rsidRDefault="00C0688A" w:rsidP="002B34C8">
            <w:pPr>
              <w:spacing w:after="0"/>
              <w:jc w:val="center"/>
              <w:rPr>
                <w:rFonts w:asciiTheme="minorHAnsi" w:eastAsia="Times New Roman" w:hAnsiTheme="minorHAnsi" w:cstheme="minorHAnsi"/>
                <w:color w:val="FF0000"/>
                <w:sz w:val="20"/>
                <w:szCs w:val="20"/>
              </w:rPr>
            </w:pPr>
            <w:r w:rsidRPr="00C0688A">
              <w:rPr>
                <w:rFonts w:asciiTheme="minorHAnsi" w:eastAsia="Times New Roman" w:hAnsiTheme="minorHAnsi" w:cstheme="minorHAnsi"/>
                <w:sz w:val="20"/>
                <w:szCs w:val="20"/>
              </w:rPr>
              <w:t>41.</w:t>
            </w:r>
            <w:r w:rsidR="002D2BB1">
              <w:rPr>
                <w:rFonts w:asciiTheme="minorHAnsi" w:eastAsia="Times New Roman" w:hAnsiTheme="minorHAnsi" w:cstheme="minorHAnsi"/>
                <w:sz w:val="20"/>
                <w:szCs w:val="20"/>
              </w:rPr>
              <w:t>0</w:t>
            </w:r>
            <w:r w:rsidRPr="00C0688A">
              <w:rPr>
                <w:rFonts w:asciiTheme="minorHAnsi" w:eastAsia="Times New Roman" w:hAnsiTheme="minorHAnsi" w:cstheme="minorHAnsi"/>
                <w:sz w:val="20"/>
                <w:szCs w:val="20"/>
              </w:rPr>
              <w:t>%</w:t>
            </w:r>
          </w:p>
        </w:tc>
        <w:tc>
          <w:tcPr>
            <w:tcW w:w="1527" w:type="dxa"/>
            <w:tcBorders>
              <w:top w:val="nil"/>
              <w:left w:val="nil"/>
              <w:bottom w:val="single" w:sz="4" w:space="0" w:color="000000"/>
              <w:right w:val="single" w:sz="4" w:space="0" w:color="000000"/>
            </w:tcBorders>
            <w:shd w:val="clear" w:color="auto" w:fill="auto"/>
            <w:noWrap/>
            <w:vAlign w:val="center"/>
          </w:tcPr>
          <w:p w14:paraId="1B874EA8" w14:textId="11F06834" w:rsidR="004C5883" w:rsidRPr="00F61604" w:rsidRDefault="002D2BB1" w:rsidP="002B34C8">
            <w:pPr>
              <w:spacing w:after="0"/>
              <w:jc w:val="center"/>
              <w:rPr>
                <w:rFonts w:asciiTheme="minorHAnsi" w:eastAsia="Times New Roman" w:hAnsiTheme="minorHAnsi" w:cstheme="minorHAnsi"/>
                <w:color w:val="FF0000"/>
                <w:sz w:val="20"/>
                <w:szCs w:val="20"/>
              </w:rPr>
            </w:pPr>
            <w:r w:rsidRPr="002D2BB1">
              <w:rPr>
                <w:rFonts w:asciiTheme="minorHAnsi" w:eastAsia="Times New Roman" w:hAnsiTheme="minorHAnsi" w:cstheme="minorHAnsi"/>
                <w:sz w:val="20"/>
                <w:szCs w:val="20"/>
              </w:rPr>
              <w:t>43.4%</w:t>
            </w:r>
          </w:p>
        </w:tc>
        <w:tc>
          <w:tcPr>
            <w:tcW w:w="1250" w:type="dxa"/>
            <w:tcBorders>
              <w:top w:val="nil"/>
              <w:left w:val="nil"/>
              <w:bottom w:val="single" w:sz="4" w:space="0" w:color="000000"/>
              <w:right w:val="single" w:sz="4" w:space="0" w:color="000000"/>
            </w:tcBorders>
          </w:tcPr>
          <w:p w14:paraId="1407B5C9" w14:textId="70D0E871" w:rsidR="004C5883" w:rsidRDefault="002D2BB1" w:rsidP="002B34C8">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47.7%</w:t>
            </w:r>
          </w:p>
        </w:tc>
      </w:tr>
      <w:tr w:rsidR="003352F5" w:rsidRPr="00F26259" w14:paraId="34592448" w14:textId="7ED4FCF3" w:rsidTr="003352F5">
        <w:trPr>
          <w:trHeight w:val="215"/>
          <w:jc w:val="center"/>
        </w:trPr>
        <w:tc>
          <w:tcPr>
            <w:tcW w:w="1368" w:type="dxa"/>
            <w:tcBorders>
              <w:top w:val="single" w:sz="4" w:space="0" w:color="auto"/>
              <w:left w:val="single" w:sz="4" w:space="0" w:color="000000"/>
              <w:bottom w:val="single" w:sz="4" w:space="0" w:color="000000"/>
              <w:right w:val="single" w:sz="4" w:space="0" w:color="000000"/>
            </w:tcBorders>
            <w:shd w:val="clear" w:color="auto" w:fill="auto"/>
            <w:noWrap/>
          </w:tcPr>
          <w:p w14:paraId="535244BC" w14:textId="3C3FA495" w:rsidR="004C5883" w:rsidRDefault="004C5883" w:rsidP="002B34C8">
            <w:pPr>
              <w:spacing w:after="0"/>
              <w:jc w:val="center"/>
              <w:rPr>
                <w:rFonts w:asciiTheme="minorHAnsi" w:eastAsia="Times New Roman" w:hAnsiTheme="minorHAnsi" w:cstheme="minorHAnsi"/>
                <w:color w:val="000000"/>
                <w:sz w:val="20"/>
                <w:szCs w:val="20"/>
              </w:rPr>
            </w:pPr>
            <w:r>
              <w:rPr>
                <w:rFonts w:cs="Calibri"/>
                <w:color w:val="000000"/>
                <w:sz w:val="20"/>
                <w:szCs w:val="20"/>
              </w:rPr>
              <w:t>IET</w:t>
            </w:r>
          </w:p>
        </w:tc>
        <w:tc>
          <w:tcPr>
            <w:tcW w:w="8476" w:type="dxa"/>
            <w:tcBorders>
              <w:top w:val="single" w:sz="4" w:space="0" w:color="auto"/>
              <w:left w:val="nil"/>
              <w:bottom w:val="single" w:sz="4" w:space="0" w:color="auto"/>
              <w:right w:val="single" w:sz="4" w:space="0" w:color="auto"/>
            </w:tcBorders>
            <w:shd w:val="clear" w:color="auto" w:fill="auto"/>
          </w:tcPr>
          <w:p w14:paraId="1623D09E" w14:textId="6DD1096D" w:rsidR="004C5883" w:rsidRPr="00B03E9B" w:rsidRDefault="004C5883" w:rsidP="002B34C8">
            <w:pPr>
              <w:spacing w:after="0"/>
              <w:rPr>
                <w:rFonts w:cs="Calibri"/>
                <w:color w:val="000000"/>
                <w:sz w:val="20"/>
                <w:szCs w:val="20"/>
              </w:rPr>
            </w:pPr>
            <w:r w:rsidRPr="001D2192">
              <w:rPr>
                <w:rFonts w:cs="Calibri"/>
                <w:sz w:val="20"/>
                <w:szCs w:val="20"/>
              </w:rPr>
              <w:t>Initiation and Engagement of Alcohol, Opioid, or Other Drug Abuse or Dependence Treatment -Engagement (18-64)</w:t>
            </w:r>
          </w:p>
        </w:tc>
        <w:tc>
          <w:tcPr>
            <w:tcW w:w="1107" w:type="dxa"/>
            <w:tcBorders>
              <w:top w:val="single" w:sz="4" w:space="0" w:color="auto"/>
              <w:bottom w:val="single" w:sz="4" w:space="0" w:color="auto"/>
              <w:right w:val="single" w:sz="4" w:space="0" w:color="auto"/>
            </w:tcBorders>
            <w:vAlign w:val="center"/>
          </w:tcPr>
          <w:p w14:paraId="3DCE369F" w14:textId="58DB2E3F" w:rsidR="004C5883" w:rsidRPr="004A1A02" w:rsidRDefault="004C5883" w:rsidP="002B34C8">
            <w:pPr>
              <w:spacing w:after="0"/>
              <w:jc w:val="center"/>
              <w:rPr>
                <w:rFonts w:asciiTheme="minorHAnsi" w:hAnsiTheme="minorHAnsi" w:cstheme="minorHAnsi"/>
                <w:sz w:val="20"/>
                <w:szCs w:val="20"/>
              </w:rPr>
            </w:pPr>
            <w:r w:rsidRPr="004A1A02">
              <w:rPr>
                <w:rFonts w:asciiTheme="minorHAnsi" w:hAnsiTheme="minorHAnsi" w:cstheme="minorHAnsi"/>
                <w:color w:val="000000"/>
                <w:sz w:val="20"/>
                <w:szCs w:val="20"/>
              </w:rPr>
              <w:t>17.</w:t>
            </w:r>
            <w:r>
              <w:rPr>
                <w:rFonts w:asciiTheme="minorHAnsi" w:hAnsiTheme="minorHAnsi" w:cstheme="minorHAnsi"/>
                <w:color w:val="000000"/>
                <w:sz w:val="20"/>
                <w:szCs w:val="20"/>
              </w:rPr>
              <w:t>5</w:t>
            </w:r>
            <w:r w:rsidRPr="004A1A02">
              <w:rPr>
                <w:rFonts w:asciiTheme="minorHAnsi" w:hAnsiTheme="minorHAnsi" w:cstheme="minorHAnsi"/>
                <w:color w:val="000000"/>
                <w:sz w:val="20"/>
                <w:szCs w:val="20"/>
              </w:rPr>
              <w:t>%</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706FB96" w14:textId="65838FE2" w:rsidR="004C5883" w:rsidRPr="004A1A02" w:rsidRDefault="004C5883" w:rsidP="002B34C8">
            <w:pPr>
              <w:spacing w:after="0"/>
              <w:jc w:val="center"/>
              <w:rPr>
                <w:rFonts w:asciiTheme="minorHAnsi" w:hAnsiTheme="minorHAnsi" w:cstheme="minorHAnsi"/>
                <w:sz w:val="20"/>
                <w:szCs w:val="20"/>
              </w:rPr>
            </w:pPr>
            <w:r>
              <w:rPr>
                <w:rFonts w:asciiTheme="minorHAnsi" w:hAnsiTheme="minorHAnsi" w:cstheme="minorHAnsi"/>
                <w:sz w:val="20"/>
                <w:szCs w:val="20"/>
              </w:rPr>
              <w:t>16.7%</w:t>
            </w:r>
          </w:p>
        </w:tc>
        <w:tc>
          <w:tcPr>
            <w:tcW w:w="1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1EEA08D" w14:textId="0070CF65" w:rsidR="004C5883" w:rsidRPr="004A1A02" w:rsidRDefault="004C5883" w:rsidP="002B34C8">
            <w:pPr>
              <w:spacing w:after="0"/>
              <w:jc w:val="center"/>
              <w:rPr>
                <w:rFonts w:asciiTheme="minorHAnsi" w:hAnsiTheme="minorHAnsi" w:cstheme="minorHAnsi"/>
                <w:sz w:val="20"/>
                <w:szCs w:val="20"/>
              </w:rPr>
            </w:pPr>
            <w:r>
              <w:rPr>
                <w:rFonts w:asciiTheme="minorHAnsi" w:hAnsiTheme="minorHAnsi" w:cstheme="minorHAnsi"/>
                <w:sz w:val="20"/>
                <w:szCs w:val="20"/>
              </w:rPr>
              <w:t>18.3%</w:t>
            </w:r>
          </w:p>
        </w:tc>
        <w:tc>
          <w:tcPr>
            <w:tcW w:w="1713"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75C29CD7" w14:textId="63A6BB74" w:rsidR="004C5883" w:rsidRPr="00F61604" w:rsidRDefault="002D2BB1" w:rsidP="002B34C8">
            <w:pPr>
              <w:spacing w:after="0"/>
              <w:jc w:val="center"/>
              <w:rPr>
                <w:rFonts w:asciiTheme="minorHAnsi" w:hAnsiTheme="minorHAnsi" w:cstheme="minorHAnsi"/>
                <w:color w:val="FF0000"/>
                <w:sz w:val="20"/>
                <w:szCs w:val="20"/>
              </w:rPr>
            </w:pPr>
            <w:r w:rsidRPr="002D2BB1">
              <w:rPr>
                <w:rFonts w:asciiTheme="minorHAnsi" w:hAnsiTheme="minorHAnsi" w:cstheme="minorHAnsi"/>
                <w:sz w:val="20"/>
                <w:szCs w:val="20"/>
              </w:rPr>
              <w:t>10.5%</w:t>
            </w:r>
          </w:p>
        </w:tc>
        <w:tc>
          <w:tcPr>
            <w:tcW w:w="1527" w:type="dxa"/>
            <w:tcBorders>
              <w:top w:val="single" w:sz="4" w:space="0" w:color="auto"/>
              <w:left w:val="nil"/>
              <w:bottom w:val="single" w:sz="4" w:space="0" w:color="000000"/>
              <w:right w:val="single" w:sz="4" w:space="0" w:color="000000"/>
            </w:tcBorders>
            <w:shd w:val="clear" w:color="auto" w:fill="auto"/>
            <w:noWrap/>
            <w:vAlign w:val="center"/>
          </w:tcPr>
          <w:p w14:paraId="4607CD3B" w14:textId="39598767" w:rsidR="004C5883" w:rsidRPr="00F61604" w:rsidRDefault="002D2BB1" w:rsidP="002B34C8">
            <w:pPr>
              <w:spacing w:after="0"/>
              <w:jc w:val="center"/>
              <w:rPr>
                <w:rFonts w:asciiTheme="minorHAnsi" w:hAnsiTheme="minorHAnsi" w:cstheme="minorHAnsi"/>
                <w:color w:val="FF0000"/>
                <w:sz w:val="20"/>
                <w:szCs w:val="20"/>
              </w:rPr>
            </w:pPr>
            <w:r w:rsidRPr="002D2BB1">
              <w:rPr>
                <w:rFonts w:asciiTheme="minorHAnsi" w:hAnsiTheme="minorHAnsi" w:cstheme="minorHAnsi"/>
                <w:sz w:val="20"/>
                <w:szCs w:val="20"/>
              </w:rPr>
              <w:t>15.8%</w:t>
            </w:r>
          </w:p>
        </w:tc>
        <w:tc>
          <w:tcPr>
            <w:tcW w:w="1250" w:type="dxa"/>
            <w:tcBorders>
              <w:top w:val="single" w:sz="4" w:space="0" w:color="auto"/>
              <w:left w:val="nil"/>
              <w:bottom w:val="single" w:sz="4" w:space="0" w:color="000000"/>
              <w:right w:val="single" w:sz="4" w:space="0" w:color="000000"/>
            </w:tcBorders>
          </w:tcPr>
          <w:p w14:paraId="170BEFD4" w14:textId="33FA8D72" w:rsidR="004C5883" w:rsidRDefault="002D2BB1" w:rsidP="002B34C8">
            <w:pPr>
              <w:spacing w:after="0"/>
              <w:jc w:val="center"/>
              <w:rPr>
                <w:rFonts w:asciiTheme="minorHAnsi" w:hAnsiTheme="minorHAnsi" w:cstheme="minorHAnsi"/>
                <w:sz w:val="20"/>
                <w:szCs w:val="20"/>
              </w:rPr>
            </w:pPr>
            <w:r>
              <w:rPr>
                <w:rFonts w:asciiTheme="minorHAnsi" w:hAnsiTheme="minorHAnsi" w:cstheme="minorHAnsi"/>
                <w:sz w:val="20"/>
                <w:szCs w:val="20"/>
              </w:rPr>
              <w:t>18.5%</w:t>
            </w:r>
          </w:p>
        </w:tc>
      </w:tr>
      <w:tr w:rsidR="003352F5" w:rsidRPr="00F26259" w14:paraId="34843E0F" w14:textId="36F6B831" w:rsidTr="003352F5">
        <w:trPr>
          <w:trHeight w:val="215"/>
          <w:jc w:val="center"/>
        </w:trPr>
        <w:tc>
          <w:tcPr>
            <w:tcW w:w="1368" w:type="dxa"/>
            <w:tcBorders>
              <w:top w:val="single" w:sz="4" w:space="0" w:color="auto"/>
              <w:left w:val="single" w:sz="4" w:space="0" w:color="000000"/>
              <w:bottom w:val="single" w:sz="4" w:space="0" w:color="000000"/>
              <w:right w:val="single" w:sz="4" w:space="0" w:color="000000"/>
            </w:tcBorders>
            <w:shd w:val="clear" w:color="auto" w:fill="auto"/>
            <w:noWrap/>
          </w:tcPr>
          <w:p w14:paraId="5763878C" w14:textId="5E9692ED" w:rsidR="004C5883" w:rsidRDefault="004C5883" w:rsidP="002B34C8">
            <w:pPr>
              <w:spacing w:after="0"/>
              <w:jc w:val="center"/>
              <w:rPr>
                <w:rFonts w:cs="Calibri"/>
                <w:color w:val="000000"/>
                <w:sz w:val="20"/>
                <w:szCs w:val="20"/>
              </w:rPr>
            </w:pPr>
            <w:r>
              <w:rPr>
                <w:rFonts w:cs="Calibri"/>
                <w:color w:val="000000"/>
                <w:sz w:val="20"/>
                <w:szCs w:val="20"/>
              </w:rPr>
              <w:t>MSC</w:t>
            </w:r>
          </w:p>
        </w:tc>
        <w:tc>
          <w:tcPr>
            <w:tcW w:w="8476" w:type="dxa"/>
            <w:tcBorders>
              <w:top w:val="single" w:sz="4" w:space="0" w:color="auto"/>
              <w:left w:val="nil"/>
              <w:bottom w:val="single" w:sz="4" w:space="0" w:color="auto"/>
              <w:right w:val="single" w:sz="4" w:space="0" w:color="auto"/>
            </w:tcBorders>
            <w:shd w:val="clear" w:color="auto" w:fill="auto"/>
          </w:tcPr>
          <w:p w14:paraId="2053F5A8" w14:textId="14B13FFE" w:rsidR="004C5883" w:rsidRPr="00B03E9B" w:rsidRDefault="004C5883" w:rsidP="002B34C8">
            <w:pPr>
              <w:spacing w:after="0"/>
              <w:rPr>
                <w:rFonts w:cs="Calibri"/>
                <w:sz w:val="20"/>
                <w:szCs w:val="20"/>
              </w:rPr>
            </w:pPr>
            <w:r w:rsidRPr="00B03E9B">
              <w:rPr>
                <w:rFonts w:cs="Calibri"/>
                <w:color w:val="000000"/>
                <w:sz w:val="20"/>
                <w:szCs w:val="20"/>
              </w:rPr>
              <w:t>Medical Assistance with Smoking and Tobacco Use Cessation - Advising Smokers to Quit</w:t>
            </w:r>
          </w:p>
        </w:tc>
        <w:tc>
          <w:tcPr>
            <w:tcW w:w="1107" w:type="dxa"/>
            <w:tcBorders>
              <w:top w:val="single" w:sz="4" w:space="0" w:color="auto"/>
              <w:bottom w:val="single" w:sz="4" w:space="0" w:color="auto"/>
              <w:right w:val="single" w:sz="4" w:space="0" w:color="auto"/>
            </w:tcBorders>
            <w:vAlign w:val="center"/>
          </w:tcPr>
          <w:p w14:paraId="5003E1CE" w14:textId="51F73593" w:rsidR="004C5883" w:rsidRPr="004A1A02" w:rsidRDefault="004C5883" w:rsidP="002B34C8">
            <w:pPr>
              <w:spacing w:after="0"/>
              <w:jc w:val="center"/>
              <w:rPr>
                <w:rFonts w:asciiTheme="minorHAnsi" w:hAnsiTheme="minorHAnsi" w:cstheme="minorHAnsi"/>
                <w:color w:val="000000"/>
                <w:sz w:val="20"/>
                <w:szCs w:val="20"/>
              </w:rPr>
            </w:pPr>
            <w:r>
              <w:rPr>
                <w:rFonts w:asciiTheme="minorHAnsi" w:hAnsiTheme="minorHAnsi" w:cstheme="minorHAnsi"/>
                <w:color w:val="000000"/>
                <w:sz w:val="20"/>
                <w:szCs w:val="20"/>
              </w:rPr>
              <w:t>80.4%</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FFA8962" w14:textId="267CDBCA" w:rsidR="004C5883" w:rsidRPr="004A1A02" w:rsidRDefault="004C5883" w:rsidP="002B34C8">
            <w:pPr>
              <w:spacing w:after="0"/>
              <w:jc w:val="center"/>
              <w:rPr>
                <w:rFonts w:asciiTheme="minorHAnsi" w:hAnsiTheme="minorHAnsi" w:cstheme="minorHAnsi"/>
                <w:color w:val="000000"/>
                <w:sz w:val="20"/>
                <w:szCs w:val="20"/>
              </w:rPr>
            </w:pPr>
            <w:r>
              <w:rPr>
                <w:rFonts w:asciiTheme="minorHAnsi" w:hAnsiTheme="minorHAnsi" w:cstheme="minorHAnsi"/>
                <w:color w:val="000000"/>
                <w:sz w:val="20"/>
                <w:szCs w:val="20"/>
              </w:rPr>
              <w:t>74.3%</w:t>
            </w:r>
          </w:p>
        </w:tc>
        <w:tc>
          <w:tcPr>
            <w:tcW w:w="1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753D83" w14:textId="1A7DC699" w:rsidR="004C5883" w:rsidRPr="004A1A02" w:rsidRDefault="004C5883" w:rsidP="002B34C8">
            <w:pPr>
              <w:spacing w:after="0"/>
              <w:jc w:val="center"/>
              <w:rPr>
                <w:rFonts w:asciiTheme="minorHAnsi" w:hAnsiTheme="minorHAnsi" w:cstheme="minorHAnsi"/>
                <w:color w:val="000000"/>
                <w:sz w:val="20"/>
                <w:szCs w:val="20"/>
              </w:rPr>
            </w:pPr>
            <w:r>
              <w:rPr>
                <w:rFonts w:asciiTheme="minorHAnsi" w:hAnsiTheme="minorHAnsi" w:cstheme="minorHAnsi"/>
                <w:color w:val="000000"/>
                <w:sz w:val="20"/>
                <w:szCs w:val="20"/>
              </w:rPr>
              <w:t>76.5%</w:t>
            </w:r>
          </w:p>
        </w:tc>
        <w:tc>
          <w:tcPr>
            <w:tcW w:w="1713"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71C573F3" w14:textId="539A9A62" w:rsidR="004C5883" w:rsidRPr="00F61604" w:rsidRDefault="007D28ED" w:rsidP="002B34C8">
            <w:pPr>
              <w:spacing w:after="0"/>
              <w:jc w:val="center"/>
              <w:rPr>
                <w:rFonts w:asciiTheme="minorHAnsi" w:hAnsiTheme="minorHAnsi" w:cstheme="minorHAnsi"/>
                <w:color w:val="FF0000"/>
                <w:sz w:val="20"/>
                <w:szCs w:val="20"/>
              </w:rPr>
            </w:pPr>
            <w:r w:rsidRPr="007D28ED">
              <w:rPr>
                <w:rFonts w:asciiTheme="minorHAnsi" w:hAnsiTheme="minorHAnsi" w:cstheme="minorHAnsi"/>
                <w:sz w:val="20"/>
                <w:szCs w:val="20"/>
              </w:rPr>
              <w:t>64.6%</w:t>
            </w:r>
          </w:p>
        </w:tc>
        <w:tc>
          <w:tcPr>
            <w:tcW w:w="1527" w:type="dxa"/>
            <w:tcBorders>
              <w:top w:val="single" w:sz="4" w:space="0" w:color="auto"/>
              <w:left w:val="nil"/>
              <w:bottom w:val="single" w:sz="4" w:space="0" w:color="000000"/>
              <w:right w:val="single" w:sz="4" w:space="0" w:color="000000"/>
            </w:tcBorders>
            <w:shd w:val="clear" w:color="auto" w:fill="auto"/>
            <w:noWrap/>
            <w:vAlign w:val="center"/>
          </w:tcPr>
          <w:p w14:paraId="3EFE154F" w14:textId="66876A02" w:rsidR="004C5883" w:rsidRPr="00F61604" w:rsidRDefault="007D28ED" w:rsidP="002B34C8">
            <w:pPr>
              <w:spacing w:after="0"/>
              <w:jc w:val="center"/>
              <w:rPr>
                <w:rFonts w:asciiTheme="minorHAnsi" w:hAnsiTheme="minorHAnsi" w:cstheme="minorHAnsi"/>
                <w:color w:val="FF0000"/>
                <w:sz w:val="20"/>
                <w:szCs w:val="20"/>
              </w:rPr>
            </w:pPr>
            <w:r w:rsidRPr="007D28ED">
              <w:rPr>
                <w:rFonts w:asciiTheme="minorHAnsi" w:hAnsiTheme="minorHAnsi" w:cstheme="minorHAnsi"/>
                <w:sz w:val="20"/>
                <w:szCs w:val="20"/>
              </w:rPr>
              <w:t>72.6%</w:t>
            </w:r>
          </w:p>
        </w:tc>
        <w:tc>
          <w:tcPr>
            <w:tcW w:w="1250" w:type="dxa"/>
            <w:tcBorders>
              <w:top w:val="single" w:sz="4" w:space="0" w:color="auto"/>
              <w:left w:val="nil"/>
              <w:bottom w:val="single" w:sz="4" w:space="0" w:color="000000"/>
              <w:right w:val="single" w:sz="4" w:space="0" w:color="000000"/>
            </w:tcBorders>
          </w:tcPr>
          <w:p w14:paraId="1DD9E0C0" w14:textId="719B7E93" w:rsidR="004C5883" w:rsidRDefault="007D28ED" w:rsidP="002B34C8">
            <w:pPr>
              <w:spacing w:after="0"/>
              <w:jc w:val="center"/>
              <w:rPr>
                <w:rFonts w:asciiTheme="minorHAnsi" w:hAnsiTheme="minorHAnsi" w:cstheme="minorHAnsi"/>
                <w:sz w:val="20"/>
                <w:szCs w:val="20"/>
              </w:rPr>
            </w:pPr>
            <w:r>
              <w:rPr>
                <w:rFonts w:asciiTheme="minorHAnsi" w:hAnsiTheme="minorHAnsi" w:cstheme="minorHAnsi"/>
                <w:sz w:val="20"/>
                <w:szCs w:val="20"/>
              </w:rPr>
              <w:t>74.4%</w:t>
            </w:r>
          </w:p>
        </w:tc>
      </w:tr>
      <w:tr w:rsidR="003352F5" w:rsidRPr="00F26259" w14:paraId="574BC056" w14:textId="0BC5674A" w:rsidTr="003352F5">
        <w:trPr>
          <w:trHeight w:val="215"/>
          <w:jc w:val="center"/>
        </w:trPr>
        <w:tc>
          <w:tcPr>
            <w:tcW w:w="1368" w:type="dxa"/>
            <w:tcBorders>
              <w:top w:val="single" w:sz="4" w:space="0" w:color="auto"/>
              <w:left w:val="single" w:sz="4" w:space="0" w:color="000000"/>
              <w:bottom w:val="single" w:sz="4" w:space="0" w:color="000000"/>
              <w:right w:val="single" w:sz="4" w:space="0" w:color="000000"/>
            </w:tcBorders>
            <w:shd w:val="clear" w:color="auto" w:fill="auto"/>
            <w:noWrap/>
          </w:tcPr>
          <w:p w14:paraId="59FE328F" w14:textId="710302E6" w:rsidR="004C5883" w:rsidRDefault="004C5883" w:rsidP="002B34C8">
            <w:pPr>
              <w:spacing w:after="0"/>
              <w:jc w:val="center"/>
              <w:rPr>
                <w:rFonts w:cs="Calibri"/>
                <w:color w:val="000000"/>
                <w:sz w:val="20"/>
                <w:szCs w:val="20"/>
              </w:rPr>
            </w:pPr>
            <w:r>
              <w:rPr>
                <w:rFonts w:cs="Calibri"/>
                <w:color w:val="000000"/>
                <w:sz w:val="20"/>
                <w:szCs w:val="20"/>
              </w:rPr>
              <w:t>MSC</w:t>
            </w:r>
          </w:p>
        </w:tc>
        <w:tc>
          <w:tcPr>
            <w:tcW w:w="8476" w:type="dxa"/>
            <w:tcBorders>
              <w:top w:val="single" w:sz="4" w:space="0" w:color="auto"/>
              <w:left w:val="nil"/>
              <w:bottom w:val="single" w:sz="4" w:space="0" w:color="auto"/>
              <w:right w:val="single" w:sz="4" w:space="0" w:color="auto"/>
            </w:tcBorders>
            <w:shd w:val="clear" w:color="auto" w:fill="auto"/>
          </w:tcPr>
          <w:p w14:paraId="07E66F8B" w14:textId="15CD2620" w:rsidR="004C5883" w:rsidRPr="00B03E9B" w:rsidRDefault="004C5883" w:rsidP="002B34C8">
            <w:pPr>
              <w:spacing w:after="0"/>
              <w:rPr>
                <w:rFonts w:cs="Calibri"/>
                <w:color w:val="000000"/>
                <w:sz w:val="20"/>
                <w:szCs w:val="20"/>
              </w:rPr>
            </w:pPr>
            <w:r w:rsidRPr="00B03E9B">
              <w:rPr>
                <w:rFonts w:cs="Calibri"/>
                <w:color w:val="000000"/>
                <w:sz w:val="20"/>
                <w:szCs w:val="20"/>
              </w:rPr>
              <w:t>Medical Assistance with Smoking and Tobacco Use Cessation</w:t>
            </w:r>
            <w:r>
              <w:rPr>
                <w:rFonts w:cs="Calibri"/>
                <w:color w:val="000000"/>
                <w:sz w:val="20"/>
                <w:szCs w:val="20"/>
              </w:rPr>
              <w:t>: Discussing Cessation Medications</w:t>
            </w:r>
          </w:p>
        </w:tc>
        <w:tc>
          <w:tcPr>
            <w:tcW w:w="1107" w:type="dxa"/>
            <w:tcBorders>
              <w:top w:val="single" w:sz="4" w:space="0" w:color="auto"/>
              <w:bottom w:val="single" w:sz="4" w:space="0" w:color="auto"/>
              <w:right w:val="single" w:sz="4" w:space="0" w:color="auto"/>
            </w:tcBorders>
            <w:vAlign w:val="center"/>
          </w:tcPr>
          <w:p w14:paraId="2E51E7F0" w14:textId="3942A510" w:rsidR="004C5883" w:rsidRDefault="004C5883" w:rsidP="002B34C8">
            <w:pPr>
              <w:spacing w:after="0"/>
              <w:jc w:val="center"/>
              <w:rPr>
                <w:rFonts w:asciiTheme="minorHAnsi" w:hAnsiTheme="minorHAnsi" w:cstheme="minorHAnsi"/>
                <w:color w:val="000000"/>
                <w:sz w:val="20"/>
                <w:szCs w:val="20"/>
              </w:rPr>
            </w:pPr>
            <w:r>
              <w:rPr>
                <w:rFonts w:asciiTheme="minorHAnsi" w:hAnsiTheme="minorHAnsi" w:cstheme="minorHAnsi"/>
                <w:color w:val="000000"/>
                <w:sz w:val="20"/>
                <w:szCs w:val="20"/>
              </w:rPr>
              <w:t>62.2%</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73B9DC2" w14:textId="101960B4" w:rsidR="004C5883" w:rsidRPr="004A1A02" w:rsidRDefault="004C5883" w:rsidP="002B34C8">
            <w:pPr>
              <w:spacing w:after="0"/>
              <w:jc w:val="center"/>
              <w:rPr>
                <w:rFonts w:asciiTheme="minorHAnsi" w:hAnsiTheme="minorHAnsi" w:cstheme="minorHAnsi"/>
                <w:color w:val="000000"/>
                <w:sz w:val="20"/>
                <w:szCs w:val="20"/>
              </w:rPr>
            </w:pPr>
            <w:r>
              <w:rPr>
                <w:rFonts w:asciiTheme="minorHAnsi" w:hAnsiTheme="minorHAnsi" w:cstheme="minorHAnsi"/>
                <w:color w:val="000000"/>
                <w:sz w:val="20"/>
                <w:szCs w:val="20"/>
              </w:rPr>
              <w:t>57.7%</w:t>
            </w:r>
          </w:p>
        </w:tc>
        <w:tc>
          <w:tcPr>
            <w:tcW w:w="1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51FDE76" w14:textId="73DA09C7" w:rsidR="004C5883" w:rsidRPr="004A1A02" w:rsidRDefault="004C5883" w:rsidP="002B34C8">
            <w:pPr>
              <w:spacing w:after="0"/>
              <w:jc w:val="center"/>
              <w:rPr>
                <w:rFonts w:asciiTheme="minorHAnsi" w:hAnsiTheme="minorHAnsi" w:cstheme="minorHAnsi"/>
                <w:color w:val="000000"/>
                <w:sz w:val="20"/>
                <w:szCs w:val="20"/>
              </w:rPr>
            </w:pPr>
            <w:r>
              <w:rPr>
                <w:rFonts w:asciiTheme="minorHAnsi" w:hAnsiTheme="minorHAnsi" w:cstheme="minorHAnsi"/>
                <w:color w:val="000000"/>
                <w:sz w:val="20"/>
                <w:szCs w:val="20"/>
              </w:rPr>
              <w:t>61.7%</w:t>
            </w:r>
          </w:p>
        </w:tc>
        <w:tc>
          <w:tcPr>
            <w:tcW w:w="1713"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12A63D8C" w14:textId="05C572A8" w:rsidR="004C5883" w:rsidRPr="00081197" w:rsidRDefault="007D28ED" w:rsidP="002B34C8">
            <w:pPr>
              <w:spacing w:after="0"/>
              <w:jc w:val="center"/>
              <w:rPr>
                <w:rFonts w:asciiTheme="minorHAnsi" w:hAnsiTheme="minorHAnsi" w:cstheme="minorHAnsi"/>
                <w:color w:val="FF0000"/>
                <w:sz w:val="20"/>
                <w:szCs w:val="20"/>
              </w:rPr>
            </w:pPr>
            <w:r w:rsidRPr="007D28ED">
              <w:rPr>
                <w:rFonts w:asciiTheme="minorHAnsi" w:hAnsiTheme="minorHAnsi" w:cstheme="minorHAnsi"/>
                <w:sz w:val="20"/>
                <w:szCs w:val="20"/>
              </w:rPr>
              <w:t>46.1%</w:t>
            </w:r>
          </w:p>
        </w:tc>
        <w:tc>
          <w:tcPr>
            <w:tcW w:w="1527" w:type="dxa"/>
            <w:tcBorders>
              <w:top w:val="single" w:sz="4" w:space="0" w:color="auto"/>
              <w:left w:val="nil"/>
              <w:bottom w:val="single" w:sz="4" w:space="0" w:color="000000"/>
              <w:right w:val="single" w:sz="4" w:space="0" w:color="000000"/>
            </w:tcBorders>
            <w:shd w:val="clear" w:color="auto" w:fill="auto"/>
            <w:noWrap/>
            <w:vAlign w:val="center"/>
          </w:tcPr>
          <w:p w14:paraId="0E93CDD3" w14:textId="4E4C9D74" w:rsidR="004C5883" w:rsidRPr="00081197" w:rsidRDefault="007D28ED" w:rsidP="002B34C8">
            <w:pPr>
              <w:spacing w:after="0"/>
              <w:jc w:val="center"/>
              <w:rPr>
                <w:rFonts w:asciiTheme="minorHAnsi" w:hAnsiTheme="minorHAnsi" w:cstheme="minorHAnsi"/>
                <w:color w:val="FF0000"/>
                <w:sz w:val="20"/>
                <w:szCs w:val="20"/>
              </w:rPr>
            </w:pPr>
            <w:r w:rsidRPr="007D28ED">
              <w:rPr>
                <w:rFonts w:asciiTheme="minorHAnsi" w:hAnsiTheme="minorHAnsi" w:cstheme="minorHAnsi"/>
                <w:sz w:val="20"/>
                <w:szCs w:val="20"/>
              </w:rPr>
              <w:t>49.9%</w:t>
            </w:r>
          </w:p>
        </w:tc>
        <w:tc>
          <w:tcPr>
            <w:tcW w:w="1250" w:type="dxa"/>
            <w:tcBorders>
              <w:top w:val="single" w:sz="4" w:space="0" w:color="auto"/>
              <w:left w:val="nil"/>
              <w:bottom w:val="single" w:sz="4" w:space="0" w:color="000000"/>
              <w:right w:val="single" w:sz="4" w:space="0" w:color="000000"/>
            </w:tcBorders>
          </w:tcPr>
          <w:p w14:paraId="3677CD0D" w14:textId="313168A8" w:rsidR="004C5883" w:rsidRPr="00081197" w:rsidRDefault="00085FB7" w:rsidP="002B34C8">
            <w:pPr>
              <w:spacing w:after="0"/>
              <w:jc w:val="center"/>
              <w:rPr>
                <w:rFonts w:asciiTheme="minorHAnsi" w:hAnsiTheme="minorHAnsi" w:cstheme="minorHAnsi"/>
                <w:color w:val="FF0000"/>
                <w:sz w:val="20"/>
                <w:szCs w:val="20"/>
              </w:rPr>
            </w:pPr>
            <w:r w:rsidRPr="00085FB7">
              <w:rPr>
                <w:rFonts w:asciiTheme="minorHAnsi" w:hAnsiTheme="minorHAnsi" w:cstheme="minorHAnsi"/>
                <w:sz w:val="20"/>
                <w:szCs w:val="20"/>
              </w:rPr>
              <w:t>57.7%</w:t>
            </w:r>
          </w:p>
        </w:tc>
      </w:tr>
      <w:tr w:rsidR="003352F5" w:rsidRPr="00F26259" w14:paraId="2413568D" w14:textId="2777A0C7" w:rsidTr="003352F5">
        <w:trPr>
          <w:trHeight w:val="215"/>
          <w:jc w:val="center"/>
        </w:trPr>
        <w:tc>
          <w:tcPr>
            <w:tcW w:w="1368" w:type="dxa"/>
            <w:tcBorders>
              <w:top w:val="single" w:sz="4" w:space="0" w:color="auto"/>
              <w:left w:val="single" w:sz="4" w:space="0" w:color="000000"/>
              <w:bottom w:val="single" w:sz="4" w:space="0" w:color="000000"/>
              <w:right w:val="single" w:sz="4" w:space="0" w:color="000000"/>
            </w:tcBorders>
            <w:shd w:val="clear" w:color="auto" w:fill="auto"/>
            <w:noWrap/>
          </w:tcPr>
          <w:p w14:paraId="2A8D4039" w14:textId="51507D39" w:rsidR="004C5883" w:rsidRDefault="004C5883" w:rsidP="002B34C8">
            <w:pPr>
              <w:spacing w:after="0"/>
              <w:jc w:val="center"/>
              <w:rPr>
                <w:rFonts w:cs="Calibri"/>
                <w:color w:val="000000"/>
                <w:sz w:val="20"/>
                <w:szCs w:val="20"/>
              </w:rPr>
            </w:pPr>
            <w:r>
              <w:rPr>
                <w:rFonts w:cs="Calibri"/>
                <w:color w:val="000000"/>
                <w:sz w:val="20"/>
                <w:szCs w:val="20"/>
              </w:rPr>
              <w:t>MSC</w:t>
            </w:r>
          </w:p>
        </w:tc>
        <w:tc>
          <w:tcPr>
            <w:tcW w:w="8476" w:type="dxa"/>
            <w:tcBorders>
              <w:top w:val="single" w:sz="4" w:space="0" w:color="auto"/>
              <w:left w:val="nil"/>
              <w:bottom w:val="single" w:sz="4" w:space="0" w:color="auto"/>
              <w:right w:val="single" w:sz="4" w:space="0" w:color="auto"/>
            </w:tcBorders>
            <w:shd w:val="clear" w:color="auto" w:fill="auto"/>
          </w:tcPr>
          <w:p w14:paraId="07E59E2E" w14:textId="652803A9" w:rsidR="004C5883" w:rsidRPr="00B03E9B" w:rsidRDefault="004C5883" w:rsidP="002B34C8">
            <w:pPr>
              <w:spacing w:after="0"/>
              <w:rPr>
                <w:rFonts w:cs="Calibri"/>
                <w:color w:val="000000"/>
                <w:sz w:val="20"/>
                <w:szCs w:val="20"/>
              </w:rPr>
            </w:pPr>
            <w:r w:rsidRPr="00B03E9B">
              <w:rPr>
                <w:rFonts w:cs="Calibri"/>
                <w:color w:val="000000"/>
                <w:sz w:val="20"/>
                <w:szCs w:val="20"/>
              </w:rPr>
              <w:t>Medical Assistance with Smoking and Tobacco Use Cessation</w:t>
            </w:r>
            <w:r>
              <w:rPr>
                <w:rFonts w:cs="Calibri"/>
                <w:color w:val="000000"/>
                <w:sz w:val="20"/>
                <w:szCs w:val="20"/>
              </w:rPr>
              <w:t>: Discussing Cessation Strategies</w:t>
            </w:r>
          </w:p>
        </w:tc>
        <w:tc>
          <w:tcPr>
            <w:tcW w:w="1107" w:type="dxa"/>
            <w:tcBorders>
              <w:top w:val="single" w:sz="4" w:space="0" w:color="auto"/>
              <w:bottom w:val="single" w:sz="4" w:space="0" w:color="auto"/>
              <w:right w:val="single" w:sz="4" w:space="0" w:color="auto"/>
            </w:tcBorders>
            <w:vAlign w:val="center"/>
          </w:tcPr>
          <w:p w14:paraId="0EF20B87" w14:textId="5E6038E4" w:rsidR="004C5883" w:rsidRDefault="004C5883" w:rsidP="002B34C8">
            <w:pPr>
              <w:spacing w:after="0"/>
              <w:jc w:val="center"/>
              <w:rPr>
                <w:rFonts w:asciiTheme="minorHAnsi" w:hAnsiTheme="minorHAnsi" w:cstheme="minorHAnsi"/>
                <w:color w:val="000000"/>
                <w:sz w:val="20"/>
                <w:szCs w:val="20"/>
              </w:rPr>
            </w:pPr>
            <w:r>
              <w:rPr>
                <w:rFonts w:asciiTheme="minorHAnsi" w:hAnsiTheme="minorHAnsi" w:cstheme="minorHAnsi"/>
                <w:color w:val="000000"/>
                <w:sz w:val="20"/>
                <w:szCs w:val="20"/>
              </w:rPr>
              <w:t>55.4%</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6B0F216" w14:textId="08081E2D" w:rsidR="004C5883" w:rsidRPr="004A1A02" w:rsidRDefault="004C5883" w:rsidP="002B34C8">
            <w:pPr>
              <w:spacing w:after="0"/>
              <w:jc w:val="center"/>
              <w:rPr>
                <w:rFonts w:asciiTheme="minorHAnsi" w:hAnsiTheme="minorHAnsi" w:cstheme="minorHAnsi"/>
                <w:color w:val="000000"/>
                <w:sz w:val="20"/>
                <w:szCs w:val="20"/>
              </w:rPr>
            </w:pPr>
            <w:r>
              <w:rPr>
                <w:rFonts w:asciiTheme="minorHAnsi" w:hAnsiTheme="minorHAnsi" w:cstheme="minorHAnsi"/>
                <w:color w:val="000000"/>
                <w:sz w:val="20"/>
                <w:szCs w:val="20"/>
              </w:rPr>
              <w:t>49.9%</w:t>
            </w:r>
          </w:p>
        </w:tc>
        <w:tc>
          <w:tcPr>
            <w:tcW w:w="1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D443119" w14:textId="058DA47F" w:rsidR="004C5883" w:rsidRPr="004A1A02" w:rsidRDefault="004C5883" w:rsidP="002B34C8">
            <w:pPr>
              <w:spacing w:after="0"/>
              <w:jc w:val="center"/>
              <w:rPr>
                <w:rFonts w:asciiTheme="minorHAnsi" w:hAnsiTheme="minorHAnsi" w:cstheme="minorHAnsi"/>
                <w:color w:val="000000"/>
                <w:sz w:val="20"/>
                <w:szCs w:val="20"/>
              </w:rPr>
            </w:pPr>
            <w:r>
              <w:rPr>
                <w:rFonts w:asciiTheme="minorHAnsi" w:hAnsiTheme="minorHAnsi" w:cstheme="minorHAnsi"/>
                <w:color w:val="000000"/>
                <w:sz w:val="20"/>
                <w:szCs w:val="20"/>
              </w:rPr>
              <w:t>51.5%</w:t>
            </w:r>
          </w:p>
        </w:tc>
        <w:tc>
          <w:tcPr>
            <w:tcW w:w="1713"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3C1C76B5" w14:textId="5D82A063" w:rsidR="004C5883" w:rsidRPr="00081197" w:rsidRDefault="00085FB7" w:rsidP="002B34C8">
            <w:pPr>
              <w:spacing w:after="0"/>
              <w:jc w:val="center"/>
              <w:rPr>
                <w:rFonts w:asciiTheme="minorHAnsi" w:hAnsiTheme="minorHAnsi" w:cstheme="minorHAnsi"/>
                <w:color w:val="FF0000"/>
                <w:sz w:val="20"/>
                <w:szCs w:val="20"/>
              </w:rPr>
            </w:pPr>
            <w:r w:rsidRPr="00085FB7">
              <w:rPr>
                <w:rFonts w:asciiTheme="minorHAnsi" w:hAnsiTheme="minorHAnsi" w:cstheme="minorHAnsi"/>
                <w:sz w:val="20"/>
                <w:szCs w:val="20"/>
              </w:rPr>
              <w:t>40.5%</w:t>
            </w:r>
          </w:p>
        </w:tc>
        <w:tc>
          <w:tcPr>
            <w:tcW w:w="1527" w:type="dxa"/>
            <w:tcBorders>
              <w:top w:val="single" w:sz="4" w:space="0" w:color="auto"/>
              <w:left w:val="nil"/>
              <w:bottom w:val="single" w:sz="4" w:space="0" w:color="000000"/>
              <w:right w:val="single" w:sz="4" w:space="0" w:color="000000"/>
            </w:tcBorders>
            <w:shd w:val="clear" w:color="auto" w:fill="auto"/>
            <w:noWrap/>
            <w:vAlign w:val="center"/>
          </w:tcPr>
          <w:p w14:paraId="2B02C384" w14:textId="2FAC49D1" w:rsidR="004C5883" w:rsidRPr="00081197" w:rsidRDefault="00085FB7" w:rsidP="002B34C8">
            <w:pPr>
              <w:spacing w:after="0"/>
              <w:jc w:val="center"/>
              <w:rPr>
                <w:rFonts w:asciiTheme="minorHAnsi" w:hAnsiTheme="minorHAnsi" w:cstheme="minorHAnsi"/>
                <w:color w:val="FF0000"/>
                <w:sz w:val="20"/>
                <w:szCs w:val="20"/>
              </w:rPr>
            </w:pPr>
            <w:r w:rsidRPr="00085FB7">
              <w:rPr>
                <w:rFonts w:asciiTheme="minorHAnsi" w:hAnsiTheme="minorHAnsi" w:cstheme="minorHAnsi"/>
                <w:sz w:val="20"/>
                <w:szCs w:val="20"/>
              </w:rPr>
              <w:t>44.2%</w:t>
            </w:r>
          </w:p>
        </w:tc>
        <w:tc>
          <w:tcPr>
            <w:tcW w:w="1250" w:type="dxa"/>
            <w:tcBorders>
              <w:top w:val="single" w:sz="4" w:space="0" w:color="auto"/>
              <w:left w:val="nil"/>
              <w:bottom w:val="single" w:sz="4" w:space="0" w:color="000000"/>
              <w:right w:val="single" w:sz="4" w:space="0" w:color="000000"/>
            </w:tcBorders>
          </w:tcPr>
          <w:p w14:paraId="1B1A27A3" w14:textId="439E75E4" w:rsidR="004C5883" w:rsidRPr="00081197" w:rsidRDefault="00085FB7" w:rsidP="002B34C8">
            <w:pPr>
              <w:spacing w:after="0"/>
              <w:jc w:val="center"/>
              <w:rPr>
                <w:rFonts w:asciiTheme="minorHAnsi" w:hAnsiTheme="minorHAnsi" w:cstheme="minorHAnsi"/>
                <w:color w:val="FF0000"/>
                <w:sz w:val="20"/>
                <w:szCs w:val="20"/>
              </w:rPr>
            </w:pPr>
            <w:r w:rsidRPr="00085FB7">
              <w:rPr>
                <w:rFonts w:asciiTheme="minorHAnsi" w:hAnsiTheme="minorHAnsi" w:cstheme="minorHAnsi"/>
                <w:sz w:val="20"/>
                <w:szCs w:val="20"/>
              </w:rPr>
              <w:t>49.3%</w:t>
            </w:r>
          </w:p>
        </w:tc>
      </w:tr>
      <w:tr w:rsidR="003352F5" w:rsidRPr="00F26259" w14:paraId="224B7459" w14:textId="61301F08" w:rsidTr="003352F5">
        <w:trPr>
          <w:trHeight w:val="251"/>
          <w:jc w:val="center"/>
        </w:trPr>
        <w:tc>
          <w:tcPr>
            <w:tcW w:w="1368" w:type="dxa"/>
            <w:tcBorders>
              <w:top w:val="single" w:sz="4" w:space="0" w:color="auto"/>
              <w:left w:val="single" w:sz="4" w:space="0" w:color="000000"/>
              <w:bottom w:val="single" w:sz="4" w:space="0" w:color="000000"/>
              <w:right w:val="single" w:sz="4" w:space="0" w:color="000000"/>
            </w:tcBorders>
            <w:shd w:val="clear" w:color="auto" w:fill="auto"/>
            <w:noWrap/>
          </w:tcPr>
          <w:p w14:paraId="25179AA0" w14:textId="2D058BA9" w:rsidR="004C5883" w:rsidRDefault="004C5883" w:rsidP="002B34C8">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OHD</w:t>
            </w:r>
          </w:p>
        </w:tc>
        <w:tc>
          <w:tcPr>
            <w:tcW w:w="8476" w:type="dxa"/>
            <w:tcBorders>
              <w:top w:val="single" w:sz="4" w:space="0" w:color="auto"/>
              <w:left w:val="nil"/>
              <w:bottom w:val="single" w:sz="4" w:space="0" w:color="auto"/>
              <w:right w:val="single" w:sz="4" w:space="0" w:color="auto"/>
            </w:tcBorders>
            <w:shd w:val="clear" w:color="auto" w:fill="auto"/>
          </w:tcPr>
          <w:p w14:paraId="1593B9D4" w14:textId="07951295" w:rsidR="004C5883" w:rsidRPr="00B03E9B" w:rsidRDefault="004C5883" w:rsidP="002B34C8">
            <w:pPr>
              <w:rPr>
                <w:rFonts w:eastAsia="Times New Roman" w:cs="Calibri"/>
                <w:color w:val="000000"/>
                <w:sz w:val="20"/>
                <w:szCs w:val="20"/>
              </w:rPr>
            </w:pPr>
            <w:r w:rsidRPr="00B03E9B">
              <w:rPr>
                <w:rFonts w:cs="Calibri"/>
                <w:color w:val="000000"/>
                <w:sz w:val="20"/>
                <w:szCs w:val="20"/>
              </w:rPr>
              <w:t>Use of Opioids at High Dosage in Persons Without Cancer</w:t>
            </w:r>
          </w:p>
        </w:tc>
        <w:tc>
          <w:tcPr>
            <w:tcW w:w="1107" w:type="dxa"/>
            <w:tcBorders>
              <w:top w:val="single" w:sz="4" w:space="0" w:color="auto"/>
              <w:bottom w:val="single" w:sz="4" w:space="0" w:color="auto"/>
              <w:right w:val="single" w:sz="4" w:space="0" w:color="auto"/>
            </w:tcBorders>
            <w:vAlign w:val="center"/>
          </w:tcPr>
          <w:p w14:paraId="5F84E5F0" w14:textId="7570F04C" w:rsidR="004C5883" w:rsidRPr="004A1A02" w:rsidRDefault="004C5883" w:rsidP="002B34C8">
            <w:pPr>
              <w:spacing w:after="0"/>
              <w:jc w:val="center"/>
              <w:rPr>
                <w:rFonts w:asciiTheme="minorHAnsi" w:hAnsiTheme="minorHAnsi" w:cstheme="minorHAnsi"/>
                <w:sz w:val="20"/>
                <w:szCs w:val="20"/>
              </w:rPr>
            </w:pPr>
            <w:r w:rsidRPr="004A1A02">
              <w:rPr>
                <w:rFonts w:asciiTheme="minorHAnsi" w:hAnsiTheme="minorHAnsi" w:cstheme="minorHAnsi"/>
                <w:sz w:val="20"/>
                <w:szCs w:val="20"/>
              </w:rPr>
              <w:t>7.2%</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F4CBB5A" w14:textId="79CBE954" w:rsidR="004C5883" w:rsidRPr="004A1A02" w:rsidRDefault="004C5883" w:rsidP="002B34C8">
            <w:pPr>
              <w:spacing w:after="0"/>
              <w:jc w:val="center"/>
              <w:rPr>
                <w:rFonts w:asciiTheme="minorHAnsi" w:hAnsiTheme="minorHAnsi" w:cstheme="minorHAnsi"/>
                <w:sz w:val="20"/>
                <w:szCs w:val="20"/>
              </w:rPr>
            </w:pPr>
            <w:r>
              <w:rPr>
                <w:rFonts w:asciiTheme="minorHAnsi" w:hAnsiTheme="minorHAnsi" w:cstheme="minorHAnsi"/>
                <w:sz w:val="20"/>
                <w:szCs w:val="20"/>
              </w:rPr>
              <w:t>7.5%</w:t>
            </w:r>
          </w:p>
        </w:tc>
        <w:tc>
          <w:tcPr>
            <w:tcW w:w="1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DBC5486" w14:textId="0622748D" w:rsidR="004C5883" w:rsidRPr="004A1A02" w:rsidRDefault="004C5883" w:rsidP="002B34C8">
            <w:pPr>
              <w:spacing w:after="0"/>
              <w:jc w:val="center"/>
              <w:rPr>
                <w:rFonts w:asciiTheme="minorHAnsi" w:hAnsiTheme="minorHAnsi" w:cstheme="minorHAnsi"/>
                <w:sz w:val="20"/>
                <w:szCs w:val="20"/>
              </w:rPr>
            </w:pPr>
            <w:r>
              <w:rPr>
                <w:rFonts w:asciiTheme="minorHAnsi" w:hAnsiTheme="minorHAnsi" w:cstheme="minorHAnsi"/>
                <w:sz w:val="20"/>
                <w:szCs w:val="20"/>
              </w:rPr>
              <w:t>7.7%</w:t>
            </w:r>
          </w:p>
        </w:tc>
        <w:tc>
          <w:tcPr>
            <w:tcW w:w="1713"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63370492" w14:textId="10C00170" w:rsidR="004C5883" w:rsidRPr="00AA3AD9" w:rsidRDefault="0076132C" w:rsidP="002B34C8">
            <w:pPr>
              <w:spacing w:after="0"/>
              <w:jc w:val="center"/>
              <w:rPr>
                <w:rFonts w:asciiTheme="minorHAnsi" w:hAnsiTheme="minorHAnsi" w:cstheme="minorHAnsi"/>
                <w:color w:val="FF0000"/>
                <w:sz w:val="20"/>
                <w:szCs w:val="20"/>
              </w:rPr>
            </w:pPr>
            <w:r w:rsidRPr="0076132C">
              <w:rPr>
                <w:rFonts w:asciiTheme="minorHAnsi" w:hAnsiTheme="minorHAnsi" w:cstheme="minorHAnsi"/>
                <w:sz w:val="20"/>
                <w:szCs w:val="20"/>
              </w:rPr>
              <w:t>9.0%</w:t>
            </w:r>
          </w:p>
        </w:tc>
        <w:tc>
          <w:tcPr>
            <w:tcW w:w="1527" w:type="dxa"/>
            <w:tcBorders>
              <w:top w:val="single" w:sz="4" w:space="0" w:color="auto"/>
              <w:left w:val="nil"/>
              <w:bottom w:val="single" w:sz="4" w:space="0" w:color="000000"/>
              <w:right w:val="single" w:sz="4" w:space="0" w:color="000000"/>
            </w:tcBorders>
            <w:shd w:val="clear" w:color="auto" w:fill="auto"/>
            <w:noWrap/>
            <w:vAlign w:val="center"/>
          </w:tcPr>
          <w:p w14:paraId="50B747D4" w14:textId="7680DC17" w:rsidR="004C5883" w:rsidRPr="00AA3AD9" w:rsidRDefault="0076132C" w:rsidP="002B34C8">
            <w:pPr>
              <w:spacing w:after="0"/>
              <w:jc w:val="center"/>
              <w:rPr>
                <w:rFonts w:asciiTheme="minorHAnsi" w:hAnsiTheme="minorHAnsi" w:cstheme="minorHAnsi"/>
                <w:color w:val="FF0000"/>
                <w:sz w:val="20"/>
                <w:szCs w:val="20"/>
              </w:rPr>
            </w:pPr>
            <w:r w:rsidRPr="0076132C">
              <w:rPr>
                <w:rFonts w:asciiTheme="minorHAnsi" w:hAnsiTheme="minorHAnsi" w:cstheme="minorHAnsi"/>
                <w:sz w:val="20"/>
                <w:szCs w:val="20"/>
              </w:rPr>
              <w:t>6.7%</w:t>
            </w:r>
          </w:p>
        </w:tc>
        <w:tc>
          <w:tcPr>
            <w:tcW w:w="1250" w:type="dxa"/>
            <w:tcBorders>
              <w:top w:val="single" w:sz="4" w:space="0" w:color="auto"/>
              <w:left w:val="nil"/>
              <w:bottom w:val="single" w:sz="4" w:space="0" w:color="000000"/>
              <w:right w:val="single" w:sz="4" w:space="0" w:color="000000"/>
            </w:tcBorders>
          </w:tcPr>
          <w:p w14:paraId="0B7D5C12" w14:textId="5E4A497B" w:rsidR="004C5883" w:rsidRDefault="0076132C" w:rsidP="002B34C8">
            <w:pPr>
              <w:spacing w:after="0"/>
              <w:jc w:val="center"/>
              <w:rPr>
                <w:rFonts w:asciiTheme="minorHAnsi" w:hAnsiTheme="minorHAnsi" w:cstheme="minorHAnsi"/>
                <w:sz w:val="20"/>
                <w:szCs w:val="20"/>
              </w:rPr>
            </w:pPr>
            <w:r>
              <w:rPr>
                <w:rFonts w:asciiTheme="minorHAnsi" w:hAnsiTheme="minorHAnsi" w:cstheme="minorHAnsi"/>
                <w:sz w:val="20"/>
                <w:szCs w:val="20"/>
              </w:rPr>
              <w:t>3.2%</w:t>
            </w:r>
          </w:p>
        </w:tc>
      </w:tr>
      <w:tr w:rsidR="003352F5" w:rsidRPr="00F26259" w14:paraId="064F85B3" w14:textId="750D3279" w:rsidTr="003352F5">
        <w:trPr>
          <w:trHeight w:val="251"/>
          <w:jc w:val="center"/>
        </w:trPr>
        <w:tc>
          <w:tcPr>
            <w:tcW w:w="1368" w:type="dxa"/>
            <w:tcBorders>
              <w:top w:val="single" w:sz="4" w:space="0" w:color="auto"/>
              <w:left w:val="single" w:sz="4" w:space="0" w:color="000000"/>
              <w:bottom w:val="single" w:sz="4" w:space="0" w:color="000000"/>
              <w:right w:val="single" w:sz="4" w:space="0" w:color="000000"/>
            </w:tcBorders>
            <w:shd w:val="clear" w:color="auto" w:fill="auto"/>
            <w:noWrap/>
          </w:tcPr>
          <w:p w14:paraId="49622238" w14:textId="29473F4A" w:rsidR="004C5883" w:rsidRDefault="004C5883" w:rsidP="002B34C8">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OUD</w:t>
            </w:r>
          </w:p>
        </w:tc>
        <w:tc>
          <w:tcPr>
            <w:tcW w:w="8476" w:type="dxa"/>
            <w:tcBorders>
              <w:top w:val="single" w:sz="4" w:space="0" w:color="auto"/>
              <w:left w:val="nil"/>
              <w:bottom w:val="single" w:sz="4" w:space="0" w:color="auto"/>
              <w:right w:val="single" w:sz="4" w:space="0" w:color="auto"/>
            </w:tcBorders>
            <w:shd w:val="clear" w:color="auto" w:fill="auto"/>
          </w:tcPr>
          <w:p w14:paraId="54C7A06D" w14:textId="0EB58570" w:rsidR="004C5883" w:rsidRPr="00B03E9B" w:rsidRDefault="004C5883" w:rsidP="002B34C8">
            <w:pPr>
              <w:rPr>
                <w:rFonts w:cs="Calibri"/>
                <w:color w:val="000000"/>
                <w:sz w:val="20"/>
                <w:szCs w:val="20"/>
              </w:rPr>
            </w:pPr>
            <w:r>
              <w:rPr>
                <w:rFonts w:cs="Calibri"/>
                <w:color w:val="000000"/>
                <w:sz w:val="20"/>
                <w:szCs w:val="20"/>
              </w:rPr>
              <w:t>Use of Pharmacotherapy for Opioid Use Disorder</w:t>
            </w:r>
          </w:p>
        </w:tc>
        <w:tc>
          <w:tcPr>
            <w:tcW w:w="1107" w:type="dxa"/>
            <w:tcBorders>
              <w:top w:val="single" w:sz="4" w:space="0" w:color="auto"/>
              <w:bottom w:val="single" w:sz="4" w:space="0" w:color="auto"/>
              <w:right w:val="single" w:sz="4" w:space="0" w:color="auto"/>
            </w:tcBorders>
            <w:vAlign w:val="center"/>
          </w:tcPr>
          <w:p w14:paraId="09624686" w14:textId="225C85FB" w:rsidR="004C5883" w:rsidRPr="004A1A02" w:rsidRDefault="004C5883" w:rsidP="002B34C8">
            <w:pPr>
              <w:spacing w:after="0"/>
              <w:jc w:val="center"/>
              <w:rPr>
                <w:rFonts w:asciiTheme="minorHAnsi" w:hAnsiTheme="minorHAnsi" w:cstheme="minorHAnsi"/>
                <w:sz w:val="20"/>
                <w:szCs w:val="20"/>
              </w:rPr>
            </w:pPr>
            <w:r>
              <w:rPr>
                <w:rFonts w:asciiTheme="minorHAnsi" w:hAnsiTheme="minorHAnsi" w:cstheme="minorHAnsi"/>
                <w:sz w:val="20"/>
                <w:szCs w:val="20"/>
              </w:rPr>
              <w:t>NR</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A383CC0" w14:textId="56B1E0BD" w:rsidR="004C5883" w:rsidRPr="004A1A02" w:rsidRDefault="004C5883" w:rsidP="002B34C8">
            <w:pPr>
              <w:spacing w:after="0"/>
              <w:jc w:val="center"/>
              <w:rPr>
                <w:rFonts w:asciiTheme="minorHAnsi" w:hAnsiTheme="minorHAnsi" w:cstheme="minorHAnsi"/>
                <w:sz w:val="20"/>
                <w:szCs w:val="20"/>
              </w:rPr>
            </w:pPr>
            <w:r>
              <w:rPr>
                <w:rFonts w:asciiTheme="minorHAnsi" w:hAnsiTheme="minorHAnsi" w:cstheme="minorHAnsi"/>
                <w:sz w:val="20"/>
                <w:szCs w:val="20"/>
              </w:rPr>
              <w:t>78.9%</w:t>
            </w:r>
          </w:p>
        </w:tc>
        <w:tc>
          <w:tcPr>
            <w:tcW w:w="1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A7F62D2" w14:textId="624B332E" w:rsidR="004C5883" w:rsidRPr="004A1A02" w:rsidRDefault="004C5883" w:rsidP="002B34C8">
            <w:pPr>
              <w:spacing w:after="0"/>
              <w:jc w:val="center"/>
              <w:rPr>
                <w:rFonts w:asciiTheme="minorHAnsi" w:hAnsiTheme="minorHAnsi" w:cstheme="minorHAnsi"/>
                <w:sz w:val="20"/>
                <w:szCs w:val="20"/>
              </w:rPr>
            </w:pPr>
            <w:r>
              <w:rPr>
                <w:rFonts w:asciiTheme="minorHAnsi" w:hAnsiTheme="minorHAnsi" w:cstheme="minorHAnsi"/>
                <w:sz w:val="20"/>
                <w:szCs w:val="20"/>
              </w:rPr>
              <w:t>79.3%</w:t>
            </w:r>
          </w:p>
        </w:tc>
        <w:tc>
          <w:tcPr>
            <w:tcW w:w="1713"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03FF00AA" w14:textId="78D474A6" w:rsidR="004C5883" w:rsidRPr="00AA3AD9" w:rsidRDefault="00660BE5" w:rsidP="002B34C8">
            <w:pPr>
              <w:spacing w:after="0"/>
              <w:jc w:val="center"/>
              <w:rPr>
                <w:rFonts w:asciiTheme="minorHAnsi" w:hAnsiTheme="minorHAnsi" w:cstheme="minorHAnsi"/>
                <w:color w:val="FF0000"/>
                <w:sz w:val="20"/>
                <w:szCs w:val="20"/>
              </w:rPr>
            </w:pPr>
            <w:r w:rsidRPr="00666BF6">
              <w:rPr>
                <w:rFonts w:asciiTheme="minorHAnsi" w:hAnsiTheme="minorHAnsi" w:cstheme="minorHAnsi"/>
                <w:sz w:val="20"/>
                <w:szCs w:val="20"/>
              </w:rPr>
              <w:t>51.6%</w:t>
            </w:r>
          </w:p>
        </w:tc>
        <w:tc>
          <w:tcPr>
            <w:tcW w:w="1527" w:type="dxa"/>
            <w:tcBorders>
              <w:top w:val="single" w:sz="4" w:space="0" w:color="auto"/>
              <w:left w:val="nil"/>
              <w:bottom w:val="single" w:sz="4" w:space="0" w:color="000000"/>
              <w:right w:val="single" w:sz="4" w:space="0" w:color="000000"/>
            </w:tcBorders>
            <w:shd w:val="clear" w:color="auto" w:fill="auto"/>
            <w:noWrap/>
            <w:vAlign w:val="center"/>
          </w:tcPr>
          <w:p w14:paraId="68C91C4C" w14:textId="328696A1" w:rsidR="004C5883" w:rsidRPr="00AA3AD9" w:rsidRDefault="00666BF6" w:rsidP="002B34C8">
            <w:pPr>
              <w:spacing w:after="0"/>
              <w:jc w:val="center"/>
              <w:rPr>
                <w:rFonts w:asciiTheme="minorHAnsi" w:hAnsiTheme="minorHAnsi" w:cstheme="minorHAnsi"/>
                <w:color w:val="FF0000"/>
                <w:sz w:val="20"/>
                <w:szCs w:val="20"/>
              </w:rPr>
            </w:pPr>
            <w:r w:rsidRPr="00666BF6">
              <w:rPr>
                <w:rFonts w:asciiTheme="minorHAnsi" w:hAnsiTheme="minorHAnsi" w:cstheme="minorHAnsi"/>
                <w:sz w:val="20"/>
                <w:szCs w:val="20"/>
              </w:rPr>
              <w:t>56.2%</w:t>
            </w:r>
          </w:p>
        </w:tc>
        <w:tc>
          <w:tcPr>
            <w:tcW w:w="1250" w:type="dxa"/>
            <w:tcBorders>
              <w:top w:val="single" w:sz="4" w:space="0" w:color="auto"/>
              <w:left w:val="nil"/>
              <w:bottom w:val="single" w:sz="4" w:space="0" w:color="000000"/>
              <w:right w:val="single" w:sz="4" w:space="0" w:color="000000"/>
            </w:tcBorders>
          </w:tcPr>
          <w:p w14:paraId="4AFCFA9F" w14:textId="154A7AFE" w:rsidR="004C5883" w:rsidRDefault="00666BF6" w:rsidP="002B34C8">
            <w:pPr>
              <w:spacing w:after="0"/>
              <w:jc w:val="center"/>
              <w:rPr>
                <w:rFonts w:asciiTheme="minorHAnsi" w:hAnsiTheme="minorHAnsi" w:cstheme="minorHAnsi"/>
                <w:sz w:val="20"/>
                <w:szCs w:val="20"/>
              </w:rPr>
            </w:pPr>
            <w:r>
              <w:rPr>
                <w:rFonts w:asciiTheme="minorHAnsi" w:hAnsiTheme="minorHAnsi" w:cstheme="minorHAnsi"/>
                <w:sz w:val="20"/>
                <w:szCs w:val="20"/>
              </w:rPr>
              <w:t>71.0%</w:t>
            </w:r>
          </w:p>
        </w:tc>
      </w:tr>
      <w:tr w:rsidR="003352F5" w:rsidRPr="00F26259" w14:paraId="718138A0" w14:textId="0E5E445E" w:rsidTr="003352F5">
        <w:trPr>
          <w:trHeight w:val="260"/>
          <w:jc w:val="center"/>
        </w:trPr>
        <w:tc>
          <w:tcPr>
            <w:tcW w:w="1368" w:type="dxa"/>
            <w:tcBorders>
              <w:top w:val="nil"/>
              <w:left w:val="single" w:sz="4" w:space="0" w:color="000000"/>
              <w:bottom w:val="single" w:sz="4" w:space="0" w:color="000000"/>
              <w:right w:val="single" w:sz="4" w:space="0" w:color="000000"/>
            </w:tcBorders>
            <w:shd w:val="clear" w:color="auto" w:fill="auto"/>
            <w:noWrap/>
          </w:tcPr>
          <w:p w14:paraId="5F6482FB" w14:textId="77777777" w:rsidR="004C5883" w:rsidRPr="00F26259" w:rsidRDefault="004C5883" w:rsidP="002B34C8">
            <w:pPr>
              <w:spacing w:after="0"/>
              <w:jc w:val="center"/>
              <w:rPr>
                <w:rFonts w:asciiTheme="minorHAnsi" w:eastAsia="Times New Roman" w:hAnsiTheme="minorHAnsi" w:cstheme="minorHAnsi"/>
                <w:color w:val="000000"/>
                <w:sz w:val="20"/>
                <w:szCs w:val="20"/>
              </w:rPr>
            </w:pPr>
            <w:r>
              <w:rPr>
                <w:rFonts w:cs="Calibri"/>
                <w:color w:val="000000"/>
                <w:sz w:val="20"/>
                <w:szCs w:val="20"/>
              </w:rPr>
              <w:t>PCR-O/E</w:t>
            </w:r>
          </w:p>
        </w:tc>
        <w:tc>
          <w:tcPr>
            <w:tcW w:w="8476" w:type="dxa"/>
            <w:tcBorders>
              <w:top w:val="nil"/>
              <w:left w:val="nil"/>
              <w:bottom w:val="single" w:sz="4" w:space="0" w:color="auto"/>
              <w:right w:val="single" w:sz="4" w:space="0" w:color="auto"/>
            </w:tcBorders>
            <w:shd w:val="clear" w:color="000000" w:fill="FFFFFF"/>
          </w:tcPr>
          <w:p w14:paraId="2E01B452" w14:textId="77777777" w:rsidR="004C5883" w:rsidRPr="00B03E9B" w:rsidRDefault="004C5883" w:rsidP="002B34C8">
            <w:pPr>
              <w:spacing w:after="0"/>
              <w:rPr>
                <w:rFonts w:asciiTheme="minorHAnsi" w:eastAsia="Times New Roman" w:hAnsiTheme="minorHAnsi" w:cstheme="minorHAnsi"/>
                <w:color w:val="000000"/>
                <w:sz w:val="20"/>
                <w:szCs w:val="20"/>
              </w:rPr>
            </w:pPr>
            <w:r w:rsidRPr="00077932">
              <w:rPr>
                <w:rFonts w:cs="Calibri"/>
                <w:sz w:val="20"/>
                <w:szCs w:val="20"/>
              </w:rPr>
              <w:t>Plan All-Cause Readmissions (observed to expected ratio)</w:t>
            </w:r>
          </w:p>
        </w:tc>
        <w:tc>
          <w:tcPr>
            <w:tcW w:w="1107" w:type="dxa"/>
            <w:tcBorders>
              <w:top w:val="nil"/>
              <w:left w:val="nil"/>
              <w:bottom w:val="single" w:sz="4" w:space="0" w:color="auto"/>
              <w:right w:val="single" w:sz="4" w:space="0" w:color="auto"/>
            </w:tcBorders>
            <w:shd w:val="clear" w:color="auto" w:fill="F2F2F2" w:themeFill="background1" w:themeFillShade="F2"/>
            <w:vAlign w:val="center"/>
          </w:tcPr>
          <w:p w14:paraId="2F9EA4B0" w14:textId="08BF84AE" w:rsidR="004C5883" w:rsidRPr="004A1A02" w:rsidRDefault="004C5883" w:rsidP="002B34C8">
            <w:pPr>
              <w:spacing w:after="0"/>
              <w:jc w:val="center"/>
              <w:rPr>
                <w:rFonts w:asciiTheme="minorHAnsi" w:hAnsiTheme="minorHAnsi" w:cstheme="minorHAnsi"/>
                <w:color w:val="000000"/>
                <w:sz w:val="20"/>
                <w:szCs w:val="20"/>
              </w:rPr>
            </w:pPr>
            <w:r w:rsidRPr="004A1A02">
              <w:rPr>
                <w:rFonts w:asciiTheme="minorHAnsi" w:hAnsiTheme="minorHAnsi" w:cstheme="minorHAnsi"/>
                <w:color w:val="000000"/>
                <w:sz w:val="20"/>
                <w:szCs w:val="20"/>
              </w:rPr>
              <w:t>1.1461</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26F7F2A" w14:textId="2F94D8E1" w:rsidR="004C5883" w:rsidRPr="004A1A02" w:rsidRDefault="004C5883" w:rsidP="002B34C8">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1.1803</w:t>
            </w:r>
          </w:p>
        </w:tc>
        <w:tc>
          <w:tcPr>
            <w:tcW w:w="144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A6E2BC6" w14:textId="71CE0AF8" w:rsidR="004C5883" w:rsidRPr="004A1A02" w:rsidRDefault="004C5883" w:rsidP="002B34C8">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1.1750</w:t>
            </w:r>
          </w:p>
        </w:tc>
        <w:tc>
          <w:tcPr>
            <w:tcW w:w="1713" w:type="dxa"/>
            <w:tcBorders>
              <w:top w:val="nil"/>
              <w:left w:val="nil"/>
              <w:bottom w:val="single" w:sz="4" w:space="0" w:color="000000"/>
              <w:right w:val="single" w:sz="4" w:space="0" w:color="000000"/>
            </w:tcBorders>
            <w:shd w:val="clear" w:color="auto" w:fill="auto"/>
            <w:noWrap/>
            <w:vAlign w:val="center"/>
          </w:tcPr>
          <w:p w14:paraId="355442D5" w14:textId="3751978C" w:rsidR="004C5883" w:rsidRPr="00AA3AD9" w:rsidRDefault="00BC0C58" w:rsidP="002B34C8">
            <w:pPr>
              <w:spacing w:after="0"/>
              <w:jc w:val="center"/>
              <w:rPr>
                <w:rFonts w:asciiTheme="minorHAnsi" w:eastAsia="Times New Roman" w:hAnsiTheme="minorHAnsi" w:cstheme="minorHAnsi"/>
                <w:color w:val="FF0000"/>
                <w:sz w:val="20"/>
                <w:szCs w:val="20"/>
              </w:rPr>
            </w:pPr>
            <w:r w:rsidRPr="00BC0C58">
              <w:rPr>
                <w:rFonts w:asciiTheme="minorHAnsi" w:eastAsia="Times New Roman" w:hAnsiTheme="minorHAnsi" w:cstheme="minorHAnsi"/>
                <w:sz w:val="20"/>
                <w:szCs w:val="20"/>
              </w:rPr>
              <w:t>1.1244</w:t>
            </w:r>
          </w:p>
        </w:tc>
        <w:tc>
          <w:tcPr>
            <w:tcW w:w="1527" w:type="dxa"/>
            <w:tcBorders>
              <w:top w:val="nil"/>
              <w:left w:val="nil"/>
              <w:bottom w:val="single" w:sz="4" w:space="0" w:color="000000"/>
              <w:right w:val="single" w:sz="4" w:space="0" w:color="000000"/>
            </w:tcBorders>
            <w:shd w:val="clear" w:color="auto" w:fill="auto"/>
            <w:noWrap/>
            <w:vAlign w:val="center"/>
          </w:tcPr>
          <w:p w14:paraId="7C94BF70" w14:textId="6277C2AF" w:rsidR="004C5883" w:rsidRPr="00AA3AD9" w:rsidRDefault="004C5883" w:rsidP="002B34C8">
            <w:pPr>
              <w:spacing w:after="0"/>
              <w:jc w:val="center"/>
              <w:rPr>
                <w:rFonts w:asciiTheme="minorHAnsi" w:eastAsia="Times New Roman" w:hAnsiTheme="minorHAnsi" w:cstheme="minorHAnsi"/>
                <w:color w:val="FF0000"/>
                <w:sz w:val="20"/>
                <w:szCs w:val="20"/>
              </w:rPr>
            </w:pPr>
            <w:r w:rsidRPr="003F0620">
              <w:rPr>
                <w:rFonts w:asciiTheme="minorHAnsi" w:eastAsia="Times New Roman" w:hAnsiTheme="minorHAnsi" w:cstheme="minorHAnsi"/>
                <w:sz w:val="20"/>
                <w:szCs w:val="20"/>
              </w:rPr>
              <w:t>0.</w:t>
            </w:r>
            <w:r w:rsidR="003F0620" w:rsidRPr="003F0620">
              <w:rPr>
                <w:rFonts w:asciiTheme="minorHAnsi" w:eastAsia="Times New Roman" w:hAnsiTheme="minorHAnsi" w:cstheme="minorHAnsi"/>
                <w:sz w:val="20"/>
                <w:szCs w:val="20"/>
              </w:rPr>
              <w:t>9752</w:t>
            </w:r>
          </w:p>
        </w:tc>
        <w:tc>
          <w:tcPr>
            <w:tcW w:w="1250" w:type="dxa"/>
            <w:tcBorders>
              <w:top w:val="nil"/>
              <w:left w:val="nil"/>
              <w:bottom w:val="single" w:sz="4" w:space="0" w:color="000000"/>
              <w:right w:val="single" w:sz="4" w:space="0" w:color="000000"/>
            </w:tcBorders>
          </w:tcPr>
          <w:p w14:paraId="078B0177" w14:textId="1E7554BD" w:rsidR="004C5883" w:rsidRDefault="003F0620" w:rsidP="002B34C8">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0.8998</w:t>
            </w:r>
          </w:p>
        </w:tc>
      </w:tr>
      <w:tr w:rsidR="003352F5" w:rsidRPr="00F26259" w14:paraId="701A513F" w14:textId="020EC59C" w:rsidTr="003352F5">
        <w:trPr>
          <w:trHeight w:val="290"/>
          <w:jc w:val="center"/>
        </w:trPr>
        <w:tc>
          <w:tcPr>
            <w:tcW w:w="1368" w:type="dxa"/>
            <w:tcBorders>
              <w:top w:val="nil"/>
              <w:left w:val="single" w:sz="4" w:space="0" w:color="000000"/>
              <w:bottom w:val="single" w:sz="4" w:space="0" w:color="000000"/>
              <w:right w:val="single" w:sz="4" w:space="0" w:color="000000"/>
            </w:tcBorders>
            <w:shd w:val="clear" w:color="auto" w:fill="auto"/>
            <w:noWrap/>
          </w:tcPr>
          <w:p w14:paraId="32676318" w14:textId="631C2BEE" w:rsidR="004C5883" w:rsidRPr="00F26259" w:rsidRDefault="004C5883" w:rsidP="002B34C8">
            <w:pPr>
              <w:spacing w:after="0"/>
              <w:jc w:val="center"/>
              <w:rPr>
                <w:rFonts w:asciiTheme="minorHAnsi" w:eastAsia="Times New Roman" w:hAnsiTheme="minorHAnsi" w:cstheme="minorHAnsi"/>
                <w:color w:val="000000"/>
                <w:sz w:val="20"/>
                <w:szCs w:val="20"/>
              </w:rPr>
            </w:pPr>
            <w:r>
              <w:rPr>
                <w:rFonts w:cs="Calibri"/>
                <w:color w:val="000000"/>
                <w:sz w:val="20"/>
                <w:szCs w:val="20"/>
              </w:rPr>
              <w:t>PPC</w:t>
            </w:r>
          </w:p>
        </w:tc>
        <w:tc>
          <w:tcPr>
            <w:tcW w:w="8476" w:type="dxa"/>
            <w:tcBorders>
              <w:top w:val="nil"/>
              <w:left w:val="nil"/>
              <w:bottom w:val="single" w:sz="4" w:space="0" w:color="auto"/>
              <w:right w:val="single" w:sz="4" w:space="0" w:color="auto"/>
            </w:tcBorders>
            <w:shd w:val="clear" w:color="auto" w:fill="auto"/>
          </w:tcPr>
          <w:p w14:paraId="43516E6E" w14:textId="0BDC3257" w:rsidR="004C5883" w:rsidRPr="00B03E9B" w:rsidRDefault="004C5883" w:rsidP="002B34C8">
            <w:pPr>
              <w:spacing w:after="0"/>
              <w:rPr>
                <w:rFonts w:asciiTheme="minorHAnsi" w:eastAsia="Times New Roman" w:hAnsiTheme="minorHAnsi" w:cstheme="minorHAnsi"/>
                <w:sz w:val="20"/>
                <w:szCs w:val="20"/>
              </w:rPr>
            </w:pPr>
            <w:r w:rsidRPr="00B03E9B">
              <w:rPr>
                <w:rFonts w:cs="Calibri"/>
                <w:sz w:val="20"/>
                <w:szCs w:val="20"/>
              </w:rPr>
              <w:t>Prenatal and Postpartum Care – Postpartum Care</w:t>
            </w:r>
          </w:p>
        </w:tc>
        <w:tc>
          <w:tcPr>
            <w:tcW w:w="1107" w:type="dxa"/>
            <w:tcBorders>
              <w:top w:val="single" w:sz="4" w:space="0" w:color="auto"/>
              <w:bottom w:val="single" w:sz="4" w:space="0" w:color="auto"/>
              <w:right w:val="single" w:sz="4" w:space="0" w:color="auto"/>
            </w:tcBorders>
            <w:vAlign w:val="center"/>
          </w:tcPr>
          <w:p w14:paraId="11A89F17" w14:textId="3651BE6F" w:rsidR="004C5883" w:rsidRPr="004A1A02" w:rsidRDefault="004C5883" w:rsidP="002B34C8">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79.7%</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6063C37" w14:textId="7DF0039F" w:rsidR="004C5883" w:rsidRPr="004A1A02" w:rsidRDefault="004C5883" w:rsidP="002B34C8">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81.1%</w:t>
            </w:r>
          </w:p>
        </w:tc>
        <w:tc>
          <w:tcPr>
            <w:tcW w:w="144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840E40B" w14:textId="001EA557" w:rsidR="004C5883" w:rsidRPr="004A1A02" w:rsidRDefault="004C5883" w:rsidP="002B34C8">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83.8%</w:t>
            </w:r>
          </w:p>
        </w:tc>
        <w:tc>
          <w:tcPr>
            <w:tcW w:w="1713" w:type="dxa"/>
            <w:tcBorders>
              <w:top w:val="nil"/>
              <w:left w:val="single" w:sz="4" w:space="0" w:color="auto"/>
              <w:bottom w:val="single" w:sz="4" w:space="0" w:color="000000"/>
              <w:right w:val="single" w:sz="4" w:space="0" w:color="000000"/>
            </w:tcBorders>
            <w:shd w:val="clear" w:color="auto" w:fill="auto"/>
            <w:noWrap/>
            <w:vAlign w:val="center"/>
          </w:tcPr>
          <w:p w14:paraId="677AB46D" w14:textId="77393579" w:rsidR="004C5883" w:rsidRPr="00AA3AD9" w:rsidRDefault="00811BF0" w:rsidP="002B34C8">
            <w:pPr>
              <w:spacing w:after="0"/>
              <w:jc w:val="center"/>
              <w:rPr>
                <w:rFonts w:asciiTheme="minorHAnsi" w:eastAsia="Times New Roman" w:hAnsiTheme="minorHAnsi" w:cstheme="minorHAnsi"/>
                <w:color w:val="FF0000"/>
                <w:sz w:val="20"/>
                <w:szCs w:val="20"/>
              </w:rPr>
            </w:pPr>
            <w:r w:rsidRPr="00811BF0">
              <w:rPr>
                <w:rFonts w:asciiTheme="minorHAnsi" w:eastAsia="Times New Roman" w:hAnsiTheme="minorHAnsi" w:cstheme="minorHAnsi"/>
                <w:sz w:val="20"/>
                <w:szCs w:val="20"/>
              </w:rPr>
              <w:t>65.1</w:t>
            </w:r>
            <w:r w:rsidR="004C5883" w:rsidRPr="00811BF0">
              <w:rPr>
                <w:rFonts w:asciiTheme="minorHAnsi" w:eastAsia="Times New Roman" w:hAnsiTheme="minorHAnsi" w:cstheme="minorHAnsi"/>
                <w:sz w:val="20"/>
                <w:szCs w:val="20"/>
              </w:rPr>
              <w:t>%</w:t>
            </w:r>
          </w:p>
        </w:tc>
        <w:tc>
          <w:tcPr>
            <w:tcW w:w="1527" w:type="dxa"/>
            <w:tcBorders>
              <w:top w:val="nil"/>
              <w:left w:val="nil"/>
              <w:bottom w:val="single" w:sz="4" w:space="0" w:color="000000"/>
              <w:right w:val="single" w:sz="4" w:space="0" w:color="000000"/>
            </w:tcBorders>
            <w:shd w:val="clear" w:color="auto" w:fill="auto"/>
            <w:noWrap/>
            <w:vAlign w:val="center"/>
          </w:tcPr>
          <w:p w14:paraId="6968AF4F" w14:textId="0515A1E5" w:rsidR="004C5883" w:rsidRPr="00AA3AD9" w:rsidRDefault="00387F3B" w:rsidP="002B34C8">
            <w:pPr>
              <w:spacing w:after="0"/>
              <w:jc w:val="center"/>
              <w:rPr>
                <w:rFonts w:asciiTheme="minorHAnsi" w:eastAsia="Times New Roman" w:hAnsiTheme="minorHAnsi" w:cstheme="minorHAnsi"/>
                <w:color w:val="FF0000"/>
                <w:sz w:val="20"/>
                <w:szCs w:val="20"/>
              </w:rPr>
            </w:pPr>
            <w:r w:rsidRPr="00387F3B">
              <w:rPr>
                <w:rFonts w:asciiTheme="minorHAnsi" w:eastAsia="Times New Roman" w:hAnsiTheme="minorHAnsi" w:cstheme="minorHAnsi"/>
                <w:sz w:val="20"/>
                <w:szCs w:val="20"/>
              </w:rPr>
              <w:t>75.0%</w:t>
            </w:r>
          </w:p>
        </w:tc>
        <w:tc>
          <w:tcPr>
            <w:tcW w:w="1250" w:type="dxa"/>
            <w:tcBorders>
              <w:top w:val="nil"/>
              <w:left w:val="nil"/>
              <w:bottom w:val="single" w:sz="4" w:space="0" w:color="000000"/>
              <w:right w:val="single" w:sz="4" w:space="0" w:color="000000"/>
            </w:tcBorders>
          </w:tcPr>
          <w:p w14:paraId="546E6C43" w14:textId="7200C335" w:rsidR="004C5883" w:rsidRDefault="00387F3B" w:rsidP="002B34C8">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78.6%</w:t>
            </w:r>
          </w:p>
        </w:tc>
      </w:tr>
      <w:tr w:rsidR="003352F5" w:rsidRPr="00F26259" w14:paraId="2E02B35F" w14:textId="023C8E97" w:rsidTr="003352F5">
        <w:trPr>
          <w:trHeight w:val="290"/>
          <w:jc w:val="center"/>
        </w:trPr>
        <w:tc>
          <w:tcPr>
            <w:tcW w:w="1368" w:type="dxa"/>
            <w:tcBorders>
              <w:top w:val="nil"/>
              <w:left w:val="single" w:sz="4" w:space="0" w:color="000000"/>
              <w:bottom w:val="single" w:sz="4" w:space="0" w:color="000000"/>
              <w:right w:val="single" w:sz="4" w:space="0" w:color="000000"/>
            </w:tcBorders>
            <w:shd w:val="clear" w:color="auto" w:fill="auto"/>
            <w:noWrap/>
          </w:tcPr>
          <w:p w14:paraId="3CABDF23" w14:textId="74BEAFE4" w:rsidR="004C5883" w:rsidRPr="00F26259" w:rsidRDefault="004C5883" w:rsidP="002B34C8">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PQI01</w:t>
            </w:r>
          </w:p>
        </w:tc>
        <w:tc>
          <w:tcPr>
            <w:tcW w:w="8476" w:type="dxa"/>
            <w:tcBorders>
              <w:top w:val="nil"/>
              <w:left w:val="nil"/>
              <w:bottom w:val="single" w:sz="4" w:space="0" w:color="auto"/>
              <w:right w:val="single" w:sz="4" w:space="0" w:color="auto"/>
            </w:tcBorders>
            <w:shd w:val="clear" w:color="auto" w:fill="auto"/>
          </w:tcPr>
          <w:p w14:paraId="289C284B" w14:textId="23DA4F7E" w:rsidR="004C5883" w:rsidRPr="0062122F" w:rsidRDefault="004C5883" w:rsidP="002B34C8">
            <w:pPr>
              <w:rPr>
                <w:rFonts w:eastAsia="Times New Roman" w:cs="Calibri"/>
                <w:color w:val="000000"/>
                <w:sz w:val="20"/>
                <w:szCs w:val="20"/>
              </w:rPr>
            </w:pPr>
            <w:r w:rsidRPr="0062122F">
              <w:rPr>
                <w:rFonts w:cs="Calibri"/>
                <w:color w:val="000000"/>
                <w:sz w:val="20"/>
                <w:szCs w:val="20"/>
              </w:rPr>
              <w:t>Diabetes Short-Term Complications Admission Rate (per 100000 member months)</w:t>
            </w:r>
            <w:r>
              <w:rPr>
                <w:rFonts w:cs="Calibri"/>
                <w:color w:val="000000"/>
                <w:sz w:val="20"/>
                <w:szCs w:val="20"/>
              </w:rPr>
              <w:t>: 18-64</w:t>
            </w:r>
          </w:p>
        </w:tc>
        <w:tc>
          <w:tcPr>
            <w:tcW w:w="1107" w:type="dxa"/>
            <w:tcBorders>
              <w:top w:val="single" w:sz="4" w:space="0" w:color="auto"/>
              <w:bottom w:val="single" w:sz="4" w:space="0" w:color="auto"/>
              <w:right w:val="single" w:sz="4" w:space="0" w:color="auto"/>
            </w:tcBorders>
            <w:vAlign w:val="center"/>
          </w:tcPr>
          <w:p w14:paraId="77D63B13" w14:textId="79037D24" w:rsidR="004C5883" w:rsidRPr="004A1A02" w:rsidRDefault="004C5883" w:rsidP="002B34C8">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14.1</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C29247" w14:textId="36DD0E84" w:rsidR="004C5883" w:rsidRPr="004A1A02" w:rsidRDefault="004C5883" w:rsidP="002B34C8">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12.0</w:t>
            </w:r>
          </w:p>
        </w:tc>
        <w:tc>
          <w:tcPr>
            <w:tcW w:w="144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87256C8" w14:textId="4856505F" w:rsidR="004C5883" w:rsidRPr="004A1A02" w:rsidRDefault="004C5883" w:rsidP="002B34C8">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9.9</w:t>
            </w:r>
          </w:p>
        </w:tc>
        <w:tc>
          <w:tcPr>
            <w:tcW w:w="1713" w:type="dxa"/>
            <w:tcBorders>
              <w:top w:val="nil"/>
              <w:left w:val="single" w:sz="4" w:space="0" w:color="auto"/>
              <w:bottom w:val="single" w:sz="4" w:space="0" w:color="000000"/>
              <w:right w:val="single" w:sz="4" w:space="0" w:color="000000"/>
            </w:tcBorders>
            <w:shd w:val="clear" w:color="auto" w:fill="auto"/>
            <w:noWrap/>
            <w:vAlign w:val="center"/>
          </w:tcPr>
          <w:p w14:paraId="066BF45C" w14:textId="44EEC84D" w:rsidR="004C5883" w:rsidRPr="00AA3AD9" w:rsidRDefault="009A4CA0" w:rsidP="002B34C8">
            <w:pPr>
              <w:spacing w:after="0"/>
              <w:jc w:val="center"/>
              <w:rPr>
                <w:rFonts w:asciiTheme="minorHAnsi" w:eastAsia="Times New Roman" w:hAnsiTheme="minorHAnsi" w:cstheme="minorHAnsi"/>
                <w:color w:val="FF0000"/>
                <w:sz w:val="20"/>
                <w:szCs w:val="20"/>
              </w:rPr>
            </w:pPr>
            <w:r w:rsidRPr="009A4CA0">
              <w:rPr>
                <w:rFonts w:asciiTheme="minorHAnsi" w:eastAsia="Times New Roman" w:hAnsiTheme="minorHAnsi" w:cstheme="minorHAnsi"/>
                <w:sz w:val="20"/>
                <w:szCs w:val="20"/>
              </w:rPr>
              <w:t>21.8%</w:t>
            </w:r>
          </w:p>
        </w:tc>
        <w:tc>
          <w:tcPr>
            <w:tcW w:w="1527" w:type="dxa"/>
            <w:tcBorders>
              <w:top w:val="nil"/>
              <w:left w:val="nil"/>
              <w:bottom w:val="single" w:sz="4" w:space="0" w:color="000000"/>
              <w:right w:val="single" w:sz="4" w:space="0" w:color="000000"/>
            </w:tcBorders>
            <w:shd w:val="clear" w:color="auto" w:fill="auto"/>
            <w:noWrap/>
            <w:vAlign w:val="center"/>
          </w:tcPr>
          <w:p w14:paraId="768A2D8F" w14:textId="51DFFEF5" w:rsidR="004C5883" w:rsidRPr="00AA3AD9" w:rsidRDefault="009A4CA0" w:rsidP="002B34C8">
            <w:pPr>
              <w:spacing w:after="0"/>
              <w:jc w:val="center"/>
              <w:rPr>
                <w:rFonts w:asciiTheme="minorHAnsi" w:eastAsia="Times New Roman" w:hAnsiTheme="minorHAnsi" w:cstheme="minorHAnsi"/>
                <w:color w:val="FF0000"/>
                <w:sz w:val="20"/>
                <w:szCs w:val="20"/>
              </w:rPr>
            </w:pPr>
            <w:r>
              <w:rPr>
                <w:rFonts w:asciiTheme="minorHAnsi" w:eastAsia="Times New Roman" w:hAnsiTheme="minorHAnsi" w:cstheme="minorHAnsi"/>
                <w:sz w:val="20"/>
                <w:szCs w:val="20"/>
              </w:rPr>
              <w:t>17.2%</w:t>
            </w:r>
          </w:p>
        </w:tc>
        <w:tc>
          <w:tcPr>
            <w:tcW w:w="1250" w:type="dxa"/>
            <w:tcBorders>
              <w:top w:val="nil"/>
              <w:left w:val="nil"/>
              <w:bottom w:val="single" w:sz="4" w:space="0" w:color="000000"/>
              <w:right w:val="single" w:sz="4" w:space="0" w:color="000000"/>
            </w:tcBorders>
          </w:tcPr>
          <w:p w14:paraId="7B64ADC9" w14:textId="426960FE" w:rsidR="004C5883" w:rsidRDefault="009A4CA0" w:rsidP="002B34C8">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13.6%</w:t>
            </w:r>
          </w:p>
        </w:tc>
      </w:tr>
      <w:tr w:rsidR="003352F5" w:rsidRPr="00F26259" w14:paraId="56A49E3F" w14:textId="6E27C293" w:rsidTr="003352F5">
        <w:trPr>
          <w:trHeight w:val="290"/>
          <w:jc w:val="center"/>
        </w:trPr>
        <w:tc>
          <w:tcPr>
            <w:tcW w:w="1368" w:type="dxa"/>
            <w:tcBorders>
              <w:top w:val="nil"/>
              <w:left w:val="single" w:sz="4" w:space="0" w:color="000000"/>
              <w:bottom w:val="single" w:sz="4" w:space="0" w:color="000000"/>
              <w:right w:val="single" w:sz="4" w:space="0" w:color="000000"/>
            </w:tcBorders>
            <w:shd w:val="clear" w:color="auto" w:fill="auto"/>
            <w:noWrap/>
          </w:tcPr>
          <w:p w14:paraId="38A8170F" w14:textId="223E369F" w:rsidR="004C5883" w:rsidRPr="00F26259" w:rsidRDefault="004C5883" w:rsidP="002B34C8">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PQI05</w:t>
            </w:r>
          </w:p>
        </w:tc>
        <w:tc>
          <w:tcPr>
            <w:tcW w:w="8476" w:type="dxa"/>
            <w:tcBorders>
              <w:top w:val="nil"/>
              <w:left w:val="nil"/>
              <w:bottom w:val="single" w:sz="4" w:space="0" w:color="auto"/>
              <w:right w:val="single" w:sz="4" w:space="0" w:color="auto"/>
            </w:tcBorders>
            <w:shd w:val="clear" w:color="auto" w:fill="auto"/>
          </w:tcPr>
          <w:p w14:paraId="2389623C" w14:textId="158E7860" w:rsidR="004C5883" w:rsidRPr="0062122F" w:rsidRDefault="004C5883" w:rsidP="002B34C8">
            <w:pPr>
              <w:rPr>
                <w:rFonts w:eastAsia="Times New Roman" w:cs="Calibri"/>
                <w:color w:val="000000"/>
                <w:sz w:val="20"/>
                <w:szCs w:val="20"/>
              </w:rPr>
            </w:pPr>
            <w:r w:rsidRPr="0062122F">
              <w:rPr>
                <w:rFonts w:cs="Calibri"/>
                <w:color w:val="000000"/>
                <w:sz w:val="20"/>
                <w:szCs w:val="20"/>
              </w:rPr>
              <w:t>Chronic Obstructive Pulmonary Disease (COPD) or Asthma in Older Adults Admission Rate (per 100,000 member months)</w:t>
            </w:r>
            <w:r>
              <w:rPr>
                <w:rFonts w:cs="Calibri"/>
                <w:color w:val="000000"/>
                <w:sz w:val="20"/>
                <w:szCs w:val="20"/>
              </w:rPr>
              <w:t>: 40-64</w:t>
            </w:r>
          </w:p>
        </w:tc>
        <w:tc>
          <w:tcPr>
            <w:tcW w:w="1107" w:type="dxa"/>
            <w:tcBorders>
              <w:top w:val="single" w:sz="4" w:space="0" w:color="auto"/>
              <w:left w:val="nil"/>
              <w:bottom w:val="single" w:sz="4" w:space="0" w:color="auto"/>
              <w:right w:val="single" w:sz="4" w:space="0" w:color="auto"/>
            </w:tcBorders>
            <w:vAlign w:val="center"/>
          </w:tcPr>
          <w:p w14:paraId="43AE657C" w14:textId="15E4BF99" w:rsidR="004C5883" w:rsidRPr="004A1A02" w:rsidRDefault="004C5883" w:rsidP="002B34C8">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38.3</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88A4BB8" w14:textId="0C3CEB25" w:rsidR="004C5883" w:rsidRPr="004A1A02" w:rsidRDefault="004C5883" w:rsidP="002B34C8">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33.0</w:t>
            </w:r>
          </w:p>
        </w:tc>
        <w:tc>
          <w:tcPr>
            <w:tcW w:w="144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C87CD54" w14:textId="78E13225" w:rsidR="004C5883" w:rsidRPr="004A1A02" w:rsidRDefault="004C5883" w:rsidP="002B34C8">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31.3</w:t>
            </w:r>
          </w:p>
        </w:tc>
        <w:tc>
          <w:tcPr>
            <w:tcW w:w="1713" w:type="dxa"/>
            <w:tcBorders>
              <w:top w:val="nil"/>
              <w:left w:val="nil"/>
              <w:bottom w:val="single" w:sz="4" w:space="0" w:color="000000"/>
              <w:right w:val="single" w:sz="4" w:space="0" w:color="000000"/>
            </w:tcBorders>
            <w:shd w:val="clear" w:color="auto" w:fill="auto"/>
            <w:noWrap/>
            <w:vAlign w:val="center"/>
          </w:tcPr>
          <w:p w14:paraId="522B452F" w14:textId="6C6D8BCD" w:rsidR="004C5883" w:rsidRPr="00AA3AD9" w:rsidRDefault="005B6E93" w:rsidP="002B34C8">
            <w:pPr>
              <w:spacing w:after="0"/>
              <w:jc w:val="center"/>
              <w:rPr>
                <w:rFonts w:asciiTheme="minorHAnsi" w:eastAsia="Times New Roman" w:hAnsiTheme="minorHAnsi" w:cstheme="minorHAnsi"/>
                <w:color w:val="FF0000"/>
                <w:sz w:val="20"/>
                <w:szCs w:val="20"/>
              </w:rPr>
            </w:pPr>
            <w:r w:rsidRPr="005B6E93">
              <w:rPr>
                <w:rFonts w:asciiTheme="minorHAnsi" w:eastAsia="Times New Roman" w:hAnsiTheme="minorHAnsi" w:cstheme="minorHAnsi"/>
                <w:sz w:val="20"/>
                <w:szCs w:val="20"/>
              </w:rPr>
              <w:t>40.6%</w:t>
            </w:r>
          </w:p>
        </w:tc>
        <w:tc>
          <w:tcPr>
            <w:tcW w:w="1527" w:type="dxa"/>
            <w:tcBorders>
              <w:top w:val="nil"/>
              <w:left w:val="nil"/>
              <w:bottom w:val="single" w:sz="4" w:space="0" w:color="000000"/>
              <w:right w:val="single" w:sz="4" w:space="0" w:color="000000"/>
            </w:tcBorders>
            <w:shd w:val="clear" w:color="auto" w:fill="auto"/>
            <w:noWrap/>
            <w:vAlign w:val="center"/>
          </w:tcPr>
          <w:p w14:paraId="6109F90F" w14:textId="0D038F6E" w:rsidR="004C5883" w:rsidRPr="00AA3AD9" w:rsidRDefault="005B6E93" w:rsidP="002B34C8">
            <w:pPr>
              <w:spacing w:after="0"/>
              <w:jc w:val="center"/>
              <w:rPr>
                <w:rFonts w:asciiTheme="minorHAnsi" w:eastAsia="Times New Roman" w:hAnsiTheme="minorHAnsi" w:cstheme="minorHAnsi"/>
                <w:color w:val="FF0000"/>
                <w:sz w:val="20"/>
                <w:szCs w:val="20"/>
              </w:rPr>
            </w:pPr>
            <w:r w:rsidRPr="005B6E93">
              <w:rPr>
                <w:rFonts w:asciiTheme="minorHAnsi" w:eastAsia="Times New Roman" w:hAnsiTheme="minorHAnsi" w:cstheme="minorHAnsi"/>
                <w:sz w:val="20"/>
                <w:szCs w:val="20"/>
              </w:rPr>
              <w:t>29.8%</w:t>
            </w:r>
          </w:p>
        </w:tc>
        <w:tc>
          <w:tcPr>
            <w:tcW w:w="1250" w:type="dxa"/>
            <w:tcBorders>
              <w:top w:val="nil"/>
              <w:left w:val="nil"/>
              <w:bottom w:val="single" w:sz="4" w:space="0" w:color="000000"/>
              <w:right w:val="single" w:sz="4" w:space="0" w:color="000000"/>
            </w:tcBorders>
          </w:tcPr>
          <w:p w14:paraId="21C981CF" w14:textId="77777777" w:rsidR="00544ED9" w:rsidRDefault="00544ED9" w:rsidP="002B34C8">
            <w:pPr>
              <w:spacing w:after="0"/>
              <w:jc w:val="center"/>
              <w:rPr>
                <w:rFonts w:asciiTheme="minorHAnsi" w:eastAsia="Times New Roman" w:hAnsiTheme="minorHAnsi" w:cstheme="minorHAnsi"/>
                <w:color w:val="000000"/>
                <w:sz w:val="20"/>
                <w:szCs w:val="20"/>
              </w:rPr>
            </w:pPr>
          </w:p>
          <w:p w14:paraId="7499DC84" w14:textId="499112D1" w:rsidR="004C5883" w:rsidRDefault="00544ED9" w:rsidP="00544ED9">
            <w:pPr>
              <w:spacing w:after="0"/>
              <w:jc w:val="center"/>
              <w:rPr>
                <w:rFonts w:asciiTheme="minorHAnsi" w:eastAsia="Times New Roman" w:hAnsiTheme="minorHAnsi" w:cstheme="minorHAnsi"/>
                <w:color w:val="000000"/>
                <w:sz w:val="20"/>
                <w:szCs w:val="20"/>
              </w:rPr>
            </w:pPr>
            <w:r w:rsidRPr="00544ED9">
              <w:rPr>
                <w:rFonts w:asciiTheme="minorHAnsi" w:eastAsia="Times New Roman" w:hAnsiTheme="minorHAnsi" w:cstheme="minorHAnsi"/>
                <w:color w:val="000000"/>
                <w:sz w:val="20"/>
                <w:szCs w:val="20"/>
              </w:rPr>
              <w:t>2</w:t>
            </w:r>
            <w:r>
              <w:rPr>
                <w:rFonts w:asciiTheme="minorHAnsi" w:eastAsia="Times New Roman" w:hAnsiTheme="minorHAnsi" w:cstheme="minorHAnsi"/>
                <w:color w:val="000000"/>
                <w:sz w:val="20"/>
                <w:szCs w:val="20"/>
              </w:rPr>
              <w:t>3</w:t>
            </w:r>
            <w:r w:rsidRPr="00544ED9">
              <w:rPr>
                <w:rFonts w:asciiTheme="minorHAnsi" w:eastAsia="Times New Roman" w:hAnsiTheme="minorHAnsi" w:cstheme="minorHAnsi"/>
                <w:color w:val="000000"/>
                <w:sz w:val="20"/>
                <w:szCs w:val="20"/>
              </w:rPr>
              <w:t>.</w:t>
            </w:r>
            <w:r>
              <w:rPr>
                <w:rFonts w:asciiTheme="minorHAnsi" w:eastAsia="Times New Roman" w:hAnsiTheme="minorHAnsi" w:cstheme="minorHAnsi"/>
                <w:color w:val="000000"/>
                <w:sz w:val="20"/>
                <w:szCs w:val="20"/>
              </w:rPr>
              <w:t>2</w:t>
            </w:r>
            <w:r w:rsidRPr="00544ED9">
              <w:rPr>
                <w:rFonts w:asciiTheme="minorHAnsi" w:eastAsia="Times New Roman" w:hAnsiTheme="minorHAnsi" w:cstheme="minorHAnsi"/>
                <w:color w:val="000000"/>
                <w:sz w:val="20"/>
                <w:szCs w:val="20"/>
              </w:rPr>
              <w:t>%</w:t>
            </w:r>
          </w:p>
        </w:tc>
      </w:tr>
      <w:tr w:rsidR="003352F5" w:rsidRPr="00F26259" w14:paraId="64E24DCA" w14:textId="0F89D662" w:rsidTr="003352F5">
        <w:trPr>
          <w:trHeight w:val="290"/>
          <w:jc w:val="center"/>
        </w:trPr>
        <w:tc>
          <w:tcPr>
            <w:tcW w:w="1368" w:type="dxa"/>
            <w:tcBorders>
              <w:top w:val="nil"/>
              <w:left w:val="single" w:sz="4" w:space="0" w:color="000000"/>
              <w:bottom w:val="single" w:sz="4" w:space="0" w:color="000000"/>
              <w:right w:val="single" w:sz="4" w:space="0" w:color="000000"/>
            </w:tcBorders>
            <w:shd w:val="clear" w:color="auto" w:fill="auto"/>
            <w:noWrap/>
          </w:tcPr>
          <w:p w14:paraId="0457C303" w14:textId="063E64FE" w:rsidR="004C5883" w:rsidRPr="00F26259" w:rsidRDefault="004C5883" w:rsidP="002B34C8">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PQI08</w:t>
            </w:r>
          </w:p>
        </w:tc>
        <w:tc>
          <w:tcPr>
            <w:tcW w:w="8476" w:type="dxa"/>
            <w:tcBorders>
              <w:top w:val="nil"/>
              <w:left w:val="nil"/>
              <w:bottom w:val="single" w:sz="4" w:space="0" w:color="auto"/>
              <w:right w:val="single" w:sz="4" w:space="0" w:color="auto"/>
            </w:tcBorders>
            <w:shd w:val="clear" w:color="auto" w:fill="auto"/>
          </w:tcPr>
          <w:p w14:paraId="35E101B0" w14:textId="3DB5C0C5" w:rsidR="004C5883" w:rsidRPr="0062122F" w:rsidRDefault="004C5883" w:rsidP="002B34C8">
            <w:pPr>
              <w:rPr>
                <w:rFonts w:eastAsia="Times New Roman" w:cs="Calibri"/>
                <w:color w:val="000000"/>
                <w:sz w:val="20"/>
                <w:szCs w:val="20"/>
              </w:rPr>
            </w:pPr>
            <w:r w:rsidRPr="0062122F">
              <w:rPr>
                <w:rFonts w:cs="Calibri"/>
                <w:color w:val="000000"/>
                <w:sz w:val="20"/>
                <w:szCs w:val="20"/>
              </w:rPr>
              <w:t>Heart Failure Admission Rate (per 100,000 member months)</w:t>
            </w:r>
            <w:r>
              <w:rPr>
                <w:rFonts w:cs="Calibri"/>
                <w:color w:val="000000"/>
                <w:sz w:val="20"/>
                <w:szCs w:val="20"/>
              </w:rPr>
              <w:t>: 18-64</w:t>
            </w:r>
          </w:p>
        </w:tc>
        <w:tc>
          <w:tcPr>
            <w:tcW w:w="1107" w:type="dxa"/>
            <w:tcBorders>
              <w:top w:val="single" w:sz="4" w:space="0" w:color="auto"/>
              <w:bottom w:val="single" w:sz="4" w:space="0" w:color="auto"/>
              <w:right w:val="single" w:sz="4" w:space="0" w:color="auto"/>
            </w:tcBorders>
            <w:vAlign w:val="center"/>
          </w:tcPr>
          <w:p w14:paraId="269B15D6" w14:textId="03970B41" w:rsidR="004C5883" w:rsidRPr="004A1A02" w:rsidRDefault="004C5883" w:rsidP="002B34C8">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16.5</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40A8E3D" w14:textId="15CEA3A0" w:rsidR="004C5883" w:rsidRPr="004A1A02" w:rsidRDefault="004C5883" w:rsidP="002B34C8">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16.5</w:t>
            </w:r>
          </w:p>
        </w:tc>
        <w:tc>
          <w:tcPr>
            <w:tcW w:w="144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3FF70B5" w14:textId="2BF3DAEC" w:rsidR="004C5883" w:rsidRPr="004A1A02" w:rsidRDefault="004C5883" w:rsidP="002B34C8">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18.1</w:t>
            </w:r>
          </w:p>
        </w:tc>
        <w:tc>
          <w:tcPr>
            <w:tcW w:w="1713" w:type="dxa"/>
            <w:tcBorders>
              <w:top w:val="nil"/>
              <w:left w:val="single" w:sz="4" w:space="0" w:color="auto"/>
              <w:bottom w:val="single" w:sz="4" w:space="0" w:color="000000"/>
              <w:right w:val="single" w:sz="4" w:space="0" w:color="000000"/>
            </w:tcBorders>
            <w:shd w:val="clear" w:color="auto" w:fill="auto"/>
            <w:noWrap/>
            <w:vAlign w:val="center"/>
          </w:tcPr>
          <w:p w14:paraId="2236EE73" w14:textId="14E595A2" w:rsidR="004C5883" w:rsidRPr="00AA3AD9" w:rsidRDefault="00397825" w:rsidP="002B34C8">
            <w:pPr>
              <w:spacing w:after="0"/>
              <w:jc w:val="center"/>
              <w:rPr>
                <w:rFonts w:asciiTheme="minorHAnsi" w:eastAsia="Times New Roman" w:hAnsiTheme="minorHAnsi" w:cstheme="minorHAnsi"/>
                <w:color w:val="FF0000"/>
                <w:sz w:val="20"/>
                <w:szCs w:val="20"/>
              </w:rPr>
            </w:pPr>
            <w:r w:rsidRPr="00397825">
              <w:rPr>
                <w:rFonts w:asciiTheme="minorHAnsi" w:eastAsia="Times New Roman" w:hAnsiTheme="minorHAnsi" w:cstheme="minorHAnsi"/>
                <w:sz w:val="20"/>
                <w:szCs w:val="20"/>
              </w:rPr>
              <w:t>33.4%</w:t>
            </w:r>
          </w:p>
        </w:tc>
        <w:tc>
          <w:tcPr>
            <w:tcW w:w="1527" w:type="dxa"/>
            <w:tcBorders>
              <w:top w:val="nil"/>
              <w:left w:val="nil"/>
              <w:bottom w:val="single" w:sz="4" w:space="0" w:color="000000"/>
              <w:right w:val="single" w:sz="4" w:space="0" w:color="000000"/>
            </w:tcBorders>
            <w:shd w:val="clear" w:color="auto" w:fill="auto"/>
            <w:noWrap/>
            <w:vAlign w:val="center"/>
          </w:tcPr>
          <w:p w14:paraId="30666FF8" w14:textId="228D26E0" w:rsidR="004C5883" w:rsidRPr="00AA3AD9" w:rsidRDefault="00397825" w:rsidP="002B34C8">
            <w:pPr>
              <w:spacing w:after="0"/>
              <w:jc w:val="center"/>
              <w:rPr>
                <w:rFonts w:asciiTheme="minorHAnsi" w:eastAsia="Times New Roman" w:hAnsiTheme="minorHAnsi" w:cstheme="minorHAnsi"/>
                <w:color w:val="FF0000"/>
                <w:sz w:val="20"/>
                <w:szCs w:val="20"/>
              </w:rPr>
            </w:pPr>
            <w:r w:rsidRPr="00397825">
              <w:rPr>
                <w:rFonts w:asciiTheme="minorHAnsi" w:eastAsia="Times New Roman" w:hAnsiTheme="minorHAnsi" w:cstheme="minorHAnsi"/>
                <w:sz w:val="20"/>
                <w:szCs w:val="20"/>
              </w:rPr>
              <w:t>23.9%</w:t>
            </w:r>
          </w:p>
        </w:tc>
        <w:tc>
          <w:tcPr>
            <w:tcW w:w="1250" w:type="dxa"/>
            <w:tcBorders>
              <w:top w:val="nil"/>
              <w:left w:val="nil"/>
              <w:bottom w:val="single" w:sz="4" w:space="0" w:color="000000"/>
              <w:right w:val="single" w:sz="4" w:space="0" w:color="000000"/>
            </w:tcBorders>
          </w:tcPr>
          <w:p w14:paraId="13DF7D0A" w14:textId="086D00B7" w:rsidR="004C5883" w:rsidRDefault="00397825" w:rsidP="002B34C8">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17.1%</w:t>
            </w:r>
          </w:p>
        </w:tc>
      </w:tr>
      <w:tr w:rsidR="003352F5" w:rsidRPr="00F26259" w14:paraId="6ADAE599" w14:textId="1A552F5B" w:rsidTr="003352F5">
        <w:trPr>
          <w:trHeight w:val="278"/>
          <w:jc w:val="center"/>
        </w:trPr>
        <w:tc>
          <w:tcPr>
            <w:tcW w:w="1368" w:type="dxa"/>
            <w:tcBorders>
              <w:top w:val="nil"/>
              <w:left w:val="single" w:sz="4" w:space="0" w:color="000000"/>
              <w:bottom w:val="single" w:sz="4" w:space="0" w:color="000000"/>
              <w:right w:val="single" w:sz="4" w:space="0" w:color="000000"/>
            </w:tcBorders>
            <w:shd w:val="clear" w:color="auto" w:fill="auto"/>
            <w:noWrap/>
          </w:tcPr>
          <w:p w14:paraId="58CF3046" w14:textId="77C43B7B" w:rsidR="004C5883" w:rsidRPr="00F26259" w:rsidRDefault="004C5883" w:rsidP="002B34C8">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PQI15</w:t>
            </w:r>
          </w:p>
        </w:tc>
        <w:tc>
          <w:tcPr>
            <w:tcW w:w="8476" w:type="dxa"/>
            <w:tcBorders>
              <w:top w:val="nil"/>
              <w:left w:val="nil"/>
              <w:bottom w:val="single" w:sz="4" w:space="0" w:color="auto"/>
              <w:right w:val="single" w:sz="4" w:space="0" w:color="auto"/>
            </w:tcBorders>
            <w:shd w:val="clear" w:color="auto" w:fill="auto"/>
          </w:tcPr>
          <w:p w14:paraId="1F7BCADE" w14:textId="6B14460D" w:rsidR="004C5883" w:rsidRPr="0062122F" w:rsidRDefault="004C5883" w:rsidP="002B34C8">
            <w:pPr>
              <w:rPr>
                <w:rFonts w:eastAsia="Times New Roman" w:cs="Calibri"/>
                <w:color w:val="000000"/>
                <w:sz w:val="20"/>
                <w:szCs w:val="20"/>
              </w:rPr>
            </w:pPr>
            <w:r w:rsidRPr="0062122F">
              <w:rPr>
                <w:rFonts w:cs="Calibri"/>
                <w:color w:val="000000"/>
                <w:sz w:val="20"/>
                <w:szCs w:val="20"/>
              </w:rPr>
              <w:t>Asthma in Younger Adults Admission Rate (per 100,000 member months)</w:t>
            </w:r>
            <w:r>
              <w:rPr>
                <w:rFonts w:cs="Calibri"/>
                <w:color w:val="000000"/>
                <w:sz w:val="20"/>
                <w:szCs w:val="20"/>
              </w:rPr>
              <w:t>: 18-39</w:t>
            </w:r>
          </w:p>
        </w:tc>
        <w:tc>
          <w:tcPr>
            <w:tcW w:w="1107" w:type="dxa"/>
            <w:tcBorders>
              <w:top w:val="single" w:sz="4" w:space="0" w:color="auto"/>
              <w:left w:val="nil"/>
              <w:bottom w:val="single" w:sz="4" w:space="0" w:color="auto"/>
              <w:right w:val="single" w:sz="4" w:space="0" w:color="auto"/>
            </w:tcBorders>
            <w:vAlign w:val="center"/>
          </w:tcPr>
          <w:p w14:paraId="2D50931A" w14:textId="4C9692B1" w:rsidR="004C5883" w:rsidRPr="004A1A02" w:rsidRDefault="004C5883" w:rsidP="002B34C8">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5.</w:t>
            </w:r>
            <w:r>
              <w:rPr>
                <w:rFonts w:asciiTheme="minorHAnsi" w:eastAsia="Times New Roman" w:hAnsiTheme="minorHAnsi" w:cstheme="minorHAnsi"/>
                <w:sz w:val="20"/>
                <w:szCs w:val="20"/>
              </w:rPr>
              <w:t>2</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B226D87" w14:textId="5E077392" w:rsidR="004C5883" w:rsidRPr="004A1A02" w:rsidRDefault="004C5883" w:rsidP="002B34C8">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4.2</w:t>
            </w:r>
          </w:p>
        </w:tc>
        <w:tc>
          <w:tcPr>
            <w:tcW w:w="144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2D0CDCE" w14:textId="65D8E49C" w:rsidR="004C5883" w:rsidRPr="004A1A02" w:rsidRDefault="004C5883" w:rsidP="002B34C8">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2.8</w:t>
            </w:r>
          </w:p>
        </w:tc>
        <w:tc>
          <w:tcPr>
            <w:tcW w:w="1713" w:type="dxa"/>
            <w:tcBorders>
              <w:top w:val="nil"/>
              <w:left w:val="nil"/>
              <w:bottom w:val="single" w:sz="4" w:space="0" w:color="000000"/>
              <w:right w:val="single" w:sz="4" w:space="0" w:color="000000"/>
            </w:tcBorders>
            <w:shd w:val="clear" w:color="auto" w:fill="auto"/>
            <w:noWrap/>
            <w:vAlign w:val="center"/>
          </w:tcPr>
          <w:p w14:paraId="62DA029C" w14:textId="0B6322ED" w:rsidR="004C5883" w:rsidRPr="00AA3AD9" w:rsidRDefault="00A945A5" w:rsidP="002B34C8">
            <w:pPr>
              <w:spacing w:after="0"/>
              <w:jc w:val="center"/>
              <w:rPr>
                <w:rFonts w:asciiTheme="minorHAnsi" w:eastAsia="Times New Roman" w:hAnsiTheme="minorHAnsi" w:cstheme="minorHAnsi"/>
                <w:color w:val="FF0000"/>
                <w:sz w:val="20"/>
                <w:szCs w:val="20"/>
              </w:rPr>
            </w:pPr>
            <w:r w:rsidRPr="00A945A5">
              <w:rPr>
                <w:rFonts w:asciiTheme="minorHAnsi" w:eastAsia="Times New Roman" w:hAnsiTheme="minorHAnsi" w:cstheme="minorHAnsi"/>
                <w:sz w:val="20"/>
                <w:szCs w:val="20"/>
              </w:rPr>
              <w:t>4.</w:t>
            </w:r>
            <w:r>
              <w:rPr>
                <w:rFonts w:asciiTheme="minorHAnsi" w:eastAsia="Times New Roman" w:hAnsiTheme="minorHAnsi" w:cstheme="minorHAnsi"/>
                <w:sz w:val="20"/>
                <w:szCs w:val="20"/>
              </w:rPr>
              <w:t>7</w:t>
            </w:r>
          </w:p>
        </w:tc>
        <w:tc>
          <w:tcPr>
            <w:tcW w:w="1527" w:type="dxa"/>
            <w:tcBorders>
              <w:top w:val="nil"/>
              <w:left w:val="nil"/>
              <w:bottom w:val="single" w:sz="4" w:space="0" w:color="000000"/>
              <w:right w:val="single" w:sz="4" w:space="0" w:color="000000"/>
            </w:tcBorders>
            <w:shd w:val="clear" w:color="auto" w:fill="auto"/>
            <w:noWrap/>
            <w:vAlign w:val="center"/>
          </w:tcPr>
          <w:p w14:paraId="60A31148" w14:textId="4016EB98" w:rsidR="004C5883" w:rsidRPr="00AA3AD9" w:rsidRDefault="00A945A5" w:rsidP="002B34C8">
            <w:pPr>
              <w:spacing w:after="0"/>
              <w:jc w:val="center"/>
              <w:rPr>
                <w:rFonts w:asciiTheme="minorHAnsi" w:eastAsia="Times New Roman" w:hAnsiTheme="minorHAnsi" w:cstheme="minorHAnsi"/>
                <w:color w:val="FF0000"/>
                <w:sz w:val="20"/>
                <w:szCs w:val="20"/>
              </w:rPr>
            </w:pPr>
            <w:r w:rsidRPr="00A945A5">
              <w:rPr>
                <w:rFonts w:asciiTheme="minorHAnsi" w:eastAsia="Times New Roman" w:hAnsiTheme="minorHAnsi" w:cstheme="minorHAnsi"/>
                <w:sz w:val="20"/>
                <w:szCs w:val="20"/>
              </w:rPr>
              <w:t>3.1</w:t>
            </w:r>
          </w:p>
        </w:tc>
        <w:tc>
          <w:tcPr>
            <w:tcW w:w="1250" w:type="dxa"/>
            <w:tcBorders>
              <w:top w:val="nil"/>
              <w:left w:val="nil"/>
              <w:bottom w:val="single" w:sz="4" w:space="0" w:color="000000"/>
              <w:right w:val="single" w:sz="4" w:space="0" w:color="000000"/>
            </w:tcBorders>
          </w:tcPr>
          <w:p w14:paraId="5619BE78" w14:textId="30E0BF65" w:rsidR="004C5883" w:rsidRDefault="00A945A5" w:rsidP="002B34C8">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2.2</w:t>
            </w:r>
          </w:p>
        </w:tc>
      </w:tr>
      <w:tr w:rsidR="003352F5" w:rsidRPr="00F26259" w14:paraId="4F12CB49" w14:textId="6F172BAA" w:rsidTr="003352F5">
        <w:trPr>
          <w:trHeight w:val="260"/>
          <w:jc w:val="center"/>
        </w:trPr>
        <w:tc>
          <w:tcPr>
            <w:tcW w:w="1368" w:type="dxa"/>
            <w:tcBorders>
              <w:top w:val="nil"/>
              <w:left w:val="single" w:sz="4" w:space="0" w:color="000000"/>
              <w:bottom w:val="single" w:sz="4" w:space="0" w:color="000000"/>
              <w:right w:val="single" w:sz="4" w:space="0" w:color="000000"/>
            </w:tcBorders>
            <w:shd w:val="clear" w:color="auto" w:fill="auto"/>
            <w:noWrap/>
          </w:tcPr>
          <w:p w14:paraId="6AA714BE" w14:textId="4A7B031A" w:rsidR="004C5883" w:rsidRPr="00F26259" w:rsidRDefault="004C5883" w:rsidP="002B34C8">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SSA</w:t>
            </w:r>
          </w:p>
        </w:tc>
        <w:tc>
          <w:tcPr>
            <w:tcW w:w="8476" w:type="dxa"/>
            <w:tcBorders>
              <w:top w:val="nil"/>
              <w:left w:val="nil"/>
              <w:bottom w:val="single" w:sz="4" w:space="0" w:color="auto"/>
              <w:right w:val="single" w:sz="4" w:space="0" w:color="auto"/>
            </w:tcBorders>
            <w:shd w:val="clear" w:color="000000" w:fill="FFFFFF"/>
          </w:tcPr>
          <w:p w14:paraId="26D3A819" w14:textId="49EFF695" w:rsidR="004C5883" w:rsidRPr="0062122F" w:rsidRDefault="004C5883" w:rsidP="002B34C8">
            <w:pPr>
              <w:rPr>
                <w:rFonts w:eastAsia="Times New Roman" w:cs="Calibri"/>
                <w:color w:val="000000"/>
                <w:sz w:val="20"/>
                <w:szCs w:val="20"/>
              </w:rPr>
            </w:pPr>
            <w:r w:rsidRPr="0062122F">
              <w:rPr>
                <w:rFonts w:cs="Calibri"/>
                <w:color w:val="000000"/>
                <w:sz w:val="20"/>
                <w:szCs w:val="20"/>
              </w:rPr>
              <w:t xml:space="preserve">Adherence to Antipsychotic Medications for Individuals with Schizophrenia </w:t>
            </w:r>
          </w:p>
        </w:tc>
        <w:tc>
          <w:tcPr>
            <w:tcW w:w="1107" w:type="dxa"/>
            <w:tcBorders>
              <w:top w:val="nil"/>
              <w:left w:val="nil"/>
              <w:bottom w:val="single" w:sz="4" w:space="0" w:color="auto"/>
              <w:right w:val="single" w:sz="4" w:space="0" w:color="auto"/>
            </w:tcBorders>
            <w:shd w:val="clear" w:color="auto" w:fill="F2F2F2" w:themeFill="background1" w:themeFillShade="F2"/>
            <w:vAlign w:val="center"/>
          </w:tcPr>
          <w:p w14:paraId="3E6B5A79" w14:textId="51FE8527" w:rsidR="004C5883" w:rsidRPr="004A1A02" w:rsidRDefault="004C5883" w:rsidP="002B34C8">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69.2%</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0E49037" w14:textId="749E7C9A" w:rsidR="004C5883" w:rsidRPr="004A1A02" w:rsidRDefault="004C5883" w:rsidP="002B34C8">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69.4%</w:t>
            </w:r>
          </w:p>
        </w:tc>
        <w:tc>
          <w:tcPr>
            <w:tcW w:w="144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B7D4C3E" w14:textId="28FFD1A4" w:rsidR="004C5883" w:rsidRPr="004A1A02" w:rsidRDefault="004C5883" w:rsidP="002B34C8">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71.7%</w:t>
            </w:r>
          </w:p>
        </w:tc>
        <w:tc>
          <w:tcPr>
            <w:tcW w:w="1713" w:type="dxa"/>
            <w:tcBorders>
              <w:top w:val="nil"/>
              <w:left w:val="nil"/>
              <w:bottom w:val="single" w:sz="4" w:space="0" w:color="000000"/>
              <w:right w:val="single" w:sz="4" w:space="0" w:color="000000"/>
            </w:tcBorders>
            <w:shd w:val="clear" w:color="auto" w:fill="auto"/>
            <w:noWrap/>
            <w:vAlign w:val="center"/>
          </w:tcPr>
          <w:p w14:paraId="6B66E324" w14:textId="499B3C5C" w:rsidR="004C5883" w:rsidRPr="00AA3AD9" w:rsidRDefault="00C4769C" w:rsidP="002B34C8">
            <w:pPr>
              <w:spacing w:after="0"/>
              <w:jc w:val="center"/>
              <w:rPr>
                <w:rFonts w:asciiTheme="minorHAnsi" w:eastAsia="Times New Roman" w:hAnsiTheme="minorHAnsi" w:cstheme="minorHAnsi"/>
                <w:color w:val="FF0000"/>
                <w:sz w:val="20"/>
                <w:szCs w:val="20"/>
              </w:rPr>
            </w:pPr>
            <w:r w:rsidRPr="00C4769C">
              <w:rPr>
                <w:rFonts w:asciiTheme="minorHAnsi" w:eastAsia="Times New Roman" w:hAnsiTheme="minorHAnsi" w:cstheme="minorHAnsi"/>
                <w:sz w:val="20"/>
                <w:szCs w:val="20"/>
              </w:rPr>
              <w:t>56.8%</w:t>
            </w:r>
          </w:p>
        </w:tc>
        <w:tc>
          <w:tcPr>
            <w:tcW w:w="1527" w:type="dxa"/>
            <w:tcBorders>
              <w:top w:val="nil"/>
              <w:left w:val="nil"/>
              <w:bottom w:val="single" w:sz="4" w:space="0" w:color="000000"/>
              <w:right w:val="single" w:sz="4" w:space="0" w:color="000000"/>
            </w:tcBorders>
            <w:shd w:val="clear" w:color="auto" w:fill="auto"/>
            <w:noWrap/>
            <w:vAlign w:val="center"/>
          </w:tcPr>
          <w:p w14:paraId="6524C7D3" w14:textId="0E59B2B2" w:rsidR="004C5883" w:rsidRPr="00AA3AD9" w:rsidRDefault="00C4769C" w:rsidP="002B34C8">
            <w:pPr>
              <w:spacing w:after="0"/>
              <w:jc w:val="center"/>
              <w:rPr>
                <w:rFonts w:asciiTheme="minorHAnsi" w:eastAsia="Times New Roman" w:hAnsiTheme="minorHAnsi" w:cstheme="minorHAnsi"/>
                <w:color w:val="FF0000"/>
                <w:sz w:val="20"/>
                <w:szCs w:val="20"/>
              </w:rPr>
            </w:pPr>
            <w:r w:rsidRPr="00C4769C">
              <w:rPr>
                <w:rFonts w:asciiTheme="minorHAnsi" w:eastAsia="Times New Roman" w:hAnsiTheme="minorHAnsi" w:cstheme="minorHAnsi"/>
                <w:sz w:val="20"/>
                <w:szCs w:val="20"/>
              </w:rPr>
              <w:t>62.2%</w:t>
            </w:r>
          </w:p>
        </w:tc>
        <w:tc>
          <w:tcPr>
            <w:tcW w:w="1250" w:type="dxa"/>
            <w:tcBorders>
              <w:top w:val="nil"/>
              <w:left w:val="nil"/>
              <w:bottom w:val="single" w:sz="4" w:space="0" w:color="000000"/>
              <w:right w:val="single" w:sz="4" w:space="0" w:color="000000"/>
            </w:tcBorders>
          </w:tcPr>
          <w:p w14:paraId="7BC5CEFF" w14:textId="19783779" w:rsidR="004C5883" w:rsidRDefault="00C4769C" w:rsidP="002B34C8">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67.1%</w:t>
            </w:r>
          </w:p>
        </w:tc>
      </w:tr>
      <w:tr w:rsidR="003352F5" w:rsidRPr="00820F3A" w14:paraId="42210A77" w14:textId="3F2EDA55" w:rsidTr="003352F5">
        <w:trPr>
          <w:trHeight w:val="260"/>
          <w:jc w:val="center"/>
        </w:trPr>
        <w:tc>
          <w:tcPr>
            <w:tcW w:w="1368" w:type="dxa"/>
            <w:tcBorders>
              <w:top w:val="nil"/>
              <w:left w:val="single" w:sz="4" w:space="0" w:color="000000"/>
              <w:bottom w:val="single" w:sz="4" w:space="0" w:color="000000"/>
              <w:right w:val="single" w:sz="4" w:space="0" w:color="000000"/>
            </w:tcBorders>
            <w:shd w:val="clear" w:color="auto" w:fill="auto"/>
            <w:noWrap/>
          </w:tcPr>
          <w:p w14:paraId="1758FA93" w14:textId="77777777" w:rsidR="004C5883" w:rsidRDefault="004C5883" w:rsidP="002B34C8">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SSD</w:t>
            </w:r>
          </w:p>
        </w:tc>
        <w:tc>
          <w:tcPr>
            <w:tcW w:w="8476" w:type="dxa"/>
            <w:tcBorders>
              <w:top w:val="nil"/>
              <w:left w:val="nil"/>
              <w:bottom w:val="single" w:sz="4" w:space="0" w:color="auto"/>
              <w:right w:val="single" w:sz="4" w:space="0" w:color="auto"/>
            </w:tcBorders>
            <w:shd w:val="clear" w:color="000000" w:fill="FFFFFF"/>
          </w:tcPr>
          <w:p w14:paraId="4B91853C" w14:textId="6BF0AA4A" w:rsidR="004C5883" w:rsidRPr="0062122F" w:rsidRDefault="004C5883" w:rsidP="002B34C8">
            <w:pPr>
              <w:rPr>
                <w:rFonts w:eastAsia="Times New Roman" w:cs="Calibri"/>
                <w:color w:val="000000"/>
                <w:sz w:val="20"/>
                <w:szCs w:val="20"/>
              </w:rPr>
            </w:pPr>
            <w:r w:rsidRPr="0062122F">
              <w:rPr>
                <w:rFonts w:cs="Calibri"/>
                <w:color w:val="000000"/>
                <w:sz w:val="20"/>
                <w:szCs w:val="20"/>
              </w:rPr>
              <w:t>Diabetes Screening for People with Schizophrenia or Bipolar Disorder Who are Using Antipsychotic Medications</w:t>
            </w:r>
          </w:p>
        </w:tc>
        <w:tc>
          <w:tcPr>
            <w:tcW w:w="1107" w:type="dxa"/>
            <w:tcBorders>
              <w:top w:val="nil"/>
              <w:left w:val="nil"/>
              <w:bottom w:val="single" w:sz="4" w:space="0" w:color="auto"/>
              <w:right w:val="single" w:sz="4" w:space="0" w:color="auto"/>
            </w:tcBorders>
            <w:shd w:val="clear" w:color="auto" w:fill="F2F2F2" w:themeFill="background1" w:themeFillShade="F2"/>
            <w:vAlign w:val="center"/>
          </w:tcPr>
          <w:p w14:paraId="054CBFDA" w14:textId="2C471B5C" w:rsidR="004C5883" w:rsidRPr="004A1A02" w:rsidRDefault="004C5883" w:rsidP="002B34C8">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73.2%</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8B1329A" w14:textId="1C7BF5A6" w:rsidR="004C5883" w:rsidRPr="004A1A02" w:rsidRDefault="004C5883" w:rsidP="002B34C8">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77.7%</w:t>
            </w:r>
          </w:p>
        </w:tc>
        <w:tc>
          <w:tcPr>
            <w:tcW w:w="144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0EF15B0" w14:textId="354F3E79" w:rsidR="004C5883" w:rsidRPr="004A1A02" w:rsidRDefault="004C5883" w:rsidP="002B34C8">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76.6%</w:t>
            </w:r>
          </w:p>
        </w:tc>
        <w:tc>
          <w:tcPr>
            <w:tcW w:w="1713" w:type="dxa"/>
            <w:tcBorders>
              <w:top w:val="nil"/>
              <w:left w:val="nil"/>
              <w:bottom w:val="single" w:sz="4" w:space="0" w:color="000000"/>
              <w:right w:val="single" w:sz="4" w:space="0" w:color="000000"/>
            </w:tcBorders>
            <w:shd w:val="clear" w:color="auto" w:fill="auto"/>
            <w:noWrap/>
            <w:vAlign w:val="center"/>
          </w:tcPr>
          <w:p w14:paraId="626109C0" w14:textId="0FFF71A1" w:rsidR="004C5883" w:rsidRPr="00AA3AD9" w:rsidRDefault="003662A8" w:rsidP="002B34C8">
            <w:pPr>
              <w:spacing w:after="0"/>
              <w:jc w:val="center"/>
              <w:rPr>
                <w:rFonts w:asciiTheme="minorHAnsi" w:eastAsia="Times New Roman" w:hAnsiTheme="minorHAnsi" w:cstheme="minorHAnsi"/>
                <w:color w:val="FF0000"/>
                <w:sz w:val="20"/>
                <w:szCs w:val="20"/>
              </w:rPr>
            </w:pPr>
            <w:r w:rsidRPr="003662A8">
              <w:rPr>
                <w:rFonts w:asciiTheme="minorHAnsi" w:eastAsia="Times New Roman" w:hAnsiTheme="minorHAnsi" w:cstheme="minorHAnsi"/>
                <w:sz w:val="20"/>
                <w:szCs w:val="20"/>
              </w:rPr>
              <w:t>74.2%</w:t>
            </w:r>
          </w:p>
        </w:tc>
        <w:tc>
          <w:tcPr>
            <w:tcW w:w="1527" w:type="dxa"/>
            <w:tcBorders>
              <w:top w:val="nil"/>
              <w:left w:val="nil"/>
              <w:bottom w:val="single" w:sz="4" w:space="0" w:color="000000"/>
              <w:right w:val="single" w:sz="4" w:space="0" w:color="000000"/>
            </w:tcBorders>
            <w:shd w:val="clear" w:color="auto" w:fill="auto"/>
            <w:noWrap/>
            <w:vAlign w:val="center"/>
          </w:tcPr>
          <w:p w14:paraId="3FBFF4D9" w14:textId="2C85D1E0" w:rsidR="004C5883" w:rsidRPr="00AA3AD9" w:rsidRDefault="003662A8" w:rsidP="002B34C8">
            <w:pPr>
              <w:spacing w:after="0"/>
              <w:jc w:val="center"/>
              <w:rPr>
                <w:rFonts w:asciiTheme="minorHAnsi" w:eastAsia="Times New Roman" w:hAnsiTheme="minorHAnsi" w:cstheme="minorHAnsi"/>
                <w:color w:val="FF0000"/>
                <w:sz w:val="20"/>
                <w:szCs w:val="20"/>
              </w:rPr>
            </w:pPr>
            <w:r w:rsidRPr="003662A8">
              <w:rPr>
                <w:rFonts w:asciiTheme="minorHAnsi" w:eastAsia="Times New Roman" w:hAnsiTheme="minorHAnsi" w:cstheme="minorHAnsi"/>
                <w:sz w:val="20"/>
                <w:szCs w:val="20"/>
              </w:rPr>
              <w:t>77.1%</w:t>
            </w:r>
          </w:p>
        </w:tc>
        <w:tc>
          <w:tcPr>
            <w:tcW w:w="1250" w:type="dxa"/>
            <w:tcBorders>
              <w:top w:val="nil"/>
              <w:left w:val="nil"/>
              <w:bottom w:val="single" w:sz="4" w:space="0" w:color="000000"/>
              <w:right w:val="single" w:sz="4" w:space="0" w:color="000000"/>
            </w:tcBorders>
          </w:tcPr>
          <w:p w14:paraId="47C51737" w14:textId="77777777" w:rsidR="003662A8" w:rsidRDefault="003662A8" w:rsidP="002B34C8">
            <w:pPr>
              <w:spacing w:after="0"/>
              <w:jc w:val="center"/>
              <w:rPr>
                <w:rFonts w:asciiTheme="minorHAnsi" w:eastAsia="Times New Roman" w:hAnsiTheme="minorHAnsi" w:cstheme="minorHAnsi"/>
                <w:color w:val="000000"/>
                <w:sz w:val="20"/>
                <w:szCs w:val="20"/>
              </w:rPr>
            </w:pPr>
          </w:p>
          <w:p w14:paraId="28AA6C57" w14:textId="5AF36DB8" w:rsidR="004C5883" w:rsidRDefault="003662A8" w:rsidP="002B34C8">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78.5%</w:t>
            </w:r>
          </w:p>
        </w:tc>
      </w:tr>
    </w:tbl>
    <w:p w14:paraId="7BDF3D18" w14:textId="77777777" w:rsidR="00B65D88" w:rsidRDefault="00B65D88" w:rsidP="00723C99">
      <w:pPr>
        <w:tabs>
          <w:tab w:val="left" w:pos="4156"/>
        </w:tabs>
        <w:rPr>
          <w:b/>
          <w:bCs/>
        </w:rPr>
      </w:pPr>
    </w:p>
    <w:p w14:paraId="23B35D92" w14:textId="77777777" w:rsidR="0076181B" w:rsidRDefault="0076181B" w:rsidP="00723C99">
      <w:pPr>
        <w:tabs>
          <w:tab w:val="left" w:pos="4156"/>
        </w:tabs>
        <w:rPr>
          <w:b/>
          <w:bCs/>
        </w:rPr>
      </w:pPr>
    </w:p>
    <w:p w14:paraId="73DCAC4E" w14:textId="77777777" w:rsidR="0076181B" w:rsidRDefault="0076181B" w:rsidP="00723C99">
      <w:pPr>
        <w:tabs>
          <w:tab w:val="left" w:pos="4156"/>
        </w:tabs>
        <w:rPr>
          <w:b/>
          <w:bCs/>
        </w:rPr>
      </w:pPr>
    </w:p>
    <w:p w14:paraId="53BAC46A" w14:textId="77777777" w:rsidR="0076181B" w:rsidRDefault="0076181B" w:rsidP="00723C99">
      <w:pPr>
        <w:tabs>
          <w:tab w:val="left" w:pos="4156"/>
        </w:tabs>
        <w:rPr>
          <w:b/>
          <w:bCs/>
        </w:rPr>
      </w:pPr>
    </w:p>
    <w:tbl>
      <w:tblPr>
        <w:tblStyle w:val="TableGrid"/>
        <w:tblW w:w="11271" w:type="dxa"/>
        <w:tblInd w:w="-965" w:type="dxa"/>
        <w:tblLook w:val="04A0" w:firstRow="1" w:lastRow="0" w:firstColumn="1" w:lastColumn="0" w:noHBand="0" w:noVBand="1"/>
      </w:tblPr>
      <w:tblGrid>
        <w:gridCol w:w="1439"/>
        <w:gridCol w:w="3004"/>
        <w:gridCol w:w="1182"/>
        <w:gridCol w:w="1404"/>
        <w:gridCol w:w="1404"/>
        <w:gridCol w:w="1419"/>
        <w:gridCol w:w="1419"/>
      </w:tblGrid>
      <w:tr w:rsidR="0076181B" w:rsidRPr="00EF50DC" w14:paraId="5643CC97" w14:textId="77777777" w:rsidTr="00BC2F64">
        <w:trPr>
          <w:trHeight w:val="888"/>
          <w:tblHeader/>
        </w:trPr>
        <w:tc>
          <w:tcPr>
            <w:tcW w:w="1439" w:type="dxa"/>
          </w:tcPr>
          <w:p w14:paraId="4F62DAE0" w14:textId="77777777" w:rsidR="0076181B" w:rsidRPr="00EF50DC" w:rsidRDefault="0076181B">
            <w:pPr>
              <w:jc w:val="center"/>
              <w:rPr>
                <w:rFonts w:cs="Calibri"/>
                <w:b/>
                <w:bCs/>
              </w:rPr>
            </w:pPr>
            <w:r w:rsidRPr="00EF50DC">
              <w:rPr>
                <w:rFonts w:cs="Calibri"/>
                <w:b/>
                <w:bCs/>
              </w:rPr>
              <w:lastRenderedPageBreak/>
              <w:t>Acronym</w:t>
            </w:r>
          </w:p>
        </w:tc>
        <w:tc>
          <w:tcPr>
            <w:tcW w:w="3004" w:type="dxa"/>
          </w:tcPr>
          <w:p w14:paraId="1E739A4B" w14:textId="77777777" w:rsidR="0076181B" w:rsidRPr="00EF50DC" w:rsidRDefault="0076181B">
            <w:pPr>
              <w:jc w:val="center"/>
              <w:rPr>
                <w:rFonts w:cs="Calibri"/>
                <w:b/>
                <w:bCs/>
              </w:rPr>
            </w:pPr>
            <w:r>
              <w:rPr>
                <w:rFonts w:cs="Calibri"/>
                <w:b/>
                <w:bCs/>
              </w:rPr>
              <w:t xml:space="preserve">Measure </w:t>
            </w:r>
            <w:r w:rsidRPr="00EF50DC">
              <w:rPr>
                <w:rFonts w:cs="Calibri"/>
                <w:b/>
                <w:bCs/>
              </w:rPr>
              <w:t>Description</w:t>
            </w:r>
          </w:p>
        </w:tc>
        <w:tc>
          <w:tcPr>
            <w:tcW w:w="1182" w:type="dxa"/>
          </w:tcPr>
          <w:p w14:paraId="53F2FDB2" w14:textId="77777777" w:rsidR="0076181B" w:rsidRPr="00EF50DC" w:rsidRDefault="0076181B">
            <w:pPr>
              <w:jc w:val="center"/>
              <w:rPr>
                <w:rFonts w:cs="Calibri"/>
                <w:b/>
                <w:bCs/>
              </w:rPr>
            </w:pPr>
            <w:r w:rsidRPr="00EF50DC">
              <w:rPr>
                <w:rFonts w:cs="Calibri"/>
                <w:b/>
                <w:bCs/>
              </w:rPr>
              <w:t>MY2020 Rates</w:t>
            </w:r>
          </w:p>
        </w:tc>
        <w:tc>
          <w:tcPr>
            <w:tcW w:w="1404" w:type="dxa"/>
          </w:tcPr>
          <w:p w14:paraId="2BFB7653" w14:textId="77777777" w:rsidR="0076181B" w:rsidRPr="00EF50DC" w:rsidRDefault="0076181B">
            <w:pPr>
              <w:jc w:val="center"/>
              <w:rPr>
                <w:rFonts w:cs="Calibri"/>
                <w:b/>
                <w:bCs/>
              </w:rPr>
            </w:pPr>
            <w:r w:rsidRPr="00EF50DC">
              <w:rPr>
                <w:rFonts w:cs="Calibri"/>
                <w:b/>
                <w:bCs/>
              </w:rPr>
              <w:t>MY2021 Rates</w:t>
            </w:r>
          </w:p>
        </w:tc>
        <w:tc>
          <w:tcPr>
            <w:tcW w:w="1404" w:type="dxa"/>
          </w:tcPr>
          <w:p w14:paraId="68F70DC4" w14:textId="77777777" w:rsidR="0076181B" w:rsidRPr="00EF50DC" w:rsidRDefault="0076181B">
            <w:pPr>
              <w:jc w:val="center"/>
              <w:rPr>
                <w:rFonts w:cs="Calibri"/>
                <w:b/>
                <w:bCs/>
              </w:rPr>
            </w:pPr>
            <w:r w:rsidRPr="00EF50DC">
              <w:rPr>
                <w:rFonts w:cs="Calibri"/>
                <w:b/>
                <w:bCs/>
              </w:rPr>
              <w:t>MY2022 Rates</w:t>
            </w:r>
          </w:p>
        </w:tc>
        <w:tc>
          <w:tcPr>
            <w:tcW w:w="1419" w:type="dxa"/>
          </w:tcPr>
          <w:p w14:paraId="68D7FA35" w14:textId="77777777" w:rsidR="0076181B" w:rsidRPr="00EF50DC" w:rsidRDefault="0076181B">
            <w:pPr>
              <w:jc w:val="center"/>
              <w:rPr>
                <w:rFonts w:cs="Calibri"/>
                <w:b/>
                <w:bCs/>
              </w:rPr>
            </w:pPr>
            <w:r w:rsidRPr="00EF50DC">
              <w:rPr>
                <w:rFonts w:cs="Calibri"/>
                <w:b/>
                <w:bCs/>
              </w:rPr>
              <w:t>MY2022 National 75</w:t>
            </w:r>
            <w:r w:rsidRPr="00EF50DC">
              <w:rPr>
                <w:rFonts w:cs="Calibri"/>
                <w:b/>
                <w:bCs/>
                <w:vertAlign w:val="superscript"/>
              </w:rPr>
              <w:t>th</w:t>
            </w:r>
          </w:p>
        </w:tc>
        <w:tc>
          <w:tcPr>
            <w:tcW w:w="1419" w:type="dxa"/>
          </w:tcPr>
          <w:p w14:paraId="40A6B392" w14:textId="77777777" w:rsidR="0076181B" w:rsidRPr="00EF50DC" w:rsidRDefault="0076181B">
            <w:pPr>
              <w:jc w:val="center"/>
              <w:rPr>
                <w:rFonts w:cs="Calibri"/>
                <w:b/>
                <w:bCs/>
              </w:rPr>
            </w:pPr>
            <w:r w:rsidRPr="00EF50DC">
              <w:rPr>
                <w:rFonts w:cs="Calibri"/>
                <w:b/>
                <w:bCs/>
              </w:rPr>
              <w:t>MY2022 National 90</w:t>
            </w:r>
            <w:r w:rsidRPr="00EF50DC">
              <w:rPr>
                <w:rFonts w:cs="Calibri"/>
                <w:b/>
                <w:bCs/>
                <w:vertAlign w:val="superscript"/>
              </w:rPr>
              <w:t>th</w:t>
            </w:r>
          </w:p>
        </w:tc>
      </w:tr>
      <w:tr w:rsidR="009E5B4E" w:rsidRPr="00EF50DC" w14:paraId="0F3D2E4D" w14:textId="77777777">
        <w:trPr>
          <w:trHeight w:val="1064"/>
        </w:trPr>
        <w:tc>
          <w:tcPr>
            <w:tcW w:w="1439" w:type="dxa"/>
          </w:tcPr>
          <w:p w14:paraId="020CB3EC" w14:textId="77777777" w:rsidR="0076181B" w:rsidRPr="00D1336D" w:rsidRDefault="0076181B">
            <w:pPr>
              <w:rPr>
                <w:rFonts w:cs="Calibri"/>
                <w:sz w:val="20"/>
                <w:szCs w:val="20"/>
              </w:rPr>
            </w:pPr>
            <w:r w:rsidRPr="00D1336D">
              <w:rPr>
                <w:rFonts w:eastAsia="Times New Roman" w:cs="Calibri"/>
                <w:sz w:val="20"/>
                <w:szCs w:val="20"/>
              </w:rPr>
              <w:t>AAB</w:t>
            </w:r>
          </w:p>
        </w:tc>
        <w:tc>
          <w:tcPr>
            <w:tcW w:w="3004" w:type="dxa"/>
          </w:tcPr>
          <w:p w14:paraId="3C5F09E6" w14:textId="77777777" w:rsidR="0076181B" w:rsidRPr="00D1336D" w:rsidRDefault="0076181B">
            <w:pPr>
              <w:rPr>
                <w:rFonts w:cs="Calibri"/>
                <w:sz w:val="20"/>
                <w:szCs w:val="20"/>
              </w:rPr>
            </w:pPr>
            <w:r w:rsidRPr="00D1336D">
              <w:rPr>
                <w:rFonts w:eastAsia="Times New Roman" w:cs="Calibri"/>
                <w:sz w:val="20"/>
                <w:szCs w:val="20"/>
              </w:rPr>
              <w:t>Avoidance of Antibiotic Treatment for Acute Bronchitis/Bronchiolitis: 65+</w:t>
            </w:r>
          </w:p>
        </w:tc>
        <w:tc>
          <w:tcPr>
            <w:tcW w:w="1182" w:type="dxa"/>
            <w:vAlign w:val="center"/>
          </w:tcPr>
          <w:p w14:paraId="250B99FF" w14:textId="77777777" w:rsidR="0076181B" w:rsidRPr="00D1336D" w:rsidRDefault="0076181B">
            <w:pPr>
              <w:rPr>
                <w:rFonts w:cs="Calibri"/>
                <w:sz w:val="20"/>
                <w:szCs w:val="20"/>
              </w:rPr>
            </w:pPr>
            <w:r w:rsidRPr="00D1336D">
              <w:rPr>
                <w:rFonts w:eastAsia="Times New Roman" w:cs="Calibri"/>
                <w:sz w:val="20"/>
                <w:szCs w:val="20"/>
              </w:rPr>
              <w:t>NR</w:t>
            </w:r>
          </w:p>
        </w:tc>
        <w:tc>
          <w:tcPr>
            <w:tcW w:w="1404" w:type="dxa"/>
            <w:vAlign w:val="center"/>
          </w:tcPr>
          <w:p w14:paraId="491F8329" w14:textId="77777777" w:rsidR="0076181B" w:rsidRPr="00D1336D" w:rsidRDefault="0076181B">
            <w:pPr>
              <w:rPr>
                <w:rFonts w:cs="Calibri"/>
                <w:sz w:val="20"/>
                <w:szCs w:val="20"/>
              </w:rPr>
            </w:pPr>
            <w:r w:rsidRPr="00D1336D">
              <w:rPr>
                <w:rFonts w:eastAsia="Times New Roman" w:cs="Calibri"/>
                <w:sz w:val="20"/>
                <w:szCs w:val="20"/>
              </w:rPr>
              <w:t>75.0%</w:t>
            </w:r>
          </w:p>
        </w:tc>
        <w:tc>
          <w:tcPr>
            <w:tcW w:w="1404" w:type="dxa"/>
            <w:vAlign w:val="center"/>
          </w:tcPr>
          <w:p w14:paraId="58F78639" w14:textId="77777777" w:rsidR="0076181B" w:rsidRPr="00D1336D" w:rsidRDefault="0076181B">
            <w:pPr>
              <w:rPr>
                <w:rFonts w:cs="Calibri"/>
                <w:sz w:val="20"/>
                <w:szCs w:val="20"/>
              </w:rPr>
            </w:pPr>
            <w:r w:rsidRPr="00D1336D">
              <w:rPr>
                <w:rFonts w:eastAsia="Times New Roman" w:cs="Calibri"/>
                <w:sz w:val="20"/>
                <w:szCs w:val="20"/>
              </w:rPr>
              <w:t>45.6%</w:t>
            </w:r>
          </w:p>
        </w:tc>
        <w:tc>
          <w:tcPr>
            <w:tcW w:w="1419" w:type="dxa"/>
            <w:vAlign w:val="center"/>
          </w:tcPr>
          <w:p w14:paraId="2AE519BE" w14:textId="77777777" w:rsidR="0076181B" w:rsidRPr="00D1336D" w:rsidRDefault="0076181B">
            <w:pPr>
              <w:rPr>
                <w:rFonts w:cs="Calibri"/>
                <w:sz w:val="20"/>
                <w:szCs w:val="20"/>
              </w:rPr>
            </w:pPr>
            <w:r w:rsidRPr="00D1336D">
              <w:rPr>
                <w:rFonts w:eastAsia="Times New Roman" w:cs="Calibri"/>
                <w:sz w:val="20"/>
                <w:szCs w:val="20"/>
              </w:rPr>
              <w:t>36.1%</w:t>
            </w:r>
          </w:p>
        </w:tc>
        <w:tc>
          <w:tcPr>
            <w:tcW w:w="1419" w:type="dxa"/>
            <w:vAlign w:val="center"/>
          </w:tcPr>
          <w:p w14:paraId="32194A1E" w14:textId="77777777" w:rsidR="0076181B" w:rsidRPr="00D1336D" w:rsidRDefault="0076181B">
            <w:pPr>
              <w:rPr>
                <w:rFonts w:cs="Calibri"/>
                <w:sz w:val="20"/>
                <w:szCs w:val="20"/>
              </w:rPr>
            </w:pPr>
            <w:r w:rsidRPr="00D1336D">
              <w:rPr>
                <w:rFonts w:eastAsia="Times New Roman" w:cs="Calibri"/>
                <w:sz w:val="20"/>
                <w:szCs w:val="20"/>
              </w:rPr>
              <w:t>42.7%</w:t>
            </w:r>
          </w:p>
        </w:tc>
      </w:tr>
      <w:tr w:rsidR="009E5B4E" w:rsidRPr="00EF50DC" w14:paraId="2F942AD9" w14:textId="77777777">
        <w:trPr>
          <w:trHeight w:val="296"/>
        </w:trPr>
        <w:tc>
          <w:tcPr>
            <w:tcW w:w="1439" w:type="dxa"/>
          </w:tcPr>
          <w:p w14:paraId="39260BCD" w14:textId="77777777" w:rsidR="0076181B" w:rsidRPr="00D1336D" w:rsidRDefault="0076181B">
            <w:pPr>
              <w:rPr>
                <w:rFonts w:cs="Calibri"/>
                <w:sz w:val="20"/>
                <w:szCs w:val="20"/>
              </w:rPr>
            </w:pPr>
            <w:r w:rsidRPr="00D1336D">
              <w:rPr>
                <w:rFonts w:eastAsia="Times New Roman" w:cs="Calibri"/>
                <w:sz w:val="20"/>
                <w:szCs w:val="20"/>
              </w:rPr>
              <w:t>AMM</w:t>
            </w:r>
          </w:p>
        </w:tc>
        <w:tc>
          <w:tcPr>
            <w:tcW w:w="3004" w:type="dxa"/>
          </w:tcPr>
          <w:p w14:paraId="039F8A6C" w14:textId="77777777" w:rsidR="0076181B" w:rsidRPr="00D1336D" w:rsidRDefault="0076181B">
            <w:pPr>
              <w:rPr>
                <w:rFonts w:cs="Calibri"/>
                <w:sz w:val="20"/>
                <w:szCs w:val="20"/>
              </w:rPr>
            </w:pPr>
            <w:r w:rsidRPr="00D1336D">
              <w:rPr>
                <w:rFonts w:eastAsia="Times New Roman" w:cs="Calibri"/>
                <w:sz w:val="20"/>
                <w:szCs w:val="20"/>
              </w:rPr>
              <w:t>Antidepressant Medication Management – Acute: 65+</w:t>
            </w:r>
          </w:p>
        </w:tc>
        <w:tc>
          <w:tcPr>
            <w:tcW w:w="1182" w:type="dxa"/>
            <w:vAlign w:val="center"/>
          </w:tcPr>
          <w:p w14:paraId="1A8E07A3" w14:textId="77777777" w:rsidR="0076181B" w:rsidRPr="00D1336D" w:rsidRDefault="0076181B">
            <w:pPr>
              <w:rPr>
                <w:rFonts w:cs="Calibri"/>
                <w:sz w:val="20"/>
                <w:szCs w:val="20"/>
              </w:rPr>
            </w:pPr>
            <w:r w:rsidRPr="00D1336D">
              <w:rPr>
                <w:rFonts w:eastAsia="Times New Roman" w:cs="Calibri"/>
                <w:sz w:val="20"/>
                <w:szCs w:val="20"/>
              </w:rPr>
              <w:t>78.9%</w:t>
            </w:r>
          </w:p>
        </w:tc>
        <w:tc>
          <w:tcPr>
            <w:tcW w:w="1404" w:type="dxa"/>
            <w:vAlign w:val="center"/>
          </w:tcPr>
          <w:p w14:paraId="55C7A6BF" w14:textId="77777777" w:rsidR="0076181B" w:rsidRPr="00D1336D" w:rsidRDefault="0076181B">
            <w:pPr>
              <w:rPr>
                <w:rFonts w:cs="Calibri"/>
                <w:sz w:val="20"/>
                <w:szCs w:val="20"/>
              </w:rPr>
            </w:pPr>
            <w:r w:rsidRPr="00D1336D">
              <w:rPr>
                <w:rFonts w:eastAsia="Times New Roman" w:cs="Calibri"/>
                <w:sz w:val="20"/>
                <w:szCs w:val="20"/>
              </w:rPr>
              <w:t>79.7%</w:t>
            </w:r>
          </w:p>
        </w:tc>
        <w:tc>
          <w:tcPr>
            <w:tcW w:w="1404" w:type="dxa"/>
            <w:vAlign w:val="center"/>
          </w:tcPr>
          <w:p w14:paraId="6754BF82" w14:textId="77777777" w:rsidR="0076181B" w:rsidRPr="00D1336D" w:rsidRDefault="0076181B">
            <w:pPr>
              <w:rPr>
                <w:rFonts w:cs="Calibri"/>
                <w:sz w:val="20"/>
                <w:szCs w:val="20"/>
              </w:rPr>
            </w:pPr>
            <w:r w:rsidRPr="00D1336D">
              <w:rPr>
                <w:rFonts w:eastAsia="Times New Roman" w:cs="Calibri"/>
                <w:sz w:val="20"/>
                <w:szCs w:val="20"/>
              </w:rPr>
              <w:t>85.4%</w:t>
            </w:r>
          </w:p>
        </w:tc>
        <w:tc>
          <w:tcPr>
            <w:tcW w:w="1419" w:type="dxa"/>
            <w:vAlign w:val="center"/>
          </w:tcPr>
          <w:p w14:paraId="3943BB10" w14:textId="77777777" w:rsidR="0076181B" w:rsidRPr="00D1336D" w:rsidRDefault="0076181B">
            <w:pPr>
              <w:rPr>
                <w:rFonts w:cs="Calibri"/>
                <w:sz w:val="20"/>
                <w:szCs w:val="20"/>
              </w:rPr>
            </w:pPr>
            <w:r w:rsidRPr="00D1336D">
              <w:rPr>
                <w:rFonts w:eastAsia="Times New Roman" w:cs="Calibri"/>
                <w:sz w:val="20"/>
                <w:szCs w:val="20"/>
              </w:rPr>
              <w:t>85.1%</w:t>
            </w:r>
          </w:p>
        </w:tc>
        <w:tc>
          <w:tcPr>
            <w:tcW w:w="1419" w:type="dxa"/>
            <w:vAlign w:val="center"/>
          </w:tcPr>
          <w:p w14:paraId="766C30AC" w14:textId="77777777" w:rsidR="0076181B" w:rsidRPr="00D1336D" w:rsidRDefault="0076181B">
            <w:pPr>
              <w:rPr>
                <w:rFonts w:cs="Calibri"/>
                <w:sz w:val="20"/>
                <w:szCs w:val="20"/>
              </w:rPr>
            </w:pPr>
            <w:r w:rsidRPr="00D1336D">
              <w:rPr>
                <w:rFonts w:eastAsia="Times New Roman" w:cs="Calibri"/>
                <w:sz w:val="20"/>
                <w:szCs w:val="20"/>
              </w:rPr>
              <w:t>87.8%</w:t>
            </w:r>
          </w:p>
        </w:tc>
      </w:tr>
      <w:tr w:rsidR="009E5B4E" w:rsidRPr="00EF50DC" w14:paraId="7D4F81F9" w14:textId="77777777">
        <w:trPr>
          <w:trHeight w:val="296"/>
        </w:trPr>
        <w:tc>
          <w:tcPr>
            <w:tcW w:w="1439" w:type="dxa"/>
          </w:tcPr>
          <w:p w14:paraId="623CA41E" w14:textId="77777777" w:rsidR="0076181B" w:rsidRPr="00D1336D" w:rsidRDefault="0076181B">
            <w:pPr>
              <w:rPr>
                <w:rFonts w:cs="Calibri"/>
                <w:sz w:val="20"/>
                <w:szCs w:val="20"/>
              </w:rPr>
            </w:pPr>
            <w:r w:rsidRPr="00D1336D">
              <w:rPr>
                <w:rFonts w:eastAsia="Times New Roman" w:cs="Calibri"/>
                <w:sz w:val="20"/>
                <w:szCs w:val="20"/>
              </w:rPr>
              <w:t>AMM</w:t>
            </w:r>
          </w:p>
        </w:tc>
        <w:tc>
          <w:tcPr>
            <w:tcW w:w="3004" w:type="dxa"/>
          </w:tcPr>
          <w:p w14:paraId="4B70F235" w14:textId="77777777" w:rsidR="0076181B" w:rsidRPr="00D1336D" w:rsidRDefault="0076181B">
            <w:pPr>
              <w:rPr>
                <w:rFonts w:cs="Calibri"/>
                <w:sz w:val="20"/>
                <w:szCs w:val="20"/>
              </w:rPr>
            </w:pPr>
            <w:r w:rsidRPr="00D1336D">
              <w:rPr>
                <w:rFonts w:eastAsia="Times New Roman" w:cs="Calibri"/>
                <w:sz w:val="20"/>
                <w:szCs w:val="20"/>
              </w:rPr>
              <w:t>Antidepressant Medication Management – Continuation: 65+</w:t>
            </w:r>
          </w:p>
        </w:tc>
        <w:tc>
          <w:tcPr>
            <w:tcW w:w="1182" w:type="dxa"/>
            <w:vAlign w:val="center"/>
          </w:tcPr>
          <w:p w14:paraId="4708B6E4" w14:textId="77777777" w:rsidR="0076181B" w:rsidRPr="00D1336D" w:rsidRDefault="0076181B">
            <w:pPr>
              <w:rPr>
                <w:rFonts w:cs="Calibri"/>
                <w:sz w:val="20"/>
                <w:szCs w:val="20"/>
              </w:rPr>
            </w:pPr>
            <w:r w:rsidRPr="00D1336D">
              <w:rPr>
                <w:rFonts w:cs="Calibri"/>
                <w:sz w:val="20"/>
                <w:szCs w:val="20"/>
              </w:rPr>
              <w:t>65.1%</w:t>
            </w:r>
          </w:p>
        </w:tc>
        <w:tc>
          <w:tcPr>
            <w:tcW w:w="1404" w:type="dxa"/>
            <w:vAlign w:val="center"/>
          </w:tcPr>
          <w:p w14:paraId="345D284A" w14:textId="77777777" w:rsidR="0076181B" w:rsidRPr="00D1336D" w:rsidRDefault="0076181B">
            <w:pPr>
              <w:rPr>
                <w:rFonts w:cs="Calibri"/>
                <w:sz w:val="20"/>
                <w:szCs w:val="20"/>
              </w:rPr>
            </w:pPr>
            <w:r w:rsidRPr="00D1336D">
              <w:rPr>
                <w:rFonts w:cs="Calibri"/>
                <w:sz w:val="20"/>
                <w:szCs w:val="20"/>
              </w:rPr>
              <w:t>67.6%</w:t>
            </w:r>
          </w:p>
        </w:tc>
        <w:tc>
          <w:tcPr>
            <w:tcW w:w="1404" w:type="dxa"/>
            <w:vAlign w:val="center"/>
          </w:tcPr>
          <w:p w14:paraId="74DF6217" w14:textId="77777777" w:rsidR="0076181B" w:rsidRPr="00D1336D" w:rsidRDefault="0076181B">
            <w:pPr>
              <w:rPr>
                <w:rFonts w:cs="Calibri"/>
                <w:sz w:val="20"/>
                <w:szCs w:val="20"/>
              </w:rPr>
            </w:pPr>
            <w:r w:rsidRPr="00D1336D">
              <w:rPr>
                <w:rFonts w:cs="Calibri"/>
                <w:sz w:val="20"/>
                <w:szCs w:val="20"/>
              </w:rPr>
              <w:t>75.6%</w:t>
            </w:r>
          </w:p>
        </w:tc>
        <w:tc>
          <w:tcPr>
            <w:tcW w:w="1419" w:type="dxa"/>
            <w:vAlign w:val="center"/>
          </w:tcPr>
          <w:p w14:paraId="38C309F0" w14:textId="77777777" w:rsidR="0076181B" w:rsidRPr="00D1336D" w:rsidRDefault="0076181B">
            <w:pPr>
              <w:rPr>
                <w:rFonts w:cs="Calibri"/>
                <w:sz w:val="20"/>
                <w:szCs w:val="20"/>
              </w:rPr>
            </w:pPr>
            <w:r w:rsidRPr="00D1336D">
              <w:rPr>
                <w:rFonts w:cs="Calibri"/>
                <w:sz w:val="20"/>
                <w:szCs w:val="20"/>
              </w:rPr>
              <w:t>71.2%</w:t>
            </w:r>
          </w:p>
        </w:tc>
        <w:tc>
          <w:tcPr>
            <w:tcW w:w="1419" w:type="dxa"/>
            <w:vAlign w:val="center"/>
          </w:tcPr>
          <w:p w14:paraId="2D610026" w14:textId="77777777" w:rsidR="0076181B" w:rsidRPr="00D1336D" w:rsidRDefault="0076181B">
            <w:pPr>
              <w:rPr>
                <w:rFonts w:cs="Calibri"/>
                <w:sz w:val="20"/>
                <w:szCs w:val="20"/>
              </w:rPr>
            </w:pPr>
            <w:r w:rsidRPr="00D1336D">
              <w:rPr>
                <w:rFonts w:cs="Calibri"/>
                <w:sz w:val="20"/>
                <w:szCs w:val="20"/>
              </w:rPr>
              <w:t>75.2%</w:t>
            </w:r>
          </w:p>
        </w:tc>
      </w:tr>
      <w:tr w:rsidR="009E5B4E" w:rsidRPr="00EF50DC" w14:paraId="5EED0655" w14:textId="77777777">
        <w:trPr>
          <w:trHeight w:val="296"/>
        </w:trPr>
        <w:tc>
          <w:tcPr>
            <w:tcW w:w="1439" w:type="dxa"/>
          </w:tcPr>
          <w:p w14:paraId="6E3A3B4B" w14:textId="77777777" w:rsidR="0076181B" w:rsidRPr="00D1336D" w:rsidRDefault="0076181B">
            <w:pPr>
              <w:rPr>
                <w:rFonts w:cs="Calibri"/>
                <w:sz w:val="20"/>
                <w:szCs w:val="20"/>
              </w:rPr>
            </w:pPr>
            <w:r w:rsidRPr="00D1336D">
              <w:rPr>
                <w:rFonts w:eastAsia="Times New Roman" w:cs="Calibri"/>
                <w:sz w:val="20"/>
                <w:szCs w:val="20"/>
              </w:rPr>
              <w:t>BCS</w:t>
            </w:r>
          </w:p>
        </w:tc>
        <w:tc>
          <w:tcPr>
            <w:tcW w:w="3004" w:type="dxa"/>
          </w:tcPr>
          <w:p w14:paraId="4B01A69B" w14:textId="77777777" w:rsidR="0076181B" w:rsidRPr="00D1336D" w:rsidRDefault="0076181B">
            <w:pPr>
              <w:rPr>
                <w:rFonts w:cs="Calibri"/>
                <w:sz w:val="20"/>
                <w:szCs w:val="20"/>
              </w:rPr>
            </w:pPr>
            <w:r w:rsidRPr="00D1336D">
              <w:rPr>
                <w:rFonts w:eastAsia="Times New Roman" w:cs="Calibri"/>
                <w:sz w:val="20"/>
                <w:szCs w:val="20"/>
              </w:rPr>
              <w:t>Breast Cancer Screening: Over 65</w:t>
            </w:r>
          </w:p>
        </w:tc>
        <w:tc>
          <w:tcPr>
            <w:tcW w:w="1182" w:type="dxa"/>
            <w:vAlign w:val="center"/>
          </w:tcPr>
          <w:p w14:paraId="1961539D" w14:textId="77777777" w:rsidR="0076181B" w:rsidRPr="00D1336D" w:rsidRDefault="0076181B">
            <w:pPr>
              <w:rPr>
                <w:rFonts w:cs="Calibri"/>
                <w:sz w:val="20"/>
                <w:szCs w:val="20"/>
              </w:rPr>
            </w:pPr>
            <w:r w:rsidRPr="00D1336D">
              <w:rPr>
                <w:rFonts w:cs="Calibri"/>
                <w:sz w:val="20"/>
                <w:szCs w:val="20"/>
              </w:rPr>
              <w:t>75.6%</w:t>
            </w:r>
          </w:p>
        </w:tc>
        <w:tc>
          <w:tcPr>
            <w:tcW w:w="1404" w:type="dxa"/>
            <w:vAlign w:val="center"/>
          </w:tcPr>
          <w:p w14:paraId="45D17691" w14:textId="77777777" w:rsidR="0076181B" w:rsidRPr="00D1336D" w:rsidRDefault="0076181B">
            <w:pPr>
              <w:rPr>
                <w:rFonts w:cs="Calibri"/>
                <w:sz w:val="20"/>
                <w:szCs w:val="20"/>
              </w:rPr>
            </w:pPr>
            <w:r w:rsidRPr="00D1336D">
              <w:rPr>
                <w:rFonts w:cs="Calibri"/>
                <w:sz w:val="20"/>
                <w:szCs w:val="20"/>
              </w:rPr>
              <w:t>71.6%</w:t>
            </w:r>
          </w:p>
        </w:tc>
        <w:tc>
          <w:tcPr>
            <w:tcW w:w="1404" w:type="dxa"/>
            <w:vAlign w:val="center"/>
          </w:tcPr>
          <w:p w14:paraId="0FBE6BED" w14:textId="77777777" w:rsidR="0076181B" w:rsidRPr="00D1336D" w:rsidRDefault="0076181B">
            <w:pPr>
              <w:rPr>
                <w:rFonts w:cs="Calibri"/>
                <w:sz w:val="20"/>
                <w:szCs w:val="20"/>
              </w:rPr>
            </w:pPr>
            <w:r w:rsidRPr="00D1336D">
              <w:rPr>
                <w:rFonts w:cs="Calibri"/>
                <w:sz w:val="20"/>
                <w:szCs w:val="20"/>
              </w:rPr>
              <w:t>74.7%</w:t>
            </w:r>
          </w:p>
        </w:tc>
        <w:tc>
          <w:tcPr>
            <w:tcW w:w="1419" w:type="dxa"/>
            <w:vAlign w:val="center"/>
          </w:tcPr>
          <w:p w14:paraId="173F0F02" w14:textId="77777777" w:rsidR="0076181B" w:rsidRPr="00D1336D" w:rsidRDefault="0076181B">
            <w:pPr>
              <w:rPr>
                <w:rFonts w:cs="Calibri"/>
                <w:sz w:val="20"/>
                <w:szCs w:val="20"/>
              </w:rPr>
            </w:pPr>
            <w:r w:rsidRPr="00D1336D">
              <w:rPr>
                <w:rFonts w:cs="Calibri"/>
                <w:sz w:val="20"/>
                <w:szCs w:val="20"/>
              </w:rPr>
              <w:t>77.9%</w:t>
            </w:r>
          </w:p>
        </w:tc>
        <w:tc>
          <w:tcPr>
            <w:tcW w:w="1419" w:type="dxa"/>
            <w:vAlign w:val="center"/>
          </w:tcPr>
          <w:p w14:paraId="692F8422" w14:textId="77777777" w:rsidR="0076181B" w:rsidRPr="00D1336D" w:rsidRDefault="0076181B">
            <w:pPr>
              <w:rPr>
                <w:rFonts w:cs="Calibri"/>
                <w:sz w:val="20"/>
                <w:szCs w:val="20"/>
              </w:rPr>
            </w:pPr>
            <w:r w:rsidRPr="00D1336D">
              <w:rPr>
                <w:rFonts w:cs="Calibri"/>
                <w:sz w:val="20"/>
                <w:szCs w:val="20"/>
              </w:rPr>
              <w:t>82.6%</w:t>
            </w:r>
          </w:p>
        </w:tc>
      </w:tr>
      <w:tr w:rsidR="009E5B4E" w:rsidRPr="00EF50DC" w14:paraId="506C50AD" w14:textId="77777777">
        <w:trPr>
          <w:trHeight w:val="296"/>
        </w:trPr>
        <w:tc>
          <w:tcPr>
            <w:tcW w:w="1439" w:type="dxa"/>
          </w:tcPr>
          <w:p w14:paraId="4618DFFE" w14:textId="77777777" w:rsidR="0076181B" w:rsidRPr="00D1336D" w:rsidRDefault="0076181B">
            <w:pPr>
              <w:rPr>
                <w:rFonts w:eastAsia="Times New Roman" w:cs="Calibri"/>
                <w:sz w:val="20"/>
                <w:szCs w:val="20"/>
              </w:rPr>
            </w:pPr>
            <w:r w:rsidRPr="00D1336D">
              <w:rPr>
                <w:rFonts w:cs="Calibri"/>
                <w:sz w:val="20"/>
                <w:szCs w:val="20"/>
              </w:rPr>
              <w:t>CBP</w:t>
            </w:r>
          </w:p>
        </w:tc>
        <w:tc>
          <w:tcPr>
            <w:tcW w:w="3004" w:type="dxa"/>
          </w:tcPr>
          <w:p w14:paraId="4355E971" w14:textId="77777777" w:rsidR="0076181B" w:rsidRPr="00D1336D" w:rsidRDefault="0076181B">
            <w:pPr>
              <w:rPr>
                <w:rFonts w:eastAsia="Times New Roman" w:cs="Calibri"/>
                <w:sz w:val="20"/>
                <w:szCs w:val="20"/>
              </w:rPr>
            </w:pPr>
            <w:r w:rsidRPr="00D1336D">
              <w:rPr>
                <w:rFonts w:eastAsia="Times New Roman" w:cs="Calibri"/>
                <w:sz w:val="20"/>
                <w:szCs w:val="20"/>
              </w:rPr>
              <w:t>Controlling High Blood Pressure: 65+</w:t>
            </w:r>
          </w:p>
        </w:tc>
        <w:tc>
          <w:tcPr>
            <w:tcW w:w="1182" w:type="dxa"/>
            <w:vAlign w:val="center"/>
          </w:tcPr>
          <w:p w14:paraId="51E9698B" w14:textId="77777777" w:rsidR="0076181B" w:rsidRPr="00D1336D" w:rsidRDefault="0076181B">
            <w:pPr>
              <w:rPr>
                <w:rFonts w:cs="Calibri"/>
                <w:sz w:val="20"/>
                <w:szCs w:val="20"/>
              </w:rPr>
            </w:pPr>
            <w:r w:rsidRPr="00D1336D">
              <w:rPr>
                <w:rFonts w:cs="Calibri"/>
                <w:sz w:val="20"/>
                <w:szCs w:val="20"/>
              </w:rPr>
              <w:t>61.2%</w:t>
            </w:r>
          </w:p>
        </w:tc>
        <w:tc>
          <w:tcPr>
            <w:tcW w:w="1404" w:type="dxa"/>
            <w:vAlign w:val="center"/>
          </w:tcPr>
          <w:p w14:paraId="0282DD01" w14:textId="77777777" w:rsidR="0076181B" w:rsidRPr="00D1336D" w:rsidRDefault="0076181B">
            <w:pPr>
              <w:rPr>
                <w:rFonts w:cs="Calibri"/>
                <w:sz w:val="20"/>
                <w:szCs w:val="20"/>
              </w:rPr>
            </w:pPr>
            <w:r w:rsidRPr="00D1336D">
              <w:rPr>
                <w:rFonts w:cs="Calibri"/>
                <w:sz w:val="20"/>
                <w:szCs w:val="20"/>
              </w:rPr>
              <w:t>68.1%</w:t>
            </w:r>
          </w:p>
        </w:tc>
        <w:tc>
          <w:tcPr>
            <w:tcW w:w="1404" w:type="dxa"/>
            <w:vAlign w:val="center"/>
          </w:tcPr>
          <w:p w14:paraId="71652B3A" w14:textId="77777777" w:rsidR="0076181B" w:rsidRPr="00D1336D" w:rsidRDefault="0076181B">
            <w:pPr>
              <w:rPr>
                <w:rFonts w:cs="Calibri"/>
                <w:sz w:val="20"/>
                <w:szCs w:val="20"/>
              </w:rPr>
            </w:pPr>
            <w:r w:rsidRPr="00D1336D">
              <w:rPr>
                <w:rFonts w:cs="Calibri"/>
                <w:sz w:val="20"/>
                <w:szCs w:val="20"/>
              </w:rPr>
              <w:t>70.7%</w:t>
            </w:r>
          </w:p>
        </w:tc>
        <w:tc>
          <w:tcPr>
            <w:tcW w:w="1419" w:type="dxa"/>
            <w:vAlign w:val="center"/>
          </w:tcPr>
          <w:p w14:paraId="5138554B" w14:textId="77777777" w:rsidR="0076181B" w:rsidRPr="00D1336D" w:rsidRDefault="0076181B">
            <w:pPr>
              <w:rPr>
                <w:rFonts w:cs="Calibri"/>
                <w:sz w:val="20"/>
                <w:szCs w:val="20"/>
              </w:rPr>
            </w:pPr>
            <w:r w:rsidRPr="00D1336D">
              <w:rPr>
                <w:rFonts w:cs="Calibri"/>
                <w:sz w:val="20"/>
                <w:szCs w:val="20"/>
              </w:rPr>
              <w:t>78.2%</w:t>
            </w:r>
          </w:p>
        </w:tc>
        <w:tc>
          <w:tcPr>
            <w:tcW w:w="1419" w:type="dxa"/>
            <w:vAlign w:val="center"/>
          </w:tcPr>
          <w:p w14:paraId="792D0D83" w14:textId="77777777" w:rsidR="0076181B" w:rsidRPr="00D1336D" w:rsidRDefault="0076181B">
            <w:pPr>
              <w:rPr>
                <w:rFonts w:cs="Calibri"/>
                <w:sz w:val="20"/>
                <w:szCs w:val="20"/>
              </w:rPr>
            </w:pPr>
            <w:r w:rsidRPr="00D1336D">
              <w:rPr>
                <w:rFonts w:cs="Calibri"/>
                <w:sz w:val="20"/>
                <w:szCs w:val="20"/>
              </w:rPr>
              <w:t>82.7%</w:t>
            </w:r>
          </w:p>
        </w:tc>
      </w:tr>
      <w:tr w:rsidR="009E5B4E" w:rsidRPr="00EF50DC" w14:paraId="3B66B721" w14:textId="77777777">
        <w:trPr>
          <w:trHeight w:val="296"/>
        </w:trPr>
        <w:tc>
          <w:tcPr>
            <w:tcW w:w="1439" w:type="dxa"/>
          </w:tcPr>
          <w:p w14:paraId="665FE0E0" w14:textId="77777777" w:rsidR="0076181B" w:rsidRPr="00D1336D" w:rsidRDefault="0076181B">
            <w:pPr>
              <w:rPr>
                <w:rFonts w:eastAsia="Times New Roman" w:cs="Calibri"/>
                <w:sz w:val="20"/>
                <w:szCs w:val="20"/>
              </w:rPr>
            </w:pPr>
            <w:r w:rsidRPr="00D1336D">
              <w:rPr>
                <w:rFonts w:eastAsia="Times New Roman" w:cs="Calibri"/>
                <w:sz w:val="20"/>
                <w:szCs w:val="20"/>
              </w:rPr>
              <w:t>CDF</w:t>
            </w:r>
          </w:p>
        </w:tc>
        <w:tc>
          <w:tcPr>
            <w:tcW w:w="3004" w:type="dxa"/>
          </w:tcPr>
          <w:p w14:paraId="0742DE06" w14:textId="77777777" w:rsidR="0076181B" w:rsidRPr="00D1336D" w:rsidRDefault="0076181B">
            <w:pPr>
              <w:rPr>
                <w:rFonts w:eastAsia="Times New Roman" w:cs="Calibri"/>
                <w:sz w:val="20"/>
                <w:szCs w:val="20"/>
              </w:rPr>
            </w:pPr>
            <w:r w:rsidRPr="00D1336D">
              <w:rPr>
                <w:rFonts w:eastAsia="Times New Roman" w:cs="Calibri"/>
                <w:sz w:val="20"/>
                <w:szCs w:val="20"/>
              </w:rPr>
              <w:t>Screening for Depression and Follow-up Plan – Ages 18 and Older</w:t>
            </w:r>
          </w:p>
        </w:tc>
        <w:tc>
          <w:tcPr>
            <w:tcW w:w="1182" w:type="dxa"/>
            <w:vAlign w:val="center"/>
          </w:tcPr>
          <w:p w14:paraId="2B4C4E31" w14:textId="77777777" w:rsidR="0076181B" w:rsidRPr="00D1336D" w:rsidRDefault="0076181B">
            <w:pPr>
              <w:rPr>
                <w:rFonts w:cs="Calibri"/>
                <w:sz w:val="20"/>
                <w:szCs w:val="20"/>
              </w:rPr>
            </w:pPr>
            <w:r w:rsidRPr="00D1336D">
              <w:rPr>
                <w:rFonts w:cs="Calibri"/>
                <w:sz w:val="20"/>
                <w:szCs w:val="20"/>
              </w:rPr>
              <w:t>36.4%</w:t>
            </w:r>
          </w:p>
        </w:tc>
        <w:tc>
          <w:tcPr>
            <w:tcW w:w="1404" w:type="dxa"/>
            <w:vAlign w:val="center"/>
          </w:tcPr>
          <w:p w14:paraId="2960889E" w14:textId="77777777" w:rsidR="0076181B" w:rsidRPr="00D1336D" w:rsidRDefault="0076181B">
            <w:pPr>
              <w:rPr>
                <w:rFonts w:cs="Calibri"/>
                <w:sz w:val="20"/>
                <w:szCs w:val="20"/>
              </w:rPr>
            </w:pPr>
            <w:r w:rsidRPr="00D1336D">
              <w:rPr>
                <w:rFonts w:cs="Calibri"/>
                <w:sz w:val="20"/>
                <w:szCs w:val="20"/>
              </w:rPr>
              <w:t>41.1%</w:t>
            </w:r>
          </w:p>
        </w:tc>
        <w:tc>
          <w:tcPr>
            <w:tcW w:w="1404" w:type="dxa"/>
            <w:vAlign w:val="center"/>
          </w:tcPr>
          <w:p w14:paraId="7765CE91" w14:textId="77777777" w:rsidR="0076181B" w:rsidRPr="00D1336D" w:rsidRDefault="0076181B">
            <w:pPr>
              <w:rPr>
                <w:rFonts w:cs="Calibri"/>
                <w:sz w:val="20"/>
                <w:szCs w:val="20"/>
              </w:rPr>
            </w:pPr>
            <w:r w:rsidRPr="00D1336D">
              <w:rPr>
                <w:rFonts w:cs="Calibri"/>
                <w:sz w:val="20"/>
                <w:szCs w:val="20"/>
              </w:rPr>
              <w:t>43.0%</w:t>
            </w:r>
          </w:p>
        </w:tc>
        <w:tc>
          <w:tcPr>
            <w:tcW w:w="1419" w:type="dxa"/>
            <w:vAlign w:val="center"/>
          </w:tcPr>
          <w:p w14:paraId="17B28139" w14:textId="77777777" w:rsidR="0076181B" w:rsidRPr="00D1336D" w:rsidRDefault="0076181B">
            <w:pPr>
              <w:rPr>
                <w:rFonts w:cs="Calibri"/>
                <w:sz w:val="20"/>
                <w:szCs w:val="20"/>
              </w:rPr>
            </w:pPr>
            <w:r w:rsidRPr="00D1336D">
              <w:rPr>
                <w:rFonts w:cs="Calibri"/>
                <w:sz w:val="20"/>
                <w:szCs w:val="20"/>
              </w:rPr>
              <w:t>NA</w:t>
            </w:r>
          </w:p>
        </w:tc>
        <w:tc>
          <w:tcPr>
            <w:tcW w:w="1419" w:type="dxa"/>
            <w:vAlign w:val="center"/>
          </w:tcPr>
          <w:p w14:paraId="36141497" w14:textId="77777777" w:rsidR="0076181B" w:rsidRPr="00D1336D" w:rsidRDefault="0076181B">
            <w:pPr>
              <w:rPr>
                <w:rFonts w:cs="Calibri"/>
                <w:sz w:val="20"/>
                <w:szCs w:val="20"/>
              </w:rPr>
            </w:pPr>
            <w:r w:rsidRPr="00D1336D">
              <w:rPr>
                <w:rFonts w:cs="Calibri"/>
                <w:sz w:val="20"/>
                <w:szCs w:val="20"/>
              </w:rPr>
              <w:t>NA</w:t>
            </w:r>
          </w:p>
        </w:tc>
      </w:tr>
      <w:tr w:rsidR="009E5B4E" w:rsidRPr="00EF50DC" w14:paraId="3E62D932" w14:textId="77777777">
        <w:trPr>
          <w:trHeight w:val="296"/>
        </w:trPr>
        <w:tc>
          <w:tcPr>
            <w:tcW w:w="1439" w:type="dxa"/>
          </w:tcPr>
          <w:p w14:paraId="6E8C3165" w14:textId="77777777" w:rsidR="0076181B" w:rsidRPr="00D1336D" w:rsidRDefault="0076181B">
            <w:pPr>
              <w:rPr>
                <w:rFonts w:eastAsia="Times New Roman" w:cs="Calibri"/>
                <w:sz w:val="20"/>
                <w:szCs w:val="20"/>
              </w:rPr>
            </w:pPr>
            <w:r w:rsidRPr="00D1336D">
              <w:rPr>
                <w:rFonts w:eastAsia="Times New Roman" w:cs="Calibri"/>
                <w:sz w:val="20"/>
                <w:szCs w:val="20"/>
              </w:rPr>
              <w:t>CCP</w:t>
            </w:r>
          </w:p>
        </w:tc>
        <w:tc>
          <w:tcPr>
            <w:tcW w:w="3004" w:type="dxa"/>
          </w:tcPr>
          <w:p w14:paraId="134FE9AD" w14:textId="77777777" w:rsidR="0076181B" w:rsidRPr="00D1336D" w:rsidRDefault="0076181B">
            <w:pPr>
              <w:rPr>
                <w:rFonts w:eastAsia="Times New Roman" w:cs="Calibri"/>
                <w:sz w:val="20"/>
                <w:szCs w:val="20"/>
              </w:rPr>
            </w:pPr>
            <w:r w:rsidRPr="00D1336D">
              <w:rPr>
                <w:rFonts w:eastAsia="Times New Roman" w:cs="Calibri"/>
                <w:sz w:val="20"/>
                <w:szCs w:val="20"/>
              </w:rPr>
              <w:t>Contraceptive Care Postpartum Women Ages 21-44- Most/Moderate – 90 days</w:t>
            </w:r>
          </w:p>
        </w:tc>
        <w:tc>
          <w:tcPr>
            <w:tcW w:w="1182" w:type="dxa"/>
            <w:vAlign w:val="center"/>
          </w:tcPr>
          <w:p w14:paraId="7BC46098" w14:textId="77777777" w:rsidR="0076181B" w:rsidRPr="00D1336D" w:rsidRDefault="0076181B">
            <w:pPr>
              <w:rPr>
                <w:rFonts w:cs="Calibri"/>
                <w:sz w:val="20"/>
                <w:szCs w:val="20"/>
              </w:rPr>
            </w:pPr>
            <w:r w:rsidRPr="00D1336D">
              <w:rPr>
                <w:rFonts w:cs="Calibri"/>
                <w:sz w:val="20"/>
                <w:szCs w:val="20"/>
              </w:rPr>
              <w:t>NR</w:t>
            </w:r>
          </w:p>
        </w:tc>
        <w:tc>
          <w:tcPr>
            <w:tcW w:w="1404" w:type="dxa"/>
            <w:vAlign w:val="center"/>
          </w:tcPr>
          <w:p w14:paraId="37BAA3C0" w14:textId="77777777" w:rsidR="0076181B" w:rsidRPr="00D1336D" w:rsidRDefault="0076181B">
            <w:pPr>
              <w:rPr>
                <w:rFonts w:cs="Calibri"/>
                <w:sz w:val="20"/>
                <w:szCs w:val="20"/>
              </w:rPr>
            </w:pPr>
            <w:r w:rsidRPr="00D1336D">
              <w:rPr>
                <w:rFonts w:cs="Calibri"/>
                <w:sz w:val="20"/>
                <w:szCs w:val="20"/>
              </w:rPr>
              <w:t>NR</w:t>
            </w:r>
          </w:p>
        </w:tc>
        <w:tc>
          <w:tcPr>
            <w:tcW w:w="1404" w:type="dxa"/>
            <w:vAlign w:val="center"/>
          </w:tcPr>
          <w:p w14:paraId="0E28D265" w14:textId="77777777" w:rsidR="0076181B" w:rsidRPr="00D1336D" w:rsidRDefault="0076181B">
            <w:pPr>
              <w:rPr>
                <w:rFonts w:cs="Calibri"/>
                <w:sz w:val="20"/>
                <w:szCs w:val="20"/>
              </w:rPr>
            </w:pPr>
            <w:r w:rsidRPr="00D1336D">
              <w:rPr>
                <w:rFonts w:cs="Calibri"/>
                <w:sz w:val="20"/>
                <w:szCs w:val="20"/>
              </w:rPr>
              <w:t>54.6%</w:t>
            </w:r>
          </w:p>
        </w:tc>
        <w:tc>
          <w:tcPr>
            <w:tcW w:w="1419" w:type="dxa"/>
          </w:tcPr>
          <w:p w14:paraId="4F1C37C5" w14:textId="77777777" w:rsidR="0076181B" w:rsidRPr="00D1336D" w:rsidRDefault="0076181B">
            <w:pPr>
              <w:rPr>
                <w:rFonts w:cs="Calibri"/>
                <w:sz w:val="20"/>
                <w:szCs w:val="20"/>
              </w:rPr>
            </w:pPr>
            <w:r w:rsidRPr="00D1336D">
              <w:rPr>
                <w:rFonts w:cs="Calibri"/>
                <w:sz w:val="20"/>
                <w:szCs w:val="20"/>
              </w:rPr>
              <w:t>NA</w:t>
            </w:r>
          </w:p>
        </w:tc>
        <w:tc>
          <w:tcPr>
            <w:tcW w:w="1419" w:type="dxa"/>
          </w:tcPr>
          <w:p w14:paraId="08945A8F" w14:textId="77777777" w:rsidR="0076181B" w:rsidRPr="00D1336D" w:rsidRDefault="0076181B">
            <w:pPr>
              <w:rPr>
                <w:rFonts w:cs="Calibri"/>
                <w:sz w:val="20"/>
                <w:szCs w:val="20"/>
              </w:rPr>
            </w:pPr>
            <w:r w:rsidRPr="00D1336D">
              <w:rPr>
                <w:rFonts w:cs="Calibri"/>
                <w:sz w:val="20"/>
                <w:szCs w:val="20"/>
              </w:rPr>
              <w:t>NA</w:t>
            </w:r>
          </w:p>
        </w:tc>
      </w:tr>
      <w:tr w:rsidR="009E5B4E" w:rsidRPr="00EF50DC" w14:paraId="25385839" w14:textId="77777777">
        <w:trPr>
          <w:trHeight w:val="296"/>
        </w:trPr>
        <w:tc>
          <w:tcPr>
            <w:tcW w:w="1439" w:type="dxa"/>
          </w:tcPr>
          <w:p w14:paraId="7133244F" w14:textId="77777777" w:rsidR="0076181B" w:rsidRPr="00D1336D" w:rsidRDefault="0076181B">
            <w:pPr>
              <w:rPr>
                <w:rFonts w:eastAsia="Times New Roman" w:cs="Calibri"/>
                <w:sz w:val="20"/>
                <w:szCs w:val="20"/>
              </w:rPr>
            </w:pPr>
            <w:r w:rsidRPr="00D1336D">
              <w:rPr>
                <w:rFonts w:eastAsia="Times New Roman" w:cs="Calibri"/>
                <w:sz w:val="20"/>
                <w:szCs w:val="20"/>
              </w:rPr>
              <w:t>CCP</w:t>
            </w:r>
          </w:p>
        </w:tc>
        <w:tc>
          <w:tcPr>
            <w:tcW w:w="3004" w:type="dxa"/>
          </w:tcPr>
          <w:p w14:paraId="5204E009" w14:textId="77777777" w:rsidR="0076181B" w:rsidRPr="00D1336D" w:rsidRDefault="0076181B">
            <w:pPr>
              <w:rPr>
                <w:rFonts w:eastAsia="Times New Roman" w:cs="Calibri"/>
                <w:sz w:val="20"/>
                <w:szCs w:val="20"/>
              </w:rPr>
            </w:pPr>
            <w:r w:rsidRPr="00D1336D">
              <w:rPr>
                <w:rFonts w:eastAsia="Times New Roman" w:cs="Calibri"/>
                <w:sz w:val="20"/>
                <w:szCs w:val="20"/>
              </w:rPr>
              <w:t>Contraceptive Care Postpartum Women Ages 21-44 LARC – 90 days</w:t>
            </w:r>
          </w:p>
        </w:tc>
        <w:tc>
          <w:tcPr>
            <w:tcW w:w="1182" w:type="dxa"/>
            <w:vAlign w:val="center"/>
          </w:tcPr>
          <w:p w14:paraId="2013A47F" w14:textId="77777777" w:rsidR="0076181B" w:rsidRPr="00D1336D" w:rsidRDefault="0076181B">
            <w:pPr>
              <w:rPr>
                <w:rFonts w:cs="Calibri"/>
                <w:sz w:val="20"/>
                <w:szCs w:val="20"/>
              </w:rPr>
            </w:pPr>
            <w:r w:rsidRPr="00D1336D">
              <w:rPr>
                <w:rFonts w:cs="Calibri"/>
                <w:sz w:val="20"/>
                <w:szCs w:val="20"/>
              </w:rPr>
              <w:t>NR</w:t>
            </w:r>
          </w:p>
        </w:tc>
        <w:tc>
          <w:tcPr>
            <w:tcW w:w="1404" w:type="dxa"/>
            <w:vAlign w:val="center"/>
          </w:tcPr>
          <w:p w14:paraId="2C9A4CD7" w14:textId="77777777" w:rsidR="0076181B" w:rsidRPr="00D1336D" w:rsidRDefault="0076181B">
            <w:pPr>
              <w:rPr>
                <w:rFonts w:cs="Calibri"/>
                <w:sz w:val="20"/>
                <w:szCs w:val="20"/>
              </w:rPr>
            </w:pPr>
            <w:r w:rsidRPr="00D1336D">
              <w:rPr>
                <w:rFonts w:cs="Calibri"/>
                <w:sz w:val="20"/>
                <w:szCs w:val="20"/>
              </w:rPr>
              <w:t>NR</w:t>
            </w:r>
          </w:p>
        </w:tc>
        <w:tc>
          <w:tcPr>
            <w:tcW w:w="1404" w:type="dxa"/>
            <w:vAlign w:val="center"/>
          </w:tcPr>
          <w:p w14:paraId="3682B07E" w14:textId="77777777" w:rsidR="0076181B" w:rsidRPr="00D1336D" w:rsidRDefault="0076181B">
            <w:pPr>
              <w:rPr>
                <w:rFonts w:cs="Calibri"/>
                <w:sz w:val="20"/>
                <w:szCs w:val="20"/>
              </w:rPr>
            </w:pPr>
            <w:r w:rsidRPr="00D1336D">
              <w:rPr>
                <w:rFonts w:cs="Calibri"/>
                <w:sz w:val="20"/>
                <w:szCs w:val="20"/>
              </w:rPr>
              <w:t>21.0%</w:t>
            </w:r>
          </w:p>
        </w:tc>
        <w:tc>
          <w:tcPr>
            <w:tcW w:w="1419" w:type="dxa"/>
          </w:tcPr>
          <w:p w14:paraId="4EB9AA30" w14:textId="77777777" w:rsidR="0076181B" w:rsidRPr="00D1336D" w:rsidRDefault="0076181B">
            <w:pPr>
              <w:rPr>
                <w:rFonts w:cs="Calibri"/>
                <w:sz w:val="20"/>
                <w:szCs w:val="20"/>
              </w:rPr>
            </w:pPr>
            <w:r w:rsidRPr="00D1336D">
              <w:rPr>
                <w:rFonts w:cs="Calibri"/>
                <w:sz w:val="20"/>
                <w:szCs w:val="20"/>
              </w:rPr>
              <w:t>NA</w:t>
            </w:r>
          </w:p>
        </w:tc>
        <w:tc>
          <w:tcPr>
            <w:tcW w:w="1419" w:type="dxa"/>
          </w:tcPr>
          <w:p w14:paraId="43C2DA2A" w14:textId="77777777" w:rsidR="0076181B" w:rsidRPr="00D1336D" w:rsidRDefault="0076181B">
            <w:pPr>
              <w:rPr>
                <w:rFonts w:cs="Calibri"/>
                <w:sz w:val="20"/>
                <w:szCs w:val="20"/>
              </w:rPr>
            </w:pPr>
            <w:r w:rsidRPr="00D1336D">
              <w:rPr>
                <w:rFonts w:cs="Calibri"/>
                <w:sz w:val="20"/>
                <w:szCs w:val="20"/>
              </w:rPr>
              <w:t>NA</w:t>
            </w:r>
          </w:p>
        </w:tc>
      </w:tr>
      <w:tr w:rsidR="009E5B4E" w:rsidRPr="00EF50DC" w14:paraId="1C191A31" w14:textId="77777777">
        <w:trPr>
          <w:trHeight w:val="296"/>
        </w:trPr>
        <w:tc>
          <w:tcPr>
            <w:tcW w:w="1439" w:type="dxa"/>
          </w:tcPr>
          <w:p w14:paraId="7D9D49D0" w14:textId="77777777" w:rsidR="0076181B" w:rsidRPr="00D1336D" w:rsidRDefault="0076181B">
            <w:pPr>
              <w:rPr>
                <w:rFonts w:eastAsia="Times New Roman" w:cs="Calibri"/>
                <w:sz w:val="20"/>
                <w:szCs w:val="20"/>
              </w:rPr>
            </w:pPr>
            <w:r w:rsidRPr="00D1336D">
              <w:rPr>
                <w:rFonts w:eastAsia="Times New Roman" w:cs="Calibri"/>
                <w:sz w:val="20"/>
                <w:szCs w:val="20"/>
              </w:rPr>
              <w:t>COL</w:t>
            </w:r>
          </w:p>
        </w:tc>
        <w:tc>
          <w:tcPr>
            <w:tcW w:w="3004" w:type="dxa"/>
          </w:tcPr>
          <w:p w14:paraId="162598DE" w14:textId="77777777" w:rsidR="0076181B" w:rsidRPr="00D1336D" w:rsidRDefault="0076181B">
            <w:pPr>
              <w:rPr>
                <w:rFonts w:eastAsia="Times New Roman" w:cs="Calibri"/>
                <w:sz w:val="20"/>
                <w:szCs w:val="20"/>
              </w:rPr>
            </w:pPr>
            <w:r w:rsidRPr="00D1336D">
              <w:rPr>
                <w:rFonts w:eastAsia="Times New Roman" w:cs="Calibri"/>
                <w:sz w:val="20"/>
                <w:szCs w:val="20"/>
              </w:rPr>
              <w:t>Colorectal Cancer Screening: 46-49</w:t>
            </w:r>
          </w:p>
        </w:tc>
        <w:tc>
          <w:tcPr>
            <w:tcW w:w="1182" w:type="dxa"/>
          </w:tcPr>
          <w:p w14:paraId="3B662A21" w14:textId="77777777" w:rsidR="0076181B" w:rsidRPr="00D1336D" w:rsidRDefault="0076181B">
            <w:pPr>
              <w:rPr>
                <w:rFonts w:cs="Calibri"/>
                <w:sz w:val="20"/>
                <w:szCs w:val="20"/>
              </w:rPr>
            </w:pPr>
            <w:r w:rsidRPr="00D1336D">
              <w:rPr>
                <w:rFonts w:cs="Calibri"/>
                <w:sz w:val="20"/>
                <w:szCs w:val="20"/>
              </w:rPr>
              <w:t>NR</w:t>
            </w:r>
          </w:p>
        </w:tc>
        <w:tc>
          <w:tcPr>
            <w:tcW w:w="1404" w:type="dxa"/>
            <w:vAlign w:val="center"/>
          </w:tcPr>
          <w:p w14:paraId="596B17A4" w14:textId="77777777" w:rsidR="0076181B" w:rsidRPr="00D1336D" w:rsidRDefault="0076181B">
            <w:pPr>
              <w:rPr>
                <w:rFonts w:cs="Calibri"/>
                <w:sz w:val="20"/>
                <w:szCs w:val="20"/>
              </w:rPr>
            </w:pPr>
            <w:r w:rsidRPr="00D1336D">
              <w:rPr>
                <w:rFonts w:cs="Calibri"/>
                <w:sz w:val="20"/>
                <w:szCs w:val="20"/>
              </w:rPr>
              <w:t>NR</w:t>
            </w:r>
          </w:p>
        </w:tc>
        <w:tc>
          <w:tcPr>
            <w:tcW w:w="1404" w:type="dxa"/>
            <w:vAlign w:val="center"/>
          </w:tcPr>
          <w:p w14:paraId="7C76DEBE" w14:textId="77777777" w:rsidR="0076181B" w:rsidRPr="00D1336D" w:rsidRDefault="0076181B">
            <w:pPr>
              <w:rPr>
                <w:rFonts w:cs="Calibri"/>
                <w:sz w:val="20"/>
                <w:szCs w:val="20"/>
              </w:rPr>
            </w:pPr>
            <w:r w:rsidRPr="00D1336D">
              <w:rPr>
                <w:rFonts w:cs="Calibri"/>
                <w:sz w:val="20"/>
                <w:szCs w:val="20"/>
              </w:rPr>
              <w:t>21.1%</w:t>
            </w:r>
          </w:p>
        </w:tc>
        <w:tc>
          <w:tcPr>
            <w:tcW w:w="1419" w:type="dxa"/>
            <w:vAlign w:val="center"/>
          </w:tcPr>
          <w:p w14:paraId="774C1C00" w14:textId="77777777" w:rsidR="0076181B" w:rsidRPr="00D1336D" w:rsidRDefault="0076181B">
            <w:pPr>
              <w:rPr>
                <w:rFonts w:cs="Calibri"/>
                <w:sz w:val="20"/>
                <w:szCs w:val="20"/>
              </w:rPr>
            </w:pPr>
            <w:r w:rsidRPr="00D1336D">
              <w:rPr>
                <w:rFonts w:cs="Calibri"/>
                <w:sz w:val="20"/>
                <w:szCs w:val="20"/>
              </w:rPr>
              <w:t>NA</w:t>
            </w:r>
          </w:p>
        </w:tc>
        <w:tc>
          <w:tcPr>
            <w:tcW w:w="1419" w:type="dxa"/>
            <w:vAlign w:val="center"/>
          </w:tcPr>
          <w:p w14:paraId="3DDB2B4E" w14:textId="77777777" w:rsidR="0076181B" w:rsidRPr="00D1336D" w:rsidRDefault="0076181B">
            <w:pPr>
              <w:rPr>
                <w:rFonts w:cs="Calibri"/>
                <w:sz w:val="20"/>
                <w:szCs w:val="20"/>
              </w:rPr>
            </w:pPr>
            <w:r w:rsidRPr="00D1336D">
              <w:rPr>
                <w:rFonts w:cs="Calibri"/>
                <w:sz w:val="20"/>
                <w:szCs w:val="20"/>
              </w:rPr>
              <w:t>NA</w:t>
            </w:r>
          </w:p>
        </w:tc>
      </w:tr>
      <w:tr w:rsidR="009E5B4E" w:rsidRPr="00EF50DC" w14:paraId="3C64807C" w14:textId="77777777">
        <w:trPr>
          <w:trHeight w:val="296"/>
        </w:trPr>
        <w:tc>
          <w:tcPr>
            <w:tcW w:w="1439" w:type="dxa"/>
          </w:tcPr>
          <w:p w14:paraId="0A0E8EE3" w14:textId="77777777" w:rsidR="0076181B" w:rsidRPr="00D1336D" w:rsidRDefault="0076181B">
            <w:pPr>
              <w:rPr>
                <w:rFonts w:eastAsia="Times New Roman" w:cs="Calibri"/>
                <w:sz w:val="20"/>
                <w:szCs w:val="20"/>
              </w:rPr>
            </w:pPr>
            <w:r w:rsidRPr="00D1336D">
              <w:rPr>
                <w:rFonts w:eastAsia="Times New Roman" w:cs="Calibri"/>
                <w:sz w:val="20"/>
                <w:szCs w:val="20"/>
              </w:rPr>
              <w:t>COL</w:t>
            </w:r>
          </w:p>
        </w:tc>
        <w:tc>
          <w:tcPr>
            <w:tcW w:w="3004" w:type="dxa"/>
          </w:tcPr>
          <w:p w14:paraId="6B8C6012" w14:textId="77777777" w:rsidR="0076181B" w:rsidRPr="00D1336D" w:rsidRDefault="0076181B">
            <w:pPr>
              <w:rPr>
                <w:rFonts w:eastAsia="Times New Roman" w:cs="Calibri"/>
                <w:sz w:val="20"/>
                <w:szCs w:val="20"/>
              </w:rPr>
            </w:pPr>
            <w:r w:rsidRPr="00D1336D">
              <w:rPr>
                <w:rFonts w:eastAsia="Times New Roman" w:cs="Calibri"/>
                <w:sz w:val="20"/>
                <w:szCs w:val="20"/>
              </w:rPr>
              <w:t>Colorectal Cancer Screening: 50-64</w:t>
            </w:r>
          </w:p>
        </w:tc>
        <w:tc>
          <w:tcPr>
            <w:tcW w:w="1182" w:type="dxa"/>
          </w:tcPr>
          <w:p w14:paraId="034E88EE" w14:textId="77777777" w:rsidR="0076181B" w:rsidRPr="00D1336D" w:rsidRDefault="0076181B">
            <w:pPr>
              <w:rPr>
                <w:rFonts w:cs="Calibri"/>
                <w:sz w:val="20"/>
                <w:szCs w:val="20"/>
              </w:rPr>
            </w:pPr>
            <w:r w:rsidRPr="00D1336D">
              <w:rPr>
                <w:rFonts w:cs="Calibri"/>
                <w:sz w:val="20"/>
                <w:szCs w:val="20"/>
              </w:rPr>
              <w:t>NR</w:t>
            </w:r>
          </w:p>
        </w:tc>
        <w:tc>
          <w:tcPr>
            <w:tcW w:w="1404" w:type="dxa"/>
            <w:vAlign w:val="center"/>
          </w:tcPr>
          <w:p w14:paraId="76E7C5A2" w14:textId="77777777" w:rsidR="0076181B" w:rsidRPr="00D1336D" w:rsidRDefault="0076181B">
            <w:pPr>
              <w:rPr>
                <w:rFonts w:cs="Calibri"/>
                <w:sz w:val="20"/>
                <w:szCs w:val="20"/>
              </w:rPr>
            </w:pPr>
            <w:r w:rsidRPr="00D1336D">
              <w:rPr>
                <w:rFonts w:cs="Calibri"/>
                <w:sz w:val="20"/>
                <w:szCs w:val="20"/>
              </w:rPr>
              <w:t>64.3%</w:t>
            </w:r>
          </w:p>
        </w:tc>
        <w:tc>
          <w:tcPr>
            <w:tcW w:w="1404" w:type="dxa"/>
            <w:vAlign w:val="center"/>
          </w:tcPr>
          <w:p w14:paraId="3495DA61" w14:textId="77777777" w:rsidR="0076181B" w:rsidRPr="00D1336D" w:rsidRDefault="0076181B">
            <w:pPr>
              <w:rPr>
                <w:rFonts w:cs="Calibri"/>
                <w:sz w:val="20"/>
                <w:szCs w:val="20"/>
              </w:rPr>
            </w:pPr>
            <w:r w:rsidRPr="00D1336D">
              <w:rPr>
                <w:rFonts w:cs="Calibri"/>
                <w:sz w:val="20"/>
                <w:szCs w:val="20"/>
              </w:rPr>
              <w:t>46.4%</w:t>
            </w:r>
          </w:p>
        </w:tc>
        <w:tc>
          <w:tcPr>
            <w:tcW w:w="1419" w:type="dxa"/>
            <w:vAlign w:val="center"/>
          </w:tcPr>
          <w:p w14:paraId="73E795D3" w14:textId="77777777" w:rsidR="0076181B" w:rsidRPr="00D1336D" w:rsidRDefault="0076181B">
            <w:pPr>
              <w:rPr>
                <w:rFonts w:cs="Calibri"/>
                <w:sz w:val="20"/>
                <w:szCs w:val="20"/>
              </w:rPr>
            </w:pPr>
            <w:r w:rsidRPr="00D1336D">
              <w:rPr>
                <w:rFonts w:cs="Calibri"/>
                <w:sz w:val="20"/>
                <w:szCs w:val="20"/>
              </w:rPr>
              <w:t>77.6%</w:t>
            </w:r>
          </w:p>
        </w:tc>
        <w:tc>
          <w:tcPr>
            <w:tcW w:w="1419" w:type="dxa"/>
            <w:vAlign w:val="center"/>
          </w:tcPr>
          <w:p w14:paraId="166BB0A6" w14:textId="77777777" w:rsidR="0076181B" w:rsidRPr="00D1336D" w:rsidRDefault="0076181B">
            <w:pPr>
              <w:rPr>
                <w:rFonts w:cs="Calibri"/>
                <w:sz w:val="20"/>
                <w:szCs w:val="20"/>
              </w:rPr>
            </w:pPr>
            <w:r w:rsidRPr="00D1336D">
              <w:rPr>
                <w:rFonts w:cs="Calibri"/>
                <w:sz w:val="20"/>
                <w:szCs w:val="20"/>
              </w:rPr>
              <w:t>82.0%</w:t>
            </w:r>
          </w:p>
        </w:tc>
      </w:tr>
      <w:tr w:rsidR="009E5B4E" w:rsidRPr="00EF50DC" w14:paraId="596EE8D3" w14:textId="77777777">
        <w:trPr>
          <w:trHeight w:val="296"/>
        </w:trPr>
        <w:tc>
          <w:tcPr>
            <w:tcW w:w="1439" w:type="dxa"/>
          </w:tcPr>
          <w:p w14:paraId="76A1E704" w14:textId="77777777" w:rsidR="0076181B" w:rsidRPr="00D1336D" w:rsidRDefault="0076181B">
            <w:pPr>
              <w:rPr>
                <w:rFonts w:eastAsia="Times New Roman" w:cs="Calibri"/>
                <w:sz w:val="20"/>
                <w:szCs w:val="20"/>
              </w:rPr>
            </w:pPr>
            <w:r w:rsidRPr="00D1336D">
              <w:rPr>
                <w:rFonts w:eastAsia="Times New Roman" w:cs="Calibri"/>
                <w:sz w:val="20"/>
                <w:szCs w:val="20"/>
              </w:rPr>
              <w:t>COL</w:t>
            </w:r>
          </w:p>
        </w:tc>
        <w:tc>
          <w:tcPr>
            <w:tcW w:w="3004" w:type="dxa"/>
          </w:tcPr>
          <w:p w14:paraId="3C2879B7" w14:textId="77777777" w:rsidR="0076181B" w:rsidRPr="00D1336D" w:rsidRDefault="0076181B">
            <w:pPr>
              <w:rPr>
                <w:rFonts w:eastAsia="Times New Roman" w:cs="Calibri"/>
                <w:sz w:val="20"/>
                <w:szCs w:val="20"/>
              </w:rPr>
            </w:pPr>
            <w:r w:rsidRPr="00D1336D">
              <w:rPr>
                <w:rFonts w:eastAsia="Times New Roman" w:cs="Calibri"/>
                <w:sz w:val="20"/>
                <w:szCs w:val="20"/>
              </w:rPr>
              <w:t>Colorectal Cancer Screening: 65+</w:t>
            </w:r>
          </w:p>
        </w:tc>
        <w:tc>
          <w:tcPr>
            <w:tcW w:w="1182" w:type="dxa"/>
          </w:tcPr>
          <w:p w14:paraId="77D245A8" w14:textId="77777777" w:rsidR="0076181B" w:rsidRPr="00D1336D" w:rsidRDefault="0076181B">
            <w:pPr>
              <w:rPr>
                <w:rFonts w:cs="Calibri"/>
                <w:sz w:val="20"/>
                <w:szCs w:val="20"/>
              </w:rPr>
            </w:pPr>
            <w:r w:rsidRPr="00D1336D">
              <w:rPr>
                <w:rFonts w:cs="Calibri"/>
                <w:sz w:val="20"/>
                <w:szCs w:val="20"/>
              </w:rPr>
              <w:t>NR</w:t>
            </w:r>
          </w:p>
        </w:tc>
        <w:tc>
          <w:tcPr>
            <w:tcW w:w="1404" w:type="dxa"/>
            <w:vAlign w:val="center"/>
          </w:tcPr>
          <w:p w14:paraId="58C7389D" w14:textId="77777777" w:rsidR="0076181B" w:rsidRPr="00D1336D" w:rsidRDefault="0076181B">
            <w:pPr>
              <w:rPr>
                <w:rFonts w:cs="Calibri"/>
                <w:sz w:val="20"/>
                <w:szCs w:val="20"/>
              </w:rPr>
            </w:pPr>
            <w:r w:rsidRPr="00D1336D">
              <w:rPr>
                <w:rFonts w:cs="Calibri"/>
                <w:sz w:val="20"/>
                <w:szCs w:val="20"/>
              </w:rPr>
              <w:t>78.8%</w:t>
            </w:r>
          </w:p>
        </w:tc>
        <w:tc>
          <w:tcPr>
            <w:tcW w:w="1404" w:type="dxa"/>
            <w:vAlign w:val="center"/>
          </w:tcPr>
          <w:p w14:paraId="6DD3BF2A" w14:textId="77777777" w:rsidR="0076181B" w:rsidRPr="00D1336D" w:rsidRDefault="0076181B">
            <w:pPr>
              <w:rPr>
                <w:rFonts w:cs="Calibri"/>
                <w:sz w:val="20"/>
                <w:szCs w:val="20"/>
              </w:rPr>
            </w:pPr>
            <w:r w:rsidRPr="00D1336D">
              <w:rPr>
                <w:rFonts w:cs="Calibri"/>
                <w:sz w:val="20"/>
                <w:szCs w:val="20"/>
              </w:rPr>
              <w:t>79.1%</w:t>
            </w:r>
          </w:p>
        </w:tc>
        <w:tc>
          <w:tcPr>
            <w:tcW w:w="1419" w:type="dxa"/>
            <w:vAlign w:val="center"/>
          </w:tcPr>
          <w:p w14:paraId="6F59B02E" w14:textId="77777777" w:rsidR="0076181B" w:rsidRPr="00D1336D" w:rsidRDefault="0076181B">
            <w:pPr>
              <w:rPr>
                <w:rFonts w:cs="Calibri"/>
                <w:sz w:val="20"/>
                <w:szCs w:val="20"/>
              </w:rPr>
            </w:pPr>
            <w:r>
              <w:rPr>
                <w:rFonts w:cs="Calibri"/>
                <w:sz w:val="20"/>
                <w:szCs w:val="20"/>
              </w:rPr>
              <w:t>NA</w:t>
            </w:r>
          </w:p>
        </w:tc>
        <w:tc>
          <w:tcPr>
            <w:tcW w:w="1419" w:type="dxa"/>
            <w:vAlign w:val="center"/>
          </w:tcPr>
          <w:p w14:paraId="5EC8D3B6" w14:textId="77777777" w:rsidR="0076181B" w:rsidRPr="00D1336D" w:rsidRDefault="0076181B">
            <w:pPr>
              <w:rPr>
                <w:rFonts w:cs="Calibri"/>
                <w:sz w:val="20"/>
                <w:szCs w:val="20"/>
              </w:rPr>
            </w:pPr>
            <w:r>
              <w:rPr>
                <w:rFonts w:cs="Calibri"/>
                <w:sz w:val="20"/>
                <w:szCs w:val="20"/>
              </w:rPr>
              <w:t>NA</w:t>
            </w:r>
          </w:p>
        </w:tc>
      </w:tr>
      <w:tr w:rsidR="009E5B4E" w:rsidRPr="00EF50DC" w14:paraId="0213A955" w14:textId="77777777">
        <w:trPr>
          <w:trHeight w:val="296"/>
        </w:trPr>
        <w:tc>
          <w:tcPr>
            <w:tcW w:w="1439" w:type="dxa"/>
          </w:tcPr>
          <w:p w14:paraId="0EE6BC39" w14:textId="77777777" w:rsidR="0076181B" w:rsidRPr="00D1336D" w:rsidRDefault="0076181B">
            <w:pPr>
              <w:rPr>
                <w:rFonts w:eastAsia="Times New Roman" w:cs="Calibri"/>
                <w:sz w:val="20"/>
                <w:szCs w:val="20"/>
              </w:rPr>
            </w:pPr>
            <w:r w:rsidRPr="00D1336D">
              <w:rPr>
                <w:rFonts w:eastAsia="Times New Roman" w:cs="Calibri"/>
                <w:sz w:val="20"/>
                <w:szCs w:val="20"/>
              </w:rPr>
              <w:t>FUA</w:t>
            </w:r>
          </w:p>
        </w:tc>
        <w:tc>
          <w:tcPr>
            <w:tcW w:w="3004" w:type="dxa"/>
          </w:tcPr>
          <w:p w14:paraId="44CF9AD1" w14:textId="77777777" w:rsidR="0076181B" w:rsidRPr="00D1336D" w:rsidRDefault="0076181B">
            <w:pPr>
              <w:rPr>
                <w:rFonts w:eastAsia="Times New Roman" w:cs="Calibri"/>
                <w:sz w:val="20"/>
                <w:szCs w:val="20"/>
              </w:rPr>
            </w:pPr>
            <w:r w:rsidRPr="00D1336D">
              <w:rPr>
                <w:rFonts w:cs="Calibri"/>
                <w:sz w:val="20"/>
                <w:szCs w:val="20"/>
              </w:rPr>
              <w:t xml:space="preserve">Follow-up After Emergency Department Visit for Alcohol and Other Drug Abuse or Dependence – 7 </w:t>
            </w:r>
            <w:proofErr w:type="gramStart"/>
            <w:r w:rsidRPr="00D1336D">
              <w:rPr>
                <w:rFonts w:cs="Calibri"/>
                <w:sz w:val="20"/>
                <w:szCs w:val="20"/>
              </w:rPr>
              <w:t>day</w:t>
            </w:r>
            <w:proofErr w:type="gramEnd"/>
            <w:r w:rsidRPr="00D1336D">
              <w:rPr>
                <w:rFonts w:cs="Calibri"/>
                <w:sz w:val="20"/>
                <w:szCs w:val="20"/>
              </w:rPr>
              <w:t>: 65+</w:t>
            </w:r>
          </w:p>
        </w:tc>
        <w:tc>
          <w:tcPr>
            <w:tcW w:w="1182" w:type="dxa"/>
            <w:vAlign w:val="center"/>
          </w:tcPr>
          <w:p w14:paraId="6B732209" w14:textId="77777777" w:rsidR="0076181B" w:rsidRPr="00D1336D" w:rsidRDefault="0076181B">
            <w:pPr>
              <w:rPr>
                <w:rFonts w:cs="Calibri"/>
                <w:sz w:val="20"/>
                <w:szCs w:val="20"/>
              </w:rPr>
            </w:pPr>
            <w:r w:rsidRPr="00D1336D">
              <w:rPr>
                <w:rFonts w:cs="Calibri"/>
                <w:sz w:val="20"/>
                <w:szCs w:val="20"/>
              </w:rPr>
              <w:t>14.2%</w:t>
            </w:r>
          </w:p>
        </w:tc>
        <w:tc>
          <w:tcPr>
            <w:tcW w:w="1404" w:type="dxa"/>
            <w:vAlign w:val="center"/>
          </w:tcPr>
          <w:p w14:paraId="3AED9281" w14:textId="77777777" w:rsidR="0076181B" w:rsidRPr="00D1336D" w:rsidRDefault="0076181B">
            <w:pPr>
              <w:rPr>
                <w:rFonts w:cs="Calibri"/>
                <w:sz w:val="20"/>
                <w:szCs w:val="20"/>
              </w:rPr>
            </w:pPr>
            <w:r w:rsidRPr="00D1336D">
              <w:rPr>
                <w:rFonts w:cs="Calibri"/>
                <w:sz w:val="20"/>
                <w:szCs w:val="20"/>
              </w:rPr>
              <w:t>13.6%</w:t>
            </w:r>
          </w:p>
        </w:tc>
        <w:tc>
          <w:tcPr>
            <w:tcW w:w="1404" w:type="dxa"/>
            <w:vAlign w:val="center"/>
          </w:tcPr>
          <w:p w14:paraId="471A339B" w14:textId="77777777" w:rsidR="0076181B" w:rsidRPr="00D1336D" w:rsidRDefault="0076181B">
            <w:pPr>
              <w:rPr>
                <w:rFonts w:cs="Calibri"/>
                <w:sz w:val="20"/>
                <w:szCs w:val="20"/>
              </w:rPr>
            </w:pPr>
            <w:r w:rsidRPr="00D1336D">
              <w:rPr>
                <w:rFonts w:cs="Calibri"/>
                <w:sz w:val="20"/>
                <w:szCs w:val="20"/>
              </w:rPr>
              <w:t>33.8%</w:t>
            </w:r>
          </w:p>
        </w:tc>
        <w:tc>
          <w:tcPr>
            <w:tcW w:w="1419" w:type="dxa"/>
            <w:vAlign w:val="center"/>
          </w:tcPr>
          <w:p w14:paraId="533AABDB" w14:textId="77777777" w:rsidR="0076181B" w:rsidRPr="00D1336D" w:rsidRDefault="0076181B">
            <w:pPr>
              <w:rPr>
                <w:rFonts w:cs="Calibri"/>
                <w:sz w:val="20"/>
                <w:szCs w:val="20"/>
              </w:rPr>
            </w:pPr>
            <w:r w:rsidRPr="00D1336D">
              <w:rPr>
                <w:rFonts w:cs="Calibri"/>
                <w:sz w:val="20"/>
                <w:szCs w:val="20"/>
              </w:rPr>
              <w:t>29.5%</w:t>
            </w:r>
          </w:p>
        </w:tc>
        <w:tc>
          <w:tcPr>
            <w:tcW w:w="1419" w:type="dxa"/>
            <w:vAlign w:val="center"/>
          </w:tcPr>
          <w:p w14:paraId="0CDFD5A4" w14:textId="77777777" w:rsidR="0076181B" w:rsidRPr="00D1336D" w:rsidRDefault="0076181B">
            <w:pPr>
              <w:rPr>
                <w:rFonts w:cs="Calibri"/>
                <w:sz w:val="20"/>
                <w:szCs w:val="20"/>
              </w:rPr>
            </w:pPr>
            <w:r w:rsidRPr="00D1336D">
              <w:rPr>
                <w:rFonts w:cs="Calibri"/>
                <w:sz w:val="20"/>
                <w:szCs w:val="20"/>
              </w:rPr>
              <w:t>34.4%</w:t>
            </w:r>
          </w:p>
        </w:tc>
      </w:tr>
      <w:tr w:rsidR="009E5B4E" w:rsidRPr="00EF50DC" w14:paraId="61DEC411" w14:textId="77777777">
        <w:trPr>
          <w:trHeight w:val="296"/>
        </w:trPr>
        <w:tc>
          <w:tcPr>
            <w:tcW w:w="1439" w:type="dxa"/>
          </w:tcPr>
          <w:p w14:paraId="4753D08F" w14:textId="77777777" w:rsidR="0076181B" w:rsidRPr="00D1336D" w:rsidRDefault="0076181B">
            <w:pPr>
              <w:rPr>
                <w:rFonts w:eastAsia="Times New Roman" w:cs="Calibri"/>
                <w:sz w:val="20"/>
                <w:szCs w:val="20"/>
              </w:rPr>
            </w:pPr>
            <w:r w:rsidRPr="00D1336D">
              <w:rPr>
                <w:rFonts w:eastAsia="Times New Roman" w:cs="Calibri"/>
                <w:sz w:val="20"/>
                <w:szCs w:val="20"/>
              </w:rPr>
              <w:t>FUA</w:t>
            </w:r>
          </w:p>
        </w:tc>
        <w:tc>
          <w:tcPr>
            <w:tcW w:w="3004" w:type="dxa"/>
          </w:tcPr>
          <w:p w14:paraId="7574DE02" w14:textId="77777777" w:rsidR="0076181B" w:rsidRPr="00D1336D" w:rsidRDefault="0076181B">
            <w:pPr>
              <w:rPr>
                <w:rFonts w:cs="Calibri"/>
                <w:sz w:val="20"/>
                <w:szCs w:val="20"/>
              </w:rPr>
            </w:pPr>
            <w:r w:rsidRPr="00D1336D">
              <w:rPr>
                <w:rFonts w:cs="Calibri"/>
                <w:sz w:val="20"/>
                <w:szCs w:val="20"/>
              </w:rPr>
              <w:t xml:space="preserve">Follow-up After Emergency Department Visit for Alcohol and Other Drug Abuse or Dependence – 30 </w:t>
            </w:r>
            <w:proofErr w:type="gramStart"/>
            <w:r w:rsidRPr="00D1336D">
              <w:rPr>
                <w:rFonts w:cs="Calibri"/>
                <w:sz w:val="20"/>
                <w:szCs w:val="20"/>
              </w:rPr>
              <w:t>day</w:t>
            </w:r>
            <w:proofErr w:type="gramEnd"/>
            <w:r w:rsidRPr="00D1336D">
              <w:rPr>
                <w:rFonts w:cs="Calibri"/>
                <w:sz w:val="20"/>
                <w:szCs w:val="20"/>
              </w:rPr>
              <w:t>: 65+</w:t>
            </w:r>
          </w:p>
        </w:tc>
        <w:tc>
          <w:tcPr>
            <w:tcW w:w="1182" w:type="dxa"/>
            <w:vAlign w:val="center"/>
          </w:tcPr>
          <w:p w14:paraId="1F75DE53" w14:textId="77777777" w:rsidR="0076181B" w:rsidRPr="00D1336D" w:rsidRDefault="0076181B">
            <w:pPr>
              <w:rPr>
                <w:rFonts w:cs="Calibri"/>
                <w:sz w:val="20"/>
                <w:szCs w:val="20"/>
              </w:rPr>
            </w:pPr>
            <w:r w:rsidRPr="00D1336D">
              <w:rPr>
                <w:rFonts w:cs="Calibri"/>
                <w:sz w:val="20"/>
                <w:szCs w:val="20"/>
              </w:rPr>
              <w:t>22.6%</w:t>
            </w:r>
          </w:p>
        </w:tc>
        <w:tc>
          <w:tcPr>
            <w:tcW w:w="1404" w:type="dxa"/>
            <w:vAlign w:val="center"/>
          </w:tcPr>
          <w:p w14:paraId="07DEE9B3" w14:textId="77777777" w:rsidR="0076181B" w:rsidRPr="00D1336D" w:rsidRDefault="0076181B">
            <w:pPr>
              <w:rPr>
                <w:rFonts w:cs="Calibri"/>
                <w:sz w:val="20"/>
                <w:szCs w:val="20"/>
              </w:rPr>
            </w:pPr>
            <w:r w:rsidRPr="00D1336D">
              <w:rPr>
                <w:rFonts w:cs="Calibri"/>
                <w:sz w:val="20"/>
                <w:szCs w:val="20"/>
              </w:rPr>
              <w:t>16.2%</w:t>
            </w:r>
          </w:p>
        </w:tc>
        <w:tc>
          <w:tcPr>
            <w:tcW w:w="1404" w:type="dxa"/>
            <w:vAlign w:val="center"/>
          </w:tcPr>
          <w:p w14:paraId="0DB83FD0" w14:textId="77777777" w:rsidR="0076181B" w:rsidRPr="00D1336D" w:rsidRDefault="0076181B">
            <w:pPr>
              <w:rPr>
                <w:rFonts w:cs="Calibri"/>
                <w:sz w:val="20"/>
                <w:szCs w:val="20"/>
              </w:rPr>
            </w:pPr>
            <w:r w:rsidRPr="00D1336D">
              <w:rPr>
                <w:rFonts w:cs="Calibri"/>
                <w:sz w:val="20"/>
                <w:szCs w:val="20"/>
              </w:rPr>
              <w:t>50.7%</w:t>
            </w:r>
          </w:p>
        </w:tc>
        <w:tc>
          <w:tcPr>
            <w:tcW w:w="1419" w:type="dxa"/>
            <w:vAlign w:val="center"/>
          </w:tcPr>
          <w:p w14:paraId="7074C27C" w14:textId="77777777" w:rsidR="0076181B" w:rsidRPr="00D1336D" w:rsidRDefault="0076181B">
            <w:pPr>
              <w:rPr>
                <w:rFonts w:cs="Calibri"/>
                <w:sz w:val="20"/>
                <w:szCs w:val="20"/>
              </w:rPr>
            </w:pPr>
            <w:r w:rsidRPr="00D1336D">
              <w:rPr>
                <w:rFonts w:cs="Calibri"/>
                <w:sz w:val="20"/>
                <w:szCs w:val="20"/>
              </w:rPr>
              <w:t>43.5%</w:t>
            </w:r>
          </w:p>
        </w:tc>
        <w:tc>
          <w:tcPr>
            <w:tcW w:w="1419" w:type="dxa"/>
            <w:vAlign w:val="center"/>
          </w:tcPr>
          <w:p w14:paraId="4A560A87" w14:textId="77777777" w:rsidR="0076181B" w:rsidRPr="00D1336D" w:rsidRDefault="0076181B">
            <w:pPr>
              <w:rPr>
                <w:rFonts w:cs="Calibri"/>
                <w:sz w:val="20"/>
                <w:szCs w:val="20"/>
              </w:rPr>
            </w:pPr>
            <w:r w:rsidRPr="00D1336D">
              <w:rPr>
                <w:rFonts w:cs="Calibri"/>
                <w:sz w:val="20"/>
                <w:szCs w:val="20"/>
              </w:rPr>
              <w:t>50.7%</w:t>
            </w:r>
          </w:p>
        </w:tc>
      </w:tr>
      <w:tr w:rsidR="009E5B4E" w:rsidRPr="00EF50DC" w14:paraId="17DD54D9" w14:textId="77777777">
        <w:trPr>
          <w:trHeight w:val="296"/>
        </w:trPr>
        <w:tc>
          <w:tcPr>
            <w:tcW w:w="1439" w:type="dxa"/>
          </w:tcPr>
          <w:p w14:paraId="3A14B703" w14:textId="77777777" w:rsidR="0076181B" w:rsidRPr="00D1336D" w:rsidRDefault="0076181B">
            <w:pPr>
              <w:rPr>
                <w:rFonts w:eastAsia="Times New Roman" w:cs="Calibri"/>
                <w:sz w:val="20"/>
                <w:szCs w:val="20"/>
              </w:rPr>
            </w:pPr>
            <w:r w:rsidRPr="00D1336D">
              <w:rPr>
                <w:rFonts w:cs="Calibri"/>
                <w:sz w:val="20"/>
                <w:szCs w:val="20"/>
              </w:rPr>
              <w:lastRenderedPageBreak/>
              <w:t>FUH</w:t>
            </w:r>
          </w:p>
        </w:tc>
        <w:tc>
          <w:tcPr>
            <w:tcW w:w="3004" w:type="dxa"/>
          </w:tcPr>
          <w:p w14:paraId="47BDCB13" w14:textId="77777777" w:rsidR="0076181B" w:rsidRPr="00D1336D" w:rsidRDefault="0076181B">
            <w:pPr>
              <w:rPr>
                <w:rFonts w:cs="Calibri"/>
                <w:sz w:val="20"/>
                <w:szCs w:val="20"/>
              </w:rPr>
            </w:pPr>
            <w:r w:rsidRPr="00D1336D">
              <w:rPr>
                <w:rFonts w:cs="Calibri"/>
                <w:sz w:val="20"/>
                <w:szCs w:val="20"/>
              </w:rPr>
              <w:t>Follow-Up After Hospitalization for Mental Illness -7 day: 65+</w:t>
            </w:r>
          </w:p>
        </w:tc>
        <w:tc>
          <w:tcPr>
            <w:tcW w:w="1182" w:type="dxa"/>
            <w:vAlign w:val="center"/>
          </w:tcPr>
          <w:p w14:paraId="572481B3" w14:textId="77777777" w:rsidR="0076181B" w:rsidRPr="00D1336D" w:rsidRDefault="0076181B">
            <w:pPr>
              <w:rPr>
                <w:rFonts w:cs="Calibri"/>
                <w:sz w:val="20"/>
                <w:szCs w:val="20"/>
              </w:rPr>
            </w:pPr>
            <w:r w:rsidRPr="00D1336D">
              <w:rPr>
                <w:rFonts w:cs="Calibri"/>
                <w:sz w:val="20"/>
                <w:szCs w:val="20"/>
              </w:rPr>
              <w:t>37.3%</w:t>
            </w:r>
          </w:p>
        </w:tc>
        <w:tc>
          <w:tcPr>
            <w:tcW w:w="1404" w:type="dxa"/>
            <w:vAlign w:val="center"/>
          </w:tcPr>
          <w:p w14:paraId="2E909C26" w14:textId="77777777" w:rsidR="0076181B" w:rsidRPr="00D1336D" w:rsidRDefault="0076181B">
            <w:pPr>
              <w:rPr>
                <w:rFonts w:cs="Calibri"/>
                <w:sz w:val="20"/>
                <w:szCs w:val="20"/>
              </w:rPr>
            </w:pPr>
            <w:r w:rsidRPr="00D1336D">
              <w:rPr>
                <w:rFonts w:cs="Calibri"/>
                <w:sz w:val="20"/>
                <w:szCs w:val="20"/>
              </w:rPr>
              <w:t>37.6%</w:t>
            </w:r>
          </w:p>
        </w:tc>
        <w:tc>
          <w:tcPr>
            <w:tcW w:w="1404" w:type="dxa"/>
            <w:vAlign w:val="center"/>
          </w:tcPr>
          <w:p w14:paraId="7CC33BC3" w14:textId="77777777" w:rsidR="0076181B" w:rsidRPr="00D1336D" w:rsidRDefault="0076181B">
            <w:pPr>
              <w:rPr>
                <w:rFonts w:cs="Calibri"/>
                <w:sz w:val="20"/>
                <w:szCs w:val="20"/>
              </w:rPr>
            </w:pPr>
            <w:r w:rsidRPr="00D1336D">
              <w:rPr>
                <w:rFonts w:cs="Calibri"/>
                <w:sz w:val="20"/>
                <w:szCs w:val="20"/>
              </w:rPr>
              <w:t>38.9%</w:t>
            </w:r>
          </w:p>
        </w:tc>
        <w:tc>
          <w:tcPr>
            <w:tcW w:w="1419" w:type="dxa"/>
            <w:vAlign w:val="center"/>
          </w:tcPr>
          <w:p w14:paraId="68D89F80" w14:textId="77777777" w:rsidR="0076181B" w:rsidRPr="00D1336D" w:rsidRDefault="0076181B">
            <w:pPr>
              <w:rPr>
                <w:rFonts w:cs="Calibri"/>
                <w:sz w:val="20"/>
                <w:szCs w:val="20"/>
              </w:rPr>
            </w:pPr>
            <w:r w:rsidRPr="00D1336D">
              <w:rPr>
                <w:rFonts w:cs="Calibri"/>
                <w:sz w:val="20"/>
                <w:szCs w:val="20"/>
              </w:rPr>
              <w:t>32.8%</w:t>
            </w:r>
          </w:p>
        </w:tc>
        <w:tc>
          <w:tcPr>
            <w:tcW w:w="1419" w:type="dxa"/>
            <w:vAlign w:val="center"/>
          </w:tcPr>
          <w:p w14:paraId="596BCE7C" w14:textId="77777777" w:rsidR="0076181B" w:rsidRPr="00D1336D" w:rsidRDefault="0076181B">
            <w:pPr>
              <w:rPr>
                <w:rFonts w:cs="Calibri"/>
                <w:sz w:val="20"/>
                <w:szCs w:val="20"/>
              </w:rPr>
            </w:pPr>
            <w:r w:rsidRPr="00D1336D">
              <w:rPr>
                <w:rFonts w:cs="Calibri"/>
                <w:sz w:val="20"/>
                <w:szCs w:val="20"/>
              </w:rPr>
              <w:t>46.0%</w:t>
            </w:r>
          </w:p>
        </w:tc>
      </w:tr>
      <w:tr w:rsidR="009E5B4E" w:rsidRPr="00EF50DC" w14:paraId="45CF3C04" w14:textId="77777777">
        <w:trPr>
          <w:trHeight w:val="296"/>
        </w:trPr>
        <w:tc>
          <w:tcPr>
            <w:tcW w:w="1439" w:type="dxa"/>
          </w:tcPr>
          <w:p w14:paraId="210CCE98" w14:textId="77777777" w:rsidR="0076181B" w:rsidRPr="00D1336D" w:rsidRDefault="0076181B">
            <w:pPr>
              <w:rPr>
                <w:rFonts w:eastAsia="Times New Roman" w:cs="Calibri"/>
                <w:sz w:val="20"/>
                <w:szCs w:val="20"/>
              </w:rPr>
            </w:pPr>
            <w:r w:rsidRPr="00D1336D">
              <w:rPr>
                <w:rFonts w:cs="Calibri"/>
                <w:sz w:val="20"/>
                <w:szCs w:val="20"/>
              </w:rPr>
              <w:t>FUH</w:t>
            </w:r>
          </w:p>
        </w:tc>
        <w:tc>
          <w:tcPr>
            <w:tcW w:w="3004" w:type="dxa"/>
          </w:tcPr>
          <w:p w14:paraId="035E54D2" w14:textId="77777777" w:rsidR="0076181B" w:rsidRPr="00D1336D" w:rsidRDefault="0076181B">
            <w:pPr>
              <w:rPr>
                <w:rFonts w:cs="Calibri"/>
                <w:sz w:val="20"/>
                <w:szCs w:val="20"/>
              </w:rPr>
            </w:pPr>
            <w:r w:rsidRPr="00D1336D">
              <w:rPr>
                <w:rFonts w:cs="Calibri"/>
                <w:sz w:val="20"/>
                <w:szCs w:val="20"/>
              </w:rPr>
              <w:t>Follow-Up After Hospitalization for Mental Illness - 30 day: 65+</w:t>
            </w:r>
          </w:p>
        </w:tc>
        <w:tc>
          <w:tcPr>
            <w:tcW w:w="1182" w:type="dxa"/>
            <w:vAlign w:val="center"/>
          </w:tcPr>
          <w:p w14:paraId="54E8A739" w14:textId="77777777" w:rsidR="0076181B" w:rsidRPr="00D1336D" w:rsidRDefault="0076181B">
            <w:pPr>
              <w:rPr>
                <w:rFonts w:cs="Calibri"/>
                <w:sz w:val="20"/>
                <w:szCs w:val="20"/>
              </w:rPr>
            </w:pPr>
            <w:r w:rsidRPr="00D1336D">
              <w:rPr>
                <w:rFonts w:cs="Calibri"/>
                <w:sz w:val="20"/>
                <w:szCs w:val="20"/>
              </w:rPr>
              <w:t>61.0%</w:t>
            </w:r>
          </w:p>
        </w:tc>
        <w:tc>
          <w:tcPr>
            <w:tcW w:w="1404" w:type="dxa"/>
            <w:vAlign w:val="center"/>
          </w:tcPr>
          <w:p w14:paraId="7C64129D" w14:textId="77777777" w:rsidR="0076181B" w:rsidRPr="00D1336D" w:rsidRDefault="0076181B">
            <w:pPr>
              <w:rPr>
                <w:rFonts w:cs="Calibri"/>
                <w:sz w:val="20"/>
                <w:szCs w:val="20"/>
              </w:rPr>
            </w:pPr>
            <w:r w:rsidRPr="00D1336D">
              <w:rPr>
                <w:rFonts w:cs="Calibri"/>
                <w:sz w:val="20"/>
                <w:szCs w:val="20"/>
              </w:rPr>
              <w:t>64.4%</w:t>
            </w:r>
          </w:p>
        </w:tc>
        <w:tc>
          <w:tcPr>
            <w:tcW w:w="1404" w:type="dxa"/>
            <w:vAlign w:val="center"/>
          </w:tcPr>
          <w:p w14:paraId="262B1A3B" w14:textId="77777777" w:rsidR="0076181B" w:rsidRPr="00D1336D" w:rsidRDefault="0076181B">
            <w:pPr>
              <w:rPr>
                <w:rFonts w:cs="Calibri"/>
                <w:sz w:val="20"/>
                <w:szCs w:val="20"/>
              </w:rPr>
            </w:pPr>
            <w:r w:rsidRPr="00D1336D">
              <w:rPr>
                <w:rFonts w:cs="Calibri"/>
                <w:sz w:val="20"/>
                <w:szCs w:val="20"/>
              </w:rPr>
              <w:t>62.5%</w:t>
            </w:r>
          </w:p>
        </w:tc>
        <w:tc>
          <w:tcPr>
            <w:tcW w:w="1419" w:type="dxa"/>
            <w:vAlign w:val="center"/>
          </w:tcPr>
          <w:p w14:paraId="5E9A1363" w14:textId="77777777" w:rsidR="0076181B" w:rsidRPr="00D1336D" w:rsidRDefault="0076181B">
            <w:pPr>
              <w:rPr>
                <w:rFonts w:cs="Calibri"/>
                <w:sz w:val="20"/>
                <w:szCs w:val="20"/>
              </w:rPr>
            </w:pPr>
            <w:r w:rsidRPr="00D1336D">
              <w:rPr>
                <w:rFonts w:cs="Calibri"/>
                <w:sz w:val="20"/>
                <w:szCs w:val="20"/>
              </w:rPr>
              <w:t>56.6%</w:t>
            </w:r>
          </w:p>
        </w:tc>
        <w:tc>
          <w:tcPr>
            <w:tcW w:w="1419" w:type="dxa"/>
            <w:vAlign w:val="center"/>
          </w:tcPr>
          <w:p w14:paraId="57E6A184" w14:textId="77777777" w:rsidR="0076181B" w:rsidRPr="00D1336D" w:rsidRDefault="0076181B">
            <w:pPr>
              <w:rPr>
                <w:rFonts w:cs="Calibri"/>
                <w:sz w:val="20"/>
                <w:szCs w:val="20"/>
              </w:rPr>
            </w:pPr>
            <w:r w:rsidRPr="00D1336D">
              <w:rPr>
                <w:rFonts w:cs="Calibri"/>
                <w:sz w:val="20"/>
                <w:szCs w:val="20"/>
              </w:rPr>
              <w:t>67.7%</w:t>
            </w:r>
          </w:p>
        </w:tc>
      </w:tr>
      <w:tr w:rsidR="009E5B4E" w:rsidRPr="00EF50DC" w14:paraId="0EEF7E31" w14:textId="77777777">
        <w:trPr>
          <w:trHeight w:val="296"/>
        </w:trPr>
        <w:tc>
          <w:tcPr>
            <w:tcW w:w="1439" w:type="dxa"/>
          </w:tcPr>
          <w:p w14:paraId="3A3E30FB" w14:textId="77777777" w:rsidR="0076181B" w:rsidRPr="00D1336D" w:rsidRDefault="0076181B">
            <w:pPr>
              <w:rPr>
                <w:rFonts w:eastAsia="Times New Roman" w:cs="Calibri"/>
                <w:sz w:val="20"/>
                <w:szCs w:val="20"/>
              </w:rPr>
            </w:pPr>
            <w:r w:rsidRPr="00D1336D">
              <w:rPr>
                <w:rFonts w:cs="Calibri"/>
                <w:sz w:val="20"/>
                <w:szCs w:val="20"/>
              </w:rPr>
              <w:t>FUM</w:t>
            </w:r>
          </w:p>
        </w:tc>
        <w:tc>
          <w:tcPr>
            <w:tcW w:w="3004" w:type="dxa"/>
          </w:tcPr>
          <w:p w14:paraId="7EE9EA9E" w14:textId="77777777" w:rsidR="0076181B" w:rsidRPr="00D1336D" w:rsidRDefault="0076181B">
            <w:pPr>
              <w:rPr>
                <w:rFonts w:cs="Calibri"/>
                <w:sz w:val="20"/>
                <w:szCs w:val="20"/>
              </w:rPr>
            </w:pPr>
            <w:r w:rsidRPr="00D1336D">
              <w:rPr>
                <w:rFonts w:cs="Calibri"/>
                <w:sz w:val="20"/>
                <w:szCs w:val="20"/>
              </w:rPr>
              <w:t>Follow-Up After Emergency Department Visit for Mental Illness - 7 day: 65+</w:t>
            </w:r>
          </w:p>
        </w:tc>
        <w:tc>
          <w:tcPr>
            <w:tcW w:w="1182" w:type="dxa"/>
            <w:vAlign w:val="center"/>
          </w:tcPr>
          <w:p w14:paraId="6EDA9CA4" w14:textId="77777777" w:rsidR="0076181B" w:rsidRPr="00D1336D" w:rsidRDefault="0076181B">
            <w:pPr>
              <w:rPr>
                <w:rFonts w:cs="Calibri"/>
                <w:sz w:val="20"/>
                <w:szCs w:val="20"/>
              </w:rPr>
            </w:pPr>
            <w:r w:rsidRPr="00D1336D">
              <w:rPr>
                <w:rFonts w:cs="Calibri"/>
                <w:sz w:val="20"/>
                <w:szCs w:val="20"/>
              </w:rPr>
              <w:t>63.8%</w:t>
            </w:r>
          </w:p>
        </w:tc>
        <w:tc>
          <w:tcPr>
            <w:tcW w:w="1404" w:type="dxa"/>
            <w:vAlign w:val="center"/>
          </w:tcPr>
          <w:p w14:paraId="53B8397C" w14:textId="77777777" w:rsidR="0076181B" w:rsidRPr="00D1336D" w:rsidRDefault="0076181B">
            <w:pPr>
              <w:rPr>
                <w:rFonts w:cs="Calibri"/>
                <w:sz w:val="20"/>
                <w:szCs w:val="20"/>
              </w:rPr>
            </w:pPr>
            <w:r w:rsidRPr="00D1336D">
              <w:rPr>
                <w:rFonts w:cs="Calibri"/>
                <w:sz w:val="20"/>
                <w:szCs w:val="20"/>
              </w:rPr>
              <w:t>45.4%</w:t>
            </w:r>
          </w:p>
        </w:tc>
        <w:tc>
          <w:tcPr>
            <w:tcW w:w="1404" w:type="dxa"/>
            <w:vAlign w:val="center"/>
          </w:tcPr>
          <w:p w14:paraId="5D823844" w14:textId="77777777" w:rsidR="0076181B" w:rsidRPr="00D1336D" w:rsidRDefault="0076181B">
            <w:pPr>
              <w:rPr>
                <w:rFonts w:cs="Calibri"/>
                <w:sz w:val="20"/>
                <w:szCs w:val="20"/>
              </w:rPr>
            </w:pPr>
            <w:r w:rsidRPr="00D1336D">
              <w:rPr>
                <w:rFonts w:cs="Calibri"/>
                <w:sz w:val="20"/>
                <w:szCs w:val="20"/>
              </w:rPr>
              <w:t>63.6%</w:t>
            </w:r>
          </w:p>
        </w:tc>
        <w:tc>
          <w:tcPr>
            <w:tcW w:w="1419" w:type="dxa"/>
            <w:vAlign w:val="center"/>
          </w:tcPr>
          <w:p w14:paraId="67B569F5" w14:textId="77777777" w:rsidR="0076181B" w:rsidRPr="00D1336D" w:rsidRDefault="0076181B">
            <w:pPr>
              <w:rPr>
                <w:rFonts w:cs="Calibri"/>
                <w:sz w:val="20"/>
                <w:szCs w:val="20"/>
              </w:rPr>
            </w:pPr>
            <w:r w:rsidRPr="00D1336D">
              <w:rPr>
                <w:rFonts w:cs="Calibri"/>
                <w:sz w:val="20"/>
                <w:szCs w:val="20"/>
              </w:rPr>
              <w:t>37.0%</w:t>
            </w:r>
          </w:p>
        </w:tc>
        <w:tc>
          <w:tcPr>
            <w:tcW w:w="1419" w:type="dxa"/>
            <w:vAlign w:val="center"/>
          </w:tcPr>
          <w:p w14:paraId="35AED35E" w14:textId="77777777" w:rsidR="0076181B" w:rsidRPr="00D1336D" w:rsidRDefault="0076181B">
            <w:pPr>
              <w:rPr>
                <w:rFonts w:cs="Calibri"/>
                <w:sz w:val="20"/>
                <w:szCs w:val="20"/>
              </w:rPr>
            </w:pPr>
            <w:r w:rsidRPr="00D1336D">
              <w:rPr>
                <w:rFonts w:cs="Calibri"/>
                <w:sz w:val="20"/>
                <w:szCs w:val="20"/>
              </w:rPr>
              <w:t>47.6%</w:t>
            </w:r>
          </w:p>
        </w:tc>
      </w:tr>
      <w:tr w:rsidR="009E5B4E" w:rsidRPr="00EF50DC" w14:paraId="2196E9D4" w14:textId="77777777">
        <w:trPr>
          <w:trHeight w:val="296"/>
        </w:trPr>
        <w:tc>
          <w:tcPr>
            <w:tcW w:w="1439" w:type="dxa"/>
          </w:tcPr>
          <w:p w14:paraId="14C8C464" w14:textId="77777777" w:rsidR="0076181B" w:rsidRPr="00D1336D" w:rsidRDefault="0076181B">
            <w:pPr>
              <w:rPr>
                <w:rFonts w:eastAsia="Times New Roman" w:cs="Calibri"/>
                <w:sz w:val="20"/>
                <w:szCs w:val="20"/>
              </w:rPr>
            </w:pPr>
            <w:r w:rsidRPr="00D1336D">
              <w:rPr>
                <w:rFonts w:cs="Calibri"/>
                <w:sz w:val="20"/>
                <w:szCs w:val="20"/>
              </w:rPr>
              <w:t>FUM</w:t>
            </w:r>
          </w:p>
        </w:tc>
        <w:tc>
          <w:tcPr>
            <w:tcW w:w="3004" w:type="dxa"/>
          </w:tcPr>
          <w:p w14:paraId="7522F8B5" w14:textId="77777777" w:rsidR="0076181B" w:rsidRPr="00D1336D" w:rsidRDefault="0076181B">
            <w:pPr>
              <w:rPr>
                <w:rFonts w:cs="Calibri"/>
                <w:sz w:val="20"/>
                <w:szCs w:val="20"/>
              </w:rPr>
            </w:pPr>
            <w:r w:rsidRPr="00D1336D">
              <w:rPr>
                <w:rFonts w:cs="Calibri"/>
                <w:sz w:val="20"/>
                <w:szCs w:val="20"/>
              </w:rPr>
              <w:t>Follow-Up After Emergency Department Visit for Mental Illness - 30 day: 65+</w:t>
            </w:r>
          </w:p>
        </w:tc>
        <w:tc>
          <w:tcPr>
            <w:tcW w:w="1182" w:type="dxa"/>
            <w:vAlign w:val="center"/>
          </w:tcPr>
          <w:p w14:paraId="59AC236D" w14:textId="77777777" w:rsidR="0076181B" w:rsidRPr="00D1336D" w:rsidRDefault="0076181B">
            <w:pPr>
              <w:rPr>
                <w:rFonts w:cs="Calibri"/>
                <w:sz w:val="20"/>
                <w:szCs w:val="20"/>
              </w:rPr>
            </w:pPr>
            <w:r w:rsidRPr="00D1336D">
              <w:rPr>
                <w:rFonts w:cs="Calibri"/>
                <w:sz w:val="20"/>
                <w:szCs w:val="20"/>
              </w:rPr>
              <w:t>72.4%</w:t>
            </w:r>
          </w:p>
        </w:tc>
        <w:tc>
          <w:tcPr>
            <w:tcW w:w="1404" w:type="dxa"/>
            <w:vAlign w:val="center"/>
          </w:tcPr>
          <w:p w14:paraId="3BD7E730" w14:textId="77777777" w:rsidR="0076181B" w:rsidRPr="00D1336D" w:rsidRDefault="0076181B">
            <w:pPr>
              <w:rPr>
                <w:rFonts w:cs="Calibri"/>
                <w:sz w:val="20"/>
                <w:szCs w:val="20"/>
              </w:rPr>
            </w:pPr>
            <w:r w:rsidRPr="00D1336D">
              <w:rPr>
                <w:rFonts w:cs="Calibri"/>
                <w:sz w:val="20"/>
                <w:szCs w:val="20"/>
              </w:rPr>
              <w:t>58.9%</w:t>
            </w:r>
          </w:p>
        </w:tc>
        <w:tc>
          <w:tcPr>
            <w:tcW w:w="1404" w:type="dxa"/>
            <w:vAlign w:val="center"/>
          </w:tcPr>
          <w:p w14:paraId="64CCE710" w14:textId="77777777" w:rsidR="0076181B" w:rsidRPr="00D1336D" w:rsidRDefault="0076181B">
            <w:pPr>
              <w:rPr>
                <w:rFonts w:cs="Calibri"/>
                <w:sz w:val="20"/>
                <w:szCs w:val="20"/>
              </w:rPr>
            </w:pPr>
            <w:r w:rsidRPr="00D1336D">
              <w:rPr>
                <w:rFonts w:cs="Calibri"/>
                <w:sz w:val="20"/>
                <w:szCs w:val="20"/>
              </w:rPr>
              <w:t>72.7%</w:t>
            </w:r>
          </w:p>
        </w:tc>
        <w:tc>
          <w:tcPr>
            <w:tcW w:w="1419" w:type="dxa"/>
            <w:vAlign w:val="center"/>
          </w:tcPr>
          <w:p w14:paraId="23C94DB8" w14:textId="77777777" w:rsidR="0076181B" w:rsidRPr="00D1336D" w:rsidRDefault="0076181B">
            <w:pPr>
              <w:rPr>
                <w:rFonts w:cs="Calibri"/>
                <w:sz w:val="20"/>
                <w:szCs w:val="20"/>
              </w:rPr>
            </w:pPr>
            <w:r w:rsidRPr="00D1336D">
              <w:rPr>
                <w:rFonts w:cs="Calibri"/>
                <w:sz w:val="20"/>
                <w:szCs w:val="20"/>
              </w:rPr>
              <w:t>51.6%</w:t>
            </w:r>
          </w:p>
        </w:tc>
        <w:tc>
          <w:tcPr>
            <w:tcW w:w="1419" w:type="dxa"/>
            <w:vAlign w:val="center"/>
          </w:tcPr>
          <w:p w14:paraId="7CB75DD0" w14:textId="77777777" w:rsidR="0076181B" w:rsidRPr="00D1336D" w:rsidRDefault="0076181B">
            <w:pPr>
              <w:rPr>
                <w:rFonts w:cs="Calibri"/>
                <w:sz w:val="20"/>
                <w:szCs w:val="20"/>
              </w:rPr>
            </w:pPr>
            <w:r w:rsidRPr="00D1336D">
              <w:rPr>
                <w:rFonts w:cs="Calibri"/>
                <w:sz w:val="20"/>
                <w:szCs w:val="20"/>
              </w:rPr>
              <w:t>61.1%</w:t>
            </w:r>
          </w:p>
        </w:tc>
      </w:tr>
      <w:tr w:rsidR="009E5B4E" w:rsidRPr="00EF50DC" w14:paraId="26B8B222" w14:textId="77777777">
        <w:trPr>
          <w:trHeight w:val="296"/>
        </w:trPr>
        <w:tc>
          <w:tcPr>
            <w:tcW w:w="1439" w:type="dxa"/>
          </w:tcPr>
          <w:p w14:paraId="359527D5" w14:textId="77777777" w:rsidR="0076181B" w:rsidRPr="00D1336D" w:rsidRDefault="0076181B">
            <w:pPr>
              <w:rPr>
                <w:rFonts w:eastAsia="Times New Roman" w:cs="Calibri"/>
                <w:sz w:val="20"/>
                <w:szCs w:val="20"/>
              </w:rPr>
            </w:pPr>
            <w:r w:rsidRPr="00D1336D">
              <w:rPr>
                <w:rFonts w:eastAsia="Times New Roman" w:cs="Calibri"/>
                <w:sz w:val="20"/>
                <w:szCs w:val="20"/>
              </w:rPr>
              <w:t>HBD</w:t>
            </w:r>
          </w:p>
        </w:tc>
        <w:tc>
          <w:tcPr>
            <w:tcW w:w="3004" w:type="dxa"/>
          </w:tcPr>
          <w:p w14:paraId="3625EA99" w14:textId="77777777" w:rsidR="0076181B" w:rsidRPr="00D1336D" w:rsidRDefault="0076181B">
            <w:pPr>
              <w:rPr>
                <w:rFonts w:cs="Calibri"/>
                <w:sz w:val="20"/>
                <w:szCs w:val="20"/>
              </w:rPr>
            </w:pPr>
            <w:r w:rsidRPr="00D1336D">
              <w:rPr>
                <w:rFonts w:cs="Calibri"/>
                <w:sz w:val="20"/>
                <w:szCs w:val="20"/>
              </w:rPr>
              <w:t>HgbA1c Control for Patients with Diabetes- Poor Control: 65+</w:t>
            </w:r>
          </w:p>
        </w:tc>
        <w:tc>
          <w:tcPr>
            <w:tcW w:w="1182" w:type="dxa"/>
          </w:tcPr>
          <w:p w14:paraId="67A5CFB7" w14:textId="77777777" w:rsidR="0076181B" w:rsidRPr="00D1336D" w:rsidRDefault="0076181B">
            <w:pPr>
              <w:rPr>
                <w:rFonts w:cs="Calibri"/>
                <w:sz w:val="20"/>
                <w:szCs w:val="20"/>
              </w:rPr>
            </w:pPr>
            <w:r w:rsidRPr="00D1336D">
              <w:rPr>
                <w:rFonts w:cs="Calibri"/>
                <w:sz w:val="20"/>
                <w:szCs w:val="20"/>
              </w:rPr>
              <w:t>28.9%</w:t>
            </w:r>
          </w:p>
        </w:tc>
        <w:tc>
          <w:tcPr>
            <w:tcW w:w="1404" w:type="dxa"/>
          </w:tcPr>
          <w:p w14:paraId="5F1E7B0B" w14:textId="77777777" w:rsidR="0076181B" w:rsidRPr="00D1336D" w:rsidRDefault="0076181B">
            <w:pPr>
              <w:rPr>
                <w:rFonts w:cs="Calibri"/>
                <w:sz w:val="20"/>
                <w:szCs w:val="20"/>
              </w:rPr>
            </w:pPr>
            <w:r w:rsidRPr="00D1336D">
              <w:rPr>
                <w:rFonts w:cs="Calibri"/>
                <w:sz w:val="20"/>
                <w:szCs w:val="20"/>
              </w:rPr>
              <w:t>NR</w:t>
            </w:r>
          </w:p>
        </w:tc>
        <w:tc>
          <w:tcPr>
            <w:tcW w:w="1404" w:type="dxa"/>
            <w:vAlign w:val="center"/>
          </w:tcPr>
          <w:p w14:paraId="2F632D7D" w14:textId="77777777" w:rsidR="0076181B" w:rsidRPr="00D1336D" w:rsidRDefault="0076181B">
            <w:pPr>
              <w:rPr>
                <w:rFonts w:cs="Calibri"/>
                <w:sz w:val="20"/>
                <w:szCs w:val="20"/>
              </w:rPr>
            </w:pPr>
            <w:r w:rsidRPr="00D1336D">
              <w:rPr>
                <w:rFonts w:cs="Calibri"/>
                <w:sz w:val="20"/>
                <w:szCs w:val="20"/>
              </w:rPr>
              <w:t>22.5%</w:t>
            </w:r>
          </w:p>
        </w:tc>
        <w:tc>
          <w:tcPr>
            <w:tcW w:w="1419" w:type="dxa"/>
            <w:vAlign w:val="center"/>
          </w:tcPr>
          <w:p w14:paraId="0AD4DBBF" w14:textId="77777777" w:rsidR="0076181B" w:rsidRPr="00D1336D" w:rsidRDefault="0076181B">
            <w:pPr>
              <w:rPr>
                <w:rFonts w:cs="Calibri"/>
                <w:sz w:val="20"/>
                <w:szCs w:val="20"/>
              </w:rPr>
            </w:pPr>
            <w:r w:rsidRPr="00D1336D">
              <w:rPr>
                <w:rFonts w:cs="Calibri"/>
                <w:sz w:val="20"/>
                <w:szCs w:val="20"/>
              </w:rPr>
              <w:t>13.6%</w:t>
            </w:r>
          </w:p>
        </w:tc>
        <w:tc>
          <w:tcPr>
            <w:tcW w:w="1419" w:type="dxa"/>
            <w:vAlign w:val="center"/>
          </w:tcPr>
          <w:p w14:paraId="22FEDEDE" w14:textId="77777777" w:rsidR="0076181B" w:rsidRPr="00D1336D" w:rsidRDefault="0076181B">
            <w:pPr>
              <w:rPr>
                <w:rFonts w:cs="Calibri"/>
                <w:sz w:val="20"/>
                <w:szCs w:val="20"/>
              </w:rPr>
            </w:pPr>
            <w:r w:rsidRPr="00D1336D">
              <w:rPr>
                <w:rFonts w:cs="Calibri"/>
                <w:sz w:val="20"/>
                <w:szCs w:val="20"/>
              </w:rPr>
              <w:t>10.5%</w:t>
            </w:r>
          </w:p>
        </w:tc>
      </w:tr>
      <w:tr w:rsidR="009E5B4E" w:rsidRPr="00EF50DC" w14:paraId="4F94E2A5" w14:textId="77777777">
        <w:trPr>
          <w:trHeight w:val="296"/>
        </w:trPr>
        <w:tc>
          <w:tcPr>
            <w:tcW w:w="1439" w:type="dxa"/>
          </w:tcPr>
          <w:p w14:paraId="169680C5" w14:textId="77777777" w:rsidR="0076181B" w:rsidRPr="00D1336D" w:rsidRDefault="0076181B">
            <w:pPr>
              <w:rPr>
                <w:rFonts w:eastAsia="Times New Roman" w:cs="Calibri"/>
                <w:sz w:val="20"/>
                <w:szCs w:val="20"/>
              </w:rPr>
            </w:pPr>
            <w:r w:rsidRPr="00D1336D">
              <w:rPr>
                <w:rFonts w:cs="Calibri"/>
                <w:sz w:val="20"/>
                <w:szCs w:val="20"/>
              </w:rPr>
              <w:t>IET</w:t>
            </w:r>
          </w:p>
        </w:tc>
        <w:tc>
          <w:tcPr>
            <w:tcW w:w="3004" w:type="dxa"/>
          </w:tcPr>
          <w:p w14:paraId="26D6C4CF" w14:textId="77777777" w:rsidR="0076181B" w:rsidRPr="00D1336D" w:rsidRDefault="0076181B">
            <w:pPr>
              <w:rPr>
                <w:rFonts w:cs="Calibri"/>
                <w:sz w:val="20"/>
                <w:szCs w:val="20"/>
              </w:rPr>
            </w:pPr>
            <w:r w:rsidRPr="00D1336D">
              <w:rPr>
                <w:rFonts w:cs="Calibri"/>
                <w:sz w:val="20"/>
                <w:szCs w:val="20"/>
              </w:rPr>
              <w:t>Initiation and Engagement of Alcohol, Opioid, or Other Drug Abuse or Dependence Treatment -Initiation:  65+</w:t>
            </w:r>
          </w:p>
        </w:tc>
        <w:tc>
          <w:tcPr>
            <w:tcW w:w="1182" w:type="dxa"/>
            <w:vAlign w:val="center"/>
          </w:tcPr>
          <w:p w14:paraId="1848F85E" w14:textId="77777777" w:rsidR="0076181B" w:rsidRPr="00D1336D" w:rsidRDefault="0076181B">
            <w:pPr>
              <w:rPr>
                <w:rFonts w:cs="Calibri"/>
                <w:sz w:val="20"/>
                <w:szCs w:val="20"/>
              </w:rPr>
            </w:pPr>
            <w:r w:rsidRPr="00D1336D">
              <w:rPr>
                <w:rFonts w:cs="Calibri"/>
                <w:sz w:val="20"/>
                <w:szCs w:val="20"/>
              </w:rPr>
              <w:t>38.9%</w:t>
            </w:r>
          </w:p>
        </w:tc>
        <w:tc>
          <w:tcPr>
            <w:tcW w:w="1404" w:type="dxa"/>
            <w:vAlign w:val="center"/>
          </w:tcPr>
          <w:p w14:paraId="426CE658" w14:textId="77777777" w:rsidR="0076181B" w:rsidRPr="00D1336D" w:rsidRDefault="0076181B">
            <w:pPr>
              <w:rPr>
                <w:rFonts w:cs="Calibri"/>
                <w:sz w:val="20"/>
                <w:szCs w:val="20"/>
              </w:rPr>
            </w:pPr>
            <w:r w:rsidRPr="00D1336D">
              <w:rPr>
                <w:rFonts w:cs="Calibri"/>
                <w:sz w:val="20"/>
                <w:szCs w:val="20"/>
              </w:rPr>
              <w:t>39.2%</w:t>
            </w:r>
          </w:p>
        </w:tc>
        <w:tc>
          <w:tcPr>
            <w:tcW w:w="1404" w:type="dxa"/>
            <w:vAlign w:val="center"/>
          </w:tcPr>
          <w:p w14:paraId="66CDA0A6" w14:textId="77777777" w:rsidR="0076181B" w:rsidRPr="00D1336D" w:rsidRDefault="0076181B">
            <w:pPr>
              <w:rPr>
                <w:rFonts w:cs="Calibri"/>
                <w:sz w:val="20"/>
                <w:szCs w:val="20"/>
              </w:rPr>
            </w:pPr>
            <w:r w:rsidRPr="00D1336D">
              <w:rPr>
                <w:rFonts w:cs="Calibri"/>
                <w:sz w:val="20"/>
                <w:szCs w:val="20"/>
              </w:rPr>
              <w:t>40.2%</w:t>
            </w:r>
          </w:p>
        </w:tc>
        <w:tc>
          <w:tcPr>
            <w:tcW w:w="1419" w:type="dxa"/>
            <w:vAlign w:val="center"/>
          </w:tcPr>
          <w:p w14:paraId="7998E29B" w14:textId="77777777" w:rsidR="0076181B" w:rsidRPr="00D1336D" w:rsidRDefault="0076181B">
            <w:pPr>
              <w:rPr>
                <w:rFonts w:cs="Calibri"/>
                <w:sz w:val="20"/>
                <w:szCs w:val="20"/>
              </w:rPr>
            </w:pPr>
            <w:r w:rsidRPr="00D1336D">
              <w:rPr>
                <w:rFonts w:cs="Calibri"/>
                <w:sz w:val="20"/>
                <w:szCs w:val="20"/>
              </w:rPr>
              <w:t>42.4%</w:t>
            </w:r>
          </w:p>
        </w:tc>
        <w:tc>
          <w:tcPr>
            <w:tcW w:w="1419" w:type="dxa"/>
            <w:vAlign w:val="center"/>
          </w:tcPr>
          <w:p w14:paraId="793A607F" w14:textId="77777777" w:rsidR="0076181B" w:rsidRPr="00D1336D" w:rsidRDefault="0076181B">
            <w:pPr>
              <w:rPr>
                <w:rFonts w:cs="Calibri"/>
                <w:sz w:val="20"/>
                <w:szCs w:val="20"/>
              </w:rPr>
            </w:pPr>
            <w:r w:rsidRPr="00D1336D">
              <w:rPr>
                <w:rFonts w:cs="Calibri"/>
                <w:sz w:val="20"/>
                <w:szCs w:val="20"/>
              </w:rPr>
              <w:t>50.8%</w:t>
            </w:r>
          </w:p>
        </w:tc>
      </w:tr>
      <w:tr w:rsidR="009E5B4E" w:rsidRPr="00EF50DC" w14:paraId="6BBE0930" w14:textId="77777777">
        <w:trPr>
          <w:trHeight w:val="296"/>
        </w:trPr>
        <w:tc>
          <w:tcPr>
            <w:tcW w:w="1439" w:type="dxa"/>
          </w:tcPr>
          <w:p w14:paraId="1DC7AD2F" w14:textId="77777777" w:rsidR="0076181B" w:rsidRPr="00D1336D" w:rsidRDefault="0076181B">
            <w:pPr>
              <w:rPr>
                <w:rFonts w:cs="Calibri"/>
                <w:sz w:val="20"/>
                <w:szCs w:val="20"/>
              </w:rPr>
            </w:pPr>
            <w:r w:rsidRPr="00D1336D">
              <w:rPr>
                <w:rFonts w:cs="Calibri"/>
                <w:sz w:val="20"/>
                <w:szCs w:val="20"/>
              </w:rPr>
              <w:t>IET</w:t>
            </w:r>
          </w:p>
        </w:tc>
        <w:tc>
          <w:tcPr>
            <w:tcW w:w="3004" w:type="dxa"/>
          </w:tcPr>
          <w:p w14:paraId="104BA45E" w14:textId="77777777" w:rsidR="0076181B" w:rsidRPr="00D1336D" w:rsidRDefault="0076181B">
            <w:pPr>
              <w:rPr>
                <w:rFonts w:cs="Calibri"/>
                <w:sz w:val="20"/>
                <w:szCs w:val="20"/>
              </w:rPr>
            </w:pPr>
            <w:r w:rsidRPr="00D1336D">
              <w:rPr>
                <w:rFonts w:cs="Calibri"/>
                <w:sz w:val="20"/>
                <w:szCs w:val="20"/>
              </w:rPr>
              <w:t>Initiation and Engagement of Alcohol, Opioid, or Other Drug Abuse or Dependence Treatment (Engagement): 65+</w:t>
            </w:r>
          </w:p>
        </w:tc>
        <w:tc>
          <w:tcPr>
            <w:tcW w:w="1182" w:type="dxa"/>
            <w:vAlign w:val="center"/>
          </w:tcPr>
          <w:p w14:paraId="40ED57C8" w14:textId="77777777" w:rsidR="0076181B" w:rsidRPr="00D1336D" w:rsidRDefault="0076181B">
            <w:pPr>
              <w:rPr>
                <w:rFonts w:cs="Calibri"/>
                <w:sz w:val="20"/>
                <w:szCs w:val="20"/>
              </w:rPr>
            </w:pPr>
            <w:r w:rsidRPr="00D1336D">
              <w:rPr>
                <w:rFonts w:cs="Calibri"/>
                <w:sz w:val="20"/>
                <w:szCs w:val="20"/>
              </w:rPr>
              <w:t>6.7%</w:t>
            </w:r>
          </w:p>
        </w:tc>
        <w:tc>
          <w:tcPr>
            <w:tcW w:w="1404" w:type="dxa"/>
            <w:vAlign w:val="center"/>
          </w:tcPr>
          <w:p w14:paraId="6C4D5EE2" w14:textId="77777777" w:rsidR="0076181B" w:rsidRPr="00D1336D" w:rsidRDefault="0076181B">
            <w:pPr>
              <w:rPr>
                <w:rFonts w:cs="Calibri"/>
                <w:sz w:val="20"/>
                <w:szCs w:val="20"/>
              </w:rPr>
            </w:pPr>
            <w:r w:rsidRPr="00D1336D">
              <w:rPr>
                <w:rFonts w:cs="Calibri"/>
                <w:sz w:val="20"/>
                <w:szCs w:val="20"/>
              </w:rPr>
              <w:t>5.3%</w:t>
            </w:r>
          </w:p>
        </w:tc>
        <w:tc>
          <w:tcPr>
            <w:tcW w:w="1404" w:type="dxa"/>
            <w:vAlign w:val="center"/>
          </w:tcPr>
          <w:p w14:paraId="6F3DEC06" w14:textId="77777777" w:rsidR="0076181B" w:rsidRPr="00D1336D" w:rsidRDefault="0076181B">
            <w:pPr>
              <w:rPr>
                <w:rFonts w:cs="Calibri"/>
                <w:sz w:val="20"/>
                <w:szCs w:val="20"/>
              </w:rPr>
            </w:pPr>
            <w:r w:rsidRPr="00D1336D">
              <w:rPr>
                <w:rFonts w:cs="Calibri"/>
                <w:sz w:val="20"/>
                <w:szCs w:val="20"/>
              </w:rPr>
              <w:t>5.8%</w:t>
            </w:r>
          </w:p>
        </w:tc>
        <w:tc>
          <w:tcPr>
            <w:tcW w:w="1419" w:type="dxa"/>
            <w:vAlign w:val="center"/>
          </w:tcPr>
          <w:p w14:paraId="35949FFC" w14:textId="77777777" w:rsidR="0076181B" w:rsidRPr="00D1336D" w:rsidRDefault="0076181B">
            <w:pPr>
              <w:rPr>
                <w:rFonts w:cs="Calibri"/>
                <w:sz w:val="20"/>
                <w:szCs w:val="20"/>
              </w:rPr>
            </w:pPr>
            <w:r w:rsidRPr="00D1336D">
              <w:rPr>
                <w:rFonts w:cs="Calibri"/>
                <w:sz w:val="20"/>
                <w:szCs w:val="20"/>
              </w:rPr>
              <w:t>5.2%</w:t>
            </w:r>
          </w:p>
        </w:tc>
        <w:tc>
          <w:tcPr>
            <w:tcW w:w="1419" w:type="dxa"/>
            <w:vAlign w:val="center"/>
          </w:tcPr>
          <w:p w14:paraId="21CA5F7D" w14:textId="77777777" w:rsidR="0076181B" w:rsidRPr="00D1336D" w:rsidRDefault="0076181B">
            <w:pPr>
              <w:rPr>
                <w:rFonts w:cs="Calibri"/>
                <w:sz w:val="20"/>
                <w:szCs w:val="20"/>
              </w:rPr>
            </w:pPr>
            <w:r w:rsidRPr="00D1336D">
              <w:rPr>
                <w:rFonts w:cs="Calibri"/>
                <w:sz w:val="20"/>
                <w:szCs w:val="20"/>
              </w:rPr>
              <w:t>7.6%</w:t>
            </w:r>
          </w:p>
        </w:tc>
      </w:tr>
      <w:tr w:rsidR="009E5B4E" w:rsidRPr="00EF50DC" w14:paraId="541F0443" w14:textId="77777777">
        <w:trPr>
          <w:trHeight w:val="296"/>
        </w:trPr>
        <w:tc>
          <w:tcPr>
            <w:tcW w:w="1439" w:type="dxa"/>
          </w:tcPr>
          <w:p w14:paraId="74735AEA" w14:textId="77777777" w:rsidR="0076181B" w:rsidRPr="00D1336D" w:rsidRDefault="0076181B">
            <w:pPr>
              <w:rPr>
                <w:rFonts w:cs="Calibri"/>
                <w:sz w:val="20"/>
                <w:szCs w:val="20"/>
              </w:rPr>
            </w:pPr>
            <w:r w:rsidRPr="00D1336D">
              <w:rPr>
                <w:rFonts w:eastAsia="Times New Roman" w:cs="Calibri"/>
                <w:sz w:val="20"/>
                <w:szCs w:val="20"/>
              </w:rPr>
              <w:t>PQI01</w:t>
            </w:r>
          </w:p>
        </w:tc>
        <w:tc>
          <w:tcPr>
            <w:tcW w:w="3004" w:type="dxa"/>
          </w:tcPr>
          <w:p w14:paraId="0873B32E" w14:textId="77777777" w:rsidR="0076181B" w:rsidRPr="00D1336D" w:rsidRDefault="0076181B">
            <w:pPr>
              <w:rPr>
                <w:rFonts w:cs="Calibri"/>
                <w:sz w:val="20"/>
                <w:szCs w:val="20"/>
              </w:rPr>
            </w:pPr>
            <w:r w:rsidRPr="00D1336D">
              <w:rPr>
                <w:rFonts w:cs="Calibri"/>
                <w:sz w:val="20"/>
                <w:szCs w:val="20"/>
              </w:rPr>
              <w:t>Diabetes Short-Term Complications Admission Rate (per 100000 member months): 65+</w:t>
            </w:r>
          </w:p>
        </w:tc>
        <w:tc>
          <w:tcPr>
            <w:tcW w:w="1182" w:type="dxa"/>
            <w:vAlign w:val="center"/>
          </w:tcPr>
          <w:p w14:paraId="59AD9C0A" w14:textId="77777777" w:rsidR="0076181B" w:rsidRPr="00D1336D" w:rsidRDefault="0076181B">
            <w:pPr>
              <w:rPr>
                <w:rFonts w:cs="Calibri"/>
                <w:sz w:val="20"/>
                <w:szCs w:val="20"/>
              </w:rPr>
            </w:pPr>
            <w:r w:rsidRPr="00D1336D">
              <w:rPr>
                <w:rFonts w:eastAsia="Times New Roman" w:cs="Calibri"/>
                <w:sz w:val="20"/>
                <w:szCs w:val="20"/>
              </w:rPr>
              <w:t>NR</w:t>
            </w:r>
          </w:p>
        </w:tc>
        <w:tc>
          <w:tcPr>
            <w:tcW w:w="1404" w:type="dxa"/>
            <w:vAlign w:val="center"/>
          </w:tcPr>
          <w:p w14:paraId="74480B8A" w14:textId="77777777" w:rsidR="0076181B" w:rsidRPr="00D1336D" w:rsidRDefault="0076181B">
            <w:pPr>
              <w:rPr>
                <w:rFonts w:cs="Calibri"/>
                <w:sz w:val="20"/>
                <w:szCs w:val="20"/>
              </w:rPr>
            </w:pPr>
            <w:r w:rsidRPr="00D1336D">
              <w:rPr>
                <w:rFonts w:eastAsia="Times New Roman" w:cs="Calibri"/>
                <w:sz w:val="20"/>
                <w:szCs w:val="20"/>
              </w:rPr>
              <w:t>NR</w:t>
            </w:r>
          </w:p>
        </w:tc>
        <w:tc>
          <w:tcPr>
            <w:tcW w:w="1404" w:type="dxa"/>
            <w:vAlign w:val="center"/>
          </w:tcPr>
          <w:p w14:paraId="0AEF9A28" w14:textId="77777777" w:rsidR="0076181B" w:rsidRPr="00D1336D" w:rsidRDefault="0076181B">
            <w:pPr>
              <w:rPr>
                <w:rFonts w:cs="Calibri"/>
                <w:sz w:val="20"/>
                <w:szCs w:val="20"/>
              </w:rPr>
            </w:pPr>
            <w:r w:rsidRPr="00D1336D">
              <w:rPr>
                <w:rFonts w:eastAsia="Times New Roman" w:cs="Calibri"/>
                <w:sz w:val="20"/>
                <w:szCs w:val="20"/>
              </w:rPr>
              <w:t>8.2</w:t>
            </w:r>
          </w:p>
        </w:tc>
        <w:tc>
          <w:tcPr>
            <w:tcW w:w="1419" w:type="dxa"/>
            <w:vAlign w:val="center"/>
          </w:tcPr>
          <w:p w14:paraId="24F9AF19" w14:textId="77777777" w:rsidR="0076181B" w:rsidRPr="00D1336D" w:rsidRDefault="0076181B">
            <w:pPr>
              <w:rPr>
                <w:rFonts w:cs="Calibri"/>
                <w:sz w:val="20"/>
                <w:szCs w:val="20"/>
              </w:rPr>
            </w:pPr>
            <w:r w:rsidRPr="00D1336D">
              <w:rPr>
                <w:rFonts w:eastAsia="Times New Roman" w:cs="Calibri"/>
                <w:sz w:val="20"/>
                <w:szCs w:val="20"/>
              </w:rPr>
              <w:t>NA</w:t>
            </w:r>
          </w:p>
        </w:tc>
        <w:tc>
          <w:tcPr>
            <w:tcW w:w="1419" w:type="dxa"/>
            <w:vAlign w:val="center"/>
          </w:tcPr>
          <w:p w14:paraId="19BF1F43" w14:textId="77777777" w:rsidR="0076181B" w:rsidRPr="00D1336D" w:rsidRDefault="0076181B">
            <w:pPr>
              <w:rPr>
                <w:rFonts w:cs="Calibri"/>
                <w:sz w:val="20"/>
                <w:szCs w:val="20"/>
              </w:rPr>
            </w:pPr>
            <w:r w:rsidRPr="00D1336D">
              <w:rPr>
                <w:rFonts w:eastAsia="Times New Roman" w:cs="Calibri"/>
                <w:sz w:val="20"/>
                <w:szCs w:val="20"/>
              </w:rPr>
              <w:t>NA</w:t>
            </w:r>
          </w:p>
        </w:tc>
      </w:tr>
      <w:tr w:rsidR="009E5B4E" w:rsidRPr="00EF50DC" w14:paraId="7694EA90" w14:textId="77777777">
        <w:trPr>
          <w:trHeight w:val="296"/>
        </w:trPr>
        <w:tc>
          <w:tcPr>
            <w:tcW w:w="1439" w:type="dxa"/>
          </w:tcPr>
          <w:p w14:paraId="44F35DA6" w14:textId="77777777" w:rsidR="0076181B" w:rsidRPr="00D1336D" w:rsidRDefault="0076181B">
            <w:pPr>
              <w:rPr>
                <w:rFonts w:cs="Calibri"/>
                <w:sz w:val="20"/>
                <w:szCs w:val="20"/>
              </w:rPr>
            </w:pPr>
            <w:r w:rsidRPr="00D1336D">
              <w:rPr>
                <w:rFonts w:eastAsia="Times New Roman" w:cs="Calibri"/>
                <w:sz w:val="20"/>
                <w:szCs w:val="20"/>
              </w:rPr>
              <w:t>PQI05</w:t>
            </w:r>
          </w:p>
        </w:tc>
        <w:tc>
          <w:tcPr>
            <w:tcW w:w="3004" w:type="dxa"/>
          </w:tcPr>
          <w:p w14:paraId="475C84F1" w14:textId="77777777" w:rsidR="0076181B" w:rsidRPr="00D1336D" w:rsidRDefault="0076181B">
            <w:pPr>
              <w:rPr>
                <w:rFonts w:cs="Calibri"/>
                <w:sz w:val="20"/>
                <w:szCs w:val="20"/>
              </w:rPr>
            </w:pPr>
            <w:r w:rsidRPr="00D1336D">
              <w:rPr>
                <w:rFonts w:cs="Calibri"/>
                <w:sz w:val="20"/>
                <w:szCs w:val="20"/>
              </w:rPr>
              <w:t>Chronic Obstructive Pulmonary Disease (COPD) or Asthma in Older Adults Admission Rate (per 100,000 member months): 65+</w:t>
            </w:r>
          </w:p>
        </w:tc>
        <w:tc>
          <w:tcPr>
            <w:tcW w:w="1182" w:type="dxa"/>
            <w:vAlign w:val="center"/>
          </w:tcPr>
          <w:p w14:paraId="4364F102" w14:textId="77777777" w:rsidR="0076181B" w:rsidRPr="00D1336D" w:rsidRDefault="0076181B">
            <w:pPr>
              <w:rPr>
                <w:rFonts w:cs="Calibri"/>
                <w:sz w:val="20"/>
                <w:szCs w:val="20"/>
              </w:rPr>
            </w:pPr>
            <w:r w:rsidRPr="00D1336D">
              <w:rPr>
                <w:rFonts w:eastAsia="Times New Roman" w:cs="Calibri"/>
                <w:sz w:val="20"/>
                <w:szCs w:val="20"/>
              </w:rPr>
              <w:t>NR</w:t>
            </w:r>
          </w:p>
        </w:tc>
        <w:tc>
          <w:tcPr>
            <w:tcW w:w="1404" w:type="dxa"/>
            <w:vAlign w:val="center"/>
          </w:tcPr>
          <w:p w14:paraId="127EC34E" w14:textId="77777777" w:rsidR="0076181B" w:rsidRPr="00D1336D" w:rsidRDefault="0076181B">
            <w:pPr>
              <w:rPr>
                <w:rFonts w:cs="Calibri"/>
                <w:sz w:val="20"/>
                <w:szCs w:val="20"/>
              </w:rPr>
            </w:pPr>
            <w:r w:rsidRPr="00D1336D">
              <w:rPr>
                <w:rFonts w:eastAsia="Times New Roman" w:cs="Calibri"/>
                <w:sz w:val="20"/>
                <w:szCs w:val="20"/>
              </w:rPr>
              <w:t>NR</w:t>
            </w:r>
          </w:p>
        </w:tc>
        <w:tc>
          <w:tcPr>
            <w:tcW w:w="1404" w:type="dxa"/>
            <w:vAlign w:val="center"/>
          </w:tcPr>
          <w:p w14:paraId="24173831" w14:textId="77777777" w:rsidR="0076181B" w:rsidRPr="00D1336D" w:rsidRDefault="0076181B">
            <w:pPr>
              <w:rPr>
                <w:rFonts w:cs="Calibri"/>
                <w:sz w:val="20"/>
                <w:szCs w:val="20"/>
              </w:rPr>
            </w:pPr>
            <w:r w:rsidRPr="00D1336D">
              <w:rPr>
                <w:rFonts w:eastAsia="Times New Roman" w:cs="Calibri"/>
                <w:sz w:val="20"/>
                <w:szCs w:val="20"/>
              </w:rPr>
              <w:t>60.2</w:t>
            </w:r>
          </w:p>
        </w:tc>
        <w:tc>
          <w:tcPr>
            <w:tcW w:w="1419" w:type="dxa"/>
            <w:vAlign w:val="center"/>
          </w:tcPr>
          <w:p w14:paraId="29D373C3" w14:textId="77777777" w:rsidR="0076181B" w:rsidRPr="00D1336D" w:rsidRDefault="0076181B">
            <w:pPr>
              <w:rPr>
                <w:rFonts w:cs="Calibri"/>
                <w:sz w:val="20"/>
                <w:szCs w:val="20"/>
              </w:rPr>
            </w:pPr>
            <w:r w:rsidRPr="00D1336D">
              <w:rPr>
                <w:rFonts w:eastAsia="Times New Roman" w:cs="Calibri"/>
                <w:sz w:val="20"/>
                <w:szCs w:val="20"/>
              </w:rPr>
              <w:t>NA</w:t>
            </w:r>
          </w:p>
        </w:tc>
        <w:tc>
          <w:tcPr>
            <w:tcW w:w="1419" w:type="dxa"/>
            <w:vAlign w:val="center"/>
          </w:tcPr>
          <w:p w14:paraId="300CD004" w14:textId="77777777" w:rsidR="0076181B" w:rsidRPr="00D1336D" w:rsidRDefault="0076181B">
            <w:pPr>
              <w:rPr>
                <w:rFonts w:cs="Calibri"/>
                <w:sz w:val="20"/>
                <w:szCs w:val="20"/>
              </w:rPr>
            </w:pPr>
            <w:r w:rsidRPr="00D1336D">
              <w:rPr>
                <w:rFonts w:eastAsia="Times New Roman" w:cs="Calibri"/>
                <w:sz w:val="20"/>
                <w:szCs w:val="20"/>
              </w:rPr>
              <w:t>NA</w:t>
            </w:r>
          </w:p>
        </w:tc>
      </w:tr>
      <w:tr w:rsidR="009E5B4E" w:rsidRPr="00EF50DC" w14:paraId="0EDBE550" w14:textId="77777777">
        <w:trPr>
          <w:trHeight w:val="296"/>
        </w:trPr>
        <w:tc>
          <w:tcPr>
            <w:tcW w:w="1439" w:type="dxa"/>
          </w:tcPr>
          <w:p w14:paraId="49F79098" w14:textId="77777777" w:rsidR="0076181B" w:rsidRPr="00D1336D" w:rsidRDefault="0076181B">
            <w:pPr>
              <w:rPr>
                <w:rFonts w:cs="Calibri"/>
                <w:sz w:val="20"/>
                <w:szCs w:val="20"/>
              </w:rPr>
            </w:pPr>
            <w:r w:rsidRPr="00D1336D">
              <w:rPr>
                <w:rFonts w:eastAsia="Times New Roman" w:cs="Calibri"/>
                <w:sz w:val="20"/>
                <w:szCs w:val="20"/>
              </w:rPr>
              <w:t>PQI08</w:t>
            </w:r>
          </w:p>
        </w:tc>
        <w:tc>
          <w:tcPr>
            <w:tcW w:w="3004" w:type="dxa"/>
          </w:tcPr>
          <w:p w14:paraId="397301D8" w14:textId="77777777" w:rsidR="0076181B" w:rsidRPr="00D1336D" w:rsidRDefault="0076181B">
            <w:pPr>
              <w:rPr>
                <w:rFonts w:cs="Calibri"/>
                <w:sz w:val="20"/>
                <w:szCs w:val="20"/>
              </w:rPr>
            </w:pPr>
            <w:r w:rsidRPr="00D1336D">
              <w:rPr>
                <w:rFonts w:cs="Calibri"/>
                <w:sz w:val="20"/>
                <w:szCs w:val="20"/>
              </w:rPr>
              <w:t>Heart Failure Admission Rate (per 100,000 member months): 65+</w:t>
            </w:r>
          </w:p>
        </w:tc>
        <w:tc>
          <w:tcPr>
            <w:tcW w:w="1182" w:type="dxa"/>
            <w:vAlign w:val="center"/>
          </w:tcPr>
          <w:p w14:paraId="0C1A8128" w14:textId="77777777" w:rsidR="0076181B" w:rsidRPr="00D1336D" w:rsidRDefault="0076181B">
            <w:pPr>
              <w:rPr>
                <w:rFonts w:cs="Calibri"/>
                <w:sz w:val="20"/>
                <w:szCs w:val="20"/>
              </w:rPr>
            </w:pPr>
            <w:r w:rsidRPr="00D1336D">
              <w:rPr>
                <w:rFonts w:eastAsia="Times New Roman" w:cs="Calibri"/>
                <w:sz w:val="20"/>
                <w:szCs w:val="20"/>
              </w:rPr>
              <w:t>NR</w:t>
            </w:r>
          </w:p>
        </w:tc>
        <w:tc>
          <w:tcPr>
            <w:tcW w:w="1404" w:type="dxa"/>
            <w:vAlign w:val="center"/>
          </w:tcPr>
          <w:p w14:paraId="6FD98C28" w14:textId="77777777" w:rsidR="0076181B" w:rsidRPr="00D1336D" w:rsidRDefault="0076181B">
            <w:pPr>
              <w:rPr>
                <w:rFonts w:cs="Calibri"/>
                <w:sz w:val="20"/>
                <w:szCs w:val="20"/>
              </w:rPr>
            </w:pPr>
            <w:r w:rsidRPr="00D1336D">
              <w:rPr>
                <w:rFonts w:eastAsia="Times New Roman" w:cs="Calibri"/>
                <w:sz w:val="20"/>
                <w:szCs w:val="20"/>
              </w:rPr>
              <w:t>NR</w:t>
            </w:r>
          </w:p>
        </w:tc>
        <w:tc>
          <w:tcPr>
            <w:tcW w:w="1404" w:type="dxa"/>
            <w:vAlign w:val="center"/>
          </w:tcPr>
          <w:p w14:paraId="07E2D651" w14:textId="77777777" w:rsidR="0076181B" w:rsidRPr="00D1336D" w:rsidRDefault="0076181B">
            <w:pPr>
              <w:rPr>
                <w:rFonts w:cs="Calibri"/>
                <w:sz w:val="20"/>
                <w:szCs w:val="20"/>
              </w:rPr>
            </w:pPr>
            <w:r w:rsidRPr="00D1336D">
              <w:rPr>
                <w:rFonts w:eastAsia="Times New Roman" w:cs="Calibri"/>
                <w:sz w:val="20"/>
                <w:szCs w:val="20"/>
              </w:rPr>
              <w:t>139.6</w:t>
            </w:r>
          </w:p>
        </w:tc>
        <w:tc>
          <w:tcPr>
            <w:tcW w:w="1419" w:type="dxa"/>
            <w:vAlign w:val="center"/>
          </w:tcPr>
          <w:p w14:paraId="2444979A" w14:textId="77777777" w:rsidR="0076181B" w:rsidRPr="00D1336D" w:rsidRDefault="0076181B">
            <w:pPr>
              <w:rPr>
                <w:rFonts w:cs="Calibri"/>
                <w:sz w:val="20"/>
                <w:szCs w:val="20"/>
              </w:rPr>
            </w:pPr>
            <w:r w:rsidRPr="00D1336D">
              <w:rPr>
                <w:rFonts w:eastAsia="Times New Roman" w:cs="Calibri"/>
                <w:sz w:val="20"/>
                <w:szCs w:val="20"/>
              </w:rPr>
              <w:t>NA</w:t>
            </w:r>
          </w:p>
        </w:tc>
        <w:tc>
          <w:tcPr>
            <w:tcW w:w="1419" w:type="dxa"/>
            <w:vAlign w:val="center"/>
          </w:tcPr>
          <w:p w14:paraId="7678AEEE" w14:textId="77777777" w:rsidR="0076181B" w:rsidRPr="00D1336D" w:rsidRDefault="0076181B">
            <w:pPr>
              <w:rPr>
                <w:rFonts w:cs="Calibri"/>
                <w:sz w:val="20"/>
                <w:szCs w:val="20"/>
              </w:rPr>
            </w:pPr>
            <w:r w:rsidRPr="00D1336D">
              <w:rPr>
                <w:rFonts w:eastAsia="Times New Roman" w:cs="Calibri"/>
                <w:sz w:val="20"/>
                <w:szCs w:val="20"/>
              </w:rPr>
              <w:t>NA</w:t>
            </w:r>
          </w:p>
        </w:tc>
      </w:tr>
      <w:tr w:rsidR="009E5B4E" w:rsidRPr="00EF50DC" w14:paraId="352CAB19" w14:textId="77777777">
        <w:trPr>
          <w:trHeight w:val="296"/>
        </w:trPr>
        <w:tc>
          <w:tcPr>
            <w:tcW w:w="1439" w:type="dxa"/>
          </w:tcPr>
          <w:p w14:paraId="24F8E37D" w14:textId="77777777" w:rsidR="0076181B" w:rsidRPr="00D1336D" w:rsidRDefault="0076181B">
            <w:pPr>
              <w:rPr>
                <w:rFonts w:cs="Calibri"/>
                <w:sz w:val="20"/>
                <w:szCs w:val="20"/>
              </w:rPr>
            </w:pPr>
            <w:r w:rsidRPr="00D1336D">
              <w:rPr>
                <w:rFonts w:eastAsia="Times New Roman" w:cs="Calibri"/>
                <w:sz w:val="20"/>
                <w:szCs w:val="20"/>
              </w:rPr>
              <w:t xml:space="preserve">CAHPS </w:t>
            </w:r>
          </w:p>
        </w:tc>
        <w:tc>
          <w:tcPr>
            <w:tcW w:w="3004" w:type="dxa"/>
          </w:tcPr>
          <w:p w14:paraId="7B3BF970" w14:textId="77777777" w:rsidR="0076181B" w:rsidRPr="00D1336D" w:rsidRDefault="0076181B">
            <w:pPr>
              <w:rPr>
                <w:rFonts w:cs="Calibri"/>
                <w:sz w:val="20"/>
                <w:szCs w:val="20"/>
              </w:rPr>
            </w:pPr>
            <w:r w:rsidRPr="00D1336D">
              <w:rPr>
                <w:rFonts w:cs="Calibri"/>
                <w:sz w:val="20"/>
                <w:szCs w:val="20"/>
              </w:rPr>
              <w:t>Getting Needed Care</w:t>
            </w:r>
          </w:p>
        </w:tc>
        <w:tc>
          <w:tcPr>
            <w:tcW w:w="1182" w:type="dxa"/>
            <w:vAlign w:val="center"/>
          </w:tcPr>
          <w:p w14:paraId="46DD4562" w14:textId="77777777" w:rsidR="0076181B" w:rsidRPr="00D1336D" w:rsidRDefault="0076181B">
            <w:pPr>
              <w:rPr>
                <w:rFonts w:cs="Calibri"/>
                <w:sz w:val="20"/>
                <w:szCs w:val="20"/>
              </w:rPr>
            </w:pPr>
            <w:r w:rsidRPr="00D1336D">
              <w:rPr>
                <w:rFonts w:eastAsia="Times New Roman" w:cs="Calibri"/>
                <w:sz w:val="20"/>
                <w:szCs w:val="20"/>
              </w:rPr>
              <w:t>85.9%</w:t>
            </w:r>
          </w:p>
        </w:tc>
        <w:tc>
          <w:tcPr>
            <w:tcW w:w="1404" w:type="dxa"/>
            <w:vAlign w:val="center"/>
          </w:tcPr>
          <w:p w14:paraId="31BB98A5" w14:textId="77777777" w:rsidR="0076181B" w:rsidRPr="00D1336D" w:rsidRDefault="0076181B">
            <w:pPr>
              <w:rPr>
                <w:rFonts w:cs="Calibri"/>
                <w:sz w:val="20"/>
                <w:szCs w:val="20"/>
              </w:rPr>
            </w:pPr>
            <w:r w:rsidRPr="00D1336D">
              <w:rPr>
                <w:rFonts w:eastAsia="Times New Roman" w:cs="Calibri"/>
                <w:sz w:val="20"/>
                <w:szCs w:val="20"/>
              </w:rPr>
              <w:t>79.7%</w:t>
            </w:r>
          </w:p>
        </w:tc>
        <w:tc>
          <w:tcPr>
            <w:tcW w:w="1404" w:type="dxa"/>
            <w:vAlign w:val="center"/>
          </w:tcPr>
          <w:p w14:paraId="04DBB5D5" w14:textId="77777777" w:rsidR="0076181B" w:rsidRPr="00D1336D" w:rsidRDefault="0076181B">
            <w:pPr>
              <w:rPr>
                <w:rFonts w:cs="Calibri"/>
                <w:sz w:val="20"/>
                <w:szCs w:val="20"/>
              </w:rPr>
            </w:pPr>
            <w:r w:rsidRPr="00D1336D">
              <w:rPr>
                <w:rFonts w:eastAsia="Times New Roman" w:cs="Calibri"/>
                <w:sz w:val="20"/>
                <w:szCs w:val="20"/>
              </w:rPr>
              <w:t>80.5%</w:t>
            </w:r>
          </w:p>
        </w:tc>
        <w:tc>
          <w:tcPr>
            <w:tcW w:w="1419" w:type="dxa"/>
            <w:vAlign w:val="center"/>
          </w:tcPr>
          <w:p w14:paraId="7BDB4F38" w14:textId="77777777" w:rsidR="0076181B" w:rsidRPr="00D1336D" w:rsidRDefault="0076181B">
            <w:pPr>
              <w:rPr>
                <w:rFonts w:cs="Calibri"/>
                <w:sz w:val="20"/>
                <w:szCs w:val="20"/>
              </w:rPr>
            </w:pPr>
            <w:r w:rsidRPr="00D1336D">
              <w:rPr>
                <w:rFonts w:eastAsia="Times New Roman" w:cs="Calibri"/>
                <w:sz w:val="20"/>
                <w:szCs w:val="20"/>
              </w:rPr>
              <w:t>84.5%</w:t>
            </w:r>
          </w:p>
        </w:tc>
        <w:tc>
          <w:tcPr>
            <w:tcW w:w="1419" w:type="dxa"/>
            <w:vAlign w:val="center"/>
          </w:tcPr>
          <w:p w14:paraId="277B02F1" w14:textId="77777777" w:rsidR="0076181B" w:rsidRPr="00D1336D" w:rsidRDefault="0076181B">
            <w:pPr>
              <w:rPr>
                <w:rFonts w:cs="Calibri"/>
                <w:sz w:val="20"/>
                <w:szCs w:val="20"/>
              </w:rPr>
            </w:pPr>
            <w:r w:rsidRPr="00D1336D">
              <w:rPr>
                <w:rFonts w:eastAsia="Times New Roman" w:cs="Calibri"/>
                <w:sz w:val="20"/>
                <w:szCs w:val="20"/>
              </w:rPr>
              <w:t>86.5%</w:t>
            </w:r>
          </w:p>
        </w:tc>
      </w:tr>
      <w:tr w:rsidR="009E5B4E" w:rsidRPr="00EF50DC" w14:paraId="5E1B4D4C" w14:textId="77777777">
        <w:trPr>
          <w:trHeight w:val="296"/>
        </w:trPr>
        <w:tc>
          <w:tcPr>
            <w:tcW w:w="1439" w:type="dxa"/>
          </w:tcPr>
          <w:p w14:paraId="0DACA5DE" w14:textId="77777777" w:rsidR="0076181B" w:rsidRPr="00D1336D" w:rsidRDefault="0076181B">
            <w:pPr>
              <w:rPr>
                <w:rFonts w:cs="Calibri"/>
                <w:sz w:val="20"/>
                <w:szCs w:val="20"/>
              </w:rPr>
            </w:pPr>
            <w:r w:rsidRPr="00D1336D">
              <w:rPr>
                <w:rFonts w:eastAsia="Times New Roman" w:cs="Calibri"/>
                <w:sz w:val="20"/>
                <w:szCs w:val="20"/>
              </w:rPr>
              <w:t>CAHPS</w:t>
            </w:r>
          </w:p>
        </w:tc>
        <w:tc>
          <w:tcPr>
            <w:tcW w:w="3004" w:type="dxa"/>
          </w:tcPr>
          <w:p w14:paraId="3363E993" w14:textId="77777777" w:rsidR="0076181B" w:rsidRPr="00D1336D" w:rsidRDefault="0076181B">
            <w:pPr>
              <w:rPr>
                <w:rFonts w:cs="Calibri"/>
                <w:sz w:val="20"/>
                <w:szCs w:val="20"/>
              </w:rPr>
            </w:pPr>
            <w:r w:rsidRPr="00D1336D">
              <w:rPr>
                <w:rFonts w:cs="Calibri"/>
                <w:sz w:val="20"/>
                <w:szCs w:val="20"/>
              </w:rPr>
              <w:t>Getting Care Quickly</w:t>
            </w:r>
          </w:p>
        </w:tc>
        <w:tc>
          <w:tcPr>
            <w:tcW w:w="1182" w:type="dxa"/>
            <w:vAlign w:val="center"/>
          </w:tcPr>
          <w:p w14:paraId="1B048186" w14:textId="77777777" w:rsidR="0076181B" w:rsidRPr="00D1336D" w:rsidRDefault="0076181B">
            <w:pPr>
              <w:rPr>
                <w:rFonts w:cs="Calibri"/>
                <w:sz w:val="20"/>
                <w:szCs w:val="20"/>
              </w:rPr>
            </w:pPr>
            <w:r w:rsidRPr="00D1336D">
              <w:rPr>
                <w:rFonts w:eastAsia="Times New Roman" w:cs="Calibri"/>
                <w:sz w:val="20"/>
                <w:szCs w:val="20"/>
              </w:rPr>
              <w:t>83.4%</w:t>
            </w:r>
          </w:p>
        </w:tc>
        <w:tc>
          <w:tcPr>
            <w:tcW w:w="1404" w:type="dxa"/>
            <w:vAlign w:val="center"/>
          </w:tcPr>
          <w:p w14:paraId="16E9B258" w14:textId="77777777" w:rsidR="0076181B" w:rsidRPr="00D1336D" w:rsidRDefault="0076181B">
            <w:pPr>
              <w:rPr>
                <w:rFonts w:cs="Calibri"/>
                <w:sz w:val="20"/>
                <w:szCs w:val="20"/>
              </w:rPr>
            </w:pPr>
            <w:r w:rsidRPr="00D1336D">
              <w:rPr>
                <w:rFonts w:eastAsia="Times New Roman" w:cs="Calibri"/>
                <w:sz w:val="20"/>
                <w:szCs w:val="20"/>
              </w:rPr>
              <w:t>79.1%</w:t>
            </w:r>
          </w:p>
        </w:tc>
        <w:tc>
          <w:tcPr>
            <w:tcW w:w="1404" w:type="dxa"/>
            <w:vAlign w:val="center"/>
          </w:tcPr>
          <w:p w14:paraId="1E6BAA72" w14:textId="77777777" w:rsidR="0076181B" w:rsidRPr="00D1336D" w:rsidRDefault="0076181B">
            <w:pPr>
              <w:rPr>
                <w:rFonts w:cs="Calibri"/>
                <w:sz w:val="20"/>
                <w:szCs w:val="20"/>
              </w:rPr>
            </w:pPr>
            <w:r w:rsidRPr="00D1336D">
              <w:rPr>
                <w:rFonts w:eastAsia="Times New Roman" w:cs="Calibri"/>
                <w:sz w:val="20"/>
                <w:szCs w:val="20"/>
              </w:rPr>
              <w:t>80.0%</w:t>
            </w:r>
          </w:p>
        </w:tc>
        <w:tc>
          <w:tcPr>
            <w:tcW w:w="1419" w:type="dxa"/>
            <w:vAlign w:val="center"/>
          </w:tcPr>
          <w:p w14:paraId="23768E0A" w14:textId="77777777" w:rsidR="0076181B" w:rsidRPr="00D1336D" w:rsidRDefault="0076181B">
            <w:pPr>
              <w:rPr>
                <w:rFonts w:cs="Calibri"/>
                <w:sz w:val="20"/>
                <w:szCs w:val="20"/>
              </w:rPr>
            </w:pPr>
            <w:r w:rsidRPr="00D1336D">
              <w:rPr>
                <w:rFonts w:eastAsia="Times New Roman" w:cs="Calibri"/>
                <w:sz w:val="20"/>
                <w:szCs w:val="20"/>
              </w:rPr>
              <w:t>84.9%</w:t>
            </w:r>
          </w:p>
        </w:tc>
        <w:tc>
          <w:tcPr>
            <w:tcW w:w="1419" w:type="dxa"/>
            <w:vAlign w:val="center"/>
          </w:tcPr>
          <w:p w14:paraId="1633D912" w14:textId="77777777" w:rsidR="0076181B" w:rsidRPr="00D1336D" w:rsidRDefault="0076181B">
            <w:pPr>
              <w:rPr>
                <w:rFonts w:cs="Calibri"/>
                <w:sz w:val="20"/>
                <w:szCs w:val="20"/>
              </w:rPr>
            </w:pPr>
            <w:r w:rsidRPr="00D1336D">
              <w:rPr>
                <w:rFonts w:eastAsia="Times New Roman" w:cs="Calibri"/>
                <w:sz w:val="20"/>
                <w:szCs w:val="20"/>
              </w:rPr>
              <w:t>86.9%</w:t>
            </w:r>
          </w:p>
        </w:tc>
      </w:tr>
      <w:tr w:rsidR="009E5B4E" w:rsidRPr="00EF50DC" w14:paraId="417802B4" w14:textId="77777777">
        <w:trPr>
          <w:trHeight w:val="296"/>
        </w:trPr>
        <w:tc>
          <w:tcPr>
            <w:tcW w:w="1439" w:type="dxa"/>
          </w:tcPr>
          <w:p w14:paraId="58713A91" w14:textId="77777777" w:rsidR="0076181B" w:rsidRPr="00D1336D" w:rsidRDefault="0076181B">
            <w:pPr>
              <w:rPr>
                <w:rFonts w:cs="Calibri"/>
                <w:sz w:val="20"/>
                <w:szCs w:val="20"/>
              </w:rPr>
            </w:pPr>
            <w:r w:rsidRPr="00D1336D">
              <w:rPr>
                <w:rFonts w:eastAsia="Times New Roman" w:cs="Calibri"/>
                <w:sz w:val="20"/>
                <w:szCs w:val="20"/>
              </w:rPr>
              <w:t>CAHPS</w:t>
            </w:r>
          </w:p>
        </w:tc>
        <w:tc>
          <w:tcPr>
            <w:tcW w:w="3004" w:type="dxa"/>
          </w:tcPr>
          <w:p w14:paraId="0AE0C457" w14:textId="77777777" w:rsidR="0076181B" w:rsidRPr="00D1336D" w:rsidRDefault="0076181B">
            <w:pPr>
              <w:rPr>
                <w:rFonts w:cs="Calibri"/>
                <w:sz w:val="20"/>
                <w:szCs w:val="20"/>
              </w:rPr>
            </w:pPr>
            <w:r w:rsidRPr="00D1336D">
              <w:rPr>
                <w:rFonts w:cs="Calibri"/>
                <w:sz w:val="20"/>
                <w:szCs w:val="20"/>
              </w:rPr>
              <w:t>How Well Doctors Communicate</w:t>
            </w:r>
          </w:p>
        </w:tc>
        <w:tc>
          <w:tcPr>
            <w:tcW w:w="1182" w:type="dxa"/>
            <w:vAlign w:val="center"/>
          </w:tcPr>
          <w:p w14:paraId="6BD8F427" w14:textId="77777777" w:rsidR="0076181B" w:rsidRPr="00D1336D" w:rsidRDefault="0076181B">
            <w:pPr>
              <w:rPr>
                <w:rFonts w:cs="Calibri"/>
                <w:sz w:val="20"/>
                <w:szCs w:val="20"/>
              </w:rPr>
            </w:pPr>
            <w:r w:rsidRPr="00D1336D">
              <w:rPr>
                <w:rFonts w:eastAsia="Times New Roman" w:cs="Calibri"/>
                <w:sz w:val="20"/>
                <w:szCs w:val="20"/>
              </w:rPr>
              <w:t>91.5%</w:t>
            </w:r>
          </w:p>
        </w:tc>
        <w:tc>
          <w:tcPr>
            <w:tcW w:w="1404" w:type="dxa"/>
            <w:vAlign w:val="center"/>
          </w:tcPr>
          <w:p w14:paraId="7D1B5EFF" w14:textId="77777777" w:rsidR="0076181B" w:rsidRPr="00D1336D" w:rsidRDefault="0076181B">
            <w:pPr>
              <w:rPr>
                <w:rFonts w:cs="Calibri"/>
                <w:sz w:val="20"/>
                <w:szCs w:val="20"/>
              </w:rPr>
            </w:pPr>
            <w:r w:rsidRPr="00D1336D">
              <w:rPr>
                <w:rFonts w:eastAsia="Times New Roman" w:cs="Calibri"/>
                <w:sz w:val="20"/>
                <w:szCs w:val="20"/>
              </w:rPr>
              <w:t>91.7%</w:t>
            </w:r>
          </w:p>
        </w:tc>
        <w:tc>
          <w:tcPr>
            <w:tcW w:w="1404" w:type="dxa"/>
            <w:vAlign w:val="center"/>
          </w:tcPr>
          <w:p w14:paraId="1E184CF5" w14:textId="77777777" w:rsidR="0076181B" w:rsidRPr="00D1336D" w:rsidRDefault="0076181B">
            <w:pPr>
              <w:rPr>
                <w:rFonts w:cs="Calibri"/>
                <w:sz w:val="20"/>
                <w:szCs w:val="20"/>
              </w:rPr>
            </w:pPr>
            <w:r w:rsidRPr="00D1336D">
              <w:rPr>
                <w:rFonts w:eastAsia="Times New Roman" w:cs="Calibri"/>
                <w:sz w:val="20"/>
                <w:szCs w:val="20"/>
              </w:rPr>
              <w:t>94.0%</w:t>
            </w:r>
          </w:p>
        </w:tc>
        <w:tc>
          <w:tcPr>
            <w:tcW w:w="1419" w:type="dxa"/>
            <w:vAlign w:val="center"/>
          </w:tcPr>
          <w:p w14:paraId="254D1145" w14:textId="77777777" w:rsidR="0076181B" w:rsidRPr="00D1336D" w:rsidRDefault="0076181B">
            <w:pPr>
              <w:rPr>
                <w:rFonts w:cs="Calibri"/>
                <w:sz w:val="20"/>
                <w:szCs w:val="20"/>
              </w:rPr>
            </w:pPr>
            <w:r w:rsidRPr="00D1336D">
              <w:rPr>
                <w:rFonts w:eastAsia="Times New Roman" w:cs="Calibri"/>
                <w:sz w:val="20"/>
                <w:szCs w:val="20"/>
              </w:rPr>
              <w:t>94.0%</w:t>
            </w:r>
          </w:p>
        </w:tc>
        <w:tc>
          <w:tcPr>
            <w:tcW w:w="1419" w:type="dxa"/>
            <w:vAlign w:val="center"/>
          </w:tcPr>
          <w:p w14:paraId="189C5BBC" w14:textId="77777777" w:rsidR="0076181B" w:rsidRPr="00D1336D" w:rsidRDefault="0076181B">
            <w:pPr>
              <w:rPr>
                <w:rFonts w:cs="Calibri"/>
                <w:sz w:val="20"/>
                <w:szCs w:val="20"/>
              </w:rPr>
            </w:pPr>
            <w:r w:rsidRPr="00D1336D">
              <w:rPr>
                <w:rFonts w:eastAsia="Times New Roman" w:cs="Calibri"/>
                <w:sz w:val="20"/>
                <w:szCs w:val="20"/>
              </w:rPr>
              <w:t>95.1%</w:t>
            </w:r>
          </w:p>
        </w:tc>
      </w:tr>
      <w:tr w:rsidR="009E5B4E" w:rsidRPr="00EF50DC" w14:paraId="1CBE3D78" w14:textId="77777777">
        <w:trPr>
          <w:trHeight w:val="296"/>
        </w:trPr>
        <w:tc>
          <w:tcPr>
            <w:tcW w:w="1439" w:type="dxa"/>
          </w:tcPr>
          <w:p w14:paraId="340C9134" w14:textId="77777777" w:rsidR="0076181B" w:rsidRPr="00D1336D" w:rsidRDefault="0076181B">
            <w:pPr>
              <w:rPr>
                <w:rFonts w:cs="Calibri"/>
                <w:sz w:val="20"/>
                <w:szCs w:val="20"/>
              </w:rPr>
            </w:pPr>
            <w:r w:rsidRPr="00D1336D">
              <w:rPr>
                <w:rFonts w:eastAsia="Times New Roman" w:cs="Calibri"/>
                <w:sz w:val="20"/>
                <w:szCs w:val="20"/>
              </w:rPr>
              <w:lastRenderedPageBreak/>
              <w:t>CAHPS</w:t>
            </w:r>
          </w:p>
        </w:tc>
        <w:tc>
          <w:tcPr>
            <w:tcW w:w="3004" w:type="dxa"/>
          </w:tcPr>
          <w:p w14:paraId="612B3B40" w14:textId="77777777" w:rsidR="0076181B" w:rsidRPr="00D1336D" w:rsidRDefault="0076181B">
            <w:pPr>
              <w:rPr>
                <w:rFonts w:cs="Calibri"/>
                <w:sz w:val="20"/>
                <w:szCs w:val="20"/>
              </w:rPr>
            </w:pPr>
            <w:r w:rsidRPr="00D1336D">
              <w:rPr>
                <w:rFonts w:eastAsia="Times New Roman" w:cs="Calibri"/>
                <w:sz w:val="20"/>
                <w:szCs w:val="20"/>
              </w:rPr>
              <w:t>Customer Service</w:t>
            </w:r>
          </w:p>
        </w:tc>
        <w:tc>
          <w:tcPr>
            <w:tcW w:w="1182" w:type="dxa"/>
            <w:vAlign w:val="center"/>
          </w:tcPr>
          <w:p w14:paraId="528CEB67" w14:textId="77777777" w:rsidR="0076181B" w:rsidRPr="00D1336D" w:rsidRDefault="0076181B">
            <w:pPr>
              <w:rPr>
                <w:rFonts w:cs="Calibri"/>
                <w:sz w:val="20"/>
                <w:szCs w:val="20"/>
              </w:rPr>
            </w:pPr>
            <w:r w:rsidRPr="00D1336D">
              <w:rPr>
                <w:rFonts w:eastAsia="Times New Roman" w:cs="Calibri"/>
                <w:sz w:val="20"/>
                <w:szCs w:val="20"/>
              </w:rPr>
              <w:t>89.0%</w:t>
            </w:r>
          </w:p>
        </w:tc>
        <w:tc>
          <w:tcPr>
            <w:tcW w:w="1404" w:type="dxa"/>
            <w:vAlign w:val="center"/>
          </w:tcPr>
          <w:p w14:paraId="032FB081" w14:textId="77777777" w:rsidR="0076181B" w:rsidRPr="00D1336D" w:rsidRDefault="0076181B">
            <w:pPr>
              <w:rPr>
                <w:rFonts w:cs="Calibri"/>
                <w:sz w:val="20"/>
                <w:szCs w:val="20"/>
              </w:rPr>
            </w:pPr>
            <w:r w:rsidRPr="00D1336D">
              <w:rPr>
                <w:rFonts w:eastAsia="Times New Roman" w:cs="Calibri"/>
                <w:sz w:val="20"/>
                <w:szCs w:val="20"/>
              </w:rPr>
              <w:t>87.6%</w:t>
            </w:r>
          </w:p>
        </w:tc>
        <w:tc>
          <w:tcPr>
            <w:tcW w:w="1404" w:type="dxa"/>
            <w:vAlign w:val="center"/>
          </w:tcPr>
          <w:p w14:paraId="5792EF6C" w14:textId="77777777" w:rsidR="0076181B" w:rsidRPr="00D1336D" w:rsidRDefault="0076181B">
            <w:pPr>
              <w:rPr>
                <w:rFonts w:cs="Calibri"/>
                <w:sz w:val="20"/>
                <w:szCs w:val="20"/>
              </w:rPr>
            </w:pPr>
            <w:r w:rsidRPr="00D1336D">
              <w:rPr>
                <w:rFonts w:eastAsia="Times New Roman" w:cs="Calibri"/>
                <w:sz w:val="20"/>
                <w:szCs w:val="20"/>
              </w:rPr>
              <w:t>90.7%</w:t>
            </w:r>
          </w:p>
        </w:tc>
        <w:tc>
          <w:tcPr>
            <w:tcW w:w="1419" w:type="dxa"/>
            <w:vAlign w:val="center"/>
          </w:tcPr>
          <w:p w14:paraId="3AF7E2AC" w14:textId="77777777" w:rsidR="0076181B" w:rsidRPr="00D1336D" w:rsidRDefault="0076181B">
            <w:pPr>
              <w:rPr>
                <w:rFonts w:cs="Calibri"/>
                <w:sz w:val="20"/>
                <w:szCs w:val="20"/>
              </w:rPr>
            </w:pPr>
            <w:r w:rsidRPr="00D1336D">
              <w:rPr>
                <w:rFonts w:eastAsia="Times New Roman" w:cs="Calibri"/>
                <w:sz w:val="20"/>
                <w:szCs w:val="20"/>
              </w:rPr>
              <w:t>91.1%</w:t>
            </w:r>
          </w:p>
        </w:tc>
        <w:tc>
          <w:tcPr>
            <w:tcW w:w="1419" w:type="dxa"/>
            <w:vAlign w:val="center"/>
          </w:tcPr>
          <w:p w14:paraId="52BFA232" w14:textId="77777777" w:rsidR="0076181B" w:rsidRPr="00D1336D" w:rsidRDefault="0076181B">
            <w:pPr>
              <w:rPr>
                <w:rFonts w:cs="Calibri"/>
                <w:sz w:val="20"/>
                <w:szCs w:val="20"/>
              </w:rPr>
            </w:pPr>
            <w:r w:rsidRPr="00D1336D">
              <w:rPr>
                <w:rFonts w:eastAsia="Times New Roman" w:cs="Calibri"/>
                <w:sz w:val="20"/>
                <w:szCs w:val="20"/>
              </w:rPr>
              <w:t>91.9%</w:t>
            </w:r>
          </w:p>
        </w:tc>
      </w:tr>
      <w:tr w:rsidR="009E5B4E" w:rsidRPr="00EF50DC" w14:paraId="7AFDD002" w14:textId="77777777">
        <w:trPr>
          <w:trHeight w:val="296"/>
        </w:trPr>
        <w:tc>
          <w:tcPr>
            <w:tcW w:w="1439" w:type="dxa"/>
          </w:tcPr>
          <w:p w14:paraId="4948EE3F" w14:textId="77777777" w:rsidR="0076181B" w:rsidRPr="00D1336D" w:rsidRDefault="0076181B">
            <w:pPr>
              <w:rPr>
                <w:rFonts w:cs="Calibri"/>
                <w:sz w:val="20"/>
                <w:szCs w:val="20"/>
              </w:rPr>
            </w:pPr>
            <w:r w:rsidRPr="00D1336D">
              <w:rPr>
                <w:rFonts w:eastAsia="Times New Roman" w:cs="Calibri"/>
                <w:sz w:val="20"/>
                <w:szCs w:val="20"/>
              </w:rPr>
              <w:t>CAHPS</w:t>
            </w:r>
          </w:p>
        </w:tc>
        <w:tc>
          <w:tcPr>
            <w:tcW w:w="3004" w:type="dxa"/>
          </w:tcPr>
          <w:p w14:paraId="0DE8D5EF" w14:textId="77777777" w:rsidR="0076181B" w:rsidRPr="00D1336D" w:rsidRDefault="0076181B">
            <w:pPr>
              <w:rPr>
                <w:rFonts w:cs="Calibri"/>
                <w:sz w:val="20"/>
                <w:szCs w:val="20"/>
              </w:rPr>
            </w:pPr>
            <w:r w:rsidRPr="00D1336D">
              <w:rPr>
                <w:rFonts w:eastAsia="Times New Roman" w:cs="Calibri"/>
                <w:sz w:val="20"/>
                <w:szCs w:val="20"/>
              </w:rPr>
              <w:t>Flu Vaccines</w:t>
            </w:r>
          </w:p>
        </w:tc>
        <w:tc>
          <w:tcPr>
            <w:tcW w:w="1182" w:type="dxa"/>
            <w:vAlign w:val="center"/>
          </w:tcPr>
          <w:p w14:paraId="3863ECA5" w14:textId="77777777" w:rsidR="0076181B" w:rsidRPr="00D1336D" w:rsidRDefault="0076181B">
            <w:pPr>
              <w:rPr>
                <w:rFonts w:cs="Calibri"/>
                <w:sz w:val="20"/>
                <w:szCs w:val="20"/>
              </w:rPr>
            </w:pPr>
            <w:r w:rsidRPr="00D1336D">
              <w:rPr>
                <w:rFonts w:eastAsia="Times New Roman" w:cs="Calibri"/>
                <w:sz w:val="20"/>
                <w:szCs w:val="20"/>
              </w:rPr>
              <w:t>46.6%</w:t>
            </w:r>
          </w:p>
        </w:tc>
        <w:tc>
          <w:tcPr>
            <w:tcW w:w="1404" w:type="dxa"/>
            <w:vAlign w:val="center"/>
          </w:tcPr>
          <w:p w14:paraId="6C7A3FF8" w14:textId="77777777" w:rsidR="0076181B" w:rsidRPr="00D1336D" w:rsidRDefault="0076181B">
            <w:pPr>
              <w:rPr>
                <w:rFonts w:cs="Calibri"/>
                <w:sz w:val="20"/>
                <w:szCs w:val="20"/>
              </w:rPr>
            </w:pPr>
            <w:r w:rsidRPr="00D1336D">
              <w:rPr>
                <w:rFonts w:eastAsia="Times New Roman" w:cs="Calibri"/>
                <w:sz w:val="20"/>
                <w:szCs w:val="20"/>
              </w:rPr>
              <w:t>47.4%</w:t>
            </w:r>
          </w:p>
        </w:tc>
        <w:tc>
          <w:tcPr>
            <w:tcW w:w="1404" w:type="dxa"/>
            <w:vAlign w:val="center"/>
          </w:tcPr>
          <w:p w14:paraId="28F4F89E" w14:textId="77777777" w:rsidR="0076181B" w:rsidRPr="00D1336D" w:rsidRDefault="0076181B">
            <w:pPr>
              <w:rPr>
                <w:rFonts w:cs="Calibri"/>
                <w:sz w:val="20"/>
                <w:szCs w:val="20"/>
              </w:rPr>
            </w:pPr>
            <w:r w:rsidRPr="00D1336D">
              <w:rPr>
                <w:rFonts w:eastAsia="Times New Roman" w:cs="Calibri"/>
                <w:sz w:val="20"/>
                <w:szCs w:val="20"/>
              </w:rPr>
              <w:t>49.1%</w:t>
            </w:r>
          </w:p>
        </w:tc>
        <w:tc>
          <w:tcPr>
            <w:tcW w:w="1419" w:type="dxa"/>
            <w:vAlign w:val="center"/>
          </w:tcPr>
          <w:p w14:paraId="58F2920D" w14:textId="77777777" w:rsidR="0076181B" w:rsidRPr="00D1336D" w:rsidRDefault="0076181B">
            <w:pPr>
              <w:rPr>
                <w:rFonts w:cs="Calibri"/>
                <w:sz w:val="20"/>
                <w:szCs w:val="20"/>
              </w:rPr>
            </w:pPr>
            <w:r w:rsidRPr="00D1336D">
              <w:rPr>
                <w:rFonts w:eastAsia="Times New Roman" w:cs="Calibri"/>
                <w:sz w:val="20"/>
                <w:szCs w:val="20"/>
              </w:rPr>
              <w:t>46.1%</w:t>
            </w:r>
          </w:p>
        </w:tc>
        <w:tc>
          <w:tcPr>
            <w:tcW w:w="1419" w:type="dxa"/>
            <w:vAlign w:val="center"/>
          </w:tcPr>
          <w:p w14:paraId="6CD9CF97" w14:textId="77777777" w:rsidR="0076181B" w:rsidRPr="00D1336D" w:rsidRDefault="0076181B">
            <w:pPr>
              <w:rPr>
                <w:rFonts w:cs="Calibri"/>
                <w:sz w:val="20"/>
                <w:szCs w:val="20"/>
              </w:rPr>
            </w:pPr>
            <w:r w:rsidRPr="00D1336D">
              <w:rPr>
                <w:rFonts w:eastAsia="Times New Roman" w:cs="Calibri"/>
                <w:sz w:val="20"/>
                <w:szCs w:val="20"/>
              </w:rPr>
              <w:t>52.1%</w:t>
            </w:r>
          </w:p>
        </w:tc>
      </w:tr>
      <w:tr w:rsidR="009E5B4E" w:rsidRPr="00EF50DC" w14:paraId="67C300C2" w14:textId="77777777">
        <w:trPr>
          <w:trHeight w:val="296"/>
        </w:trPr>
        <w:tc>
          <w:tcPr>
            <w:tcW w:w="1439" w:type="dxa"/>
          </w:tcPr>
          <w:p w14:paraId="7621DC2D" w14:textId="77777777" w:rsidR="0076181B" w:rsidRPr="00D1336D" w:rsidRDefault="0076181B">
            <w:pPr>
              <w:rPr>
                <w:rFonts w:cs="Calibri"/>
                <w:sz w:val="20"/>
                <w:szCs w:val="20"/>
              </w:rPr>
            </w:pPr>
            <w:r w:rsidRPr="00D1336D">
              <w:rPr>
                <w:rFonts w:eastAsia="Times New Roman" w:cs="Calibri"/>
                <w:sz w:val="20"/>
                <w:szCs w:val="20"/>
              </w:rPr>
              <w:t>CAHPS</w:t>
            </w:r>
          </w:p>
        </w:tc>
        <w:tc>
          <w:tcPr>
            <w:tcW w:w="3004" w:type="dxa"/>
          </w:tcPr>
          <w:p w14:paraId="0C08A981" w14:textId="77777777" w:rsidR="0076181B" w:rsidRPr="00D1336D" w:rsidRDefault="0076181B">
            <w:pPr>
              <w:rPr>
                <w:rFonts w:cs="Calibri"/>
                <w:sz w:val="20"/>
                <w:szCs w:val="20"/>
              </w:rPr>
            </w:pPr>
            <w:r w:rsidRPr="00D1336D">
              <w:rPr>
                <w:rFonts w:eastAsia="Times New Roman" w:cs="Calibri"/>
                <w:sz w:val="20"/>
                <w:szCs w:val="20"/>
              </w:rPr>
              <w:t xml:space="preserve">Medical Assistance with Smoking and Tobacco Use Cessation- Advising Smokers </w:t>
            </w:r>
            <w:proofErr w:type="gramStart"/>
            <w:r w:rsidRPr="00D1336D">
              <w:rPr>
                <w:rFonts w:eastAsia="Times New Roman" w:cs="Calibri"/>
                <w:sz w:val="20"/>
                <w:szCs w:val="20"/>
              </w:rPr>
              <w:t>To</w:t>
            </w:r>
            <w:proofErr w:type="gramEnd"/>
            <w:r w:rsidRPr="00D1336D">
              <w:rPr>
                <w:rFonts w:eastAsia="Times New Roman" w:cs="Calibri"/>
                <w:sz w:val="20"/>
                <w:szCs w:val="20"/>
              </w:rPr>
              <w:t xml:space="preserve"> Quit</w:t>
            </w:r>
          </w:p>
        </w:tc>
        <w:tc>
          <w:tcPr>
            <w:tcW w:w="1182" w:type="dxa"/>
            <w:vAlign w:val="center"/>
          </w:tcPr>
          <w:p w14:paraId="435B76C8" w14:textId="77777777" w:rsidR="0076181B" w:rsidRPr="00D1336D" w:rsidRDefault="0076181B">
            <w:pPr>
              <w:rPr>
                <w:rFonts w:cs="Calibri"/>
                <w:sz w:val="20"/>
                <w:szCs w:val="20"/>
              </w:rPr>
            </w:pPr>
            <w:r w:rsidRPr="00D1336D">
              <w:rPr>
                <w:rFonts w:eastAsia="Times New Roman" w:cs="Calibri"/>
                <w:sz w:val="20"/>
                <w:szCs w:val="20"/>
              </w:rPr>
              <w:t>80.4%</w:t>
            </w:r>
          </w:p>
        </w:tc>
        <w:tc>
          <w:tcPr>
            <w:tcW w:w="1404" w:type="dxa"/>
            <w:vAlign w:val="center"/>
          </w:tcPr>
          <w:p w14:paraId="26E8A3FC" w14:textId="77777777" w:rsidR="0076181B" w:rsidRPr="00D1336D" w:rsidRDefault="0076181B">
            <w:pPr>
              <w:rPr>
                <w:rFonts w:cs="Calibri"/>
                <w:sz w:val="20"/>
                <w:szCs w:val="20"/>
              </w:rPr>
            </w:pPr>
            <w:r w:rsidRPr="00D1336D">
              <w:rPr>
                <w:rFonts w:eastAsia="Times New Roman" w:cs="Calibri"/>
                <w:sz w:val="20"/>
                <w:szCs w:val="20"/>
              </w:rPr>
              <w:t>74.3%</w:t>
            </w:r>
          </w:p>
        </w:tc>
        <w:tc>
          <w:tcPr>
            <w:tcW w:w="1404" w:type="dxa"/>
            <w:vAlign w:val="center"/>
          </w:tcPr>
          <w:p w14:paraId="45E7BF68" w14:textId="77777777" w:rsidR="0076181B" w:rsidRPr="00D1336D" w:rsidRDefault="0076181B">
            <w:pPr>
              <w:rPr>
                <w:rFonts w:cs="Calibri"/>
                <w:sz w:val="20"/>
                <w:szCs w:val="20"/>
              </w:rPr>
            </w:pPr>
            <w:r w:rsidRPr="00D1336D">
              <w:rPr>
                <w:rFonts w:eastAsia="Times New Roman" w:cs="Calibri"/>
                <w:sz w:val="20"/>
                <w:szCs w:val="20"/>
              </w:rPr>
              <w:t>76.5%</w:t>
            </w:r>
          </w:p>
        </w:tc>
        <w:tc>
          <w:tcPr>
            <w:tcW w:w="1419" w:type="dxa"/>
            <w:vAlign w:val="center"/>
          </w:tcPr>
          <w:p w14:paraId="66A6CFD9" w14:textId="77777777" w:rsidR="0076181B" w:rsidRPr="00D1336D" w:rsidRDefault="0076181B">
            <w:pPr>
              <w:rPr>
                <w:rFonts w:cs="Calibri"/>
                <w:sz w:val="20"/>
                <w:szCs w:val="20"/>
              </w:rPr>
            </w:pPr>
            <w:r w:rsidRPr="00D1336D">
              <w:rPr>
                <w:rFonts w:eastAsia="Times New Roman" w:cs="Calibri"/>
                <w:sz w:val="20"/>
                <w:szCs w:val="20"/>
              </w:rPr>
              <w:t>76.9%</w:t>
            </w:r>
          </w:p>
        </w:tc>
        <w:tc>
          <w:tcPr>
            <w:tcW w:w="1419" w:type="dxa"/>
            <w:vAlign w:val="center"/>
          </w:tcPr>
          <w:p w14:paraId="28809438" w14:textId="77777777" w:rsidR="0076181B" w:rsidRPr="00D1336D" w:rsidRDefault="0076181B">
            <w:pPr>
              <w:rPr>
                <w:rFonts w:cs="Calibri"/>
                <w:sz w:val="20"/>
                <w:szCs w:val="20"/>
              </w:rPr>
            </w:pPr>
            <w:r w:rsidRPr="00D1336D">
              <w:rPr>
                <w:rFonts w:eastAsia="Times New Roman" w:cs="Calibri"/>
                <w:sz w:val="20"/>
                <w:szCs w:val="20"/>
              </w:rPr>
              <w:t>80.4%</w:t>
            </w:r>
          </w:p>
        </w:tc>
      </w:tr>
    </w:tbl>
    <w:p w14:paraId="353815CC" w14:textId="77777777" w:rsidR="00883045" w:rsidRDefault="00883045" w:rsidP="00723C99">
      <w:pPr>
        <w:tabs>
          <w:tab w:val="left" w:pos="4156"/>
        </w:tabs>
        <w:rPr>
          <w:b/>
          <w:bCs/>
        </w:rPr>
      </w:pPr>
    </w:p>
    <w:p w14:paraId="264EB0B3" w14:textId="2758270F" w:rsidR="008164F7" w:rsidRPr="008164F7" w:rsidRDefault="008164F7" w:rsidP="00723C99">
      <w:pPr>
        <w:tabs>
          <w:tab w:val="left" w:pos="4156"/>
        </w:tabs>
        <w:rPr>
          <w:b/>
          <w:bCs/>
        </w:rPr>
      </w:pPr>
      <w:r w:rsidRPr="008164F7">
        <w:rPr>
          <w:b/>
          <w:bCs/>
        </w:rPr>
        <w:t>Table C.2: Child Core Set Performance</w:t>
      </w:r>
    </w:p>
    <w:tbl>
      <w:tblPr>
        <w:tblW w:w="15068" w:type="dxa"/>
        <w:tblInd w:w="-5" w:type="dxa"/>
        <w:tblLook w:val="04A0" w:firstRow="1" w:lastRow="0" w:firstColumn="1" w:lastColumn="0" w:noHBand="0" w:noVBand="1"/>
      </w:tblPr>
      <w:tblGrid>
        <w:gridCol w:w="1170"/>
        <w:gridCol w:w="6930"/>
        <w:gridCol w:w="1080"/>
        <w:gridCol w:w="1080"/>
        <w:gridCol w:w="1170"/>
        <w:gridCol w:w="1350"/>
        <w:gridCol w:w="1144"/>
        <w:gridCol w:w="1144"/>
      </w:tblGrid>
      <w:tr w:rsidR="005A167A" w:rsidRPr="00F26259" w14:paraId="53F7673C" w14:textId="237F080B" w:rsidTr="005A167A">
        <w:trPr>
          <w:trHeight w:val="290"/>
          <w:tblHeader/>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72294353" w14:textId="77777777" w:rsidR="005A167A" w:rsidRDefault="005A167A" w:rsidP="005A167A">
            <w:pPr>
              <w:spacing w:after="0"/>
              <w:ind w:left="195" w:hanging="2070"/>
              <w:rPr>
                <w:rFonts w:eastAsia="Times New Roman" w:cs="Calibri"/>
                <w:b/>
                <w:bCs/>
                <w:color w:val="000000"/>
              </w:rPr>
            </w:pPr>
          </w:p>
          <w:p w14:paraId="3408C7E1" w14:textId="77777777" w:rsidR="005A167A" w:rsidRPr="00F26259" w:rsidRDefault="005A167A" w:rsidP="005A167A">
            <w:pPr>
              <w:spacing w:after="0"/>
              <w:ind w:hanging="30"/>
              <w:rPr>
                <w:rFonts w:eastAsia="Times New Roman" w:cs="Calibri"/>
                <w:b/>
                <w:bCs/>
                <w:color w:val="000000"/>
              </w:rPr>
            </w:pPr>
            <w:r w:rsidRPr="00F26259">
              <w:rPr>
                <w:rFonts w:eastAsia="Times New Roman" w:cs="Calibri"/>
                <w:b/>
                <w:bCs/>
                <w:color w:val="000000"/>
              </w:rPr>
              <w:t>Acronym</w:t>
            </w:r>
          </w:p>
        </w:tc>
        <w:tc>
          <w:tcPr>
            <w:tcW w:w="6930" w:type="dxa"/>
            <w:tcBorders>
              <w:top w:val="single" w:sz="4" w:space="0" w:color="auto"/>
              <w:left w:val="single" w:sz="4" w:space="0" w:color="auto"/>
              <w:bottom w:val="single" w:sz="4" w:space="0" w:color="auto"/>
              <w:right w:val="single" w:sz="4" w:space="0" w:color="auto"/>
            </w:tcBorders>
            <w:shd w:val="clear" w:color="auto" w:fill="auto"/>
            <w:noWrap/>
            <w:hideMark/>
          </w:tcPr>
          <w:p w14:paraId="4FE8DEF9" w14:textId="77777777" w:rsidR="005A167A" w:rsidRDefault="005A167A" w:rsidP="005A167A">
            <w:pPr>
              <w:spacing w:after="0"/>
              <w:jc w:val="center"/>
              <w:rPr>
                <w:rFonts w:eastAsia="Times New Roman" w:cs="Calibri"/>
                <w:b/>
                <w:bCs/>
                <w:color w:val="000000"/>
              </w:rPr>
            </w:pPr>
          </w:p>
          <w:p w14:paraId="33BEE74D" w14:textId="77777777" w:rsidR="005A167A" w:rsidRPr="00F26259" w:rsidRDefault="005A167A" w:rsidP="005A167A">
            <w:pPr>
              <w:spacing w:after="0"/>
              <w:jc w:val="center"/>
              <w:rPr>
                <w:rFonts w:eastAsia="Times New Roman" w:cs="Calibri"/>
                <w:b/>
                <w:bCs/>
                <w:color w:val="000000"/>
              </w:rPr>
            </w:pPr>
            <w:r w:rsidRPr="00F26259">
              <w:rPr>
                <w:rFonts w:eastAsia="Times New Roman" w:cs="Calibri"/>
                <w:b/>
                <w:bCs/>
                <w:color w:val="000000"/>
              </w:rPr>
              <w:t>Measure Description</w:t>
            </w:r>
          </w:p>
        </w:tc>
        <w:tc>
          <w:tcPr>
            <w:tcW w:w="1080" w:type="dxa"/>
            <w:tcBorders>
              <w:top w:val="single" w:sz="4" w:space="0" w:color="auto"/>
              <w:left w:val="single" w:sz="4" w:space="0" w:color="auto"/>
              <w:bottom w:val="single" w:sz="4" w:space="0" w:color="auto"/>
              <w:right w:val="single" w:sz="4" w:space="0" w:color="auto"/>
            </w:tcBorders>
          </w:tcPr>
          <w:p w14:paraId="5266073C" w14:textId="1A99D80A" w:rsidR="005A167A" w:rsidRDefault="005A167A" w:rsidP="005A167A">
            <w:pPr>
              <w:spacing w:after="0"/>
              <w:jc w:val="center"/>
              <w:rPr>
                <w:rFonts w:eastAsia="Times New Roman" w:cs="Calibri"/>
                <w:b/>
                <w:bCs/>
                <w:color w:val="000000"/>
              </w:rPr>
            </w:pPr>
            <w:r>
              <w:rPr>
                <w:rFonts w:eastAsia="Times New Roman" w:cs="Calibri"/>
                <w:b/>
                <w:bCs/>
                <w:color w:val="000000"/>
              </w:rPr>
              <w:t>M</w:t>
            </w:r>
            <w:r w:rsidRPr="00F26259">
              <w:rPr>
                <w:rFonts w:eastAsia="Times New Roman" w:cs="Calibri"/>
                <w:b/>
                <w:bCs/>
                <w:color w:val="000000"/>
              </w:rPr>
              <w:t>Y2020</w:t>
            </w:r>
            <w:r>
              <w:rPr>
                <w:rFonts w:eastAsia="Times New Roman" w:cs="Calibri"/>
                <w:b/>
                <w:bCs/>
                <w:color w:val="000000"/>
              </w:rPr>
              <w:t xml:space="preserve"> Rates</w:t>
            </w:r>
          </w:p>
        </w:tc>
        <w:tc>
          <w:tcPr>
            <w:tcW w:w="1080" w:type="dxa"/>
            <w:tcBorders>
              <w:top w:val="single" w:sz="4" w:space="0" w:color="auto"/>
              <w:left w:val="single" w:sz="4" w:space="0" w:color="auto"/>
              <w:bottom w:val="single" w:sz="4" w:space="0" w:color="auto"/>
              <w:right w:val="single" w:sz="4" w:space="0" w:color="auto"/>
            </w:tcBorders>
            <w:shd w:val="clear" w:color="000000" w:fill="F2F2F2"/>
            <w:noWrap/>
            <w:hideMark/>
          </w:tcPr>
          <w:p w14:paraId="3DBC3D94" w14:textId="734B3DB2" w:rsidR="005A167A" w:rsidRPr="00F26259" w:rsidRDefault="005A167A" w:rsidP="005A167A">
            <w:pPr>
              <w:spacing w:after="0"/>
              <w:jc w:val="center"/>
              <w:rPr>
                <w:rFonts w:eastAsia="Times New Roman" w:cs="Calibri"/>
                <w:b/>
                <w:bCs/>
                <w:color w:val="000000"/>
              </w:rPr>
            </w:pPr>
            <w:r>
              <w:rPr>
                <w:rFonts w:eastAsia="Times New Roman" w:cs="Calibri"/>
                <w:b/>
                <w:bCs/>
                <w:color w:val="000000"/>
              </w:rPr>
              <w:t>M</w:t>
            </w:r>
            <w:r w:rsidRPr="00F26259">
              <w:rPr>
                <w:rFonts w:eastAsia="Times New Roman" w:cs="Calibri"/>
                <w:b/>
                <w:bCs/>
                <w:color w:val="000000"/>
              </w:rPr>
              <w:t>Y20</w:t>
            </w:r>
            <w:r>
              <w:rPr>
                <w:rFonts w:eastAsia="Times New Roman" w:cs="Calibri"/>
                <w:b/>
                <w:bCs/>
                <w:color w:val="000000"/>
              </w:rPr>
              <w:t>21 Rates</w:t>
            </w:r>
          </w:p>
        </w:tc>
        <w:tc>
          <w:tcPr>
            <w:tcW w:w="1170" w:type="dxa"/>
            <w:tcBorders>
              <w:top w:val="single" w:sz="4" w:space="0" w:color="auto"/>
              <w:left w:val="single" w:sz="4" w:space="0" w:color="auto"/>
              <w:bottom w:val="single" w:sz="4" w:space="0" w:color="auto"/>
              <w:right w:val="single" w:sz="4" w:space="0" w:color="auto"/>
            </w:tcBorders>
            <w:shd w:val="clear" w:color="000000" w:fill="F2F2F2"/>
            <w:noWrap/>
            <w:hideMark/>
          </w:tcPr>
          <w:p w14:paraId="799330FA" w14:textId="414D0445" w:rsidR="005A167A" w:rsidRPr="00F26259" w:rsidRDefault="005A167A" w:rsidP="005A167A">
            <w:pPr>
              <w:spacing w:after="0"/>
              <w:jc w:val="center"/>
              <w:rPr>
                <w:rFonts w:eastAsia="Times New Roman" w:cs="Calibri"/>
                <w:b/>
                <w:bCs/>
                <w:color w:val="000000"/>
              </w:rPr>
            </w:pPr>
            <w:r>
              <w:rPr>
                <w:rFonts w:eastAsia="Times New Roman" w:cs="Calibri"/>
                <w:b/>
                <w:bCs/>
                <w:color w:val="000000"/>
              </w:rPr>
              <w:t>M</w:t>
            </w:r>
            <w:r w:rsidRPr="00F26259">
              <w:rPr>
                <w:rFonts w:eastAsia="Times New Roman" w:cs="Calibri"/>
                <w:b/>
                <w:bCs/>
                <w:color w:val="000000"/>
              </w:rPr>
              <w:t>Y20</w:t>
            </w:r>
            <w:r>
              <w:rPr>
                <w:rFonts w:eastAsia="Times New Roman" w:cs="Calibri"/>
                <w:b/>
                <w:bCs/>
                <w:color w:val="000000"/>
              </w:rPr>
              <w:t>22 Rates</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674D3719" w14:textId="42AA0314" w:rsidR="005A167A" w:rsidRPr="002B5108" w:rsidRDefault="005A167A" w:rsidP="005A167A">
            <w:pPr>
              <w:spacing w:after="0"/>
              <w:jc w:val="center"/>
              <w:rPr>
                <w:rFonts w:eastAsia="Times New Roman" w:cs="Calibri"/>
                <w:b/>
                <w:bCs/>
                <w:color w:val="000000"/>
              </w:rPr>
            </w:pPr>
            <w:r>
              <w:rPr>
                <w:rFonts w:eastAsia="Times New Roman" w:cs="Calibri"/>
                <w:b/>
                <w:bCs/>
                <w:color w:val="000000"/>
              </w:rPr>
              <w:t>MY22 Medicaid Bottom Quartile</w:t>
            </w:r>
          </w:p>
        </w:tc>
        <w:tc>
          <w:tcPr>
            <w:tcW w:w="1144" w:type="dxa"/>
            <w:tcBorders>
              <w:top w:val="single" w:sz="4" w:space="0" w:color="auto"/>
              <w:left w:val="single" w:sz="4" w:space="0" w:color="auto"/>
              <w:bottom w:val="single" w:sz="4" w:space="0" w:color="auto"/>
              <w:right w:val="single" w:sz="4" w:space="0" w:color="auto"/>
            </w:tcBorders>
            <w:shd w:val="clear" w:color="auto" w:fill="auto"/>
            <w:noWrap/>
            <w:hideMark/>
          </w:tcPr>
          <w:p w14:paraId="1257F8FB" w14:textId="610A0102" w:rsidR="005A167A" w:rsidRPr="002B5108" w:rsidRDefault="005A167A" w:rsidP="005A167A">
            <w:pPr>
              <w:spacing w:after="0"/>
              <w:jc w:val="center"/>
              <w:rPr>
                <w:rFonts w:eastAsia="Times New Roman" w:cs="Calibri"/>
                <w:b/>
                <w:bCs/>
                <w:color w:val="000000"/>
              </w:rPr>
            </w:pPr>
            <w:r>
              <w:rPr>
                <w:rFonts w:eastAsia="Times New Roman" w:cs="Calibri"/>
                <w:b/>
                <w:bCs/>
                <w:color w:val="000000"/>
              </w:rPr>
              <w:t>MY22 Medicaid Median</w:t>
            </w:r>
          </w:p>
        </w:tc>
        <w:tc>
          <w:tcPr>
            <w:tcW w:w="1144" w:type="dxa"/>
            <w:tcBorders>
              <w:top w:val="single" w:sz="4" w:space="0" w:color="auto"/>
              <w:left w:val="single" w:sz="4" w:space="0" w:color="auto"/>
              <w:bottom w:val="single" w:sz="4" w:space="0" w:color="auto"/>
              <w:right w:val="single" w:sz="4" w:space="0" w:color="auto"/>
            </w:tcBorders>
          </w:tcPr>
          <w:p w14:paraId="5B645A92" w14:textId="57D58B95" w:rsidR="005A167A" w:rsidRDefault="005A167A" w:rsidP="005A167A">
            <w:pPr>
              <w:spacing w:after="0"/>
              <w:jc w:val="center"/>
              <w:rPr>
                <w:rFonts w:eastAsia="Times New Roman" w:cs="Calibri"/>
                <w:b/>
                <w:bCs/>
                <w:color w:val="000000"/>
              </w:rPr>
            </w:pPr>
            <w:r>
              <w:rPr>
                <w:rFonts w:eastAsia="Times New Roman" w:cs="Calibri"/>
                <w:b/>
                <w:bCs/>
                <w:color w:val="000000"/>
              </w:rPr>
              <w:t>MY22 Medicaid Top Quartile</w:t>
            </w:r>
          </w:p>
        </w:tc>
      </w:tr>
      <w:tr w:rsidR="005A167A" w:rsidRPr="00F26259" w14:paraId="5E1539DF" w14:textId="54AF3924" w:rsidTr="005A167A">
        <w:trPr>
          <w:trHeight w:val="215"/>
        </w:trPr>
        <w:tc>
          <w:tcPr>
            <w:tcW w:w="1170" w:type="dxa"/>
            <w:tcBorders>
              <w:top w:val="single" w:sz="4" w:space="0" w:color="auto"/>
              <w:left w:val="single" w:sz="4" w:space="0" w:color="000000"/>
              <w:bottom w:val="single" w:sz="4" w:space="0" w:color="000000"/>
              <w:right w:val="single" w:sz="4" w:space="0" w:color="000000"/>
            </w:tcBorders>
            <w:shd w:val="clear" w:color="auto" w:fill="auto"/>
            <w:noWrap/>
          </w:tcPr>
          <w:p w14:paraId="428508D4" w14:textId="02A7192A" w:rsidR="005A167A" w:rsidRDefault="005A167A" w:rsidP="00516970">
            <w:pPr>
              <w:spacing w:after="0"/>
              <w:jc w:val="center"/>
              <w:rPr>
                <w:rFonts w:cs="Calibri"/>
                <w:sz w:val="20"/>
                <w:szCs w:val="20"/>
              </w:rPr>
            </w:pPr>
            <w:r>
              <w:rPr>
                <w:rFonts w:cs="Calibri"/>
                <w:sz w:val="20"/>
                <w:szCs w:val="20"/>
              </w:rPr>
              <w:t>ADD</w:t>
            </w:r>
          </w:p>
        </w:tc>
        <w:tc>
          <w:tcPr>
            <w:tcW w:w="6930" w:type="dxa"/>
            <w:tcBorders>
              <w:top w:val="single" w:sz="4" w:space="0" w:color="auto"/>
              <w:left w:val="nil"/>
              <w:bottom w:val="single" w:sz="4" w:space="0" w:color="auto"/>
              <w:right w:val="single" w:sz="4" w:space="0" w:color="auto"/>
            </w:tcBorders>
            <w:shd w:val="clear" w:color="auto" w:fill="auto"/>
          </w:tcPr>
          <w:p w14:paraId="04B091A6" w14:textId="6A583732" w:rsidR="005A167A" w:rsidRPr="00737DF8" w:rsidRDefault="005A167A" w:rsidP="00516970">
            <w:pPr>
              <w:rPr>
                <w:rFonts w:eastAsia="Times New Roman" w:cs="Calibri"/>
                <w:color w:val="000000"/>
                <w:sz w:val="20"/>
                <w:szCs w:val="20"/>
              </w:rPr>
            </w:pPr>
            <w:r w:rsidRPr="00737DF8">
              <w:rPr>
                <w:rFonts w:cs="Calibri"/>
                <w:color w:val="000000"/>
                <w:sz w:val="20"/>
                <w:szCs w:val="20"/>
              </w:rPr>
              <w:t>Follow-up Care for Children Prescribed Attention-Deficit/Hyperactivity Disorder (ADHD) Medication - Initiation</w:t>
            </w:r>
          </w:p>
        </w:tc>
        <w:tc>
          <w:tcPr>
            <w:tcW w:w="1080" w:type="dxa"/>
            <w:tcBorders>
              <w:top w:val="single" w:sz="4" w:space="0" w:color="auto"/>
              <w:bottom w:val="single" w:sz="4" w:space="0" w:color="auto"/>
              <w:right w:val="single" w:sz="4" w:space="0" w:color="auto"/>
            </w:tcBorders>
            <w:vAlign w:val="center"/>
          </w:tcPr>
          <w:p w14:paraId="6AC6F655" w14:textId="1B01C94F" w:rsidR="005A167A" w:rsidRPr="004A1A02" w:rsidRDefault="005A167A" w:rsidP="00516970">
            <w:pPr>
              <w:spacing w:after="0"/>
              <w:jc w:val="center"/>
              <w:rPr>
                <w:rFonts w:asciiTheme="minorHAnsi" w:hAnsiTheme="minorHAnsi" w:cstheme="minorHAnsi"/>
                <w:sz w:val="20"/>
                <w:szCs w:val="20"/>
              </w:rPr>
            </w:pPr>
            <w:r w:rsidRPr="004A1A02">
              <w:rPr>
                <w:rFonts w:asciiTheme="minorHAnsi" w:hAnsiTheme="minorHAnsi" w:cstheme="minorHAnsi"/>
                <w:sz w:val="20"/>
                <w:szCs w:val="20"/>
              </w:rPr>
              <w:t>45.7%</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4D03E9D" w14:textId="0B56ED57" w:rsidR="005A167A" w:rsidRPr="004A1A02" w:rsidRDefault="005A167A" w:rsidP="00516970">
            <w:pPr>
              <w:spacing w:after="0"/>
              <w:jc w:val="center"/>
              <w:rPr>
                <w:rFonts w:asciiTheme="minorHAnsi" w:hAnsiTheme="minorHAnsi" w:cstheme="minorHAnsi"/>
                <w:sz w:val="20"/>
                <w:szCs w:val="20"/>
              </w:rPr>
            </w:pPr>
            <w:r>
              <w:rPr>
                <w:rFonts w:asciiTheme="minorHAnsi" w:hAnsiTheme="minorHAnsi" w:cstheme="minorHAnsi"/>
                <w:sz w:val="20"/>
                <w:szCs w:val="20"/>
              </w:rPr>
              <w:t>44.5%</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3FEAE14" w14:textId="5EBA696C" w:rsidR="005A167A" w:rsidRPr="004A1A02" w:rsidRDefault="005A167A" w:rsidP="00516970">
            <w:pPr>
              <w:spacing w:after="0"/>
              <w:jc w:val="center"/>
              <w:rPr>
                <w:rFonts w:asciiTheme="minorHAnsi" w:hAnsiTheme="minorHAnsi" w:cstheme="minorHAnsi"/>
                <w:sz w:val="20"/>
                <w:szCs w:val="20"/>
              </w:rPr>
            </w:pPr>
            <w:r>
              <w:rPr>
                <w:rFonts w:asciiTheme="minorHAnsi" w:hAnsiTheme="minorHAnsi" w:cstheme="minorHAnsi"/>
                <w:sz w:val="20"/>
                <w:szCs w:val="20"/>
              </w:rPr>
              <w:t>46.4%</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060DA9A1" w14:textId="676ACAF6" w:rsidR="005A167A" w:rsidRPr="00163518" w:rsidRDefault="00F6655C" w:rsidP="00516970">
            <w:pPr>
              <w:spacing w:after="0"/>
              <w:jc w:val="center"/>
              <w:rPr>
                <w:rFonts w:asciiTheme="minorHAnsi" w:hAnsiTheme="minorHAnsi" w:cstheme="minorHAnsi"/>
                <w:sz w:val="20"/>
                <w:szCs w:val="20"/>
              </w:rPr>
            </w:pPr>
            <w:r w:rsidRPr="00163518">
              <w:rPr>
                <w:rFonts w:asciiTheme="minorHAnsi" w:hAnsiTheme="minorHAnsi" w:cstheme="minorHAnsi"/>
                <w:sz w:val="20"/>
                <w:szCs w:val="20"/>
              </w:rPr>
              <w:t>36.4</w:t>
            </w:r>
            <w:r w:rsidR="005A167A" w:rsidRPr="00163518">
              <w:rPr>
                <w:rFonts w:asciiTheme="minorHAnsi" w:hAnsiTheme="minorHAnsi" w:cstheme="minorHAnsi"/>
                <w:sz w:val="20"/>
                <w:szCs w:val="20"/>
              </w:rPr>
              <w:t>%</w:t>
            </w:r>
          </w:p>
        </w:tc>
        <w:tc>
          <w:tcPr>
            <w:tcW w:w="1144" w:type="dxa"/>
            <w:tcBorders>
              <w:top w:val="single" w:sz="4" w:space="0" w:color="auto"/>
              <w:left w:val="nil"/>
              <w:bottom w:val="single" w:sz="4" w:space="0" w:color="000000"/>
              <w:right w:val="single" w:sz="4" w:space="0" w:color="000000"/>
            </w:tcBorders>
            <w:shd w:val="clear" w:color="auto" w:fill="auto"/>
            <w:noWrap/>
            <w:vAlign w:val="center"/>
          </w:tcPr>
          <w:p w14:paraId="55314447" w14:textId="56AA4EE4" w:rsidR="005A167A" w:rsidRPr="00163518" w:rsidRDefault="00F6655C" w:rsidP="00516970">
            <w:pPr>
              <w:spacing w:after="0"/>
              <w:jc w:val="center"/>
              <w:rPr>
                <w:rFonts w:asciiTheme="minorHAnsi" w:hAnsiTheme="minorHAnsi" w:cstheme="minorHAnsi"/>
                <w:sz w:val="20"/>
                <w:szCs w:val="20"/>
              </w:rPr>
            </w:pPr>
            <w:r w:rsidRPr="00163518">
              <w:rPr>
                <w:rFonts w:asciiTheme="minorHAnsi" w:hAnsiTheme="minorHAnsi" w:cstheme="minorHAnsi"/>
                <w:sz w:val="20"/>
                <w:szCs w:val="20"/>
              </w:rPr>
              <w:t>43.0</w:t>
            </w:r>
            <w:r w:rsidR="005A167A" w:rsidRPr="00163518">
              <w:rPr>
                <w:rFonts w:asciiTheme="minorHAnsi" w:hAnsiTheme="minorHAnsi" w:cstheme="minorHAnsi"/>
                <w:sz w:val="20"/>
                <w:szCs w:val="20"/>
              </w:rPr>
              <w:t>%</w:t>
            </w:r>
          </w:p>
        </w:tc>
        <w:tc>
          <w:tcPr>
            <w:tcW w:w="1144" w:type="dxa"/>
            <w:tcBorders>
              <w:top w:val="single" w:sz="4" w:space="0" w:color="auto"/>
              <w:left w:val="nil"/>
              <w:bottom w:val="single" w:sz="4" w:space="0" w:color="000000"/>
              <w:right w:val="single" w:sz="4" w:space="0" w:color="000000"/>
            </w:tcBorders>
          </w:tcPr>
          <w:p w14:paraId="612FF81D" w14:textId="5030BEC1" w:rsidR="005A167A" w:rsidRPr="00163518" w:rsidRDefault="00163518" w:rsidP="00516970">
            <w:pPr>
              <w:spacing w:after="0"/>
              <w:jc w:val="center"/>
              <w:rPr>
                <w:rFonts w:asciiTheme="minorHAnsi" w:hAnsiTheme="minorHAnsi" w:cstheme="minorHAnsi"/>
                <w:sz w:val="20"/>
                <w:szCs w:val="20"/>
              </w:rPr>
            </w:pPr>
            <w:r w:rsidRPr="00163518">
              <w:rPr>
                <w:rFonts w:asciiTheme="minorHAnsi" w:hAnsiTheme="minorHAnsi" w:cstheme="minorHAnsi"/>
                <w:sz w:val="20"/>
                <w:szCs w:val="20"/>
              </w:rPr>
              <w:t>49.4%</w:t>
            </w:r>
          </w:p>
        </w:tc>
      </w:tr>
      <w:tr w:rsidR="005A167A" w:rsidRPr="00F26259" w14:paraId="6A4B555C" w14:textId="7A0F228B" w:rsidTr="005A167A">
        <w:trPr>
          <w:trHeight w:val="215"/>
        </w:trPr>
        <w:tc>
          <w:tcPr>
            <w:tcW w:w="1170" w:type="dxa"/>
            <w:tcBorders>
              <w:top w:val="single" w:sz="4" w:space="0" w:color="auto"/>
              <w:left w:val="single" w:sz="4" w:space="0" w:color="000000"/>
              <w:bottom w:val="single" w:sz="4" w:space="0" w:color="000000"/>
              <w:right w:val="single" w:sz="4" w:space="0" w:color="000000"/>
            </w:tcBorders>
            <w:shd w:val="clear" w:color="auto" w:fill="auto"/>
            <w:noWrap/>
          </w:tcPr>
          <w:p w14:paraId="79F85B86" w14:textId="6F2CA84D" w:rsidR="005A167A" w:rsidRDefault="005A167A" w:rsidP="00516970">
            <w:pPr>
              <w:spacing w:after="0"/>
              <w:jc w:val="center"/>
              <w:rPr>
                <w:rFonts w:cs="Calibri"/>
                <w:sz w:val="20"/>
                <w:szCs w:val="20"/>
              </w:rPr>
            </w:pPr>
            <w:r>
              <w:rPr>
                <w:rFonts w:cs="Calibri"/>
                <w:sz w:val="20"/>
                <w:szCs w:val="20"/>
              </w:rPr>
              <w:t>ADD</w:t>
            </w:r>
          </w:p>
        </w:tc>
        <w:tc>
          <w:tcPr>
            <w:tcW w:w="6930" w:type="dxa"/>
            <w:tcBorders>
              <w:top w:val="single" w:sz="4" w:space="0" w:color="auto"/>
              <w:left w:val="nil"/>
              <w:bottom w:val="single" w:sz="4" w:space="0" w:color="auto"/>
              <w:right w:val="single" w:sz="4" w:space="0" w:color="auto"/>
            </w:tcBorders>
            <w:shd w:val="clear" w:color="auto" w:fill="auto"/>
          </w:tcPr>
          <w:p w14:paraId="47DC18CB" w14:textId="554A77DE" w:rsidR="005A167A" w:rsidRPr="00737DF8" w:rsidRDefault="005A167A" w:rsidP="00516970">
            <w:pPr>
              <w:rPr>
                <w:rFonts w:eastAsia="Times New Roman" w:cs="Calibri"/>
                <w:color w:val="000000"/>
                <w:sz w:val="20"/>
                <w:szCs w:val="20"/>
              </w:rPr>
            </w:pPr>
            <w:r w:rsidRPr="00737DF8">
              <w:rPr>
                <w:rFonts w:cs="Calibri"/>
                <w:color w:val="000000"/>
                <w:sz w:val="20"/>
                <w:szCs w:val="20"/>
              </w:rPr>
              <w:t xml:space="preserve">Follow-up Care for Children Prescribed Attention-Deficit/Hyperactivity Disorder (ADHD) Medication </w:t>
            </w:r>
            <w:r>
              <w:rPr>
                <w:rFonts w:cs="Calibri"/>
                <w:color w:val="000000"/>
                <w:sz w:val="20"/>
                <w:szCs w:val="20"/>
              </w:rPr>
              <w:t>- Continuation</w:t>
            </w:r>
          </w:p>
        </w:tc>
        <w:tc>
          <w:tcPr>
            <w:tcW w:w="1080" w:type="dxa"/>
            <w:tcBorders>
              <w:top w:val="single" w:sz="4" w:space="0" w:color="auto"/>
              <w:bottom w:val="single" w:sz="4" w:space="0" w:color="auto"/>
              <w:right w:val="single" w:sz="4" w:space="0" w:color="auto"/>
            </w:tcBorders>
            <w:vAlign w:val="center"/>
          </w:tcPr>
          <w:p w14:paraId="0268F60F" w14:textId="2E948EBA" w:rsidR="005A167A" w:rsidRPr="004A1A02" w:rsidRDefault="005A167A" w:rsidP="00516970">
            <w:pPr>
              <w:spacing w:after="0"/>
              <w:jc w:val="center"/>
              <w:rPr>
                <w:rFonts w:asciiTheme="minorHAnsi" w:hAnsiTheme="minorHAnsi" w:cstheme="minorHAnsi"/>
                <w:sz w:val="20"/>
                <w:szCs w:val="20"/>
              </w:rPr>
            </w:pPr>
            <w:r w:rsidRPr="004A1A02">
              <w:rPr>
                <w:rFonts w:asciiTheme="minorHAnsi" w:hAnsiTheme="minorHAnsi" w:cstheme="minorHAnsi"/>
                <w:sz w:val="20"/>
                <w:szCs w:val="20"/>
              </w:rPr>
              <w:t>54.8%</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1AFF9FD" w14:textId="4CA1ED3C" w:rsidR="005A167A" w:rsidRPr="004A1A02" w:rsidRDefault="005A167A" w:rsidP="00516970">
            <w:pPr>
              <w:spacing w:after="0"/>
              <w:jc w:val="center"/>
              <w:rPr>
                <w:rFonts w:asciiTheme="minorHAnsi" w:hAnsiTheme="minorHAnsi" w:cstheme="minorHAnsi"/>
                <w:sz w:val="20"/>
                <w:szCs w:val="20"/>
              </w:rPr>
            </w:pPr>
            <w:r>
              <w:rPr>
                <w:rFonts w:asciiTheme="minorHAnsi" w:hAnsiTheme="minorHAnsi" w:cstheme="minorHAnsi"/>
                <w:sz w:val="20"/>
                <w:szCs w:val="20"/>
              </w:rPr>
              <w:t>54.7%</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7163B5F" w14:textId="5AA75A34" w:rsidR="005A167A" w:rsidRPr="004A1A02" w:rsidRDefault="005A167A" w:rsidP="00516970">
            <w:pPr>
              <w:spacing w:after="0"/>
              <w:jc w:val="center"/>
              <w:rPr>
                <w:rFonts w:asciiTheme="minorHAnsi" w:hAnsiTheme="minorHAnsi" w:cstheme="minorHAnsi"/>
                <w:sz w:val="20"/>
                <w:szCs w:val="20"/>
              </w:rPr>
            </w:pPr>
            <w:r>
              <w:rPr>
                <w:rFonts w:asciiTheme="minorHAnsi" w:hAnsiTheme="minorHAnsi" w:cstheme="minorHAnsi"/>
                <w:sz w:val="20"/>
                <w:szCs w:val="20"/>
              </w:rPr>
              <w:t>54.4%</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290D55CC" w14:textId="332CB345" w:rsidR="005A167A" w:rsidRPr="00CA5BF4" w:rsidRDefault="00163518" w:rsidP="00516970">
            <w:pPr>
              <w:spacing w:after="0"/>
              <w:jc w:val="center"/>
              <w:rPr>
                <w:rFonts w:asciiTheme="minorHAnsi" w:hAnsiTheme="minorHAnsi" w:cstheme="minorHAnsi"/>
                <w:sz w:val="20"/>
                <w:szCs w:val="20"/>
              </w:rPr>
            </w:pPr>
            <w:r w:rsidRPr="00CA5BF4">
              <w:rPr>
                <w:rFonts w:asciiTheme="minorHAnsi" w:hAnsiTheme="minorHAnsi" w:cstheme="minorHAnsi"/>
                <w:sz w:val="20"/>
                <w:szCs w:val="20"/>
              </w:rPr>
              <w:t>45.1</w:t>
            </w:r>
            <w:r w:rsidR="005A167A" w:rsidRPr="00CA5BF4">
              <w:rPr>
                <w:rFonts w:asciiTheme="minorHAnsi" w:hAnsiTheme="minorHAnsi" w:cstheme="minorHAnsi"/>
                <w:sz w:val="20"/>
                <w:szCs w:val="20"/>
              </w:rPr>
              <w:t>%</w:t>
            </w:r>
          </w:p>
        </w:tc>
        <w:tc>
          <w:tcPr>
            <w:tcW w:w="1144" w:type="dxa"/>
            <w:tcBorders>
              <w:top w:val="single" w:sz="4" w:space="0" w:color="auto"/>
              <w:left w:val="nil"/>
              <w:bottom w:val="single" w:sz="4" w:space="0" w:color="000000"/>
              <w:right w:val="single" w:sz="4" w:space="0" w:color="000000"/>
            </w:tcBorders>
            <w:shd w:val="clear" w:color="auto" w:fill="auto"/>
            <w:noWrap/>
            <w:vAlign w:val="center"/>
          </w:tcPr>
          <w:p w14:paraId="7FA14E72" w14:textId="3124E5D4" w:rsidR="005A167A" w:rsidRPr="00CA5BF4" w:rsidRDefault="00692254" w:rsidP="00516970">
            <w:pPr>
              <w:spacing w:after="0"/>
              <w:jc w:val="center"/>
              <w:rPr>
                <w:rFonts w:asciiTheme="minorHAnsi" w:hAnsiTheme="minorHAnsi" w:cstheme="minorHAnsi"/>
                <w:sz w:val="20"/>
                <w:szCs w:val="20"/>
              </w:rPr>
            </w:pPr>
            <w:r w:rsidRPr="00CA5BF4">
              <w:rPr>
                <w:rFonts w:asciiTheme="minorHAnsi" w:hAnsiTheme="minorHAnsi" w:cstheme="minorHAnsi"/>
                <w:sz w:val="20"/>
                <w:szCs w:val="20"/>
              </w:rPr>
              <w:t>54.1</w:t>
            </w:r>
            <w:r w:rsidR="005A167A" w:rsidRPr="00CA5BF4">
              <w:rPr>
                <w:rFonts w:asciiTheme="minorHAnsi" w:hAnsiTheme="minorHAnsi" w:cstheme="minorHAnsi"/>
                <w:sz w:val="20"/>
                <w:szCs w:val="20"/>
              </w:rPr>
              <w:t>%</w:t>
            </w:r>
          </w:p>
        </w:tc>
        <w:tc>
          <w:tcPr>
            <w:tcW w:w="1144" w:type="dxa"/>
            <w:tcBorders>
              <w:top w:val="single" w:sz="4" w:space="0" w:color="auto"/>
              <w:left w:val="nil"/>
              <w:bottom w:val="single" w:sz="4" w:space="0" w:color="000000"/>
              <w:right w:val="single" w:sz="4" w:space="0" w:color="000000"/>
            </w:tcBorders>
          </w:tcPr>
          <w:p w14:paraId="31AD1B38" w14:textId="1179B04B" w:rsidR="005A167A" w:rsidRPr="00CA5BF4" w:rsidRDefault="00CA5BF4" w:rsidP="00516970">
            <w:pPr>
              <w:spacing w:after="0"/>
              <w:jc w:val="center"/>
              <w:rPr>
                <w:rFonts w:asciiTheme="minorHAnsi" w:hAnsiTheme="minorHAnsi" w:cstheme="minorHAnsi"/>
                <w:sz w:val="20"/>
                <w:szCs w:val="20"/>
              </w:rPr>
            </w:pPr>
            <w:r w:rsidRPr="00CA5BF4">
              <w:rPr>
                <w:rFonts w:asciiTheme="minorHAnsi" w:hAnsiTheme="minorHAnsi" w:cstheme="minorHAnsi"/>
                <w:sz w:val="20"/>
                <w:szCs w:val="20"/>
              </w:rPr>
              <w:t>59.5%</w:t>
            </w:r>
          </w:p>
        </w:tc>
      </w:tr>
      <w:tr w:rsidR="005A167A" w:rsidRPr="00F26259" w14:paraId="2F8FAF3C" w14:textId="28E3D41F" w:rsidTr="005A167A">
        <w:trPr>
          <w:trHeight w:val="215"/>
        </w:trPr>
        <w:tc>
          <w:tcPr>
            <w:tcW w:w="1170" w:type="dxa"/>
            <w:tcBorders>
              <w:top w:val="single" w:sz="4" w:space="0" w:color="auto"/>
              <w:left w:val="single" w:sz="4" w:space="0" w:color="000000"/>
              <w:bottom w:val="single" w:sz="4" w:space="0" w:color="000000"/>
              <w:right w:val="single" w:sz="4" w:space="0" w:color="000000"/>
            </w:tcBorders>
            <w:shd w:val="clear" w:color="auto" w:fill="auto"/>
            <w:noWrap/>
          </w:tcPr>
          <w:p w14:paraId="01040FC2" w14:textId="47628A1D" w:rsidR="005A167A" w:rsidRDefault="005A167A" w:rsidP="00A12B26">
            <w:pPr>
              <w:spacing w:after="0"/>
              <w:jc w:val="center"/>
              <w:rPr>
                <w:rFonts w:cs="Calibri"/>
                <w:sz w:val="20"/>
                <w:szCs w:val="20"/>
              </w:rPr>
            </w:pPr>
            <w:r>
              <w:rPr>
                <w:rFonts w:cs="Calibri"/>
                <w:sz w:val="20"/>
                <w:szCs w:val="20"/>
              </w:rPr>
              <w:t>AMB-ED</w:t>
            </w:r>
          </w:p>
        </w:tc>
        <w:tc>
          <w:tcPr>
            <w:tcW w:w="6930" w:type="dxa"/>
            <w:tcBorders>
              <w:top w:val="single" w:sz="4" w:space="0" w:color="auto"/>
              <w:left w:val="nil"/>
              <w:bottom w:val="single" w:sz="4" w:space="0" w:color="auto"/>
              <w:right w:val="single" w:sz="4" w:space="0" w:color="auto"/>
            </w:tcBorders>
            <w:shd w:val="clear" w:color="auto" w:fill="auto"/>
          </w:tcPr>
          <w:p w14:paraId="13DD3881" w14:textId="3D1F45E1" w:rsidR="005A167A" w:rsidRDefault="005A167A" w:rsidP="00A12B26">
            <w:pPr>
              <w:spacing w:after="0"/>
              <w:rPr>
                <w:rFonts w:cs="Calibri"/>
                <w:sz w:val="20"/>
                <w:szCs w:val="20"/>
              </w:rPr>
            </w:pPr>
            <w:r>
              <w:rPr>
                <w:rFonts w:cs="Calibri"/>
                <w:sz w:val="20"/>
                <w:szCs w:val="20"/>
              </w:rPr>
              <w:t>Ambulatory Care: Emergency Department Visits: Total 0-19 years</w:t>
            </w:r>
          </w:p>
        </w:tc>
        <w:tc>
          <w:tcPr>
            <w:tcW w:w="1080" w:type="dxa"/>
            <w:tcBorders>
              <w:top w:val="single" w:sz="4" w:space="0" w:color="auto"/>
              <w:bottom w:val="single" w:sz="4" w:space="0" w:color="auto"/>
              <w:right w:val="single" w:sz="4" w:space="0" w:color="auto"/>
            </w:tcBorders>
            <w:vAlign w:val="center"/>
          </w:tcPr>
          <w:p w14:paraId="28CD7B17" w14:textId="1EC9C55D" w:rsidR="005A167A" w:rsidRPr="004A1A02" w:rsidRDefault="005A167A" w:rsidP="00A12B26">
            <w:pPr>
              <w:spacing w:after="0"/>
              <w:jc w:val="center"/>
              <w:rPr>
                <w:rFonts w:asciiTheme="minorHAnsi" w:hAnsiTheme="minorHAnsi" w:cstheme="minorHAnsi"/>
                <w:sz w:val="20"/>
                <w:szCs w:val="20"/>
              </w:rPr>
            </w:pPr>
            <w:r>
              <w:rPr>
                <w:rFonts w:asciiTheme="minorHAnsi" w:hAnsiTheme="minorHAnsi" w:cstheme="minorHAnsi"/>
                <w:sz w:val="20"/>
                <w:szCs w:val="20"/>
              </w:rPr>
              <w:t>23.4/1000</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DF7F89B" w14:textId="2EC7AC29" w:rsidR="005A167A" w:rsidRPr="004A1A02" w:rsidRDefault="005A167A" w:rsidP="00A12B26">
            <w:pPr>
              <w:spacing w:after="0"/>
              <w:jc w:val="center"/>
              <w:rPr>
                <w:rFonts w:asciiTheme="minorHAnsi" w:hAnsiTheme="minorHAnsi" w:cstheme="minorHAnsi"/>
                <w:sz w:val="20"/>
                <w:szCs w:val="20"/>
              </w:rPr>
            </w:pPr>
            <w:r>
              <w:rPr>
                <w:rFonts w:asciiTheme="minorHAnsi" w:hAnsiTheme="minorHAnsi" w:cstheme="minorHAnsi"/>
                <w:sz w:val="20"/>
                <w:szCs w:val="20"/>
              </w:rPr>
              <w:t>29.4/1000</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D09534C" w14:textId="1D77CC6A" w:rsidR="005A167A" w:rsidRPr="004A1A02" w:rsidRDefault="005A167A" w:rsidP="00A12B26">
            <w:pPr>
              <w:spacing w:after="0"/>
              <w:jc w:val="center"/>
              <w:rPr>
                <w:rFonts w:asciiTheme="minorHAnsi" w:hAnsiTheme="minorHAnsi" w:cstheme="minorHAnsi"/>
                <w:sz w:val="20"/>
                <w:szCs w:val="20"/>
              </w:rPr>
            </w:pPr>
            <w:r>
              <w:rPr>
                <w:rFonts w:asciiTheme="minorHAnsi" w:hAnsiTheme="minorHAnsi" w:cstheme="minorHAnsi"/>
                <w:sz w:val="20"/>
                <w:szCs w:val="20"/>
              </w:rPr>
              <w:t>36.0/1000</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tcPr>
          <w:p w14:paraId="49CD6BF1" w14:textId="4B138467" w:rsidR="005A167A" w:rsidRPr="00C15EB1" w:rsidRDefault="0030087B" w:rsidP="00A12B26">
            <w:pPr>
              <w:spacing w:after="0"/>
              <w:jc w:val="center"/>
              <w:rPr>
                <w:rFonts w:asciiTheme="minorHAnsi" w:hAnsiTheme="minorHAnsi" w:cstheme="minorHAnsi"/>
                <w:sz w:val="20"/>
                <w:szCs w:val="20"/>
              </w:rPr>
            </w:pPr>
            <w:r w:rsidRPr="00C15EB1">
              <w:rPr>
                <w:rFonts w:asciiTheme="minorHAnsi" w:hAnsiTheme="minorHAnsi" w:cstheme="minorHAnsi"/>
                <w:sz w:val="20"/>
                <w:szCs w:val="20"/>
              </w:rPr>
              <w:t>36.2%</w:t>
            </w:r>
          </w:p>
        </w:tc>
        <w:tc>
          <w:tcPr>
            <w:tcW w:w="1144" w:type="dxa"/>
            <w:tcBorders>
              <w:top w:val="single" w:sz="4" w:space="0" w:color="auto"/>
              <w:left w:val="nil"/>
              <w:bottom w:val="single" w:sz="4" w:space="0" w:color="000000"/>
              <w:right w:val="single" w:sz="4" w:space="0" w:color="000000"/>
            </w:tcBorders>
            <w:shd w:val="clear" w:color="auto" w:fill="auto"/>
            <w:noWrap/>
          </w:tcPr>
          <w:p w14:paraId="68B2D484" w14:textId="3F99625A" w:rsidR="005A167A" w:rsidRPr="00C15EB1" w:rsidRDefault="00C15EB1" w:rsidP="00A12B26">
            <w:pPr>
              <w:spacing w:after="0"/>
              <w:jc w:val="center"/>
              <w:rPr>
                <w:rFonts w:asciiTheme="minorHAnsi" w:hAnsiTheme="minorHAnsi" w:cstheme="minorHAnsi"/>
                <w:sz w:val="20"/>
                <w:szCs w:val="20"/>
              </w:rPr>
            </w:pPr>
            <w:r w:rsidRPr="00C15EB1">
              <w:rPr>
                <w:rFonts w:asciiTheme="minorHAnsi" w:hAnsiTheme="minorHAnsi" w:cstheme="minorHAnsi"/>
                <w:sz w:val="20"/>
                <w:szCs w:val="20"/>
              </w:rPr>
              <w:t>31.9%</w:t>
            </w:r>
          </w:p>
        </w:tc>
        <w:tc>
          <w:tcPr>
            <w:tcW w:w="1144" w:type="dxa"/>
            <w:tcBorders>
              <w:top w:val="single" w:sz="4" w:space="0" w:color="auto"/>
              <w:left w:val="nil"/>
              <w:bottom w:val="single" w:sz="4" w:space="0" w:color="000000"/>
              <w:right w:val="single" w:sz="4" w:space="0" w:color="000000"/>
            </w:tcBorders>
          </w:tcPr>
          <w:p w14:paraId="474D6714" w14:textId="7A0546A6" w:rsidR="005A167A" w:rsidRPr="00C15EB1" w:rsidRDefault="00C15EB1" w:rsidP="00A12B26">
            <w:pPr>
              <w:spacing w:after="0"/>
              <w:jc w:val="center"/>
              <w:rPr>
                <w:rFonts w:asciiTheme="minorHAnsi" w:hAnsiTheme="minorHAnsi" w:cstheme="minorHAnsi"/>
                <w:sz w:val="20"/>
                <w:szCs w:val="20"/>
              </w:rPr>
            </w:pPr>
            <w:r w:rsidRPr="00C15EB1">
              <w:rPr>
                <w:rFonts w:asciiTheme="minorHAnsi" w:hAnsiTheme="minorHAnsi" w:cstheme="minorHAnsi"/>
                <w:sz w:val="20"/>
                <w:szCs w:val="20"/>
              </w:rPr>
              <w:t>26.0%</w:t>
            </w:r>
          </w:p>
        </w:tc>
      </w:tr>
      <w:tr w:rsidR="005A167A" w:rsidRPr="00F26259" w14:paraId="476608CF" w14:textId="3E0DEF59" w:rsidTr="005A167A">
        <w:trPr>
          <w:trHeight w:val="290"/>
        </w:trPr>
        <w:tc>
          <w:tcPr>
            <w:tcW w:w="1170" w:type="dxa"/>
            <w:tcBorders>
              <w:top w:val="nil"/>
              <w:left w:val="single" w:sz="4" w:space="0" w:color="000000"/>
              <w:bottom w:val="single" w:sz="4" w:space="0" w:color="000000"/>
              <w:right w:val="single" w:sz="4" w:space="0" w:color="000000"/>
            </w:tcBorders>
            <w:shd w:val="clear" w:color="auto" w:fill="auto"/>
            <w:noWrap/>
          </w:tcPr>
          <w:p w14:paraId="4B866DF8" w14:textId="77777777" w:rsidR="005A167A" w:rsidRPr="00F26259" w:rsidRDefault="005A167A" w:rsidP="00516970">
            <w:pPr>
              <w:spacing w:after="0"/>
              <w:jc w:val="center"/>
              <w:rPr>
                <w:rFonts w:asciiTheme="minorHAnsi" w:eastAsia="Times New Roman" w:hAnsiTheme="minorHAnsi" w:cstheme="minorHAnsi"/>
                <w:color w:val="000000"/>
                <w:sz w:val="20"/>
                <w:szCs w:val="20"/>
              </w:rPr>
            </w:pPr>
            <w:r>
              <w:rPr>
                <w:rFonts w:cs="Calibri"/>
                <w:color w:val="000000"/>
                <w:sz w:val="20"/>
                <w:szCs w:val="20"/>
              </w:rPr>
              <w:t>AMR</w:t>
            </w:r>
          </w:p>
        </w:tc>
        <w:tc>
          <w:tcPr>
            <w:tcW w:w="6930" w:type="dxa"/>
            <w:tcBorders>
              <w:top w:val="nil"/>
              <w:left w:val="nil"/>
              <w:bottom w:val="single" w:sz="4" w:space="0" w:color="auto"/>
              <w:right w:val="single" w:sz="4" w:space="0" w:color="auto"/>
            </w:tcBorders>
            <w:shd w:val="clear" w:color="auto" w:fill="auto"/>
          </w:tcPr>
          <w:p w14:paraId="7F35A5B2" w14:textId="1212CA4C" w:rsidR="005A167A" w:rsidRPr="00F26259" w:rsidRDefault="005A167A" w:rsidP="00516970">
            <w:pPr>
              <w:spacing w:after="0"/>
              <w:rPr>
                <w:rFonts w:asciiTheme="minorHAnsi" w:eastAsia="Times New Roman" w:hAnsiTheme="minorHAnsi" w:cstheme="minorHAnsi"/>
                <w:sz w:val="20"/>
                <w:szCs w:val="20"/>
              </w:rPr>
            </w:pPr>
            <w:r>
              <w:rPr>
                <w:rFonts w:cs="Calibri"/>
                <w:sz w:val="20"/>
                <w:szCs w:val="20"/>
              </w:rPr>
              <w:t>Asthma Medication Ratio: Ages 5 -11</w:t>
            </w:r>
          </w:p>
        </w:tc>
        <w:tc>
          <w:tcPr>
            <w:tcW w:w="1080" w:type="dxa"/>
            <w:tcBorders>
              <w:top w:val="single" w:sz="4" w:space="0" w:color="auto"/>
              <w:bottom w:val="single" w:sz="4" w:space="0" w:color="auto"/>
              <w:right w:val="single" w:sz="4" w:space="0" w:color="auto"/>
            </w:tcBorders>
            <w:vAlign w:val="center"/>
          </w:tcPr>
          <w:p w14:paraId="170FC672" w14:textId="79934138" w:rsidR="005A167A" w:rsidRPr="004A1A02" w:rsidRDefault="005A167A" w:rsidP="00516970">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73.8%</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8229F5D" w14:textId="34BA257E" w:rsidR="005A167A" w:rsidRPr="004A1A02"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65.5%</w:t>
            </w:r>
          </w:p>
        </w:tc>
        <w:tc>
          <w:tcPr>
            <w:tcW w:w="117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3489CCE" w14:textId="516EB5A9" w:rsidR="005A167A" w:rsidRPr="004A1A02"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65.7%</w:t>
            </w:r>
          </w:p>
        </w:tc>
        <w:tc>
          <w:tcPr>
            <w:tcW w:w="1350" w:type="dxa"/>
            <w:tcBorders>
              <w:top w:val="nil"/>
              <w:left w:val="single" w:sz="4" w:space="0" w:color="auto"/>
              <w:bottom w:val="single" w:sz="4" w:space="0" w:color="000000"/>
              <w:right w:val="single" w:sz="4" w:space="0" w:color="000000"/>
            </w:tcBorders>
            <w:shd w:val="clear" w:color="auto" w:fill="auto"/>
            <w:noWrap/>
            <w:vAlign w:val="center"/>
          </w:tcPr>
          <w:p w14:paraId="00666F09" w14:textId="7B09A7F7" w:rsidR="005A167A" w:rsidRPr="00F65E69" w:rsidRDefault="00F65E69" w:rsidP="00516970">
            <w:pPr>
              <w:spacing w:after="0"/>
              <w:jc w:val="center"/>
              <w:rPr>
                <w:rFonts w:asciiTheme="minorHAnsi" w:eastAsia="Times New Roman" w:hAnsiTheme="minorHAnsi" w:cstheme="minorHAnsi"/>
                <w:sz w:val="20"/>
                <w:szCs w:val="20"/>
              </w:rPr>
            </w:pPr>
            <w:r w:rsidRPr="00F65E69">
              <w:rPr>
                <w:rFonts w:asciiTheme="minorHAnsi" w:eastAsia="Times New Roman" w:hAnsiTheme="minorHAnsi" w:cstheme="minorHAnsi"/>
                <w:sz w:val="20"/>
                <w:szCs w:val="20"/>
              </w:rPr>
              <w:t>73.2</w:t>
            </w:r>
            <w:r w:rsidR="005A167A" w:rsidRPr="00F65E69">
              <w:rPr>
                <w:rFonts w:asciiTheme="minorHAnsi" w:eastAsia="Times New Roman" w:hAnsiTheme="minorHAnsi" w:cstheme="minorHAnsi"/>
                <w:sz w:val="20"/>
                <w:szCs w:val="20"/>
              </w:rPr>
              <w:t>%</w:t>
            </w:r>
          </w:p>
        </w:tc>
        <w:tc>
          <w:tcPr>
            <w:tcW w:w="1144" w:type="dxa"/>
            <w:tcBorders>
              <w:top w:val="nil"/>
              <w:left w:val="nil"/>
              <w:bottom w:val="single" w:sz="4" w:space="0" w:color="000000"/>
              <w:right w:val="single" w:sz="4" w:space="0" w:color="000000"/>
            </w:tcBorders>
            <w:shd w:val="clear" w:color="auto" w:fill="auto"/>
            <w:noWrap/>
            <w:vAlign w:val="center"/>
          </w:tcPr>
          <w:p w14:paraId="74BE6643" w14:textId="451E967A" w:rsidR="005A167A" w:rsidRPr="00F65E69" w:rsidRDefault="00F65E69" w:rsidP="00516970">
            <w:pPr>
              <w:spacing w:after="0"/>
              <w:jc w:val="center"/>
              <w:rPr>
                <w:rFonts w:asciiTheme="minorHAnsi" w:eastAsia="Times New Roman" w:hAnsiTheme="minorHAnsi" w:cstheme="minorHAnsi"/>
                <w:sz w:val="20"/>
                <w:szCs w:val="20"/>
              </w:rPr>
            </w:pPr>
            <w:r w:rsidRPr="00F65E69">
              <w:rPr>
                <w:rFonts w:asciiTheme="minorHAnsi" w:eastAsia="Times New Roman" w:hAnsiTheme="minorHAnsi" w:cstheme="minorHAnsi"/>
                <w:sz w:val="20"/>
                <w:szCs w:val="20"/>
              </w:rPr>
              <w:t>77.3</w:t>
            </w:r>
            <w:r w:rsidR="005A167A" w:rsidRPr="00F65E69">
              <w:rPr>
                <w:rFonts w:asciiTheme="minorHAnsi" w:eastAsia="Times New Roman" w:hAnsiTheme="minorHAnsi" w:cstheme="minorHAnsi"/>
                <w:sz w:val="20"/>
                <w:szCs w:val="20"/>
              </w:rPr>
              <w:t>%</w:t>
            </w:r>
          </w:p>
        </w:tc>
        <w:tc>
          <w:tcPr>
            <w:tcW w:w="1144" w:type="dxa"/>
            <w:tcBorders>
              <w:top w:val="nil"/>
              <w:left w:val="nil"/>
              <w:bottom w:val="single" w:sz="4" w:space="0" w:color="000000"/>
              <w:right w:val="single" w:sz="4" w:space="0" w:color="000000"/>
            </w:tcBorders>
          </w:tcPr>
          <w:p w14:paraId="37A408CB" w14:textId="57080A0D" w:rsidR="005A167A" w:rsidRPr="00F65E69" w:rsidRDefault="00F65E69" w:rsidP="00516970">
            <w:pPr>
              <w:spacing w:after="0"/>
              <w:jc w:val="center"/>
              <w:rPr>
                <w:rFonts w:asciiTheme="minorHAnsi" w:eastAsia="Times New Roman" w:hAnsiTheme="minorHAnsi" w:cstheme="minorHAnsi"/>
                <w:sz w:val="20"/>
                <w:szCs w:val="20"/>
              </w:rPr>
            </w:pPr>
            <w:r w:rsidRPr="00F65E69">
              <w:rPr>
                <w:rFonts w:asciiTheme="minorHAnsi" w:eastAsia="Times New Roman" w:hAnsiTheme="minorHAnsi" w:cstheme="minorHAnsi"/>
                <w:sz w:val="20"/>
                <w:szCs w:val="20"/>
              </w:rPr>
              <w:t>80.7%</w:t>
            </w:r>
          </w:p>
        </w:tc>
      </w:tr>
      <w:tr w:rsidR="005A167A" w:rsidRPr="00F26259" w14:paraId="06D73DC2" w14:textId="337B2AAB" w:rsidTr="005A167A">
        <w:trPr>
          <w:trHeight w:val="215"/>
        </w:trPr>
        <w:tc>
          <w:tcPr>
            <w:tcW w:w="1170" w:type="dxa"/>
            <w:tcBorders>
              <w:top w:val="single" w:sz="4" w:space="0" w:color="auto"/>
              <w:left w:val="single" w:sz="4" w:space="0" w:color="000000"/>
              <w:bottom w:val="single" w:sz="4" w:space="0" w:color="000000"/>
              <w:right w:val="single" w:sz="4" w:space="0" w:color="000000"/>
            </w:tcBorders>
            <w:shd w:val="clear" w:color="auto" w:fill="auto"/>
            <w:noWrap/>
          </w:tcPr>
          <w:p w14:paraId="1D2BC0C5" w14:textId="65781590" w:rsidR="005A167A" w:rsidRDefault="005A167A" w:rsidP="00516970">
            <w:pPr>
              <w:spacing w:after="0"/>
              <w:jc w:val="center"/>
              <w:rPr>
                <w:rFonts w:cs="Calibri"/>
                <w:sz w:val="20"/>
                <w:szCs w:val="20"/>
              </w:rPr>
            </w:pPr>
            <w:r>
              <w:rPr>
                <w:rFonts w:cs="Calibri"/>
                <w:color w:val="000000"/>
                <w:sz w:val="20"/>
                <w:szCs w:val="20"/>
              </w:rPr>
              <w:t>AMR</w:t>
            </w:r>
          </w:p>
        </w:tc>
        <w:tc>
          <w:tcPr>
            <w:tcW w:w="6930" w:type="dxa"/>
            <w:tcBorders>
              <w:top w:val="single" w:sz="4" w:space="0" w:color="auto"/>
              <w:left w:val="nil"/>
              <w:bottom w:val="single" w:sz="4" w:space="0" w:color="auto"/>
              <w:right w:val="single" w:sz="4" w:space="0" w:color="auto"/>
            </w:tcBorders>
            <w:shd w:val="clear" w:color="auto" w:fill="auto"/>
          </w:tcPr>
          <w:p w14:paraId="328F11FF" w14:textId="0CBF25E2" w:rsidR="005A167A" w:rsidRDefault="005A167A" w:rsidP="00516970">
            <w:pPr>
              <w:spacing w:after="0"/>
              <w:rPr>
                <w:rFonts w:cs="Calibri"/>
                <w:sz w:val="20"/>
                <w:szCs w:val="20"/>
              </w:rPr>
            </w:pPr>
            <w:r>
              <w:rPr>
                <w:rFonts w:cs="Calibri"/>
                <w:sz w:val="20"/>
                <w:szCs w:val="20"/>
              </w:rPr>
              <w:t>Asthma Medication Ratio: Ages 12-18</w:t>
            </w:r>
          </w:p>
        </w:tc>
        <w:tc>
          <w:tcPr>
            <w:tcW w:w="1080" w:type="dxa"/>
            <w:tcBorders>
              <w:top w:val="single" w:sz="4" w:space="0" w:color="auto"/>
              <w:bottom w:val="single" w:sz="4" w:space="0" w:color="auto"/>
              <w:right w:val="single" w:sz="4" w:space="0" w:color="auto"/>
            </w:tcBorders>
            <w:vAlign w:val="center"/>
          </w:tcPr>
          <w:p w14:paraId="201B59DF" w14:textId="2139FC3A" w:rsidR="005A167A" w:rsidRPr="004A1A02" w:rsidRDefault="005A167A" w:rsidP="00516970">
            <w:pPr>
              <w:spacing w:after="0"/>
              <w:jc w:val="center"/>
              <w:rPr>
                <w:rFonts w:asciiTheme="minorHAnsi" w:hAnsiTheme="minorHAnsi" w:cstheme="minorHAnsi"/>
                <w:sz w:val="20"/>
                <w:szCs w:val="20"/>
              </w:rPr>
            </w:pPr>
            <w:r w:rsidRPr="004A1A02">
              <w:rPr>
                <w:rFonts w:asciiTheme="minorHAnsi" w:hAnsiTheme="minorHAnsi" w:cstheme="minorHAnsi"/>
                <w:sz w:val="20"/>
                <w:szCs w:val="20"/>
              </w:rPr>
              <w:t>65.1%</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5B2219A" w14:textId="4E3751AD" w:rsidR="005A167A" w:rsidRPr="004A1A02" w:rsidRDefault="005A167A" w:rsidP="00516970">
            <w:pPr>
              <w:spacing w:after="0"/>
              <w:jc w:val="center"/>
              <w:rPr>
                <w:rFonts w:asciiTheme="minorHAnsi" w:hAnsiTheme="minorHAnsi" w:cstheme="minorHAnsi"/>
                <w:sz w:val="20"/>
                <w:szCs w:val="20"/>
              </w:rPr>
            </w:pPr>
            <w:r>
              <w:rPr>
                <w:rFonts w:asciiTheme="minorHAnsi" w:hAnsiTheme="minorHAnsi" w:cstheme="minorHAnsi"/>
                <w:sz w:val="20"/>
                <w:szCs w:val="20"/>
              </w:rPr>
              <w:t>61.9%</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DBFF31B" w14:textId="6336DFB7" w:rsidR="005A167A" w:rsidRPr="004A1A02" w:rsidRDefault="005A167A" w:rsidP="00516970">
            <w:pPr>
              <w:spacing w:after="0"/>
              <w:jc w:val="center"/>
              <w:rPr>
                <w:rFonts w:asciiTheme="minorHAnsi" w:hAnsiTheme="minorHAnsi" w:cstheme="minorHAnsi"/>
                <w:sz w:val="20"/>
                <w:szCs w:val="20"/>
              </w:rPr>
            </w:pPr>
            <w:r>
              <w:rPr>
                <w:rFonts w:asciiTheme="minorHAnsi" w:hAnsiTheme="minorHAnsi" w:cstheme="minorHAnsi"/>
                <w:sz w:val="20"/>
                <w:szCs w:val="20"/>
              </w:rPr>
              <w:t>62.5%</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3B59338E" w14:textId="5728525F" w:rsidR="005A167A" w:rsidRPr="00647138" w:rsidRDefault="00647138" w:rsidP="00516970">
            <w:pPr>
              <w:spacing w:after="0"/>
              <w:jc w:val="center"/>
              <w:rPr>
                <w:rFonts w:asciiTheme="minorHAnsi" w:hAnsiTheme="minorHAnsi" w:cstheme="minorHAnsi"/>
                <w:sz w:val="20"/>
                <w:szCs w:val="20"/>
              </w:rPr>
            </w:pPr>
            <w:r w:rsidRPr="00647138">
              <w:rPr>
                <w:rFonts w:asciiTheme="minorHAnsi" w:hAnsiTheme="minorHAnsi" w:cstheme="minorHAnsi"/>
                <w:sz w:val="20"/>
                <w:szCs w:val="20"/>
              </w:rPr>
              <w:t>64.8</w:t>
            </w:r>
            <w:r w:rsidR="005A167A" w:rsidRPr="00647138">
              <w:rPr>
                <w:rFonts w:asciiTheme="minorHAnsi" w:hAnsiTheme="minorHAnsi" w:cstheme="minorHAnsi"/>
                <w:sz w:val="20"/>
                <w:szCs w:val="20"/>
              </w:rPr>
              <w:t>%</w:t>
            </w:r>
          </w:p>
        </w:tc>
        <w:tc>
          <w:tcPr>
            <w:tcW w:w="1144" w:type="dxa"/>
            <w:tcBorders>
              <w:top w:val="single" w:sz="4" w:space="0" w:color="auto"/>
              <w:left w:val="nil"/>
              <w:bottom w:val="single" w:sz="4" w:space="0" w:color="000000"/>
              <w:right w:val="single" w:sz="4" w:space="0" w:color="000000"/>
            </w:tcBorders>
            <w:shd w:val="clear" w:color="auto" w:fill="auto"/>
            <w:noWrap/>
            <w:vAlign w:val="center"/>
          </w:tcPr>
          <w:p w14:paraId="681BA008" w14:textId="48E4C94F" w:rsidR="005A167A" w:rsidRPr="00647138" w:rsidRDefault="00647138" w:rsidP="00516970">
            <w:pPr>
              <w:spacing w:after="0"/>
              <w:jc w:val="center"/>
              <w:rPr>
                <w:rFonts w:asciiTheme="minorHAnsi" w:hAnsiTheme="minorHAnsi" w:cstheme="minorHAnsi"/>
                <w:sz w:val="20"/>
                <w:szCs w:val="20"/>
              </w:rPr>
            </w:pPr>
            <w:r w:rsidRPr="00647138">
              <w:rPr>
                <w:rFonts w:asciiTheme="minorHAnsi" w:hAnsiTheme="minorHAnsi" w:cstheme="minorHAnsi"/>
                <w:sz w:val="20"/>
                <w:szCs w:val="20"/>
              </w:rPr>
              <w:t>68.8</w:t>
            </w:r>
            <w:r w:rsidR="005A167A" w:rsidRPr="00647138">
              <w:rPr>
                <w:rFonts w:asciiTheme="minorHAnsi" w:hAnsiTheme="minorHAnsi" w:cstheme="minorHAnsi"/>
                <w:sz w:val="20"/>
                <w:szCs w:val="20"/>
              </w:rPr>
              <w:t>%</w:t>
            </w:r>
          </w:p>
        </w:tc>
        <w:tc>
          <w:tcPr>
            <w:tcW w:w="1144" w:type="dxa"/>
            <w:tcBorders>
              <w:top w:val="single" w:sz="4" w:space="0" w:color="auto"/>
              <w:left w:val="nil"/>
              <w:bottom w:val="single" w:sz="4" w:space="0" w:color="000000"/>
              <w:right w:val="single" w:sz="4" w:space="0" w:color="000000"/>
            </w:tcBorders>
          </w:tcPr>
          <w:p w14:paraId="1720B24C" w14:textId="597812D5" w:rsidR="005A167A" w:rsidRPr="00647138" w:rsidRDefault="00647138" w:rsidP="00516970">
            <w:pPr>
              <w:spacing w:after="0"/>
              <w:jc w:val="center"/>
              <w:rPr>
                <w:rFonts w:asciiTheme="minorHAnsi" w:hAnsiTheme="minorHAnsi" w:cstheme="minorHAnsi"/>
                <w:sz w:val="20"/>
                <w:szCs w:val="20"/>
              </w:rPr>
            </w:pPr>
            <w:r w:rsidRPr="00647138">
              <w:rPr>
                <w:rFonts w:asciiTheme="minorHAnsi" w:hAnsiTheme="minorHAnsi" w:cstheme="minorHAnsi"/>
                <w:sz w:val="20"/>
                <w:szCs w:val="20"/>
              </w:rPr>
              <w:t>72.5%</w:t>
            </w:r>
          </w:p>
        </w:tc>
      </w:tr>
      <w:tr w:rsidR="005A167A" w:rsidRPr="00F26259" w14:paraId="206AE02C" w14:textId="26F6AD40" w:rsidTr="005A167A">
        <w:trPr>
          <w:trHeight w:val="215"/>
        </w:trPr>
        <w:tc>
          <w:tcPr>
            <w:tcW w:w="1170" w:type="dxa"/>
            <w:tcBorders>
              <w:top w:val="single" w:sz="4" w:space="0" w:color="auto"/>
              <w:left w:val="single" w:sz="4" w:space="0" w:color="000000"/>
              <w:bottom w:val="single" w:sz="4" w:space="0" w:color="000000"/>
              <w:right w:val="single" w:sz="4" w:space="0" w:color="000000"/>
            </w:tcBorders>
            <w:shd w:val="clear" w:color="auto" w:fill="auto"/>
            <w:noWrap/>
          </w:tcPr>
          <w:p w14:paraId="65E6E1D0" w14:textId="0EE1A9E1" w:rsidR="005A167A" w:rsidRDefault="005A167A" w:rsidP="00516970">
            <w:pPr>
              <w:spacing w:after="0"/>
              <w:jc w:val="center"/>
              <w:rPr>
                <w:rFonts w:cs="Calibri"/>
                <w:color w:val="000000"/>
                <w:sz w:val="20"/>
                <w:szCs w:val="20"/>
              </w:rPr>
            </w:pPr>
            <w:r>
              <w:rPr>
                <w:rFonts w:cs="Calibri"/>
                <w:color w:val="000000"/>
                <w:sz w:val="20"/>
                <w:szCs w:val="20"/>
              </w:rPr>
              <w:t>AMR</w:t>
            </w:r>
          </w:p>
        </w:tc>
        <w:tc>
          <w:tcPr>
            <w:tcW w:w="6930" w:type="dxa"/>
            <w:tcBorders>
              <w:top w:val="single" w:sz="4" w:space="0" w:color="auto"/>
              <w:left w:val="nil"/>
              <w:bottom w:val="single" w:sz="4" w:space="0" w:color="auto"/>
              <w:right w:val="single" w:sz="4" w:space="0" w:color="auto"/>
            </w:tcBorders>
            <w:shd w:val="clear" w:color="auto" w:fill="auto"/>
          </w:tcPr>
          <w:p w14:paraId="6571D7AE" w14:textId="36619FBB" w:rsidR="005A167A" w:rsidRDefault="005A167A" w:rsidP="00516970">
            <w:pPr>
              <w:spacing w:after="0"/>
              <w:rPr>
                <w:rFonts w:cs="Calibri"/>
                <w:sz w:val="20"/>
                <w:szCs w:val="20"/>
              </w:rPr>
            </w:pPr>
            <w:r>
              <w:rPr>
                <w:rFonts w:cs="Calibri"/>
                <w:sz w:val="20"/>
                <w:szCs w:val="20"/>
              </w:rPr>
              <w:t>Asthma Medication Ratio: Total Ages 5-18</w:t>
            </w:r>
          </w:p>
        </w:tc>
        <w:tc>
          <w:tcPr>
            <w:tcW w:w="1080" w:type="dxa"/>
            <w:tcBorders>
              <w:top w:val="single" w:sz="4" w:space="0" w:color="auto"/>
              <w:bottom w:val="single" w:sz="4" w:space="0" w:color="auto"/>
              <w:right w:val="single" w:sz="4" w:space="0" w:color="auto"/>
            </w:tcBorders>
            <w:vAlign w:val="center"/>
          </w:tcPr>
          <w:p w14:paraId="5B6C165C" w14:textId="1F5AB24D" w:rsidR="005A167A" w:rsidRPr="004A1A02" w:rsidRDefault="005A167A" w:rsidP="00516970">
            <w:pPr>
              <w:spacing w:after="0"/>
              <w:jc w:val="center"/>
              <w:rPr>
                <w:rFonts w:asciiTheme="minorHAnsi" w:hAnsiTheme="minorHAnsi" w:cstheme="minorHAnsi"/>
                <w:sz w:val="20"/>
                <w:szCs w:val="20"/>
              </w:rPr>
            </w:pPr>
            <w:r>
              <w:rPr>
                <w:rFonts w:asciiTheme="minorHAnsi" w:hAnsiTheme="minorHAnsi" w:cstheme="minorHAnsi"/>
                <w:sz w:val="20"/>
                <w:szCs w:val="20"/>
              </w:rPr>
              <w:t>69.7%</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CA2B3B1" w14:textId="125696A2" w:rsidR="005A167A" w:rsidRPr="004A1A02" w:rsidRDefault="005A167A" w:rsidP="00516970">
            <w:pPr>
              <w:spacing w:after="0"/>
              <w:jc w:val="center"/>
              <w:rPr>
                <w:rFonts w:asciiTheme="minorHAnsi" w:hAnsiTheme="minorHAnsi" w:cstheme="minorHAnsi"/>
                <w:sz w:val="20"/>
                <w:szCs w:val="20"/>
              </w:rPr>
            </w:pPr>
            <w:r>
              <w:rPr>
                <w:rFonts w:asciiTheme="minorHAnsi" w:hAnsiTheme="minorHAnsi" w:cstheme="minorHAnsi"/>
                <w:sz w:val="20"/>
                <w:szCs w:val="20"/>
              </w:rPr>
              <w:t>63.7%</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8D47932" w14:textId="2EA59516" w:rsidR="005A167A" w:rsidRPr="004A1A02" w:rsidRDefault="005A167A" w:rsidP="00516970">
            <w:pPr>
              <w:spacing w:after="0"/>
              <w:jc w:val="center"/>
              <w:rPr>
                <w:rFonts w:asciiTheme="minorHAnsi" w:hAnsiTheme="minorHAnsi" w:cstheme="minorHAnsi"/>
                <w:sz w:val="20"/>
                <w:szCs w:val="20"/>
              </w:rPr>
            </w:pPr>
            <w:r>
              <w:rPr>
                <w:rFonts w:asciiTheme="minorHAnsi" w:hAnsiTheme="minorHAnsi" w:cstheme="minorHAnsi"/>
                <w:sz w:val="20"/>
                <w:szCs w:val="20"/>
              </w:rPr>
              <w:t>64.1%</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3A3A6295" w14:textId="19AFA0D6" w:rsidR="005A167A" w:rsidRPr="006311D5" w:rsidRDefault="006311D5" w:rsidP="00516970">
            <w:pPr>
              <w:spacing w:after="0"/>
              <w:jc w:val="center"/>
              <w:rPr>
                <w:rFonts w:asciiTheme="minorHAnsi" w:hAnsiTheme="minorHAnsi" w:cstheme="minorHAnsi"/>
                <w:sz w:val="20"/>
                <w:szCs w:val="20"/>
              </w:rPr>
            </w:pPr>
            <w:r w:rsidRPr="006311D5">
              <w:rPr>
                <w:rFonts w:asciiTheme="minorHAnsi" w:hAnsiTheme="minorHAnsi" w:cstheme="minorHAnsi"/>
                <w:sz w:val="20"/>
                <w:szCs w:val="20"/>
              </w:rPr>
              <w:t>68.1%</w:t>
            </w:r>
          </w:p>
        </w:tc>
        <w:tc>
          <w:tcPr>
            <w:tcW w:w="1144" w:type="dxa"/>
            <w:tcBorders>
              <w:top w:val="single" w:sz="4" w:space="0" w:color="auto"/>
              <w:left w:val="nil"/>
              <w:bottom w:val="single" w:sz="4" w:space="0" w:color="000000"/>
              <w:right w:val="single" w:sz="4" w:space="0" w:color="000000"/>
            </w:tcBorders>
            <w:shd w:val="clear" w:color="auto" w:fill="auto"/>
            <w:noWrap/>
            <w:vAlign w:val="center"/>
          </w:tcPr>
          <w:p w14:paraId="6CE4CBC9" w14:textId="595215E6" w:rsidR="005A167A" w:rsidRPr="006311D5" w:rsidRDefault="006311D5" w:rsidP="00516970">
            <w:pPr>
              <w:spacing w:after="0"/>
              <w:jc w:val="center"/>
              <w:rPr>
                <w:rFonts w:asciiTheme="minorHAnsi" w:hAnsiTheme="minorHAnsi" w:cstheme="minorHAnsi"/>
                <w:sz w:val="20"/>
                <w:szCs w:val="20"/>
              </w:rPr>
            </w:pPr>
            <w:r w:rsidRPr="006311D5">
              <w:rPr>
                <w:rFonts w:asciiTheme="minorHAnsi" w:hAnsiTheme="minorHAnsi" w:cstheme="minorHAnsi"/>
                <w:sz w:val="20"/>
                <w:szCs w:val="20"/>
              </w:rPr>
              <w:t>73.1%</w:t>
            </w:r>
          </w:p>
        </w:tc>
        <w:tc>
          <w:tcPr>
            <w:tcW w:w="1144" w:type="dxa"/>
            <w:tcBorders>
              <w:top w:val="single" w:sz="4" w:space="0" w:color="auto"/>
              <w:left w:val="nil"/>
              <w:bottom w:val="single" w:sz="4" w:space="0" w:color="000000"/>
              <w:right w:val="single" w:sz="4" w:space="0" w:color="000000"/>
            </w:tcBorders>
          </w:tcPr>
          <w:p w14:paraId="606135EF" w14:textId="14024397" w:rsidR="005A167A" w:rsidRPr="006311D5" w:rsidRDefault="006311D5" w:rsidP="00516970">
            <w:pPr>
              <w:spacing w:after="0"/>
              <w:jc w:val="center"/>
              <w:rPr>
                <w:rFonts w:asciiTheme="minorHAnsi" w:hAnsiTheme="minorHAnsi" w:cstheme="minorHAnsi"/>
                <w:sz w:val="20"/>
                <w:szCs w:val="20"/>
              </w:rPr>
            </w:pPr>
            <w:r w:rsidRPr="006311D5">
              <w:rPr>
                <w:rFonts w:asciiTheme="minorHAnsi" w:hAnsiTheme="minorHAnsi" w:cstheme="minorHAnsi"/>
                <w:sz w:val="20"/>
                <w:szCs w:val="20"/>
              </w:rPr>
              <w:t>76.5%</w:t>
            </w:r>
          </w:p>
        </w:tc>
      </w:tr>
      <w:tr w:rsidR="005A167A" w:rsidRPr="008272DA" w14:paraId="51C496CC" w14:textId="67BA5F81" w:rsidTr="005A167A">
        <w:trPr>
          <w:trHeight w:val="476"/>
        </w:trPr>
        <w:tc>
          <w:tcPr>
            <w:tcW w:w="1170" w:type="dxa"/>
            <w:tcBorders>
              <w:top w:val="nil"/>
              <w:left w:val="single" w:sz="4" w:space="0" w:color="000000"/>
              <w:bottom w:val="single" w:sz="4" w:space="0" w:color="000000"/>
              <w:right w:val="single" w:sz="4" w:space="0" w:color="000000"/>
            </w:tcBorders>
            <w:shd w:val="clear" w:color="auto" w:fill="auto"/>
            <w:noWrap/>
          </w:tcPr>
          <w:p w14:paraId="3E527F1A" w14:textId="77777777" w:rsidR="005A167A" w:rsidRPr="00F26259" w:rsidRDefault="005A167A" w:rsidP="00516970">
            <w:pPr>
              <w:spacing w:after="0"/>
              <w:jc w:val="center"/>
              <w:rPr>
                <w:rFonts w:asciiTheme="minorHAnsi" w:eastAsia="Times New Roman" w:hAnsiTheme="minorHAnsi" w:cstheme="minorHAnsi"/>
                <w:color w:val="000000"/>
                <w:sz w:val="20"/>
                <w:szCs w:val="20"/>
              </w:rPr>
            </w:pPr>
            <w:r>
              <w:rPr>
                <w:rFonts w:cs="Calibri"/>
                <w:color w:val="000000"/>
                <w:sz w:val="20"/>
                <w:szCs w:val="20"/>
              </w:rPr>
              <w:t>APM</w:t>
            </w:r>
          </w:p>
        </w:tc>
        <w:tc>
          <w:tcPr>
            <w:tcW w:w="6930" w:type="dxa"/>
            <w:tcBorders>
              <w:top w:val="nil"/>
              <w:left w:val="nil"/>
              <w:bottom w:val="single" w:sz="4" w:space="0" w:color="auto"/>
              <w:right w:val="single" w:sz="4" w:space="0" w:color="auto"/>
            </w:tcBorders>
            <w:shd w:val="clear" w:color="auto" w:fill="auto"/>
          </w:tcPr>
          <w:p w14:paraId="7DE2E919" w14:textId="6E0EAF21" w:rsidR="005A167A" w:rsidRPr="00F26259" w:rsidRDefault="005A167A" w:rsidP="00516970">
            <w:pPr>
              <w:spacing w:after="0"/>
              <w:rPr>
                <w:rFonts w:asciiTheme="minorHAnsi" w:eastAsia="Times New Roman" w:hAnsiTheme="minorHAnsi" w:cstheme="minorHAnsi"/>
                <w:sz w:val="20"/>
                <w:szCs w:val="20"/>
              </w:rPr>
            </w:pPr>
            <w:r>
              <w:rPr>
                <w:rFonts w:cs="Calibri"/>
                <w:sz w:val="20"/>
                <w:szCs w:val="20"/>
              </w:rPr>
              <w:t>Metabolic Monitoring for Children and Adolescents on Antipsychotics: Ages 1-17</w:t>
            </w:r>
          </w:p>
        </w:tc>
        <w:tc>
          <w:tcPr>
            <w:tcW w:w="1080" w:type="dxa"/>
            <w:tcBorders>
              <w:top w:val="nil"/>
              <w:left w:val="nil"/>
              <w:bottom w:val="single" w:sz="4" w:space="0" w:color="auto"/>
              <w:right w:val="single" w:sz="4" w:space="0" w:color="auto"/>
            </w:tcBorders>
            <w:vAlign w:val="center"/>
          </w:tcPr>
          <w:p w14:paraId="62B81EA0" w14:textId="488E12B7" w:rsidR="005A167A" w:rsidRPr="004A1A02" w:rsidRDefault="005A167A" w:rsidP="00516970">
            <w:pPr>
              <w:spacing w:after="0"/>
              <w:jc w:val="center"/>
              <w:rPr>
                <w:rFonts w:asciiTheme="minorHAnsi" w:hAnsiTheme="minorHAnsi" w:cstheme="minorHAnsi"/>
                <w:sz w:val="20"/>
                <w:szCs w:val="20"/>
              </w:rPr>
            </w:pPr>
            <w:r w:rsidRPr="004A1A02">
              <w:rPr>
                <w:rFonts w:asciiTheme="minorHAnsi" w:hAnsiTheme="minorHAnsi" w:cstheme="minorHAnsi"/>
                <w:color w:val="000000"/>
                <w:sz w:val="20"/>
                <w:szCs w:val="20"/>
              </w:rPr>
              <w:t>36.5%</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515706D" w14:textId="16D52AD8" w:rsidR="005A167A" w:rsidRPr="004A1A02"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42.0%</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tcPr>
          <w:p w14:paraId="2286C151" w14:textId="20284D34" w:rsidR="005A167A" w:rsidRPr="004A1A02"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42.1%</w:t>
            </w:r>
          </w:p>
        </w:tc>
        <w:tc>
          <w:tcPr>
            <w:tcW w:w="1350" w:type="dxa"/>
            <w:tcBorders>
              <w:top w:val="nil"/>
              <w:left w:val="nil"/>
              <w:bottom w:val="single" w:sz="4" w:space="0" w:color="000000"/>
              <w:right w:val="single" w:sz="4" w:space="0" w:color="000000"/>
            </w:tcBorders>
            <w:shd w:val="clear" w:color="auto" w:fill="auto"/>
            <w:noWrap/>
          </w:tcPr>
          <w:p w14:paraId="3EAD63C4" w14:textId="10DEDE2D" w:rsidR="005A167A" w:rsidRPr="003101FD" w:rsidRDefault="00632CDE" w:rsidP="00516970">
            <w:pPr>
              <w:spacing w:after="0"/>
              <w:jc w:val="center"/>
              <w:rPr>
                <w:rFonts w:asciiTheme="minorHAnsi" w:hAnsiTheme="minorHAnsi" w:cstheme="minorHAnsi"/>
                <w:sz w:val="20"/>
                <w:szCs w:val="20"/>
              </w:rPr>
            </w:pPr>
            <w:r w:rsidRPr="003101FD">
              <w:rPr>
                <w:rFonts w:asciiTheme="minorHAnsi" w:hAnsiTheme="minorHAnsi" w:cstheme="minorHAnsi"/>
                <w:sz w:val="20"/>
                <w:szCs w:val="20"/>
              </w:rPr>
              <w:t>27.3</w:t>
            </w:r>
            <w:r w:rsidR="005A167A" w:rsidRPr="003101FD">
              <w:rPr>
                <w:rFonts w:asciiTheme="minorHAnsi" w:hAnsiTheme="minorHAnsi" w:cstheme="minorHAnsi"/>
                <w:sz w:val="20"/>
                <w:szCs w:val="20"/>
              </w:rPr>
              <w:t>%</w:t>
            </w:r>
          </w:p>
        </w:tc>
        <w:tc>
          <w:tcPr>
            <w:tcW w:w="1144" w:type="dxa"/>
            <w:tcBorders>
              <w:top w:val="nil"/>
              <w:left w:val="nil"/>
              <w:bottom w:val="single" w:sz="4" w:space="0" w:color="000000"/>
              <w:right w:val="single" w:sz="4" w:space="0" w:color="000000"/>
            </w:tcBorders>
            <w:shd w:val="clear" w:color="auto" w:fill="auto"/>
            <w:noWrap/>
          </w:tcPr>
          <w:p w14:paraId="1CD92747" w14:textId="03F41EBF" w:rsidR="005A167A" w:rsidRPr="003101FD" w:rsidRDefault="003101FD" w:rsidP="00516970">
            <w:pPr>
              <w:spacing w:after="0"/>
              <w:jc w:val="center"/>
              <w:rPr>
                <w:rFonts w:asciiTheme="minorHAnsi" w:hAnsiTheme="minorHAnsi" w:cstheme="minorHAnsi"/>
                <w:sz w:val="20"/>
                <w:szCs w:val="20"/>
                <w:highlight w:val="cyan"/>
              </w:rPr>
            </w:pPr>
            <w:r w:rsidRPr="003101FD">
              <w:rPr>
                <w:rFonts w:asciiTheme="minorHAnsi" w:hAnsiTheme="minorHAnsi" w:cstheme="minorHAnsi"/>
                <w:sz w:val="20"/>
                <w:szCs w:val="20"/>
              </w:rPr>
              <w:t>33.2</w:t>
            </w:r>
            <w:r w:rsidR="005A167A" w:rsidRPr="003101FD">
              <w:rPr>
                <w:rFonts w:asciiTheme="minorHAnsi" w:hAnsiTheme="minorHAnsi" w:cstheme="minorHAnsi"/>
                <w:sz w:val="20"/>
                <w:szCs w:val="20"/>
              </w:rPr>
              <w:t>%</w:t>
            </w:r>
          </w:p>
        </w:tc>
        <w:tc>
          <w:tcPr>
            <w:tcW w:w="1144" w:type="dxa"/>
            <w:tcBorders>
              <w:top w:val="nil"/>
              <w:left w:val="nil"/>
              <w:bottom w:val="single" w:sz="4" w:space="0" w:color="000000"/>
              <w:right w:val="single" w:sz="4" w:space="0" w:color="000000"/>
            </w:tcBorders>
          </w:tcPr>
          <w:p w14:paraId="73EEBE36" w14:textId="37CEC6C7" w:rsidR="005A167A" w:rsidRPr="003101FD" w:rsidRDefault="003101FD" w:rsidP="00516970">
            <w:pPr>
              <w:spacing w:after="0"/>
              <w:jc w:val="center"/>
              <w:rPr>
                <w:rFonts w:asciiTheme="minorHAnsi" w:hAnsiTheme="minorHAnsi" w:cstheme="minorHAnsi"/>
                <w:sz w:val="20"/>
                <w:szCs w:val="20"/>
              </w:rPr>
            </w:pPr>
            <w:r w:rsidRPr="003101FD">
              <w:rPr>
                <w:rFonts w:asciiTheme="minorHAnsi" w:hAnsiTheme="minorHAnsi" w:cstheme="minorHAnsi"/>
                <w:sz w:val="20"/>
                <w:szCs w:val="20"/>
              </w:rPr>
              <w:t>41.5%</w:t>
            </w:r>
          </w:p>
        </w:tc>
      </w:tr>
      <w:tr w:rsidR="005A167A" w:rsidRPr="00F26259" w14:paraId="5F31FDEC" w14:textId="22D285DA" w:rsidTr="005A167A">
        <w:trPr>
          <w:trHeight w:val="215"/>
        </w:trPr>
        <w:tc>
          <w:tcPr>
            <w:tcW w:w="1170" w:type="dxa"/>
            <w:tcBorders>
              <w:top w:val="single" w:sz="4" w:space="0" w:color="auto"/>
              <w:left w:val="single" w:sz="4" w:space="0" w:color="000000"/>
              <w:bottom w:val="single" w:sz="4" w:space="0" w:color="000000"/>
              <w:right w:val="single" w:sz="4" w:space="0" w:color="000000"/>
            </w:tcBorders>
            <w:shd w:val="clear" w:color="auto" w:fill="auto"/>
            <w:noWrap/>
          </w:tcPr>
          <w:p w14:paraId="032C98B1" w14:textId="17568695" w:rsidR="005A167A" w:rsidRDefault="005A167A" w:rsidP="00516970">
            <w:pPr>
              <w:spacing w:after="0"/>
              <w:jc w:val="center"/>
              <w:rPr>
                <w:rFonts w:cs="Calibri"/>
                <w:sz w:val="20"/>
                <w:szCs w:val="20"/>
              </w:rPr>
            </w:pPr>
            <w:r>
              <w:rPr>
                <w:rFonts w:cs="Calibri"/>
                <w:sz w:val="20"/>
                <w:szCs w:val="20"/>
              </w:rPr>
              <w:t>APP</w:t>
            </w:r>
          </w:p>
        </w:tc>
        <w:tc>
          <w:tcPr>
            <w:tcW w:w="6930" w:type="dxa"/>
            <w:tcBorders>
              <w:top w:val="single" w:sz="4" w:space="0" w:color="auto"/>
              <w:left w:val="nil"/>
              <w:bottom w:val="single" w:sz="4" w:space="0" w:color="auto"/>
              <w:right w:val="single" w:sz="4" w:space="0" w:color="auto"/>
            </w:tcBorders>
            <w:shd w:val="clear" w:color="auto" w:fill="auto"/>
          </w:tcPr>
          <w:p w14:paraId="60EA63B0" w14:textId="34D4D384" w:rsidR="005A167A" w:rsidRPr="007E7771" w:rsidRDefault="005A167A" w:rsidP="00516970">
            <w:pPr>
              <w:rPr>
                <w:rFonts w:eastAsia="Times New Roman" w:cs="Calibri"/>
                <w:color w:val="000000"/>
                <w:sz w:val="20"/>
                <w:szCs w:val="20"/>
              </w:rPr>
            </w:pPr>
            <w:r w:rsidRPr="007E7771">
              <w:rPr>
                <w:rFonts w:cs="Calibri"/>
                <w:color w:val="000000"/>
                <w:sz w:val="20"/>
                <w:szCs w:val="20"/>
              </w:rPr>
              <w:t>Use of First-Line Psychosocial Care for Children and Adolescents on Antipsychotics</w:t>
            </w:r>
            <w:r>
              <w:rPr>
                <w:rFonts w:cs="Calibri"/>
                <w:color w:val="000000"/>
                <w:sz w:val="20"/>
                <w:szCs w:val="20"/>
              </w:rPr>
              <w:t>: Ages 1-17</w:t>
            </w:r>
          </w:p>
        </w:tc>
        <w:tc>
          <w:tcPr>
            <w:tcW w:w="1080" w:type="dxa"/>
            <w:tcBorders>
              <w:top w:val="single" w:sz="4" w:space="0" w:color="auto"/>
              <w:bottom w:val="single" w:sz="4" w:space="0" w:color="auto"/>
              <w:right w:val="single" w:sz="4" w:space="0" w:color="auto"/>
            </w:tcBorders>
            <w:vAlign w:val="center"/>
          </w:tcPr>
          <w:p w14:paraId="0E500FD3" w14:textId="0D70C190" w:rsidR="005A167A" w:rsidRPr="004A1A02" w:rsidRDefault="005A167A" w:rsidP="00516970">
            <w:pPr>
              <w:spacing w:after="0"/>
              <w:jc w:val="center"/>
              <w:rPr>
                <w:rFonts w:asciiTheme="minorHAnsi" w:hAnsiTheme="minorHAnsi" w:cstheme="minorHAnsi"/>
                <w:sz w:val="20"/>
                <w:szCs w:val="20"/>
              </w:rPr>
            </w:pPr>
            <w:r w:rsidRPr="004A1A02">
              <w:rPr>
                <w:rFonts w:asciiTheme="minorHAnsi" w:hAnsiTheme="minorHAnsi" w:cstheme="minorHAnsi"/>
                <w:sz w:val="20"/>
                <w:szCs w:val="20"/>
              </w:rPr>
              <w:t>76.3%</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AFF4948" w14:textId="50755EA0" w:rsidR="005A167A" w:rsidRPr="004A1A02" w:rsidRDefault="005A167A" w:rsidP="00516970">
            <w:pPr>
              <w:spacing w:after="0"/>
              <w:jc w:val="center"/>
              <w:rPr>
                <w:rFonts w:asciiTheme="minorHAnsi" w:hAnsiTheme="minorHAnsi" w:cstheme="minorHAnsi"/>
                <w:sz w:val="20"/>
                <w:szCs w:val="20"/>
              </w:rPr>
            </w:pPr>
            <w:r>
              <w:rPr>
                <w:rFonts w:asciiTheme="minorHAnsi" w:hAnsiTheme="minorHAnsi" w:cstheme="minorHAnsi"/>
                <w:sz w:val="20"/>
                <w:szCs w:val="20"/>
              </w:rPr>
              <w:t>76.0%</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EAB20AD" w14:textId="26481E25" w:rsidR="005A167A" w:rsidRPr="004A1A02" w:rsidRDefault="005A167A" w:rsidP="00516970">
            <w:pPr>
              <w:spacing w:after="0"/>
              <w:jc w:val="center"/>
              <w:rPr>
                <w:rFonts w:asciiTheme="minorHAnsi" w:hAnsiTheme="minorHAnsi" w:cstheme="minorHAnsi"/>
                <w:sz w:val="20"/>
                <w:szCs w:val="20"/>
              </w:rPr>
            </w:pPr>
            <w:r>
              <w:rPr>
                <w:rFonts w:asciiTheme="minorHAnsi" w:hAnsiTheme="minorHAnsi" w:cstheme="minorHAnsi"/>
                <w:sz w:val="20"/>
                <w:szCs w:val="20"/>
              </w:rPr>
              <w:t>76.6%</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3835163A" w14:textId="302220ED" w:rsidR="005A167A" w:rsidRPr="00B87105" w:rsidRDefault="005F5977" w:rsidP="00516970">
            <w:pPr>
              <w:spacing w:after="0"/>
              <w:jc w:val="center"/>
              <w:rPr>
                <w:rFonts w:asciiTheme="minorHAnsi" w:hAnsiTheme="minorHAnsi" w:cstheme="minorHAnsi"/>
                <w:sz w:val="20"/>
                <w:szCs w:val="20"/>
              </w:rPr>
            </w:pPr>
            <w:r w:rsidRPr="00B87105">
              <w:rPr>
                <w:rFonts w:asciiTheme="minorHAnsi" w:hAnsiTheme="minorHAnsi" w:cstheme="minorHAnsi"/>
                <w:sz w:val="20"/>
                <w:szCs w:val="20"/>
              </w:rPr>
              <w:t>58.6</w:t>
            </w:r>
            <w:r w:rsidR="005A167A" w:rsidRPr="00B87105">
              <w:rPr>
                <w:rFonts w:asciiTheme="minorHAnsi" w:hAnsiTheme="minorHAnsi" w:cstheme="minorHAnsi"/>
                <w:sz w:val="20"/>
                <w:szCs w:val="20"/>
              </w:rPr>
              <w:t>%</w:t>
            </w:r>
          </w:p>
        </w:tc>
        <w:tc>
          <w:tcPr>
            <w:tcW w:w="1144" w:type="dxa"/>
            <w:tcBorders>
              <w:top w:val="single" w:sz="4" w:space="0" w:color="auto"/>
              <w:left w:val="nil"/>
              <w:bottom w:val="single" w:sz="4" w:space="0" w:color="000000"/>
              <w:right w:val="single" w:sz="4" w:space="0" w:color="000000"/>
            </w:tcBorders>
            <w:shd w:val="clear" w:color="auto" w:fill="auto"/>
            <w:noWrap/>
            <w:vAlign w:val="center"/>
          </w:tcPr>
          <w:p w14:paraId="67A27A12" w14:textId="4C9F4F4D" w:rsidR="005A167A" w:rsidRPr="00B87105" w:rsidRDefault="005F5977" w:rsidP="00516970">
            <w:pPr>
              <w:spacing w:after="0"/>
              <w:jc w:val="center"/>
              <w:rPr>
                <w:rFonts w:asciiTheme="minorHAnsi" w:hAnsiTheme="minorHAnsi" w:cstheme="minorHAnsi"/>
                <w:sz w:val="20"/>
                <w:szCs w:val="20"/>
              </w:rPr>
            </w:pPr>
            <w:r w:rsidRPr="00B87105">
              <w:rPr>
                <w:rFonts w:asciiTheme="minorHAnsi" w:hAnsiTheme="minorHAnsi" w:cstheme="minorHAnsi"/>
                <w:sz w:val="20"/>
                <w:szCs w:val="20"/>
              </w:rPr>
              <w:t>62.6</w:t>
            </w:r>
            <w:r w:rsidR="005A167A" w:rsidRPr="00B87105">
              <w:rPr>
                <w:rFonts w:asciiTheme="minorHAnsi" w:hAnsiTheme="minorHAnsi" w:cstheme="minorHAnsi"/>
                <w:sz w:val="20"/>
                <w:szCs w:val="20"/>
              </w:rPr>
              <w:t>%</w:t>
            </w:r>
          </w:p>
        </w:tc>
        <w:tc>
          <w:tcPr>
            <w:tcW w:w="1144" w:type="dxa"/>
            <w:tcBorders>
              <w:top w:val="single" w:sz="4" w:space="0" w:color="auto"/>
              <w:left w:val="nil"/>
              <w:bottom w:val="single" w:sz="4" w:space="0" w:color="000000"/>
              <w:right w:val="single" w:sz="4" w:space="0" w:color="000000"/>
            </w:tcBorders>
          </w:tcPr>
          <w:p w14:paraId="0165B72B" w14:textId="19AE3222" w:rsidR="005A167A" w:rsidRPr="00B87105" w:rsidRDefault="00B87105" w:rsidP="00516970">
            <w:pPr>
              <w:spacing w:after="0"/>
              <w:jc w:val="center"/>
              <w:rPr>
                <w:rFonts w:asciiTheme="minorHAnsi" w:hAnsiTheme="minorHAnsi" w:cstheme="minorHAnsi"/>
                <w:sz w:val="20"/>
                <w:szCs w:val="20"/>
              </w:rPr>
            </w:pPr>
            <w:r w:rsidRPr="00B87105">
              <w:rPr>
                <w:rFonts w:asciiTheme="minorHAnsi" w:hAnsiTheme="minorHAnsi" w:cstheme="minorHAnsi"/>
                <w:sz w:val="20"/>
                <w:szCs w:val="20"/>
              </w:rPr>
              <w:t>67.2%</w:t>
            </w:r>
          </w:p>
        </w:tc>
      </w:tr>
      <w:tr w:rsidR="005A167A" w:rsidRPr="00F26259" w14:paraId="1927F68A" w14:textId="72FB69B3" w:rsidTr="005A167A">
        <w:trPr>
          <w:trHeight w:val="269"/>
        </w:trPr>
        <w:tc>
          <w:tcPr>
            <w:tcW w:w="1170" w:type="dxa"/>
            <w:tcBorders>
              <w:top w:val="single" w:sz="4" w:space="0" w:color="auto"/>
              <w:left w:val="single" w:sz="4" w:space="0" w:color="000000"/>
              <w:bottom w:val="single" w:sz="4" w:space="0" w:color="000000"/>
              <w:right w:val="single" w:sz="4" w:space="0" w:color="000000"/>
            </w:tcBorders>
            <w:shd w:val="clear" w:color="auto" w:fill="auto"/>
            <w:noWrap/>
          </w:tcPr>
          <w:p w14:paraId="6EC7770C" w14:textId="72DCE9E7" w:rsidR="005A167A" w:rsidRDefault="005A167A" w:rsidP="00516970">
            <w:pPr>
              <w:spacing w:after="0"/>
              <w:jc w:val="center"/>
              <w:rPr>
                <w:rFonts w:cs="Calibri"/>
                <w:sz w:val="20"/>
                <w:szCs w:val="20"/>
              </w:rPr>
            </w:pPr>
            <w:r>
              <w:rPr>
                <w:rFonts w:cs="Calibri"/>
                <w:sz w:val="20"/>
                <w:szCs w:val="20"/>
              </w:rPr>
              <w:t>CCP</w:t>
            </w:r>
          </w:p>
        </w:tc>
        <w:tc>
          <w:tcPr>
            <w:tcW w:w="6930" w:type="dxa"/>
            <w:tcBorders>
              <w:top w:val="single" w:sz="4" w:space="0" w:color="auto"/>
              <w:left w:val="nil"/>
              <w:bottom w:val="single" w:sz="4" w:space="0" w:color="auto"/>
              <w:right w:val="single" w:sz="4" w:space="0" w:color="auto"/>
            </w:tcBorders>
            <w:shd w:val="clear" w:color="auto" w:fill="auto"/>
          </w:tcPr>
          <w:p w14:paraId="752EEB76" w14:textId="5671D219" w:rsidR="005A167A" w:rsidRPr="00546475" w:rsidRDefault="005A167A" w:rsidP="00516970">
            <w:pPr>
              <w:rPr>
                <w:rFonts w:eastAsia="Times New Roman" w:cs="Calibri"/>
                <w:color w:val="000000"/>
                <w:sz w:val="20"/>
                <w:szCs w:val="20"/>
              </w:rPr>
            </w:pPr>
            <w:r w:rsidRPr="00546475">
              <w:rPr>
                <w:rFonts w:cs="Calibri"/>
                <w:color w:val="000000"/>
                <w:sz w:val="20"/>
                <w:szCs w:val="20"/>
              </w:rPr>
              <w:t>Contraceptive Care Postpartum Women Ages 15 to 20</w:t>
            </w:r>
            <w:r>
              <w:rPr>
                <w:rFonts w:cs="Calibri"/>
                <w:color w:val="000000"/>
                <w:sz w:val="20"/>
                <w:szCs w:val="20"/>
              </w:rPr>
              <w:t xml:space="preserve">: </w:t>
            </w:r>
            <w:r w:rsidRPr="00546475">
              <w:rPr>
                <w:rFonts w:cs="Calibri"/>
                <w:color w:val="000000"/>
                <w:sz w:val="20"/>
                <w:szCs w:val="20"/>
              </w:rPr>
              <w:t>Most/Moderate - 3 days</w:t>
            </w:r>
          </w:p>
        </w:tc>
        <w:tc>
          <w:tcPr>
            <w:tcW w:w="1080" w:type="dxa"/>
            <w:tcBorders>
              <w:top w:val="single" w:sz="4" w:space="0" w:color="auto"/>
              <w:bottom w:val="single" w:sz="4" w:space="0" w:color="auto"/>
              <w:right w:val="single" w:sz="4" w:space="0" w:color="auto"/>
            </w:tcBorders>
            <w:vAlign w:val="center"/>
          </w:tcPr>
          <w:p w14:paraId="4A9C3185" w14:textId="39BE64F0" w:rsidR="005A167A" w:rsidRPr="004A1A02" w:rsidRDefault="005A167A" w:rsidP="00516970">
            <w:pPr>
              <w:spacing w:after="0"/>
              <w:jc w:val="center"/>
              <w:rPr>
                <w:rFonts w:asciiTheme="minorHAnsi" w:hAnsiTheme="minorHAnsi" w:cstheme="minorHAnsi"/>
                <w:sz w:val="20"/>
                <w:szCs w:val="20"/>
              </w:rPr>
            </w:pPr>
            <w:r w:rsidRPr="004A1A02">
              <w:rPr>
                <w:rFonts w:asciiTheme="minorHAnsi" w:hAnsiTheme="minorHAnsi" w:cstheme="minorHAnsi"/>
                <w:sz w:val="20"/>
                <w:szCs w:val="20"/>
              </w:rPr>
              <w:t>14.1%</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40C017C" w14:textId="648A0C58" w:rsidR="005A167A" w:rsidRPr="004A1A02" w:rsidRDefault="005A167A" w:rsidP="00516970">
            <w:pPr>
              <w:spacing w:after="0"/>
              <w:jc w:val="center"/>
              <w:rPr>
                <w:rFonts w:asciiTheme="minorHAnsi" w:hAnsiTheme="minorHAnsi" w:cstheme="minorHAnsi"/>
                <w:sz w:val="20"/>
                <w:szCs w:val="20"/>
              </w:rPr>
            </w:pPr>
            <w:r>
              <w:rPr>
                <w:rFonts w:asciiTheme="minorHAnsi" w:hAnsiTheme="minorHAnsi" w:cstheme="minorHAnsi"/>
                <w:sz w:val="20"/>
                <w:szCs w:val="20"/>
              </w:rPr>
              <w:t>9.9%</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BA1B002" w14:textId="6D7A8E0C" w:rsidR="005A167A" w:rsidRPr="004A1A02" w:rsidRDefault="005A167A" w:rsidP="00516970">
            <w:pPr>
              <w:spacing w:after="0"/>
              <w:jc w:val="center"/>
              <w:rPr>
                <w:rFonts w:asciiTheme="minorHAnsi" w:hAnsiTheme="minorHAnsi" w:cstheme="minorHAnsi"/>
                <w:sz w:val="20"/>
                <w:szCs w:val="20"/>
              </w:rPr>
            </w:pPr>
            <w:r>
              <w:rPr>
                <w:rFonts w:asciiTheme="minorHAnsi" w:hAnsiTheme="minorHAnsi" w:cstheme="minorHAnsi"/>
                <w:sz w:val="20"/>
                <w:szCs w:val="20"/>
              </w:rPr>
              <w:t>10.2%</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2A6F59EE" w14:textId="07DCC90E" w:rsidR="005A167A" w:rsidRPr="00B539A9" w:rsidRDefault="00785093" w:rsidP="00516970">
            <w:pPr>
              <w:spacing w:after="0"/>
              <w:jc w:val="center"/>
              <w:rPr>
                <w:rFonts w:asciiTheme="minorHAnsi" w:hAnsiTheme="minorHAnsi" w:cstheme="minorHAnsi"/>
                <w:sz w:val="20"/>
                <w:szCs w:val="20"/>
              </w:rPr>
            </w:pPr>
            <w:r w:rsidRPr="00B539A9">
              <w:rPr>
                <w:rFonts w:asciiTheme="minorHAnsi" w:hAnsiTheme="minorHAnsi" w:cstheme="minorHAnsi"/>
                <w:sz w:val="20"/>
                <w:szCs w:val="20"/>
              </w:rPr>
              <w:t>3.8%</w:t>
            </w:r>
          </w:p>
        </w:tc>
        <w:tc>
          <w:tcPr>
            <w:tcW w:w="1144" w:type="dxa"/>
            <w:tcBorders>
              <w:top w:val="single" w:sz="4" w:space="0" w:color="auto"/>
              <w:left w:val="nil"/>
              <w:bottom w:val="single" w:sz="4" w:space="0" w:color="000000"/>
              <w:right w:val="single" w:sz="4" w:space="0" w:color="000000"/>
            </w:tcBorders>
            <w:shd w:val="clear" w:color="auto" w:fill="auto"/>
            <w:noWrap/>
            <w:vAlign w:val="center"/>
          </w:tcPr>
          <w:p w14:paraId="0CD9C359" w14:textId="3EFADA09" w:rsidR="005A167A" w:rsidRPr="00B539A9" w:rsidRDefault="00785093" w:rsidP="00516970">
            <w:pPr>
              <w:spacing w:after="0"/>
              <w:jc w:val="center"/>
              <w:rPr>
                <w:rFonts w:asciiTheme="minorHAnsi" w:hAnsiTheme="minorHAnsi" w:cstheme="minorHAnsi"/>
                <w:sz w:val="20"/>
                <w:szCs w:val="20"/>
              </w:rPr>
            </w:pPr>
            <w:r w:rsidRPr="00B539A9">
              <w:rPr>
                <w:rFonts w:asciiTheme="minorHAnsi" w:hAnsiTheme="minorHAnsi" w:cstheme="minorHAnsi"/>
                <w:sz w:val="20"/>
                <w:szCs w:val="20"/>
              </w:rPr>
              <w:t>5.7%</w:t>
            </w:r>
          </w:p>
        </w:tc>
        <w:tc>
          <w:tcPr>
            <w:tcW w:w="1144" w:type="dxa"/>
            <w:tcBorders>
              <w:top w:val="single" w:sz="4" w:space="0" w:color="auto"/>
              <w:left w:val="nil"/>
              <w:bottom w:val="single" w:sz="4" w:space="0" w:color="000000"/>
              <w:right w:val="single" w:sz="4" w:space="0" w:color="000000"/>
            </w:tcBorders>
          </w:tcPr>
          <w:p w14:paraId="3212DB3C" w14:textId="20D3DEE7" w:rsidR="005A167A" w:rsidRPr="00B539A9" w:rsidRDefault="00785093" w:rsidP="00516970">
            <w:pPr>
              <w:spacing w:after="0"/>
              <w:jc w:val="center"/>
              <w:rPr>
                <w:rFonts w:asciiTheme="minorHAnsi" w:hAnsiTheme="minorHAnsi" w:cstheme="minorHAnsi"/>
                <w:sz w:val="20"/>
                <w:szCs w:val="20"/>
              </w:rPr>
            </w:pPr>
            <w:r w:rsidRPr="00B539A9">
              <w:rPr>
                <w:rFonts w:asciiTheme="minorHAnsi" w:hAnsiTheme="minorHAnsi" w:cstheme="minorHAnsi"/>
                <w:sz w:val="20"/>
                <w:szCs w:val="20"/>
              </w:rPr>
              <w:t>8.5%</w:t>
            </w:r>
          </w:p>
        </w:tc>
      </w:tr>
      <w:tr w:rsidR="005A167A" w:rsidRPr="00F26259" w14:paraId="21FFA4A7" w14:textId="2F75549C" w:rsidTr="005A167A">
        <w:trPr>
          <w:trHeight w:val="215"/>
        </w:trPr>
        <w:tc>
          <w:tcPr>
            <w:tcW w:w="1170" w:type="dxa"/>
            <w:tcBorders>
              <w:top w:val="single" w:sz="4" w:space="0" w:color="auto"/>
              <w:left w:val="single" w:sz="4" w:space="0" w:color="000000"/>
              <w:bottom w:val="single" w:sz="4" w:space="0" w:color="000000"/>
              <w:right w:val="single" w:sz="4" w:space="0" w:color="000000"/>
            </w:tcBorders>
            <w:shd w:val="clear" w:color="auto" w:fill="auto"/>
            <w:noWrap/>
          </w:tcPr>
          <w:p w14:paraId="38011FFB" w14:textId="3FB0548D" w:rsidR="005A167A" w:rsidRDefault="005A167A" w:rsidP="00241D26">
            <w:pPr>
              <w:spacing w:after="0"/>
              <w:jc w:val="center"/>
              <w:rPr>
                <w:rFonts w:cs="Calibri"/>
                <w:sz w:val="20"/>
                <w:szCs w:val="20"/>
              </w:rPr>
            </w:pPr>
            <w:r>
              <w:rPr>
                <w:rFonts w:cs="Calibri"/>
                <w:sz w:val="20"/>
                <w:szCs w:val="20"/>
              </w:rPr>
              <w:t>CCP</w:t>
            </w:r>
          </w:p>
        </w:tc>
        <w:tc>
          <w:tcPr>
            <w:tcW w:w="6930" w:type="dxa"/>
            <w:tcBorders>
              <w:top w:val="single" w:sz="4" w:space="0" w:color="auto"/>
              <w:left w:val="nil"/>
              <w:bottom w:val="single" w:sz="4" w:space="0" w:color="auto"/>
              <w:right w:val="single" w:sz="4" w:space="0" w:color="auto"/>
            </w:tcBorders>
            <w:shd w:val="clear" w:color="auto" w:fill="auto"/>
          </w:tcPr>
          <w:p w14:paraId="1E34A39F" w14:textId="5FEAD486" w:rsidR="005A167A" w:rsidRPr="00546475" w:rsidRDefault="005A167A" w:rsidP="00241D26">
            <w:pPr>
              <w:rPr>
                <w:rFonts w:eastAsia="Times New Roman" w:cs="Calibri"/>
                <w:color w:val="000000"/>
                <w:sz w:val="20"/>
                <w:szCs w:val="20"/>
              </w:rPr>
            </w:pPr>
            <w:r w:rsidRPr="00546475">
              <w:rPr>
                <w:rFonts w:cs="Calibri"/>
                <w:color w:val="000000"/>
                <w:sz w:val="20"/>
                <w:szCs w:val="20"/>
              </w:rPr>
              <w:t>Contraceptive Care Postpartum Women Ages 15 to 20</w:t>
            </w:r>
            <w:r>
              <w:rPr>
                <w:rFonts w:cs="Calibri"/>
                <w:color w:val="000000"/>
                <w:sz w:val="20"/>
                <w:szCs w:val="20"/>
              </w:rPr>
              <w:t xml:space="preserve">: </w:t>
            </w:r>
            <w:r w:rsidRPr="00546475">
              <w:rPr>
                <w:rFonts w:cs="Calibri"/>
                <w:color w:val="000000"/>
                <w:sz w:val="20"/>
                <w:szCs w:val="20"/>
              </w:rPr>
              <w:t>Most/Moderate - 60 days</w:t>
            </w:r>
          </w:p>
        </w:tc>
        <w:tc>
          <w:tcPr>
            <w:tcW w:w="1080" w:type="dxa"/>
            <w:tcBorders>
              <w:top w:val="single" w:sz="4" w:space="0" w:color="auto"/>
              <w:bottom w:val="single" w:sz="4" w:space="0" w:color="auto"/>
              <w:right w:val="single" w:sz="4" w:space="0" w:color="auto"/>
            </w:tcBorders>
            <w:vAlign w:val="center"/>
          </w:tcPr>
          <w:p w14:paraId="318C146D" w14:textId="58332ACB" w:rsidR="005A167A" w:rsidRPr="004A1A02" w:rsidRDefault="005A167A" w:rsidP="00241D26">
            <w:pPr>
              <w:spacing w:after="0"/>
              <w:jc w:val="center"/>
              <w:rPr>
                <w:rFonts w:asciiTheme="minorHAnsi" w:hAnsiTheme="minorHAnsi" w:cstheme="minorHAnsi"/>
                <w:sz w:val="20"/>
                <w:szCs w:val="20"/>
              </w:rPr>
            </w:pPr>
            <w:r w:rsidRPr="004A1A02">
              <w:rPr>
                <w:rFonts w:asciiTheme="minorHAnsi" w:hAnsiTheme="minorHAnsi" w:cstheme="minorHAnsi"/>
                <w:sz w:val="20"/>
                <w:szCs w:val="20"/>
              </w:rPr>
              <w:t>49.7%</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475D085" w14:textId="17556E3D" w:rsidR="005A167A" w:rsidRPr="004A1A02" w:rsidRDefault="005A167A" w:rsidP="00241D26">
            <w:pPr>
              <w:spacing w:after="0"/>
              <w:jc w:val="center"/>
              <w:rPr>
                <w:rFonts w:asciiTheme="minorHAnsi" w:hAnsiTheme="minorHAnsi" w:cstheme="minorHAnsi"/>
                <w:sz w:val="20"/>
                <w:szCs w:val="20"/>
              </w:rPr>
            </w:pPr>
            <w:r>
              <w:rPr>
                <w:rFonts w:asciiTheme="minorHAnsi" w:hAnsiTheme="minorHAnsi" w:cstheme="minorHAnsi"/>
                <w:sz w:val="20"/>
                <w:szCs w:val="20"/>
              </w:rPr>
              <w:t>47.2%</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6CD5C48" w14:textId="26A0E23F" w:rsidR="005A167A" w:rsidRPr="004A1A02" w:rsidRDefault="005A167A" w:rsidP="00241D26">
            <w:pPr>
              <w:spacing w:after="0"/>
              <w:jc w:val="center"/>
              <w:rPr>
                <w:rFonts w:asciiTheme="minorHAnsi" w:hAnsiTheme="minorHAnsi" w:cstheme="minorHAnsi"/>
                <w:sz w:val="20"/>
                <w:szCs w:val="20"/>
              </w:rPr>
            </w:pPr>
            <w:r>
              <w:rPr>
                <w:rFonts w:asciiTheme="minorHAnsi" w:hAnsiTheme="minorHAnsi" w:cstheme="minorHAnsi"/>
                <w:sz w:val="20"/>
                <w:szCs w:val="20"/>
              </w:rPr>
              <w:t>NR</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tcPr>
          <w:p w14:paraId="161D0C45" w14:textId="29E256DF" w:rsidR="005A167A" w:rsidRPr="00B539A9" w:rsidRDefault="00B539A9" w:rsidP="00241D26">
            <w:pPr>
              <w:spacing w:after="0"/>
              <w:jc w:val="center"/>
              <w:rPr>
                <w:rFonts w:asciiTheme="minorHAnsi" w:hAnsiTheme="minorHAnsi" w:cstheme="minorHAnsi"/>
                <w:sz w:val="20"/>
                <w:szCs w:val="20"/>
              </w:rPr>
            </w:pPr>
            <w:r w:rsidRPr="00B539A9">
              <w:rPr>
                <w:rFonts w:asciiTheme="minorHAnsi" w:hAnsiTheme="minorHAnsi" w:cstheme="minorHAnsi"/>
                <w:sz w:val="20"/>
                <w:szCs w:val="20"/>
              </w:rPr>
              <w:t>34.1%</w:t>
            </w:r>
          </w:p>
        </w:tc>
        <w:tc>
          <w:tcPr>
            <w:tcW w:w="1144" w:type="dxa"/>
            <w:tcBorders>
              <w:top w:val="single" w:sz="4" w:space="0" w:color="auto"/>
              <w:left w:val="nil"/>
              <w:bottom w:val="single" w:sz="4" w:space="0" w:color="000000"/>
              <w:right w:val="single" w:sz="4" w:space="0" w:color="000000"/>
            </w:tcBorders>
            <w:shd w:val="clear" w:color="auto" w:fill="auto"/>
            <w:noWrap/>
          </w:tcPr>
          <w:p w14:paraId="736C6F88" w14:textId="0CD26005" w:rsidR="005A167A" w:rsidRPr="00B539A9" w:rsidRDefault="00B539A9" w:rsidP="00241D26">
            <w:pPr>
              <w:spacing w:after="0"/>
              <w:jc w:val="center"/>
              <w:rPr>
                <w:rFonts w:asciiTheme="minorHAnsi" w:hAnsiTheme="minorHAnsi" w:cstheme="minorHAnsi"/>
                <w:sz w:val="20"/>
                <w:szCs w:val="20"/>
              </w:rPr>
            </w:pPr>
            <w:r w:rsidRPr="00B539A9">
              <w:rPr>
                <w:rFonts w:asciiTheme="minorHAnsi" w:hAnsiTheme="minorHAnsi" w:cstheme="minorHAnsi"/>
                <w:sz w:val="20"/>
                <w:szCs w:val="20"/>
              </w:rPr>
              <w:t>39.4%</w:t>
            </w:r>
          </w:p>
        </w:tc>
        <w:tc>
          <w:tcPr>
            <w:tcW w:w="1144" w:type="dxa"/>
            <w:tcBorders>
              <w:top w:val="single" w:sz="4" w:space="0" w:color="auto"/>
              <w:left w:val="nil"/>
              <w:bottom w:val="single" w:sz="4" w:space="0" w:color="000000"/>
              <w:right w:val="single" w:sz="4" w:space="0" w:color="000000"/>
            </w:tcBorders>
          </w:tcPr>
          <w:p w14:paraId="433B9E84" w14:textId="4205D9AE" w:rsidR="005A167A" w:rsidRPr="00B539A9" w:rsidRDefault="00B539A9" w:rsidP="00241D26">
            <w:pPr>
              <w:spacing w:after="0"/>
              <w:jc w:val="center"/>
              <w:rPr>
                <w:rFonts w:asciiTheme="minorHAnsi" w:hAnsiTheme="minorHAnsi" w:cstheme="minorHAnsi"/>
                <w:sz w:val="20"/>
                <w:szCs w:val="20"/>
              </w:rPr>
            </w:pPr>
            <w:r w:rsidRPr="00B539A9">
              <w:rPr>
                <w:rFonts w:asciiTheme="minorHAnsi" w:hAnsiTheme="minorHAnsi" w:cstheme="minorHAnsi"/>
                <w:sz w:val="20"/>
                <w:szCs w:val="20"/>
              </w:rPr>
              <w:t>44.2%</w:t>
            </w:r>
          </w:p>
        </w:tc>
      </w:tr>
      <w:tr w:rsidR="005A167A" w:rsidRPr="00F26259" w14:paraId="616EFEDD" w14:textId="488E8714" w:rsidTr="005A167A">
        <w:trPr>
          <w:trHeight w:val="215"/>
        </w:trPr>
        <w:tc>
          <w:tcPr>
            <w:tcW w:w="1170" w:type="dxa"/>
            <w:tcBorders>
              <w:top w:val="single" w:sz="4" w:space="0" w:color="auto"/>
              <w:left w:val="single" w:sz="4" w:space="0" w:color="000000"/>
              <w:bottom w:val="single" w:sz="4" w:space="0" w:color="000000"/>
              <w:right w:val="single" w:sz="4" w:space="0" w:color="000000"/>
            </w:tcBorders>
            <w:shd w:val="clear" w:color="auto" w:fill="auto"/>
            <w:noWrap/>
          </w:tcPr>
          <w:p w14:paraId="0F4F2172" w14:textId="7D2CA2BF" w:rsidR="005A167A" w:rsidRDefault="005A167A" w:rsidP="00241D26">
            <w:pPr>
              <w:spacing w:after="0"/>
              <w:jc w:val="center"/>
              <w:rPr>
                <w:rFonts w:cs="Calibri"/>
                <w:sz w:val="20"/>
                <w:szCs w:val="20"/>
              </w:rPr>
            </w:pPr>
            <w:r>
              <w:rPr>
                <w:rFonts w:cs="Calibri"/>
                <w:sz w:val="20"/>
                <w:szCs w:val="20"/>
              </w:rPr>
              <w:t>CCP</w:t>
            </w:r>
          </w:p>
        </w:tc>
        <w:tc>
          <w:tcPr>
            <w:tcW w:w="6930" w:type="dxa"/>
            <w:tcBorders>
              <w:top w:val="single" w:sz="4" w:space="0" w:color="auto"/>
              <w:left w:val="nil"/>
              <w:bottom w:val="single" w:sz="4" w:space="0" w:color="auto"/>
              <w:right w:val="single" w:sz="4" w:space="0" w:color="auto"/>
            </w:tcBorders>
            <w:shd w:val="clear" w:color="auto" w:fill="auto"/>
          </w:tcPr>
          <w:p w14:paraId="69C2CF2E" w14:textId="5FEFC0F2" w:rsidR="005A167A" w:rsidRPr="00546475" w:rsidRDefault="005A167A" w:rsidP="00241D26">
            <w:pPr>
              <w:rPr>
                <w:rFonts w:eastAsia="Times New Roman" w:cs="Calibri"/>
                <w:color w:val="000000"/>
                <w:sz w:val="20"/>
                <w:szCs w:val="20"/>
              </w:rPr>
            </w:pPr>
            <w:r w:rsidRPr="00546475">
              <w:rPr>
                <w:rFonts w:cs="Calibri"/>
                <w:color w:val="000000"/>
                <w:sz w:val="20"/>
                <w:szCs w:val="20"/>
              </w:rPr>
              <w:t>Contraceptive Care Postpartum Women Ages 15 to 20</w:t>
            </w:r>
            <w:r>
              <w:rPr>
                <w:rFonts w:cs="Calibri"/>
                <w:color w:val="000000"/>
                <w:sz w:val="20"/>
                <w:szCs w:val="20"/>
              </w:rPr>
              <w:t xml:space="preserve">: </w:t>
            </w:r>
            <w:r w:rsidRPr="00546475">
              <w:rPr>
                <w:rFonts w:cs="Calibri"/>
                <w:color w:val="000000"/>
                <w:sz w:val="20"/>
                <w:szCs w:val="20"/>
              </w:rPr>
              <w:t>LARC - 3 days</w:t>
            </w:r>
          </w:p>
        </w:tc>
        <w:tc>
          <w:tcPr>
            <w:tcW w:w="1080" w:type="dxa"/>
            <w:tcBorders>
              <w:top w:val="single" w:sz="4" w:space="0" w:color="auto"/>
              <w:bottom w:val="single" w:sz="4" w:space="0" w:color="auto"/>
              <w:right w:val="single" w:sz="4" w:space="0" w:color="auto"/>
            </w:tcBorders>
            <w:vAlign w:val="center"/>
          </w:tcPr>
          <w:p w14:paraId="722C77D8" w14:textId="3DFDA542" w:rsidR="005A167A" w:rsidRPr="004A1A02" w:rsidRDefault="005A167A" w:rsidP="00241D26">
            <w:pPr>
              <w:spacing w:after="0"/>
              <w:jc w:val="center"/>
              <w:rPr>
                <w:rFonts w:asciiTheme="minorHAnsi" w:hAnsiTheme="minorHAnsi" w:cstheme="minorHAnsi"/>
                <w:sz w:val="20"/>
                <w:szCs w:val="20"/>
              </w:rPr>
            </w:pPr>
            <w:r w:rsidRPr="004A1A02">
              <w:rPr>
                <w:rFonts w:asciiTheme="minorHAnsi" w:hAnsiTheme="minorHAnsi" w:cstheme="minorHAnsi"/>
                <w:sz w:val="20"/>
                <w:szCs w:val="20"/>
              </w:rPr>
              <w:t>10.1%</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192FD76" w14:textId="6A9375FD" w:rsidR="005A167A" w:rsidRPr="004A1A02" w:rsidRDefault="005A167A" w:rsidP="00241D26">
            <w:pPr>
              <w:spacing w:after="0"/>
              <w:jc w:val="center"/>
              <w:rPr>
                <w:rFonts w:asciiTheme="minorHAnsi" w:hAnsiTheme="minorHAnsi" w:cstheme="minorHAnsi"/>
                <w:sz w:val="20"/>
                <w:szCs w:val="20"/>
              </w:rPr>
            </w:pPr>
            <w:r>
              <w:rPr>
                <w:rFonts w:asciiTheme="minorHAnsi" w:hAnsiTheme="minorHAnsi" w:cstheme="minorHAnsi"/>
                <w:sz w:val="20"/>
                <w:szCs w:val="20"/>
              </w:rPr>
              <w:t>5.8%</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F128B55" w14:textId="3CC1B8B2" w:rsidR="005A167A" w:rsidRPr="004A1A02" w:rsidRDefault="005A167A" w:rsidP="00241D26">
            <w:pPr>
              <w:spacing w:after="0"/>
              <w:jc w:val="center"/>
              <w:rPr>
                <w:rFonts w:asciiTheme="minorHAnsi" w:hAnsiTheme="minorHAnsi" w:cstheme="minorHAnsi"/>
                <w:sz w:val="20"/>
                <w:szCs w:val="20"/>
              </w:rPr>
            </w:pPr>
            <w:r>
              <w:rPr>
                <w:rFonts w:asciiTheme="minorHAnsi" w:hAnsiTheme="minorHAnsi" w:cstheme="minorHAnsi"/>
                <w:sz w:val="20"/>
                <w:szCs w:val="20"/>
              </w:rPr>
              <w:t>7.2%</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tcPr>
          <w:p w14:paraId="1A61CB78" w14:textId="38B99AFA" w:rsidR="005A167A" w:rsidRPr="00CF27C7" w:rsidRDefault="00CF27C7" w:rsidP="00241D26">
            <w:pPr>
              <w:spacing w:after="0"/>
              <w:jc w:val="center"/>
              <w:rPr>
                <w:rFonts w:asciiTheme="minorHAnsi" w:hAnsiTheme="minorHAnsi" w:cstheme="minorHAnsi"/>
                <w:sz w:val="20"/>
                <w:szCs w:val="20"/>
              </w:rPr>
            </w:pPr>
            <w:r w:rsidRPr="00CF27C7">
              <w:rPr>
                <w:rFonts w:asciiTheme="minorHAnsi" w:hAnsiTheme="minorHAnsi" w:cstheme="minorHAnsi"/>
                <w:sz w:val="20"/>
                <w:szCs w:val="20"/>
              </w:rPr>
              <w:t>1.6%</w:t>
            </w:r>
          </w:p>
        </w:tc>
        <w:tc>
          <w:tcPr>
            <w:tcW w:w="1144" w:type="dxa"/>
            <w:tcBorders>
              <w:top w:val="single" w:sz="4" w:space="0" w:color="auto"/>
              <w:left w:val="nil"/>
              <w:bottom w:val="single" w:sz="4" w:space="0" w:color="000000"/>
              <w:right w:val="single" w:sz="4" w:space="0" w:color="000000"/>
            </w:tcBorders>
            <w:shd w:val="clear" w:color="auto" w:fill="auto"/>
            <w:noWrap/>
          </w:tcPr>
          <w:p w14:paraId="34C76B60" w14:textId="4480560D" w:rsidR="005A167A" w:rsidRPr="00CF27C7" w:rsidRDefault="00CF27C7" w:rsidP="00241D26">
            <w:pPr>
              <w:spacing w:after="0"/>
              <w:jc w:val="center"/>
              <w:rPr>
                <w:rFonts w:asciiTheme="minorHAnsi" w:hAnsiTheme="minorHAnsi" w:cstheme="minorHAnsi"/>
                <w:sz w:val="20"/>
                <w:szCs w:val="20"/>
              </w:rPr>
            </w:pPr>
            <w:r w:rsidRPr="00CF27C7">
              <w:rPr>
                <w:rFonts w:asciiTheme="minorHAnsi" w:hAnsiTheme="minorHAnsi" w:cstheme="minorHAnsi"/>
                <w:sz w:val="20"/>
                <w:szCs w:val="20"/>
              </w:rPr>
              <w:t>3.1%</w:t>
            </w:r>
          </w:p>
        </w:tc>
        <w:tc>
          <w:tcPr>
            <w:tcW w:w="1144" w:type="dxa"/>
            <w:tcBorders>
              <w:top w:val="single" w:sz="4" w:space="0" w:color="auto"/>
              <w:left w:val="nil"/>
              <w:bottom w:val="single" w:sz="4" w:space="0" w:color="000000"/>
              <w:right w:val="single" w:sz="4" w:space="0" w:color="000000"/>
            </w:tcBorders>
          </w:tcPr>
          <w:p w14:paraId="1EE0F8B6" w14:textId="6C4CA51C" w:rsidR="005A167A" w:rsidRPr="00CF27C7" w:rsidRDefault="00CF27C7" w:rsidP="00241D26">
            <w:pPr>
              <w:spacing w:after="0"/>
              <w:jc w:val="center"/>
              <w:rPr>
                <w:rFonts w:asciiTheme="minorHAnsi" w:hAnsiTheme="minorHAnsi" w:cstheme="minorHAnsi"/>
                <w:sz w:val="20"/>
                <w:szCs w:val="20"/>
              </w:rPr>
            </w:pPr>
            <w:r w:rsidRPr="00CF27C7">
              <w:rPr>
                <w:rFonts w:asciiTheme="minorHAnsi" w:hAnsiTheme="minorHAnsi" w:cstheme="minorHAnsi"/>
                <w:sz w:val="20"/>
                <w:szCs w:val="20"/>
              </w:rPr>
              <w:t>4.9%</w:t>
            </w:r>
          </w:p>
        </w:tc>
      </w:tr>
      <w:tr w:rsidR="005A167A" w:rsidRPr="00F26259" w14:paraId="53FCFB4A" w14:textId="7401EFE3" w:rsidTr="005A167A">
        <w:trPr>
          <w:trHeight w:val="215"/>
        </w:trPr>
        <w:tc>
          <w:tcPr>
            <w:tcW w:w="1170" w:type="dxa"/>
            <w:tcBorders>
              <w:top w:val="single" w:sz="4" w:space="0" w:color="auto"/>
              <w:left w:val="single" w:sz="4" w:space="0" w:color="000000"/>
              <w:bottom w:val="single" w:sz="4" w:space="0" w:color="000000"/>
              <w:right w:val="single" w:sz="4" w:space="0" w:color="000000"/>
            </w:tcBorders>
            <w:shd w:val="clear" w:color="auto" w:fill="auto"/>
            <w:noWrap/>
          </w:tcPr>
          <w:p w14:paraId="044C4BA0" w14:textId="7A4EEDF3" w:rsidR="005A167A" w:rsidRDefault="005A167A" w:rsidP="00241D26">
            <w:pPr>
              <w:spacing w:after="0"/>
              <w:jc w:val="center"/>
              <w:rPr>
                <w:rFonts w:cs="Calibri"/>
                <w:sz w:val="20"/>
                <w:szCs w:val="20"/>
              </w:rPr>
            </w:pPr>
            <w:r>
              <w:rPr>
                <w:rFonts w:cs="Calibri"/>
                <w:sz w:val="20"/>
                <w:szCs w:val="20"/>
              </w:rPr>
              <w:t>CCP</w:t>
            </w:r>
          </w:p>
        </w:tc>
        <w:tc>
          <w:tcPr>
            <w:tcW w:w="6930" w:type="dxa"/>
            <w:tcBorders>
              <w:top w:val="single" w:sz="4" w:space="0" w:color="auto"/>
              <w:left w:val="nil"/>
              <w:bottom w:val="single" w:sz="4" w:space="0" w:color="auto"/>
              <w:right w:val="single" w:sz="4" w:space="0" w:color="auto"/>
            </w:tcBorders>
            <w:shd w:val="clear" w:color="auto" w:fill="auto"/>
          </w:tcPr>
          <w:p w14:paraId="7DFDF118" w14:textId="4A37AE01" w:rsidR="005A167A" w:rsidRPr="00546475" w:rsidRDefault="005A167A" w:rsidP="00241D26">
            <w:pPr>
              <w:rPr>
                <w:rFonts w:eastAsia="Times New Roman" w:cs="Calibri"/>
                <w:color w:val="000000"/>
                <w:sz w:val="20"/>
                <w:szCs w:val="20"/>
              </w:rPr>
            </w:pPr>
            <w:r w:rsidRPr="00546475">
              <w:rPr>
                <w:rFonts w:cs="Calibri"/>
                <w:color w:val="000000"/>
                <w:sz w:val="20"/>
                <w:szCs w:val="20"/>
              </w:rPr>
              <w:t>Contraceptive Care Postpartum Women Ages 15 to 20</w:t>
            </w:r>
            <w:r>
              <w:rPr>
                <w:rFonts w:cs="Calibri"/>
                <w:color w:val="000000"/>
                <w:sz w:val="20"/>
                <w:szCs w:val="20"/>
              </w:rPr>
              <w:t xml:space="preserve">: </w:t>
            </w:r>
            <w:r w:rsidRPr="00546475">
              <w:rPr>
                <w:rFonts w:cs="Calibri"/>
                <w:color w:val="000000"/>
                <w:sz w:val="20"/>
                <w:szCs w:val="20"/>
              </w:rPr>
              <w:t>LARC - 60 days</w:t>
            </w:r>
          </w:p>
        </w:tc>
        <w:tc>
          <w:tcPr>
            <w:tcW w:w="1080" w:type="dxa"/>
            <w:tcBorders>
              <w:top w:val="single" w:sz="4" w:space="0" w:color="auto"/>
              <w:bottom w:val="single" w:sz="4" w:space="0" w:color="auto"/>
              <w:right w:val="single" w:sz="4" w:space="0" w:color="auto"/>
            </w:tcBorders>
            <w:vAlign w:val="center"/>
          </w:tcPr>
          <w:p w14:paraId="4865F5C7" w14:textId="46B9A3F3" w:rsidR="005A167A" w:rsidRPr="004A1A02" w:rsidRDefault="005A167A" w:rsidP="00241D26">
            <w:pPr>
              <w:spacing w:after="0"/>
              <w:jc w:val="center"/>
              <w:rPr>
                <w:rFonts w:asciiTheme="minorHAnsi" w:hAnsiTheme="minorHAnsi" w:cstheme="minorHAnsi"/>
                <w:sz w:val="20"/>
                <w:szCs w:val="20"/>
              </w:rPr>
            </w:pPr>
            <w:r w:rsidRPr="004A1A02">
              <w:rPr>
                <w:rFonts w:asciiTheme="minorHAnsi" w:hAnsiTheme="minorHAnsi" w:cstheme="minorHAnsi"/>
                <w:sz w:val="20"/>
                <w:szCs w:val="20"/>
              </w:rPr>
              <w:t>25.3%</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21719DC" w14:textId="7D5758F1" w:rsidR="005A167A" w:rsidRPr="004A1A02" w:rsidRDefault="005A167A" w:rsidP="00241D26">
            <w:pPr>
              <w:spacing w:after="0"/>
              <w:jc w:val="center"/>
              <w:rPr>
                <w:rFonts w:asciiTheme="minorHAnsi" w:hAnsiTheme="minorHAnsi" w:cstheme="minorHAnsi"/>
                <w:sz w:val="20"/>
                <w:szCs w:val="20"/>
              </w:rPr>
            </w:pPr>
            <w:r>
              <w:rPr>
                <w:rFonts w:asciiTheme="minorHAnsi" w:hAnsiTheme="minorHAnsi" w:cstheme="minorHAnsi"/>
                <w:sz w:val="20"/>
                <w:szCs w:val="20"/>
              </w:rPr>
              <w:t>22.8%</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B47D561" w14:textId="544B79E4" w:rsidR="005A167A" w:rsidRPr="004A1A02" w:rsidRDefault="005A167A" w:rsidP="00241D26">
            <w:pPr>
              <w:spacing w:after="0"/>
              <w:jc w:val="center"/>
              <w:rPr>
                <w:rFonts w:asciiTheme="minorHAnsi" w:hAnsiTheme="minorHAnsi" w:cstheme="minorHAnsi"/>
                <w:sz w:val="20"/>
                <w:szCs w:val="20"/>
              </w:rPr>
            </w:pPr>
            <w:r>
              <w:rPr>
                <w:rFonts w:asciiTheme="minorHAnsi" w:hAnsiTheme="minorHAnsi" w:cstheme="minorHAnsi"/>
                <w:sz w:val="20"/>
                <w:szCs w:val="20"/>
              </w:rPr>
              <w:t>NR</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tcPr>
          <w:p w14:paraId="6153BC58" w14:textId="523E3E03" w:rsidR="005A167A" w:rsidRPr="00CF27C7" w:rsidRDefault="00CF27C7" w:rsidP="00241D26">
            <w:pPr>
              <w:spacing w:after="0"/>
              <w:jc w:val="center"/>
              <w:rPr>
                <w:rFonts w:asciiTheme="minorHAnsi" w:hAnsiTheme="minorHAnsi" w:cstheme="minorHAnsi"/>
                <w:sz w:val="20"/>
                <w:szCs w:val="20"/>
              </w:rPr>
            </w:pPr>
            <w:r w:rsidRPr="00CF27C7">
              <w:rPr>
                <w:rFonts w:asciiTheme="minorHAnsi" w:hAnsiTheme="minorHAnsi" w:cstheme="minorHAnsi"/>
                <w:sz w:val="20"/>
                <w:szCs w:val="20"/>
              </w:rPr>
              <w:t>12.1%</w:t>
            </w:r>
          </w:p>
        </w:tc>
        <w:tc>
          <w:tcPr>
            <w:tcW w:w="1144" w:type="dxa"/>
            <w:tcBorders>
              <w:top w:val="single" w:sz="4" w:space="0" w:color="auto"/>
              <w:left w:val="nil"/>
              <w:bottom w:val="single" w:sz="4" w:space="0" w:color="000000"/>
              <w:right w:val="single" w:sz="4" w:space="0" w:color="000000"/>
            </w:tcBorders>
            <w:shd w:val="clear" w:color="auto" w:fill="auto"/>
            <w:noWrap/>
          </w:tcPr>
          <w:p w14:paraId="646D665D" w14:textId="59574C0B" w:rsidR="005A167A" w:rsidRPr="00CF27C7" w:rsidRDefault="00CF27C7" w:rsidP="00241D26">
            <w:pPr>
              <w:spacing w:after="0"/>
              <w:jc w:val="center"/>
              <w:rPr>
                <w:rFonts w:asciiTheme="minorHAnsi" w:hAnsiTheme="minorHAnsi" w:cstheme="minorHAnsi"/>
                <w:sz w:val="20"/>
                <w:szCs w:val="20"/>
              </w:rPr>
            </w:pPr>
            <w:r w:rsidRPr="00CF27C7">
              <w:rPr>
                <w:rFonts w:asciiTheme="minorHAnsi" w:hAnsiTheme="minorHAnsi" w:cstheme="minorHAnsi"/>
                <w:sz w:val="20"/>
                <w:szCs w:val="20"/>
              </w:rPr>
              <w:t>15.3%</w:t>
            </w:r>
          </w:p>
        </w:tc>
        <w:tc>
          <w:tcPr>
            <w:tcW w:w="1144" w:type="dxa"/>
            <w:tcBorders>
              <w:top w:val="single" w:sz="4" w:space="0" w:color="auto"/>
              <w:left w:val="nil"/>
              <w:bottom w:val="single" w:sz="4" w:space="0" w:color="000000"/>
              <w:right w:val="single" w:sz="4" w:space="0" w:color="000000"/>
            </w:tcBorders>
          </w:tcPr>
          <w:p w14:paraId="095CC038" w14:textId="3A23841F" w:rsidR="005A167A" w:rsidRPr="00CF27C7" w:rsidRDefault="00CF27C7" w:rsidP="00241D26">
            <w:pPr>
              <w:spacing w:after="0"/>
              <w:jc w:val="center"/>
              <w:rPr>
                <w:rFonts w:asciiTheme="minorHAnsi" w:hAnsiTheme="minorHAnsi" w:cstheme="minorHAnsi"/>
                <w:sz w:val="20"/>
                <w:szCs w:val="20"/>
              </w:rPr>
            </w:pPr>
            <w:r w:rsidRPr="00CF27C7">
              <w:rPr>
                <w:rFonts w:asciiTheme="minorHAnsi" w:hAnsiTheme="minorHAnsi" w:cstheme="minorHAnsi"/>
                <w:sz w:val="20"/>
                <w:szCs w:val="20"/>
              </w:rPr>
              <w:t>18.0%</w:t>
            </w:r>
          </w:p>
        </w:tc>
      </w:tr>
      <w:tr w:rsidR="005A167A" w:rsidRPr="00F26259" w14:paraId="67D45A7D" w14:textId="2D9AB6D0" w:rsidTr="005A167A">
        <w:trPr>
          <w:trHeight w:val="215"/>
        </w:trPr>
        <w:tc>
          <w:tcPr>
            <w:tcW w:w="1170" w:type="dxa"/>
            <w:tcBorders>
              <w:top w:val="single" w:sz="4" w:space="0" w:color="auto"/>
              <w:left w:val="single" w:sz="4" w:space="0" w:color="000000"/>
              <w:bottom w:val="single" w:sz="4" w:space="0" w:color="000000"/>
              <w:right w:val="single" w:sz="4" w:space="0" w:color="000000"/>
            </w:tcBorders>
            <w:shd w:val="clear" w:color="auto" w:fill="auto"/>
            <w:noWrap/>
          </w:tcPr>
          <w:p w14:paraId="266ACD93" w14:textId="3AC29E62" w:rsidR="005A167A" w:rsidRDefault="005A167A" w:rsidP="00516970">
            <w:pPr>
              <w:spacing w:after="0"/>
              <w:jc w:val="center"/>
              <w:rPr>
                <w:rFonts w:cs="Calibri"/>
                <w:sz w:val="20"/>
                <w:szCs w:val="20"/>
              </w:rPr>
            </w:pPr>
            <w:r>
              <w:rPr>
                <w:rFonts w:cs="Calibri"/>
                <w:sz w:val="20"/>
                <w:szCs w:val="20"/>
              </w:rPr>
              <w:lastRenderedPageBreak/>
              <w:t>CCW</w:t>
            </w:r>
          </w:p>
        </w:tc>
        <w:tc>
          <w:tcPr>
            <w:tcW w:w="6930" w:type="dxa"/>
            <w:tcBorders>
              <w:top w:val="single" w:sz="4" w:space="0" w:color="auto"/>
              <w:left w:val="nil"/>
              <w:bottom w:val="single" w:sz="4" w:space="0" w:color="auto"/>
              <w:right w:val="single" w:sz="4" w:space="0" w:color="auto"/>
            </w:tcBorders>
            <w:shd w:val="clear" w:color="auto" w:fill="auto"/>
          </w:tcPr>
          <w:p w14:paraId="6A5D4BC7" w14:textId="50D420D7" w:rsidR="005A167A" w:rsidRPr="00E87743" w:rsidRDefault="005A167A" w:rsidP="00E87743">
            <w:pPr>
              <w:rPr>
                <w:rFonts w:eastAsia="Times New Roman" w:cs="Calibri"/>
                <w:color w:val="000000"/>
                <w:sz w:val="20"/>
                <w:szCs w:val="20"/>
              </w:rPr>
            </w:pPr>
            <w:r w:rsidRPr="00546475">
              <w:rPr>
                <w:rFonts w:cs="Calibri"/>
                <w:color w:val="000000"/>
                <w:sz w:val="20"/>
                <w:szCs w:val="20"/>
              </w:rPr>
              <w:t>Contraceptive Care - All Women Ages 15 to 20</w:t>
            </w:r>
            <w:r>
              <w:rPr>
                <w:rFonts w:cs="Calibri"/>
                <w:color w:val="000000"/>
                <w:sz w:val="20"/>
                <w:szCs w:val="20"/>
              </w:rPr>
              <w:t xml:space="preserve">: </w:t>
            </w:r>
            <w:r w:rsidRPr="00546475">
              <w:rPr>
                <w:rFonts w:cs="Calibri"/>
                <w:sz w:val="20"/>
                <w:szCs w:val="20"/>
              </w:rPr>
              <w:t>Most/Moderate</w:t>
            </w:r>
            <w:r>
              <w:rPr>
                <w:rFonts w:cs="Calibri"/>
                <w:sz w:val="20"/>
                <w:szCs w:val="20"/>
              </w:rPr>
              <w:t xml:space="preserve"> Effective Methods</w:t>
            </w:r>
          </w:p>
        </w:tc>
        <w:tc>
          <w:tcPr>
            <w:tcW w:w="1080" w:type="dxa"/>
            <w:tcBorders>
              <w:top w:val="single" w:sz="4" w:space="0" w:color="auto"/>
              <w:bottom w:val="single" w:sz="4" w:space="0" w:color="auto"/>
              <w:right w:val="single" w:sz="4" w:space="0" w:color="auto"/>
            </w:tcBorders>
            <w:vAlign w:val="center"/>
          </w:tcPr>
          <w:p w14:paraId="3BAF418F" w14:textId="5AD38C59" w:rsidR="005A167A" w:rsidRPr="004A1A02" w:rsidRDefault="005A167A" w:rsidP="00516970">
            <w:pPr>
              <w:spacing w:after="0"/>
              <w:jc w:val="center"/>
              <w:rPr>
                <w:rFonts w:asciiTheme="minorHAnsi" w:hAnsiTheme="minorHAnsi" w:cstheme="minorHAnsi"/>
                <w:sz w:val="20"/>
                <w:szCs w:val="20"/>
              </w:rPr>
            </w:pPr>
            <w:r w:rsidRPr="004A1A02">
              <w:rPr>
                <w:rFonts w:asciiTheme="minorHAnsi" w:hAnsiTheme="minorHAnsi" w:cstheme="minorHAnsi"/>
                <w:sz w:val="20"/>
                <w:szCs w:val="20"/>
              </w:rPr>
              <w:t>13.3%</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8310728" w14:textId="145C1CDF" w:rsidR="005A167A" w:rsidRPr="004A1A02" w:rsidRDefault="005A167A" w:rsidP="00516970">
            <w:pPr>
              <w:spacing w:after="0"/>
              <w:jc w:val="center"/>
              <w:rPr>
                <w:rFonts w:asciiTheme="minorHAnsi" w:hAnsiTheme="minorHAnsi" w:cstheme="minorHAnsi"/>
                <w:sz w:val="20"/>
                <w:szCs w:val="20"/>
              </w:rPr>
            </w:pPr>
            <w:r>
              <w:rPr>
                <w:rFonts w:asciiTheme="minorHAnsi" w:hAnsiTheme="minorHAnsi" w:cstheme="minorHAnsi"/>
                <w:sz w:val="20"/>
                <w:szCs w:val="20"/>
              </w:rPr>
              <w:t>9.2%</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BEC58A8" w14:textId="3C972077" w:rsidR="005A167A" w:rsidRPr="004A1A02" w:rsidRDefault="005A167A" w:rsidP="00516970">
            <w:pPr>
              <w:spacing w:after="0"/>
              <w:jc w:val="center"/>
              <w:rPr>
                <w:rFonts w:asciiTheme="minorHAnsi" w:hAnsiTheme="minorHAnsi" w:cstheme="minorHAnsi"/>
                <w:sz w:val="20"/>
                <w:szCs w:val="20"/>
              </w:rPr>
            </w:pPr>
            <w:r>
              <w:rPr>
                <w:rFonts w:asciiTheme="minorHAnsi" w:hAnsiTheme="minorHAnsi" w:cstheme="minorHAnsi"/>
                <w:sz w:val="20"/>
                <w:szCs w:val="20"/>
              </w:rPr>
              <w:t>28.8%</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3D578F19" w14:textId="5713260E" w:rsidR="005A167A" w:rsidRPr="00484736" w:rsidRDefault="00484736" w:rsidP="00516970">
            <w:pPr>
              <w:spacing w:after="0"/>
              <w:jc w:val="center"/>
              <w:rPr>
                <w:rFonts w:asciiTheme="minorHAnsi" w:hAnsiTheme="minorHAnsi" w:cstheme="minorHAnsi"/>
                <w:sz w:val="20"/>
                <w:szCs w:val="20"/>
              </w:rPr>
            </w:pPr>
            <w:r w:rsidRPr="00484736">
              <w:rPr>
                <w:rFonts w:asciiTheme="minorHAnsi" w:hAnsiTheme="minorHAnsi" w:cstheme="minorHAnsi"/>
                <w:sz w:val="20"/>
                <w:szCs w:val="20"/>
              </w:rPr>
              <w:t>19.1%</w:t>
            </w:r>
          </w:p>
        </w:tc>
        <w:tc>
          <w:tcPr>
            <w:tcW w:w="1144" w:type="dxa"/>
            <w:tcBorders>
              <w:top w:val="single" w:sz="4" w:space="0" w:color="auto"/>
              <w:left w:val="nil"/>
              <w:bottom w:val="single" w:sz="4" w:space="0" w:color="000000"/>
              <w:right w:val="single" w:sz="4" w:space="0" w:color="000000"/>
            </w:tcBorders>
            <w:shd w:val="clear" w:color="auto" w:fill="auto"/>
            <w:noWrap/>
            <w:vAlign w:val="center"/>
          </w:tcPr>
          <w:p w14:paraId="63199775" w14:textId="0BDF8BE3" w:rsidR="005A167A" w:rsidRPr="00484736" w:rsidRDefault="00484736" w:rsidP="00516970">
            <w:pPr>
              <w:spacing w:after="0"/>
              <w:jc w:val="center"/>
              <w:rPr>
                <w:rFonts w:asciiTheme="minorHAnsi" w:hAnsiTheme="minorHAnsi" w:cstheme="minorHAnsi"/>
                <w:sz w:val="20"/>
                <w:szCs w:val="20"/>
              </w:rPr>
            </w:pPr>
            <w:r w:rsidRPr="00484736">
              <w:rPr>
                <w:rFonts w:asciiTheme="minorHAnsi" w:hAnsiTheme="minorHAnsi" w:cstheme="minorHAnsi"/>
                <w:sz w:val="20"/>
                <w:szCs w:val="20"/>
              </w:rPr>
              <w:t>26.3%</w:t>
            </w:r>
          </w:p>
        </w:tc>
        <w:tc>
          <w:tcPr>
            <w:tcW w:w="1144" w:type="dxa"/>
            <w:tcBorders>
              <w:top w:val="single" w:sz="4" w:space="0" w:color="auto"/>
              <w:left w:val="nil"/>
              <w:bottom w:val="single" w:sz="4" w:space="0" w:color="000000"/>
              <w:right w:val="single" w:sz="4" w:space="0" w:color="000000"/>
            </w:tcBorders>
          </w:tcPr>
          <w:p w14:paraId="23641218" w14:textId="7C880408" w:rsidR="005A167A" w:rsidRPr="00484736" w:rsidRDefault="00484736" w:rsidP="00516970">
            <w:pPr>
              <w:spacing w:after="0"/>
              <w:jc w:val="center"/>
              <w:rPr>
                <w:rFonts w:asciiTheme="minorHAnsi" w:hAnsiTheme="minorHAnsi" w:cstheme="minorHAnsi"/>
                <w:sz w:val="20"/>
                <w:szCs w:val="20"/>
              </w:rPr>
            </w:pPr>
            <w:r w:rsidRPr="00484736">
              <w:rPr>
                <w:rFonts w:asciiTheme="minorHAnsi" w:hAnsiTheme="minorHAnsi" w:cstheme="minorHAnsi"/>
                <w:sz w:val="20"/>
                <w:szCs w:val="20"/>
              </w:rPr>
              <w:t>29.3%</w:t>
            </w:r>
          </w:p>
        </w:tc>
      </w:tr>
      <w:tr w:rsidR="005A167A" w:rsidRPr="00F26259" w14:paraId="4E11BF49" w14:textId="4AD305C6" w:rsidTr="005A167A">
        <w:trPr>
          <w:trHeight w:val="215"/>
        </w:trPr>
        <w:tc>
          <w:tcPr>
            <w:tcW w:w="1170" w:type="dxa"/>
            <w:tcBorders>
              <w:top w:val="single" w:sz="4" w:space="0" w:color="auto"/>
              <w:left w:val="single" w:sz="4" w:space="0" w:color="000000"/>
              <w:bottom w:val="single" w:sz="4" w:space="0" w:color="000000"/>
              <w:right w:val="single" w:sz="4" w:space="0" w:color="000000"/>
            </w:tcBorders>
            <w:shd w:val="clear" w:color="auto" w:fill="auto"/>
            <w:noWrap/>
          </w:tcPr>
          <w:p w14:paraId="25C8DDB7" w14:textId="391E2D5D" w:rsidR="005A167A" w:rsidRDefault="005A167A" w:rsidP="00516970">
            <w:pPr>
              <w:spacing w:after="0"/>
              <w:jc w:val="center"/>
              <w:rPr>
                <w:rFonts w:cs="Calibri"/>
                <w:sz w:val="20"/>
                <w:szCs w:val="20"/>
              </w:rPr>
            </w:pPr>
            <w:r>
              <w:rPr>
                <w:rFonts w:cs="Calibri"/>
                <w:sz w:val="20"/>
                <w:szCs w:val="20"/>
              </w:rPr>
              <w:t>CCW</w:t>
            </w:r>
          </w:p>
        </w:tc>
        <w:tc>
          <w:tcPr>
            <w:tcW w:w="6930" w:type="dxa"/>
            <w:tcBorders>
              <w:top w:val="single" w:sz="4" w:space="0" w:color="auto"/>
              <w:left w:val="nil"/>
              <w:bottom w:val="single" w:sz="4" w:space="0" w:color="auto"/>
              <w:right w:val="single" w:sz="4" w:space="0" w:color="auto"/>
            </w:tcBorders>
            <w:shd w:val="clear" w:color="auto" w:fill="auto"/>
          </w:tcPr>
          <w:p w14:paraId="25EE6E48" w14:textId="14B11017" w:rsidR="005A167A" w:rsidRPr="00E87743" w:rsidRDefault="005A167A" w:rsidP="00516970">
            <w:pPr>
              <w:rPr>
                <w:rFonts w:eastAsia="Times New Roman" w:cs="Calibri"/>
                <w:color w:val="000000"/>
                <w:sz w:val="20"/>
                <w:szCs w:val="20"/>
              </w:rPr>
            </w:pPr>
            <w:r w:rsidRPr="00546475">
              <w:rPr>
                <w:rFonts w:cs="Calibri"/>
                <w:color w:val="000000"/>
                <w:sz w:val="20"/>
                <w:szCs w:val="20"/>
              </w:rPr>
              <w:t>Contraceptive Care - All Women Ages 15 to 20</w:t>
            </w:r>
            <w:r>
              <w:rPr>
                <w:rFonts w:cs="Calibri"/>
                <w:color w:val="000000"/>
                <w:sz w:val="20"/>
                <w:szCs w:val="20"/>
              </w:rPr>
              <w:t>: LARC</w:t>
            </w:r>
          </w:p>
        </w:tc>
        <w:tc>
          <w:tcPr>
            <w:tcW w:w="1080" w:type="dxa"/>
            <w:tcBorders>
              <w:top w:val="single" w:sz="4" w:space="0" w:color="auto"/>
              <w:bottom w:val="single" w:sz="4" w:space="0" w:color="auto"/>
              <w:right w:val="single" w:sz="4" w:space="0" w:color="auto"/>
            </w:tcBorders>
            <w:vAlign w:val="center"/>
          </w:tcPr>
          <w:p w14:paraId="47097E7F" w14:textId="14C3C452" w:rsidR="005A167A" w:rsidRPr="004A1A02" w:rsidRDefault="005A167A" w:rsidP="00516970">
            <w:pPr>
              <w:spacing w:after="0"/>
              <w:jc w:val="center"/>
              <w:rPr>
                <w:rFonts w:asciiTheme="minorHAnsi" w:hAnsiTheme="minorHAnsi" w:cstheme="minorHAnsi"/>
                <w:sz w:val="20"/>
                <w:szCs w:val="20"/>
              </w:rPr>
            </w:pPr>
            <w:r>
              <w:rPr>
                <w:rFonts w:asciiTheme="minorHAnsi" w:hAnsiTheme="minorHAnsi" w:cstheme="minorHAnsi"/>
                <w:sz w:val="20"/>
                <w:szCs w:val="20"/>
              </w:rPr>
              <w:t>2.1%</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246ACC5" w14:textId="64BA6FE1" w:rsidR="005A167A" w:rsidRPr="004A1A02" w:rsidRDefault="005A167A" w:rsidP="00516970">
            <w:pPr>
              <w:spacing w:after="0"/>
              <w:jc w:val="center"/>
              <w:rPr>
                <w:rFonts w:asciiTheme="minorHAnsi" w:hAnsiTheme="minorHAnsi" w:cstheme="minorHAnsi"/>
                <w:sz w:val="20"/>
                <w:szCs w:val="20"/>
              </w:rPr>
            </w:pPr>
            <w:r>
              <w:rPr>
                <w:rFonts w:asciiTheme="minorHAnsi" w:hAnsiTheme="minorHAnsi" w:cstheme="minorHAnsi"/>
                <w:sz w:val="20"/>
                <w:szCs w:val="20"/>
              </w:rPr>
              <w:t>1.3%</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C5EEB36" w14:textId="173015D5" w:rsidR="005A167A" w:rsidRPr="004A1A02" w:rsidRDefault="005A167A" w:rsidP="00516970">
            <w:pPr>
              <w:spacing w:after="0"/>
              <w:jc w:val="center"/>
              <w:rPr>
                <w:rFonts w:asciiTheme="minorHAnsi" w:hAnsiTheme="minorHAnsi" w:cstheme="minorHAnsi"/>
                <w:sz w:val="20"/>
                <w:szCs w:val="20"/>
              </w:rPr>
            </w:pPr>
            <w:r>
              <w:rPr>
                <w:rFonts w:asciiTheme="minorHAnsi" w:hAnsiTheme="minorHAnsi" w:cstheme="minorHAnsi"/>
                <w:sz w:val="20"/>
                <w:szCs w:val="20"/>
              </w:rPr>
              <w:t>3.6%</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60727B2A" w14:textId="2DF74F41" w:rsidR="005A167A" w:rsidRPr="00F65E69" w:rsidRDefault="00F65E69" w:rsidP="00516970">
            <w:pPr>
              <w:spacing w:after="0"/>
              <w:jc w:val="center"/>
              <w:rPr>
                <w:rFonts w:asciiTheme="minorHAnsi" w:hAnsiTheme="minorHAnsi" w:cstheme="minorHAnsi"/>
                <w:sz w:val="20"/>
                <w:szCs w:val="20"/>
              </w:rPr>
            </w:pPr>
            <w:r w:rsidRPr="00F65E69">
              <w:rPr>
                <w:rFonts w:asciiTheme="minorHAnsi" w:hAnsiTheme="minorHAnsi" w:cstheme="minorHAnsi"/>
                <w:sz w:val="20"/>
                <w:szCs w:val="20"/>
              </w:rPr>
              <w:t>2.7%</w:t>
            </w:r>
          </w:p>
        </w:tc>
        <w:tc>
          <w:tcPr>
            <w:tcW w:w="1144" w:type="dxa"/>
            <w:tcBorders>
              <w:top w:val="single" w:sz="4" w:space="0" w:color="auto"/>
              <w:left w:val="nil"/>
              <w:bottom w:val="single" w:sz="4" w:space="0" w:color="000000"/>
              <w:right w:val="single" w:sz="4" w:space="0" w:color="000000"/>
            </w:tcBorders>
            <w:shd w:val="clear" w:color="auto" w:fill="auto"/>
            <w:noWrap/>
            <w:vAlign w:val="center"/>
          </w:tcPr>
          <w:p w14:paraId="22EBE089" w14:textId="0690FB2E" w:rsidR="005A167A" w:rsidRPr="00F65E69" w:rsidRDefault="00F65E69" w:rsidP="00516970">
            <w:pPr>
              <w:spacing w:after="0"/>
              <w:jc w:val="center"/>
              <w:rPr>
                <w:rFonts w:asciiTheme="minorHAnsi" w:hAnsiTheme="minorHAnsi" w:cstheme="minorHAnsi"/>
                <w:sz w:val="20"/>
                <w:szCs w:val="20"/>
              </w:rPr>
            </w:pPr>
            <w:r w:rsidRPr="00F65E69">
              <w:rPr>
                <w:rFonts w:asciiTheme="minorHAnsi" w:hAnsiTheme="minorHAnsi" w:cstheme="minorHAnsi"/>
                <w:sz w:val="20"/>
                <w:szCs w:val="20"/>
              </w:rPr>
              <w:t>3.4%</w:t>
            </w:r>
          </w:p>
        </w:tc>
        <w:tc>
          <w:tcPr>
            <w:tcW w:w="1144" w:type="dxa"/>
            <w:tcBorders>
              <w:top w:val="single" w:sz="4" w:space="0" w:color="auto"/>
              <w:left w:val="nil"/>
              <w:bottom w:val="single" w:sz="4" w:space="0" w:color="000000"/>
              <w:right w:val="single" w:sz="4" w:space="0" w:color="000000"/>
            </w:tcBorders>
          </w:tcPr>
          <w:p w14:paraId="1C9150A1" w14:textId="4AF7EC09" w:rsidR="005A167A" w:rsidRPr="00F65E69" w:rsidRDefault="00F65E69" w:rsidP="00516970">
            <w:pPr>
              <w:spacing w:after="0"/>
              <w:jc w:val="center"/>
              <w:rPr>
                <w:rFonts w:asciiTheme="minorHAnsi" w:hAnsiTheme="minorHAnsi" w:cstheme="minorHAnsi"/>
                <w:sz w:val="20"/>
                <w:szCs w:val="20"/>
              </w:rPr>
            </w:pPr>
            <w:r w:rsidRPr="00F65E69">
              <w:rPr>
                <w:rFonts w:asciiTheme="minorHAnsi" w:hAnsiTheme="minorHAnsi" w:cstheme="minorHAnsi"/>
                <w:sz w:val="20"/>
                <w:szCs w:val="20"/>
              </w:rPr>
              <w:t>4.7%</w:t>
            </w:r>
          </w:p>
        </w:tc>
      </w:tr>
      <w:tr w:rsidR="005A167A" w:rsidRPr="00F26259" w14:paraId="332FF85D" w14:textId="701DBE55" w:rsidTr="005A167A">
        <w:trPr>
          <w:trHeight w:val="215"/>
        </w:trPr>
        <w:tc>
          <w:tcPr>
            <w:tcW w:w="1170" w:type="dxa"/>
            <w:tcBorders>
              <w:top w:val="single" w:sz="4" w:space="0" w:color="auto"/>
              <w:left w:val="single" w:sz="4" w:space="0" w:color="000000"/>
              <w:bottom w:val="single" w:sz="4" w:space="0" w:color="000000"/>
              <w:right w:val="single" w:sz="4" w:space="0" w:color="000000"/>
            </w:tcBorders>
            <w:shd w:val="clear" w:color="auto" w:fill="auto"/>
            <w:noWrap/>
          </w:tcPr>
          <w:p w14:paraId="55A182CA" w14:textId="4B839965" w:rsidR="005A167A" w:rsidRDefault="005A167A" w:rsidP="00516970">
            <w:pPr>
              <w:spacing w:after="0"/>
              <w:jc w:val="center"/>
              <w:rPr>
                <w:rFonts w:cs="Calibri"/>
                <w:sz w:val="20"/>
                <w:szCs w:val="20"/>
              </w:rPr>
            </w:pPr>
            <w:r>
              <w:rPr>
                <w:rFonts w:cs="Calibri"/>
                <w:sz w:val="20"/>
                <w:szCs w:val="20"/>
              </w:rPr>
              <w:t>CHL</w:t>
            </w:r>
          </w:p>
        </w:tc>
        <w:tc>
          <w:tcPr>
            <w:tcW w:w="6930" w:type="dxa"/>
            <w:tcBorders>
              <w:top w:val="single" w:sz="4" w:space="0" w:color="auto"/>
              <w:left w:val="nil"/>
              <w:bottom w:val="single" w:sz="4" w:space="0" w:color="auto"/>
              <w:right w:val="single" w:sz="4" w:space="0" w:color="auto"/>
            </w:tcBorders>
            <w:shd w:val="clear" w:color="auto" w:fill="auto"/>
          </w:tcPr>
          <w:p w14:paraId="30236D61" w14:textId="61A1DA48" w:rsidR="005A167A" w:rsidRPr="00546475" w:rsidRDefault="005A167A" w:rsidP="00516970">
            <w:pPr>
              <w:rPr>
                <w:rFonts w:eastAsia="Times New Roman" w:cs="Calibri"/>
                <w:color w:val="000000"/>
                <w:sz w:val="20"/>
                <w:szCs w:val="20"/>
              </w:rPr>
            </w:pPr>
            <w:r w:rsidRPr="00546475">
              <w:rPr>
                <w:rFonts w:cs="Calibri"/>
                <w:color w:val="000000"/>
                <w:sz w:val="20"/>
                <w:szCs w:val="20"/>
              </w:rPr>
              <w:t xml:space="preserve">Chlamydia Screening in Women Ages 16 to 20 </w:t>
            </w:r>
          </w:p>
        </w:tc>
        <w:tc>
          <w:tcPr>
            <w:tcW w:w="1080" w:type="dxa"/>
            <w:tcBorders>
              <w:top w:val="single" w:sz="4" w:space="0" w:color="auto"/>
              <w:bottom w:val="single" w:sz="4" w:space="0" w:color="auto"/>
              <w:right w:val="single" w:sz="4" w:space="0" w:color="auto"/>
            </w:tcBorders>
            <w:vAlign w:val="center"/>
          </w:tcPr>
          <w:p w14:paraId="0CD89527" w14:textId="4C6A8048" w:rsidR="005A167A" w:rsidRPr="004A1A02" w:rsidRDefault="005A167A" w:rsidP="00516970">
            <w:pPr>
              <w:spacing w:after="0"/>
              <w:jc w:val="center"/>
              <w:rPr>
                <w:rFonts w:asciiTheme="minorHAnsi" w:hAnsiTheme="minorHAnsi" w:cstheme="minorHAnsi"/>
                <w:sz w:val="20"/>
                <w:szCs w:val="20"/>
              </w:rPr>
            </w:pPr>
            <w:r w:rsidRPr="004A1A02">
              <w:rPr>
                <w:rFonts w:asciiTheme="minorHAnsi" w:hAnsiTheme="minorHAnsi" w:cstheme="minorHAnsi"/>
                <w:sz w:val="20"/>
                <w:szCs w:val="20"/>
              </w:rPr>
              <w:t>63.4%</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A27EE97" w14:textId="32847513" w:rsidR="005A167A" w:rsidRPr="004A1A02" w:rsidRDefault="005A167A" w:rsidP="00516970">
            <w:pPr>
              <w:spacing w:after="0"/>
              <w:jc w:val="center"/>
              <w:rPr>
                <w:rFonts w:asciiTheme="minorHAnsi" w:hAnsiTheme="minorHAnsi" w:cstheme="minorHAnsi"/>
                <w:sz w:val="20"/>
                <w:szCs w:val="20"/>
              </w:rPr>
            </w:pPr>
            <w:r>
              <w:rPr>
                <w:rFonts w:asciiTheme="minorHAnsi" w:hAnsiTheme="minorHAnsi" w:cstheme="minorHAnsi"/>
                <w:sz w:val="20"/>
                <w:szCs w:val="20"/>
              </w:rPr>
              <w:t>66.7%</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8F8F437" w14:textId="7C46462D" w:rsidR="005A167A" w:rsidRPr="004A1A02" w:rsidRDefault="005A167A" w:rsidP="00516970">
            <w:pPr>
              <w:spacing w:after="0"/>
              <w:jc w:val="center"/>
              <w:rPr>
                <w:rFonts w:asciiTheme="minorHAnsi" w:hAnsiTheme="minorHAnsi" w:cstheme="minorHAnsi"/>
                <w:sz w:val="20"/>
                <w:szCs w:val="20"/>
              </w:rPr>
            </w:pPr>
            <w:r>
              <w:rPr>
                <w:rFonts w:asciiTheme="minorHAnsi" w:hAnsiTheme="minorHAnsi" w:cstheme="minorHAnsi"/>
                <w:sz w:val="20"/>
                <w:szCs w:val="20"/>
              </w:rPr>
              <w:t>68.6%</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38B8637E" w14:textId="6D052B1F" w:rsidR="005A167A" w:rsidRPr="00BC5D29" w:rsidRDefault="00393AB6" w:rsidP="00516970">
            <w:pPr>
              <w:spacing w:after="0"/>
              <w:jc w:val="center"/>
              <w:rPr>
                <w:rFonts w:asciiTheme="minorHAnsi" w:hAnsiTheme="minorHAnsi" w:cstheme="minorHAnsi"/>
                <w:sz w:val="20"/>
                <w:szCs w:val="20"/>
              </w:rPr>
            </w:pPr>
            <w:r w:rsidRPr="00BC5D29">
              <w:rPr>
                <w:rFonts w:asciiTheme="minorHAnsi" w:hAnsiTheme="minorHAnsi" w:cstheme="minorHAnsi"/>
                <w:sz w:val="20"/>
                <w:szCs w:val="20"/>
              </w:rPr>
              <w:t>42.7</w:t>
            </w:r>
            <w:r w:rsidR="005A167A" w:rsidRPr="00BC5D29">
              <w:rPr>
                <w:rFonts w:asciiTheme="minorHAnsi" w:hAnsiTheme="minorHAnsi" w:cstheme="minorHAnsi"/>
                <w:sz w:val="20"/>
                <w:szCs w:val="20"/>
              </w:rPr>
              <w:t>%</w:t>
            </w:r>
          </w:p>
        </w:tc>
        <w:tc>
          <w:tcPr>
            <w:tcW w:w="1144" w:type="dxa"/>
            <w:tcBorders>
              <w:top w:val="single" w:sz="4" w:space="0" w:color="auto"/>
              <w:left w:val="nil"/>
              <w:bottom w:val="single" w:sz="4" w:space="0" w:color="000000"/>
              <w:right w:val="single" w:sz="4" w:space="0" w:color="000000"/>
            </w:tcBorders>
            <w:shd w:val="clear" w:color="auto" w:fill="auto"/>
            <w:noWrap/>
            <w:vAlign w:val="center"/>
          </w:tcPr>
          <w:p w14:paraId="14CDB89C" w14:textId="0C05A1D5" w:rsidR="005A167A" w:rsidRPr="00BC5D29" w:rsidRDefault="00393AB6" w:rsidP="00516970">
            <w:pPr>
              <w:spacing w:after="0"/>
              <w:jc w:val="center"/>
              <w:rPr>
                <w:rFonts w:asciiTheme="minorHAnsi" w:hAnsiTheme="minorHAnsi" w:cstheme="minorHAnsi"/>
                <w:sz w:val="20"/>
                <w:szCs w:val="20"/>
              </w:rPr>
            </w:pPr>
            <w:r w:rsidRPr="00BC5D29">
              <w:rPr>
                <w:rFonts w:asciiTheme="minorHAnsi" w:hAnsiTheme="minorHAnsi" w:cstheme="minorHAnsi"/>
                <w:sz w:val="20"/>
                <w:szCs w:val="20"/>
              </w:rPr>
              <w:t>47.2</w:t>
            </w:r>
            <w:r w:rsidR="005A167A" w:rsidRPr="00BC5D29">
              <w:rPr>
                <w:rFonts w:asciiTheme="minorHAnsi" w:hAnsiTheme="minorHAnsi" w:cstheme="minorHAnsi"/>
                <w:sz w:val="20"/>
                <w:szCs w:val="20"/>
              </w:rPr>
              <w:t>%</w:t>
            </w:r>
          </w:p>
        </w:tc>
        <w:tc>
          <w:tcPr>
            <w:tcW w:w="1144" w:type="dxa"/>
            <w:tcBorders>
              <w:top w:val="single" w:sz="4" w:space="0" w:color="auto"/>
              <w:left w:val="nil"/>
              <w:bottom w:val="single" w:sz="4" w:space="0" w:color="000000"/>
              <w:right w:val="single" w:sz="4" w:space="0" w:color="000000"/>
            </w:tcBorders>
          </w:tcPr>
          <w:p w14:paraId="401BBF1C" w14:textId="167D286F" w:rsidR="005A167A" w:rsidRPr="00BC5D29" w:rsidRDefault="00BC5D29" w:rsidP="00516970">
            <w:pPr>
              <w:spacing w:after="0"/>
              <w:jc w:val="center"/>
              <w:rPr>
                <w:rFonts w:asciiTheme="minorHAnsi" w:hAnsiTheme="minorHAnsi" w:cstheme="minorHAnsi"/>
                <w:sz w:val="20"/>
                <w:szCs w:val="20"/>
              </w:rPr>
            </w:pPr>
            <w:r w:rsidRPr="00BC5D29">
              <w:rPr>
                <w:rFonts w:asciiTheme="minorHAnsi" w:hAnsiTheme="minorHAnsi" w:cstheme="minorHAnsi"/>
                <w:sz w:val="20"/>
                <w:szCs w:val="20"/>
              </w:rPr>
              <w:t>58.1%</w:t>
            </w:r>
          </w:p>
        </w:tc>
      </w:tr>
      <w:tr w:rsidR="005A167A" w:rsidRPr="00F26259" w14:paraId="4D0A8F5D" w14:textId="3B2FAC0C" w:rsidTr="005A167A">
        <w:trPr>
          <w:trHeight w:val="215"/>
        </w:trPr>
        <w:tc>
          <w:tcPr>
            <w:tcW w:w="1170" w:type="dxa"/>
            <w:tcBorders>
              <w:top w:val="single" w:sz="4" w:space="0" w:color="auto"/>
              <w:left w:val="single" w:sz="4" w:space="0" w:color="000000"/>
              <w:bottom w:val="single" w:sz="4" w:space="0" w:color="000000"/>
              <w:right w:val="single" w:sz="4" w:space="0" w:color="000000"/>
            </w:tcBorders>
            <w:shd w:val="clear" w:color="auto" w:fill="auto"/>
            <w:noWrap/>
          </w:tcPr>
          <w:p w14:paraId="1AD2C449" w14:textId="0724FADD" w:rsidR="005A167A" w:rsidRPr="00A9231F" w:rsidRDefault="005A167A" w:rsidP="00516970">
            <w:pPr>
              <w:spacing w:after="0"/>
              <w:jc w:val="center"/>
              <w:rPr>
                <w:rFonts w:cs="Calibri"/>
                <w:sz w:val="20"/>
                <w:szCs w:val="20"/>
              </w:rPr>
            </w:pPr>
            <w:r>
              <w:rPr>
                <w:rFonts w:cs="Calibri"/>
                <w:sz w:val="20"/>
                <w:szCs w:val="20"/>
              </w:rPr>
              <w:t>CIS</w:t>
            </w:r>
          </w:p>
        </w:tc>
        <w:tc>
          <w:tcPr>
            <w:tcW w:w="6930" w:type="dxa"/>
            <w:tcBorders>
              <w:top w:val="single" w:sz="4" w:space="0" w:color="auto"/>
              <w:left w:val="nil"/>
              <w:bottom w:val="single" w:sz="4" w:space="0" w:color="auto"/>
              <w:right w:val="single" w:sz="4" w:space="0" w:color="auto"/>
            </w:tcBorders>
            <w:shd w:val="clear" w:color="auto" w:fill="auto"/>
          </w:tcPr>
          <w:p w14:paraId="22C0D39D" w14:textId="081DC9B0" w:rsidR="005A167A" w:rsidRPr="00A9231F" w:rsidRDefault="005A167A" w:rsidP="00516970">
            <w:pPr>
              <w:spacing w:after="0"/>
              <w:rPr>
                <w:rFonts w:cs="Calibri"/>
                <w:sz w:val="20"/>
                <w:szCs w:val="20"/>
              </w:rPr>
            </w:pPr>
            <w:r>
              <w:rPr>
                <w:rFonts w:cs="Calibri"/>
                <w:sz w:val="20"/>
                <w:szCs w:val="20"/>
              </w:rPr>
              <w:t>Childhood Immunization Status (Combo 3)</w:t>
            </w:r>
          </w:p>
        </w:tc>
        <w:tc>
          <w:tcPr>
            <w:tcW w:w="1080" w:type="dxa"/>
            <w:tcBorders>
              <w:top w:val="single" w:sz="4" w:space="0" w:color="auto"/>
              <w:bottom w:val="single" w:sz="4" w:space="0" w:color="auto"/>
              <w:right w:val="single" w:sz="4" w:space="0" w:color="auto"/>
            </w:tcBorders>
            <w:vAlign w:val="center"/>
          </w:tcPr>
          <w:p w14:paraId="5A82FADF" w14:textId="29309F1A" w:rsidR="005A167A" w:rsidRPr="004A1A02" w:rsidRDefault="005A167A" w:rsidP="00516970">
            <w:pPr>
              <w:spacing w:after="0"/>
              <w:jc w:val="center"/>
              <w:rPr>
                <w:rFonts w:asciiTheme="minorHAnsi" w:hAnsiTheme="minorHAnsi" w:cstheme="minorHAnsi"/>
                <w:sz w:val="20"/>
                <w:szCs w:val="20"/>
              </w:rPr>
            </w:pPr>
            <w:r>
              <w:rPr>
                <w:rFonts w:asciiTheme="minorHAnsi" w:hAnsiTheme="minorHAnsi" w:cstheme="minorHAnsi"/>
                <w:sz w:val="20"/>
                <w:szCs w:val="20"/>
              </w:rPr>
              <w:t>75.8%</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DDF347B" w14:textId="419314E7" w:rsidR="005A167A" w:rsidRPr="004A1A02"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74.7%</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6ED57C2" w14:textId="6C937DB2" w:rsidR="005A167A" w:rsidRPr="004A1A02"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75.1%</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7A4C77BA" w14:textId="0995A40D" w:rsidR="005A167A" w:rsidRPr="00511463" w:rsidRDefault="006C4077" w:rsidP="00516970">
            <w:pPr>
              <w:spacing w:after="0"/>
              <w:jc w:val="center"/>
              <w:rPr>
                <w:rFonts w:asciiTheme="minorHAnsi" w:eastAsia="Times New Roman" w:hAnsiTheme="minorHAnsi" w:cstheme="minorHAnsi"/>
                <w:sz w:val="20"/>
                <w:szCs w:val="20"/>
              </w:rPr>
            </w:pPr>
            <w:r w:rsidRPr="00511463">
              <w:rPr>
                <w:rFonts w:asciiTheme="minorHAnsi" w:eastAsia="Times New Roman" w:hAnsiTheme="minorHAnsi" w:cstheme="minorHAnsi"/>
                <w:sz w:val="20"/>
                <w:szCs w:val="20"/>
              </w:rPr>
              <w:t>56.4</w:t>
            </w:r>
            <w:r w:rsidR="005A167A" w:rsidRPr="00511463">
              <w:rPr>
                <w:rFonts w:asciiTheme="minorHAnsi" w:eastAsia="Times New Roman" w:hAnsiTheme="minorHAnsi" w:cstheme="minorHAnsi"/>
                <w:sz w:val="20"/>
                <w:szCs w:val="20"/>
              </w:rPr>
              <w:t>%</w:t>
            </w:r>
          </w:p>
        </w:tc>
        <w:tc>
          <w:tcPr>
            <w:tcW w:w="1144" w:type="dxa"/>
            <w:tcBorders>
              <w:top w:val="single" w:sz="4" w:space="0" w:color="auto"/>
              <w:left w:val="nil"/>
              <w:bottom w:val="single" w:sz="4" w:space="0" w:color="000000"/>
              <w:right w:val="single" w:sz="4" w:space="0" w:color="000000"/>
            </w:tcBorders>
            <w:shd w:val="clear" w:color="auto" w:fill="auto"/>
            <w:noWrap/>
            <w:vAlign w:val="center"/>
          </w:tcPr>
          <w:p w14:paraId="629A1AFF" w14:textId="46DF6DDB" w:rsidR="005A167A" w:rsidRPr="00511463" w:rsidRDefault="00511463" w:rsidP="00516970">
            <w:pPr>
              <w:spacing w:after="0"/>
              <w:jc w:val="center"/>
              <w:rPr>
                <w:rFonts w:asciiTheme="minorHAnsi" w:eastAsia="Times New Roman" w:hAnsiTheme="minorHAnsi" w:cstheme="minorHAnsi"/>
                <w:sz w:val="20"/>
                <w:szCs w:val="20"/>
              </w:rPr>
            </w:pPr>
            <w:r w:rsidRPr="00511463">
              <w:rPr>
                <w:rFonts w:asciiTheme="minorHAnsi" w:eastAsia="Times New Roman" w:hAnsiTheme="minorHAnsi" w:cstheme="minorHAnsi"/>
                <w:sz w:val="20"/>
                <w:szCs w:val="20"/>
              </w:rPr>
              <w:t>61.5</w:t>
            </w:r>
            <w:r w:rsidR="005A167A" w:rsidRPr="00511463">
              <w:rPr>
                <w:rFonts w:asciiTheme="minorHAnsi" w:eastAsia="Times New Roman" w:hAnsiTheme="minorHAnsi" w:cstheme="minorHAnsi"/>
                <w:sz w:val="20"/>
                <w:szCs w:val="20"/>
              </w:rPr>
              <w:t>%</w:t>
            </w:r>
          </w:p>
        </w:tc>
        <w:tc>
          <w:tcPr>
            <w:tcW w:w="1144" w:type="dxa"/>
            <w:tcBorders>
              <w:top w:val="single" w:sz="4" w:space="0" w:color="auto"/>
              <w:left w:val="nil"/>
              <w:bottom w:val="single" w:sz="4" w:space="0" w:color="000000"/>
              <w:right w:val="single" w:sz="4" w:space="0" w:color="000000"/>
            </w:tcBorders>
          </w:tcPr>
          <w:p w14:paraId="2EE80FB1" w14:textId="1BB8AED8" w:rsidR="005A167A" w:rsidRPr="00511463" w:rsidRDefault="00511463" w:rsidP="00516970">
            <w:pPr>
              <w:spacing w:after="0"/>
              <w:jc w:val="center"/>
              <w:rPr>
                <w:rFonts w:asciiTheme="minorHAnsi" w:eastAsia="Times New Roman" w:hAnsiTheme="minorHAnsi" w:cstheme="minorHAnsi"/>
                <w:sz w:val="20"/>
                <w:szCs w:val="20"/>
              </w:rPr>
            </w:pPr>
            <w:r w:rsidRPr="00511463">
              <w:rPr>
                <w:rFonts w:asciiTheme="minorHAnsi" w:eastAsia="Times New Roman" w:hAnsiTheme="minorHAnsi" w:cstheme="minorHAnsi"/>
                <w:sz w:val="20"/>
                <w:szCs w:val="20"/>
              </w:rPr>
              <w:t>67.6%</w:t>
            </w:r>
          </w:p>
        </w:tc>
      </w:tr>
      <w:tr w:rsidR="005A167A" w:rsidRPr="00F26259" w14:paraId="76176A4F" w14:textId="00D55C84" w:rsidTr="005A167A">
        <w:trPr>
          <w:trHeight w:val="215"/>
        </w:trPr>
        <w:tc>
          <w:tcPr>
            <w:tcW w:w="1170" w:type="dxa"/>
            <w:tcBorders>
              <w:top w:val="single" w:sz="4" w:space="0" w:color="auto"/>
              <w:left w:val="single" w:sz="4" w:space="0" w:color="000000"/>
              <w:bottom w:val="single" w:sz="4" w:space="0" w:color="000000"/>
              <w:right w:val="single" w:sz="4" w:space="0" w:color="000000"/>
            </w:tcBorders>
            <w:shd w:val="clear" w:color="auto" w:fill="auto"/>
            <w:noWrap/>
          </w:tcPr>
          <w:p w14:paraId="55404F86" w14:textId="34E5678F" w:rsidR="005A167A" w:rsidRPr="00A9231F" w:rsidRDefault="005A167A" w:rsidP="00516970">
            <w:pPr>
              <w:spacing w:after="0"/>
              <w:jc w:val="center"/>
              <w:rPr>
                <w:rFonts w:asciiTheme="minorHAnsi" w:eastAsia="Times New Roman" w:hAnsiTheme="minorHAnsi" w:cstheme="minorHAnsi"/>
                <w:color w:val="000000"/>
                <w:sz w:val="20"/>
                <w:szCs w:val="20"/>
              </w:rPr>
            </w:pPr>
            <w:r w:rsidRPr="00A9231F">
              <w:rPr>
                <w:rFonts w:cs="Calibri"/>
                <w:sz w:val="20"/>
                <w:szCs w:val="20"/>
              </w:rPr>
              <w:t>CIS</w:t>
            </w:r>
          </w:p>
        </w:tc>
        <w:tc>
          <w:tcPr>
            <w:tcW w:w="6930" w:type="dxa"/>
            <w:tcBorders>
              <w:top w:val="single" w:sz="4" w:space="0" w:color="auto"/>
              <w:left w:val="nil"/>
              <w:bottom w:val="single" w:sz="4" w:space="0" w:color="auto"/>
              <w:right w:val="single" w:sz="4" w:space="0" w:color="auto"/>
            </w:tcBorders>
            <w:shd w:val="clear" w:color="auto" w:fill="auto"/>
          </w:tcPr>
          <w:p w14:paraId="1F37A2A5" w14:textId="17B7B9E4" w:rsidR="005A167A" w:rsidRPr="00A9231F" w:rsidRDefault="005A167A" w:rsidP="00516970">
            <w:pPr>
              <w:spacing w:after="0"/>
              <w:rPr>
                <w:rFonts w:asciiTheme="minorHAnsi" w:eastAsia="Times New Roman" w:hAnsiTheme="minorHAnsi" w:cstheme="minorHAnsi"/>
                <w:sz w:val="20"/>
                <w:szCs w:val="20"/>
              </w:rPr>
            </w:pPr>
            <w:r w:rsidRPr="00A9231F">
              <w:rPr>
                <w:rFonts w:cs="Calibri"/>
                <w:sz w:val="20"/>
                <w:szCs w:val="20"/>
              </w:rPr>
              <w:t>Childhood Immunization Status (</w:t>
            </w:r>
            <w:r>
              <w:rPr>
                <w:rFonts w:cs="Calibri"/>
                <w:sz w:val="20"/>
                <w:szCs w:val="20"/>
              </w:rPr>
              <w:t>C</w:t>
            </w:r>
            <w:r w:rsidRPr="00A9231F">
              <w:rPr>
                <w:rFonts w:cs="Calibri"/>
                <w:sz w:val="20"/>
                <w:szCs w:val="20"/>
              </w:rPr>
              <w:t>ombo 10)</w:t>
            </w:r>
          </w:p>
        </w:tc>
        <w:tc>
          <w:tcPr>
            <w:tcW w:w="1080" w:type="dxa"/>
            <w:tcBorders>
              <w:top w:val="single" w:sz="4" w:space="0" w:color="auto"/>
              <w:bottom w:val="single" w:sz="4" w:space="0" w:color="auto"/>
              <w:right w:val="single" w:sz="4" w:space="0" w:color="auto"/>
            </w:tcBorders>
            <w:vAlign w:val="center"/>
          </w:tcPr>
          <w:p w14:paraId="3D85072C" w14:textId="2CC821D3" w:rsidR="005A167A" w:rsidRPr="004A1A02" w:rsidRDefault="005A167A" w:rsidP="00516970">
            <w:pPr>
              <w:spacing w:after="0"/>
              <w:jc w:val="center"/>
              <w:rPr>
                <w:rFonts w:asciiTheme="minorHAnsi" w:hAnsiTheme="minorHAnsi" w:cstheme="minorHAnsi"/>
                <w:sz w:val="20"/>
                <w:szCs w:val="20"/>
              </w:rPr>
            </w:pPr>
            <w:r w:rsidRPr="004A1A02">
              <w:rPr>
                <w:rFonts w:asciiTheme="minorHAnsi" w:hAnsiTheme="minorHAnsi" w:cstheme="minorHAnsi"/>
                <w:sz w:val="20"/>
                <w:szCs w:val="20"/>
              </w:rPr>
              <w:t>52.1%</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4675B0D" w14:textId="4D3F75F1" w:rsidR="005A167A" w:rsidRPr="004A1A02"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52.9%</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C1CC3A8" w14:textId="4023CB9F" w:rsidR="005A167A" w:rsidRPr="004A1A02"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49.2%</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4D484DE4" w14:textId="4D46D732" w:rsidR="005A167A" w:rsidRPr="00511463" w:rsidRDefault="00511463" w:rsidP="00516970">
            <w:pPr>
              <w:spacing w:after="0"/>
              <w:jc w:val="center"/>
              <w:rPr>
                <w:rFonts w:asciiTheme="minorHAnsi" w:eastAsia="Times New Roman" w:hAnsiTheme="minorHAnsi" w:cstheme="minorHAnsi"/>
                <w:sz w:val="20"/>
                <w:szCs w:val="20"/>
              </w:rPr>
            </w:pPr>
            <w:r w:rsidRPr="00511463">
              <w:rPr>
                <w:rFonts w:asciiTheme="minorHAnsi" w:eastAsia="Times New Roman" w:hAnsiTheme="minorHAnsi" w:cstheme="minorHAnsi"/>
                <w:sz w:val="20"/>
                <w:szCs w:val="20"/>
              </w:rPr>
              <w:t>26.9</w:t>
            </w:r>
            <w:r w:rsidR="005A167A" w:rsidRPr="00511463">
              <w:rPr>
                <w:rFonts w:asciiTheme="minorHAnsi" w:eastAsia="Times New Roman" w:hAnsiTheme="minorHAnsi" w:cstheme="minorHAnsi"/>
                <w:sz w:val="20"/>
                <w:szCs w:val="20"/>
              </w:rPr>
              <w:t>%</w:t>
            </w:r>
          </w:p>
        </w:tc>
        <w:tc>
          <w:tcPr>
            <w:tcW w:w="1144" w:type="dxa"/>
            <w:tcBorders>
              <w:top w:val="single" w:sz="4" w:space="0" w:color="auto"/>
              <w:left w:val="nil"/>
              <w:bottom w:val="single" w:sz="4" w:space="0" w:color="000000"/>
              <w:right w:val="single" w:sz="4" w:space="0" w:color="000000"/>
            </w:tcBorders>
            <w:shd w:val="clear" w:color="auto" w:fill="auto"/>
            <w:noWrap/>
            <w:vAlign w:val="center"/>
          </w:tcPr>
          <w:p w14:paraId="69E0F4AC" w14:textId="5EF44783" w:rsidR="005A167A" w:rsidRPr="00511463" w:rsidRDefault="00511463" w:rsidP="00516970">
            <w:pPr>
              <w:spacing w:after="0"/>
              <w:jc w:val="center"/>
              <w:rPr>
                <w:rFonts w:asciiTheme="minorHAnsi" w:eastAsia="Times New Roman" w:hAnsiTheme="minorHAnsi" w:cstheme="minorHAnsi"/>
                <w:sz w:val="20"/>
                <w:szCs w:val="20"/>
              </w:rPr>
            </w:pPr>
            <w:r w:rsidRPr="00511463">
              <w:rPr>
                <w:rFonts w:asciiTheme="minorHAnsi" w:eastAsia="Times New Roman" w:hAnsiTheme="minorHAnsi" w:cstheme="minorHAnsi"/>
                <w:sz w:val="20"/>
                <w:szCs w:val="20"/>
              </w:rPr>
              <w:t>32.9</w:t>
            </w:r>
            <w:r w:rsidR="005A167A" w:rsidRPr="00511463">
              <w:rPr>
                <w:rFonts w:asciiTheme="minorHAnsi" w:eastAsia="Times New Roman" w:hAnsiTheme="minorHAnsi" w:cstheme="minorHAnsi"/>
                <w:sz w:val="20"/>
                <w:szCs w:val="20"/>
              </w:rPr>
              <w:t>%</w:t>
            </w:r>
          </w:p>
        </w:tc>
        <w:tc>
          <w:tcPr>
            <w:tcW w:w="1144" w:type="dxa"/>
            <w:tcBorders>
              <w:top w:val="single" w:sz="4" w:space="0" w:color="auto"/>
              <w:left w:val="nil"/>
              <w:bottom w:val="single" w:sz="4" w:space="0" w:color="000000"/>
              <w:right w:val="single" w:sz="4" w:space="0" w:color="000000"/>
            </w:tcBorders>
          </w:tcPr>
          <w:p w14:paraId="144AF332" w14:textId="63ADB743" w:rsidR="005A167A" w:rsidRPr="00511463" w:rsidRDefault="00511463" w:rsidP="00516970">
            <w:pPr>
              <w:spacing w:after="0"/>
              <w:jc w:val="center"/>
              <w:rPr>
                <w:rFonts w:asciiTheme="minorHAnsi" w:eastAsia="Times New Roman" w:hAnsiTheme="minorHAnsi" w:cstheme="minorHAnsi"/>
                <w:sz w:val="20"/>
                <w:szCs w:val="20"/>
              </w:rPr>
            </w:pPr>
            <w:r w:rsidRPr="00511463">
              <w:rPr>
                <w:rFonts w:asciiTheme="minorHAnsi" w:eastAsia="Times New Roman" w:hAnsiTheme="minorHAnsi" w:cstheme="minorHAnsi"/>
                <w:sz w:val="20"/>
                <w:szCs w:val="20"/>
              </w:rPr>
              <w:t>39.2%</w:t>
            </w:r>
          </w:p>
        </w:tc>
      </w:tr>
      <w:tr w:rsidR="005A167A" w:rsidRPr="00F26259" w14:paraId="52D463F5" w14:textId="2FA21CBC" w:rsidTr="005A167A">
        <w:trPr>
          <w:trHeight w:val="215"/>
        </w:trPr>
        <w:tc>
          <w:tcPr>
            <w:tcW w:w="1170" w:type="dxa"/>
            <w:tcBorders>
              <w:top w:val="single" w:sz="4" w:space="0" w:color="auto"/>
              <w:left w:val="single" w:sz="4" w:space="0" w:color="000000"/>
              <w:bottom w:val="single" w:sz="4" w:space="0" w:color="000000"/>
              <w:right w:val="single" w:sz="4" w:space="0" w:color="000000"/>
            </w:tcBorders>
            <w:shd w:val="clear" w:color="auto" w:fill="auto"/>
            <w:noWrap/>
          </w:tcPr>
          <w:p w14:paraId="6FF83DC2" w14:textId="32B31AC3" w:rsidR="005A167A" w:rsidRDefault="005A167A" w:rsidP="00516970">
            <w:pPr>
              <w:spacing w:after="0"/>
              <w:jc w:val="center"/>
              <w:rPr>
                <w:rFonts w:cs="Calibri"/>
                <w:sz w:val="20"/>
                <w:szCs w:val="20"/>
              </w:rPr>
            </w:pPr>
            <w:r>
              <w:rPr>
                <w:rFonts w:cs="Calibri"/>
                <w:sz w:val="20"/>
                <w:szCs w:val="20"/>
              </w:rPr>
              <w:t>DEV</w:t>
            </w:r>
          </w:p>
        </w:tc>
        <w:tc>
          <w:tcPr>
            <w:tcW w:w="6930" w:type="dxa"/>
            <w:tcBorders>
              <w:top w:val="single" w:sz="4" w:space="0" w:color="auto"/>
              <w:left w:val="nil"/>
              <w:bottom w:val="single" w:sz="4" w:space="0" w:color="auto"/>
              <w:right w:val="single" w:sz="4" w:space="0" w:color="auto"/>
            </w:tcBorders>
            <w:shd w:val="clear" w:color="auto" w:fill="auto"/>
          </w:tcPr>
          <w:p w14:paraId="21662E7E" w14:textId="3E944A93" w:rsidR="005A167A" w:rsidRPr="00546475" w:rsidRDefault="005A167A" w:rsidP="00516970">
            <w:pPr>
              <w:rPr>
                <w:rFonts w:eastAsia="Times New Roman" w:cs="Calibri"/>
                <w:color w:val="000000"/>
                <w:sz w:val="20"/>
                <w:szCs w:val="20"/>
              </w:rPr>
            </w:pPr>
            <w:r w:rsidRPr="00546475">
              <w:rPr>
                <w:rFonts w:cs="Calibri"/>
                <w:color w:val="000000"/>
                <w:sz w:val="20"/>
                <w:szCs w:val="20"/>
              </w:rPr>
              <w:t>Developmental Screening in the First Three Years of Life</w:t>
            </w:r>
          </w:p>
        </w:tc>
        <w:tc>
          <w:tcPr>
            <w:tcW w:w="1080" w:type="dxa"/>
            <w:tcBorders>
              <w:top w:val="single" w:sz="4" w:space="0" w:color="auto"/>
              <w:bottom w:val="single" w:sz="4" w:space="0" w:color="auto"/>
              <w:right w:val="single" w:sz="4" w:space="0" w:color="auto"/>
            </w:tcBorders>
            <w:vAlign w:val="center"/>
          </w:tcPr>
          <w:p w14:paraId="16295E7D" w14:textId="0394264A" w:rsidR="005A167A" w:rsidRPr="004A1A02" w:rsidRDefault="005A167A" w:rsidP="00516970">
            <w:pPr>
              <w:spacing w:after="0"/>
              <w:jc w:val="center"/>
              <w:rPr>
                <w:rFonts w:asciiTheme="minorHAnsi" w:hAnsiTheme="minorHAnsi" w:cstheme="minorHAnsi"/>
                <w:sz w:val="20"/>
                <w:szCs w:val="20"/>
              </w:rPr>
            </w:pPr>
            <w:r w:rsidRPr="004A1A02">
              <w:rPr>
                <w:rFonts w:asciiTheme="minorHAnsi" w:hAnsiTheme="minorHAnsi" w:cstheme="minorHAnsi"/>
                <w:sz w:val="20"/>
                <w:szCs w:val="20"/>
              </w:rPr>
              <w:t>71.</w:t>
            </w:r>
            <w:r>
              <w:rPr>
                <w:rFonts w:asciiTheme="minorHAnsi" w:hAnsiTheme="minorHAnsi" w:cstheme="minorHAnsi"/>
                <w:sz w:val="20"/>
                <w:szCs w:val="20"/>
              </w:rPr>
              <w:t>5</w:t>
            </w:r>
            <w:r w:rsidRPr="004A1A02">
              <w:rPr>
                <w:rFonts w:asciiTheme="minorHAnsi" w:hAnsiTheme="minorHAnsi" w:cstheme="minorHAnsi"/>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8126AB8" w14:textId="42B827B9" w:rsidR="005A167A" w:rsidRPr="004A1A02" w:rsidRDefault="005A167A" w:rsidP="00516970">
            <w:pPr>
              <w:spacing w:after="0"/>
              <w:jc w:val="center"/>
              <w:rPr>
                <w:rFonts w:asciiTheme="minorHAnsi" w:hAnsiTheme="minorHAnsi" w:cstheme="minorHAnsi"/>
                <w:sz w:val="20"/>
                <w:szCs w:val="20"/>
              </w:rPr>
            </w:pPr>
            <w:r>
              <w:rPr>
                <w:rFonts w:asciiTheme="minorHAnsi" w:hAnsiTheme="minorHAnsi" w:cstheme="minorHAnsi"/>
                <w:sz w:val="20"/>
                <w:szCs w:val="20"/>
              </w:rPr>
              <w:t>72.5%</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594F19B" w14:textId="0ABC2E1C" w:rsidR="005A167A" w:rsidRPr="004A1A02" w:rsidRDefault="005A167A" w:rsidP="00516970">
            <w:pPr>
              <w:spacing w:after="0"/>
              <w:jc w:val="center"/>
              <w:rPr>
                <w:rFonts w:asciiTheme="minorHAnsi" w:hAnsiTheme="minorHAnsi" w:cstheme="minorHAnsi"/>
                <w:sz w:val="20"/>
                <w:szCs w:val="20"/>
              </w:rPr>
            </w:pPr>
            <w:r>
              <w:rPr>
                <w:rFonts w:asciiTheme="minorHAnsi" w:hAnsiTheme="minorHAnsi" w:cstheme="minorHAnsi"/>
                <w:sz w:val="20"/>
                <w:szCs w:val="20"/>
              </w:rPr>
              <w:t>63.3%</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18464904" w14:textId="4917CF08" w:rsidR="005A167A" w:rsidRPr="0058144D" w:rsidRDefault="0058144D" w:rsidP="00516970">
            <w:pPr>
              <w:spacing w:after="0"/>
              <w:jc w:val="center"/>
              <w:rPr>
                <w:rFonts w:asciiTheme="minorHAnsi" w:hAnsiTheme="minorHAnsi" w:cstheme="minorHAnsi"/>
                <w:sz w:val="20"/>
                <w:szCs w:val="20"/>
              </w:rPr>
            </w:pPr>
            <w:r w:rsidRPr="0058144D">
              <w:rPr>
                <w:rFonts w:asciiTheme="minorHAnsi" w:hAnsiTheme="minorHAnsi" w:cstheme="minorHAnsi"/>
                <w:sz w:val="20"/>
                <w:szCs w:val="20"/>
              </w:rPr>
              <w:t>27.3%</w:t>
            </w:r>
          </w:p>
        </w:tc>
        <w:tc>
          <w:tcPr>
            <w:tcW w:w="1144" w:type="dxa"/>
            <w:tcBorders>
              <w:top w:val="single" w:sz="4" w:space="0" w:color="auto"/>
              <w:left w:val="nil"/>
              <w:bottom w:val="single" w:sz="4" w:space="0" w:color="000000"/>
              <w:right w:val="single" w:sz="4" w:space="0" w:color="000000"/>
            </w:tcBorders>
            <w:shd w:val="clear" w:color="auto" w:fill="auto"/>
            <w:noWrap/>
            <w:vAlign w:val="center"/>
          </w:tcPr>
          <w:p w14:paraId="5B6BD4ED" w14:textId="3DC24FBA" w:rsidR="005A167A" w:rsidRPr="0058144D" w:rsidRDefault="0058144D" w:rsidP="00516970">
            <w:pPr>
              <w:spacing w:after="0"/>
              <w:jc w:val="center"/>
              <w:rPr>
                <w:rFonts w:asciiTheme="minorHAnsi" w:hAnsiTheme="minorHAnsi" w:cstheme="minorHAnsi"/>
                <w:sz w:val="20"/>
                <w:szCs w:val="20"/>
              </w:rPr>
            </w:pPr>
            <w:r w:rsidRPr="0058144D">
              <w:rPr>
                <w:rFonts w:asciiTheme="minorHAnsi" w:hAnsiTheme="minorHAnsi" w:cstheme="minorHAnsi"/>
                <w:sz w:val="20"/>
                <w:szCs w:val="20"/>
              </w:rPr>
              <w:t>34.7%</w:t>
            </w:r>
          </w:p>
        </w:tc>
        <w:tc>
          <w:tcPr>
            <w:tcW w:w="1144" w:type="dxa"/>
            <w:tcBorders>
              <w:top w:val="single" w:sz="4" w:space="0" w:color="auto"/>
              <w:left w:val="nil"/>
              <w:bottom w:val="single" w:sz="4" w:space="0" w:color="000000"/>
              <w:right w:val="single" w:sz="4" w:space="0" w:color="000000"/>
            </w:tcBorders>
          </w:tcPr>
          <w:p w14:paraId="793514A6" w14:textId="1C2AA679" w:rsidR="005A167A" w:rsidRPr="0058144D" w:rsidRDefault="0058144D" w:rsidP="00516970">
            <w:pPr>
              <w:spacing w:after="0"/>
              <w:jc w:val="center"/>
              <w:rPr>
                <w:rFonts w:asciiTheme="minorHAnsi" w:hAnsiTheme="minorHAnsi" w:cstheme="minorHAnsi"/>
                <w:sz w:val="20"/>
                <w:szCs w:val="20"/>
              </w:rPr>
            </w:pPr>
            <w:r w:rsidRPr="0058144D">
              <w:rPr>
                <w:rFonts w:asciiTheme="minorHAnsi" w:hAnsiTheme="minorHAnsi" w:cstheme="minorHAnsi"/>
                <w:sz w:val="20"/>
                <w:szCs w:val="20"/>
              </w:rPr>
              <w:t>51.6%</w:t>
            </w:r>
          </w:p>
        </w:tc>
      </w:tr>
      <w:tr w:rsidR="005A167A" w:rsidRPr="00E868BD" w14:paraId="04CDD417" w14:textId="2E472E66" w:rsidTr="005A167A">
        <w:trPr>
          <w:trHeight w:val="413"/>
        </w:trPr>
        <w:tc>
          <w:tcPr>
            <w:tcW w:w="1170" w:type="dxa"/>
            <w:tcBorders>
              <w:top w:val="nil"/>
              <w:left w:val="single" w:sz="4" w:space="0" w:color="000000"/>
              <w:bottom w:val="single" w:sz="4" w:space="0" w:color="000000"/>
              <w:right w:val="single" w:sz="4" w:space="0" w:color="000000"/>
            </w:tcBorders>
            <w:shd w:val="clear" w:color="auto" w:fill="auto"/>
            <w:noWrap/>
          </w:tcPr>
          <w:p w14:paraId="4F8372E2" w14:textId="5A8F210F" w:rsidR="005A167A" w:rsidRDefault="005A167A" w:rsidP="00516970">
            <w:pPr>
              <w:spacing w:after="0"/>
              <w:jc w:val="center"/>
              <w:rPr>
                <w:rFonts w:cs="Calibri"/>
                <w:color w:val="000000"/>
                <w:sz w:val="20"/>
                <w:szCs w:val="20"/>
              </w:rPr>
            </w:pPr>
            <w:r>
              <w:rPr>
                <w:rFonts w:cs="Calibri"/>
                <w:color w:val="000000"/>
                <w:sz w:val="20"/>
                <w:szCs w:val="20"/>
              </w:rPr>
              <w:t>FUA</w:t>
            </w:r>
          </w:p>
        </w:tc>
        <w:tc>
          <w:tcPr>
            <w:tcW w:w="6930" w:type="dxa"/>
            <w:tcBorders>
              <w:top w:val="nil"/>
              <w:left w:val="nil"/>
              <w:bottom w:val="single" w:sz="4" w:space="0" w:color="auto"/>
              <w:right w:val="single" w:sz="4" w:space="0" w:color="auto"/>
            </w:tcBorders>
            <w:shd w:val="clear" w:color="auto" w:fill="auto"/>
          </w:tcPr>
          <w:p w14:paraId="00DB2F6F" w14:textId="6451E54B" w:rsidR="005A167A" w:rsidRDefault="005A167A" w:rsidP="00516970">
            <w:pPr>
              <w:spacing w:after="0"/>
              <w:rPr>
                <w:rFonts w:cs="Calibri"/>
                <w:sz w:val="20"/>
                <w:szCs w:val="20"/>
              </w:rPr>
            </w:pPr>
            <w:r>
              <w:rPr>
                <w:rFonts w:cs="Calibri"/>
                <w:sz w:val="20"/>
                <w:szCs w:val="20"/>
              </w:rPr>
              <w:t>Follow-Up After Emergency Department Visit for Alcohol or Other Drug Abuse or Dependence- 30 days</w:t>
            </w:r>
          </w:p>
        </w:tc>
        <w:tc>
          <w:tcPr>
            <w:tcW w:w="1080" w:type="dxa"/>
            <w:tcBorders>
              <w:top w:val="nil"/>
              <w:left w:val="nil"/>
              <w:bottom w:val="single" w:sz="4" w:space="0" w:color="auto"/>
              <w:right w:val="single" w:sz="4" w:space="0" w:color="auto"/>
            </w:tcBorders>
            <w:vAlign w:val="center"/>
          </w:tcPr>
          <w:p w14:paraId="73B754F1" w14:textId="6CCCEDB5" w:rsidR="005A167A" w:rsidRPr="004A1A02"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NR</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B42946A" w14:textId="5EFA1D6F" w:rsidR="005A167A" w:rsidRPr="004A1A02"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16.3%</w:t>
            </w:r>
          </w:p>
        </w:tc>
        <w:tc>
          <w:tcPr>
            <w:tcW w:w="117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4449D6C" w14:textId="4B6F4FD1" w:rsidR="005A167A" w:rsidRPr="004A1A02"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47.4%</w:t>
            </w:r>
          </w:p>
        </w:tc>
        <w:tc>
          <w:tcPr>
            <w:tcW w:w="1350" w:type="dxa"/>
            <w:tcBorders>
              <w:top w:val="nil"/>
              <w:left w:val="nil"/>
              <w:bottom w:val="single" w:sz="4" w:space="0" w:color="000000"/>
              <w:right w:val="single" w:sz="4" w:space="0" w:color="000000"/>
            </w:tcBorders>
            <w:shd w:val="clear" w:color="auto" w:fill="auto"/>
            <w:noWrap/>
            <w:vAlign w:val="center"/>
          </w:tcPr>
          <w:p w14:paraId="7757F5D3" w14:textId="59A8607B" w:rsidR="005A167A" w:rsidRPr="00EF4C56" w:rsidRDefault="00EF4C56" w:rsidP="00EF4C56">
            <w:pPr>
              <w:spacing w:after="0"/>
              <w:jc w:val="center"/>
              <w:rPr>
                <w:rFonts w:asciiTheme="minorHAnsi" w:hAnsiTheme="minorHAnsi" w:cstheme="minorHAnsi"/>
                <w:sz w:val="20"/>
                <w:szCs w:val="20"/>
              </w:rPr>
            </w:pPr>
            <w:r w:rsidRPr="00EF4C56">
              <w:rPr>
                <w:rFonts w:asciiTheme="minorHAnsi" w:hAnsiTheme="minorHAnsi" w:cstheme="minorHAnsi"/>
                <w:sz w:val="20"/>
                <w:szCs w:val="20"/>
              </w:rPr>
              <w:t>6.0</w:t>
            </w:r>
            <w:r w:rsidR="005A167A" w:rsidRPr="00EF4C56">
              <w:rPr>
                <w:rFonts w:asciiTheme="minorHAnsi" w:hAnsiTheme="minorHAnsi" w:cstheme="minorHAnsi"/>
                <w:sz w:val="20"/>
                <w:szCs w:val="20"/>
              </w:rPr>
              <w:t>%</w:t>
            </w:r>
          </w:p>
        </w:tc>
        <w:tc>
          <w:tcPr>
            <w:tcW w:w="1144" w:type="dxa"/>
            <w:tcBorders>
              <w:top w:val="nil"/>
              <w:left w:val="nil"/>
              <w:bottom w:val="single" w:sz="4" w:space="0" w:color="000000"/>
              <w:right w:val="single" w:sz="4" w:space="0" w:color="000000"/>
            </w:tcBorders>
            <w:shd w:val="clear" w:color="auto" w:fill="auto"/>
            <w:noWrap/>
            <w:vAlign w:val="center"/>
          </w:tcPr>
          <w:p w14:paraId="047E8556" w14:textId="02F86E20" w:rsidR="005A167A" w:rsidRPr="00EF4C56" w:rsidRDefault="00EF4C56" w:rsidP="00516970">
            <w:pPr>
              <w:spacing w:after="0"/>
              <w:jc w:val="center"/>
              <w:rPr>
                <w:rFonts w:asciiTheme="minorHAnsi" w:hAnsiTheme="minorHAnsi" w:cstheme="minorHAnsi"/>
                <w:sz w:val="20"/>
                <w:szCs w:val="20"/>
              </w:rPr>
            </w:pPr>
            <w:r w:rsidRPr="00EF4C56">
              <w:rPr>
                <w:rFonts w:asciiTheme="minorHAnsi" w:hAnsiTheme="minorHAnsi" w:cstheme="minorHAnsi"/>
                <w:sz w:val="20"/>
                <w:szCs w:val="20"/>
              </w:rPr>
              <w:t>10.6</w:t>
            </w:r>
            <w:r w:rsidR="005A167A" w:rsidRPr="00EF4C56">
              <w:rPr>
                <w:rFonts w:asciiTheme="minorHAnsi" w:hAnsiTheme="minorHAnsi" w:cstheme="minorHAnsi"/>
                <w:sz w:val="20"/>
                <w:szCs w:val="20"/>
              </w:rPr>
              <w:t>%</w:t>
            </w:r>
          </w:p>
        </w:tc>
        <w:tc>
          <w:tcPr>
            <w:tcW w:w="1144" w:type="dxa"/>
            <w:tcBorders>
              <w:top w:val="nil"/>
              <w:left w:val="nil"/>
              <w:bottom w:val="single" w:sz="4" w:space="0" w:color="000000"/>
              <w:right w:val="single" w:sz="4" w:space="0" w:color="000000"/>
            </w:tcBorders>
          </w:tcPr>
          <w:p w14:paraId="7BCBBB38" w14:textId="43A1ABA2" w:rsidR="005A167A" w:rsidRPr="00EF4C56" w:rsidRDefault="00EF4C56" w:rsidP="00516970">
            <w:pPr>
              <w:spacing w:after="0"/>
              <w:jc w:val="center"/>
              <w:rPr>
                <w:rFonts w:asciiTheme="minorHAnsi" w:hAnsiTheme="minorHAnsi" w:cstheme="minorHAnsi"/>
                <w:sz w:val="20"/>
                <w:szCs w:val="20"/>
              </w:rPr>
            </w:pPr>
            <w:r w:rsidRPr="00EF4C56">
              <w:rPr>
                <w:rFonts w:asciiTheme="minorHAnsi" w:hAnsiTheme="minorHAnsi" w:cstheme="minorHAnsi"/>
                <w:sz w:val="20"/>
                <w:szCs w:val="20"/>
              </w:rPr>
              <w:t>16.3%</w:t>
            </w:r>
          </w:p>
        </w:tc>
      </w:tr>
      <w:tr w:rsidR="005A167A" w:rsidRPr="00E868BD" w14:paraId="2F006112" w14:textId="69540F84" w:rsidTr="005A167A">
        <w:trPr>
          <w:trHeight w:val="413"/>
        </w:trPr>
        <w:tc>
          <w:tcPr>
            <w:tcW w:w="1170" w:type="dxa"/>
            <w:tcBorders>
              <w:top w:val="nil"/>
              <w:left w:val="single" w:sz="4" w:space="0" w:color="000000"/>
              <w:bottom w:val="single" w:sz="4" w:space="0" w:color="000000"/>
              <w:right w:val="single" w:sz="4" w:space="0" w:color="000000"/>
            </w:tcBorders>
            <w:shd w:val="clear" w:color="auto" w:fill="auto"/>
            <w:noWrap/>
          </w:tcPr>
          <w:p w14:paraId="13A9D47B" w14:textId="149DD536" w:rsidR="005A167A" w:rsidRPr="00F26259" w:rsidRDefault="005A167A" w:rsidP="00516970">
            <w:pPr>
              <w:spacing w:after="0"/>
              <w:jc w:val="center"/>
              <w:rPr>
                <w:rFonts w:asciiTheme="minorHAnsi" w:eastAsia="Times New Roman" w:hAnsiTheme="minorHAnsi" w:cstheme="minorHAnsi"/>
                <w:color w:val="000000"/>
                <w:sz w:val="20"/>
                <w:szCs w:val="20"/>
              </w:rPr>
            </w:pPr>
            <w:r>
              <w:rPr>
                <w:rFonts w:cs="Calibri"/>
                <w:color w:val="000000"/>
                <w:sz w:val="20"/>
                <w:szCs w:val="20"/>
              </w:rPr>
              <w:t>FUH</w:t>
            </w:r>
          </w:p>
        </w:tc>
        <w:tc>
          <w:tcPr>
            <w:tcW w:w="6930" w:type="dxa"/>
            <w:tcBorders>
              <w:top w:val="nil"/>
              <w:left w:val="nil"/>
              <w:bottom w:val="single" w:sz="4" w:space="0" w:color="auto"/>
              <w:right w:val="single" w:sz="4" w:space="0" w:color="auto"/>
            </w:tcBorders>
            <w:shd w:val="clear" w:color="auto" w:fill="auto"/>
          </w:tcPr>
          <w:p w14:paraId="7549410E" w14:textId="71FACDFB" w:rsidR="005A167A" w:rsidRPr="00F26259" w:rsidRDefault="005A167A" w:rsidP="00516970">
            <w:pPr>
              <w:spacing w:after="0"/>
              <w:rPr>
                <w:rFonts w:asciiTheme="minorHAnsi" w:eastAsia="Times New Roman" w:hAnsiTheme="minorHAnsi" w:cstheme="minorHAnsi"/>
                <w:sz w:val="20"/>
                <w:szCs w:val="20"/>
              </w:rPr>
            </w:pPr>
            <w:r>
              <w:rPr>
                <w:rFonts w:cs="Calibri"/>
                <w:sz w:val="20"/>
                <w:szCs w:val="20"/>
              </w:rPr>
              <w:t>Follow-Up After Hospitalization for Mental Illness – 7 days</w:t>
            </w:r>
          </w:p>
        </w:tc>
        <w:tc>
          <w:tcPr>
            <w:tcW w:w="1080" w:type="dxa"/>
            <w:tcBorders>
              <w:top w:val="nil"/>
              <w:left w:val="nil"/>
              <w:bottom w:val="single" w:sz="4" w:space="0" w:color="auto"/>
              <w:right w:val="single" w:sz="4" w:space="0" w:color="auto"/>
            </w:tcBorders>
            <w:vAlign w:val="center"/>
          </w:tcPr>
          <w:p w14:paraId="58CF3190" w14:textId="1B8AE07A" w:rsidR="005A167A" w:rsidRPr="004A1A02" w:rsidRDefault="005A167A" w:rsidP="00516970">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59.6%</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651B624" w14:textId="719B6FC8" w:rsidR="005A167A" w:rsidRPr="004A1A02"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60.3%</w:t>
            </w:r>
          </w:p>
        </w:tc>
        <w:tc>
          <w:tcPr>
            <w:tcW w:w="117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7C546E3" w14:textId="1E792569" w:rsidR="005A167A" w:rsidRPr="004A1A02"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57.2%</w:t>
            </w:r>
          </w:p>
        </w:tc>
        <w:tc>
          <w:tcPr>
            <w:tcW w:w="1350" w:type="dxa"/>
            <w:tcBorders>
              <w:top w:val="nil"/>
              <w:left w:val="nil"/>
              <w:bottom w:val="single" w:sz="4" w:space="0" w:color="000000"/>
              <w:right w:val="single" w:sz="4" w:space="0" w:color="000000"/>
            </w:tcBorders>
            <w:shd w:val="clear" w:color="auto" w:fill="auto"/>
            <w:noWrap/>
            <w:vAlign w:val="center"/>
          </w:tcPr>
          <w:p w14:paraId="3ADB6488" w14:textId="2564492F" w:rsidR="005A167A" w:rsidRPr="008D4DA6" w:rsidRDefault="0054323A" w:rsidP="00516970">
            <w:pPr>
              <w:spacing w:after="0"/>
              <w:jc w:val="center"/>
              <w:rPr>
                <w:rFonts w:asciiTheme="minorHAnsi" w:hAnsiTheme="minorHAnsi" w:cstheme="minorHAnsi"/>
                <w:sz w:val="20"/>
                <w:szCs w:val="20"/>
              </w:rPr>
            </w:pPr>
            <w:r w:rsidRPr="008D4DA6">
              <w:rPr>
                <w:rFonts w:asciiTheme="minorHAnsi" w:hAnsiTheme="minorHAnsi" w:cstheme="minorHAnsi"/>
                <w:sz w:val="20"/>
                <w:szCs w:val="20"/>
              </w:rPr>
              <w:t>40.1</w:t>
            </w:r>
            <w:r w:rsidR="005A167A" w:rsidRPr="008D4DA6">
              <w:rPr>
                <w:rFonts w:asciiTheme="minorHAnsi" w:hAnsiTheme="minorHAnsi" w:cstheme="minorHAnsi"/>
                <w:sz w:val="20"/>
                <w:szCs w:val="20"/>
              </w:rPr>
              <w:t>%</w:t>
            </w:r>
          </w:p>
        </w:tc>
        <w:tc>
          <w:tcPr>
            <w:tcW w:w="1144" w:type="dxa"/>
            <w:tcBorders>
              <w:top w:val="nil"/>
              <w:left w:val="nil"/>
              <w:bottom w:val="single" w:sz="4" w:space="0" w:color="000000"/>
              <w:right w:val="single" w:sz="4" w:space="0" w:color="000000"/>
            </w:tcBorders>
            <w:shd w:val="clear" w:color="auto" w:fill="auto"/>
            <w:noWrap/>
            <w:vAlign w:val="center"/>
          </w:tcPr>
          <w:p w14:paraId="0DAC8894" w14:textId="716548BB" w:rsidR="005A167A" w:rsidRPr="008D4DA6" w:rsidRDefault="0054323A" w:rsidP="00516970">
            <w:pPr>
              <w:spacing w:after="0"/>
              <w:jc w:val="center"/>
              <w:rPr>
                <w:rFonts w:asciiTheme="minorHAnsi" w:hAnsiTheme="minorHAnsi" w:cstheme="minorHAnsi"/>
                <w:sz w:val="20"/>
                <w:szCs w:val="20"/>
              </w:rPr>
            </w:pPr>
            <w:r w:rsidRPr="008D4DA6">
              <w:rPr>
                <w:rFonts w:asciiTheme="minorHAnsi" w:hAnsiTheme="minorHAnsi" w:cstheme="minorHAnsi"/>
                <w:sz w:val="20"/>
                <w:szCs w:val="20"/>
              </w:rPr>
              <w:t>47.9</w:t>
            </w:r>
            <w:r w:rsidR="005A167A" w:rsidRPr="008D4DA6">
              <w:rPr>
                <w:rFonts w:asciiTheme="minorHAnsi" w:hAnsiTheme="minorHAnsi" w:cstheme="minorHAnsi"/>
                <w:sz w:val="20"/>
                <w:szCs w:val="20"/>
              </w:rPr>
              <w:t>%</w:t>
            </w:r>
          </w:p>
        </w:tc>
        <w:tc>
          <w:tcPr>
            <w:tcW w:w="1144" w:type="dxa"/>
            <w:tcBorders>
              <w:top w:val="nil"/>
              <w:left w:val="nil"/>
              <w:bottom w:val="single" w:sz="4" w:space="0" w:color="000000"/>
              <w:right w:val="single" w:sz="4" w:space="0" w:color="000000"/>
            </w:tcBorders>
          </w:tcPr>
          <w:p w14:paraId="58E43250" w14:textId="529E4234" w:rsidR="005A167A" w:rsidRPr="008D4DA6" w:rsidRDefault="0054323A" w:rsidP="00516970">
            <w:pPr>
              <w:spacing w:after="0"/>
              <w:jc w:val="center"/>
              <w:rPr>
                <w:rFonts w:asciiTheme="minorHAnsi" w:hAnsiTheme="minorHAnsi" w:cstheme="minorHAnsi"/>
                <w:sz w:val="20"/>
                <w:szCs w:val="20"/>
              </w:rPr>
            </w:pPr>
            <w:r w:rsidRPr="008D4DA6">
              <w:rPr>
                <w:rFonts w:asciiTheme="minorHAnsi" w:hAnsiTheme="minorHAnsi" w:cstheme="minorHAnsi"/>
                <w:sz w:val="20"/>
                <w:szCs w:val="20"/>
              </w:rPr>
              <w:t>57.5%</w:t>
            </w:r>
          </w:p>
        </w:tc>
      </w:tr>
      <w:tr w:rsidR="005A167A" w:rsidRPr="00F26259" w14:paraId="1FB3C91E" w14:textId="7DA4AB74" w:rsidTr="005A167A">
        <w:trPr>
          <w:trHeight w:val="606"/>
        </w:trPr>
        <w:tc>
          <w:tcPr>
            <w:tcW w:w="1170" w:type="dxa"/>
            <w:tcBorders>
              <w:top w:val="nil"/>
              <w:left w:val="single" w:sz="4" w:space="0" w:color="000000"/>
              <w:bottom w:val="single" w:sz="4" w:space="0" w:color="000000"/>
              <w:right w:val="single" w:sz="4" w:space="0" w:color="000000"/>
            </w:tcBorders>
            <w:shd w:val="clear" w:color="auto" w:fill="auto"/>
            <w:noWrap/>
          </w:tcPr>
          <w:p w14:paraId="5FA05AC1" w14:textId="1E1C0C4A" w:rsidR="005A167A" w:rsidRPr="00F26259" w:rsidRDefault="005A167A" w:rsidP="00516970">
            <w:pPr>
              <w:spacing w:after="0"/>
              <w:jc w:val="center"/>
              <w:rPr>
                <w:rFonts w:asciiTheme="minorHAnsi" w:eastAsia="Times New Roman" w:hAnsiTheme="minorHAnsi" w:cstheme="minorHAnsi"/>
                <w:color w:val="000000"/>
                <w:sz w:val="20"/>
                <w:szCs w:val="20"/>
              </w:rPr>
            </w:pPr>
            <w:r>
              <w:rPr>
                <w:rFonts w:cs="Calibri"/>
                <w:color w:val="000000"/>
                <w:sz w:val="20"/>
                <w:szCs w:val="20"/>
              </w:rPr>
              <w:t>FUH</w:t>
            </w:r>
          </w:p>
        </w:tc>
        <w:tc>
          <w:tcPr>
            <w:tcW w:w="6930" w:type="dxa"/>
            <w:tcBorders>
              <w:top w:val="nil"/>
              <w:left w:val="nil"/>
              <w:bottom w:val="single" w:sz="4" w:space="0" w:color="auto"/>
              <w:right w:val="single" w:sz="4" w:space="0" w:color="auto"/>
            </w:tcBorders>
            <w:shd w:val="clear" w:color="auto" w:fill="auto"/>
          </w:tcPr>
          <w:p w14:paraId="25C67CD3" w14:textId="3F5576B7" w:rsidR="005A167A" w:rsidRPr="00F26259" w:rsidRDefault="005A167A" w:rsidP="00516970">
            <w:pPr>
              <w:spacing w:after="0"/>
              <w:rPr>
                <w:rFonts w:asciiTheme="minorHAnsi" w:eastAsia="Times New Roman" w:hAnsiTheme="minorHAnsi" w:cstheme="minorHAnsi"/>
                <w:sz w:val="20"/>
                <w:szCs w:val="20"/>
              </w:rPr>
            </w:pPr>
            <w:r>
              <w:rPr>
                <w:rFonts w:cs="Calibri"/>
                <w:sz w:val="20"/>
                <w:szCs w:val="20"/>
              </w:rPr>
              <w:t>Follow-Up After Hospitalization for Mental Illness - 30 days</w:t>
            </w:r>
          </w:p>
        </w:tc>
        <w:tc>
          <w:tcPr>
            <w:tcW w:w="1080" w:type="dxa"/>
            <w:tcBorders>
              <w:top w:val="nil"/>
              <w:left w:val="nil"/>
              <w:bottom w:val="single" w:sz="4" w:space="0" w:color="auto"/>
              <w:right w:val="single" w:sz="4" w:space="0" w:color="auto"/>
            </w:tcBorders>
            <w:vAlign w:val="center"/>
          </w:tcPr>
          <w:p w14:paraId="00BAC4BB" w14:textId="39D25AF9" w:rsidR="005A167A" w:rsidRPr="004A1A02" w:rsidRDefault="005A167A" w:rsidP="00516970">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79.1%</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AAF74E8" w14:textId="53FA54D6" w:rsidR="005A167A" w:rsidRPr="004A1A02"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82.1%</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tcPr>
          <w:p w14:paraId="4824C258" w14:textId="5E8FE16F" w:rsidR="005A167A" w:rsidRPr="004A1A02"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80.4%</w:t>
            </w:r>
          </w:p>
        </w:tc>
        <w:tc>
          <w:tcPr>
            <w:tcW w:w="1350" w:type="dxa"/>
            <w:tcBorders>
              <w:top w:val="nil"/>
              <w:left w:val="nil"/>
              <w:bottom w:val="single" w:sz="4" w:space="0" w:color="000000"/>
              <w:right w:val="single" w:sz="4" w:space="0" w:color="000000"/>
            </w:tcBorders>
            <w:shd w:val="clear" w:color="auto" w:fill="auto"/>
            <w:noWrap/>
            <w:vAlign w:val="center"/>
          </w:tcPr>
          <w:p w14:paraId="58F617E2" w14:textId="0AC85CFE" w:rsidR="005A167A" w:rsidRPr="008D4DA6" w:rsidRDefault="0054323A" w:rsidP="00516970">
            <w:pPr>
              <w:spacing w:after="0"/>
              <w:jc w:val="center"/>
              <w:rPr>
                <w:rFonts w:asciiTheme="minorHAnsi" w:eastAsia="Times New Roman" w:hAnsiTheme="minorHAnsi" w:cstheme="minorHAnsi"/>
                <w:sz w:val="20"/>
                <w:szCs w:val="20"/>
              </w:rPr>
            </w:pPr>
            <w:r w:rsidRPr="008D4DA6">
              <w:rPr>
                <w:rFonts w:asciiTheme="minorHAnsi" w:eastAsia="Times New Roman" w:hAnsiTheme="minorHAnsi" w:cstheme="minorHAnsi"/>
                <w:sz w:val="20"/>
                <w:szCs w:val="20"/>
              </w:rPr>
              <w:t>62.1</w:t>
            </w:r>
            <w:r w:rsidR="005A167A" w:rsidRPr="008D4DA6">
              <w:rPr>
                <w:rFonts w:asciiTheme="minorHAnsi" w:eastAsia="Times New Roman" w:hAnsiTheme="minorHAnsi" w:cstheme="minorHAnsi"/>
                <w:sz w:val="20"/>
                <w:szCs w:val="20"/>
              </w:rPr>
              <w:t>%</w:t>
            </w:r>
          </w:p>
        </w:tc>
        <w:tc>
          <w:tcPr>
            <w:tcW w:w="1144" w:type="dxa"/>
            <w:tcBorders>
              <w:top w:val="nil"/>
              <w:left w:val="nil"/>
              <w:bottom w:val="single" w:sz="4" w:space="0" w:color="000000"/>
              <w:right w:val="single" w:sz="4" w:space="0" w:color="000000"/>
            </w:tcBorders>
            <w:shd w:val="clear" w:color="auto" w:fill="auto"/>
            <w:noWrap/>
            <w:vAlign w:val="center"/>
          </w:tcPr>
          <w:p w14:paraId="73FF2ED0" w14:textId="67302B4C" w:rsidR="005A167A" w:rsidRPr="008D4DA6" w:rsidRDefault="00A675A3" w:rsidP="00516970">
            <w:pPr>
              <w:spacing w:after="0"/>
              <w:jc w:val="center"/>
              <w:rPr>
                <w:rFonts w:asciiTheme="minorHAnsi" w:eastAsia="Times New Roman" w:hAnsiTheme="minorHAnsi" w:cstheme="minorHAnsi"/>
                <w:sz w:val="20"/>
                <w:szCs w:val="20"/>
              </w:rPr>
            </w:pPr>
            <w:r w:rsidRPr="008D4DA6">
              <w:rPr>
                <w:rFonts w:asciiTheme="minorHAnsi" w:eastAsia="Times New Roman" w:hAnsiTheme="minorHAnsi" w:cstheme="minorHAnsi"/>
                <w:sz w:val="20"/>
                <w:szCs w:val="20"/>
              </w:rPr>
              <w:t>70.4</w:t>
            </w:r>
            <w:r w:rsidR="005A167A" w:rsidRPr="008D4DA6">
              <w:rPr>
                <w:rFonts w:asciiTheme="minorHAnsi" w:eastAsia="Times New Roman" w:hAnsiTheme="minorHAnsi" w:cstheme="minorHAnsi"/>
                <w:sz w:val="20"/>
                <w:szCs w:val="20"/>
              </w:rPr>
              <w:t>%</w:t>
            </w:r>
          </w:p>
        </w:tc>
        <w:tc>
          <w:tcPr>
            <w:tcW w:w="1144" w:type="dxa"/>
            <w:tcBorders>
              <w:top w:val="nil"/>
              <w:left w:val="nil"/>
              <w:bottom w:val="single" w:sz="4" w:space="0" w:color="000000"/>
              <w:right w:val="single" w:sz="4" w:space="0" w:color="000000"/>
            </w:tcBorders>
          </w:tcPr>
          <w:p w14:paraId="31526CD0" w14:textId="5548087A" w:rsidR="005A167A" w:rsidRPr="008D4DA6" w:rsidRDefault="008D4DA6" w:rsidP="00516970">
            <w:pPr>
              <w:spacing w:after="0"/>
              <w:jc w:val="center"/>
              <w:rPr>
                <w:rFonts w:asciiTheme="minorHAnsi" w:eastAsia="Times New Roman" w:hAnsiTheme="minorHAnsi" w:cstheme="minorHAnsi"/>
                <w:sz w:val="20"/>
                <w:szCs w:val="20"/>
              </w:rPr>
            </w:pPr>
            <w:r w:rsidRPr="008D4DA6">
              <w:rPr>
                <w:rFonts w:asciiTheme="minorHAnsi" w:eastAsia="Times New Roman" w:hAnsiTheme="minorHAnsi" w:cstheme="minorHAnsi"/>
                <w:sz w:val="20"/>
                <w:szCs w:val="20"/>
              </w:rPr>
              <w:t>79.6%</w:t>
            </w:r>
          </w:p>
        </w:tc>
      </w:tr>
      <w:tr w:rsidR="005A167A" w:rsidRPr="00F26259" w14:paraId="009B076D" w14:textId="63F714A6" w:rsidTr="005A167A">
        <w:trPr>
          <w:trHeight w:val="386"/>
        </w:trPr>
        <w:tc>
          <w:tcPr>
            <w:tcW w:w="1170" w:type="dxa"/>
            <w:tcBorders>
              <w:top w:val="nil"/>
              <w:left w:val="single" w:sz="4" w:space="0" w:color="000000"/>
              <w:bottom w:val="single" w:sz="4" w:space="0" w:color="000000"/>
              <w:right w:val="single" w:sz="4" w:space="0" w:color="000000"/>
            </w:tcBorders>
            <w:shd w:val="clear" w:color="auto" w:fill="auto"/>
            <w:noWrap/>
          </w:tcPr>
          <w:p w14:paraId="6196B3E7" w14:textId="085544C2" w:rsidR="005A167A" w:rsidRPr="00BA2F09" w:rsidRDefault="005A167A" w:rsidP="00BA2F09">
            <w:pPr>
              <w:spacing w:after="0"/>
              <w:jc w:val="center"/>
              <w:rPr>
                <w:rFonts w:cs="Calibri"/>
                <w:color w:val="000000"/>
                <w:sz w:val="20"/>
                <w:szCs w:val="20"/>
              </w:rPr>
            </w:pPr>
            <w:r>
              <w:rPr>
                <w:rFonts w:cs="Calibri"/>
                <w:color w:val="000000"/>
                <w:sz w:val="20"/>
                <w:szCs w:val="20"/>
              </w:rPr>
              <w:t>FUM</w:t>
            </w:r>
          </w:p>
        </w:tc>
        <w:tc>
          <w:tcPr>
            <w:tcW w:w="6930" w:type="dxa"/>
            <w:tcBorders>
              <w:top w:val="nil"/>
              <w:left w:val="nil"/>
              <w:bottom w:val="single" w:sz="4" w:space="0" w:color="auto"/>
              <w:right w:val="single" w:sz="4" w:space="0" w:color="auto"/>
            </w:tcBorders>
            <w:shd w:val="clear" w:color="auto" w:fill="auto"/>
          </w:tcPr>
          <w:p w14:paraId="6D809515" w14:textId="699E4DD9" w:rsidR="005A167A" w:rsidRDefault="005A167A" w:rsidP="00516970">
            <w:pPr>
              <w:spacing w:after="0"/>
              <w:rPr>
                <w:rFonts w:cs="Calibri"/>
                <w:sz w:val="20"/>
                <w:szCs w:val="20"/>
              </w:rPr>
            </w:pPr>
            <w:r>
              <w:rPr>
                <w:rFonts w:cs="Calibri"/>
                <w:sz w:val="20"/>
                <w:szCs w:val="20"/>
              </w:rPr>
              <w:t>Follow-Up After Emergency Department Visit for Mental Illness- 7 days</w:t>
            </w:r>
          </w:p>
        </w:tc>
        <w:tc>
          <w:tcPr>
            <w:tcW w:w="1080" w:type="dxa"/>
            <w:tcBorders>
              <w:top w:val="nil"/>
              <w:left w:val="nil"/>
              <w:bottom w:val="single" w:sz="4" w:space="0" w:color="auto"/>
              <w:right w:val="single" w:sz="4" w:space="0" w:color="auto"/>
            </w:tcBorders>
            <w:vAlign w:val="center"/>
          </w:tcPr>
          <w:p w14:paraId="78E4439B" w14:textId="55642A3E" w:rsidR="005A167A" w:rsidRPr="004A1A02"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NR</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802909C" w14:textId="7633D1F9" w:rsidR="005A167A"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88.8%</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tcPr>
          <w:p w14:paraId="4572A1E3" w14:textId="60E7FF34" w:rsidR="005A167A"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87.1%</w:t>
            </w:r>
          </w:p>
        </w:tc>
        <w:tc>
          <w:tcPr>
            <w:tcW w:w="1350" w:type="dxa"/>
            <w:tcBorders>
              <w:top w:val="nil"/>
              <w:left w:val="nil"/>
              <w:bottom w:val="single" w:sz="4" w:space="0" w:color="000000"/>
              <w:right w:val="single" w:sz="4" w:space="0" w:color="000000"/>
            </w:tcBorders>
            <w:shd w:val="clear" w:color="auto" w:fill="auto"/>
            <w:noWrap/>
            <w:vAlign w:val="center"/>
          </w:tcPr>
          <w:p w14:paraId="59B96CE9" w14:textId="197454B1" w:rsidR="005A167A" w:rsidRPr="00187230" w:rsidRDefault="00C60DFF" w:rsidP="00516970">
            <w:pPr>
              <w:spacing w:after="0"/>
              <w:jc w:val="center"/>
              <w:rPr>
                <w:rFonts w:asciiTheme="minorHAnsi" w:eastAsia="Times New Roman" w:hAnsiTheme="minorHAnsi" w:cstheme="minorHAnsi"/>
                <w:sz w:val="20"/>
                <w:szCs w:val="20"/>
              </w:rPr>
            </w:pPr>
            <w:r w:rsidRPr="00187230">
              <w:rPr>
                <w:rFonts w:asciiTheme="minorHAnsi" w:eastAsia="Times New Roman" w:hAnsiTheme="minorHAnsi" w:cstheme="minorHAnsi"/>
                <w:sz w:val="20"/>
                <w:szCs w:val="20"/>
              </w:rPr>
              <w:t>46.2</w:t>
            </w:r>
            <w:r w:rsidR="005A167A" w:rsidRPr="00187230">
              <w:rPr>
                <w:rFonts w:asciiTheme="minorHAnsi" w:eastAsia="Times New Roman" w:hAnsiTheme="minorHAnsi" w:cstheme="minorHAnsi"/>
                <w:sz w:val="20"/>
                <w:szCs w:val="20"/>
              </w:rPr>
              <w:t>%</w:t>
            </w:r>
          </w:p>
        </w:tc>
        <w:tc>
          <w:tcPr>
            <w:tcW w:w="1144" w:type="dxa"/>
            <w:tcBorders>
              <w:top w:val="nil"/>
              <w:left w:val="nil"/>
              <w:bottom w:val="single" w:sz="4" w:space="0" w:color="000000"/>
              <w:right w:val="single" w:sz="4" w:space="0" w:color="000000"/>
            </w:tcBorders>
            <w:shd w:val="clear" w:color="auto" w:fill="auto"/>
            <w:noWrap/>
            <w:vAlign w:val="center"/>
          </w:tcPr>
          <w:p w14:paraId="3994129E" w14:textId="6E8DC7DE" w:rsidR="005A167A" w:rsidRPr="00187230" w:rsidRDefault="00187230" w:rsidP="00516970">
            <w:pPr>
              <w:spacing w:after="0"/>
              <w:jc w:val="center"/>
              <w:rPr>
                <w:rFonts w:asciiTheme="minorHAnsi" w:eastAsia="Times New Roman" w:hAnsiTheme="minorHAnsi" w:cstheme="minorHAnsi"/>
                <w:sz w:val="20"/>
                <w:szCs w:val="20"/>
              </w:rPr>
            </w:pPr>
            <w:r w:rsidRPr="00187230">
              <w:rPr>
                <w:rFonts w:asciiTheme="minorHAnsi" w:eastAsia="Times New Roman" w:hAnsiTheme="minorHAnsi" w:cstheme="minorHAnsi"/>
                <w:sz w:val="20"/>
                <w:szCs w:val="20"/>
              </w:rPr>
              <w:t>54.6</w:t>
            </w:r>
            <w:r w:rsidR="005A167A" w:rsidRPr="00187230">
              <w:rPr>
                <w:rFonts w:asciiTheme="minorHAnsi" w:eastAsia="Times New Roman" w:hAnsiTheme="minorHAnsi" w:cstheme="minorHAnsi"/>
                <w:sz w:val="20"/>
                <w:szCs w:val="20"/>
              </w:rPr>
              <w:t>%</w:t>
            </w:r>
          </w:p>
        </w:tc>
        <w:tc>
          <w:tcPr>
            <w:tcW w:w="1144" w:type="dxa"/>
            <w:tcBorders>
              <w:top w:val="nil"/>
              <w:left w:val="nil"/>
              <w:bottom w:val="single" w:sz="4" w:space="0" w:color="000000"/>
              <w:right w:val="single" w:sz="4" w:space="0" w:color="000000"/>
            </w:tcBorders>
          </w:tcPr>
          <w:p w14:paraId="18E01CA4" w14:textId="130DD1FF" w:rsidR="005A167A" w:rsidRPr="00187230" w:rsidRDefault="00187230" w:rsidP="00516970">
            <w:pPr>
              <w:spacing w:after="0"/>
              <w:jc w:val="center"/>
              <w:rPr>
                <w:rFonts w:asciiTheme="minorHAnsi" w:eastAsia="Times New Roman" w:hAnsiTheme="minorHAnsi" w:cstheme="minorHAnsi"/>
                <w:sz w:val="20"/>
                <w:szCs w:val="20"/>
              </w:rPr>
            </w:pPr>
            <w:r w:rsidRPr="00187230">
              <w:rPr>
                <w:rFonts w:asciiTheme="minorHAnsi" w:eastAsia="Times New Roman" w:hAnsiTheme="minorHAnsi" w:cstheme="minorHAnsi"/>
                <w:sz w:val="20"/>
                <w:szCs w:val="20"/>
              </w:rPr>
              <w:t>65.4%</w:t>
            </w:r>
          </w:p>
        </w:tc>
      </w:tr>
      <w:tr w:rsidR="005A167A" w:rsidRPr="00F26259" w14:paraId="75737028" w14:textId="43EC9CD9" w:rsidTr="005A167A">
        <w:trPr>
          <w:trHeight w:val="359"/>
        </w:trPr>
        <w:tc>
          <w:tcPr>
            <w:tcW w:w="1170" w:type="dxa"/>
            <w:tcBorders>
              <w:top w:val="nil"/>
              <w:left w:val="single" w:sz="4" w:space="0" w:color="000000"/>
              <w:bottom w:val="single" w:sz="4" w:space="0" w:color="000000"/>
              <w:right w:val="single" w:sz="4" w:space="0" w:color="000000"/>
            </w:tcBorders>
            <w:shd w:val="clear" w:color="auto" w:fill="auto"/>
            <w:noWrap/>
          </w:tcPr>
          <w:p w14:paraId="622727B2" w14:textId="48C7949C" w:rsidR="005A167A" w:rsidRDefault="005A167A" w:rsidP="00516970">
            <w:pPr>
              <w:spacing w:after="0"/>
              <w:jc w:val="center"/>
              <w:rPr>
                <w:rFonts w:cs="Calibri"/>
                <w:color w:val="000000"/>
                <w:sz w:val="20"/>
                <w:szCs w:val="20"/>
              </w:rPr>
            </w:pPr>
            <w:r>
              <w:rPr>
                <w:rFonts w:cs="Calibri"/>
                <w:color w:val="000000"/>
                <w:sz w:val="20"/>
                <w:szCs w:val="20"/>
              </w:rPr>
              <w:t>FUM</w:t>
            </w:r>
          </w:p>
        </w:tc>
        <w:tc>
          <w:tcPr>
            <w:tcW w:w="6930" w:type="dxa"/>
            <w:tcBorders>
              <w:top w:val="nil"/>
              <w:left w:val="nil"/>
              <w:bottom w:val="single" w:sz="4" w:space="0" w:color="auto"/>
              <w:right w:val="single" w:sz="4" w:space="0" w:color="auto"/>
            </w:tcBorders>
            <w:shd w:val="clear" w:color="auto" w:fill="auto"/>
          </w:tcPr>
          <w:p w14:paraId="132AB2A1" w14:textId="41F331E1" w:rsidR="005A167A" w:rsidRDefault="005A167A" w:rsidP="00516970">
            <w:pPr>
              <w:spacing w:after="0"/>
              <w:rPr>
                <w:rFonts w:cs="Calibri"/>
                <w:sz w:val="20"/>
                <w:szCs w:val="20"/>
              </w:rPr>
            </w:pPr>
            <w:r>
              <w:rPr>
                <w:rFonts w:cs="Calibri"/>
                <w:sz w:val="20"/>
                <w:szCs w:val="20"/>
              </w:rPr>
              <w:t>Follow-Up After Emergency Department Visit for Mental Illness- 30 days</w:t>
            </w:r>
          </w:p>
        </w:tc>
        <w:tc>
          <w:tcPr>
            <w:tcW w:w="1080" w:type="dxa"/>
            <w:tcBorders>
              <w:top w:val="nil"/>
              <w:left w:val="nil"/>
              <w:bottom w:val="single" w:sz="4" w:space="0" w:color="auto"/>
              <w:right w:val="single" w:sz="4" w:space="0" w:color="auto"/>
            </w:tcBorders>
            <w:vAlign w:val="center"/>
          </w:tcPr>
          <w:p w14:paraId="68139198" w14:textId="2247CD24" w:rsidR="005A167A" w:rsidRPr="004A1A02"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NR</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1C55C85" w14:textId="0A039E9D" w:rsidR="005A167A"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91.9%</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tcPr>
          <w:p w14:paraId="1B7B2E2A" w14:textId="23FA99BB" w:rsidR="005A167A"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91.1%</w:t>
            </w:r>
          </w:p>
        </w:tc>
        <w:tc>
          <w:tcPr>
            <w:tcW w:w="1350" w:type="dxa"/>
            <w:tcBorders>
              <w:top w:val="nil"/>
              <w:left w:val="nil"/>
              <w:bottom w:val="single" w:sz="4" w:space="0" w:color="000000"/>
              <w:right w:val="single" w:sz="4" w:space="0" w:color="000000"/>
            </w:tcBorders>
            <w:shd w:val="clear" w:color="auto" w:fill="auto"/>
            <w:noWrap/>
            <w:vAlign w:val="center"/>
          </w:tcPr>
          <w:p w14:paraId="5FA6BE8C" w14:textId="77B451FE" w:rsidR="005A167A" w:rsidRPr="002F222E" w:rsidRDefault="00C146A2" w:rsidP="00516970">
            <w:pPr>
              <w:spacing w:after="0"/>
              <w:jc w:val="center"/>
              <w:rPr>
                <w:rFonts w:asciiTheme="minorHAnsi" w:eastAsia="Times New Roman" w:hAnsiTheme="minorHAnsi" w:cstheme="minorHAnsi"/>
                <w:sz w:val="20"/>
                <w:szCs w:val="20"/>
              </w:rPr>
            </w:pPr>
            <w:r w:rsidRPr="002F222E">
              <w:rPr>
                <w:rFonts w:asciiTheme="minorHAnsi" w:eastAsia="Times New Roman" w:hAnsiTheme="minorHAnsi" w:cstheme="minorHAnsi"/>
                <w:sz w:val="20"/>
                <w:szCs w:val="20"/>
              </w:rPr>
              <w:t>63.6</w:t>
            </w:r>
            <w:r w:rsidR="005A167A" w:rsidRPr="002F222E">
              <w:rPr>
                <w:rFonts w:asciiTheme="minorHAnsi" w:eastAsia="Times New Roman" w:hAnsiTheme="minorHAnsi" w:cstheme="minorHAnsi"/>
                <w:sz w:val="20"/>
                <w:szCs w:val="20"/>
              </w:rPr>
              <w:t>%</w:t>
            </w:r>
          </w:p>
        </w:tc>
        <w:tc>
          <w:tcPr>
            <w:tcW w:w="1144" w:type="dxa"/>
            <w:tcBorders>
              <w:top w:val="nil"/>
              <w:left w:val="nil"/>
              <w:bottom w:val="single" w:sz="4" w:space="0" w:color="000000"/>
              <w:right w:val="single" w:sz="4" w:space="0" w:color="000000"/>
            </w:tcBorders>
            <w:shd w:val="clear" w:color="auto" w:fill="auto"/>
            <w:noWrap/>
            <w:vAlign w:val="center"/>
          </w:tcPr>
          <w:p w14:paraId="1AE8F108" w14:textId="010A52CA" w:rsidR="005A167A" w:rsidRPr="002F222E" w:rsidRDefault="00B14054" w:rsidP="00516970">
            <w:pPr>
              <w:spacing w:after="0"/>
              <w:jc w:val="center"/>
              <w:rPr>
                <w:rFonts w:asciiTheme="minorHAnsi" w:eastAsia="Times New Roman" w:hAnsiTheme="minorHAnsi" w:cstheme="minorHAnsi"/>
                <w:sz w:val="20"/>
                <w:szCs w:val="20"/>
              </w:rPr>
            </w:pPr>
            <w:r w:rsidRPr="002F222E">
              <w:rPr>
                <w:rFonts w:asciiTheme="minorHAnsi" w:eastAsia="Times New Roman" w:hAnsiTheme="minorHAnsi" w:cstheme="minorHAnsi"/>
                <w:sz w:val="20"/>
                <w:szCs w:val="20"/>
              </w:rPr>
              <w:t>72.7</w:t>
            </w:r>
            <w:r w:rsidR="005A167A" w:rsidRPr="002F222E">
              <w:rPr>
                <w:rFonts w:asciiTheme="minorHAnsi" w:eastAsia="Times New Roman" w:hAnsiTheme="minorHAnsi" w:cstheme="minorHAnsi"/>
                <w:sz w:val="20"/>
                <w:szCs w:val="20"/>
              </w:rPr>
              <w:t>%</w:t>
            </w:r>
          </w:p>
        </w:tc>
        <w:tc>
          <w:tcPr>
            <w:tcW w:w="1144" w:type="dxa"/>
            <w:tcBorders>
              <w:top w:val="nil"/>
              <w:left w:val="nil"/>
              <w:bottom w:val="single" w:sz="4" w:space="0" w:color="000000"/>
              <w:right w:val="single" w:sz="4" w:space="0" w:color="000000"/>
            </w:tcBorders>
          </w:tcPr>
          <w:p w14:paraId="674A1516" w14:textId="004FAF2A" w:rsidR="005A167A" w:rsidRPr="002F222E" w:rsidRDefault="002F222E" w:rsidP="00516970">
            <w:pPr>
              <w:spacing w:after="0"/>
              <w:jc w:val="center"/>
              <w:rPr>
                <w:rFonts w:asciiTheme="minorHAnsi" w:eastAsia="Times New Roman" w:hAnsiTheme="minorHAnsi" w:cstheme="minorHAnsi"/>
                <w:sz w:val="20"/>
                <w:szCs w:val="20"/>
              </w:rPr>
            </w:pPr>
            <w:r w:rsidRPr="002F222E">
              <w:rPr>
                <w:rFonts w:asciiTheme="minorHAnsi" w:eastAsia="Times New Roman" w:hAnsiTheme="minorHAnsi" w:cstheme="minorHAnsi"/>
                <w:sz w:val="20"/>
                <w:szCs w:val="20"/>
              </w:rPr>
              <w:t>76.9%</w:t>
            </w:r>
          </w:p>
        </w:tc>
      </w:tr>
      <w:tr w:rsidR="005A167A" w:rsidRPr="00F26259" w14:paraId="19277939" w14:textId="59295D25" w:rsidTr="005A167A">
        <w:trPr>
          <w:trHeight w:val="290"/>
        </w:trPr>
        <w:tc>
          <w:tcPr>
            <w:tcW w:w="1170" w:type="dxa"/>
            <w:tcBorders>
              <w:top w:val="nil"/>
              <w:left w:val="single" w:sz="4" w:space="0" w:color="000000"/>
              <w:bottom w:val="single" w:sz="4" w:space="0" w:color="000000"/>
              <w:right w:val="single" w:sz="4" w:space="0" w:color="000000"/>
            </w:tcBorders>
            <w:shd w:val="clear" w:color="auto" w:fill="auto"/>
            <w:noWrap/>
          </w:tcPr>
          <w:p w14:paraId="2C08BCA7" w14:textId="5F1B5061" w:rsidR="005A167A" w:rsidRPr="00A9231F" w:rsidRDefault="005A167A" w:rsidP="00516970">
            <w:pPr>
              <w:spacing w:after="0"/>
              <w:jc w:val="center"/>
              <w:rPr>
                <w:rFonts w:cs="Calibri"/>
                <w:color w:val="000000"/>
                <w:sz w:val="20"/>
                <w:szCs w:val="20"/>
              </w:rPr>
            </w:pPr>
            <w:r>
              <w:rPr>
                <w:rFonts w:cs="Calibri"/>
                <w:color w:val="000000"/>
                <w:sz w:val="20"/>
                <w:szCs w:val="20"/>
              </w:rPr>
              <w:t>IMA</w:t>
            </w:r>
          </w:p>
        </w:tc>
        <w:tc>
          <w:tcPr>
            <w:tcW w:w="6930" w:type="dxa"/>
            <w:tcBorders>
              <w:top w:val="nil"/>
              <w:left w:val="nil"/>
              <w:bottom w:val="single" w:sz="4" w:space="0" w:color="auto"/>
              <w:right w:val="single" w:sz="4" w:space="0" w:color="auto"/>
            </w:tcBorders>
            <w:shd w:val="clear" w:color="auto" w:fill="auto"/>
          </w:tcPr>
          <w:p w14:paraId="663A28C2" w14:textId="5574A074" w:rsidR="005A167A" w:rsidRPr="00A9231F" w:rsidRDefault="005A167A" w:rsidP="00516970">
            <w:pPr>
              <w:spacing w:after="0"/>
              <w:rPr>
                <w:rFonts w:cs="Calibri"/>
                <w:sz w:val="20"/>
                <w:szCs w:val="20"/>
              </w:rPr>
            </w:pPr>
            <w:r w:rsidRPr="00A9231F">
              <w:rPr>
                <w:rFonts w:cs="Calibri"/>
                <w:sz w:val="20"/>
                <w:szCs w:val="20"/>
              </w:rPr>
              <w:t xml:space="preserve">Immunization for Adolescents (combo </w:t>
            </w:r>
            <w:r>
              <w:rPr>
                <w:rFonts w:cs="Calibri"/>
                <w:sz w:val="20"/>
                <w:szCs w:val="20"/>
              </w:rPr>
              <w:t>1)</w:t>
            </w:r>
          </w:p>
        </w:tc>
        <w:tc>
          <w:tcPr>
            <w:tcW w:w="1080" w:type="dxa"/>
            <w:tcBorders>
              <w:top w:val="single" w:sz="4" w:space="0" w:color="auto"/>
              <w:bottom w:val="single" w:sz="4" w:space="0" w:color="auto"/>
              <w:right w:val="single" w:sz="4" w:space="0" w:color="auto"/>
            </w:tcBorders>
            <w:vAlign w:val="center"/>
          </w:tcPr>
          <w:p w14:paraId="603A8F5D" w14:textId="2FD6790D" w:rsidR="005A167A" w:rsidRPr="004A1A02" w:rsidRDefault="005A167A" w:rsidP="00516970">
            <w:pPr>
              <w:spacing w:after="0"/>
              <w:jc w:val="center"/>
              <w:rPr>
                <w:rFonts w:asciiTheme="minorHAnsi" w:hAnsiTheme="minorHAnsi" w:cstheme="minorHAnsi"/>
                <w:color w:val="000000"/>
                <w:sz w:val="20"/>
                <w:szCs w:val="20"/>
              </w:rPr>
            </w:pPr>
            <w:r>
              <w:rPr>
                <w:rFonts w:asciiTheme="minorHAnsi" w:hAnsiTheme="minorHAnsi" w:cstheme="minorHAnsi"/>
                <w:color w:val="000000"/>
                <w:sz w:val="20"/>
                <w:szCs w:val="20"/>
              </w:rPr>
              <w:t>86.8%</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19ACA69" w14:textId="13BC90CF" w:rsidR="005A167A" w:rsidRPr="004A1A02"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85.2%</w:t>
            </w:r>
          </w:p>
        </w:tc>
        <w:tc>
          <w:tcPr>
            <w:tcW w:w="117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A540000" w14:textId="1BC5AE6B" w:rsidR="005A167A" w:rsidRPr="004A1A02"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85.1%</w:t>
            </w:r>
          </w:p>
        </w:tc>
        <w:tc>
          <w:tcPr>
            <w:tcW w:w="1350" w:type="dxa"/>
            <w:tcBorders>
              <w:top w:val="nil"/>
              <w:left w:val="single" w:sz="4" w:space="0" w:color="auto"/>
              <w:bottom w:val="single" w:sz="4" w:space="0" w:color="000000"/>
              <w:right w:val="single" w:sz="4" w:space="0" w:color="000000"/>
            </w:tcBorders>
            <w:shd w:val="clear" w:color="auto" w:fill="auto"/>
            <w:noWrap/>
            <w:vAlign w:val="center"/>
          </w:tcPr>
          <w:p w14:paraId="3390E262" w14:textId="7757E8BB" w:rsidR="005A167A" w:rsidRPr="00F10DCC" w:rsidRDefault="00F44881" w:rsidP="00516970">
            <w:pPr>
              <w:spacing w:after="0"/>
              <w:jc w:val="center"/>
              <w:rPr>
                <w:rFonts w:asciiTheme="minorHAnsi" w:eastAsia="Times New Roman" w:hAnsiTheme="minorHAnsi" w:cstheme="minorHAnsi"/>
                <w:sz w:val="20"/>
                <w:szCs w:val="20"/>
              </w:rPr>
            </w:pPr>
            <w:r w:rsidRPr="00F10DCC">
              <w:rPr>
                <w:rFonts w:asciiTheme="minorHAnsi" w:eastAsia="Times New Roman" w:hAnsiTheme="minorHAnsi" w:cstheme="minorHAnsi"/>
                <w:sz w:val="20"/>
                <w:szCs w:val="20"/>
              </w:rPr>
              <w:t>68.3</w:t>
            </w:r>
            <w:r w:rsidR="005A167A" w:rsidRPr="00F10DCC">
              <w:rPr>
                <w:rFonts w:asciiTheme="minorHAnsi" w:eastAsia="Times New Roman" w:hAnsiTheme="minorHAnsi" w:cstheme="minorHAnsi"/>
                <w:sz w:val="20"/>
                <w:szCs w:val="20"/>
              </w:rPr>
              <w:t>%</w:t>
            </w:r>
          </w:p>
        </w:tc>
        <w:tc>
          <w:tcPr>
            <w:tcW w:w="1144" w:type="dxa"/>
            <w:tcBorders>
              <w:top w:val="nil"/>
              <w:left w:val="nil"/>
              <w:bottom w:val="single" w:sz="4" w:space="0" w:color="000000"/>
              <w:right w:val="single" w:sz="4" w:space="0" w:color="000000"/>
            </w:tcBorders>
            <w:shd w:val="clear" w:color="auto" w:fill="auto"/>
            <w:noWrap/>
            <w:vAlign w:val="center"/>
          </w:tcPr>
          <w:p w14:paraId="58499008" w14:textId="59092992" w:rsidR="005A167A" w:rsidRPr="00F10DCC" w:rsidRDefault="00F44881" w:rsidP="00516970">
            <w:pPr>
              <w:spacing w:after="0"/>
              <w:jc w:val="center"/>
              <w:rPr>
                <w:rFonts w:asciiTheme="minorHAnsi" w:eastAsia="Times New Roman" w:hAnsiTheme="minorHAnsi" w:cstheme="minorHAnsi"/>
                <w:sz w:val="20"/>
                <w:szCs w:val="20"/>
              </w:rPr>
            </w:pPr>
            <w:r w:rsidRPr="00F10DCC">
              <w:rPr>
                <w:rFonts w:asciiTheme="minorHAnsi" w:eastAsia="Times New Roman" w:hAnsiTheme="minorHAnsi" w:cstheme="minorHAnsi"/>
                <w:sz w:val="20"/>
                <w:szCs w:val="20"/>
              </w:rPr>
              <w:t>75.2</w:t>
            </w:r>
            <w:r w:rsidR="005A167A" w:rsidRPr="00F10DCC">
              <w:rPr>
                <w:rFonts w:asciiTheme="minorHAnsi" w:eastAsia="Times New Roman" w:hAnsiTheme="minorHAnsi" w:cstheme="minorHAnsi"/>
                <w:sz w:val="20"/>
                <w:szCs w:val="20"/>
              </w:rPr>
              <w:t>%</w:t>
            </w:r>
          </w:p>
        </w:tc>
        <w:tc>
          <w:tcPr>
            <w:tcW w:w="1144" w:type="dxa"/>
            <w:tcBorders>
              <w:top w:val="nil"/>
              <w:left w:val="nil"/>
              <w:bottom w:val="single" w:sz="4" w:space="0" w:color="000000"/>
              <w:right w:val="single" w:sz="4" w:space="0" w:color="000000"/>
            </w:tcBorders>
          </w:tcPr>
          <w:p w14:paraId="22E7296A" w14:textId="7A13B113" w:rsidR="005A167A" w:rsidRPr="00F10DCC" w:rsidRDefault="00F10DCC" w:rsidP="00516970">
            <w:pPr>
              <w:spacing w:after="0"/>
              <w:jc w:val="center"/>
              <w:rPr>
                <w:rFonts w:asciiTheme="minorHAnsi" w:eastAsia="Times New Roman" w:hAnsiTheme="minorHAnsi" w:cstheme="minorHAnsi"/>
                <w:sz w:val="20"/>
                <w:szCs w:val="20"/>
              </w:rPr>
            </w:pPr>
            <w:r w:rsidRPr="00F10DCC">
              <w:rPr>
                <w:rFonts w:asciiTheme="minorHAnsi" w:eastAsia="Times New Roman" w:hAnsiTheme="minorHAnsi" w:cstheme="minorHAnsi"/>
                <w:sz w:val="20"/>
                <w:szCs w:val="20"/>
              </w:rPr>
              <w:t>82.5%</w:t>
            </w:r>
          </w:p>
        </w:tc>
      </w:tr>
      <w:tr w:rsidR="005A167A" w:rsidRPr="00F26259" w14:paraId="20119608" w14:textId="0A3D7623" w:rsidTr="005A167A">
        <w:trPr>
          <w:trHeight w:val="290"/>
        </w:trPr>
        <w:tc>
          <w:tcPr>
            <w:tcW w:w="1170" w:type="dxa"/>
            <w:tcBorders>
              <w:top w:val="nil"/>
              <w:left w:val="single" w:sz="4" w:space="0" w:color="000000"/>
              <w:bottom w:val="single" w:sz="4" w:space="0" w:color="000000"/>
              <w:right w:val="single" w:sz="4" w:space="0" w:color="000000"/>
            </w:tcBorders>
            <w:shd w:val="clear" w:color="auto" w:fill="auto"/>
            <w:noWrap/>
          </w:tcPr>
          <w:p w14:paraId="6D471D78" w14:textId="67A06071" w:rsidR="005A167A" w:rsidRDefault="005A167A" w:rsidP="00516970">
            <w:pPr>
              <w:spacing w:after="0"/>
              <w:jc w:val="center"/>
              <w:rPr>
                <w:rFonts w:cs="Calibri"/>
                <w:color w:val="000000"/>
                <w:sz w:val="20"/>
                <w:szCs w:val="20"/>
              </w:rPr>
            </w:pPr>
            <w:r>
              <w:rPr>
                <w:rFonts w:cs="Calibri"/>
                <w:color w:val="000000"/>
                <w:sz w:val="20"/>
                <w:szCs w:val="20"/>
              </w:rPr>
              <w:t>OEV</w:t>
            </w:r>
          </w:p>
        </w:tc>
        <w:tc>
          <w:tcPr>
            <w:tcW w:w="6930" w:type="dxa"/>
            <w:tcBorders>
              <w:top w:val="nil"/>
              <w:left w:val="nil"/>
              <w:bottom w:val="single" w:sz="4" w:space="0" w:color="auto"/>
              <w:right w:val="single" w:sz="4" w:space="0" w:color="auto"/>
            </w:tcBorders>
            <w:shd w:val="clear" w:color="auto" w:fill="auto"/>
          </w:tcPr>
          <w:p w14:paraId="5C42731D" w14:textId="2F696A22" w:rsidR="005A167A" w:rsidRDefault="005A167A" w:rsidP="00516970">
            <w:pPr>
              <w:spacing w:after="0"/>
              <w:rPr>
                <w:rFonts w:cs="Calibri"/>
                <w:sz w:val="20"/>
                <w:szCs w:val="20"/>
              </w:rPr>
            </w:pPr>
            <w:r>
              <w:rPr>
                <w:rFonts w:cs="Calibri"/>
                <w:sz w:val="20"/>
                <w:szCs w:val="20"/>
              </w:rPr>
              <w:t>Oral Evaluation, Dental Services (Total, ages 0-20)</w:t>
            </w:r>
          </w:p>
        </w:tc>
        <w:tc>
          <w:tcPr>
            <w:tcW w:w="1080" w:type="dxa"/>
            <w:tcBorders>
              <w:top w:val="single" w:sz="4" w:space="0" w:color="auto"/>
              <w:bottom w:val="single" w:sz="4" w:space="0" w:color="auto"/>
              <w:right w:val="single" w:sz="4" w:space="0" w:color="auto"/>
            </w:tcBorders>
            <w:vAlign w:val="center"/>
          </w:tcPr>
          <w:p w14:paraId="7C46F660" w14:textId="741B8A1D" w:rsidR="005A167A" w:rsidRDefault="005A167A" w:rsidP="00516970">
            <w:pPr>
              <w:spacing w:after="0"/>
              <w:jc w:val="center"/>
              <w:rPr>
                <w:rFonts w:asciiTheme="minorHAnsi" w:hAnsiTheme="minorHAnsi" w:cstheme="minorHAnsi"/>
                <w:color w:val="000000"/>
                <w:sz w:val="20"/>
                <w:szCs w:val="20"/>
              </w:rPr>
            </w:pPr>
            <w:r>
              <w:rPr>
                <w:rFonts w:asciiTheme="minorHAnsi" w:hAnsiTheme="minorHAnsi" w:cstheme="minorHAnsi"/>
                <w:color w:val="000000"/>
                <w:sz w:val="20"/>
                <w:szCs w:val="20"/>
              </w:rPr>
              <w:t>NR</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966AEB8" w14:textId="0B3E0B61" w:rsidR="005A167A"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51.3%</w:t>
            </w:r>
          </w:p>
        </w:tc>
        <w:tc>
          <w:tcPr>
            <w:tcW w:w="117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349ADC7" w14:textId="51245ED6" w:rsidR="005A167A"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52.5%</w:t>
            </w:r>
          </w:p>
        </w:tc>
        <w:tc>
          <w:tcPr>
            <w:tcW w:w="1350" w:type="dxa"/>
            <w:tcBorders>
              <w:top w:val="nil"/>
              <w:left w:val="single" w:sz="4" w:space="0" w:color="auto"/>
              <w:bottom w:val="single" w:sz="4" w:space="0" w:color="000000"/>
              <w:right w:val="single" w:sz="4" w:space="0" w:color="000000"/>
            </w:tcBorders>
            <w:shd w:val="clear" w:color="auto" w:fill="auto"/>
            <w:noWrap/>
            <w:vAlign w:val="center"/>
          </w:tcPr>
          <w:p w14:paraId="3C9C521B" w14:textId="0D31DCC6" w:rsidR="005A167A" w:rsidRPr="00A825C5" w:rsidRDefault="00A825C5" w:rsidP="00516970">
            <w:pPr>
              <w:spacing w:after="0"/>
              <w:jc w:val="center"/>
              <w:rPr>
                <w:rFonts w:asciiTheme="minorHAnsi" w:eastAsia="Times New Roman" w:hAnsiTheme="minorHAnsi" w:cstheme="minorHAnsi"/>
                <w:sz w:val="20"/>
                <w:szCs w:val="20"/>
              </w:rPr>
            </w:pPr>
            <w:r w:rsidRPr="00A825C5">
              <w:rPr>
                <w:rFonts w:asciiTheme="minorHAnsi" w:eastAsia="Times New Roman" w:hAnsiTheme="minorHAnsi" w:cstheme="minorHAnsi"/>
                <w:sz w:val="20"/>
                <w:szCs w:val="20"/>
              </w:rPr>
              <w:t>37.1%</w:t>
            </w:r>
          </w:p>
        </w:tc>
        <w:tc>
          <w:tcPr>
            <w:tcW w:w="1144" w:type="dxa"/>
            <w:tcBorders>
              <w:top w:val="nil"/>
              <w:left w:val="nil"/>
              <w:bottom w:val="single" w:sz="4" w:space="0" w:color="000000"/>
              <w:right w:val="single" w:sz="4" w:space="0" w:color="000000"/>
            </w:tcBorders>
            <w:shd w:val="clear" w:color="auto" w:fill="auto"/>
            <w:noWrap/>
            <w:vAlign w:val="center"/>
          </w:tcPr>
          <w:p w14:paraId="5406B319" w14:textId="29081B9C" w:rsidR="005A167A" w:rsidRPr="00A825C5" w:rsidRDefault="00A825C5" w:rsidP="00516970">
            <w:pPr>
              <w:spacing w:after="0"/>
              <w:jc w:val="center"/>
              <w:rPr>
                <w:rFonts w:asciiTheme="minorHAnsi" w:eastAsia="Times New Roman" w:hAnsiTheme="minorHAnsi" w:cstheme="minorHAnsi"/>
                <w:sz w:val="20"/>
                <w:szCs w:val="20"/>
              </w:rPr>
            </w:pPr>
            <w:r w:rsidRPr="00A825C5">
              <w:rPr>
                <w:rFonts w:asciiTheme="minorHAnsi" w:eastAsia="Times New Roman" w:hAnsiTheme="minorHAnsi" w:cstheme="minorHAnsi"/>
                <w:sz w:val="20"/>
                <w:szCs w:val="20"/>
              </w:rPr>
              <w:t>43.2%</w:t>
            </w:r>
          </w:p>
        </w:tc>
        <w:tc>
          <w:tcPr>
            <w:tcW w:w="1144" w:type="dxa"/>
            <w:tcBorders>
              <w:top w:val="nil"/>
              <w:left w:val="nil"/>
              <w:bottom w:val="single" w:sz="4" w:space="0" w:color="000000"/>
              <w:right w:val="single" w:sz="4" w:space="0" w:color="000000"/>
            </w:tcBorders>
          </w:tcPr>
          <w:p w14:paraId="72E9E099" w14:textId="60413496" w:rsidR="005A167A" w:rsidRPr="00A825C5" w:rsidRDefault="00A825C5" w:rsidP="00516970">
            <w:pPr>
              <w:spacing w:after="0"/>
              <w:jc w:val="center"/>
              <w:rPr>
                <w:rFonts w:asciiTheme="minorHAnsi" w:eastAsia="Times New Roman" w:hAnsiTheme="minorHAnsi" w:cstheme="minorHAnsi"/>
                <w:sz w:val="20"/>
                <w:szCs w:val="20"/>
              </w:rPr>
            </w:pPr>
            <w:r w:rsidRPr="00A825C5">
              <w:rPr>
                <w:rFonts w:asciiTheme="minorHAnsi" w:eastAsia="Times New Roman" w:hAnsiTheme="minorHAnsi" w:cstheme="minorHAnsi"/>
                <w:sz w:val="20"/>
                <w:szCs w:val="20"/>
              </w:rPr>
              <w:t>49.4%</w:t>
            </w:r>
          </w:p>
        </w:tc>
      </w:tr>
      <w:tr w:rsidR="005A167A" w:rsidRPr="00F26259" w14:paraId="13EA4D14" w14:textId="761310D5" w:rsidTr="005A167A">
        <w:trPr>
          <w:trHeight w:val="290"/>
        </w:trPr>
        <w:tc>
          <w:tcPr>
            <w:tcW w:w="1170" w:type="dxa"/>
            <w:tcBorders>
              <w:top w:val="nil"/>
              <w:left w:val="single" w:sz="4" w:space="0" w:color="000000"/>
              <w:bottom w:val="single" w:sz="4" w:space="0" w:color="000000"/>
              <w:right w:val="single" w:sz="4" w:space="0" w:color="000000"/>
            </w:tcBorders>
            <w:shd w:val="clear" w:color="auto" w:fill="auto"/>
            <w:noWrap/>
          </w:tcPr>
          <w:p w14:paraId="7B565441" w14:textId="5FC2B09D" w:rsidR="005A167A" w:rsidRPr="00F26259" w:rsidRDefault="005A167A" w:rsidP="00516970">
            <w:pPr>
              <w:spacing w:after="0"/>
              <w:jc w:val="center"/>
              <w:rPr>
                <w:rFonts w:asciiTheme="minorHAnsi" w:eastAsia="Times New Roman" w:hAnsiTheme="minorHAnsi" w:cstheme="minorHAnsi"/>
                <w:color w:val="000000"/>
                <w:sz w:val="20"/>
                <w:szCs w:val="20"/>
              </w:rPr>
            </w:pPr>
            <w:r>
              <w:rPr>
                <w:rFonts w:cs="Calibri"/>
                <w:color w:val="000000"/>
                <w:sz w:val="20"/>
                <w:szCs w:val="20"/>
              </w:rPr>
              <w:t>PPC</w:t>
            </w:r>
          </w:p>
        </w:tc>
        <w:tc>
          <w:tcPr>
            <w:tcW w:w="6930" w:type="dxa"/>
            <w:tcBorders>
              <w:top w:val="nil"/>
              <w:left w:val="nil"/>
              <w:bottom w:val="single" w:sz="4" w:space="0" w:color="auto"/>
              <w:right w:val="single" w:sz="4" w:space="0" w:color="auto"/>
            </w:tcBorders>
            <w:shd w:val="clear" w:color="auto" w:fill="auto"/>
          </w:tcPr>
          <w:p w14:paraId="39EB2FAF" w14:textId="68F183BE" w:rsidR="005A167A" w:rsidRPr="00F26259" w:rsidRDefault="005A167A" w:rsidP="00516970">
            <w:pPr>
              <w:spacing w:after="0"/>
              <w:rPr>
                <w:rFonts w:asciiTheme="minorHAnsi" w:eastAsia="Times New Roman" w:hAnsiTheme="minorHAnsi" w:cstheme="minorHAnsi"/>
                <w:sz w:val="20"/>
                <w:szCs w:val="20"/>
              </w:rPr>
            </w:pPr>
            <w:r>
              <w:rPr>
                <w:rFonts w:cs="Calibri"/>
                <w:sz w:val="20"/>
                <w:szCs w:val="20"/>
              </w:rPr>
              <w:t>Prenatal and Postpartum Care - Timeliness of Prenatal Care </w:t>
            </w:r>
          </w:p>
        </w:tc>
        <w:tc>
          <w:tcPr>
            <w:tcW w:w="1080" w:type="dxa"/>
            <w:tcBorders>
              <w:top w:val="single" w:sz="4" w:space="0" w:color="auto"/>
              <w:bottom w:val="single" w:sz="4" w:space="0" w:color="auto"/>
              <w:right w:val="single" w:sz="4" w:space="0" w:color="auto"/>
            </w:tcBorders>
            <w:vAlign w:val="center"/>
          </w:tcPr>
          <w:p w14:paraId="6E8E97BF" w14:textId="45F1AF40" w:rsidR="005A167A" w:rsidRPr="004A1A02" w:rsidRDefault="005A167A" w:rsidP="00516970">
            <w:pPr>
              <w:spacing w:after="0"/>
              <w:jc w:val="center"/>
              <w:rPr>
                <w:rFonts w:asciiTheme="minorHAnsi" w:hAnsiTheme="minorHAnsi" w:cstheme="minorHAnsi"/>
                <w:sz w:val="20"/>
                <w:szCs w:val="20"/>
              </w:rPr>
            </w:pPr>
            <w:r w:rsidRPr="004A1A02">
              <w:rPr>
                <w:rFonts w:asciiTheme="minorHAnsi" w:hAnsiTheme="minorHAnsi" w:cstheme="minorHAnsi"/>
                <w:sz w:val="20"/>
                <w:szCs w:val="20"/>
              </w:rPr>
              <w:t>84.3%</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E911FF9" w14:textId="0AD053E0" w:rsidR="005A167A" w:rsidRPr="004A1A02"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88.6%</w:t>
            </w:r>
          </w:p>
        </w:tc>
        <w:tc>
          <w:tcPr>
            <w:tcW w:w="117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0844D4D" w14:textId="045F800D" w:rsidR="005A167A" w:rsidRPr="004A1A02"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89.3%</w:t>
            </w:r>
          </w:p>
        </w:tc>
        <w:tc>
          <w:tcPr>
            <w:tcW w:w="1350" w:type="dxa"/>
            <w:tcBorders>
              <w:top w:val="nil"/>
              <w:left w:val="single" w:sz="4" w:space="0" w:color="auto"/>
              <w:bottom w:val="single" w:sz="4" w:space="0" w:color="000000"/>
              <w:right w:val="single" w:sz="4" w:space="0" w:color="000000"/>
            </w:tcBorders>
            <w:shd w:val="clear" w:color="auto" w:fill="auto"/>
            <w:noWrap/>
            <w:vAlign w:val="center"/>
          </w:tcPr>
          <w:p w14:paraId="0AC0DA50" w14:textId="0707EED5" w:rsidR="005A167A" w:rsidRPr="003F4B43" w:rsidRDefault="003F4B43" w:rsidP="00516970">
            <w:pPr>
              <w:spacing w:after="0"/>
              <w:jc w:val="center"/>
              <w:rPr>
                <w:rFonts w:asciiTheme="minorHAnsi" w:eastAsia="Times New Roman" w:hAnsiTheme="minorHAnsi" w:cstheme="minorHAnsi"/>
                <w:sz w:val="20"/>
                <w:szCs w:val="20"/>
              </w:rPr>
            </w:pPr>
            <w:r w:rsidRPr="003F4B43">
              <w:rPr>
                <w:rFonts w:asciiTheme="minorHAnsi" w:eastAsia="Times New Roman" w:hAnsiTheme="minorHAnsi" w:cstheme="minorHAnsi"/>
                <w:sz w:val="20"/>
                <w:szCs w:val="20"/>
              </w:rPr>
              <w:t>75.2</w:t>
            </w:r>
            <w:r w:rsidR="005A167A" w:rsidRPr="003F4B43">
              <w:rPr>
                <w:rFonts w:asciiTheme="minorHAnsi" w:eastAsia="Times New Roman" w:hAnsiTheme="minorHAnsi" w:cstheme="minorHAnsi"/>
                <w:sz w:val="20"/>
                <w:szCs w:val="20"/>
              </w:rPr>
              <w:t>%</w:t>
            </w:r>
          </w:p>
        </w:tc>
        <w:tc>
          <w:tcPr>
            <w:tcW w:w="1144" w:type="dxa"/>
            <w:tcBorders>
              <w:top w:val="nil"/>
              <w:left w:val="nil"/>
              <w:bottom w:val="single" w:sz="4" w:space="0" w:color="000000"/>
              <w:right w:val="single" w:sz="4" w:space="0" w:color="000000"/>
            </w:tcBorders>
            <w:shd w:val="clear" w:color="auto" w:fill="auto"/>
            <w:noWrap/>
            <w:vAlign w:val="center"/>
          </w:tcPr>
          <w:p w14:paraId="2383D760" w14:textId="0191230C" w:rsidR="005A167A" w:rsidRPr="003F4B43" w:rsidRDefault="003F4B43" w:rsidP="00516970">
            <w:pPr>
              <w:spacing w:after="0"/>
              <w:jc w:val="center"/>
              <w:rPr>
                <w:rFonts w:asciiTheme="minorHAnsi" w:eastAsia="Times New Roman" w:hAnsiTheme="minorHAnsi" w:cstheme="minorHAnsi"/>
                <w:sz w:val="20"/>
                <w:szCs w:val="20"/>
              </w:rPr>
            </w:pPr>
            <w:r w:rsidRPr="003F4B43">
              <w:rPr>
                <w:rFonts w:asciiTheme="minorHAnsi" w:eastAsia="Times New Roman" w:hAnsiTheme="minorHAnsi" w:cstheme="minorHAnsi"/>
                <w:sz w:val="20"/>
                <w:szCs w:val="20"/>
              </w:rPr>
              <w:t>81.5</w:t>
            </w:r>
            <w:r w:rsidR="005A167A" w:rsidRPr="003F4B43">
              <w:rPr>
                <w:rFonts w:asciiTheme="minorHAnsi" w:eastAsia="Times New Roman" w:hAnsiTheme="minorHAnsi" w:cstheme="minorHAnsi"/>
                <w:sz w:val="20"/>
                <w:szCs w:val="20"/>
              </w:rPr>
              <w:t>%</w:t>
            </w:r>
          </w:p>
        </w:tc>
        <w:tc>
          <w:tcPr>
            <w:tcW w:w="1144" w:type="dxa"/>
            <w:tcBorders>
              <w:top w:val="nil"/>
              <w:left w:val="nil"/>
              <w:bottom w:val="single" w:sz="4" w:space="0" w:color="000000"/>
              <w:right w:val="single" w:sz="4" w:space="0" w:color="000000"/>
            </w:tcBorders>
          </w:tcPr>
          <w:p w14:paraId="5479A567" w14:textId="079824EE" w:rsidR="005A167A" w:rsidRPr="003F4B43" w:rsidRDefault="003F4B43" w:rsidP="00516970">
            <w:pPr>
              <w:spacing w:after="0"/>
              <w:jc w:val="center"/>
              <w:rPr>
                <w:rFonts w:asciiTheme="minorHAnsi" w:eastAsia="Times New Roman" w:hAnsiTheme="minorHAnsi" w:cstheme="minorHAnsi"/>
                <w:sz w:val="20"/>
                <w:szCs w:val="20"/>
              </w:rPr>
            </w:pPr>
            <w:r w:rsidRPr="003F4B43">
              <w:rPr>
                <w:rFonts w:asciiTheme="minorHAnsi" w:eastAsia="Times New Roman" w:hAnsiTheme="minorHAnsi" w:cstheme="minorHAnsi"/>
                <w:sz w:val="20"/>
                <w:szCs w:val="20"/>
              </w:rPr>
              <w:t>87.2%</w:t>
            </w:r>
          </w:p>
        </w:tc>
      </w:tr>
      <w:tr w:rsidR="005A167A" w:rsidRPr="00F26259" w14:paraId="5285DF39" w14:textId="4CF2FB62" w:rsidTr="005A167A">
        <w:trPr>
          <w:trHeight w:val="290"/>
        </w:trPr>
        <w:tc>
          <w:tcPr>
            <w:tcW w:w="1170" w:type="dxa"/>
            <w:tcBorders>
              <w:top w:val="nil"/>
              <w:left w:val="single" w:sz="4" w:space="0" w:color="000000"/>
              <w:bottom w:val="single" w:sz="4" w:space="0" w:color="000000"/>
              <w:right w:val="single" w:sz="4" w:space="0" w:color="000000"/>
            </w:tcBorders>
            <w:shd w:val="clear" w:color="auto" w:fill="auto"/>
            <w:noWrap/>
          </w:tcPr>
          <w:p w14:paraId="1E9BAB85" w14:textId="2D34BA90" w:rsidR="005A167A" w:rsidRPr="00F26259" w:rsidRDefault="005A167A" w:rsidP="00516970">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SFM</w:t>
            </w:r>
          </w:p>
        </w:tc>
        <w:tc>
          <w:tcPr>
            <w:tcW w:w="6930" w:type="dxa"/>
            <w:tcBorders>
              <w:top w:val="nil"/>
              <w:left w:val="nil"/>
              <w:bottom w:val="single" w:sz="4" w:space="0" w:color="auto"/>
              <w:right w:val="single" w:sz="4" w:space="0" w:color="auto"/>
            </w:tcBorders>
            <w:shd w:val="clear" w:color="auto" w:fill="auto"/>
          </w:tcPr>
          <w:p w14:paraId="550FCA15" w14:textId="1B2F9178" w:rsidR="005A167A" w:rsidRPr="006420AC" w:rsidRDefault="005A167A" w:rsidP="00516970">
            <w:pPr>
              <w:rPr>
                <w:rFonts w:eastAsia="Times New Roman" w:cs="Calibri"/>
                <w:color w:val="000000"/>
                <w:sz w:val="20"/>
                <w:szCs w:val="20"/>
              </w:rPr>
            </w:pPr>
            <w:r w:rsidRPr="006420AC">
              <w:rPr>
                <w:rFonts w:cs="Calibri"/>
                <w:color w:val="000000"/>
                <w:sz w:val="20"/>
                <w:szCs w:val="20"/>
              </w:rPr>
              <w:t xml:space="preserve">Sealant Receipt </w:t>
            </w:r>
            <w:proofErr w:type="gramStart"/>
            <w:r w:rsidRPr="006420AC">
              <w:rPr>
                <w:rFonts w:cs="Calibri"/>
                <w:color w:val="000000"/>
                <w:sz w:val="20"/>
                <w:szCs w:val="20"/>
              </w:rPr>
              <w:t>on</w:t>
            </w:r>
            <w:proofErr w:type="gramEnd"/>
            <w:r w:rsidRPr="006420AC">
              <w:rPr>
                <w:rFonts w:cs="Calibri"/>
                <w:color w:val="000000"/>
                <w:sz w:val="20"/>
                <w:szCs w:val="20"/>
              </w:rPr>
              <w:t xml:space="preserve"> First Molars</w:t>
            </w:r>
          </w:p>
        </w:tc>
        <w:tc>
          <w:tcPr>
            <w:tcW w:w="1080" w:type="dxa"/>
            <w:tcBorders>
              <w:top w:val="single" w:sz="4" w:space="0" w:color="auto"/>
              <w:bottom w:val="single" w:sz="4" w:space="0" w:color="auto"/>
              <w:right w:val="single" w:sz="4" w:space="0" w:color="auto"/>
            </w:tcBorders>
            <w:vAlign w:val="center"/>
          </w:tcPr>
          <w:p w14:paraId="233F43AF" w14:textId="63DCF45A" w:rsidR="005A167A" w:rsidRPr="004A1A02" w:rsidRDefault="005A167A" w:rsidP="00516970">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66.3%</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9C86D61" w14:textId="471027C7" w:rsidR="005A167A" w:rsidRPr="004A1A02"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62.4%</w:t>
            </w:r>
          </w:p>
        </w:tc>
        <w:tc>
          <w:tcPr>
            <w:tcW w:w="117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91915B3" w14:textId="73C8AC68" w:rsidR="005A167A" w:rsidRPr="004A1A02"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60.8%</w:t>
            </w:r>
          </w:p>
        </w:tc>
        <w:tc>
          <w:tcPr>
            <w:tcW w:w="1350" w:type="dxa"/>
            <w:tcBorders>
              <w:top w:val="nil"/>
              <w:left w:val="single" w:sz="4" w:space="0" w:color="auto"/>
              <w:bottom w:val="single" w:sz="4" w:space="0" w:color="000000"/>
              <w:right w:val="single" w:sz="4" w:space="0" w:color="000000"/>
            </w:tcBorders>
            <w:shd w:val="clear" w:color="auto" w:fill="auto"/>
            <w:noWrap/>
            <w:vAlign w:val="center"/>
          </w:tcPr>
          <w:p w14:paraId="258AB330" w14:textId="52C2DEBC" w:rsidR="005A167A" w:rsidRPr="009A2F85" w:rsidRDefault="005E3586" w:rsidP="00516970">
            <w:pPr>
              <w:spacing w:after="0"/>
              <w:jc w:val="center"/>
              <w:rPr>
                <w:rFonts w:asciiTheme="minorHAnsi" w:eastAsia="Times New Roman" w:hAnsiTheme="minorHAnsi" w:cstheme="minorHAnsi"/>
                <w:sz w:val="20"/>
                <w:szCs w:val="20"/>
              </w:rPr>
            </w:pPr>
            <w:r w:rsidRPr="009A2F85">
              <w:rPr>
                <w:rFonts w:asciiTheme="minorHAnsi" w:eastAsia="Times New Roman" w:hAnsiTheme="minorHAnsi" w:cstheme="minorHAnsi"/>
                <w:sz w:val="20"/>
                <w:szCs w:val="20"/>
              </w:rPr>
              <w:t>23.6%</w:t>
            </w:r>
          </w:p>
        </w:tc>
        <w:tc>
          <w:tcPr>
            <w:tcW w:w="1144" w:type="dxa"/>
            <w:tcBorders>
              <w:top w:val="nil"/>
              <w:left w:val="nil"/>
              <w:bottom w:val="single" w:sz="4" w:space="0" w:color="000000"/>
              <w:right w:val="single" w:sz="4" w:space="0" w:color="000000"/>
            </w:tcBorders>
            <w:shd w:val="clear" w:color="auto" w:fill="auto"/>
            <w:noWrap/>
            <w:vAlign w:val="center"/>
          </w:tcPr>
          <w:p w14:paraId="5508ED56" w14:textId="32934840" w:rsidR="005A167A" w:rsidRPr="009A2F85" w:rsidRDefault="009A2F85" w:rsidP="00516970">
            <w:pPr>
              <w:spacing w:after="0"/>
              <w:jc w:val="center"/>
              <w:rPr>
                <w:rFonts w:asciiTheme="minorHAnsi" w:eastAsia="Times New Roman" w:hAnsiTheme="minorHAnsi" w:cstheme="minorHAnsi"/>
                <w:sz w:val="20"/>
                <w:szCs w:val="20"/>
              </w:rPr>
            </w:pPr>
            <w:r w:rsidRPr="009A2F85">
              <w:rPr>
                <w:rFonts w:asciiTheme="minorHAnsi" w:eastAsia="Times New Roman" w:hAnsiTheme="minorHAnsi" w:cstheme="minorHAnsi"/>
                <w:sz w:val="20"/>
                <w:szCs w:val="20"/>
              </w:rPr>
              <w:t>32.9%</w:t>
            </w:r>
          </w:p>
        </w:tc>
        <w:tc>
          <w:tcPr>
            <w:tcW w:w="1144" w:type="dxa"/>
            <w:tcBorders>
              <w:top w:val="nil"/>
              <w:left w:val="nil"/>
              <w:bottom w:val="single" w:sz="4" w:space="0" w:color="000000"/>
              <w:right w:val="single" w:sz="4" w:space="0" w:color="000000"/>
            </w:tcBorders>
          </w:tcPr>
          <w:p w14:paraId="20A2B153" w14:textId="70D0E13F" w:rsidR="005A167A" w:rsidRPr="009A2F85" w:rsidRDefault="009A2F85" w:rsidP="00516970">
            <w:pPr>
              <w:spacing w:after="0"/>
              <w:jc w:val="center"/>
              <w:rPr>
                <w:rFonts w:asciiTheme="minorHAnsi" w:eastAsia="Times New Roman" w:hAnsiTheme="minorHAnsi" w:cstheme="minorHAnsi"/>
                <w:sz w:val="20"/>
                <w:szCs w:val="20"/>
              </w:rPr>
            </w:pPr>
            <w:r w:rsidRPr="009A2F85">
              <w:rPr>
                <w:rFonts w:asciiTheme="minorHAnsi" w:eastAsia="Times New Roman" w:hAnsiTheme="minorHAnsi" w:cstheme="minorHAnsi"/>
                <w:sz w:val="20"/>
                <w:szCs w:val="20"/>
              </w:rPr>
              <w:t>40.0%</w:t>
            </w:r>
          </w:p>
        </w:tc>
      </w:tr>
      <w:tr w:rsidR="005A167A" w:rsidRPr="00F26259" w14:paraId="6DE3C790" w14:textId="31445A8C" w:rsidTr="005A167A">
        <w:trPr>
          <w:trHeight w:val="290"/>
        </w:trPr>
        <w:tc>
          <w:tcPr>
            <w:tcW w:w="1170" w:type="dxa"/>
            <w:tcBorders>
              <w:top w:val="nil"/>
              <w:left w:val="single" w:sz="4" w:space="0" w:color="000000"/>
              <w:bottom w:val="single" w:sz="4" w:space="0" w:color="000000"/>
              <w:right w:val="single" w:sz="4" w:space="0" w:color="000000"/>
            </w:tcBorders>
            <w:shd w:val="clear" w:color="auto" w:fill="auto"/>
            <w:noWrap/>
          </w:tcPr>
          <w:p w14:paraId="3784F8A9" w14:textId="0F068E01" w:rsidR="005A167A" w:rsidRDefault="005A167A" w:rsidP="00516970">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TFL</w:t>
            </w:r>
          </w:p>
        </w:tc>
        <w:tc>
          <w:tcPr>
            <w:tcW w:w="6930" w:type="dxa"/>
            <w:tcBorders>
              <w:top w:val="nil"/>
              <w:left w:val="nil"/>
              <w:bottom w:val="single" w:sz="4" w:space="0" w:color="auto"/>
              <w:right w:val="single" w:sz="4" w:space="0" w:color="auto"/>
            </w:tcBorders>
            <w:shd w:val="clear" w:color="auto" w:fill="auto"/>
          </w:tcPr>
          <w:p w14:paraId="03444C22" w14:textId="63FC4611" w:rsidR="005A167A" w:rsidRPr="006420AC" w:rsidRDefault="005A167A" w:rsidP="00516970">
            <w:pPr>
              <w:rPr>
                <w:rFonts w:cs="Calibri"/>
                <w:color w:val="000000"/>
                <w:sz w:val="20"/>
                <w:szCs w:val="20"/>
              </w:rPr>
            </w:pPr>
            <w:r>
              <w:rPr>
                <w:rFonts w:cs="Calibri"/>
                <w:color w:val="000000"/>
                <w:sz w:val="20"/>
                <w:szCs w:val="20"/>
              </w:rPr>
              <w:t>Topical Fluoride for Children (Total, ages 1-20)</w:t>
            </w:r>
          </w:p>
        </w:tc>
        <w:tc>
          <w:tcPr>
            <w:tcW w:w="1080" w:type="dxa"/>
            <w:tcBorders>
              <w:top w:val="single" w:sz="4" w:space="0" w:color="auto"/>
              <w:bottom w:val="single" w:sz="4" w:space="0" w:color="auto"/>
              <w:right w:val="single" w:sz="4" w:space="0" w:color="auto"/>
            </w:tcBorders>
            <w:vAlign w:val="center"/>
          </w:tcPr>
          <w:p w14:paraId="6E295491" w14:textId="584FA96F" w:rsidR="005A167A" w:rsidRPr="004A1A02"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NR</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29E42ED" w14:textId="19C45C23" w:rsidR="005A167A" w:rsidRPr="004A1A02"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44.6%</w:t>
            </w:r>
          </w:p>
        </w:tc>
        <w:tc>
          <w:tcPr>
            <w:tcW w:w="117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C7A5F6E" w14:textId="2541C8D2" w:rsidR="005A167A" w:rsidRPr="004A1A02"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46.8%</w:t>
            </w:r>
          </w:p>
        </w:tc>
        <w:tc>
          <w:tcPr>
            <w:tcW w:w="1350" w:type="dxa"/>
            <w:tcBorders>
              <w:top w:val="nil"/>
              <w:left w:val="single" w:sz="4" w:space="0" w:color="auto"/>
              <w:bottom w:val="single" w:sz="4" w:space="0" w:color="000000"/>
              <w:right w:val="single" w:sz="4" w:space="0" w:color="000000"/>
            </w:tcBorders>
            <w:shd w:val="clear" w:color="auto" w:fill="auto"/>
            <w:noWrap/>
            <w:vAlign w:val="center"/>
          </w:tcPr>
          <w:p w14:paraId="0DABD6EE" w14:textId="1D38130F" w:rsidR="005A167A" w:rsidRPr="00333ABB" w:rsidRDefault="00333ABB" w:rsidP="00516970">
            <w:pPr>
              <w:spacing w:after="0"/>
              <w:jc w:val="center"/>
              <w:rPr>
                <w:rFonts w:asciiTheme="minorHAnsi" w:eastAsia="Times New Roman" w:hAnsiTheme="minorHAnsi" w:cstheme="minorHAnsi"/>
                <w:sz w:val="20"/>
                <w:szCs w:val="20"/>
              </w:rPr>
            </w:pPr>
            <w:r w:rsidRPr="00333ABB">
              <w:rPr>
                <w:rFonts w:asciiTheme="minorHAnsi" w:eastAsia="Times New Roman" w:hAnsiTheme="minorHAnsi" w:cstheme="minorHAnsi"/>
                <w:sz w:val="20"/>
                <w:szCs w:val="20"/>
              </w:rPr>
              <w:t>16.8%</w:t>
            </w:r>
          </w:p>
        </w:tc>
        <w:tc>
          <w:tcPr>
            <w:tcW w:w="1144" w:type="dxa"/>
            <w:tcBorders>
              <w:top w:val="nil"/>
              <w:left w:val="nil"/>
              <w:bottom w:val="single" w:sz="4" w:space="0" w:color="000000"/>
              <w:right w:val="single" w:sz="4" w:space="0" w:color="000000"/>
            </w:tcBorders>
            <w:shd w:val="clear" w:color="auto" w:fill="auto"/>
            <w:noWrap/>
            <w:vAlign w:val="center"/>
          </w:tcPr>
          <w:p w14:paraId="14612561" w14:textId="619ADF27" w:rsidR="005A167A" w:rsidRPr="00333ABB" w:rsidRDefault="00333ABB" w:rsidP="00516970">
            <w:pPr>
              <w:spacing w:after="0"/>
              <w:jc w:val="center"/>
              <w:rPr>
                <w:rFonts w:asciiTheme="minorHAnsi" w:eastAsia="Times New Roman" w:hAnsiTheme="minorHAnsi" w:cstheme="minorHAnsi"/>
                <w:sz w:val="20"/>
                <w:szCs w:val="20"/>
              </w:rPr>
            </w:pPr>
            <w:r w:rsidRPr="00333ABB">
              <w:rPr>
                <w:rFonts w:asciiTheme="minorHAnsi" w:eastAsia="Times New Roman" w:hAnsiTheme="minorHAnsi" w:cstheme="minorHAnsi"/>
                <w:sz w:val="20"/>
                <w:szCs w:val="20"/>
              </w:rPr>
              <w:t>19.3%</w:t>
            </w:r>
          </w:p>
        </w:tc>
        <w:tc>
          <w:tcPr>
            <w:tcW w:w="1144" w:type="dxa"/>
            <w:tcBorders>
              <w:top w:val="nil"/>
              <w:left w:val="nil"/>
              <w:bottom w:val="single" w:sz="4" w:space="0" w:color="000000"/>
              <w:right w:val="single" w:sz="4" w:space="0" w:color="000000"/>
            </w:tcBorders>
          </w:tcPr>
          <w:p w14:paraId="26526DF9" w14:textId="6D208F10" w:rsidR="005A167A" w:rsidRPr="00333ABB" w:rsidRDefault="00333ABB" w:rsidP="00516970">
            <w:pPr>
              <w:spacing w:after="0"/>
              <w:jc w:val="center"/>
              <w:rPr>
                <w:rFonts w:asciiTheme="minorHAnsi" w:eastAsia="Times New Roman" w:hAnsiTheme="minorHAnsi" w:cstheme="minorHAnsi"/>
                <w:sz w:val="20"/>
                <w:szCs w:val="20"/>
              </w:rPr>
            </w:pPr>
            <w:r w:rsidRPr="00333ABB">
              <w:rPr>
                <w:rFonts w:asciiTheme="minorHAnsi" w:eastAsia="Times New Roman" w:hAnsiTheme="minorHAnsi" w:cstheme="minorHAnsi"/>
                <w:sz w:val="20"/>
                <w:szCs w:val="20"/>
              </w:rPr>
              <w:t>23.3%</w:t>
            </w:r>
          </w:p>
        </w:tc>
      </w:tr>
      <w:tr w:rsidR="005A167A" w:rsidRPr="00F26259" w14:paraId="2FEEE47F" w14:textId="382F522F" w:rsidTr="005A167A">
        <w:trPr>
          <w:trHeight w:val="290"/>
        </w:trPr>
        <w:tc>
          <w:tcPr>
            <w:tcW w:w="1170" w:type="dxa"/>
            <w:tcBorders>
              <w:top w:val="nil"/>
              <w:left w:val="single" w:sz="4" w:space="0" w:color="000000"/>
              <w:bottom w:val="single" w:sz="4" w:space="0" w:color="000000"/>
              <w:right w:val="single" w:sz="4" w:space="0" w:color="000000"/>
            </w:tcBorders>
            <w:shd w:val="clear" w:color="auto" w:fill="auto"/>
            <w:noWrap/>
          </w:tcPr>
          <w:p w14:paraId="720F8715" w14:textId="41811440" w:rsidR="005A167A" w:rsidRPr="00F26259" w:rsidRDefault="005A167A" w:rsidP="00516970">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WCC</w:t>
            </w:r>
          </w:p>
        </w:tc>
        <w:tc>
          <w:tcPr>
            <w:tcW w:w="6930" w:type="dxa"/>
            <w:tcBorders>
              <w:top w:val="nil"/>
              <w:left w:val="nil"/>
              <w:bottom w:val="single" w:sz="4" w:space="0" w:color="auto"/>
              <w:right w:val="single" w:sz="4" w:space="0" w:color="auto"/>
            </w:tcBorders>
            <w:shd w:val="clear" w:color="auto" w:fill="auto"/>
          </w:tcPr>
          <w:p w14:paraId="58BE201F" w14:textId="2970B535" w:rsidR="005A167A" w:rsidRPr="006420AC" w:rsidRDefault="005A167A" w:rsidP="00516970">
            <w:pPr>
              <w:rPr>
                <w:rFonts w:eastAsia="Times New Roman" w:cs="Calibri"/>
                <w:color w:val="000000"/>
                <w:sz w:val="20"/>
                <w:szCs w:val="20"/>
              </w:rPr>
            </w:pPr>
            <w:r w:rsidRPr="006420AC">
              <w:rPr>
                <w:rFonts w:cs="Calibri"/>
                <w:color w:val="000000"/>
                <w:sz w:val="20"/>
                <w:szCs w:val="20"/>
              </w:rPr>
              <w:t>Weight Assessment and Counseling for Nutrition and Physical Activity for Children/Adolescents – BMI percentile (Total)</w:t>
            </w:r>
          </w:p>
        </w:tc>
        <w:tc>
          <w:tcPr>
            <w:tcW w:w="1080" w:type="dxa"/>
            <w:tcBorders>
              <w:top w:val="single" w:sz="4" w:space="0" w:color="auto"/>
              <w:bottom w:val="single" w:sz="4" w:space="0" w:color="auto"/>
              <w:right w:val="single" w:sz="4" w:space="0" w:color="auto"/>
            </w:tcBorders>
            <w:vAlign w:val="center"/>
          </w:tcPr>
          <w:p w14:paraId="1FD31AC5" w14:textId="2E971330" w:rsidR="005A167A" w:rsidRPr="004A1A02" w:rsidRDefault="005A167A" w:rsidP="00516970">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82.7%</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0E329E5" w14:textId="3318C66E" w:rsidR="005A167A" w:rsidRPr="004A1A02"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81.7%</w:t>
            </w:r>
          </w:p>
        </w:tc>
        <w:tc>
          <w:tcPr>
            <w:tcW w:w="117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5CAE77E" w14:textId="57C068F7" w:rsidR="005A167A" w:rsidRPr="004A1A02"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81.5%</w:t>
            </w:r>
          </w:p>
        </w:tc>
        <w:tc>
          <w:tcPr>
            <w:tcW w:w="1350" w:type="dxa"/>
            <w:tcBorders>
              <w:top w:val="nil"/>
              <w:left w:val="single" w:sz="4" w:space="0" w:color="auto"/>
              <w:bottom w:val="single" w:sz="4" w:space="0" w:color="000000"/>
              <w:right w:val="single" w:sz="4" w:space="0" w:color="000000"/>
            </w:tcBorders>
            <w:shd w:val="clear" w:color="auto" w:fill="auto"/>
            <w:noWrap/>
            <w:vAlign w:val="center"/>
          </w:tcPr>
          <w:p w14:paraId="50444461" w14:textId="692E58E3" w:rsidR="005A167A" w:rsidRPr="007A5987" w:rsidRDefault="007A5987" w:rsidP="00516970">
            <w:pPr>
              <w:spacing w:after="0"/>
              <w:jc w:val="center"/>
              <w:rPr>
                <w:rFonts w:asciiTheme="minorHAnsi" w:eastAsia="Times New Roman" w:hAnsiTheme="minorHAnsi" w:cstheme="minorHAnsi"/>
                <w:sz w:val="20"/>
                <w:szCs w:val="20"/>
              </w:rPr>
            </w:pPr>
            <w:r w:rsidRPr="007A5987">
              <w:rPr>
                <w:rFonts w:asciiTheme="minorHAnsi" w:eastAsia="Times New Roman" w:hAnsiTheme="minorHAnsi" w:cstheme="minorHAnsi"/>
                <w:sz w:val="20"/>
                <w:szCs w:val="20"/>
              </w:rPr>
              <w:t>59.1</w:t>
            </w:r>
            <w:r w:rsidR="005A167A" w:rsidRPr="007A5987">
              <w:rPr>
                <w:rFonts w:asciiTheme="minorHAnsi" w:eastAsia="Times New Roman" w:hAnsiTheme="minorHAnsi" w:cstheme="minorHAnsi"/>
                <w:sz w:val="20"/>
                <w:szCs w:val="20"/>
              </w:rPr>
              <w:t>%</w:t>
            </w:r>
          </w:p>
        </w:tc>
        <w:tc>
          <w:tcPr>
            <w:tcW w:w="1144" w:type="dxa"/>
            <w:tcBorders>
              <w:top w:val="nil"/>
              <w:left w:val="nil"/>
              <w:bottom w:val="single" w:sz="4" w:space="0" w:color="000000"/>
              <w:right w:val="single" w:sz="4" w:space="0" w:color="000000"/>
            </w:tcBorders>
            <w:shd w:val="clear" w:color="auto" w:fill="auto"/>
            <w:noWrap/>
            <w:vAlign w:val="center"/>
          </w:tcPr>
          <w:p w14:paraId="66002DEE" w14:textId="785B8E45" w:rsidR="005A167A" w:rsidRPr="007A5987" w:rsidRDefault="007A5987" w:rsidP="00516970">
            <w:pPr>
              <w:spacing w:after="0"/>
              <w:jc w:val="center"/>
              <w:rPr>
                <w:rFonts w:asciiTheme="minorHAnsi" w:eastAsia="Times New Roman" w:hAnsiTheme="minorHAnsi" w:cstheme="minorHAnsi"/>
                <w:sz w:val="20"/>
                <w:szCs w:val="20"/>
              </w:rPr>
            </w:pPr>
            <w:r w:rsidRPr="007A5987">
              <w:rPr>
                <w:rFonts w:asciiTheme="minorHAnsi" w:eastAsia="Times New Roman" w:hAnsiTheme="minorHAnsi" w:cstheme="minorHAnsi"/>
                <w:sz w:val="20"/>
                <w:szCs w:val="20"/>
              </w:rPr>
              <w:t>71.9</w:t>
            </w:r>
            <w:r w:rsidR="005A167A" w:rsidRPr="007A5987">
              <w:rPr>
                <w:rFonts w:asciiTheme="minorHAnsi" w:eastAsia="Times New Roman" w:hAnsiTheme="minorHAnsi" w:cstheme="minorHAnsi"/>
                <w:sz w:val="20"/>
                <w:szCs w:val="20"/>
              </w:rPr>
              <w:t>%</w:t>
            </w:r>
          </w:p>
        </w:tc>
        <w:tc>
          <w:tcPr>
            <w:tcW w:w="1144" w:type="dxa"/>
            <w:tcBorders>
              <w:top w:val="nil"/>
              <w:left w:val="nil"/>
              <w:bottom w:val="single" w:sz="4" w:space="0" w:color="000000"/>
              <w:right w:val="single" w:sz="4" w:space="0" w:color="000000"/>
            </w:tcBorders>
          </w:tcPr>
          <w:p w14:paraId="0A70AC12" w14:textId="31753215" w:rsidR="005A167A" w:rsidRPr="007A5987" w:rsidRDefault="007A5987" w:rsidP="00516970">
            <w:pPr>
              <w:spacing w:after="0"/>
              <w:jc w:val="center"/>
              <w:rPr>
                <w:rFonts w:asciiTheme="minorHAnsi" w:eastAsia="Times New Roman" w:hAnsiTheme="minorHAnsi" w:cstheme="minorHAnsi"/>
                <w:sz w:val="20"/>
                <w:szCs w:val="20"/>
              </w:rPr>
            </w:pPr>
            <w:r w:rsidRPr="007A5987">
              <w:rPr>
                <w:rFonts w:asciiTheme="minorHAnsi" w:eastAsia="Times New Roman" w:hAnsiTheme="minorHAnsi" w:cstheme="minorHAnsi"/>
                <w:sz w:val="20"/>
                <w:szCs w:val="20"/>
              </w:rPr>
              <w:t>81.0%</w:t>
            </w:r>
          </w:p>
        </w:tc>
      </w:tr>
      <w:tr w:rsidR="005A167A" w:rsidRPr="00F26259" w14:paraId="4827F6C2" w14:textId="38918E77" w:rsidTr="005A167A">
        <w:trPr>
          <w:trHeight w:val="290"/>
        </w:trPr>
        <w:tc>
          <w:tcPr>
            <w:tcW w:w="1170" w:type="dxa"/>
            <w:tcBorders>
              <w:top w:val="nil"/>
              <w:left w:val="single" w:sz="4" w:space="0" w:color="000000"/>
              <w:bottom w:val="single" w:sz="4" w:space="0" w:color="000000"/>
              <w:right w:val="single" w:sz="4" w:space="0" w:color="000000"/>
            </w:tcBorders>
            <w:shd w:val="clear" w:color="auto" w:fill="auto"/>
            <w:noWrap/>
          </w:tcPr>
          <w:p w14:paraId="120F9FF2" w14:textId="6460D618" w:rsidR="005A167A" w:rsidRDefault="005A167A" w:rsidP="00516970">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WCC</w:t>
            </w:r>
          </w:p>
        </w:tc>
        <w:tc>
          <w:tcPr>
            <w:tcW w:w="6930" w:type="dxa"/>
            <w:tcBorders>
              <w:top w:val="nil"/>
              <w:left w:val="nil"/>
              <w:bottom w:val="single" w:sz="4" w:space="0" w:color="auto"/>
              <w:right w:val="single" w:sz="4" w:space="0" w:color="auto"/>
            </w:tcBorders>
            <w:shd w:val="clear" w:color="auto" w:fill="auto"/>
          </w:tcPr>
          <w:p w14:paraId="7C77B7D7" w14:textId="37932E63" w:rsidR="005A167A" w:rsidRPr="006420AC" w:rsidRDefault="005A167A" w:rsidP="00516970">
            <w:pPr>
              <w:rPr>
                <w:rFonts w:cs="Calibri"/>
                <w:color w:val="000000"/>
                <w:sz w:val="20"/>
                <w:szCs w:val="20"/>
              </w:rPr>
            </w:pPr>
            <w:r w:rsidRPr="006420AC">
              <w:rPr>
                <w:rFonts w:cs="Calibri"/>
                <w:color w:val="000000"/>
                <w:sz w:val="20"/>
                <w:szCs w:val="20"/>
              </w:rPr>
              <w:t>Weight Assessment and Counseling for Nutrition and Physical Activity for Children/Adolescents</w:t>
            </w:r>
            <w:r>
              <w:rPr>
                <w:rFonts w:cs="Calibri"/>
                <w:color w:val="000000"/>
                <w:sz w:val="20"/>
                <w:szCs w:val="20"/>
              </w:rPr>
              <w:t>- Counseling for Nutrition (Total, ages 3-17)</w:t>
            </w:r>
          </w:p>
        </w:tc>
        <w:tc>
          <w:tcPr>
            <w:tcW w:w="1080" w:type="dxa"/>
            <w:tcBorders>
              <w:top w:val="single" w:sz="4" w:space="0" w:color="auto"/>
              <w:bottom w:val="single" w:sz="4" w:space="0" w:color="auto"/>
              <w:right w:val="single" w:sz="4" w:space="0" w:color="auto"/>
            </w:tcBorders>
            <w:vAlign w:val="center"/>
          </w:tcPr>
          <w:p w14:paraId="17D4A466" w14:textId="550AE9F6" w:rsidR="005A167A" w:rsidRPr="004A1A02"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78.9%</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3B3A91B" w14:textId="5B1237E9" w:rsidR="005A167A" w:rsidRPr="004A1A02"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79.6%</w:t>
            </w:r>
          </w:p>
        </w:tc>
        <w:tc>
          <w:tcPr>
            <w:tcW w:w="117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E6B58A9" w14:textId="0381AF91" w:rsidR="005A167A" w:rsidRPr="004A1A02"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76.1%</w:t>
            </w:r>
          </w:p>
        </w:tc>
        <w:tc>
          <w:tcPr>
            <w:tcW w:w="1350" w:type="dxa"/>
            <w:tcBorders>
              <w:top w:val="nil"/>
              <w:left w:val="single" w:sz="4" w:space="0" w:color="auto"/>
              <w:bottom w:val="single" w:sz="4" w:space="0" w:color="000000"/>
              <w:right w:val="single" w:sz="4" w:space="0" w:color="000000"/>
            </w:tcBorders>
            <w:shd w:val="clear" w:color="auto" w:fill="auto"/>
            <w:noWrap/>
            <w:vAlign w:val="center"/>
          </w:tcPr>
          <w:p w14:paraId="67351BCA" w14:textId="1CF2B208" w:rsidR="005A167A" w:rsidRPr="00F140CA" w:rsidRDefault="00F140CA" w:rsidP="00516970">
            <w:pPr>
              <w:spacing w:after="0"/>
              <w:jc w:val="center"/>
              <w:rPr>
                <w:rFonts w:asciiTheme="minorHAnsi" w:eastAsia="Times New Roman" w:hAnsiTheme="minorHAnsi" w:cstheme="minorHAnsi"/>
                <w:sz w:val="20"/>
                <w:szCs w:val="20"/>
              </w:rPr>
            </w:pPr>
            <w:r w:rsidRPr="00F140CA">
              <w:rPr>
                <w:rFonts w:asciiTheme="minorHAnsi" w:eastAsia="Times New Roman" w:hAnsiTheme="minorHAnsi" w:cstheme="minorHAnsi"/>
                <w:sz w:val="20"/>
                <w:szCs w:val="20"/>
              </w:rPr>
              <w:t>36.7%</w:t>
            </w:r>
          </w:p>
        </w:tc>
        <w:tc>
          <w:tcPr>
            <w:tcW w:w="1144" w:type="dxa"/>
            <w:tcBorders>
              <w:top w:val="nil"/>
              <w:left w:val="nil"/>
              <w:bottom w:val="single" w:sz="4" w:space="0" w:color="000000"/>
              <w:right w:val="single" w:sz="4" w:space="0" w:color="000000"/>
            </w:tcBorders>
            <w:shd w:val="clear" w:color="auto" w:fill="auto"/>
            <w:noWrap/>
            <w:vAlign w:val="center"/>
          </w:tcPr>
          <w:p w14:paraId="7B7810C3" w14:textId="7007057D" w:rsidR="005A167A" w:rsidRPr="00F140CA" w:rsidRDefault="00F140CA" w:rsidP="00516970">
            <w:pPr>
              <w:spacing w:after="0"/>
              <w:jc w:val="center"/>
              <w:rPr>
                <w:rFonts w:asciiTheme="minorHAnsi" w:eastAsia="Times New Roman" w:hAnsiTheme="minorHAnsi" w:cstheme="minorHAnsi"/>
                <w:sz w:val="20"/>
                <w:szCs w:val="20"/>
              </w:rPr>
            </w:pPr>
            <w:r w:rsidRPr="00F140CA">
              <w:rPr>
                <w:rFonts w:asciiTheme="minorHAnsi" w:eastAsia="Times New Roman" w:hAnsiTheme="minorHAnsi" w:cstheme="minorHAnsi"/>
                <w:sz w:val="20"/>
                <w:szCs w:val="20"/>
              </w:rPr>
              <w:t>63.6%</w:t>
            </w:r>
          </w:p>
        </w:tc>
        <w:tc>
          <w:tcPr>
            <w:tcW w:w="1144" w:type="dxa"/>
            <w:tcBorders>
              <w:top w:val="nil"/>
              <w:left w:val="nil"/>
              <w:bottom w:val="single" w:sz="4" w:space="0" w:color="000000"/>
              <w:right w:val="single" w:sz="4" w:space="0" w:color="000000"/>
            </w:tcBorders>
          </w:tcPr>
          <w:p w14:paraId="431349DD" w14:textId="1B4B79E9" w:rsidR="005A167A" w:rsidRPr="00F140CA" w:rsidRDefault="00F140CA" w:rsidP="00516970">
            <w:pPr>
              <w:spacing w:after="0"/>
              <w:jc w:val="center"/>
              <w:rPr>
                <w:rFonts w:asciiTheme="minorHAnsi" w:eastAsia="Times New Roman" w:hAnsiTheme="minorHAnsi" w:cstheme="minorHAnsi"/>
                <w:sz w:val="20"/>
                <w:szCs w:val="20"/>
              </w:rPr>
            </w:pPr>
            <w:r w:rsidRPr="00F140CA">
              <w:rPr>
                <w:rFonts w:asciiTheme="minorHAnsi" w:eastAsia="Times New Roman" w:hAnsiTheme="minorHAnsi" w:cstheme="minorHAnsi"/>
                <w:sz w:val="20"/>
                <w:szCs w:val="20"/>
              </w:rPr>
              <w:t>74.3%</w:t>
            </w:r>
          </w:p>
        </w:tc>
      </w:tr>
      <w:tr w:rsidR="005A167A" w:rsidRPr="00F26259" w14:paraId="00766956" w14:textId="4C6DB1EE" w:rsidTr="005A167A">
        <w:trPr>
          <w:trHeight w:val="290"/>
        </w:trPr>
        <w:tc>
          <w:tcPr>
            <w:tcW w:w="1170" w:type="dxa"/>
            <w:tcBorders>
              <w:top w:val="nil"/>
              <w:left w:val="single" w:sz="4" w:space="0" w:color="000000"/>
              <w:bottom w:val="single" w:sz="4" w:space="0" w:color="000000"/>
              <w:right w:val="single" w:sz="4" w:space="0" w:color="000000"/>
            </w:tcBorders>
            <w:shd w:val="clear" w:color="auto" w:fill="auto"/>
            <w:noWrap/>
          </w:tcPr>
          <w:p w14:paraId="23316299" w14:textId="7EFE245D" w:rsidR="005A167A" w:rsidRDefault="005A167A" w:rsidP="005434ED">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WCC</w:t>
            </w:r>
          </w:p>
        </w:tc>
        <w:tc>
          <w:tcPr>
            <w:tcW w:w="6930" w:type="dxa"/>
            <w:tcBorders>
              <w:top w:val="nil"/>
              <w:left w:val="nil"/>
              <w:bottom w:val="single" w:sz="4" w:space="0" w:color="auto"/>
              <w:right w:val="single" w:sz="4" w:space="0" w:color="auto"/>
            </w:tcBorders>
            <w:shd w:val="clear" w:color="auto" w:fill="auto"/>
          </w:tcPr>
          <w:p w14:paraId="38A048D8" w14:textId="25895065" w:rsidR="005A167A" w:rsidRPr="006420AC" w:rsidRDefault="005A167A" w:rsidP="005434ED">
            <w:pPr>
              <w:rPr>
                <w:rFonts w:cs="Calibri"/>
                <w:color w:val="000000"/>
                <w:sz w:val="20"/>
                <w:szCs w:val="20"/>
              </w:rPr>
            </w:pPr>
            <w:r w:rsidRPr="006420AC">
              <w:rPr>
                <w:rFonts w:cs="Calibri"/>
                <w:color w:val="000000"/>
                <w:sz w:val="20"/>
                <w:szCs w:val="20"/>
              </w:rPr>
              <w:t>Weight Assessment and Counseling for Nutrition and Physical Activity for Children/Adolescents</w:t>
            </w:r>
            <w:r>
              <w:rPr>
                <w:rFonts w:cs="Calibri"/>
                <w:color w:val="000000"/>
                <w:sz w:val="20"/>
                <w:szCs w:val="20"/>
              </w:rPr>
              <w:t>- Counseling for Physical Activity (Total, ages 3-17)</w:t>
            </w:r>
          </w:p>
        </w:tc>
        <w:tc>
          <w:tcPr>
            <w:tcW w:w="1080" w:type="dxa"/>
            <w:tcBorders>
              <w:top w:val="single" w:sz="4" w:space="0" w:color="auto"/>
              <w:bottom w:val="single" w:sz="4" w:space="0" w:color="auto"/>
              <w:right w:val="single" w:sz="4" w:space="0" w:color="auto"/>
            </w:tcBorders>
            <w:vAlign w:val="center"/>
          </w:tcPr>
          <w:p w14:paraId="78176852" w14:textId="7182567C" w:rsidR="005A167A" w:rsidRPr="004A1A02" w:rsidRDefault="005A167A" w:rsidP="005434ED">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71.9%</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50A1A89" w14:textId="457AB007" w:rsidR="005A167A" w:rsidRPr="004A1A02" w:rsidRDefault="005A167A" w:rsidP="005434ED">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74.7%</w:t>
            </w:r>
          </w:p>
        </w:tc>
        <w:tc>
          <w:tcPr>
            <w:tcW w:w="117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FA8C047" w14:textId="3D5EF455" w:rsidR="005A167A" w:rsidRPr="004A1A02" w:rsidRDefault="005A167A" w:rsidP="005434ED">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71.3%</w:t>
            </w:r>
          </w:p>
        </w:tc>
        <w:tc>
          <w:tcPr>
            <w:tcW w:w="1350" w:type="dxa"/>
            <w:tcBorders>
              <w:top w:val="nil"/>
              <w:left w:val="single" w:sz="4" w:space="0" w:color="auto"/>
              <w:bottom w:val="single" w:sz="4" w:space="0" w:color="000000"/>
              <w:right w:val="single" w:sz="4" w:space="0" w:color="000000"/>
            </w:tcBorders>
            <w:shd w:val="clear" w:color="auto" w:fill="auto"/>
            <w:noWrap/>
          </w:tcPr>
          <w:p w14:paraId="67E53AB5" w14:textId="156F1681" w:rsidR="005A167A" w:rsidRPr="00F140CA" w:rsidRDefault="00F140CA" w:rsidP="00465D69">
            <w:pPr>
              <w:spacing w:after="0"/>
              <w:jc w:val="center"/>
              <w:rPr>
                <w:rFonts w:asciiTheme="minorHAnsi" w:eastAsia="Times New Roman" w:hAnsiTheme="minorHAnsi" w:cstheme="minorHAnsi"/>
                <w:sz w:val="20"/>
                <w:szCs w:val="20"/>
              </w:rPr>
            </w:pPr>
            <w:r w:rsidRPr="00F140CA">
              <w:rPr>
                <w:rFonts w:asciiTheme="minorHAnsi" w:eastAsia="Times New Roman" w:hAnsiTheme="minorHAnsi" w:cstheme="minorHAnsi"/>
                <w:sz w:val="20"/>
                <w:szCs w:val="20"/>
              </w:rPr>
              <w:t>35.5%</w:t>
            </w:r>
          </w:p>
        </w:tc>
        <w:tc>
          <w:tcPr>
            <w:tcW w:w="1144" w:type="dxa"/>
            <w:tcBorders>
              <w:top w:val="nil"/>
              <w:left w:val="nil"/>
              <w:bottom w:val="single" w:sz="4" w:space="0" w:color="000000"/>
              <w:right w:val="single" w:sz="4" w:space="0" w:color="000000"/>
            </w:tcBorders>
            <w:shd w:val="clear" w:color="auto" w:fill="auto"/>
            <w:noWrap/>
          </w:tcPr>
          <w:p w14:paraId="600A2691" w14:textId="2E5FCA1E" w:rsidR="005A167A" w:rsidRPr="00F140CA" w:rsidRDefault="00F140CA" w:rsidP="005434ED">
            <w:pPr>
              <w:spacing w:after="0"/>
              <w:jc w:val="center"/>
              <w:rPr>
                <w:rFonts w:asciiTheme="minorHAnsi" w:eastAsia="Times New Roman" w:hAnsiTheme="minorHAnsi" w:cstheme="minorHAnsi"/>
                <w:sz w:val="20"/>
                <w:szCs w:val="20"/>
              </w:rPr>
            </w:pPr>
            <w:r w:rsidRPr="00F140CA">
              <w:rPr>
                <w:rFonts w:asciiTheme="minorHAnsi" w:eastAsia="Times New Roman" w:hAnsiTheme="minorHAnsi" w:cstheme="minorHAnsi"/>
                <w:sz w:val="20"/>
                <w:szCs w:val="20"/>
              </w:rPr>
              <w:t>58.4%</w:t>
            </w:r>
          </w:p>
        </w:tc>
        <w:tc>
          <w:tcPr>
            <w:tcW w:w="1144" w:type="dxa"/>
            <w:tcBorders>
              <w:top w:val="nil"/>
              <w:left w:val="nil"/>
              <w:bottom w:val="single" w:sz="4" w:space="0" w:color="000000"/>
              <w:right w:val="single" w:sz="4" w:space="0" w:color="000000"/>
            </w:tcBorders>
          </w:tcPr>
          <w:p w14:paraId="274FC803" w14:textId="5E12E1D8" w:rsidR="005A167A" w:rsidRPr="00F140CA" w:rsidRDefault="00F140CA" w:rsidP="005434ED">
            <w:pPr>
              <w:spacing w:after="0"/>
              <w:jc w:val="center"/>
              <w:rPr>
                <w:rFonts w:asciiTheme="minorHAnsi" w:eastAsia="Times New Roman" w:hAnsiTheme="minorHAnsi" w:cstheme="minorHAnsi"/>
                <w:sz w:val="20"/>
                <w:szCs w:val="20"/>
              </w:rPr>
            </w:pPr>
            <w:r w:rsidRPr="00F140CA">
              <w:rPr>
                <w:rFonts w:asciiTheme="minorHAnsi" w:eastAsia="Times New Roman" w:hAnsiTheme="minorHAnsi" w:cstheme="minorHAnsi"/>
                <w:sz w:val="20"/>
                <w:szCs w:val="20"/>
              </w:rPr>
              <w:t>71.6%</w:t>
            </w:r>
          </w:p>
        </w:tc>
      </w:tr>
      <w:tr w:rsidR="005A167A" w:rsidRPr="00F26259" w14:paraId="3C812AC6" w14:textId="7BC0A0F5" w:rsidTr="005A167A">
        <w:trPr>
          <w:trHeight w:val="413"/>
        </w:trPr>
        <w:tc>
          <w:tcPr>
            <w:tcW w:w="1170" w:type="dxa"/>
            <w:tcBorders>
              <w:top w:val="nil"/>
              <w:left w:val="single" w:sz="4" w:space="0" w:color="000000"/>
              <w:bottom w:val="single" w:sz="4" w:space="0" w:color="000000"/>
              <w:right w:val="single" w:sz="4" w:space="0" w:color="000000"/>
            </w:tcBorders>
            <w:shd w:val="clear" w:color="auto" w:fill="auto"/>
            <w:noWrap/>
          </w:tcPr>
          <w:p w14:paraId="02334155" w14:textId="17DC5E72" w:rsidR="005A167A" w:rsidRPr="00F26259" w:rsidRDefault="005A167A" w:rsidP="00516970">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W30</w:t>
            </w:r>
          </w:p>
        </w:tc>
        <w:tc>
          <w:tcPr>
            <w:tcW w:w="6930" w:type="dxa"/>
            <w:tcBorders>
              <w:top w:val="nil"/>
              <w:left w:val="nil"/>
              <w:bottom w:val="single" w:sz="4" w:space="0" w:color="auto"/>
              <w:right w:val="single" w:sz="4" w:space="0" w:color="auto"/>
            </w:tcBorders>
            <w:shd w:val="clear" w:color="auto" w:fill="auto"/>
          </w:tcPr>
          <w:p w14:paraId="035E045E" w14:textId="1129DA82" w:rsidR="005A167A" w:rsidRPr="006420AC" w:rsidRDefault="005A167A" w:rsidP="00516970">
            <w:pPr>
              <w:rPr>
                <w:rFonts w:eastAsia="Times New Roman" w:cs="Calibri"/>
                <w:color w:val="000000"/>
                <w:sz w:val="20"/>
                <w:szCs w:val="20"/>
              </w:rPr>
            </w:pPr>
            <w:r w:rsidRPr="006420AC">
              <w:rPr>
                <w:rFonts w:cs="Calibri"/>
                <w:color w:val="000000"/>
                <w:sz w:val="20"/>
                <w:szCs w:val="20"/>
              </w:rPr>
              <w:t>Well-Child Visits in the First 30 Months of Life – First 15 months</w:t>
            </w:r>
          </w:p>
        </w:tc>
        <w:tc>
          <w:tcPr>
            <w:tcW w:w="1080" w:type="dxa"/>
            <w:tcBorders>
              <w:top w:val="nil"/>
              <w:left w:val="nil"/>
              <w:bottom w:val="single" w:sz="4" w:space="0" w:color="auto"/>
              <w:right w:val="single" w:sz="4" w:space="0" w:color="auto"/>
            </w:tcBorders>
            <w:vAlign w:val="center"/>
          </w:tcPr>
          <w:p w14:paraId="51E75A1D" w14:textId="74C7E0E4" w:rsidR="005A167A" w:rsidRPr="004A1A02" w:rsidRDefault="005A167A" w:rsidP="00516970">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75.9%</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8DA3D40" w14:textId="4EF9BCD7" w:rsidR="005A167A" w:rsidRPr="004A1A02"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73.6%</w:t>
            </w:r>
          </w:p>
        </w:tc>
        <w:tc>
          <w:tcPr>
            <w:tcW w:w="117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76CAC6F" w14:textId="2F4F683C" w:rsidR="005A167A" w:rsidRPr="004A1A02"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72.8%</w:t>
            </w:r>
          </w:p>
        </w:tc>
        <w:tc>
          <w:tcPr>
            <w:tcW w:w="1350" w:type="dxa"/>
            <w:tcBorders>
              <w:top w:val="nil"/>
              <w:left w:val="nil"/>
              <w:bottom w:val="single" w:sz="4" w:space="0" w:color="000000"/>
              <w:right w:val="single" w:sz="4" w:space="0" w:color="000000"/>
            </w:tcBorders>
            <w:shd w:val="clear" w:color="auto" w:fill="auto"/>
            <w:noWrap/>
            <w:vAlign w:val="center"/>
          </w:tcPr>
          <w:p w14:paraId="2D9EFA09" w14:textId="296D4BAB" w:rsidR="005A167A" w:rsidRPr="008608F4" w:rsidRDefault="008608F4" w:rsidP="00516970">
            <w:pPr>
              <w:spacing w:after="0"/>
              <w:jc w:val="center"/>
              <w:rPr>
                <w:rFonts w:asciiTheme="minorHAnsi" w:hAnsiTheme="minorHAnsi" w:cstheme="minorHAnsi"/>
                <w:sz w:val="20"/>
                <w:szCs w:val="20"/>
              </w:rPr>
            </w:pPr>
            <w:r w:rsidRPr="008608F4">
              <w:rPr>
                <w:rFonts w:asciiTheme="minorHAnsi" w:hAnsiTheme="minorHAnsi" w:cstheme="minorHAnsi"/>
                <w:sz w:val="20"/>
                <w:szCs w:val="20"/>
              </w:rPr>
              <w:t>51.3</w:t>
            </w:r>
            <w:r w:rsidR="005A167A" w:rsidRPr="008608F4">
              <w:rPr>
                <w:rFonts w:asciiTheme="minorHAnsi" w:hAnsiTheme="minorHAnsi" w:cstheme="minorHAnsi"/>
                <w:sz w:val="20"/>
                <w:szCs w:val="20"/>
              </w:rPr>
              <w:t>%</w:t>
            </w:r>
          </w:p>
        </w:tc>
        <w:tc>
          <w:tcPr>
            <w:tcW w:w="1144" w:type="dxa"/>
            <w:tcBorders>
              <w:top w:val="nil"/>
              <w:left w:val="nil"/>
              <w:bottom w:val="single" w:sz="4" w:space="0" w:color="000000"/>
              <w:right w:val="single" w:sz="4" w:space="0" w:color="000000"/>
            </w:tcBorders>
            <w:shd w:val="clear" w:color="auto" w:fill="auto"/>
            <w:noWrap/>
            <w:vAlign w:val="center"/>
          </w:tcPr>
          <w:p w14:paraId="46EAE5DD" w14:textId="5F644C0A" w:rsidR="005A167A" w:rsidRPr="008608F4" w:rsidRDefault="008608F4" w:rsidP="00516970">
            <w:pPr>
              <w:spacing w:after="0"/>
              <w:jc w:val="center"/>
              <w:rPr>
                <w:rFonts w:asciiTheme="minorHAnsi" w:hAnsiTheme="minorHAnsi" w:cstheme="minorHAnsi"/>
                <w:sz w:val="20"/>
                <w:szCs w:val="20"/>
              </w:rPr>
            </w:pPr>
            <w:r w:rsidRPr="008608F4">
              <w:rPr>
                <w:rFonts w:asciiTheme="minorHAnsi" w:hAnsiTheme="minorHAnsi" w:cstheme="minorHAnsi"/>
                <w:sz w:val="20"/>
                <w:szCs w:val="20"/>
              </w:rPr>
              <w:t>57.5</w:t>
            </w:r>
            <w:r w:rsidR="005A167A" w:rsidRPr="008608F4">
              <w:rPr>
                <w:rFonts w:asciiTheme="minorHAnsi" w:hAnsiTheme="minorHAnsi" w:cstheme="minorHAnsi"/>
                <w:sz w:val="20"/>
                <w:szCs w:val="20"/>
              </w:rPr>
              <w:t>%</w:t>
            </w:r>
          </w:p>
        </w:tc>
        <w:tc>
          <w:tcPr>
            <w:tcW w:w="1144" w:type="dxa"/>
            <w:tcBorders>
              <w:top w:val="nil"/>
              <w:left w:val="nil"/>
              <w:bottom w:val="single" w:sz="4" w:space="0" w:color="000000"/>
              <w:right w:val="single" w:sz="4" w:space="0" w:color="000000"/>
            </w:tcBorders>
          </w:tcPr>
          <w:p w14:paraId="27EBD7CF" w14:textId="73393380" w:rsidR="005A167A" w:rsidRPr="008608F4" w:rsidRDefault="008608F4" w:rsidP="008608F4">
            <w:pPr>
              <w:spacing w:after="0"/>
              <w:jc w:val="center"/>
              <w:rPr>
                <w:rFonts w:asciiTheme="minorHAnsi" w:hAnsiTheme="minorHAnsi" w:cstheme="minorHAnsi"/>
                <w:sz w:val="20"/>
                <w:szCs w:val="20"/>
              </w:rPr>
            </w:pPr>
            <w:r w:rsidRPr="008608F4">
              <w:rPr>
                <w:rFonts w:asciiTheme="minorHAnsi" w:hAnsiTheme="minorHAnsi" w:cstheme="minorHAnsi"/>
                <w:sz w:val="20"/>
                <w:szCs w:val="20"/>
              </w:rPr>
              <w:t>61.0%</w:t>
            </w:r>
          </w:p>
        </w:tc>
      </w:tr>
      <w:tr w:rsidR="005A167A" w:rsidRPr="00F26259" w14:paraId="66FBB25D" w14:textId="4341C326" w:rsidTr="005A167A">
        <w:trPr>
          <w:trHeight w:val="413"/>
        </w:trPr>
        <w:tc>
          <w:tcPr>
            <w:tcW w:w="1170" w:type="dxa"/>
            <w:tcBorders>
              <w:top w:val="nil"/>
              <w:left w:val="single" w:sz="4" w:space="0" w:color="000000"/>
              <w:bottom w:val="single" w:sz="4" w:space="0" w:color="000000"/>
              <w:right w:val="single" w:sz="4" w:space="0" w:color="000000"/>
            </w:tcBorders>
            <w:shd w:val="clear" w:color="auto" w:fill="auto"/>
            <w:noWrap/>
          </w:tcPr>
          <w:p w14:paraId="5FC2F4F5" w14:textId="0131CCA0" w:rsidR="005A167A" w:rsidRDefault="005A167A" w:rsidP="00516970">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lastRenderedPageBreak/>
              <w:t>W30</w:t>
            </w:r>
          </w:p>
        </w:tc>
        <w:tc>
          <w:tcPr>
            <w:tcW w:w="6930" w:type="dxa"/>
            <w:tcBorders>
              <w:top w:val="nil"/>
              <w:left w:val="nil"/>
              <w:bottom w:val="single" w:sz="4" w:space="0" w:color="auto"/>
              <w:right w:val="single" w:sz="4" w:space="0" w:color="auto"/>
            </w:tcBorders>
            <w:shd w:val="clear" w:color="auto" w:fill="auto"/>
          </w:tcPr>
          <w:p w14:paraId="553C5463" w14:textId="0E0A3A2C" w:rsidR="005A167A" w:rsidRPr="006420AC" w:rsidRDefault="005A167A" w:rsidP="00516970">
            <w:pPr>
              <w:rPr>
                <w:rFonts w:eastAsia="Times New Roman" w:cs="Calibri"/>
                <w:color w:val="000000"/>
                <w:sz w:val="20"/>
                <w:szCs w:val="20"/>
              </w:rPr>
            </w:pPr>
            <w:r w:rsidRPr="006420AC">
              <w:rPr>
                <w:rFonts w:cs="Calibri"/>
                <w:color w:val="000000"/>
                <w:sz w:val="20"/>
                <w:szCs w:val="20"/>
              </w:rPr>
              <w:t>Well-Child Visits in the First 30 Months of Life – 15 -30 months</w:t>
            </w:r>
          </w:p>
        </w:tc>
        <w:tc>
          <w:tcPr>
            <w:tcW w:w="1080" w:type="dxa"/>
            <w:tcBorders>
              <w:top w:val="nil"/>
              <w:left w:val="nil"/>
              <w:bottom w:val="single" w:sz="4" w:space="0" w:color="auto"/>
              <w:right w:val="single" w:sz="4" w:space="0" w:color="auto"/>
            </w:tcBorders>
            <w:vAlign w:val="center"/>
          </w:tcPr>
          <w:p w14:paraId="2E5DE2F8" w14:textId="330B7D78" w:rsidR="005A167A" w:rsidRPr="004A1A02" w:rsidRDefault="005A167A" w:rsidP="00516970">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84.4%</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67E3DB3" w14:textId="0E8F30E0" w:rsidR="005A167A" w:rsidRPr="004A1A02"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80.7%</w:t>
            </w:r>
          </w:p>
        </w:tc>
        <w:tc>
          <w:tcPr>
            <w:tcW w:w="117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411A670" w14:textId="31C97A01" w:rsidR="005A167A" w:rsidRPr="004A1A02"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79.3%</w:t>
            </w:r>
          </w:p>
        </w:tc>
        <w:tc>
          <w:tcPr>
            <w:tcW w:w="1350" w:type="dxa"/>
            <w:tcBorders>
              <w:top w:val="nil"/>
              <w:left w:val="nil"/>
              <w:bottom w:val="single" w:sz="4" w:space="0" w:color="000000"/>
              <w:right w:val="single" w:sz="4" w:space="0" w:color="000000"/>
            </w:tcBorders>
            <w:shd w:val="clear" w:color="auto" w:fill="auto"/>
            <w:noWrap/>
            <w:vAlign w:val="center"/>
          </w:tcPr>
          <w:p w14:paraId="1D408964" w14:textId="52AE3E98" w:rsidR="005A167A" w:rsidRPr="00965B52" w:rsidRDefault="00965B52" w:rsidP="00516970">
            <w:pPr>
              <w:spacing w:after="0"/>
              <w:jc w:val="center"/>
              <w:rPr>
                <w:rFonts w:asciiTheme="minorHAnsi" w:hAnsiTheme="minorHAnsi" w:cstheme="minorHAnsi"/>
                <w:sz w:val="20"/>
                <w:szCs w:val="20"/>
              </w:rPr>
            </w:pPr>
            <w:r w:rsidRPr="00965B52">
              <w:rPr>
                <w:rFonts w:asciiTheme="minorHAnsi" w:hAnsiTheme="minorHAnsi" w:cstheme="minorHAnsi"/>
                <w:sz w:val="20"/>
                <w:szCs w:val="20"/>
              </w:rPr>
              <w:t>60.4</w:t>
            </w:r>
            <w:r w:rsidR="005A167A" w:rsidRPr="00965B52">
              <w:rPr>
                <w:rFonts w:asciiTheme="minorHAnsi" w:hAnsiTheme="minorHAnsi" w:cstheme="minorHAnsi"/>
                <w:sz w:val="20"/>
                <w:szCs w:val="20"/>
              </w:rPr>
              <w:t>%</w:t>
            </w:r>
          </w:p>
        </w:tc>
        <w:tc>
          <w:tcPr>
            <w:tcW w:w="1144" w:type="dxa"/>
            <w:tcBorders>
              <w:top w:val="nil"/>
              <w:left w:val="nil"/>
              <w:bottom w:val="single" w:sz="4" w:space="0" w:color="000000"/>
              <w:right w:val="single" w:sz="4" w:space="0" w:color="000000"/>
            </w:tcBorders>
            <w:shd w:val="clear" w:color="auto" w:fill="auto"/>
            <w:noWrap/>
            <w:vAlign w:val="center"/>
          </w:tcPr>
          <w:p w14:paraId="4FE38896" w14:textId="5546E040" w:rsidR="005A167A" w:rsidRPr="00965B52" w:rsidRDefault="00965B52" w:rsidP="00516970">
            <w:pPr>
              <w:spacing w:after="0"/>
              <w:jc w:val="center"/>
              <w:rPr>
                <w:rFonts w:asciiTheme="minorHAnsi" w:hAnsiTheme="minorHAnsi" w:cstheme="minorHAnsi"/>
                <w:sz w:val="20"/>
                <w:szCs w:val="20"/>
              </w:rPr>
            </w:pPr>
            <w:r w:rsidRPr="00965B52">
              <w:rPr>
                <w:rFonts w:asciiTheme="minorHAnsi" w:hAnsiTheme="minorHAnsi" w:cstheme="minorHAnsi"/>
                <w:sz w:val="20"/>
                <w:szCs w:val="20"/>
              </w:rPr>
              <w:t>65.1</w:t>
            </w:r>
            <w:r w:rsidR="005A167A" w:rsidRPr="00965B52">
              <w:rPr>
                <w:rFonts w:asciiTheme="minorHAnsi" w:hAnsiTheme="minorHAnsi" w:cstheme="minorHAnsi"/>
                <w:sz w:val="20"/>
                <w:szCs w:val="20"/>
              </w:rPr>
              <w:t>%</w:t>
            </w:r>
          </w:p>
        </w:tc>
        <w:tc>
          <w:tcPr>
            <w:tcW w:w="1144" w:type="dxa"/>
            <w:tcBorders>
              <w:top w:val="nil"/>
              <w:left w:val="nil"/>
              <w:bottom w:val="single" w:sz="4" w:space="0" w:color="000000"/>
              <w:right w:val="single" w:sz="4" w:space="0" w:color="000000"/>
            </w:tcBorders>
          </w:tcPr>
          <w:p w14:paraId="4CE85F1F" w14:textId="2B80BE1C" w:rsidR="005A167A" w:rsidRPr="00965B52" w:rsidRDefault="00965B52" w:rsidP="00516970">
            <w:pPr>
              <w:spacing w:after="0"/>
              <w:jc w:val="center"/>
              <w:rPr>
                <w:rFonts w:asciiTheme="minorHAnsi" w:hAnsiTheme="minorHAnsi" w:cstheme="minorHAnsi"/>
                <w:sz w:val="20"/>
                <w:szCs w:val="20"/>
              </w:rPr>
            </w:pPr>
            <w:r w:rsidRPr="00965B52">
              <w:rPr>
                <w:rFonts w:asciiTheme="minorHAnsi" w:hAnsiTheme="minorHAnsi" w:cstheme="minorHAnsi"/>
                <w:sz w:val="20"/>
                <w:szCs w:val="20"/>
              </w:rPr>
              <w:t>71.6%</w:t>
            </w:r>
          </w:p>
        </w:tc>
      </w:tr>
      <w:tr w:rsidR="005A167A" w:rsidRPr="00F26259" w14:paraId="47560FD7" w14:textId="52C4574B" w:rsidTr="005A167A">
        <w:trPr>
          <w:trHeight w:val="476"/>
        </w:trPr>
        <w:tc>
          <w:tcPr>
            <w:tcW w:w="1170" w:type="dxa"/>
            <w:tcBorders>
              <w:top w:val="nil"/>
              <w:left w:val="single" w:sz="4" w:space="0" w:color="000000"/>
              <w:bottom w:val="single" w:sz="4" w:space="0" w:color="auto"/>
              <w:right w:val="single" w:sz="4" w:space="0" w:color="000000"/>
            </w:tcBorders>
            <w:shd w:val="clear" w:color="auto" w:fill="auto"/>
            <w:noWrap/>
          </w:tcPr>
          <w:p w14:paraId="4252BF74" w14:textId="126D743C" w:rsidR="005A167A" w:rsidRPr="00F26259" w:rsidRDefault="005A167A" w:rsidP="00516970">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WCV</w:t>
            </w:r>
          </w:p>
        </w:tc>
        <w:tc>
          <w:tcPr>
            <w:tcW w:w="6930" w:type="dxa"/>
            <w:tcBorders>
              <w:top w:val="nil"/>
              <w:left w:val="nil"/>
              <w:bottom w:val="single" w:sz="4" w:space="0" w:color="auto"/>
              <w:right w:val="single" w:sz="4" w:space="0" w:color="auto"/>
            </w:tcBorders>
            <w:shd w:val="clear" w:color="auto" w:fill="auto"/>
          </w:tcPr>
          <w:p w14:paraId="7B879097" w14:textId="6C6A1244" w:rsidR="005A167A" w:rsidRPr="006420AC" w:rsidRDefault="005A167A" w:rsidP="00516970">
            <w:pPr>
              <w:rPr>
                <w:rFonts w:eastAsia="Times New Roman" w:cs="Calibri"/>
                <w:color w:val="000000"/>
                <w:sz w:val="20"/>
                <w:szCs w:val="20"/>
              </w:rPr>
            </w:pPr>
            <w:r w:rsidRPr="006420AC">
              <w:rPr>
                <w:rFonts w:cs="Calibri"/>
                <w:color w:val="000000"/>
                <w:sz w:val="20"/>
                <w:szCs w:val="20"/>
              </w:rPr>
              <w:t>Child and Adolescent Well-Care Visits</w:t>
            </w:r>
            <w:r>
              <w:rPr>
                <w:rFonts w:cs="Calibri"/>
                <w:color w:val="000000"/>
                <w:sz w:val="20"/>
                <w:szCs w:val="20"/>
              </w:rPr>
              <w:t xml:space="preserve"> (Total, ages 3-21)</w:t>
            </w:r>
          </w:p>
        </w:tc>
        <w:tc>
          <w:tcPr>
            <w:tcW w:w="1080" w:type="dxa"/>
            <w:tcBorders>
              <w:top w:val="nil"/>
              <w:left w:val="nil"/>
              <w:bottom w:val="single" w:sz="4" w:space="0" w:color="auto"/>
              <w:right w:val="single" w:sz="4" w:space="0" w:color="auto"/>
            </w:tcBorders>
            <w:vAlign w:val="center"/>
          </w:tcPr>
          <w:p w14:paraId="261BB772" w14:textId="5AD93B22" w:rsidR="005A167A" w:rsidRPr="004A1A02" w:rsidRDefault="005A167A" w:rsidP="00516970">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63.1%</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AC2EDB0" w14:textId="60C3B08B" w:rsidR="005A167A" w:rsidRPr="004A1A02"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67.1%</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tcPr>
          <w:p w14:paraId="43254417" w14:textId="59AB854D" w:rsidR="005A167A" w:rsidRPr="004A1A02" w:rsidRDefault="005A167A" w:rsidP="00516970">
            <w:pPr>
              <w:spacing w:after="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65.6%</w:t>
            </w:r>
          </w:p>
        </w:tc>
        <w:tc>
          <w:tcPr>
            <w:tcW w:w="1350" w:type="dxa"/>
            <w:tcBorders>
              <w:top w:val="nil"/>
              <w:left w:val="nil"/>
              <w:bottom w:val="single" w:sz="4" w:space="0" w:color="auto"/>
              <w:right w:val="single" w:sz="4" w:space="0" w:color="000000"/>
            </w:tcBorders>
            <w:shd w:val="clear" w:color="auto" w:fill="auto"/>
            <w:noWrap/>
          </w:tcPr>
          <w:p w14:paraId="53CF638D" w14:textId="7F809A2E" w:rsidR="005A167A" w:rsidRPr="00042D55" w:rsidRDefault="00042D55" w:rsidP="00516970">
            <w:pPr>
              <w:spacing w:after="0"/>
              <w:jc w:val="center"/>
              <w:rPr>
                <w:rFonts w:asciiTheme="minorHAnsi" w:hAnsiTheme="minorHAnsi" w:cstheme="minorHAnsi"/>
                <w:sz w:val="20"/>
                <w:szCs w:val="20"/>
              </w:rPr>
            </w:pPr>
            <w:r w:rsidRPr="00042D55">
              <w:rPr>
                <w:rFonts w:asciiTheme="minorHAnsi" w:hAnsiTheme="minorHAnsi" w:cstheme="minorHAnsi"/>
                <w:sz w:val="20"/>
                <w:szCs w:val="20"/>
              </w:rPr>
              <w:t>42.6</w:t>
            </w:r>
            <w:r w:rsidR="005A167A" w:rsidRPr="00042D55">
              <w:rPr>
                <w:rFonts w:asciiTheme="minorHAnsi" w:hAnsiTheme="minorHAnsi" w:cstheme="minorHAnsi"/>
                <w:sz w:val="20"/>
                <w:szCs w:val="20"/>
              </w:rPr>
              <w:t>%</w:t>
            </w:r>
          </w:p>
        </w:tc>
        <w:tc>
          <w:tcPr>
            <w:tcW w:w="1144" w:type="dxa"/>
            <w:tcBorders>
              <w:top w:val="nil"/>
              <w:left w:val="nil"/>
              <w:bottom w:val="single" w:sz="4" w:space="0" w:color="auto"/>
              <w:right w:val="single" w:sz="4" w:space="0" w:color="000000"/>
            </w:tcBorders>
            <w:shd w:val="clear" w:color="auto" w:fill="auto"/>
            <w:noWrap/>
          </w:tcPr>
          <w:p w14:paraId="562AE9BE" w14:textId="1DF52991" w:rsidR="005A167A" w:rsidRPr="00042D55" w:rsidRDefault="00042D55" w:rsidP="00516970">
            <w:pPr>
              <w:spacing w:after="0"/>
              <w:jc w:val="center"/>
              <w:rPr>
                <w:rFonts w:asciiTheme="minorHAnsi" w:hAnsiTheme="minorHAnsi" w:cstheme="minorHAnsi"/>
                <w:sz w:val="20"/>
                <w:szCs w:val="20"/>
              </w:rPr>
            </w:pPr>
            <w:r w:rsidRPr="00042D55">
              <w:rPr>
                <w:rFonts w:asciiTheme="minorHAnsi" w:hAnsiTheme="minorHAnsi" w:cstheme="minorHAnsi"/>
                <w:sz w:val="20"/>
                <w:szCs w:val="20"/>
              </w:rPr>
              <w:t>47.6</w:t>
            </w:r>
            <w:r w:rsidR="005A167A" w:rsidRPr="00042D55">
              <w:rPr>
                <w:rFonts w:asciiTheme="minorHAnsi" w:hAnsiTheme="minorHAnsi" w:cstheme="minorHAnsi"/>
                <w:sz w:val="20"/>
                <w:szCs w:val="20"/>
              </w:rPr>
              <w:t>%</w:t>
            </w:r>
          </w:p>
        </w:tc>
        <w:tc>
          <w:tcPr>
            <w:tcW w:w="1144" w:type="dxa"/>
            <w:tcBorders>
              <w:top w:val="nil"/>
              <w:left w:val="nil"/>
              <w:bottom w:val="single" w:sz="4" w:space="0" w:color="auto"/>
              <w:right w:val="single" w:sz="4" w:space="0" w:color="000000"/>
            </w:tcBorders>
          </w:tcPr>
          <w:p w14:paraId="5155B010" w14:textId="0AB1453D" w:rsidR="005A167A" w:rsidRPr="00042D55" w:rsidRDefault="00042D55" w:rsidP="00516970">
            <w:pPr>
              <w:spacing w:after="0"/>
              <w:jc w:val="center"/>
              <w:rPr>
                <w:rFonts w:asciiTheme="minorHAnsi" w:hAnsiTheme="minorHAnsi" w:cstheme="minorHAnsi"/>
                <w:sz w:val="20"/>
                <w:szCs w:val="20"/>
              </w:rPr>
            </w:pPr>
            <w:r w:rsidRPr="00042D55">
              <w:rPr>
                <w:rFonts w:asciiTheme="minorHAnsi" w:hAnsiTheme="minorHAnsi" w:cstheme="minorHAnsi"/>
                <w:sz w:val="20"/>
                <w:szCs w:val="20"/>
              </w:rPr>
              <w:t>54.4%</w:t>
            </w:r>
          </w:p>
        </w:tc>
      </w:tr>
    </w:tbl>
    <w:p w14:paraId="05E39BA3" w14:textId="4A908BC4" w:rsidR="008164F7" w:rsidRPr="00723C99" w:rsidRDefault="008164F7" w:rsidP="00723C99">
      <w:pPr>
        <w:tabs>
          <w:tab w:val="left" w:pos="4156"/>
        </w:tabs>
        <w:sectPr w:rsidR="008164F7" w:rsidRPr="00723C99" w:rsidSect="00FD1091">
          <w:headerReference w:type="default" r:id="rId20"/>
          <w:footnotePr>
            <w:numStart w:val="8"/>
          </w:footnotePr>
          <w:pgSz w:w="20160" w:h="12240" w:orient="landscape" w:code="5"/>
          <w:pgMar w:top="1440" w:right="1440" w:bottom="1440" w:left="1440" w:header="720" w:footer="720" w:gutter="0"/>
          <w:cols w:space="720"/>
          <w:docGrid w:linePitch="360"/>
        </w:sectPr>
      </w:pPr>
    </w:p>
    <w:tbl>
      <w:tblPr>
        <w:tblStyle w:val="TableGrid"/>
        <w:tblpPr w:leftFromText="180" w:rightFromText="180" w:vertAnchor="text" w:horzAnchor="margin" w:tblpXSpec="center" w:tblpY="403"/>
        <w:tblW w:w="11044" w:type="dxa"/>
        <w:tblLook w:val="04A0" w:firstRow="1" w:lastRow="0" w:firstColumn="1" w:lastColumn="0" w:noHBand="0" w:noVBand="1"/>
      </w:tblPr>
      <w:tblGrid>
        <w:gridCol w:w="1553"/>
        <w:gridCol w:w="2251"/>
        <w:gridCol w:w="1307"/>
        <w:gridCol w:w="1400"/>
        <w:gridCol w:w="1509"/>
        <w:gridCol w:w="1512"/>
        <w:gridCol w:w="1512"/>
      </w:tblGrid>
      <w:tr w:rsidR="00DA7D84" w14:paraId="11FD0859" w14:textId="77777777" w:rsidTr="00BC2F64">
        <w:trPr>
          <w:trHeight w:val="955"/>
          <w:tblHeader/>
        </w:trPr>
        <w:tc>
          <w:tcPr>
            <w:tcW w:w="1553" w:type="dxa"/>
          </w:tcPr>
          <w:p w14:paraId="1384F4F5" w14:textId="77777777" w:rsidR="00DA7D84" w:rsidRPr="00BE0229" w:rsidRDefault="00DA7D84">
            <w:pPr>
              <w:rPr>
                <w:rFonts w:cs="Calibri"/>
                <w:b/>
                <w:bCs/>
              </w:rPr>
            </w:pPr>
            <w:r w:rsidRPr="00BE0229">
              <w:rPr>
                <w:rFonts w:cs="Calibri"/>
                <w:b/>
                <w:bCs/>
              </w:rPr>
              <w:lastRenderedPageBreak/>
              <w:t>Acronym</w:t>
            </w:r>
          </w:p>
        </w:tc>
        <w:tc>
          <w:tcPr>
            <w:tcW w:w="2251" w:type="dxa"/>
          </w:tcPr>
          <w:p w14:paraId="6EB60A48" w14:textId="77777777" w:rsidR="00DA7D84" w:rsidRDefault="00DA7D84">
            <w:pPr>
              <w:rPr>
                <w:rFonts w:cs="Calibri"/>
              </w:rPr>
            </w:pPr>
            <w:r>
              <w:rPr>
                <w:rFonts w:cs="Calibri"/>
                <w:b/>
                <w:bCs/>
              </w:rPr>
              <w:t xml:space="preserve">Measure </w:t>
            </w:r>
            <w:r w:rsidRPr="00EF50DC">
              <w:rPr>
                <w:rFonts w:cs="Calibri"/>
                <w:b/>
                <w:bCs/>
              </w:rPr>
              <w:t>Description</w:t>
            </w:r>
          </w:p>
        </w:tc>
        <w:tc>
          <w:tcPr>
            <w:tcW w:w="1307" w:type="dxa"/>
          </w:tcPr>
          <w:p w14:paraId="58B55D99" w14:textId="77777777" w:rsidR="00DA7D84" w:rsidRDefault="00DA7D84">
            <w:pPr>
              <w:rPr>
                <w:rFonts w:cs="Calibri"/>
              </w:rPr>
            </w:pPr>
            <w:r w:rsidRPr="00EF50DC">
              <w:rPr>
                <w:rFonts w:cs="Calibri"/>
                <w:b/>
                <w:bCs/>
              </w:rPr>
              <w:t>MY2020 Rates</w:t>
            </w:r>
          </w:p>
        </w:tc>
        <w:tc>
          <w:tcPr>
            <w:tcW w:w="1400" w:type="dxa"/>
          </w:tcPr>
          <w:p w14:paraId="40D490B9" w14:textId="77777777" w:rsidR="00DA7D84" w:rsidRDefault="00DA7D84">
            <w:pPr>
              <w:rPr>
                <w:rFonts w:cs="Calibri"/>
              </w:rPr>
            </w:pPr>
            <w:r w:rsidRPr="00EF50DC">
              <w:rPr>
                <w:rFonts w:cs="Calibri"/>
                <w:b/>
                <w:bCs/>
              </w:rPr>
              <w:t>MY2021 Rates</w:t>
            </w:r>
          </w:p>
        </w:tc>
        <w:tc>
          <w:tcPr>
            <w:tcW w:w="1509" w:type="dxa"/>
          </w:tcPr>
          <w:p w14:paraId="35C0D064" w14:textId="77777777" w:rsidR="00DA7D84" w:rsidRDefault="00DA7D84">
            <w:pPr>
              <w:rPr>
                <w:rFonts w:cs="Calibri"/>
              </w:rPr>
            </w:pPr>
            <w:r w:rsidRPr="00EF50DC">
              <w:rPr>
                <w:rFonts w:cs="Calibri"/>
                <w:b/>
                <w:bCs/>
              </w:rPr>
              <w:t>MY2022 Rates</w:t>
            </w:r>
          </w:p>
        </w:tc>
        <w:tc>
          <w:tcPr>
            <w:tcW w:w="1512" w:type="dxa"/>
          </w:tcPr>
          <w:p w14:paraId="4107553C" w14:textId="77777777" w:rsidR="00DA7D84" w:rsidRDefault="00DA7D84">
            <w:pPr>
              <w:rPr>
                <w:rFonts w:cs="Calibri"/>
              </w:rPr>
            </w:pPr>
            <w:r w:rsidRPr="00EF50DC">
              <w:rPr>
                <w:rFonts w:cs="Calibri"/>
                <w:b/>
                <w:bCs/>
              </w:rPr>
              <w:t>MY2022 National 75</w:t>
            </w:r>
            <w:r w:rsidRPr="00EF50DC">
              <w:rPr>
                <w:rFonts w:cs="Calibri"/>
                <w:b/>
                <w:bCs/>
                <w:vertAlign w:val="superscript"/>
              </w:rPr>
              <w:t>th</w:t>
            </w:r>
          </w:p>
        </w:tc>
        <w:tc>
          <w:tcPr>
            <w:tcW w:w="1512" w:type="dxa"/>
          </w:tcPr>
          <w:p w14:paraId="515DAE85" w14:textId="77777777" w:rsidR="00DA7D84" w:rsidRDefault="00DA7D84">
            <w:pPr>
              <w:rPr>
                <w:rFonts w:cs="Calibri"/>
              </w:rPr>
            </w:pPr>
            <w:r w:rsidRPr="00EF50DC">
              <w:rPr>
                <w:rFonts w:cs="Calibri"/>
                <w:b/>
                <w:bCs/>
              </w:rPr>
              <w:t>MY2022 National 90</w:t>
            </w:r>
            <w:r w:rsidRPr="00EF50DC">
              <w:rPr>
                <w:rFonts w:cs="Calibri"/>
                <w:b/>
                <w:bCs/>
                <w:vertAlign w:val="superscript"/>
              </w:rPr>
              <w:t>th</w:t>
            </w:r>
          </w:p>
        </w:tc>
      </w:tr>
      <w:tr w:rsidR="00DA7D84" w14:paraId="5D26C049" w14:textId="77777777">
        <w:trPr>
          <w:trHeight w:val="307"/>
        </w:trPr>
        <w:tc>
          <w:tcPr>
            <w:tcW w:w="1553" w:type="dxa"/>
          </w:tcPr>
          <w:p w14:paraId="3336049E" w14:textId="77777777" w:rsidR="00DA7D84" w:rsidRPr="00BC166B" w:rsidRDefault="00DA7D84">
            <w:pPr>
              <w:rPr>
                <w:rFonts w:cs="Calibri"/>
                <w:sz w:val="20"/>
                <w:szCs w:val="20"/>
              </w:rPr>
            </w:pPr>
            <w:r w:rsidRPr="00BC166B">
              <w:rPr>
                <w:rFonts w:cs="Calibri"/>
                <w:sz w:val="20"/>
                <w:szCs w:val="20"/>
              </w:rPr>
              <w:t>AAB</w:t>
            </w:r>
          </w:p>
        </w:tc>
        <w:tc>
          <w:tcPr>
            <w:tcW w:w="2251" w:type="dxa"/>
          </w:tcPr>
          <w:p w14:paraId="3A5BE369" w14:textId="77777777" w:rsidR="00DA7D84" w:rsidRPr="00BC166B" w:rsidRDefault="00DA7D84">
            <w:pPr>
              <w:rPr>
                <w:rFonts w:cs="Calibri"/>
                <w:sz w:val="20"/>
                <w:szCs w:val="20"/>
              </w:rPr>
            </w:pPr>
            <w:r w:rsidRPr="00BC166B">
              <w:rPr>
                <w:rFonts w:cs="Calibri"/>
                <w:sz w:val="20"/>
                <w:szCs w:val="20"/>
              </w:rPr>
              <w:t xml:space="preserve">Avoidance of Antibiotic Treatment for Acute Bronchitis/Bronchiolitis </w:t>
            </w:r>
          </w:p>
        </w:tc>
        <w:tc>
          <w:tcPr>
            <w:tcW w:w="1307" w:type="dxa"/>
            <w:vAlign w:val="center"/>
          </w:tcPr>
          <w:p w14:paraId="72300DF4" w14:textId="77777777" w:rsidR="00DA7D84" w:rsidRPr="00BC166B" w:rsidRDefault="00DA7D84">
            <w:pPr>
              <w:rPr>
                <w:rFonts w:cs="Calibri"/>
                <w:sz w:val="20"/>
                <w:szCs w:val="20"/>
              </w:rPr>
            </w:pPr>
            <w:r w:rsidRPr="00BC166B">
              <w:rPr>
                <w:rFonts w:cs="Calibri"/>
                <w:sz w:val="20"/>
                <w:szCs w:val="20"/>
              </w:rPr>
              <w:t>NR</w:t>
            </w:r>
          </w:p>
        </w:tc>
        <w:tc>
          <w:tcPr>
            <w:tcW w:w="1400" w:type="dxa"/>
            <w:vAlign w:val="center"/>
          </w:tcPr>
          <w:p w14:paraId="38944F8A" w14:textId="77777777" w:rsidR="00DA7D84" w:rsidRPr="00BC166B" w:rsidRDefault="00DA7D84">
            <w:pPr>
              <w:rPr>
                <w:rFonts w:cs="Calibri"/>
                <w:sz w:val="20"/>
                <w:szCs w:val="20"/>
              </w:rPr>
            </w:pPr>
            <w:r w:rsidRPr="00BC166B">
              <w:rPr>
                <w:rFonts w:cs="Calibri"/>
                <w:sz w:val="20"/>
                <w:szCs w:val="20"/>
              </w:rPr>
              <w:t>NR</w:t>
            </w:r>
          </w:p>
        </w:tc>
        <w:tc>
          <w:tcPr>
            <w:tcW w:w="1509" w:type="dxa"/>
            <w:vAlign w:val="center"/>
          </w:tcPr>
          <w:p w14:paraId="2CBC2B63" w14:textId="77777777" w:rsidR="00DA7D84" w:rsidRPr="00BC166B" w:rsidRDefault="00DA7D84">
            <w:pPr>
              <w:rPr>
                <w:rFonts w:cs="Calibri"/>
                <w:sz w:val="20"/>
                <w:szCs w:val="20"/>
              </w:rPr>
            </w:pPr>
            <w:r w:rsidRPr="00BC166B">
              <w:rPr>
                <w:rFonts w:cs="Calibri"/>
                <w:sz w:val="20"/>
                <w:szCs w:val="20"/>
              </w:rPr>
              <w:t>92.4%</w:t>
            </w:r>
          </w:p>
        </w:tc>
        <w:tc>
          <w:tcPr>
            <w:tcW w:w="1512" w:type="dxa"/>
            <w:vAlign w:val="center"/>
          </w:tcPr>
          <w:p w14:paraId="49D94F07" w14:textId="77777777" w:rsidR="00DA7D84" w:rsidRPr="00BC166B" w:rsidRDefault="00DA7D84">
            <w:pPr>
              <w:rPr>
                <w:rFonts w:cs="Calibri"/>
                <w:sz w:val="20"/>
                <w:szCs w:val="20"/>
              </w:rPr>
            </w:pPr>
            <w:r w:rsidRPr="00BC166B">
              <w:rPr>
                <w:rFonts w:cs="Calibri"/>
                <w:sz w:val="20"/>
                <w:szCs w:val="20"/>
              </w:rPr>
              <w:t>80.4%</w:t>
            </w:r>
          </w:p>
        </w:tc>
        <w:tc>
          <w:tcPr>
            <w:tcW w:w="1512" w:type="dxa"/>
            <w:vAlign w:val="center"/>
          </w:tcPr>
          <w:p w14:paraId="30B9A61F" w14:textId="77777777" w:rsidR="00DA7D84" w:rsidRPr="00BC166B" w:rsidRDefault="00DA7D84">
            <w:pPr>
              <w:rPr>
                <w:rFonts w:cs="Calibri"/>
                <w:sz w:val="20"/>
                <w:szCs w:val="20"/>
              </w:rPr>
            </w:pPr>
            <w:r w:rsidRPr="00BC166B">
              <w:rPr>
                <w:rFonts w:cs="Calibri"/>
                <w:sz w:val="20"/>
                <w:szCs w:val="20"/>
              </w:rPr>
              <w:t>86.8%</w:t>
            </w:r>
          </w:p>
        </w:tc>
      </w:tr>
      <w:tr w:rsidR="00DA7D84" w14:paraId="751D09B7" w14:textId="77777777">
        <w:trPr>
          <w:trHeight w:val="317"/>
        </w:trPr>
        <w:tc>
          <w:tcPr>
            <w:tcW w:w="1553" w:type="dxa"/>
          </w:tcPr>
          <w:p w14:paraId="32ABA63C" w14:textId="77777777" w:rsidR="00DA7D84" w:rsidRPr="00BC166B" w:rsidRDefault="00DA7D84">
            <w:pPr>
              <w:rPr>
                <w:rFonts w:cs="Calibri"/>
                <w:sz w:val="20"/>
                <w:szCs w:val="20"/>
              </w:rPr>
            </w:pPr>
            <w:r w:rsidRPr="00BC166B">
              <w:rPr>
                <w:rFonts w:cs="Calibri"/>
                <w:sz w:val="20"/>
                <w:szCs w:val="20"/>
              </w:rPr>
              <w:t>AMB-ED</w:t>
            </w:r>
          </w:p>
        </w:tc>
        <w:tc>
          <w:tcPr>
            <w:tcW w:w="2251" w:type="dxa"/>
          </w:tcPr>
          <w:p w14:paraId="7E150CFB" w14:textId="1986E1FC" w:rsidR="00DA7D84" w:rsidRPr="00BC166B" w:rsidRDefault="00DA7D84">
            <w:pPr>
              <w:rPr>
                <w:rFonts w:cs="Calibri"/>
                <w:sz w:val="20"/>
                <w:szCs w:val="20"/>
              </w:rPr>
            </w:pPr>
            <w:r w:rsidRPr="00BC166B">
              <w:rPr>
                <w:rFonts w:cs="Calibri"/>
                <w:sz w:val="20"/>
                <w:szCs w:val="20"/>
              </w:rPr>
              <w:t xml:space="preserve">Ambulatory Care </w:t>
            </w:r>
            <w:r w:rsidR="00144B08" w:rsidRPr="00BC166B">
              <w:rPr>
                <w:rFonts w:cs="Calibri"/>
                <w:sz w:val="20"/>
                <w:szCs w:val="20"/>
              </w:rPr>
              <w:t>- Emergency</w:t>
            </w:r>
            <w:r w:rsidRPr="00BC166B">
              <w:rPr>
                <w:rFonts w:cs="Calibri"/>
                <w:sz w:val="20"/>
                <w:szCs w:val="20"/>
              </w:rPr>
              <w:t xml:space="preserve"> Department Visits</w:t>
            </w:r>
            <w:proofErr w:type="gramStart"/>
            <w:r w:rsidRPr="00BC166B">
              <w:rPr>
                <w:rFonts w:cs="Calibri"/>
                <w:sz w:val="20"/>
                <w:szCs w:val="20"/>
              </w:rPr>
              <w:t>:  &lt;</w:t>
            </w:r>
            <w:proofErr w:type="gramEnd"/>
            <w:r w:rsidRPr="00BC166B">
              <w:rPr>
                <w:rFonts w:cs="Calibri"/>
                <w:sz w:val="20"/>
                <w:szCs w:val="20"/>
              </w:rPr>
              <w:t>1 year</w:t>
            </w:r>
          </w:p>
        </w:tc>
        <w:tc>
          <w:tcPr>
            <w:tcW w:w="1307" w:type="dxa"/>
            <w:vAlign w:val="center"/>
          </w:tcPr>
          <w:p w14:paraId="089FFA70" w14:textId="77777777" w:rsidR="00DA7D84" w:rsidRPr="00BC166B" w:rsidRDefault="00DA7D84">
            <w:pPr>
              <w:rPr>
                <w:rFonts w:cs="Calibri"/>
                <w:sz w:val="20"/>
                <w:szCs w:val="20"/>
              </w:rPr>
            </w:pPr>
            <w:r w:rsidRPr="00BC166B">
              <w:rPr>
                <w:rFonts w:cs="Calibri"/>
                <w:sz w:val="20"/>
                <w:szCs w:val="20"/>
              </w:rPr>
              <w:t>49.8/1000</w:t>
            </w:r>
          </w:p>
        </w:tc>
        <w:tc>
          <w:tcPr>
            <w:tcW w:w="1400" w:type="dxa"/>
            <w:vAlign w:val="center"/>
          </w:tcPr>
          <w:p w14:paraId="7C575AE6" w14:textId="77777777" w:rsidR="00DA7D84" w:rsidRPr="00BC166B" w:rsidRDefault="00DA7D84">
            <w:pPr>
              <w:rPr>
                <w:rFonts w:cs="Calibri"/>
                <w:sz w:val="20"/>
                <w:szCs w:val="20"/>
              </w:rPr>
            </w:pPr>
            <w:r w:rsidRPr="00BC166B">
              <w:rPr>
                <w:rFonts w:cs="Calibri"/>
                <w:sz w:val="20"/>
                <w:szCs w:val="20"/>
              </w:rPr>
              <w:t>66.3/1000</w:t>
            </w:r>
          </w:p>
        </w:tc>
        <w:tc>
          <w:tcPr>
            <w:tcW w:w="1509" w:type="dxa"/>
            <w:vAlign w:val="center"/>
          </w:tcPr>
          <w:p w14:paraId="3E471CF2" w14:textId="77777777" w:rsidR="00DA7D84" w:rsidRPr="00BC166B" w:rsidRDefault="00DA7D84">
            <w:pPr>
              <w:rPr>
                <w:rFonts w:cs="Calibri"/>
                <w:sz w:val="20"/>
                <w:szCs w:val="20"/>
              </w:rPr>
            </w:pPr>
            <w:r w:rsidRPr="00BC166B">
              <w:rPr>
                <w:rFonts w:cs="Calibri"/>
                <w:sz w:val="20"/>
                <w:szCs w:val="20"/>
              </w:rPr>
              <w:t>85.4/1000</w:t>
            </w:r>
          </w:p>
        </w:tc>
        <w:tc>
          <w:tcPr>
            <w:tcW w:w="1512" w:type="dxa"/>
            <w:vAlign w:val="center"/>
          </w:tcPr>
          <w:p w14:paraId="492E3F43" w14:textId="77777777" w:rsidR="00DA7D84" w:rsidRPr="00BC166B" w:rsidRDefault="00DA7D84">
            <w:pPr>
              <w:rPr>
                <w:rFonts w:cs="Calibri"/>
                <w:sz w:val="20"/>
                <w:szCs w:val="20"/>
              </w:rPr>
            </w:pPr>
            <w:r w:rsidRPr="00BC166B">
              <w:rPr>
                <w:rFonts w:cs="Calibri"/>
                <w:sz w:val="20"/>
                <w:szCs w:val="20"/>
              </w:rPr>
              <w:t>NA</w:t>
            </w:r>
          </w:p>
        </w:tc>
        <w:tc>
          <w:tcPr>
            <w:tcW w:w="1512" w:type="dxa"/>
            <w:vAlign w:val="center"/>
          </w:tcPr>
          <w:p w14:paraId="0E3DD4E5" w14:textId="77777777" w:rsidR="00DA7D84" w:rsidRPr="00BC166B" w:rsidRDefault="00DA7D84">
            <w:pPr>
              <w:rPr>
                <w:rFonts w:cs="Calibri"/>
                <w:sz w:val="20"/>
                <w:szCs w:val="20"/>
              </w:rPr>
            </w:pPr>
            <w:r w:rsidRPr="00BC166B">
              <w:rPr>
                <w:rFonts w:cs="Calibri"/>
                <w:sz w:val="20"/>
                <w:szCs w:val="20"/>
              </w:rPr>
              <w:t>NA</w:t>
            </w:r>
          </w:p>
        </w:tc>
      </w:tr>
      <w:tr w:rsidR="00DA7D84" w14:paraId="6A8B540B" w14:textId="77777777">
        <w:trPr>
          <w:trHeight w:val="317"/>
        </w:trPr>
        <w:tc>
          <w:tcPr>
            <w:tcW w:w="1553" w:type="dxa"/>
          </w:tcPr>
          <w:p w14:paraId="760A97FB" w14:textId="77777777" w:rsidR="00DA7D84" w:rsidRPr="00BC166B" w:rsidRDefault="00DA7D84">
            <w:pPr>
              <w:rPr>
                <w:rFonts w:cs="Calibri"/>
                <w:sz w:val="20"/>
                <w:szCs w:val="20"/>
              </w:rPr>
            </w:pPr>
            <w:r w:rsidRPr="00BC166B">
              <w:rPr>
                <w:rFonts w:cs="Calibri"/>
                <w:sz w:val="20"/>
                <w:szCs w:val="20"/>
              </w:rPr>
              <w:t>AMB-ED</w:t>
            </w:r>
          </w:p>
        </w:tc>
        <w:tc>
          <w:tcPr>
            <w:tcW w:w="2251" w:type="dxa"/>
          </w:tcPr>
          <w:p w14:paraId="0F75649C" w14:textId="77777777" w:rsidR="00DA7D84" w:rsidRPr="00BC166B" w:rsidRDefault="00DA7D84">
            <w:pPr>
              <w:rPr>
                <w:rFonts w:cs="Calibri"/>
                <w:sz w:val="20"/>
                <w:szCs w:val="20"/>
              </w:rPr>
            </w:pPr>
            <w:r w:rsidRPr="00BC166B">
              <w:rPr>
                <w:rFonts w:cs="Calibri"/>
                <w:sz w:val="20"/>
                <w:szCs w:val="20"/>
              </w:rPr>
              <w:t>Ambulatory Care - Emergency Department Visits: 1-9 years</w:t>
            </w:r>
          </w:p>
        </w:tc>
        <w:tc>
          <w:tcPr>
            <w:tcW w:w="1307" w:type="dxa"/>
            <w:vAlign w:val="center"/>
          </w:tcPr>
          <w:p w14:paraId="25A161DB" w14:textId="77777777" w:rsidR="00DA7D84" w:rsidRPr="00BC166B" w:rsidRDefault="00DA7D84">
            <w:pPr>
              <w:rPr>
                <w:rFonts w:cs="Calibri"/>
                <w:sz w:val="20"/>
                <w:szCs w:val="20"/>
              </w:rPr>
            </w:pPr>
            <w:r w:rsidRPr="00BC166B">
              <w:rPr>
                <w:rFonts w:cs="Calibri"/>
                <w:sz w:val="20"/>
                <w:szCs w:val="20"/>
              </w:rPr>
              <w:t>23.4/1000</w:t>
            </w:r>
          </w:p>
        </w:tc>
        <w:tc>
          <w:tcPr>
            <w:tcW w:w="1400" w:type="dxa"/>
            <w:vAlign w:val="center"/>
          </w:tcPr>
          <w:p w14:paraId="3B33D657" w14:textId="77777777" w:rsidR="00DA7D84" w:rsidRPr="00BC166B" w:rsidRDefault="00DA7D84">
            <w:pPr>
              <w:rPr>
                <w:rFonts w:cs="Calibri"/>
                <w:sz w:val="20"/>
                <w:szCs w:val="20"/>
              </w:rPr>
            </w:pPr>
            <w:r w:rsidRPr="00BC166B">
              <w:rPr>
                <w:rFonts w:cs="Calibri"/>
                <w:sz w:val="20"/>
                <w:szCs w:val="20"/>
              </w:rPr>
              <w:t>30.8/1000</w:t>
            </w:r>
          </w:p>
        </w:tc>
        <w:tc>
          <w:tcPr>
            <w:tcW w:w="1509" w:type="dxa"/>
            <w:vAlign w:val="center"/>
          </w:tcPr>
          <w:p w14:paraId="4EB2A1E5" w14:textId="77777777" w:rsidR="00DA7D84" w:rsidRPr="00BC166B" w:rsidRDefault="00DA7D84">
            <w:pPr>
              <w:rPr>
                <w:rFonts w:cs="Calibri"/>
                <w:sz w:val="20"/>
                <w:szCs w:val="20"/>
              </w:rPr>
            </w:pPr>
            <w:r w:rsidRPr="00BC166B">
              <w:rPr>
                <w:rFonts w:cs="Calibri"/>
                <w:sz w:val="20"/>
                <w:szCs w:val="20"/>
              </w:rPr>
              <w:t>40.3/1000</w:t>
            </w:r>
          </w:p>
        </w:tc>
        <w:tc>
          <w:tcPr>
            <w:tcW w:w="1512" w:type="dxa"/>
          </w:tcPr>
          <w:p w14:paraId="35F9A350" w14:textId="77777777" w:rsidR="00DA7D84" w:rsidRPr="00BC166B" w:rsidRDefault="00DA7D84">
            <w:pPr>
              <w:rPr>
                <w:rFonts w:cs="Calibri"/>
                <w:sz w:val="20"/>
                <w:szCs w:val="20"/>
              </w:rPr>
            </w:pPr>
            <w:r w:rsidRPr="00BC166B">
              <w:rPr>
                <w:rFonts w:cs="Calibri"/>
                <w:sz w:val="20"/>
                <w:szCs w:val="20"/>
              </w:rPr>
              <w:t>NA</w:t>
            </w:r>
          </w:p>
        </w:tc>
        <w:tc>
          <w:tcPr>
            <w:tcW w:w="1512" w:type="dxa"/>
          </w:tcPr>
          <w:p w14:paraId="44FAF4BA" w14:textId="77777777" w:rsidR="00DA7D84" w:rsidRPr="00BC166B" w:rsidRDefault="00DA7D84">
            <w:pPr>
              <w:rPr>
                <w:rFonts w:cs="Calibri"/>
                <w:sz w:val="20"/>
                <w:szCs w:val="20"/>
              </w:rPr>
            </w:pPr>
            <w:r w:rsidRPr="00BC166B">
              <w:rPr>
                <w:rFonts w:cs="Calibri"/>
                <w:sz w:val="20"/>
                <w:szCs w:val="20"/>
              </w:rPr>
              <w:t>NA</w:t>
            </w:r>
          </w:p>
        </w:tc>
      </w:tr>
      <w:tr w:rsidR="00DA7D84" w14:paraId="51A5E6BB" w14:textId="77777777">
        <w:trPr>
          <w:trHeight w:val="317"/>
        </w:trPr>
        <w:tc>
          <w:tcPr>
            <w:tcW w:w="1553" w:type="dxa"/>
          </w:tcPr>
          <w:p w14:paraId="7E2406FB" w14:textId="77777777" w:rsidR="00DA7D84" w:rsidRPr="00BC166B" w:rsidRDefault="00DA7D84">
            <w:pPr>
              <w:rPr>
                <w:rFonts w:cs="Calibri"/>
                <w:sz w:val="20"/>
                <w:szCs w:val="20"/>
              </w:rPr>
            </w:pPr>
            <w:r w:rsidRPr="00BC166B">
              <w:rPr>
                <w:rFonts w:cs="Calibri"/>
                <w:sz w:val="20"/>
                <w:szCs w:val="20"/>
              </w:rPr>
              <w:t>AMB-ED</w:t>
            </w:r>
          </w:p>
        </w:tc>
        <w:tc>
          <w:tcPr>
            <w:tcW w:w="2251" w:type="dxa"/>
          </w:tcPr>
          <w:p w14:paraId="472CB4FB" w14:textId="77777777" w:rsidR="00DA7D84" w:rsidRPr="00BC166B" w:rsidRDefault="00DA7D84">
            <w:pPr>
              <w:rPr>
                <w:rFonts w:cs="Calibri"/>
                <w:sz w:val="20"/>
                <w:szCs w:val="20"/>
              </w:rPr>
            </w:pPr>
            <w:r w:rsidRPr="00BC166B">
              <w:rPr>
                <w:rFonts w:cs="Calibri"/>
                <w:sz w:val="20"/>
                <w:szCs w:val="20"/>
              </w:rPr>
              <w:t>Ambulatory Care: Emergency Department Visits: 10-19 years</w:t>
            </w:r>
          </w:p>
        </w:tc>
        <w:tc>
          <w:tcPr>
            <w:tcW w:w="1307" w:type="dxa"/>
            <w:vAlign w:val="center"/>
          </w:tcPr>
          <w:p w14:paraId="1927ED4F" w14:textId="77777777" w:rsidR="00DA7D84" w:rsidRPr="00BC166B" w:rsidRDefault="00DA7D84">
            <w:pPr>
              <w:rPr>
                <w:rFonts w:cs="Calibri"/>
                <w:sz w:val="20"/>
                <w:szCs w:val="20"/>
              </w:rPr>
            </w:pPr>
            <w:r w:rsidRPr="00BC166B">
              <w:rPr>
                <w:rFonts w:cs="Calibri"/>
                <w:sz w:val="20"/>
                <w:szCs w:val="20"/>
              </w:rPr>
              <w:t>20.7/1000</w:t>
            </w:r>
          </w:p>
        </w:tc>
        <w:tc>
          <w:tcPr>
            <w:tcW w:w="1400" w:type="dxa"/>
            <w:vAlign w:val="center"/>
          </w:tcPr>
          <w:p w14:paraId="2BC7A74C" w14:textId="77777777" w:rsidR="00DA7D84" w:rsidRPr="00BC166B" w:rsidRDefault="00DA7D84">
            <w:pPr>
              <w:rPr>
                <w:rFonts w:cs="Calibri"/>
                <w:sz w:val="20"/>
                <w:szCs w:val="20"/>
              </w:rPr>
            </w:pPr>
            <w:r w:rsidRPr="00BC166B">
              <w:rPr>
                <w:rFonts w:cs="Calibri"/>
                <w:sz w:val="20"/>
                <w:szCs w:val="20"/>
              </w:rPr>
              <w:t>24.6/1000</w:t>
            </w:r>
          </w:p>
        </w:tc>
        <w:tc>
          <w:tcPr>
            <w:tcW w:w="1509" w:type="dxa"/>
            <w:vAlign w:val="center"/>
          </w:tcPr>
          <w:p w14:paraId="2569DFE9" w14:textId="77777777" w:rsidR="00DA7D84" w:rsidRPr="00BC166B" w:rsidRDefault="00DA7D84">
            <w:pPr>
              <w:rPr>
                <w:rFonts w:cs="Calibri"/>
                <w:sz w:val="20"/>
                <w:szCs w:val="20"/>
              </w:rPr>
            </w:pPr>
            <w:r w:rsidRPr="00BC166B">
              <w:rPr>
                <w:rFonts w:cs="Calibri"/>
                <w:sz w:val="20"/>
                <w:szCs w:val="20"/>
              </w:rPr>
              <w:t>27.1/1000</w:t>
            </w:r>
          </w:p>
        </w:tc>
        <w:tc>
          <w:tcPr>
            <w:tcW w:w="1512" w:type="dxa"/>
          </w:tcPr>
          <w:p w14:paraId="69BFA431" w14:textId="77777777" w:rsidR="00DA7D84" w:rsidRPr="00BC166B" w:rsidRDefault="00DA7D84">
            <w:pPr>
              <w:rPr>
                <w:rFonts w:cs="Calibri"/>
                <w:sz w:val="20"/>
                <w:szCs w:val="20"/>
              </w:rPr>
            </w:pPr>
            <w:r w:rsidRPr="00BC166B">
              <w:rPr>
                <w:rFonts w:cs="Calibri"/>
                <w:sz w:val="20"/>
                <w:szCs w:val="20"/>
              </w:rPr>
              <w:t>NA</w:t>
            </w:r>
          </w:p>
        </w:tc>
        <w:tc>
          <w:tcPr>
            <w:tcW w:w="1512" w:type="dxa"/>
          </w:tcPr>
          <w:p w14:paraId="780ACEA1" w14:textId="77777777" w:rsidR="00DA7D84" w:rsidRPr="00BC166B" w:rsidRDefault="00DA7D84">
            <w:pPr>
              <w:rPr>
                <w:rFonts w:cs="Calibri"/>
                <w:sz w:val="20"/>
                <w:szCs w:val="20"/>
              </w:rPr>
            </w:pPr>
            <w:r w:rsidRPr="00BC166B">
              <w:rPr>
                <w:rFonts w:cs="Calibri"/>
                <w:sz w:val="20"/>
                <w:szCs w:val="20"/>
              </w:rPr>
              <w:t>NA</w:t>
            </w:r>
          </w:p>
        </w:tc>
      </w:tr>
      <w:tr w:rsidR="00DA7D84" w14:paraId="52ED68A6" w14:textId="77777777">
        <w:trPr>
          <w:trHeight w:val="317"/>
        </w:trPr>
        <w:tc>
          <w:tcPr>
            <w:tcW w:w="1553" w:type="dxa"/>
          </w:tcPr>
          <w:p w14:paraId="649171AB" w14:textId="77777777" w:rsidR="00DA7D84" w:rsidRPr="00BC166B" w:rsidRDefault="00DA7D84">
            <w:pPr>
              <w:rPr>
                <w:rFonts w:cs="Calibri"/>
                <w:sz w:val="20"/>
                <w:szCs w:val="20"/>
              </w:rPr>
            </w:pPr>
            <w:r w:rsidRPr="00BC166B">
              <w:rPr>
                <w:rFonts w:cs="Calibri"/>
                <w:sz w:val="20"/>
                <w:szCs w:val="20"/>
              </w:rPr>
              <w:t>CCP</w:t>
            </w:r>
          </w:p>
        </w:tc>
        <w:tc>
          <w:tcPr>
            <w:tcW w:w="2251" w:type="dxa"/>
          </w:tcPr>
          <w:p w14:paraId="3AC28FE1" w14:textId="77777777" w:rsidR="00DA7D84" w:rsidRPr="00BC166B" w:rsidRDefault="00DA7D84">
            <w:pPr>
              <w:rPr>
                <w:rFonts w:cs="Calibri"/>
                <w:sz w:val="20"/>
                <w:szCs w:val="20"/>
              </w:rPr>
            </w:pPr>
            <w:r w:rsidRPr="00BC166B">
              <w:rPr>
                <w:rFonts w:cs="Calibri"/>
                <w:sz w:val="20"/>
                <w:szCs w:val="20"/>
              </w:rPr>
              <w:t>Contraceptive Care Postpartum Women Ages 15 to 20: Most/Moderate - 90 days</w:t>
            </w:r>
          </w:p>
        </w:tc>
        <w:tc>
          <w:tcPr>
            <w:tcW w:w="1307" w:type="dxa"/>
            <w:vAlign w:val="center"/>
          </w:tcPr>
          <w:p w14:paraId="55166DA6" w14:textId="77777777" w:rsidR="00DA7D84" w:rsidRPr="00BC166B" w:rsidRDefault="00DA7D84">
            <w:pPr>
              <w:rPr>
                <w:rFonts w:cs="Calibri"/>
                <w:sz w:val="20"/>
                <w:szCs w:val="20"/>
              </w:rPr>
            </w:pPr>
            <w:r w:rsidRPr="00BC166B">
              <w:rPr>
                <w:rFonts w:cs="Calibri"/>
                <w:sz w:val="20"/>
                <w:szCs w:val="20"/>
              </w:rPr>
              <w:t>NR</w:t>
            </w:r>
          </w:p>
        </w:tc>
        <w:tc>
          <w:tcPr>
            <w:tcW w:w="1400" w:type="dxa"/>
            <w:vAlign w:val="center"/>
          </w:tcPr>
          <w:p w14:paraId="58795B03" w14:textId="77777777" w:rsidR="00DA7D84" w:rsidRPr="00BC166B" w:rsidRDefault="00DA7D84">
            <w:pPr>
              <w:rPr>
                <w:rFonts w:cs="Calibri"/>
                <w:sz w:val="20"/>
                <w:szCs w:val="20"/>
              </w:rPr>
            </w:pPr>
            <w:r w:rsidRPr="00BC166B">
              <w:rPr>
                <w:rFonts w:cs="Calibri"/>
                <w:sz w:val="20"/>
                <w:szCs w:val="20"/>
              </w:rPr>
              <w:t>NR</w:t>
            </w:r>
          </w:p>
        </w:tc>
        <w:tc>
          <w:tcPr>
            <w:tcW w:w="1509" w:type="dxa"/>
            <w:vAlign w:val="center"/>
          </w:tcPr>
          <w:p w14:paraId="42A55689" w14:textId="77777777" w:rsidR="00DA7D84" w:rsidRPr="00BC166B" w:rsidRDefault="00DA7D84">
            <w:pPr>
              <w:rPr>
                <w:rFonts w:cs="Calibri"/>
                <w:sz w:val="20"/>
                <w:szCs w:val="20"/>
              </w:rPr>
            </w:pPr>
            <w:r w:rsidRPr="00BC166B">
              <w:rPr>
                <w:rFonts w:cs="Calibri"/>
                <w:sz w:val="20"/>
                <w:szCs w:val="20"/>
              </w:rPr>
              <w:t>56.2%</w:t>
            </w:r>
          </w:p>
        </w:tc>
        <w:tc>
          <w:tcPr>
            <w:tcW w:w="1512" w:type="dxa"/>
          </w:tcPr>
          <w:p w14:paraId="5BF59471" w14:textId="77777777" w:rsidR="00DA7D84" w:rsidRPr="00BC166B" w:rsidRDefault="00DA7D84">
            <w:pPr>
              <w:rPr>
                <w:rFonts w:cs="Calibri"/>
                <w:sz w:val="20"/>
                <w:szCs w:val="20"/>
              </w:rPr>
            </w:pPr>
            <w:r w:rsidRPr="00BC166B">
              <w:rPr>
                <w:rFonts w:cs="Calibri"/>
                <w:sz w:val="20"/>
                <w:szCs w:val="20"/>
              </w:rPr>
              <w:t>NA</w:t>
            </w:r>
          </w:p>
        </w:tc>
        <w:tc>
          <w:tcPr>
            <w:tcW w:w="1512" w:type="dxa"/>
          </w:tcPr>
          <w:p w14:paraId="774CA89C" w14:textId="77777777" w:rsidR="00DA7D84" w:rsidRPr="00BC166B" w:rsidRDefault="00DA7D84">
            <w:pPr>
              <w:rPr>
                <w:rFonts w:cs="Calibri"/>
                <w:sz w:val="20"/>
                <w:szCs w:val="20"/>
              </w:rPr>
            </w:pPr>
            <w:r w:rsidRPr="00BC166B">
              <w:rPr>
                <w:rFonts w:cs="Calibri"/>
                <w:sz w:val="20"/>
                <w:szCs w:val="20"/>
              </w:rPr>
              <w:t>NA</w:t>
            </w:r>
          </w:p>
        </w:tc>
      </w:tr>
      <w:tr w:rsidR="00DA7D84" w14:paraId="436C8DB8" w14:textId="77777777">
        <w:trPr>
          <w:trHeight w:val="317"/>
        </w:trPr>
        <w:tc>
          <w:tcPr>
            <w:tcW w:w="1553" w:type="dxa"/>
          </w:tcPr>
          <w:p w14:paraId="78D48B6F" w14:textId="77777777" w:rsidR="00DA7D84" w:rsidRPr="00BC166B" w:rsidRDefault="00DA7D84">
            <w:pPr>
              <w:rPr>
                <w:rFonts w:cs="Calibri"/>
                <w:sz w:val="20"/>
                <w:szCs w:val="20"/>
              </w:rPr>
            </w:pPr>
            <w:r w:rsidRPr="00BC166B">
              <w:rPr>
                <w:rFonts w:cs="Calibri"/>
                <w:sz w:val="20"/>
                <w:szCs w:val="20"/>
              </w:rPr>
              <w:t>CCP</w:t>
            </w:r>
          </w:p>
        </w:tc>
        <w:tc>
          <w:tcPr>
            <w:tcW w:w="2251" w:type="dxa"/>
          </w:tcPr>
          <w:p w14:paraId="0CF60715" w14:textId="77777777" w:rsidR="00DA7D84" w:rsidRPr="00BC166B" w:rsidRDefault="00DA7D84">
            <w:pPr>
              <w:rPr>
                <w:rFonts w:cs="Calibri"/>
                <w:sz w:val="20"/>
                <w:szCs w:val="20"/>
              </w:rPr>
            </w:pPr>
            <w:r w:rsidRPr="00BC166B">
              <w:rPr>
                <w:rFonts w:cs="Calibri"/>
                <w:sz w:val="20"/>
                <w:szCs w:val="20"/>
              </w:rPr>
              <w:t>Contraceptive Care Postpartum Women Ages 15 to 20: LARC - 90 days</w:t>
            </w:r>
          </w:p>
        </w:tc>
        <w:tc>
          <w:tcPr>
            <w:tcW w:w="1307" w:type="dxa"/>
            <w:vAlign w:val="center"/>
          </w:tcPr>
          <w:p w14:paraId="557A5784" w14:textId="77777777" w:rsidR="00DA7D84" w:rsidRPr="00BC166B" w:rsidRDefault="00DA7D84">
            <w:pPr>
              <w:rPr>
                <w:rFonts w:cs="Calibri"/>
                <w:sz w:val="20"/>
                <w:szCs w:val="20"/>
              </w:rPr>
            </w:pPr>
            <w:r w:rsidRPr="00BC166B">
              <w:rPr>
                <w:rFonts w:cs="Calibri"/>
                <w:sz w:val="20"/>
                <w:szCs w:val="20"/>
              </w:rPr>
              <w:t>NR</w:t>
            </w:r>
          </w:p>
        </w:tc>
        <w:tc>
          <w:tcPr>
            <w:tcW w:w="1400" w:type="dxa"/>
            <w:vAlign w:val="center"/>
          </w:tcPr>
          <w:p w14:paraId="517C4735" w14:textId="77777777" w:rsidR="00DA7D84" w:rsidRPr="00BC166B" w:rsidRDefault="00DA7D84">
            <w:pPr>
              <w:rPr>
                <w:rFonts w:cs="Calibri"/>
                <w:sz w:val="20"/>
                <w:szCs w:val="20"/>
              </w:rPr>
            </w:pPr>
            <w:r w:rsidRPr="00BC166B">
              <w:rPr>
                <w:rFonts w:cs="Calibri"/>
                <w:sz w:val="20"/>
                <w:szCs w:val="20"/>
              </w:rPr>
              <w:t>NR</w:t>
            </w:r>
          </w:p>
        </w:tc>
        <w:tc>
          <w:tcPr>
            <w:tcW w:w="1509" w:type="dxa"/>
            <w:vAlign w:val="center"/>
          </w:tcPr>
          <w:p w14:paraId="27C49772" w14:textId="77777777" w:rsidR="00DA7D84" w:rsidRPr="00BC166B" w:rsidRDefault="00DA7D84">
            <w:pPr>
              <w:rPr>
                <w:rFonts w:cs="Calibri"/>
                <w:sz w:val="20"/>
                <w:szCs w:val="20"/>
              </w:rPr>
            </w:pPr>
            <w:r w:rsidRPr="00BC166B">
              <w:rPr>
                <w:rFonts w:cs="Calibri"/>
                <w:sz w:val="20"/>
                <w:szCs w:val="20"/>
              </w:rPr>
              <w:t>27.3%</w:t>
            </w:r>
          </w:p>
        </w:tc>
        <w:tc>
          <w:tcPr>
            <w:tcW w:w="1512" w:type="dxa"/>
          </w:tcPr>
          <w:p w14:paraId="3BF2A610" w14:textId="77777777" w:rsidR="00DA7D84" w:rsidRPr="00BC166B" w:rsidRDefault="00DA7D84">
            <w:pPr>
              <w:rPr>
                <w:rFonts w:cs="Calibri"/>
                <w:sz w:val="20"/>
                <w:szCs w:val="20"/>
              </w:rPr>
            </w:pPr>
            <w:r w:rsidRPr="00BC166B">
              <w:rPr>
                <w:rFonts w:cs="Calibri"/>
                <w:sz w:val="20"/>
                <w:szCs w:val="20"/>
              </w:rPr>
              <w:t>NA</w:t>
            </w:r>
          </w:p>
        </w:tc>
        <w:tc>
          <w:tcPr>
            <w:tcW w:w="1512" w:type="dxa"/>
          </w:tcPr>
          <w:p w14:paraId="66D98FBF" w14:textId="77777777" w:rsidR="00DA7D84" w:rsidRPr="00BC166B" w:rsidRDefault="00DA7D84">
            <w:pPr>
              <w:rPr>
                <w:rFonts w:cs="Calibri"/>
                <w:sz w:val="20"/>
                <w:szCs w:val="20"/>
              </w:rPr>
            </w:pPr>
            <w:r w:rsidRPr="00BC166B">
              <w:rPr>
                <w:rFonts w:cs="Calibri"/>
                <w:sz w:val="20"/>
                <w:szCs w:val="20"/>
              </w:rPr>
              <w:t>NA</w:t>
            </w:r>
          </w:p>
        </w:tc>
      </w:tr>
      <w:tr w:rsidR="00DA7D84" w14:paraId="6F316E6B" w14:textId="77777777">
        <w:trPr>
          <w:trHeight w:val="317"/>
        </w:trPr>
        <w:tc>
          <w:tcPr>
            <w:tcW w:w="1553" w:type="dxa"/>
          </w:tcPr>
          <w:p w14:paraId="3685A4EF" w14:textId="77777777" w:rsidR="00DA7D84" w:rsidRPr="00BC166B" w:rsidRDefault="00DA7D84">
            <w:pPr>
              <w:rPr>
                <w:rFonts w:cs="Calibri"/>
                <w:sz w:val="20"/>
                <w:szCs w:val="20"/>
              </w:rPr>
            </w:pPr>
            <w:r w:rsidRPr="00BC166B">
              <w:rPr>
                <w:rFonts w:cs="Calibri"/>
                <w:sz w:val="20"/>
                <w:szCs w:val="20"/>
              </w:rPr>
              <w:t>CDF</w:t>
            </w:r>
          </w:p>
        </w:tc>
        <w:tc>
          <w:tcPr>
            <w:tcW w:w="2251" w:type="dxa"/>
          </w:tcPr>
          <w:p w14:paraId="40153D8A" w14:textId="66984D92" w:rsidR="00DA7D84" w:rsidRPr="00BC166B" w:rsidRDefault="00DA7D84">
            <w:pPr>
              <w:rPr>
                <w:rFonts w:cs="Calibri"/>
                <w:sz w:val="20"/>
                <w:szCs w:val="20"/>
              </w:rPr>
            </w:pPr>
            <w:r w:rsidRPr="00BC166B">
              <w:rPr>
                <w:rFonts w:cs="Calibri"/>
                <w:sz w:val="20"/>
                <w:szCs w:val="20"/>
              </w:rPr>
              <w:t>Screening for Depression and Follow-up Plan</w:t>
            </w:r>
            <w:r w:rsidR="00144B08" w:rsidRPr="00BC166B">
              <w:rPr>
                <w:rFonts w:cs="Calibri"/>
                <w:sz w:val="20"/>
                <w:szCs w:val="20"/>
              </w:rPr>
              <w:t>: Ages</w:t>
            </w:r>
            <w:r w:rsidRPr="00BC166B">
              <w:rPr>
                <w:rFonts w:cs="Calibri"/>
                <w:sz w:val="20"/>
                <w:szCs w:val="20"/>
              </w:rPr>
              <w:t xml:space="preserve"> 12-17</w:t>
            </w:r>
          </w:p>
        </w:tc>
        <w:tc>
          <w:tcPr>
            <w:tcW w:w="1307" w:type="dxa"/>
            <w:vAlign w:val="center"/>
          </w:tcPr>
          <w:p w14:paraId="09E6B360" w14:textId="77777777" w:rsidR="00DA7D84" w:rsidRPr="00BC166B" w:rsidRDefault="00DA7D84">
            <w:pPr>
              <w:rPr>
                <w:rFonts w:cs="Calibri"/>
                <w:sz w:val="20"/>
                <w:szCs w:val="20"/>
              </w:rPr>
            </w:pPr>
            <w:r w:rsidRPr="00BC166B">
              <w:rPr>
                <w:rFonts w:cs="Calibri"/>
                <w:sz w:val="20"/>
                <w:szCs w:val="20"/>
              </w:rPr>
              <w:t>41.1%</w:t>
            </w:r>
          </w:p>
        </w:tc>
        <w:tc>
          <w:tcPr>
            <w:tcW w:w="1400" w:type="dxa"/>
            <w:vAlign w:val="center"/>
          </w:tcPr>
          <w:p w14:paraId="727C0DFD" w14:textId="77777777" w:rsidR="00DA7D84" w:rsidRPr="00BC166B" w:rsidRDefault="00DA7D84">
            <w:pPr>
              <w:rPr>
                <w:rFonts w:cs="Calibri"/>
                <w:sz w:val="20"/>
                <w:szCs w:val="20"/>
              </w:rPr>
            </w:pPr>
            <w:r w:rsidRPr="00BC166B">
              <w:rPr>
                <w:rFonts w:cs="Calibri"/>
                <w:sz w:val="20"/>
                <w:szCs w:val="20"/>
              </w:rPr>
              <w:t>52.3%</w:t>
            </w:r>
          </w:p>
        </w:tc>
        <w:tc>
          <w:tcPr>
            <w:tcW w:w="1509" w:type="dxa"/>
            <w:vAlign w:val="center"/>
          </w:tcPr>
          <w:p w14:paraId="1C3191E2" w14:textId="77777777" w:rsidR="00DA7D84" w:rsidRPr="00BC166B" w:rsidRDefault="00DA7D84">
            <w:pPr>
              <w:rPr>
                <w:rFonts w:cs="Calibri"/>
                <w:sz w:val="20"/>
                <w:szCs w:val="20"/>
              </w:rPr>
            </w:pPr>
            <w:r w:rsidRPr="00BC166B">
              <w:rPr>
                <w:rFonts w:cs="Calibri"/>
                <w:sz w:val="20"/>
                <w:szCs w:val="20"/>
              </w:rPr>
              <w:t>59.1%</w:t>
            </w:r>
          </w:p>
        </w:tc>
        <w:tc>
          <w:tcPr>
            <w:tcW w:w="1512" w:type="dxa"/>
            <w:vAlign w:val="center"/>
          </w:tcPr>
          <w:p w14:paraId="34B63F07" w14:textId="77777777" w:rsidR="00DA7D84" w:rsidRPr="00BC166B" w:rsidRDefault="00DA7D84">
            <w:pPr>
              <w:rPr>
                <w:rFonts w:cs="Calibri"/>
                <w:sz w:val="20"/>
                <w:szCs w:val="20"/>
              </w:rPr>
            </w:pPr>
            <w:r w:rsidRPr="00BC166B">
              <w:rPr>
                <w:rFonts w:cs="Calibri"/>
                <w:sz w:val="20"/>
                <w:szCs w:val="20"/>
              </w:rPr>
              <w:t>NA</w:t>
            </w:r>
          </w:p>
        </w:tc>
        <w:tc>
          <w:tcPr>
            <w:tcW w:w="1512" w:type="dxa"/>
            <w:vAlign w:val="center"/>
          </w:tcPr>
          <w:p w14:paraId="4E9CC4A9" w14:textId="77777777" w:rsidR="00DA7D84" w:rsidRPr="00BC166B" w:rsidRDefault="00DA7D84">
            <w:pPr>
              <w:rPr>
                <w:rFonts w:cs="Calibri"/>
                <w:sz w:val="20"/>
                <w:szCs w:val="20"/>
              </w:rPr>
            </w:pPr>
            <w:r w:rsidRPr="00BC166B">
              <w:rPr>
                <w:rFonts w:cs="Calibri"/>
                <w:sz w:val="20"/>
                <w:szCs w:val="20"/>
              </w:rPr>
              <w:t>NA</w:t>
            </w:r>
          </w:p>
        </w:tc>
      </w:tr>
      <w:tr w:rsidR="00DA7D84" w14:paraId="4E0707E3" w14:textId="77777777">
        <w:trPr>
          <w:trHeight w:val="317"/>
        </w:trPr>
        <w:tc>
          <w:tcPr>
            <w:tcW w:w="1553" w:type="dxa"/>
          </w:tcPr>
          <w:p w14:paraId="5665F5B5" w14:textId="77777777" w:rsidR="00DA7D84" w:rsidRPr="00BC166B" w:rsidRDefault="00DA7D84">
            <w:pPr>
              <w:rPr>
                <w:rFonts w:cs="Calibri"/>
                <w:sz w:val="20"/>
                <w:szCs w:val="20"/>
              </w:rPr>
            </w:pPr>
            <w:r w:rsidRPr="00BC166B">
              <w:rPr>
                <w:rFonts w:cs="Calibri"/>
                <w:sz w:val="20"/>
                <w:szCs w:val="20"/>
              </w:rPr>
              <w:t>FUA</w:t>
            </w:r>
          </w:p>
        </w:tc>
        <w:tc>
          <w:tcPr>
            <w:tcW w:w="2251" w:type="dxa"/>
          </w:tcPr>
          <w:p w14:paraId="208FFDE4" w14:textId="77777777" w:rsidR="00DA7D84" w:rsidRPr="00BC166B" w:rsidRDefault="00DA7D84">
            <w:pPr>
              <w:rPr>
                <w:rFonts w:cs="Calibri"/>
                <w:sz w:val="20"/>
                <w:szCs w:val="20"/>
              </w:rPr>
            </w:pPr>
            <w:r w:rsidRPr="00BC166B">
              <w:rPr>
                <w:rFonts w:cs="Calibri"/>
                <w:sz w:val="20"/>
                <w:szCs w:val="20"/>
              </w:rPr>
              <w:t>Follow-Up After Emergency Department Visit for Alcohol or Other Drug Abuse or Dependence- 7 days</w:t>
            </w:r>
          </w:p>
        </w:tc>
        <w:tc>
          <w:tcPr>
            <w:tcW w:w="1307" w:type="dxa"/>
            <w:vAlign w:val="center"/>
          </w:tcPr>
          <w:p w14:paraId="4F0BE533" w14:textId="77777777" w:rsidR="00DA7D84" w:rsidRPr="00BC166B" w:rsidRDefault="00DA7D84">
            <w:pPr>
              <w:rPr>
                <w:rFonts w:cs="Calibri"/>
                <w:sz w:val="20"/>
                <w:szCs w:val="20"/>
              </w:rPr>
            </w:pPr>
            <w:r w:rsidRPr="00BC166B">
              <w:rPr>
                <w:rFonts w:eastAsia="Times New Roman" w:cs="Calibri"/>
                <w:sz w:val="20"/>
                <w:szCs w:val="20"/>
              </w:rPr>
              <w:t>NR</w:t>
            </w:r>
          </w:p>
        </w:tc>
        <w:tc>
          <w:tcPr>
            <w:tcW w:w="1400" w:type="dxa"/>
            <w:vAlign w:val="center"/>
          </w:tcPr>
          <w:p w14:paraId="1664B969" w14:textId="77777777" w:rsidR="00DA7D84" w:rsidRPr="00BC166B" w:rsidRDefault="00DA7D84">
            <w:pPr>
              <w:rPr>
                <w:rFonts w:cs="Calibri"/>
                <w:sz w:val="20"/>
                <w:szCs w:val="20"/>
              </w:rPr>
            </w:pPr>
            <w:r w:rsidRPr="00BC166B">
              <w:rPr>
                <w:rFonts w:eastAsia="Times New Roman" w:cs="Calibri"/>
                <w:sz w:val="20"/>
                <w:szCs w:val="20"/>
              </w:rPr>
              <w:t>11.3%</w:t>
            </w:r>
          </w:p>
        </w:tc>
        <w:tc>
          <w:tcPr>
            <w:tcW w:w="1509" w:type="dxa"/>
            <w:vAlign w:val="center"/>
          </w:tcPr>
          <w:p w14:paraId="3129A97E" w14:textId="77777777" w:rsidR="00DA7D84" w:rsidRPr="00BC166B" w:rsidRDefault="00DA7D84">
            <w:pPr>
              <w:rPr>
                <w:rFonts w:cs="Calibri"/>
                <w:sz w:val="20"/>
                <w:szCs w:val="20"/>
              </w:rPr>
            </w:pPr>
            <w:r w:rsidRPr="00BC166B">
              <w:rPr>
                <w:rFonts w:eastAsia="Times New Roman" w:cs="Calibri"/>
                <w:sz w:val="20"/>
                <w:szCs w:val="20"/>
              </w:rPr>
              <w:t>36.8%</w:t>
            </w:r>
          </w:p>
        </w:tc>
        <w:tc>
          <w:tcPr>
            <w:tcW w:w="1512" w:type="dxa"/>
            <w:vAlign w:val="center"/>
          </w:tcPr>
          <w:p w14:paraId="26581107" w14:textId="77777777" w:rsidR="00DA7D84" w:rsidRPr="00BC166B" w:rsidRDefault="00DA7D84">
            <w:pPr>
              <w:rPr>
                <w:rFonts w:cs="Calibri"/>
                <w:sz w:val="20"/>
                <w:szCs w:val="20"/>
              </w:rPr>
            </w:pPr>
            <w:r w:rsidRPr="00BC166B">
              <w:rPr>
                <w:rFonts w:cs="Calibri"/>
                <w:sz w:val="20"/>
                <w:szCs w:val="20"/>
              </w:rPr>
              <w:t>26.3%</w:t>
            </w:r>
          </w:p>
        </w:tc>
        <w:tc>
          <w:tcPr>
            <w:tcW w:w="1512" w:type="dxa"/>
            <w:vAlign w:val="center"/>
          </w:tcPr>
          <w:p w14:paraId="1B92139C" w14:textId="77777777" w:rsidR="00DA7D84" w:rsidRPr="00BC166B" w:rsidRDefault="00DA7D84">
            <w:pPr>
              <w:rPr>
                <w:rFonts w:cs="Calibri"/>
                <w:sz w:val="20"/>
                <w:szCs w:val="20"/>
              </w:rPr>
            </w:pPr>
            <w:r w:rsidRPr="00BC166B">
              <w:rPr>
                <w:rFonts w:cs="Calibri"/>
                <w:sz w:val="20"/>
                <w:szCs w:val="20"/>
              </w:rPr>
              <w:t>33.7%</w:t>
            </w:r>
          </w:p>
        </w:tc>
      </w:tr>
      <w:tr w:rsidR="00DA7D84" w14:paraId="44A3A3EF" w14:textId="77777777">
        <w:trPr>
          <w:trHeight w:val="317"/>
        </w:trPr>
        <w:tc>
          <w:tcPr>
            <w:tcW w:w="1553" w:type="dxa"/>
          </w:tcPr>
          <w:p w14:paraId="7EC65C7D" w14:textId="77777777" w:rsidR="00DA7D84" w:rsidRPr="00BC166B" w:rsidRDefault="00DA7D84">
            <w:pPr>
              <w:rPr>
                <w:rFonts w:cs="Calibri"/>
                <w:sz w:val="20"/>
                <w:szCs w:val="20"/>
              </w:rPr>
            </w:pPr>
            <w:r w:rsidRPr="00BC166B">
              <w:rPr>
                <w:rFonts w:cs="Calibri"/>
                <w:sz w:val="20"/>
                <w:szCs w:val="20"/>
              </w:rPr>
              <w:t>IMA</w:t>
            </w:r>
          </w:p>
        </w:tc>
        <w:tc>
          <w:tcPr>
            <w:tcW w:w="2251" w:type="dxa"/>
          </w:tcPr>
          <w:p w14:paraId="1AD71D20" w14:textId="77777777" w:rsidR="00DA7D84" w:rsidRPr="00BC166B" w:rsidRDefault="00DA7D84">
            <w:pPr>
              <w:rPr>
                <w:rFonts w:cs="Calibri"/>
                <w:sz w:val="20"/>
                <w:szCs w:val="20"/>
              </w:rPr>
            </w:pPr>
            <w:r w:rsidRPr="00BC166B">
              <w:rPr>
                <w:rFonts w:cs="Calibri"/>
                <w:sz w:val="20"/>
                <w:szCs w:val="20"/>
              </w:rPr>
              <w:t>Immunization for Adolescents (combo 2)</w:t>
            </w:r>
          </w:p>
        </w:tc>
        <w:tc>
          <w:tcPr>
            <w:tcW w:w="1307" w:type="dxa"/>
            <w:vAlign w:val="center"/>
          </w:tcPr>
          <w:p w14:paraId="498515E3" w14:textId="77777777" w:rsidR="00DA7D84" w:rsidRPr="00BC166B" w:rsidRDefault="00DA7D84">
            <w:pPr>
              <w:rPr>
                <w:rFonts w:cs="Calibri"/>
                <w:sz w:val="20"/>
                <w:szCs w:val="20"/>
              </w:rPr>
            </w:pPr>
            <w:r w:rsidRPr="00BC166B">
              <w:rPr>
                <w:rFonts w:cs="Calibri"/>
                <w:sz w:val="20"/>
                <w:szCs w:val="20"/>
              </w:rPr>
              <w:t>44.0%</w:t>
            </w:r>
          </w:p>
        </w:tc>
        <w:tc>
          <w:tcPr>
            <w:tcW w:w="1400" w:type="dxa"/>
            <w:vAlign w:val="center"/>
          </w:tcPr>
          <w:p w14:paraId="11A58753" w14:textId="77777777" w:rsidR="00DA7D84" w:rsidRPr="00BC166B" w:rsidRDefault="00DA7D84">
            <w:pPr>
              <w:rPr>
                <w:rFonts w:cs="Calibri"/>
                <w:sz w:val="20"/>
                <w:szCs w:val="20"/>
              </w:rPr>
            </w:pPr>
            <w:r w:rsidRPr="00BC166B">
              <w:rPr>
                <w:rFonts w:eastAsia="Times New Roman" w:cs="Calibri"/>
                <w:sz w:val="20"/>
                <w:szCs w:val="20"/>
              </w:rPr>
              <w:t>45.4%</w:t>
            </w:r>
          </w:p>
        </w:tc>
        <w:tc>
          <w:tcPr>
            <w:tcW w:w="1509" w:type="dxa"/>
            <w:vAlign w:val="center"/>
          </w:tcPr>
          <w:p w14:paraId="1645372C" w14:textId="77777777" w:rsidR="00DA7D84" w:rsidRPr="00BC166B" w:rsidRDefault="00DA7D84">
            <w:pPr>
              <w:rPr>
                <w:rFonts w:cs="Calibri"/>
                <w:sz w:val="20"/>
                <w:szCs w:val="20"/>
              </w:rPr>
            </w:pPr>
            <w:r w:rsidRPr="00BC166B">
              <w:rPr>
                <w:rFonts w:eastAsia="Times New Roman" w:cs="Calibri"/>
                <w:sz w:val="20"/>
                <w:szCs w:val="20"/>
              </w:rPr>
              <w:t>48.1%</w:t>
            </w:r>
          </w:p>
        </w:tc>
        <w:tc>
          <w:tcPr>
            <w:tcW w:w="1512" w:type="dxa"/>
            <w:vAlign w:val="center"/>
          </w:tcPr>
          <w:p w14:paraId="7862596A" w14:textId="77777777" w:rsidR="00DA7D84" w:rsidRPr="00BC166B" w:rsidRDefault="00DA7D84">
            <w:pPr>
              <w:rPr>
                <w:rFonts w:cs="Calibri"/>
                <w:sz w:val="20"/>
                <w:szCs w:val="20"/>
              </w:rPr>
            </w:pPr>
            <w:r w:rsidRPr="00BC166B">
              <w:rPr>
                <w:rFonts w:eastAsia="Times New Roman" w:cs="Calibri"/>
                <w:sz w:val="20"/>
                <w:szCs w:val="20"/>
              </w:rPr>
              <w:t>40.9%</w:t>
            </w:r>
          </w:p>
        </w:tc>
        <w:tc>
          <w:tcPr>
            <w:tcW w:w="1512" w:type="dxa"/>
            <w:vAlign w:val="center"/>
          </w:tcPr>
          <w:p w14:paraId="700D2DD1" w14:textId="77777777" w:rsidR="00DA7D84" w:rsidRPr="00BC166B" w:rsidRDefault="00DA7D84">
            <w:pPr>
              <w:rPr>
                <w:rFonts w:cs="Calibri"/>
                <w:sz w:val="20"/>
                <w:szCs w:val="20"/>
              </w:rPr>
            </w:pPr>
            <w:r w:rsidRPr="00BC166B">
              <w:rPr>
                <w:rFonts w:eastAsia="Times New Roman" w:cs="Calibri"/>
                <w:sz w:val="20"/>
                <w:szCs w:val="20"/>
              </w:rPr>
              <w:t>48.8%</w:t>
            </w:r>
          </w:p>
        </w:tc>
      </w:tr>
      <w:tr w:rsidR="00DA7D84" w14:paraId="570FBC82" w14:textId="77777777">
        <w:trPr>
          <w:trHeight w:val="317"/>
        </w:trPr>
        <w:tc>
          <w:tcPr>
            <w:tcW w:w="1553" w:type="dxa"/>
          </w:tcPr>
          <w:p w14:paraId="54D4EF26" w14:textId="77777777" w:rsidR="00DA7D84" w:rsidRPr="00BC166B" w:rsidRDefault="00DA7D84">
            <w:pPr>
              <w:rPr>
                <w:rFonts w:cs="Calibri"/>
                <w:sz w:val="20"/>
                <w:szCs w:val="20"/>
              </w:rPr>
            </w:pPr>
            <w:r w:rsidRPr="00BC166B">
              <w:rPr>
                <w:rFonts w:cs="Calibri"/>
                <w:sz w:val="20"/>
                <w:szCs w:val="20"/>
              </w:rPr>
              <w:lastRenderedPageBreak/>
              <w:t>LSC</w:t>
            </w:r>
          </w:p>
        </w:tc>
        <w:tc>
          <w:tcPr>
            <w:tcW w:w="2251" w:type="dxa"/>
          </w:tcPr>
          <w:p w14:paraId="07E77128" w14:textId="77777777" w:rsidR="00DA7D84" w:rsidRPr="00BC166B" w:rsidRDefault="00DA7D84">
            <w:pPr>
              <w:rPr>
                <w:rFonts w:cs="Calibri"/>
                <w:sz w:val="20"/>
                <w:szCs w:val="20"/>
              </w:rPr>
            </w:pPr>
            <w:r w:rsidRPr="00BC166B">
              <w:rPr>
                <w:rFonts w:cs="Calibri"/>
                <w:sz w:val="20"/>
                <w:szCs w:val="20"/>
              </w:rPr>
              <w:t>Lead Screening in Children</w:t>
            </w:r>
          </w:p>
        </w:tc>
        <w:tc>
          <w:tcPr>
            <w:tcW w:w="1307" w:type="dxa"/>
            <w:vAlign w:val="center"/>
          </w:tcPr>
          <w:p w14:paraId="54ECB1AB" w14:textId="77777777" w:rsidR="00DA7D84" w:rsidRPr="00BC166B" w:rsidRDefault="00DA7D84">
            <w:pPr>
              <w:rPr>
                <w:rFonts w:cs="Calibri"/>
                <w:sz w:val="20"/>
                <w:szCs w:val="20"/>
              </w:rPr>
            </w:pPr>
            <w:r w:rsidRPr="00BC166B">
              <w:rPr>
                <w:rFonts w:cs="Calibri"/>
                <w:sz w:val="20"/>
                <w:szCs w:val="20"/>
              </w:rPr>
              <w:t>NR</w:t>
            </w:r>
          </w:p>
        </w:tc>
        <w:tc>
          <w:tcPr>
            <w:tcW w:w="1400" w:type="dxa"/>
            <w:vAlign w:val="center"/>
          </w:tcPr>
          <w:p w14:paraId="1768D86C" w14:textId="77777777" w:rsidR="00DA7D84" w:rsidRPr="00BC166B" w:rsidRDefault="00DA7D84">
            <w:pPr>
              <w:rPr>
                <w:rFonts w:cs="Calibri"/>
                <w:sz w:val="20"/>
                <w:szCs w:val="20"/>
              </w:rPr>
            </w:pPr>
            <w:r w:rsidRPr="00BC166B">
              <w:rPr>
                <w:rFonts w:eastAsia="Times New Roman" w:cs="Calibri"/>
                <w:sz w:val="20"/>
                <w:szCs w:val="20"/>
              </w:rPr>
              <w:t>NR</w:t>
            </w:r>
          </w:p>
        </w:tc>
        <w:tc>
          <w:tcPr>
            <w:tcW w:w="1509" w:type="dxa"/>
            <w:vAlign w:val="center"/>
          </w:tcPr>
          <w:p w14:paraId="2C435EE8" w14:textId="77777777" w:rsidR="00DA7D84" w:rsidRPr="00BC166B" w:rsidRDefault="00DA7D84">
            <w:pPr>
              <w:rPr>
                <w:rFonts w:cs="Calibri"/>
                <w:sz w:val="20"/>
                <w:szCs w:val="20"/>
              </w:rPr>
            </w:pPr>
            <w:r w:rsidRPr="00BC166B">
              <w:rPr>
                <w:rFonts w:eastAsia="Times New Roman" w:cs="Calibri"/>
                <w:sz w:val="20"/>
                <w:szCs w:val="20"/>
              </w:rPr>
              <w:t>81.1%</w:t>
            </w:r>
          </w:p>
        </w:tc>
        <w:tc>
          <w:tcPr>
            <w:tcW w:w="1512" w:type="dxa"/>
            <w:vAlign w:val="center"/>
          </w:tcPr>
          <w:p w14:paraId="2F9CC28C" w14:textId="77777777" w:rsidR="00DA7D84" w:rsidRPr="00BC166B" w:rsidRDefault="00DA7D84">
            <w:pPr>
              <w:rPr>
                <w:rFonts w:cs="Calibri"/>
                <w:sz w:val="20"/>
                <w:szCs w:val="20"/>
              </w:rPr>
            </w:pPr>
            <w:r w:rsidRPr="00BC166B">
              <w:rPr>
                <w:rFonts w:eastAsia="Times New Roman" w:cs="Calibri"/>
                <w:sz w:val="20"/>
                <w:szCs w:val="20"/>
              </w:rPr>
              <w:t>70.1%</w:t>
            </w:r>
          </w:p>
        </w:tc>
        <w:tc>
          <w:tcPr>
            <w:tcW w:w="1512" w:type="dxa"/>
            <w:vAlign w:val="center"/>
          </w:tcPr>
          <w:p w14:paraId="2BE04DA7" w14:textId="77777777" w:rsidR="00DA7D84" w:rsidRPr="00BC166B" w:rsidRDefault="00DA7D84">
            <w:pPr>
              <w:rPr>
                <w:rFonts w:cs="Calibri"/>
                <w:sz w:val="20"/>
                <w:szCs w:val="20"/>
              </w:rPr>
            </w:pPr>
            <w:r w:rsidRPr="00BC166B">
              <w:rPr>
                <w:rFonts w:eastAsia="Times New Roman" w:cs="Calibri"/>
                <w:sz w:val="20"/>
                <w:szCs w:val="20"/>
              </w:rPr>
              <w:t>79.3%</w:t>
            </w:r>
          </w:p>
        </w:tc>
      </w:tr>
      <w:tr w:rsidR="00DA7D84" w14:paraId="0ACF152D" w14:textId="77777777">
        <w:trPr>
          <w:trHeight w:val="317"/>
        </w:trPr>
        <w:tc>
          <w:tcPr>
            <w:tcW w:w="1553" w:type="dxa"/>
          </w:tcPr>
          <w:p w14:paraId="11BFB3F3" w14:textId="77777777" w:rsidR="00DA7D84" w:rsidRPr="00BC166B" w:rsidRDefault="00DA7D84">
            <w:pPr>
              <w:rPr>
                <w:rFonts w:cs="Calibri"/>
                <w:sz w:val="20"/>
                <w:szCs w:val="20"/>
              </w:rPr>
            </w:pPr>
            <w:r w:rsidRPr="00BC166B">
              <w:rPr>
                <w:rFonts w:eastAsia="Times New Roman" w:cs="Calibri"/>
                <w:sz w:val="20"/>
                <w:szCs w:val="20"/>
              </w:rPr>
              <w:t>CAHPS</w:t>
            </w:r>
          </w:p>
        </w:tc>
        <w:tc>
          <w:tcPr>
            <w:tcW w:w="2251" w:type="dxa"/>
          </w:tcPr>
          <w:p w14:paraId="02673A43" w14:textId="77777777" w:rsidR="00DA7D84" w:rsidRPr="00BC166B" w:rsidRDefault="00DA7D84">
            <w:pPr>
              <w:rPr>
                <w:rFonts w:cs="Calibri"/>
                <w:sz w:val="20"/>
                <w:szCs w:val="20"/>
              </w:rPr>
            </w:pPr>
            <w:r w:rsidRPr="00BC166B">
              <w:rPr>
                <w:rFonts w:cs="Calibri"/>
                <w:sz w:val="20"/>
                <w:szCs w:val="20"/>
              </w:rPr>
              <w:t>Getting Needed Care</w:t>
            </w:r>
          </w:p>
        </w:tc>
        <w:tc>
          <w:tcPr>
            <w:tcW w:w="1307" w:type="dxa"/>
            <w:vAlign w:val="center"/>
          </w:tcPr>
          <w:p w14:paraId="4D32CCAB" w14:textId="77777777" w:rsidR="00DA7D84" w:rsidRPr="00BC166B" w:rsidRDefault="00DA7D84">
            <w:pPr>
              <w:rPr>
                <w:rFonts w:cs="Calibri"/>
                <w:sz w:val="20"/>
                <w:szCs w:val="20"/>
              </w:rPr>
            </w:pPr>
            <w:r w:rsidRPr="00BC166B">
              <w:rPr>
                <w:rFonts w:eastAsia="Times New Roman" w:cs="Calibri"/>
                <w:sz w:val="20"/>
                <w:szCs w:val="20"/>
              </w:rPr>
              <w:t>NR</w:t>
            </w:r>
          </w:p>
        </w:tc>
        <w:tc>
          <w:tcPr>
            <w:tcW w:w="1400" w:type="dxa"/>
            <w:vAlign w:val="center"/>
          </w:tcPr>
          <w:p w14:paraId="30E29C08" w14:textId="77777777" w:rsidR="00DA7D84" w:rsidRPr="00BC166B" w:rsidRDefault="00DA7D84">
            <w:pPr>
              <w:rPr>
                <w:rFonts w:cs="Calibri"/>
                <w:sz w:val="20"/>
                <w:szCs w:val="20"/>
              </w:rPr>
            </w:pPr>
            <w:r w:rsidRPr="00BC166B">
              <w:rPr>
                <w:rFonts w:eastAsia="Times New Roman" w:cs="Calibri"/>
                <w:sz w:val="20"/>
                <w:szCs w:val="20"/>
              </w:rPr>
              <w:t>NR</w:t>
            </w:r>
          </w:p>
        </w:tc>
        <w:tc>
          <w:tcPr>
            <w:tcW w:w="1509" w:type="dxa"/>
            <w:vAlign w:val="center"/>
          </w:tcPr>
          <w:p w14:paraId="0088BC92" w14:textId="77777777" w:rsidR="00DA7D84" w:rsidRPr="00BC166B" w:rsidRDefault="00DA7D84">
            <w:pPr>
              <w:rPr>
                <w:rFonts w:cs="Calibri"/>
                <w:sz w:val="20"/>
                <w:szCs w:val="20"/>
              </w:rPr>
            </w:pPr>
            <w:r w:rsidRPr="00BC166B">
              <w:rPr>
                <w:rFonts w:eastAsia="Times New Roman" w:cs="Calibri"/>
                <w:sz w:val="20"/>
                <w:szCs w:val="20"/>
              </w:rPr>
              <w:t>79.0%</w:t>
            </w:r>
          </w:p>
        </w:tc>
        <w:tc>
          <w:tcPr>
            <w:tcW w:w="1512" w:type="dxa"/>
          </w:tcPr>
          <w:p w14:paraId="18B6E277" w14:textId="77777777" w:rsidR="00DA7D84" w:rsidRPr="00BC166B" w:rsidRDefault="00DA7D84">
            <w:pPr>
              <w:rPr>
                <w:rFonts w:cs="Calibri"/>
                <w:sz w:val="20"/>
                <w:szCs w:val="20"/>
              </w:rPr>
            </w:pPr>
            <w:r w:rsidRPr="00BC166B">
              <w:rPr>
                <w:rFonts w:cs="Calibri"/>
                <w:sz w:val="20"/>
                <w:szCs w:val="20"/>
              </w:rPr>
              <w:t>86.5%</w:t>
            </w:r>
          </w:p>
        </w:tc>
        <w:tc>
          <w:tcPr>
            <w:tcW w:w="1512" w:type="dxa"/>
          </w:tcPr>
          <w:p w14:paraId="3B1AB644" w14:textId="77777777" w:rsidR="00DA7D84" w:rsidRPr="00BC166B" w:rsidRDefault="00DA7D84">
            <w:pPr>
              <w:rPr>
                <w:rFonts w:cs="Calibri"/>
                <w:sz w:val="20"/>
                <w:szCs w:val="20"/>
              </w:rPr>
            </w:pPr>
            <w:r w:rsidRPr="00BC166B">
              <w:rPr>
                <w:rFonts w:cs="Calibri"/>
                <w:sz w:val="20"/>
                <w:szCs w:val="20"/>
              </w:rPr>
              <w:t>89.3%</w:t>
            </w:r>
          </w:p>
        </w:tc>
      </w:tr>
      <w:tr w:rsidR="00DA7D84" w14:paraId="40E1A7C5" w14:textId="77777777">
        <w:trPr>
          <w:trHeight w:val="317"/>
        </w:trPr>
        <w:tc>
          <w:tcPr>
            <w:tcW w:w="1553" w:type="dxa"/>
          </w:tcPr>
          <w:p w14:paraId="456C1FA3" w14:textId="77777777" w:rsidR="00DA7D84" w:rsidRPr="00BC166B" w:rsidRDefault="00DA7D84">
            <w:pPr>
              <w:rPr>
                <w:rFonts w:cs="Calibri"/>
                <w:sz w:val="20"/>
                <w:szCs w:val="20"/>
              </w:rPr>
            </w:pPr>
            <w:r w:rsidRPr="00BC166B">
              <w:rPr>
                <w:rFonts w:eastAsia="Times New Roman" w:cs="Calibri"/>
                <w:sz w:val="20"/>
                <w:szCs w:val="20"/>
              </w:rPr>
              <w:t>CAHPS</w:t>
            </w:r>
          </w:p>
        </w:tc>
        <w:tc>
          <w:tcPr>
            <w:tcW w:w="2251" w:type="dxa"/>
          </w:tcPr>
          <w:p w14:paraId="60068435" w14:textId="77777777" w:rsidR="00DA7D84" w:rsidRPr="00BC166B" w:rsidRDefault="00DA7D84">
            <w:pPr>
              <w:rPr>
                <w:rFonts w:cs="Calibri"/>
                <w:sz w:val="20"/>
                <w:szCs w:val="20"/>
              </w:rPr>
            </w:pPr>
            <w:r w:rsidRPr="00BC166B">
              <w:rPr>
                <w:rFonts w:cs="Calibri"/>
                <w:sz w:val="20"/>
                <w:szCs w:val="20"/>
              </w:rPr>
              <w:t>Getting Care Quickly</w:t>
            </w:r>
          </w:p>
        </w:tc>
        <w:tc>
          <w:tcPr>
            <w:tcW w:w="1307" w:type="dxa"/>
          </w:tcPr>
          <w:p w14:paraId="750AD6D8" w14:textId="77777777" w:rsidR="00DA7D84" w:rsidRPr="00BC166B" w:rsidRDefault="00DA7D84">
            <w:pPr>
              <w:rPr>
                <w:rFonts w:cs="Calibri"/>
                <w:sz w:val="20"/>
                <w:szCs w:val="20"/>
              </w:rPr>
            </w:pPr>
            <w:r w:rsidRPr="00BC166B">
              <w:rPr>
                <w:rFonts w:eastAsia="Times New Roman" w:cs="Calibri"/>
                <w:sz w:val="20"/>
                <w:szCs w:val="20"/>
              </w:rPr>
              <w:t>NR</w:t>
            </w:r>
          </w:p>
        </w:tc>
        <w:tc>
          <w:tcPr>
            <w:tcW w:w="1400" w:type="dxa"/>
          </w:tcPr>
          <w:p w14:paraId="3BE10465" w14:textId="77777777" w:rsidR="00DA7D84" w:rsidRPr="00BC166B" w:rsidRDefault="00DA7D84">
            <w:pPr>
              <w:rPr>
                <w:rFonts w:cs="Calibri"/>
                <w:sz w:val="20"/>
                <w:szCs w:val="20"/>
              </w:rPr>
            </w:pPr>
            <w:r w:rsidRPr="00BC166B">
              <w:rPr>
                <w:rFonts w:eastAsia="Times New Roman" w:cs="Calibri"/>
                <w:sz w:val="20"/>
                <w:szCs w:val="20"/>
              </w:rPr>
              <w:t>NR</w:t>
            </w:r>
          </w:p>
        </w:tc>
        <w:tc>
          <w:tcPr>
            <w:tcW w:w="1509" w:type="dxa"/>
            <w:vAlign w:val="center"/>
          </w:tcPr>
          <w:p w14:paraId="42726E22" w14:textId="77777777" w:rsidR="00DA7D84" w:rsidRPr="00BC166B" w:rsidRDefault="00DA7D84">
            <w:pPr>
              <w:rPr>
                <w:rFonts w:cs="Calibri"/>
                <w:sz w:val="20"/>
                <w:szCs w:val="20"/>
              </w:rPr>
            </w:pPr>
            <w:r w:rsidRPr="00BC166B">
              <w:rPr>
                <w:rFonts w:eastAsia="Times New Roman" w:cs="Calibri"/>
                <w:sz w:val="20"/>
                <w:szCs w:val="20"/>
              </w:rPr>
              <w:t>81.7%</w:t>
            </w:r>
          </w:p>
        </w:tc>
        <w:tc>
          <w:tcPr>
            <w:tcW w:w="1512" w:type="dxa"/>
          </w:tcPr>
          <w:p w14:paraId="3AF7E738" w14:textId="77777777" w:rsidR="00DA7D84" w:rsidRPr="00BC166B" w:rsidRDefault="00DA7D84">
            <w:pPr>
              <w:rPr>
                <w:rFonts w:cs="Calibri"/>
                <w:sz w:val="20"/>
                <w:szCs w:val="20"/>
              </w:rPr>
            </w:pPr>
            <w:r w:rsidRPr="00BC166B">
              <w:rPr>
                <w:rFonts w:cs="Calibri"/>
                <w:sz w:val="20"/>
                <w:szCs w:val="20"/>
              </w:rPr>
              <w:t>89.5%</w:t>
            </w:r>
          </w:p>
        </w:tc>
        <w:tc>
          <w:tcPr>
            <w:tcW w:w="1512" w:type="dxa"/>
          </w:tcPr>
          <w:p w14:paraId="536E1327" w14:textId="77777777" w:rsidR="00DA7D84" w:rsidRPr="00BC166B" w:rsidRDefault="00DA7D84">
            <w:pPr>
              <w:rPr>
                <w:rFonts w:cs="Calibri"/>
                <w:sz w:val="20"/>
                <w:szCs w:val="20"/>
              </w:rPr>
            </w:pPr>
            <w:r w:rsidRPr="00BC166B">
              <w:rPr>
                <w:rFonts w:cs="Calibri"/>
                <w:sz w:val="20"/>
                <w:szCs w:val="20"/>
              </w:rPr>
              <w:t>100.0%</w:t>
            </w:r>
          </w:p>
        </w:tc>
      </w:tr>
      <w:tr w:rsidR="00DA7D84" w14:paraId="443484DB" w14:textId="77777777">
        <w:trPr>
          <w:trHeight w:val="317"/>
        </w:trPr>
        <w:tc>
          <w:tcPr>
            <w:tcW w:w="1553" w:type="dxa"/>
          </w:tcPr>
          <w:p w14:paraId="2BEDF9EC" w14:textId="77777777" w:rsidR="00DA7D84" w:rsidRPr="00BC166B" w:rsidRDefault="00DA7D84">
            <w:pPr>
              <w:rPr>
                <w:rFonts w:cs="Calibri"/>
                <w:sz w:val="20"/>
                <w:szCs w:val="20"/>
              </w:rPr>
            </w:pPr>
            <w:r w:rsidRPr="00BC166B">
              <w:rPr>
                <w:rFonts w:eastAsia="Times New Roman" w:cs="Calibri"/>
                <w:sz w:val="20"/>
                <w:szCs w:val="20"/>
              </w:rPr>
              <w:t>CAHPS</w:t>
            </w:r>
          </w:p>
        </w:tc>
        <w:tc>
          <w:tcPr>
            <w:tcW w:w="2251" w:type="dxa"/>
          </w:tcPr>
          <w:p w14:paraId="6399A5E7" w14:textId="77777777" w:rsidR="00DA7D84" w:rsidRPr="00BC166B" w:rsidRDefault="00DA7D84">
            <w:pPr>
              <w:rPr>
                <w:rFonts w:cs="Calibri"/>
                <w:sz w:val="20"/>
                <w:szCs w:val="20"/>
              </w:rPr>
            </w:pPr>
            <w:r w:rsidRPr="00BC166B">
              <w:rPr>
                <w:rFonts w:cs="Calibri"/>
                <w:sz w:val="20"/>
                <w:szCs w:val="20"/>
              </w:rPr>
              <w:t>How Well Doctor Communicate</w:t>
            </w:r>
          </w:p>
        </w:tc>
        <w:tc>
          <w:tcPr>
            <w:tcW w:w="1307" w:type="dxa"/>
          </w:tcPr>
          <w:p w14:paraId="187E8096" w14:textId="77777777" w:rsidR="00DA7D84" w:rsidRPr="00BC166B" w:rsidRDefault="00DA7D84">
            <w:pPr>
              <w:rPr>
                <w:rFonts w:cs="Calibri"/>
                <w:sz w:val="20"/>
                <w:szCs w:val="20"/>
              </w:rPr>
            </w:pPr>
            <w:r w:rsidRPr="00BC166B">
              <w:rPr>
                <w:rFonts w:eastAsia="Times New Roman" w:cs="Calibri"/>
                <w:sz w:val="20"/>
                <w:szCs w:val="20"/>
              </w:rPr>
              <w:t>NR</w:t>
            </w:r>
          </w:p>
        </w:tc>
        <w:tc>
          <w:tcPr>
            <w:tcW w:w="1400" w:type="dxa"/>
          </w:tcPr>
          <w:p w14:paraId="4817C306" w14:textId="77777777" w:rsidR="00DA7D84" w:rsidRPr="00BC166B" w:rsidRDefault="00DA7D84">
            <w:pPr>
              <w:rPr>
                <w:rFonts w:cs="Calibri"/>
                <w:sz w:val="20"/>
                <w:szCs w:val="20"/>
              </w:rPr>
            </w:pPr>
            <w:r w:rsidRPr="00BC166B">
              <w:rPr>
                <w:rFonts w:eastAsia="Times New Roman" w:cs="Calibri"/>
                <w:sz w:val="20"/>
                <w:szCs w:val="20"/>
              </w:rPr>
              <w:t>NR</w:t>
            </w:r>
          </w:p>
        </w:tc>
        <w:tc>
          <w:tcPr>
            <w:tcW w:w="1509" w:type="dxa"/>
            <w:vAlign w:val="center"/>
          </w:tcPr>
          <w:p w14:paraId="52A1906D" w14:textId="77777777" w:rsidR="00DA7D84" w:rsidRPr="00BC166B" w:rsidRDefault="00DA7D84">
            <w:pPr>
              <w:rPr>
                <w:rFonts w:cs="Calibri"/>
                <w:sz w:val="20"/>
                <w:szCs w:val="20"/>
              </w:rPr>
            </w:pPr>
            <w:r w:rsidRPr="00BC166B">
              <w:rPr>
                <w:rFonts w:eastAsia="Times New Roman" w:cs="Calibri"/>
                <w:sz w:val="20"/>
                <w:szCs w:val="20"/>
              </w:rPr>
              <w:t>95.7%</w:t>
            </w:r>
          </w:p>
        </w:tc>
        <w:tc>
          <w:tcPr>
            <w:tcW w:w="1512" w:type="dxa"/>
          </w:tcPr>
          <w:p w14:paraId="1B2E77DF" w14:textId="77777777" w:rsidR="00DA7D84" w:rsidRPr="00BC166B" w:rsidRDefault="00DA7D84">
            <w:pPr>
              <w:rPr>
                <w:rFonts w:cs="Calibri"/>
                <w:sz w:val="20"/>
                <w:szCs w:val="20"/>
              </w:rPr>
            </w:pPr>
            <w:r w:rsidRPr="00BC166B">
              <w:rPr>
                <w:rFonts w:cs="Calibri"/>
                <w:sz w:val="20"/>
                <w:szCs w:val="20"/>
              </w:rPr>
              <w:t>95.5%</w:t>
            </w:r>
          </w:p>
        </w:tc>
        <w:tc>
          <w:tcPr>
            <w:tcW w:w="1512" w:type="dxa"/>
          </w:tcPr>
          <w:p w14:paraId="60B96A6B" w14:textId="77777777" w:rsidR="00DA7D84" w:rsidRPr="00BC166B" w:rsidRDefault="00DA7D84">
            <w:pPr>
              <w:rPr>
                <w:rFonts w:cs="Calibri"/>
                <w:sz w:val="20"/>
                <w:szCs w:val="20"/>
              </w:rPr>
            </w:pPr>
            <w:r w:rsidRPr="00BC166B">
              <w:rPr>
                <w:rFonts w:cs="Calibri"/>
                <w:sz w:val="20"/>
                <w:szCs w:val="20"/>
              </w:rPr>
              <w:t>96.1%</w:t>
            </w:r>
          </w:p>
        </w:tc>
      </w:tr>
      <w:tr w:rsidR="00DA7D84" w14:paraId="6AA56E3D" w14:textId="77777777">
        <w:trPr>
          <w:trHeight w:val="317"/>
        </w:trPr>
        <w:tc>
          <w:tcPr>
            <w:tcW w:w="1553" w:type="dxa"/>
          </w:tcPr>
          <w:p w14:paraId="2DD9944F" w14:textId="77777777" w:rsidR="00DA7D84" w:rsidRPr="00BC166B" w:rsidRDefault="00DA7D84">
            <w:pPr>
              <w:rPr>
                <w:rFonts w:cs="Calibri"/>
                <w:sz w:val="20"/>
                <w:szCs w:val="20"/>
              </w:rPr>
            </w:pPr>
            <w:r w:rsidRPr="00BC166B">
              <w:rPr>
                <w:rFonts w:eastAsia="Times New Roman" w:cs="Calibri"/>
                <w:sz w:val="20"/>
                <w:szCs w:val="20"/>
              </w:rPr>
              <w:t>CAHPS</w:t>
            </w:r>
          </w:p>
        </w:tc>
        <w:tc>
          <w:tcPr>
            <w:tcW w:w="2251" w:type="dxa"/>
          </w:tcPr>
          <w:p w14:paraId="0F1B70DF" w14:textId="77777777" w:rsidR="00DA7D84" w:rsidRPr="00BC166B" w:rsidRDefault="00DA7D84">
            <w:pPr>
              <w:rPr>
                <w:rFonts w:cs="Calibri"/>
                <w:sz w:val="20"/>
                <w:szCs w:val="20"/>
              </w:rPr>
            </w:pPr>
            <w:r w:rsidRPr="00BC166B">
              <w:rPr>
                <w:rFonts w:cs="Calibri"/>
                <w:sz w:val="20"/>
                <w:szCs w:val="20"/>
              </w:rPr>
              <w:t>Customer Service</w:t>
            </w:r>
          </w:p>
        </w:tc>
        <w:tc>
          <w:tcPr>
            <w:tcW w:w="1307" w:type="dxa"/>
          </w:tcPr>
          <w:p w14:paraId="2AC5CA25" w14:textId="77777777" w:rsidR="00DA7D84" w:rsidRPr="00BC166B" w:rsidRDefault="00DA7D84">
            <w:pPr>
              <w:rPr>
                <w:rFonts w:cs="Calibri"/>
                <w:sz w:val="20"/>
                <w:szCs w:val="20"/>
              </w:rPr>
            </w:pPr>
            <w:r w:rsidRPr="00BC166B">
              <w:rPr>
                <w:rFonts w:eastAsia="Times New Roman" w:cs="Calibri"/>
                <w:sz w:val="20"/>
                <w:szCs w:val="20"/>
              </w:rPr>
              <w:t>NR</w:t>
            </w:r>
          </w:p>
        </w:tc>
        <w:tc>
          <w:tcPr>
            <w:tcW w:w="1400" w:type="dxa"/>
          </w:tcPr>
          <w:p w14:paraId="00E8AA96" w14:textId="77777777" w:rsidR="00DA7D84" w:rsidRPr="00BC166B" w:rsidRDefault="00DA7D84">
            <w:pPr>
              <w:rPr>
                <w:rFonts w:cs="Calibri"/>
                <w:sz w:val="20"/>
                <w:szCs w:val="20"/>
              </w:rPr>
            </w:pPr>
            <w:r w:rsidRPr="00BC166B">
              <w:rPr>
                <w:rFonts w:eastAsia="Times New Roman" w:cs="Calibri"/>
                <w:sz w:val="20"/>
                <w:szCs w:val="20"/>
              </w:rPr>
              <w:t>NR</w:t>
            </w:r>
          </w:p>
        </w:tc>
        <w:tc>
          <w:tcPr>
            <w:tcW w:w="1509" w:type="dxa"/>
            <w:vAlign w:val="center"/>
          </w:tcPr>
          <w:p w14:paraId="78E4F85B" w14:textId="77777777" w:rsidR="00DA7D84" w:rsidRPr="00BC166B" w:rsidRDefault="00DA7D84">
            <w:pPr>
              <w:rPr>
                <w:rFonts w:cs="Calibri"/>
                <w:sz w:val="20"/>
                <w:szCs w:val="20"/>
              </w:rPr>
            </w:pPr>
            <w:r w:rsidRPr="00BC166B">
              <w:rPr>
                <w:rFonts w:eastAsia="Times New Roman" w:cs="Calibri"/>
                <w:sz w:val="20"/>
                <w:szCs w:val="20"/>
              </w:rPr>
              <w:t>82.4%</w:t>
            </w:r>
          </w:p>
        </w:tc>
        <w:tc>
          <w:tcPr>
            <w:tcW w:w="1512" w:type="dxa"/>
          </w:tcPr>
          <w:p w14:paraId="0318C049" w14:textId="77777777" w:rsidR="00DA7D84" w:rsidRPr="00BC166B" w:rsidRDefault="00DA7D84">
            <w:pPr>
              <w:rPr>
                <w:rFonts w:cs="Calibri"/>
                <w:sz w:val="20"/>
                <w:szCs w:val="20"/>
              </w:rPr>
            </w:pPr>
            <w:r w:rsidRPr="00BC166B">
              <w:rPr>
                <w:rFonts w:cs="Calibri"/>
                <w:sz w:val="20"/>
                <w:szCs w:val="20"/>
              </w:rPr>
              <w:t>89.9%</w:t>
            </w:r>
          </w:p>
        </w:tc>
        <w:tc>
          <w:tcPr>
            <w:tcW w:w="1512" w:type="dxa"/>
          </w:tcPr>
          <w:p w14:paraId="67956DE2" w14:textId="77777777" w:rsidR="00DA7D84" w:rsidRPr="00BC166B" w:rsidRDefault="00DA7D84">
            <w:pPr>
              <w:rPr>
                <w:rFonts w:cs="Calibri"/>
                <w:sz w:val="20"/>
                <w:szCs w:val="20"/>
              </w:rPr>
            </w:pPr>
            <w:r w:rsidRPr="00BC166B">
              <w:rPr>
                <w:rFonts w:cs="Calibri"/>
                <w:sz w:val="20"/>
                <w:szCs w:val="20"/>
              </w:rPr>
              <w:t>91.3%</w:t>
            </w:r>
          </w:p>
        </w:tc>
      </w:tr>
    </w:tbl>
    <w:p w14:paraId="3E402945" w14:textId="09C7B554" w:rsidR="00D53CB8" w:rsidRDefault="00D53CB8" w:rsidP="009F4297"/>
    <w:p w14:paraId="07632164" w14:textId="77777777" w:rsidR="00D2455F" w:rsidRDefault="00D2455F" w:rsidP="009F4297"/>
    <w:p w14:paraId="4304BC94" w14:textId="77777777" w:rsidR="00DA7D84" w:rsidRDefault="00DA7D84" w:rsidP="00963EFC">
      <w:pPr>
        <w:pStyle w:val="Heading3"/>
        <w:spacing w:after="120"/>
      </w:pPr>
      <w:bookmarkStart w:id="25" w:name="_Toc111119059"/>
    </w:p>
    <w:p w14:paraId="09DBA4F6" w14:textId="77777777" w:rsidR="00DA7D84" w:rsidRDefault="00DA7D84" w:rsidP="00963EFC">
      <w:pPr>
        <w:pStyle w:val="Heading3"/>
        <w:spacing w:after="120"/>
      </w:pPr>
    </w:p>
    <w:p w14:paraId="18A06972" w14:textId="77777777" w:rsidR="00DA7D84" w:rsidRDefault="00DA7D84" w:rsidP="00963EFC">
      <w:pPr>
        <w:pStyle w:val="Heading3"/>
        <w:spacing w:after="120"/>
      </w:pPr>
    </w:p>
    <w:p w14:paraId="35FBB7BA" w14:textId="77777777" w:rsidR="00BF6001" w:rsidRDefault="00BF6001" w:rsidP="00963EFC">
      <w:pPr>
        <w:pStyle w:val="Heading3"/>
        <w:spacing w:after="120"/>
      </w:pPr>
    </w:p>
    <w:p w14:paraId="1E8850BC" w14:textId="77777777" w:rsidR="00BF6001" w:rsidRDefault="00BF6001" w:rsidP="00963EFC">
      <w:pPr>
        <w:pStyle w:val="Heading3"/>
        <w:spacing w:after="120"/>
      </w:pPr>
    </w:p>
    <w:p w14:paraId="1560EFC2" w14:textId="021C9B8E" w:rsidR="00963EFC" w:rsidRDefault="00963EFC" w:rsidP="00963EFC">
      <w:pPr>
        <w:pStyle w:val="Heading3"/>
        <w:spacing w:after="120"/>
      </w:pPr>
      <w:bookmarkStart w:id="26" w:name="_Toc190440068"/>
      <w:r w:rsidRPr="00533AA7">
        <w:t xml:space="preserve">Appendix </w:t>
      </w:r>
      <w:r>
        <w:t>D</w:t>
      </w:r>
      <w:r w:rsidRPr="00533AA7">
        <w:t>:</w:t>
      </w:r>
      <w:r>
        <w:t xml:space="preserve"> 2023</w:t>
      </w:r>
      <w:r w:rsidRPr="00533AA7">
        <w:t xml:space="preserve"> EQR Performance Improvement Projects</w:t>
      </w:r>
      <w:r>
        <w:t xml:space="preserve"> (PIPs)</w:t>
      </w:r>
      <w:bookmarkEnd w:id="25"/>
      <w:bookmarkEnd w:id="26"/>
    </w:p>
    <w:p w14:paraId="42DAA8FD" w14:textId="3F94AF59" w:rsidR="00963EFC" w:rsidRPr="00DD74F9" w:rsidRDefault="00963EFC" w:rsidP="00963EFC">
      <w:r>
        <w:t xml:space="preserve">Appendix D summarizes 2023 PIP topic areas, PIP topics, and provides example interventions. More information on the PIPs and the PIP validation process ad results is available in the EQR Annual Technical Reports, accessible on the MassHealth Quality reports and resources web page: </w:t>
      </w:r>
      <w:hyperlink r:id="rId21" w:history="1">
        <w:r>
          <w:rPr>
            <w:rStyle w:val="Hyperlink"/>
          </w:rPr>
          <w:t>www.mass.gov/info-details/masshealth-quality-reports-and-resources</w:t>
        </w:r>
      </w:hyperlink>
      <w:r>
        <w:rPr>
          <w:rStyle w:val="Hyperlink"/>
          <w:u w:val="none"/>
        </w:rPr>
        <w:t>.</w:t>
      </w:r>
    </w:p>
    <w:p w14:paraId="5991BEA3" w14:textId="77777777" w:rsidR="00963EFC" w:rsidRPr="008577CD" w:rsidRDefault="00963EFC" w:rsidP="00963EFC">
      <w:pPr>
        <w:rPr>
          <w:b/>
          <w:bCs/>
          <w:color w:val="002060"/>
        </w:rPr>
      </w:pPr>
      <w:r>
        <w:rPr>
          <w:b/>
          <w:bCs/>
          <w:color w:val="002060"/>
        </w:rPr>
        <w:t>Appendix D-1: ACO (ACCP) Program PIPs 2023: Summary of Topic Areas, Goals, and Intervention Examples</w:t>
      </w:r>
      <w:r>
        <w:rPr>
          <w:color w:val="002060"/>
        </w:rPr>
        <w:t xml:space="preserve"> </w:t>
      </w:r>
      <w:r w:rsidRPr="00A344CE">
        <w:rPr>
          <w:b/>
          <w:bCs/>
        </w:rPr>
        <w:t>(</w:t>
      </w:r>
      <w:r w:rsidRPr="008577CD">
        <w:rPr>
          <w:b/>
          <w:bCs/>
          <w:color w:val="002060"/>
        </w:rPr>
        <w:t>26 PIPS: 13 contracts, 2 projects each)</w:t>
      </w:r>
    </w:p>
    <w:tbl>
      <w:tblPr>
        <w:tblStyle w:val="TableGrid"/>
        <w:tblW w:w="0" w:type="auto"/>
        <w:tblLook w:val="04A0" w:firstRow="1" w:lastRow="0" w:firstColumn="1" w:lastColumn="0" w:noHBand="0" w:noVBand="1"/>
      </w:tblPr>
      <w:tblGrid>
        <w:gridCol w:w="3955"/>
        <w:gridCol w:w="9445"/>
      </w:tblGrid>
      <w:tr w:rsidR="00963EFC" w14:paraId="2B4962DE" w14:textId="77777777">
        <w:tc>
          <w:tcPr>
            <w:tcW w:w="3955" w:type="dxa"/>
            <w:shd w:val="clear" w:color="auto" w:fill="002060"/>
          </w:tcPr>
          <w:p w14:paraId="474B4D0E" w14:textId="77777777" w:rsidR="00963EFC" w:rsidRDefault="00963EFC">
            <w:pPr>
              <w:spacing w:after="160" w:line="259" w:lineRule="auto"/>
            </w:pPr>
            <w:r w:rsidRPr="00A344CE">
              <w:rPr>
                <w:rFonts w:asciiTheme="minorHAnsi" w:eastAsia="Times New Roman" w:hAnsiTheme="minorHAnsi" w:cstheme="minorHAnsi"/>
                <w:b/>
                <w:bCs/>
                <w:sz w:val="20"/>
                <w:szCs w:val="20"/>
              </w:rPr>
              <w:t>PIP Topic</w:t>
            </w:r>
          </w:p>
        </w:tc>
        <w:tc>
          <w:tcPr>
            <w:tcW w:w="9445" w:type="dxa"/>
            <w:shd w:val="clear" w:color="auto" w:fill="002060"/>
          </w:tcPr>
          <w:p w14:paraId="2ED7E3C2" w14:textId="77777777" w:rsidR="00963EFC" w:rsidRDefault="00963EFC">
            <w:pPr>
              <w:spacing w:after="160" w:line="259" w:lineRule="auto"/>
            </w:pPr>
            <w:r w:rsidRPr="00A344CE">
              <w:rPr>
                <w:rFonts w:asciiTheme="minorHAnsi" w:eastAsia="Times New Roman" w:hAnsiTheme="minorHAnsi" w:cstheme="minorHAnsi"/>
                <w:b/>
                <w:bCs/>
                <w:sz w:val="20"/>
                <w:szCs w:val="20"/>
              </w:rPr>
              <w:t>PIP Aim/Goal</w:t>
            </w:r>
            <w:r>
              <w:rPr>
                <w:rFonts w:asciiTheme="minorHAnsi" w:eastAsia="Times New Roman" w:hAnsiTheme="minorHAnsi" w:cstheme="minorHAnsi"/>
                <w:b/>
                <w:bCs/>
                <w:sz w:val="20"/>
                <w:szCs w:val="20"/>
              </w:rPr>
              <w:t xml:space="preserve"> a</w:t>
            </w:r>
            <w:r w:rsidRPr="00A344CE">
              <w:rPr>
                <w:rFonts w:asciiTheme="minorHAnsi" w:eastAsia="Times New Roman" w:hAnsiTheme="minorHAnsi" w:cstheme="minorHAnsi"/>
                <w:b/>
                <w:bCs/>
                <w:sz w:val="20"/>
                <w:szCs w:val="20"/>
              </w:rPr>
              <w:t>nd Intervention Examples</w:t>
            </w:r>
          </w:p>
        </w:tc>
      </w:tr>
      <w:tr w:rsidR="00963EFC" w14:paraId="49480A3B" w14:textId="77777777">
        <w:tc>
          <w:tcPr>
            <w:tcW w:w="3955" w:type="dxa"/>
          </w:tcPr>
          <w:p w14:paraId="3962ACE0" w14:textId="77777777" w:rsidR="00963EFC" w:rsidRDefault="00963EFC">
            <w:pPr>
              <w:spacing w:after="160" w:line="259" w:lineRule="auto"/>
            </w:pPr>
            <w:r>
              <w:rPr>
                <w:rFonts w:asciiTheme="minorHAnsi" w:eastAsia="Times New Roman" w:hAnsiTheme="minorHAnsi" w:cstheme="minorHAnsi"/>
                <w:b/>
                <w:bCs/>
                <w:color w:val="002060"/>
                <w:sz w:val="20"/>
                <w:szCs w:val="20"/>
              </w:rPr>
              <w:t>Care for Chronic Diseases</w:t>
            </w:r>
          </w:p>
        </w:tc>
        <w:tc>
          <w:tcPr>
            <w:tcW w:w="9445" w:type="dxa"/>
          </w:tcPr>
          <w:p w14:paraId="198ED921" w14:textId="77777777" w:rsidR="00963EFC" w:rsidRPr="0041653D" w:rsidRDefault="00963EFC" w:rsidP="00963EFC">
            <w:pPr>
              <w:pStyle w:val="ListParagraph"/>
              <w:numPr>
                <w:ilvl w:val="0"/>
                <w:numId w:val="34"/>
              </w:numPr>
              <w:ind w:left="428"/>
              <w:textAlignment w:val="baseline"/>
              <w:rPr>
                <w:rFonts w:asciiTheme="minorHAnsi" w:eastAsia="Times New Roman" w:hAnsiTheme="minorHAnsi" w:cstheme="minorHAnsi"/>
                <w:b/>
                <w:bCs/>
                <w:color w:val="002060"/>
                <w:sz w:val="20"/>
                <w:szCs w:val="20"/>
              </w:rPr>
            </w:pPr>
            <w:r w:rsidRPr="0041653D">
              <w:rPr>
                <w:rFonts w:asciiTheme="minorHAnsi" w:eastAsia="Times New Roman" w:hAnsiTheme="minorHAnsi" w:cstheme="minorHAnsi"/>
                <w:b/>
                <w:bCs/>
                <w:color w:val="002060"/>
                <w:sz w:val="20"/>
                <w:szCs w:val="20"/>
              </w:rPr>
              <w:t>Aim/Goal</w:t>
            </w:r>
            <w:r w:rsidRPr="0041653D">
              <w:rPr>
                <w:rFonts w:asciiTheme="minorHAnsi" w:eastAsia="Times New Roman" w:hAnsiTheme="minorHAnsi" w:cstheme="minorHAnsi"/>
                <w:color w:val="002060"/>
                <w:sz w:val="20"/>
                <w:szCs w:val="20"/>
              </w:rPr>
              <w:t xml:space="preserve"> </w:t>
            </w:r>
            <w:r>
              <w:rPr>
                <w:rFonts w:asciiTheme="minorHAnsi" w:eastAsia="Times New Roman" w:hAnsiTheme="minorHAnsi" w:cstheme="minorHAnsi"/>
                <w:color w:val="002060"/>
                <w:sz w:val="20"/>
                <w:szCs w:val="20"/>
              </w:rPr>
              <w:t>–</w:t>
            </w:r>
            <w:r>
              <w:rPr>
                <w:rFonts w:asciiTheme="minorHAnsi" w:eastAsia="Times New Roman" w:hAnsiTheme="minorHAnsi" w:cstheme="minorHAnsi"/>
                <w:b/>
                <w:bCs/>
                <w:color w:val="002060"/>
                <w:sz w:val="20"/>
                <w:szCs w:val="20"/>
              </w:rPr>
              <w:t xml:space="preserve"> </w:t>
            </w:r>
            <w:r>
              <w:rPr>
                <w:rFonts w:asciiTheme="minorHAnsi" w:eastAsia="Times New Roman" w:hAnsiTheme="minorHAnsi" w:cstheme="minorHAnsi"/>
                <w:sz w:val="20"/>
                <w:szCs w:val="20"/>
              </w:rPr>
              <w:t xml:space="preserve">Improve the control of high blood pressure </w:t>
            </w:r>
          </w:p>
          <w:p w14:paraId="182C92F8" w14:textId="77777777" w:rsidR="00963EFC" w:rsidRPr="001C1E7C" w:rsidRDefault="00963EFC" w:rsidP="00963EFC">
            <w:pPr>
              <w:pStyle w:val="ListParagraph"/>
              <w:numPr>
                <w:ilvl w:val="0"/>
                <w:numId w:val="34"/>
              </w:numPr>
              <w:spacing w:after="200"/>
              <w:ind w:left="428"/>
              <w:contextualSpacing w:val="0"/>
              <w:textAlignment w:val="baseline"/>
            </w:pPr>
            <w:r w:rsidRPr="0041653D">
              <w:rPr>
                <w:rFonts w:asciiTheme="minorHAnsi" w:eastAsia="Times New Roman" w:hAnsiTheme="minorHAnsi" w:cstheme="minorHAnsi"/>
                <w:b/>
                <w:bCs/>
                <w:color w:val="002060"/>
                <w:sz w:val="20"/>
                <w:szCs w:val="20"/>
              </w:rPr>
              <w:t>Intervention Example</w:t>
            </w:r>
            <w:r w:rsidRPr="0041653D">
              <w:rPr>
                <w:rFonts w:asciiTheme="minorHAnsi" w:eastAsia="Times New Roman" w:hAnsiTheme="minorHAnsi" w:cstheme="minorHAnsi"/>
                <w:color w:val="002060"/>
                <w:sz w:val="20"/>
                <w:szCs w:val="20"/>
              </w:rPr>
              <w:t xml:space="preserve"> -</w:t>
            </w:r>
            <w:r>
              <w:rPr>
                <w:rFonts w:asciiTheme="minorHAnsi" w:eastAsia="Times New Roman" w:hAnsiTheme="minorHAnsi" w:cstheme="minorHAnsi"/>
                <w:sz w:val="20"/>
                <w:szCs w:val="20"/>
              </w:rPr>
              <w:t xml:space="preserve"> </w:t>
            </w:r>
            <w:r w:rsidRPr="001C1E7C">
              <w:rPr>
                <w:rFonts w:asciiTheme="minorHAnsi" w:eastAsia="Times New Roman" w:hAnsiTheme="minorHAnsi" w:cstheme="minorHAnsi"/>
                <w:sz w:val="20"/>
                <w:szCs w:val="20"/>
              </w:rPr>
              <w:t>Improve the provision of culturally and linguistically appropriate care</w:t>
            </w:r>
          </w:p>
          <w:p w14:paraId="010EEE9E" w14:textId="77777777" w:rsidR="00963EFC" w:rsidRPr="0041653D" w:rsidRDefault="00963EFC" w:rsidP="00963EFC">
            <w:pPr>
              <w:pStyle w:val="ListParagraph"/>
              <w:numPr>
                <w:ilvl w:val="0"/>
                <w:numId w:val="34"/>
              </w:numPr>
              <w:ind w:left="428"/>
              <w:textAlignment w:val="baseline"/>
              <w:rPr>
                <w:rFonts w:asciiTheme="minorHAnsi" w:eastAsia="Times New Roman" w:hAnsiTheme="minorHAnsi" w:cstheme="minorHAnsi"/>
                <w:b/>
                <w:bCs/>
                <w:color w:val="002060"/>
                <w:sz w:val="20"/>
                <w:szCs w:val="20"/>
              </w:rPr>
            </w:pPr>
            <w:r w:rsidRPr="0041653D">
              <w:rPr>
                <w:rFonts w:asciiTheme="minorHAnsi" w:eastAsia="Times New Roman" w:hAnsiTheme="minorHAnsi" w:cstheme="minorHAnsi"/>
                <w:b/>
                <w:bCs/>
                <w:color w:val="002060"/>
                <w:sz w:val="20"/>
                <w:szCs w:val="20"/>
              </w:rPr>
              <w:t>Aim/Goal</w:t>
            </w:r>
            <w:r w:rsidRPr="0041653D">
              <w:rPr>
                <w:rFonts w:asciiTheme="minorHAnsi" w:eastAsia="Times New Roman" w:hAnsiTheme="minorHAnsi" w:cstheme="minorHAnsi"/>
                <w:color w:val="002060"/>
                <w:sz w:val="20"/>
                <w:szCs w:val="20"/>
              </w:rPr>
              <w:t xml:space="preserve"> </w:t>
            </w:r>
            <w:r>
              <w:rPr>
                <w:rFonts w:asciiTheme="minorHAnsi" w:eastAsia="Times New Roman" w:hAnsiTheme="minorHAnsi" w:cstheme="minorHAnsi"/>
                <w:color w:val="002060"/>
                <w:sz w:val="20"/>
                <w:szCs w:val="20"/>
              </w:rPr>
              <w:t>–</w:t>
            </w:r>
            <w:r>
              <w:rPr>
                <w:rFonts w:asciiTheme="minorHAnsi" w:eastAsia="Times New Roman" w:hAnsiTheme="minorHAnsi" w:cstheme="minorHAnsi"/>
                <w:b/>
                <w:bCs/>
                <w:color w:val="002060"/>
                <w:sz w:val="20"/>
                <w:szCs w:val="20"/>
              </w:rPr>
              <w:t xml:space="preserve"> </w:t>
            </w:r>
            <w:r>
              <w:rPr>
                <w:rFonts w:asciiTheme="minorHAnsi" w:eastAsia="Times New Roman" w:hAnsiTheme="minorHAnsi" w:cstheme="minorHAnsi"/>
                <w:sz w:val="20"/>
                <w:szCs w:val="20"/>
              </w:rPr>
              <w:t>Improve comprehensive diabetes care</w:t>
            </w:r>
          </w:p>
          <w:p w14:paraId="34E4D18E" w14:textId="77777777" w:rsidR="00963EFC" w:rsidRDefault="00963EFC" w:rsidP="00963EFC">
            <w:pPr>
              <w:pStyle w:val="ListParagraph"/>
              <w:numPr>
                <w:ilvl w:val="0"/>
                <w:numId w:val="34"/>
              </w:numPr>
              <w:spacing w:after="200"/>
              <w:ind w:left="428"/>
              <w:contextualSpacing w:val="0"/>
              <w:textAlignment w:val="baseline"/>
            </w:pPr>
            <w:r w:rsidRPr="0041653D">
              <w:rPr>
                <w:rFonts w:asciiTheme="minorHAnsi" w:eastAsia="Times New Roman" w:hAnsiTheme="minorHAnsi" w:cstheme="minorHAnsi"/>
                <w:b/>
                <w:bCs/>
                <w:color w:val="002060"/>
                <w:sz w:val="20"/>
                <w:szCs w:val="20"/>
              </w:rPr>
              <w:t>Intervention Example</w:t>
            </w:r>
            <w:r w:rsidRPr="0041653D">
              <w:rPr>
                <w:rFonts w:asciiTheme="minorHAnsi" w:eastAsia="Times New Roman" w:hAnsiTheme="minorHAnsi" w:cstheme="minorHAnsi"/>
                <w:color w:val="002060"/>
                <w:sz w:val="20"/>
                <w:szCs w:val="20"/>
              </w:rPr>
              <w:t xml:space="preserve"> -</w:t>
            </w:r>
            <w:r>
              <w:rPr>
                <w:rFonts w:asciiTheme="minorHAnsi" w:eastAsia="Times New Roman" w:hAnsiTheme="minorHAnsi" w:cstheme="minorHAnsi"/>
                <w:sz w:val="20"/>
                <w:szCs w:val="20"/>
              </w:rPr>
              <w:t xml:space="preserve"> </w:t>
            </w:r>
            <w:r w:rsidRPr="005F1165">
              <w:rPr>
                <w:rFonts w:asciiTheme="minorHAnsi" w:eastAsia="Times New Roman" w:hAnsiTheme="minorHAnsi" w:cstheme="minorHAnsi"/>
                <w:sz w:val="20"/>
                <w:szCs w:val="20"/>
              </w:rPr>
              <w:t>Enhance outreach and engagement efforts with members of the Black and Hispanic community generally, including diabetes specific outreach</w:t>
            </w:r>
          </w:p>
        </w:tc>
      </w:tr>
      <w:tr w:rsidR="00963EFC" w14:paraId="33B26A70" w14:textId="77777777">
        <w:tc>
          <w:tcPr>
            <w:tcW w:w="3955" w:type="dxa"/>
          </w:tcPr>
          <w:p w14:paraId="6BBD5003" w14:textId="77777777" w:rsidR="00963EFC" w:rsidRDefault="00963EFC">
            <w:pPr>
              <w:spacing w:after="160" w:line="259" w:lineRule="auto"/>
            </w:pPr>
            <w:r>
              <w:rPr>
                <w:rFonts w:asciiTheme="minorHAnsi" w:eastAsia="Times New Roman" w:hAnsiTheme="minorHAnsi" w:cstheme="minorHAnsi"/>
                <w:b/>
                <w:bCs/>
                <w:color w:val="002060"/>
                <w:sz w:val="20"/>
                <w:szCs w:val="20"/>
              </w:rPr>
              <w:t>Vaccinations</w:t>
            </w:r>
          </w:p>
        </w:tc>
        <w:tc>
          <w:tcPr>
            <w:tcW w:w="9445" w:type="dxa"/>
          </w:tcPr>
          <w:p w14:paraId="58B36BB0" w14:textId="77777777" w:rsidR="00963EFC" w:rsidRPr="0041653D" w:rsidRDefault="00963EFC" w:rsidP="00963EFC">
            <w:pPr>
              <w:pStyle w:val="ListParagraph"/>
              <w:numPr>
                <w:ilvl w:val="0"/>
                <w:numId w:val="34"/>
              </w:numPr>
              <w:ind w:left="428"/>
              <w:textAlignment w:val="baseline"/>
              <w:rPr>
                <w:rFonts w:asciiTheme="minorHAnsi" w:eastAsia="Times New Roman" w:hAnsiTheme="minorHAnsi" w:cstheme="minorHAnsi"/>
                <w:b/>
                <w:bCs/>
                <w:color w:val="002060"/>
                <w:sz w:val="20"/>
                <w:szCs w:val="20"/>
              </w:rPr>
            </w:pPr>
            <w:r w:rsidRPr="0041653D">
              <w:rPr>
                <w:rFonts w:asciiTheme="minorHAnsi" w:eastAsia="Times New Roman" w:hAnsiTheme="minorHAnsi" w:cstheme="minorHAnsi"/>
                <w:b/>
                <w:bCs/>
                <w:color w:val="002060"/>
                <w:sz w:val="20"/>
                <w:szCs w:val="20"/>
              </w:rPr>
              <w:t>Aim/Goal</w:t>
            </w:r>
            <w:r w:rsidRPr="0041653D">
              <w:rPr>
                <w:rFonts w:asciiTheme="minorHAnsi" w:eastAsia="Times New Roman" w:hAnsiTheme="minorHAnsi" w:cstheme="minorHAnsi"/>
                <w:color w:val="002060"/>
                <w:sz w:val="20"/>
                <w:szCs w:val="20"/>
              </w:rPr>
              <w:t xml:space="preserve"> </w:t>
            </w:r>
            <w:r>
              <w:rPr>
                <w:rFonts w:asciiTheme="minorHAnsi" w:eastAsia="Times New Roman" w:hAnsiTheme="minorHAnsi" w:cstheme="minorHAnsi"/>
                <w:color w:val="002060"/>
                <w:sz w:val="20"/>
                <w:szCs w:val="20"/>
              </w:rPr>
              <w:t>–</w:t>
            </w:r>
            <w:r>
              <w:rPr>
                <w:rFonts w:asciiTheme="minorHAnsi" w:eastAsia="Times New Roman" w:hAnsiTheme="minorHAnsi" w:cstheme="minorHAnsi"/>
                <w:b/>
                <w:bCs/>
                <w:color w:val="002060"/>
                <w:sz w:val="20"/>
                <w:szCs w:val="20"/>
              </w:rPr>
              <w:t xml:space="preserve"> </w:t>
            </w:r>
            <w:r w:rsidRPr="00277EBE">
              <w:rPr>
                <w:rFonts w:asciiTheme="minorHAnsi" w:eastAsia="Times New Roman" w:hAnsiTheme="minorHAnsi" w:cstheme="minorHAnsi"/>
                <w:sz w:val="20"/>
                <w:szCs w:val="20"/>
              </w:rPr>
              <w:t>Increase year-over-year flu vaccination rates among Tufts Children’s members</w:t>
            </w:r>
          </w:p>
          <w:p w14:paraId="76372EA7" w14:textId="77777777" w:rsidR="00963EFC" w:rsidRPr="00277EBE" w:rsidRDefault="00963EFC" w:rsidP="00963EFC">
            <w:pPr>
              <w:pStyle w:val="ListParagraph"/>
              <w:numPr>
                <w:ilvl w:val="0"/>
                <w:numId w:val="34"/>
              </w:numPr>
              <w:spacing w:after="200"/>
              <w:ind w:left="428"/>
              <w:contextualSpacing w:val="0"/>
              <w:textAlignment w:val="baseline"/>
            </w:pPr>
            <w:r w:rsidRPr="0041653D">
              <w:rPr>
                <w:rFonts w:asciiTheme="minorHAnsi" w:eastAsia="Times New Roman" w:hAnsiTheme="minorHAnsi" w:cstheme="minorHAnsi"/>
                <w:b/>
                <w:bCs/>
                <w:color w:val="002060"/>
                <w:sz w:val="20"/>
                <w:szCs w:val="20"/>
              </w:rPr>
              <w:t>Intervention Example</w:t>
            </w:r>
            <w:r w:rsidRPr="0041653D">
              <w:rPr>
                <w:rFonts w:asciiTheme="minorHAnsi" w:eastAsia="Times New Roman" w:hAnsiTheme="minorHAnsi" w:cstheme="minorHAnsi"/>
                <w:color w:val="002060"/>
                <w:sz w:val="20"/>
                <w:szCs w:val="20"/>
              </w:rPr>
              <w:t xml:space="preserve"> -</w:t>
            </w:r>
            <w:r>
              <w:rPr>
                <w:rFonts w:asciiTheme="minorHAnsi" w:eastAsia="Times New Roman" w:hAnsiTheme="minorHAnsi" w:cstheme="minorHAnsi"/>
                <w:sz w:val="20"/>
                <w:szCs w:val="20"/>
              </w:rPr>
              <w:t xml:space="preserve"> </w:t>
            </w:r>
            <w:r w:rsidRPr="00277EBE">
              <w:rPr>
                <w:rFonts w:asciiTheme="minorHAnsi" w:eastAsia="Times New Roman" w:hAnsiTheme="minorHAnsi" w:cstheme="minorHAnsi"/>
                <w:sz w:val="20"/>
                <w:szCs w:val="20"/>
              </w:rPr>
              <w:t>Targeted appropriate member/family outreach for flu vaccination</w:t>
            </w:r>
          </w:p>
          <w:p w14:paraId="3E05B634" w14:textId="77777777" w:rsidR="00963EFC" w:rsidRPr="0041653D" w:rsidRDefault="00963EFC" w:rsidP="00963EFC">
            <w:pPr>
              <w:pStyle w:val="ListParagraph"/>
              <w:numPr>
                <w:ilvl w:val="0"/>
                <w:numId w:val="34"/>
              </w:numPr>
              <w:ind w:left="428"/>
              <w:textAlignment w:val="baseline"/>
              <w:rPr>
                <w:rFonts w:asciiTheme="minorHAnsi" w:eastAsia="Times New Roman" w:hAnsiTheme="minorHAnsi" w:cstheme="minorHAnsi"/>
                <w:b/>
                <w:bCs/>
                <w:color w:val="002060"/>
                <w:sz w:val="20"/>
                <w:szCs w:val="20"/>
              </w:rPr>
            </w:pPr>
            <w:r w:rsidRPr="0041653D">
              <w:rPr>
                <w:rFonts w:asciiTheme="minorHAnsi" w:eastAsia="Times New Roman" w:hAnsiTheme="minorHAnsi" w:cstheme="minorHAnsi"/>
                <w:b/>
                <w:bCs/>
                <w:color w:val="002060"/>
                <w:sz w:val="20"/>
                <w:szCs w:val="20"/>
              </w:rPr>
              <w:t>Aim/Goal</w:t>
            </w:r>
            <w:r w:rsidRPr="0041653D">
              <w:rPr>
                <w:rFonts w:asciiTheme="minorHAnsi" w:eastAsia="Times New Roman" w:hAnsiTheme="minorHAnsi" w:cstheme="minorHAnsi"/>
                <w:color w:val="002060"/>
                <w:sz w:val="20"/>
                <w:szCs w:val="20"/>
              </w:rPr>
              <w:t xml:space="preserve"> </w:t>
            </w:r>
            <w:r>
              <w:rPr>
                <w:rFonts w:asciiTheme="minorHAnsi" w:eastAsia="Times New Roman" w:hAnsiTheme="minorHAnsi" w:cstheme="minorHAnsi"/>
                <w:color w:val="002060"/>
                <w:sz w:val="20"/>
                <w:szCs w:val="20"/>
              </w:rPr>
              <w:t>–</w:t>
            </w:r>
            <w:r>
              <w:rPr>
                <w:rFonts w:asciiTheme="minorHAnsi" w:eastAsia="Times New Roman" w:hAnsiTheme="minorHAnsi" w:cstheme="minorHAnsi"/>
                <w:b/>
                <w:bCs/>
                <w:color w:val="002060"/>
                <w:sz w:val="20"/>
                <w:szCs w:val="20"/>
              </w:rPr>
              <w:t xml:space="preserve"> </w:t>
            </w:r>
            <w:r w:rsidRPr="00F957FF">
              <w:rPr>
                <w:rFonts w:asciiTheme="minorHAnsi" w:eastAsia="Times New Roman" w:hAnsiTheme="minorHAnsi" w:cstheme="minorHAnsi"/>
                <w:sz w:val="20"/>
                <w:szCs w:val="20"/>
              </w:rPr>
              <w:t>Increase the Childhood Immunization Status (CIS) Combo 10 HEDIS measure for member &lt; 2 years of age by 5% over baseline</w:t>
            </w:r>
          </w:p>
          <w:p w14:paraId="7C2BB457" w14:textId="77777777" w:rsidR="00963EFC" w:rsidRDefault="00963EFC" w:rsidP="00963EFC">
            <w:pPr>
              <w:pStyle w:val="ListParagraph"/>
              <w:numPr>
                <w:ilvl w:val="0"/>
                <w:numId w:val="34"/>
              </w:numPr>
              <w:spacing w:after="200"/>
              <w:ind w:left="428"/>
              <w:contextualSpacing w:val="0"/>
              <w:textAlignment w:val="baseline"/>
            </w:pPr>
            <w:r w:rsidRPr="0041653D">
              <w:rPr>
                <w:rFonts w:asciiTheme="minorHAnsi" w:eastAsia="Times New Roman" w:hAnsiTheme="minorHAnsi" w:cstheme="minorHAnsi"/>
                <w:b/>
                <w:bCs/>
                <w:color w:val="002060"/>
                <w:sz w:val="20"/>
                <w:szCs w:val="20"/>
              </w:rPr>
              <w:t>Intervention Example</w:t>
            </w:r>
            <w:r w:rsidRPr="0041653D">
              <w:rPr>
                <w:rFonts w:asciiTheme="minorHAnsi" w:eastAsia="Times New Roman" w:hAnsiTheme="minorHAnsi" w:cstheme="minorHAnsi"/>
                <w:color w:val="002060"/>
                <w:sz w:val="20"/>
                <w:szCs w:val="20"/>
              </w:rPr>
              <w:t xml:space="preserve"> -</w:t>
            </w:r>
            <w:r>
              <w:rPr>
                <w:rFonts w:asciiTheme="minorHAnsi" w:eastAsia="Times New Roman" w:hAnsiTheme="minorHAnsi" w:cstheme="minorHAnsi"/>
                <w:sz w:val="20"/>
                <w:szCs w:val="20"/>
              </w:rPr>
              <w:t xml:space="preserve"> </w:t>
            </w:r>
            <w:r w:rsidRPr="006C3256">
              <w:rPr>
                <w:rFonts w:asciiTheme="minorHAnsi" w:eastAsia="Times New Roman" w:hAnsiTheme="minorHAnsi" w:cstheme="minorHAnsi"/>
                <w:sz w:val="20"/>
                <w:szCs w:val="20"/>
              </w:rPr>
              <w:t>Partner with high-volume low performing provider sites to develop new reminder/scheduling systems for flu vaccines for members 6 months to 64 years old</w:t>
            </w:r>
          </w:p>
        </w:tc>
      </w:tr>
      <w:tr w:rsidR="00963EFC" w14:paraId="04E10280" w14:textId="77777777">
        <w:tc>
          <w:tcPr>
            <w:tcW w:w="3955" w:type="dxa"/>
          </w:tcPr>
          <w:p w14:paraId="5EAA15D7" w14:textId="77777777" w:rsidR="00963EFC" w:rsidRDefault="00963EFC">
            <w:pPr>
              <w:spacing w:after="160" w:line="259" w:lineRule="auto"/>
            </w:pPr>
            <w:r>
              <w:rPr>
                <w:rFonts w:asciiTheme="minorHAnsi" w:eastAsia="Times New Roman" w:hAnsiTheme="minorHAnsi" w:cstheme="minorHAnsi"/>
                <w:b/>
                <w:bCs/>
                <w:color w:val="002060"/>
                <w:sz w:val="20"/>
                <w:szCs w:val="20"/>
              </w:rPr>
              <w:lastRenderedPageBreak/>
              <w:t>Telehealth</w:t>
            </w:r>
          </w:p>
        </w:tc>
        <w:tc>
          <w:tcPr>
            <w:tcW w:w="9445" w:type="dxa"/>
          </w:tcPr>
          <w:p w14:paraId="3E14BA10" w14:textId="77777777" w:rsidR="00963EFC" w:rsidRPr="0041653D" w:rsidRDefault="00963EFC" w:rsidP="00963EFC">
            <w:pPr>
              <w:pStyle w:val="ListParagraph"/>
              <w:numPr>
                <w:ilvl w:val="0"/>
                <w:numId w:val="34"/>
              </w:numPr>
              <w:ind w:left="428"/>
              <w:textAlignment w:val="baseline"/>
              <w:rPr>
                <w:rFonts w:asciiTheme="minorHAnsi" w:eastAsia="Times New Roman" w:hAnsiTheme="minorHAnsi" w:cstheme="minorHAnsi"/>
                <w:b/>
                <w:bCs/>
                <w:color w:val="002060"/>
                <w:sz w:val="20"/>
                <w:szCs w:val="20"/>
              </w:rPr>
            </w:pPr>
            <w:r w:rsidRPr="0041653D">
              <w:rPr>
                <w:rFonts w:asciiTheme="minorHAnsi" w:eastAsia="Times New Roman" w:hAnsiTheme="minorHAnsi" w:cstheme="minorHAnsi"/>
                <w:b/>
                <w:bCs/>
                <w:color w:val="002060"/>
                <w:sz w:val="20"/>
                <w:szCs w:val="20"/>
              </w:rPr>
              <w:t>Aim/Goal</w:t>
            </w:r>
            <w:r w:rsidRPr="0041653D">
              <w:rPr>
                <w:rFonts w:asciiTheme="minorHAnsi" w:eastAsia="Times New Roman" w:hAnsiTheme="minorHAnsi" w:cstheme="minorHAnsi"/>
                <w:color w:val="002060"/>
                <w:sz w:val="20"/>
                <w:szCs w:val="20"/>
              </w:rPr>
              <w:t xml:space="preserve"> </w:t>
            </w:r>
            <w:r>
              <w:rPr>
                <w:rFonts w:asciiTheme="minorHAnsi" w:eastAsia="Times New Roman" w:hAnsiTheme="minorHAnsi" w:cstheme="minorHAnsi"/>
                <w:color w:val="002060"/>
                <w:sz w:val="20"/>
                <w:szCs w:val="20"/>
              </w:rPr>
              <w:t>–</w:t>
            </w:r>
            <w:r>
              <w:rPr>
                <w:rFonts w:asciiTheme="minorHAnsi" w:eastAsia="Times New Roman" w:hAnsiTheme="minorHAnsi" w:cstheme="minorHAnsi"/>
                <w:b/>
                <w:bCs/>
                <w:color w:val="002060"/>
                <w:sz w:val="20"/>
                <w:szCs w:val="20"/>
              </w:rPr>
              <w:t xml:space="preserve"> </w:t>
            </w:r>
            <w:r w:rsidRPr="00E42509">
              <w:rPr>
                <w:rFonts w:asciiTheme="minorHAnsi" w:eastAsia="Times New Roman" w:hAnsiTheme="minorHAnsi" w:cstheme="minorHAnsi"/>
                <w:sz w:val="20"/>
                <w:szCs w:val="20"/>
              </w:rPr>
              <w:t>Reduce barriers to Behavioral Health telehealth services</w:t>
            </w:r>
          </w:p>
          <w:p w14:paraId="3C32D34D" w14:textId="77777777" w:rsidR="00963EFC" w:rsidRDefault="00963EFC" w:rsidP="00963EFC">
            <w:pPr>
              <w:pStyle w:val="ListParagraph"/>
              <w:numPr>
                <w:ilvl w:val="0"/>
                <w:numId w:val="34"/>
              </w:numPr>
              <w:spacing w:after="200"/>
              <w:ind w:left="428"/>
              <w:contextualSpacing w:val="0"/>
              <w:textAlignment w:val="baseline"/>
            </w:pPr>
            <w:r w:rsidRPr="0041653D">
              <w:rPr>
                <w:rFonts w:asciiTheme="minorHAnsi" w:eastAsia="Times New Roman" w:hAnsiTheme="minorHAnsi" w:cstheme="minorHAnsi"/>
                <w:b/>
                <w:bCs/>
                <w:color w:val="002060"/>
                <w:sz w:val="20"/>
                <w:szCs w:val="20"/>
              </w:rPr>
              <w:t>Intervention Example</w:t>
            </w:r>
            <w:r w:rsidRPr="0041653D">
              <w:rPr>
                <w:rFonts w:asciiTheme="minorHAnsi" w:eastAsia="Times New Roman" w:hAnsiTheme="minorHAnsi" w:cstheme="minorHAnsi"/>
                <w:color w:val="002060"/>
                <w:sz w:val="20"/>
                <w:szCs w:val="20"/>
              </w:rPr>
              <w:t xml:space="preserve"> -</w:t>
            </w:r>
            <w:r>
              <w:rPr>
                <w:rFonts w:asciiTheme="minorHAnsi" w:eastAsia="Times New Roman" w:hAnsiTheme="minorHAnsi" w:cstheme="minorHAnsi"/>
                <w:sz w:val="20"/>
                <w:szCs w:val="20"/>
              </w:rPr>
              <w:t xml:space="preserve"> </w:t>
            </w:r>
            <w:r w:rsidRPr="00FD1AFB">
              <w:rPr>
                <w:rFonts w:asciiTheme="minorHAnsi" w:eastAsia="Times New Roman" w:hAnsiTheme="minorHAnsi" w:cstheme="minorHAnsi"/>
                <w:sz w:val="20"/>
                <w:szCs w:val="20"/>
              </w:rPr>
              <w:t>Optimizations of the integrated EMR (EPIC) tele-visit platform (MEND)</w:t>
            </w:r>
          </w:p>
        </w:tc>
      </w:tr>
      <w:tr w:rsidR="00963EFC" w14:paraId="09AA708E" w14:textId="77777777">
        <w:tc>
          <w:tcPr>
            <w:tcW w:w="3955" w:type="dxa"/>
          </w:tcPr>
          <w:p w14:paraId="47298D97" w14:textId="77777777" w:rsidR="00963EFC" w:rsidRDefault="00963EFC">
            <w:pPr>
              <w:spacing w:after="160" w:line="259" w:lineRule="auto"/>
            </w:pPr>
            <w:r>
              <w:rPr>
                <w:rFonts w:asciiTheme="minorHAnsi" w:eastAsia="Times New Roman" w:hAnsiTheme="minorHAnsi" w:cstheme="minorHAnsi"/>
                <w:b/>
                <w:bCs/>
                <w:color w:val="002060"/>
                <w:sz w:val="20"/>
                <w:szCs w:val="20"/>
              </w:rPr>
              <w:t>Substance Use Disorder Treatment</w:t>
            </w:r>
          </w:p>
        </w:tc>
        <w:tc>
          <w:tcPr>
            <w:tcW w:w="9445" w:type="dxa"/>
          </w:tcPr>
          <w:p w14:paraId="2029B053" w14:textId="77777777" w:rsidR="00963EFC" w:rsidRPr="0041653D" w:rsidRDefault="00963EFC" w:rsidP="00963EFC">
            <w:pPr>
              <w:pStyle w:val="ListParagraph"/>
              <w:numPr>
                <w:ilvl w:val="0"/>
                <w:numId w:val="34"/>
              </w:numPr>
              <w:ind w:left="428"/>
              <w:textAlignment w:val="baseline"/>
              <w:rPr>
                <w:rFonts w:asciiTheme="minorHAnsi" w:eastAsia="Times New Roman" w:hAnsiTheme="minorHAnsi" w:cstheme="minorHAnsi"/>
                <w:b/>
                <w:bCs/>
                <w:color w:val="002060"/>
                <w:sz w:val="20"/>
                <w:szCs w:val="20"/>
              </w:rPr>
            </w:pPr>
            <w:r w:rsidRPr="0041653D">
              <w:rPr>
                <w:rFonts w:asciiTheme="minorHAnsi" w:eastAsia="Times New Roman" w:hAnsiTheme="minorHAnsi" w:cstheme="minorHAnsi"/>
                <w:b/>
                <w:bCs/>
                <w:color w:val="002060"/>
                <w:sz w:val="20"/>
                <w:szCs w:val="20"/>
              </w:rPr>
              <w:t>Aim/Goal</w:t>
            </w:r>
            <w:r w:rsidRPr="0041653D">
              <w:rPr>
                <w:rFonts w:asciiTheme="minorHAnsi" w:eastAsia="Times New Roman" w:hAnsiTheme="minorHAnsi" w:cstheme="minorHAnsi"/>
                <w:color w:val="002060"/>
                <w:sz w:val="20"/>
                <w:szCs w:val="20"/>
              </w:rPr>
              <w:t xml:space="preserve"> </w:t>
            </w:r>
            <w:r>
              <w:rPr>
                <w:rFonts w:asciiTheme="minorHAnsi" w:eastAsia="Times New Roman" w:hAnsiTheme="minorHAnsi" w:cstheme="minorHAnsi"/>
                <w:color w:val="002060"/>
                <w:sz w:val="20"/>
                <w:szCs w:val="20"/>
              </w:rPr>
              <w:t>–</w:t>
            </w:r>
            <w:r>
              <w:rPr>
                <w:rFonts w:asciiTheme="minorHAnsi" w:eastAsia="Times New Roman" w:hAnsiTheme="minorHAnsi" w:cstheme="minorHAnsi"/>
                <w:b/>
                <w:bCs/>
                <w:color w:val="002060"/>
                <w:sz w:val="20"/>
                <w:szCs w:val="20"/>
              </w:rPr>
              <w:t xml:space="preserve"> </w:t>
            </w:r>
            <w:r w:rsidRPr="00C47F48">
              <w:rPr>
                <w:rFonts w:asciiTheme="minorHAnsi" w:eastAsia="Times New Roman" w:hAnsiTheme="minorHAnsi" w:cstheme="minorHAnsi"/>
                <w:sz w:val="20"/>
                <w:szCs w:val="20"/>
              </w:rPr>
              <w:t>Improve engagement in the AOD Treatment while focusing on both the initiation and engagement components of the IET measure</w:t>
            </w:r>
          </w:p>
          <w:p w14:paraId="7A5E2B27" w14:textId="77777777" w:rsidR="00963EFC" w:rsidRDefault="00963EFC" w:rsidP="00963EFC">
            <w:pPr>
              <w:pStyle w:val="ListParagraph"/>
              <w:numPr>
                <w:ilvl w:val="0"/>
                <w:numId w:val="34"/>
              </w:numPr>
              <w:spacing w:after="200"/>
              <w:ind w:left="428"/>
              <w:contextualSpacing w:val="0"/>
              <w:textAlignment w:val="baseline"/>
            </w:pPr>
            <w:r w:rsidRPr="0041653D">
              <w:rPr>
                <w:rFonts w:asciiTheme="minorHAnsi" w:eastAsia="Times New Roman" w:hAnsiTheme="minorHAnsi" w:cstheme="minorHAnsi"/>
                <w:b/>
                <w:bCs/>
                <w:color w:val="002060"/>
                <w:sz w:val="20"/>
                <w:szCs w:val="20"/>
              </w:rPr>
              <w:t>Intervention Example</w:t>
            </w:r>
            <w:r w:rsidRPr="0041653D">
              <w:rPr>
                <w:rFonts w:asciiTheme="minorHAnsi" w:eastAsia="Times New Roman" w:hAnsiTheme="minorHAnsi" w:cstheme="minorHAnsi"/>
                <w:color w:val="002060"/>
                <w:sz w:val="20"/>
                <w:szCs w:val="20"/>
              </w:rPr>
              <w:t xml:space="preserve"> -</w:t>
            </w:r>
            <w:r>
              <w:rPr>
                <w:rFonts w:asciiTheme="minorHAnsi" w:eastAsia="Times New Roman" w:hAnsiTheme="minorHAnsi" w:cstheme="minorHAnsi"/>
                <w:sz w:val="20"/>
                <w:szCs w:val="20"/>
              </w:rPr>
              <w:t xml:space="preserve"> D</w:t>
            </w:r>
            <w:r w:rsidRPr="00F77BAE">
              <w:rPr>
                <w:rFonts w:asciiTheme="minorHAnsi" w:eastAsia="Times New Roman" w:hAnsiTheme="minorHAnsi" w:cstheme="minorHAnsi"/>
                <w:sz w:val="20"/>
                <w:szCs w:val="20"/>
              </w:rPr>
              <w:t>irect outreach and engagement of females identifying as Hispanic into AOD treatment based off AOD trigger diagnosis</w:t>
            </w:r>
          </w:p>
        </w:tc>
      </w:tr>
    </w:tbl>
    <w:p w14:paraId="7EA6C569" w14:textId="0DA2370C" w:rsidR="00963EFC" w:rsidRPr="008577CD" w:rsidRDefault="00963EFC" w:rsidP="00F81F4D">
      <w:pPr>
        <w:spacing w:after="160" w:line="259" w:lineRule="auto"/>
        <w:rPr>
          <w:b/>
          <w:bCs/>
          <w:color w:val="002060"/>
        </w:rPr>
      </w:pPr>
      <w:r>
        <w:rPr>
          <w:b/>
          <w:bCs/>
          <w:color w:val="002060"/>
        </w:rPr>
        <w:t xml:space="preserve">Appendix D-2: MCO Program PIPs 2023: Summary of Topic Areas, Goals, and Intervention Examples </w:t>
      </w:r>
      <w:r w:rsidRPr="002E1D0A">
        <w:rPr>
          <w:b/>
          <w:bCs/>
        </w:rPr>
        <w:t>(</w:t>
      </w:r>
      <w:r w:rsidRPr="008577CD">
        <w:rPr>
          <w:b/>
          <w:bCs/>
          <w:color w:val="002060"/>
        </w:rPr>
        <w:t xml:space="preserve">4 PIPS: 2 </w:t>
      </w:r>
      <w:r>
        <w:rPr>
          <w:b/>
          <w:bCs/>
          <w:color w:val="002060"/>
        </w:rPr>
        <w:t>contracts</w:t>
      </w:r>
      <w:r w:rsidRPr="008577CD">
        <w:rPr>
          <w:b/>
          <w:bCs/>
          <w:color w:val="002060"/>
        </w:rPr>
        <w:t>, 2 projects each)</w:t>
      </w:r>
    </w:p>
    <w:tbl>
      <w:tblPr>
        <w:tblStyle w:val="TableGrid"/>
        <w:tblW w:w="0" w:type="auto"/>
        <w:jc w:val="center"/>
        <w:tblLook w:val="04A0" w:firstRow="1" w:lastRow="0" w:firstColumn="1" w:lastColumn="0" w:noHBand="0" w:noVBand="1"/>
      </w:tblPr>
      <w:tblGrid>
        <w:gridCol w:w="2878"/>
        <w:gridCol w:w="10522"/>
      </w:tblGrid>
      <w:tr w:rsidR="00963EFC" w14:paraId="05115358" w14:textId="77777777">
        <w:trPr>
          <w:tblHeader/>
          <w:jc w:val="center"/>
        </w:trPr>
        <w:tc>
          <w:tcPr>
            <w:tcW w:w="2880" w:type="dxa"/>
            <w:shd w:val="clear" w:color="auto" w:fill="002060"/>
          </w:tcPr>
          <w:p w14:paraId="5EF04601" w14:textId="77777777" w:rsidR="00963EFC" w:rsidRDefault="00963EFC">
            <w:pPr>
              <w:jc w:val="center"/>
              <w:rPr>
                <w:b/>
                <w:bCs/>
              </w:rPr>
            </w:pPr>
            <w:bookmarkStart w:id="27" w:name="_Hlk184120235"/>
            <w:r w:rsidRPr="00A344CE">
              <w:rPr>
                <w:rFonts w:asciiTheme="minorHAnsi" w:eastAsia="Times New Roman" w:hAnsiTheme="minorHAnsi" w:cstheme="minorHAnsi"/>
                <w:b/>
                <w:bCs/>
                <w:sz w:val="20"/>
                <w:szCs w:val="20"/>
              </w:rPr>
              <w:t>PIP Topic</w:t>
            </w:r>
          </w:p>
        </w:tc>
        <w:tc>
          <w:tcPr>
            <w:tcW w:w="10530" w:type="dxa"/>
            <w:shd w:val="clear" w:color="auto" w:fill="002060"/>
          </w:tcPr>
          <w:p w14:paraId="42BA6DC1" w14:textId="77777777" w:rsidR="00963EFC" w:rsidRDefault="00963EFC">
            <w:pPr>
              <w:rPr>
                <w:b/>
                <w:bCs/>
              </w:rPr>
            </w:pPr>
            <w:r w:rsidRPr="00A344CE">
              <w:rPr>
                <w:rFonts w:asciiTheme="minorHAnsi" w:eastAsia="Times New Roman" w:hAnsiTheme="minorHAnsi" w:cstheme="minorHAnsi"/>
                <w:b/>
                <w:bCs/>
                <w:sz w:val="20"/>
                <w:szCs w:val="20"/>
              </w:rPr>
              <w:t>PIP Aim/Goal</w:t>
            </w:r>
            <w:r>
              <w:rPr>
                <w:rFonts w:asciiTheme="minorHAnsi" w:eastAsia="Times New Roman" w:hAnsiTheme="minorHAnsi" w:cstheme="minorHAnsi"/>
                <w:b/>
                <w:bCs/>
                <w:sz w:val="20"/>
                <w:szCs w:val="20"/>
              </w:rPr>
              <w:t xml:space="preserve"> a</w:t>
            </w:r>
            <w:r w:rsidRPr="00A344CE">
              <w:rPr>
                <w:rFonts w:asciiTheme="minorHAnsi" w:eastAsia="Times New Roman" w:hAnsiTheme="minorHAnsi" w:cstheme="minorHAnsi"/>
                <w:b/>
                <w:bCs/>
                <w:sz w:val="20"/>
                <w:szCs w:val="20"/>
              </w:rPr>
              <w:t>nd Intervention Examples</w:t>
            </w:r>
          </w:p>
        </w:tc>
      </w:tr>
      <w:bookmarkEnd w:id="27"/>
      <w:tr w:rsidR="00963EFC" w14:paraId="75D499C7" w14:textId="77777777">
        <w:trPr>
          <w:jc w:val="center"/>
        </w:trPr>
        <w:tc>
          <w:tcPr>
            <w:tcW w:w="2880" w:type="dxa"/>
            <w:shd w:val="clear" w:color="auto" w:fill="auto"/>
          </w:tcPr>
          <w:p w14:paraId="04B6FC5D" w14:textId="77777777" w:rsidR="00963EFC" w:rsidRPr="00A344CE" w:rsidRDefault="00963EFC">
            <w:pPr>
              <w:rPr>
                <w:rFonts w:asciiTheme="minorHAnsi" w:eastAsia="Times New Roman" w:hAnsiTheme="minorHAnsi" w:cstheme="minorHAnsi"/>
                <w:b/>
                <w:bCs/>
                <w:sz w:val="20"/>
                <w:szCs w:val="20"/>
              </w:rPr>
            </w:pPr>
            <w:r>
              <w:rPr>
                <w:rFonts w:asciiTheme="minorHAnsi" w:eastAsia="Times New Roman" w:hAnsiTheme="minorHAnsi" w:cstheme="minorHAnsi"/>
                <w:b/>
                <w:bCs/>
                <w:color w:val="002060"/>
                <w:sz w:val="20"/>
                <w:szCs w:val="20"/>
              </w:rPr>
              <w:t>Care for Chronic Diseases</w:t>
            </w:r>
          </w:p>
        </w:tc>
        <w:tc>
          <w:tcPr>
            <w:tcW w:w="10530" w:type="dxa"/>
            <w:shd w:val="clear" w:color="auto" w:fill="auto"/>
          </w:tcPr>
          <w:p w14:paraId="7AFC2165" w14:textId="77777777" w:rsidR="00963EFC" w:rsidRPr="0041653D" w:rsidRDefault="00963EFC" w:rsidP="00963EFC">
            <w:pPr>
              <w:pStyle w:val="ListParagraph"/>
              <w:numPr>
                <w:ilvl w:val="0"/>
                <w:numId w:val="34"/>
              </w:numPr>
              <w:ind w:left="428"/>
              <w:textAlignment w:val="baseline"/>
              <w:rPr>
                <w:rFonts w:asciiTheme="minorHAnsi" w:eastAsia="Times New Roman" w:hAnsiTheme="minorHAnsi" w:cstheme="minorHAnsi"/>
                <w:b/>
                <w:bCs/>
                <w:color w:val="002060"/>
                <w:sz w:val="20"/>
                <w:szCs w:val="20"/>
              </w:rPr>
            </w:pPr>
            <w:r w:rsidRPr="0041653D">
              <w:rPr>
                <w:rFonts w:asciiTheme="minorHAnsi" w:eastAsia="Times New Roman" w:hAnsiTheme="minorHAnsi" w:cstheme="minorHAnsi"/>
                <w:b/>
                <w:bCs/>
                <w:color w:val="002060"/>
                <w:sz w:val="20"/>
                <w:szCs w:val="20"/>
              </w:rPr>
              <w:t>Aim/Goal</w:t>
            </w:r>
            <w:r w:rsidRPr="0041653D">
              <w:rPr>
                <w:rFonts w:asciiTheme="minorHAnsi" w:eastAsia="Times New Roman" w:hAnsiTheme="minorHAnsi" w:cstheme="minorHAnsi"/>
                <w:color w:val="002060"/>
                <w:sz w:val="20"/>
                <w:szCs w:val="20"/>
              </w:rPr>
              <w:t xml:space="preserve"> -</w:t>
            </w:r>
            <w:r>
              <w:rPr>
                <w:rFonts w:asciiTheme="minorHAnsi" w:eastAsia="Times New Roman" w:hAnsiTheme="minorHAnsi" w:cstheme="minorHAnsi"/>
                <w:b/>
                <w:bCs/>
                <w:color w:val="002060"/>
                <w:sz w:val="20"/>
                <w:szCs w:val="20"/>
              </w:rPr>
              <w:t xml:space="preserve"> </w:t>
            </w:r>
            <w:r>
              <w:rPr>
                <w:rFonts w:asciiTheme="minorHAnsi" w:eastAsia="Times New Roman" w:hAnsiTheme="minorHAnsi" w:cstheme="minorHAnsi"/>
                <w:sz w:val="20"/>
                <w:szCs w:val="20"/>
              </w:rPr>
              <w:t>Improve comprehensive diabetes care</w:t>
            </w:r>
          </w:p>
          <w:p w14:paraId="359A26F0" w14:textId="77777777" w:rsidR="00963EFC" w:rsidRPr="00646AA5" w:rsidRDefault="00963EFC" w:rsidP="00963EFC">
            <w:pPr>
              <w:pStyle w:val="ListParagraph"/>
              <w:numPr>
                <w:ilvl w:val="0"/>
                <w:numId w:val="34"/>
              </w:numPr>
              <w:spacing w:after="200"/>
              <w:ind w:left="428"/>
              <w:contextualSpacing w:val="0"/>
              <w:textAlignment w:val="baseline"/>
              <w:rPr>
                <w:rFonts w:asciiTheme="minorHAnsi" w:eastAsia="Times New Roman" w:hAnsiTheme="minorHAnsi" w:cstheme="minorHAnsi"/>
                <w:b/>
                <w:bCs/>
                <w:color w:val="002060"/>
                <w:sz w:val="20"/>
                <w:szCs w:val="20"/>
              </w:rPr>
            </w:pPr>
            <w:r w:rsidRPr="0041653D">
              <w:rPr>
                <w:rFonts w:asciiTheme="minorHAnsi" w:eastAsia="Times New Roman" w:hAnsiTheme="minorHAnsi" w:cstheme="minorHAnsi"/>
                <w:b/>
                <w:bCs/>
                <w:color w:val="002060"/>
                <w:sz w:val="20"/>
                <w:szCs w:val="20"/>
              </w:rPr>
              <w:t>Intervention Example</w:t>
            </w:r>
            <w:r w:rsidRPr="0041653D">
              <w:rPr>
                <w:rFonts w:asciiTheme="minorHAnsi" w:eastAsia="Times New Roman" w:hAnsiTheme="minorHAnsi" w:cstheme="minorHAnsi"/>
                <w:color w:val="002060"/>
                <w:sz w:val="20"/>
                <w:szCs w:val="20"/>
              </w:rPr>
              <w:t xml:space="preserve"> -</w:t>
            </w:r>
            <w:r>
              <w:rPr>
                <w:rFonts w:asciiTheme="minorHAnsi" w:eastAsia="Times New Roman" w:hAnsiTheme="minorHAnsi" w:cstheme="minorHAnsi"/>
                <w:sz w:val="20"/>
                <w:szCs w:val="20"/>
              </w:rPr>
              <w:t xml:space="preserve"> </w:t>
            </w:r>
            <w:r w:rsidRPr="00A35FEE">
              <w:rPr>
                <w:rFonts w:asciiTheme="minorHAnsi" w:eastAsia="Times New Roman" w:hAnsiTheme="minorHAnsi" w:cstheme="minorHAnsi"/>
                <w:sz w:val="20"/>
                <w:szCs w:val="20"/>
              </w:rPr>
              <w:t>Texting campaign to provide members w</w:t>
            </w:r>
            <w:r>
              <w:rPr>
                <w:rFonts w:asciiTheme="minorHAnsi" w:eastAsia="Times New Roman" w:hAnsiTheme="minorHAnsi" w:cstheme="minorHAnsi"/>
                <w:sz w:val="20"/>
                <w:szCs w:val="20"/>
              </w:rPr>
              <w:t>ith</w:t>
            </w:r>
            <w:r w:rsidRPr="00A35FEE">
              <w:rPr>
                <w:rFonts w:asciiTheme="minorHAnsi" w:eastAsia="Times New Roman" w:hAnsiTheme="minorHAnsi" w:cstheme="minorHAnsi"/>
                <w:sz w:val="20"/>
                <w:szCs w:val="20"/>
              </w:rPr>
              <w:t xml:space="preserve"> educational information about importance of HbA1c testing/control, exercise/healthy eating, and a member survey to solicit feedback and additional barriers related to HbA1c testing/control among members</w:t>
            </w:r>
            <w:r w:rsidRPr="0041653D">
              <w:rPr>
                <w:rFonts w:asciiTheme="minorHAnsi" w:eastAsia="Times New Roman" w:hAnsiTheme="minorHAnsi" w:cstheme="minorHAnsi"/>
                <w:sz w:val="20"/>
                <w:szCs w:val="20"/>
              </w:rPr>
              <w:t xml:space="preserve"> </w:t>
            </w:r>
            <w:r w:rsidRPr="00646AA5">
              <w:rPr>
                <w:rFonts w:asciiTheme="minorHAnsi" w:eastAsia="Times New Roman" w:hAnsiTheme="minorHAnsi" w:cstheme="minorHAnsi"/>
                <w:sz w:val="20"/>
                <w:szCs w:val="20"/>
              </w:rPr>
              <w:t xml:space="preserve"> </w:t>
            </w:r>
          </w:p>
        </w:tc>
      </w:tr>
      <w:tr w:rsidR="00963EFC" w14:paraId="1B4DF088" w14:textId="77777777">
        <w:trPr>
          <w:jc w:val="center"/>
        </w:trPr>
        <w:tc>
          <w:tcPr>
            <w:tcW w:w="2880" w:type="dxa"/>
            <w:shd w:val="clear" w:color="auto" w:fill="auto"/>
          </w:tcPr>
          <w:p w14:paraId="781C6A44" w14:textId="77777777" w:rsidR="00963EFC" w:rsidRPr="00A344CE" w:rsidRDefault="00963EFC">
            <w:pPr>
              <w:rPr>
                <w:rFonts w:asciiTheme="minorHAnsi" w:eastAsia="Times New Roman" w:hAnsiTheme="minorHAnsi" w:cstheme="minorHAnsi"/>
                <w:b/>
                <w:bCs/>
                <w:color w:val="002060"/>
                <w:sz w:val="20"/>
                <w:szCs w:val="20"/>
              </w:rPr>
            </w:pPr>
            <w:r>
              <w:rPr>
                <w:rFonts w:asciiTheme="minorHAnsi" w:eastAsia="Times New Roman" w:hAnsiTheme="minorHAnsi" w:cstheme="minorHAnsi"/>
                <w:b/>
                <w:bCs/>
                <w:color w:val="002060"/>
                <w:sz w:val="20"/>
                <w:szCs w:val="20"/>
              </w:rPr>
              <w:t>Substance Use Disorder Treatment</w:t>
            </w:r>
            <w:r w:rsidRPr="00A344CE">
              <w:rPr>
                <w:rFonts w:asciiTheme="minorHAnsi" w:eastAsia="Times New Roman" w:hAnsiTheme="minorHAnsi" w:cstheme="minorHAnsi"/>
                <w:b/>
                <w:bCs/>
                <w:color w:val="002060"/>
                <w:sz w:val="20"/>
                <w:szCs w:val="20"/>
              </w:rPr>
              <w:t xml:space="preserve"> </w:t>
            </w:r>
          </w:p>
        </w:tc>
        <w:tc>
          <w:tcPr>
            <w:tcW w:w="10530" w:type="dxa"/>
            <w:shd w:val="clear" w:color="auto" w:fill="auto"/>
          </w:tcPr>
          <w:p w14:paraId="7525A005" w14:textId="77777777" w:rsidR="00963EFC" w:rsidRPr="00F712DA" w:rsidRDefault="00963EFC" w:rsidP="00963EFC">
            <w:pPr>
              <w:pStyle w:val="ListParagraph"/>
              <w:numPr>
                <w:ilvl w:val="0"/>
                <w:numId w:val="35"/>
              </w:numPr>
              <w:ind w:left="428"/>
              <w:textAlignment w:val="baseline"/>
              <w:rPr>
                <w:rFonts w:asciiTheme="minorHAnsi" w:eastAsia="Times New Roman" w:hAnsiTheme="minorHAnsi" w:cstheme="minorHAnsi"/>
                <w:b/>
                <w:bCs/>
                <w:color w:val="002060"/>
                <w:sz w:val="20"/>
                <w:szCs w:val="20"/>
              </w:rPr>
            </w:pPr>
            <w:r w:rsidRPr="00F712DA">
              <w:rPr>
                <w:rFonts w:asciiTheme="minorHAnsi" w:eastAsia="Times New Roman" w:hAnsiTheme="minorHAnsi" w:cstheme="minorHAnsi"/>
                <w:b/>
                <w:bCs/>
                <w:color w:val="002060"/>
                <w:sz w:val="20"/>
                <w:szCs w:val="20"/>
              </w:rPr>
              <w:t>Aim/Goal</w:t>
            </w:r>
            <w:r>
              <w:rPr>
                <w:rFonts w:asciiTheme="minorHAnsi" w:eastAsia="Times New Roman" w:hAnsiTheme="minorHAnsi" w:cstheme="minorHAnsi"/>
                <w:b/>
                <w:bCs/>
                <w:color w:val="002060"/>
                <w:sz w:val="20"/>
                <w:szCs w:val="20"/>
              </w:rPr>
              <w:t xml:space="preserve"> </w:t>
            </w:r>
            <w:r w:rsidRPr="00F712DA">
              <w:rPr>
                <w:rFonts w:asciiTheme="minorHAnsi" w:eastAsia="Times New Roman" w:hAnsiTheme="minorHAnsi" w:cstheme="minorHAnsi"/>
                <w:color w:val="002060"/>
                <w:sz w:val="20"/>
                <w:szCs w:val="20"/>
              </w:rPr>
              <w:t>-</w:t>
            </w:r>
            <w:r>
              <w:rPr>
                <w:rFonts w:asciiTheme="minorHAnsi" w:eastAsia="Times New Roman" w:hAnsiTheme="minorHAnsi" w:cstheme="minorHAnsi"/>
                <w:b/>
                <w:bCs/>
                <w:color w:val="002060"/>
                <w:sz w:val="20"/>
                <w:szCs w:val="20"/>
              </w:rPr>
              <w:t xml:space="preserve"> </w:t>
            </w:r>
            <w:r w:rsidRPr="00642C5A">
              <w:rPr>
                <w:rFonts w:asciiTheme="minorHAnsi" w:eastAsia="Times New Roman" w:hAnsiTheme="minorHAnsi" w:cstheme="minorHAnsi"/>
                <w:color w:val="000000"/>
                <w:sz w:val="20"/>
                <w:szCs w:val="20"/>
              </w:rPr>
              <w:t>Improve member IET; providers improve their individual IET HEDIS score by 2%</w:t>
            </w:r>
            <w:r w:rsidRPr="00F712DA">
              <w:rPr>
                <w:rFonts w:asciiTheme="minorHAnsi" w:eastAsia="Times New Roman" w:hAnsiTheme="minorHAnsi" w:cstheme="minorHAnsi"/>
                <w:b/>
                <w:bCs/>
                <w:color w:val="000000"/>
                <w:sz w:val="20"/>
                <w:szCs w:val="20"/>
              </w:rPr>
              <w:t xml:space="preserve"> </w:t>
            </w:r>
          </w:p>
          <w:p w14:paraId="3F78E09E" w14:textId="77777777" w:rsidR="00963EFC" w:rsidRPr="00646AA5" w:rsidRDefault="00963EFC" w:rsidP="00963EFC">
            <w:pPr>
              <w:pStyle w:val="ListParagraph"/>
              <w:numPr>
                <w:ilvl w:val="0"/>
                <w:numId w:val="35"/>
              </w:numPr>
              <w:spacing w:after="200"/>
              <w:ind w:left="428"/>
              <w:contextualSpacing w:val="0"/>
              <w:textAlignment w:val="baseline"/>
              <w:rPr>
                <w:rFonts w:asciiTheme="minorHAnsi" w:eastAsia="Times New Roman" w:hAnsiTheme="minorHAnsi" w:cstheme="minorHAnsi"/>
                <w:b/>
                <w:bCs/>
                <w:color w:val="002060"/>
                <w:sz w:val="20"/>
                <w:szCs w:val="20"/>
              </w:rPr>
            </w:pPr>
            <w:r w:rsidRPr="00F712DA">
              <w:rPr>
                <w:rFonts w:asciiTheme="minorHAnsi" w:eastAsia="Times New Roman" w:hAnsiTheme="minorHAnsi" w:cstheme="minorHAnsi"/>
                <w:b/>
                <w:bCs/>
                <w:color w:val="002060"/>
                <w:sz w:val="20"/>
                <w:szCs w:val="20"/>
              </w:rPr>
              <w:t>Intervention Example</w:t>
            </w:r>
            <w:r>
              <w:rPr>
                <w:rFonts w:asciiTheme="minorHAnsi" w:eastAsia="Times New Roman" w:hAnsiTheme="minorHAnsi" w:cstheme="minorHAnsi"/>
                <w:b/>
                <w:bCs/>
                <w:color w:val="002060"/>
                <w:sz w:val="20"/>
                <w:szCs w:val="20"/>
              </w:rPr>
              <w:t xml:space="preserve"> -</w:t>
            </w:r>
            <w:r>
              <w:rPr>
                <w:rFonts w:asciiTheme="minorHAnsi" w:eastAsia="Times New Roman" w:hAnsiTheme="minorHAnsi" w:cstheme="minorHAnsi"/>
                <w:color w:val="000000"/>
                <w:sz w:val="20"/>
                <w:szCs w:val="20"/>
              </w:rPr>
              <w:t xml:space="preserve"> </w:t>
            </w:r>
            <w:r w:rsidRPr="008D2CEE">
              <w:rPr>
                <w:rFonts w:asciiTheme="minorHAnsi" w:eastAsia="Times New Roman" w:hAnsiTheme="minorHAnsi" w:cstheme="minorHAnsi"/>
                <w:color w:val="000000"/>
                <w:sz w:val="20"/>
                <w:szCs w:val="20"/>
              </w:rPr>
              <w:t>SUD strategic provider focused quality program</w:t>
            </w:r>
          </w:p>
        </w:tc>
      </w:tr>
      <w:tr w:rsidR="00963EFC" w14:paraId="36FFF441" w14:textId="77777777">
        <w:trPr>
          <w:jc w:val="center"/>
        </w:trPr>
        <w:tc>
          <w:tcPr>
            <w:tcW w:w="2880" w:type="dxa"/>
            <w:shd w:val="clear" w:color="auto" w:fill="auto"/>
          </w:tcPr>
          <w:p w14:paraId="181150CC" w14:textId="77777777" w:rsidR="00963EFC" w:rsidRPr="00A344CE" w:rsidRDefault="00963EFC">
            <w:pPr>
              <w:spacing w:after="240"/>
              <w:textAlignment w:val="baseline"/>
              <w:rPr>
                <w:rFonts w:asciiTheme="minorHAnsi" w:eastAsia="Times New Roman" w:hAnsiTheme="minorHAnsi" w:cstheme="minorHAnsi"/>
                <w:b/>
                <w:bCs/>
                <w:color w:val="002060"/>
                <w:sz w:val="20"/>
                <w:szCs w:val="20"/>
              </w:rPr>
            </w:pPr>
            <w:r>
              <w:rPr>
                <w:rFonts w:asciiTheme="minorHAnsi" w:eastAsia="Times New Roman" w:hAnsiTheme="minorHAnsi" w:cstheme="minorHAnsi"/>
                <w:b/>
                <w:bCs/>
                <w:color w:val="002060"/>
                <w:sz w:val="20"/>
                <w:szCs w:val="20"/>
              </w:rPr>
              <w:t>Perinatal Health</w:t>
            </w:r>
          </w:p>
        </w:tc>
        <w:tc>
          <w:tcPr>
            <w:tcW w:w="10530" w:type="dxa"/>
            <w:shd w:val="clear" w:color="auto" w:fill="auto"/>
          </w:tcPr>
          <w:p w14:paraId="6B556F35" w14:textId="77777777" w:rsidR="00963EFC" w:rsidRPr="00F712DA" w:rsidRDefault="00963EFC" w:rsidP="00963EFC">
            <w:pPr>
              <w:pStyle w:val="ListParagraph"/>
              <w:numPr>
                <w:ilvl w:val="0"/>
                <w:numId w:val="35"/>
              </w:numPr>
              <w:ind w:left="428"/>
              <w:textAlignment w:val="baseline"/>
              <w:rPr>
                <w:rFonts w:asciiTheme="minorHAnsi" w:eastAsia="Times New Roman" w:hAnsiTheme="minorHAnsi" w:cstheme="minorHAnsi"/>
                <w:b/>
                <w:bCs/>
                <w:color w:val="002060"/>
                <w:sz w:val="20"/>
                <w:szCs w:val="20"/>
              </w:rPr>
            </w:pPr>
            <w:r w:rsidRPr="00F712DA">
              <w:rPr>
                <w:rFonts w:asciiTheme="minorHAnsi" w:eastAsia="Times New Roman" w:hAnsiTheme="minorHAnsi" w:cstheme="minorHAnsi"/>
                <w:b/>
                <w:bCs/>
                <w:color w:val="002060"/>
                <w:sz w:val="20"/>
                <w:szCs w:val="20"/>
              </w:rPr>
              <w:t>Aim/Goal</w:t>
            </w:r>
            <w:r>
              <w:rPr>
                <w:rFonts w:asciiTheme="minorHAnsi" w:eastAsia="Times New Roman" w:hAnsiTheme="minorHAnsi" w:cstheme="minorHAnsi"/>
                <w:b/>
                <w:bCs/>
                <w:color w:val="002060"/>
                <w:sz w:val="20"/>
                <w:szCs w:val="20"/>
              </w:rPr>
              <w:t xml:space="preserve"> </w:t>
            </w:r>
            <w:r w:rsidRPr="00F712DA">
              <w:rPr>
                <w:rFonts w:asciiTheme="minorHAnsi" w:eastAsia="Times New Roman" w:hAnsiTheme="minorHAnsi" w:cstheme="minorHAnsi"/>
                <w:color w:val="002060"/>
                <w:sz w:val="20"/>
                <w:szCs w:val="20"/>
              </w:rPr>
              <w:t>-</w:t>
            </w:r>
            <w:r>
              <w:rPr>
                <w:rFonts w:asciiTheme="minorHAnsi" w:eastAsia="Times New Roman" w:hAnsiTheme="minorHAnsi" w:cstheme="minorHAnsi"/>
                <w:b/>
                <w:bCs/>
                <w:color w:val="002060"/>
                <w:sz w:val="20"/>
                <w:szCs w:val="20"/>
              </w:rPr>
              <w:t xml:space="preserve"> </w:t>
            </w:r>
            <w:r w:rsidRPr="000C6783">
              <w:rPr>
                <w:rFonts w:asciiTheme="minorHAnsi" w:eastAsia="Times New Roman" w:hAnsiTheme="minorHAnsi" w:cstheme="minorHAnsi"/>
                <w:color w:val="000000"/>
                <w:sz w:val="20"/>
                <w:szCs w:val="20"/>
              </w:rPr>
              <w:t>Improve prenatal and postpartum care outcomes and reduce racial and ethnic health disparities around prenatal and postpartum care through member and provider focused activities</w:t>
            </w:r>
          </w:p>
          <w:p w14:paraId="479840EF" w14:textId="77777777" w:rsidR="00963EFC" w:rsidRPr="00F712DA" w:rsidRDefault="00963EFC" w:rsidP="00963EFC">
            <w:pPr>
              <w:pStyle w:val="ListParagraph"/>
              <w:numPr>
                <w:ilvl w:val="0"/>
                <w:numId w:val="35"/>
              </w:numPr>
              <w:ind w:left="428"/>
              <w:textAlignment w:val="baseline"/>
              <w:rPr>
                <w:rFonts w:asciiTheme="minorHAnsi" w:eastAsia="Times New Roman" w:hAnsiTheme="minorHAnsi" w:cstheme="minorHAnsi"/>
                <w:b/>
                <w:bCs/>
                <w:color w:val="002060"/>
                <w:sz w:val="20"/>
                <w:szCs w:val="20"/>
              </w:rPr>
            </w:pPr>
            <w:r w:rsidRPr="00F712DA">
              <w:rPr>
                <w:rFonts w:asciiTheme="minorHAnsi" w:eastAsia="Times New Roman" w:hAnsiTheme="minorHAnsi" w:cstheme="minorHAnsi"/>
                <w:b/>
                <w:bCs/>
                <w:color w:val="002060"/>
                <w:sz w:val="20"/>
                <w:szCs w:val="20"/>
              </w:rPr>
              <w:t>Intervention Example</w:t>
            </w:r>
            <w:r>
              <w:rPr>
                <w:rFonts w:asciiTheme="minorHAnsi" w:eastAsia="Times New Roman" w:hAnsiTheme="minorHAnsi" w:cstheme="minorHAnsi"/>
                <w:b/>
                <w:bCs/>
                <w:color w:val="002060"/>
                <w:sz w:val="20"/>
                <w:szCs w:val="20"/>
              </w:rPr>
              <w:t xml:space="preserve"> -</w:t>
            </w:r>
            <w:r>
              <w:rPr>
                <w:rFonts w:asciiTheme="minorHAnsi" w:eastAsia="Times New Roman" w:hAnsiTheme="minorHAnsi" w:cstheme="minorHAnsi"/>
                <w:color w:val="000000"/>
                <w:sz w:val="20"/>
                <w:szCs w:val="20"/>
              </w:rPr>
              <w:t xml:space="preserve"> </w:t>
            </w:r>
            <w:r w:rsidRPr="00A46B7A">
              <w:rPr>
                <w:rFonts w:asciiTheme="minorHAnsi" w:eastAsia="Times New Roman" w:hAnsiTheme="minorHAnsi" w:cstheme="minorHAnsi"/>
                <w:color w:val="000000"/>
                <w:sz w:val="20"/>
                <w:szCs w:val="20"/>
              </w:rPr>
              <w:t>Partner with Accompany Doula to enhance member experience and better-meet the diverse cultural and linguistic needs of members seeking maternal health care</w:t>
            </w:r>
          </w:p>
        </w:tc>
      </w:tr>
    </w:tbl>
    <w:p w14:paraId="144A3CE1" w14:textId="77777777" w:rsidR="00963EFC" w:rsidRDefault="00963EFC" w:rsidP="00963EFC"/>
    <w:p w14:paraId="7F0E405A" w14:textId="77777777" w:rsidR="00963EFC" w:rsidRPr="00DE3024" w:rsidRDefault="00963EFC" w:rsidP="00963EFC">
      <w:pPr>
        <w:spacing w:after="160" w:line="259" w:lineRule="auto"/>
      </w:pPr>
      <w:r>
        <w:rPr>
          <w:b/>
          <w:bCs/>
          <w:color w:val="002060"/>
        </w:rPr>
        <w:t>Appendix D-3: SCO</w:t>
      </w:r>
      <w:r w:rsidRPr="004633B8">
        <w:rPr>
          <w:b/>
          <w:bCs/>
          <w:color w:val="002060"/>
        </w:rPr>
        <w:t xml:space="preserve"> </w:t>
      </w:r>
      <w:r>
        <w:rPr>
          <w:b/>
          <w:bCs/>
          <w:color w:val="002060"/>
        </w:rPr>
        <w:t xml:space="preserve">Program PIPs 2023: Summary of Topic Areas, Goals, and Intervention Examples </w:t>
      </w:r>
      <w:r w:rsidRPr="002E1D0A">
        <w:rPr>
          <w:b/>
          <w:bCs/>
        </w:rPr>
        <w:t>(</w:t>
      </w:r>
      <w:r w:rsidRPr="005A65F1">
        <w:rPr>
          <w:b/>
          <w:bCs/>
          <w:color w:val="002060"/>
        </w:rPr>
        <w:t>12 PIPS: 6 entities, 2 projects each)</w:t>
      </w:r>
    </w:p>
    <w:tbl>
      <w:tblPr>
        <w:tblStyle w:val="TableGrid"/>
        <w:tblW w:w="13057" w:type="dxa"/>
        <w:jc w:val="center"/>
        <w:tblLook w:val="04A0" w:firstRow="1" w:lastRow="0" w:firstColumn="1" w:lastColumn="0" w:noHBand="0" w:noVBand="1"/>
      </w:tblPr>
      <w:tblGrid>
        <w:gridCol w:w="2825"/>
        <w:gridCol w:w="10220"/>
        <w:gridCol w:w="12"/>
      </w:tblGrid>
      <w:tr w:rsidR="00963EFC" w14:paraId="154A806A" w14:textId="77777777" w:rsidTr="00BC2F64">
        <w:trPr>
          <w:gridAfter w:val="1"/>
          <w:wAfter w:w="12" w:type="dxa"/>
          <w:tblHeader/>
          <w:jc w:val="center"/>
        </w:trPr>
        <w:tc>
          <w:tcPr>
            <w:tcW w:w="2825" w:type="dxa"/>
            <w:shd w:val="clear" w:color="auto" w:fill="002060"/>
          </w:tcPr>
          <w:p w14:paraId="60C7BADF" w14:textId="77777777" w:rsidR="00963EFC" w:rsidRDefault="00963EFC">
            <w:pPr>
              <w:jc w:val="center"/>
            </w:pPr>
            <w:r w:rsidRPr="00A344CE">
              <w:rPr>
                <w:rFonts w:asciiTheme="minorHAnsi" w:eastAsia="Times New Roman" w:hAnsiTheme="minorHAnsi" w:cstheme="minorHAnsi"/>
                <w:b/>
                <w:bCs/>
                <w:sz w:val="20"/>
                <w:szCs w:val="20"/>
              </w:rPr>
              <w:t>PIP Topic</w:t>
            </w:r>
          </w:p>
        </w:tc>
        <w:tc>
          <w:tcPr>
            <w:tcW w:w="10220" w:type="dxa"/>
            <w:shd w:val="clear" w:color="auto" w:fill="002060"/>
          </w:tcPr>
          <w:p w14:paraId="6958F8B7" w14:textId="77777777" w:rsidR="00963EFC" w:rsidRDefault="00963EFC">
            <w:r w:rsidRPr="00A344CE">
              <w:rPr>
                <w:rFonts w:asciiTheme="minorHAnsi" w:eastAsia="Times New Roman" w:hAnsiTheme="minorHAnsi" w:cstheme="minorHAnsi"/>
                <w:b/>
                <w:bCs/>
                <w:sz w:val="20"/>
                <w:szCs w:val="20"/>
              </w:rPr>
              <w:t>PIP Aim/Goal</w:t>
            </w:r>
            <w:r>
              <w:rPr>
                <w:rFonts w:asciiTheme="minorHAnsi" w:eastAsia="Times New Roman" w:hAnsiTheme="minorHAnsi" w:cstheme="minorHAnsi"/>
                <w:b/>
                <w:bCs/>
                <w:sz w:val="20"/>
                <w:szCs w:val="20"/>
              </w:rPr>
              <w:t xml:space="preserve"> a</w:t>
            </w:r>
            <w:r w:rsidRPr="00A344CE">
              <w:rPr>
                <w:rFonts w:asciiTheme="minorHAnsi" w:eastAsia="Times New Roman" w:hAnsiTheme="minorHAnsi" w:cstheme="minorHAnsi"/>
                <w:b/>
                <w:bCs/>
                <w:sz w:val="20"/>
                <w:szCs w:val="20"/>
              </w:rPr>
              <w:t>nd Intervention Examples</w:t>
            </w:r>
          </w:p>
        </w:tc>
      </w:tr>
      <w:tr w:rsidR="00963EFC" w14:paraId="357ACE6C" w14:textId="77777777" w:rsidTr="00BC2F64">
        <w:trPr>
          <w:trHeight w:val="548"/>
          <w:jc w:val="center"/>
        </w:trPr>
        <w:tc>
          <w:tcPr>
            <w:tcW w:w="2825" w:type="dxa"/>
          </w:tcPr>
          <w:p w14:paraId="662D269E" w14:textId="77777777" w:rsidR="00963EFC" w:rsidRPr="00A344CE" w:rsidRDefault="00963EFC">
            <w:pPr>
              <w:rPr>
                <w:rFonts w:asciiTheme="minorHAnsi" w:eastAsia="Times New Roman" w:hAnsiTheme="minorHAnsi" w:cstheme="minorHAnsi"/>
                <w:b/>
                <w:bCs/>
                <w:sz w:val="20"/>
                <w:szCs w:val="20"/>
              </w:rPr>
            </w:pPr>
            <w:r>
              <w:rPr>
                <w:rFonts w:asciiTheme="minorHAnsi" w:eastAsia="Times New Roman" w:hAnsiTheme="minorHAnsi" w:cstheme="minorHAnsi"/>
                <w:b/>
                <w:bCs/>
                <w:color w:val="002060"/>
                <w:sz w:val="20"/>
                <w:szCs w:val="20"/>
              </w:rPr>
              <w:t>Care Coordination</w:t>
            </w:r>
          </w:p>
        </w:tc>
        <w:tc>
          <w:tcPr>
            <w:tcW w:w="10232" w:type="dxa"/>
            <w:gridSpan w:val="2"/>
          </w:tcPr>
          <w:p w14:paraId="6D2F5982" w14:textId="77777777" w:rsidR="00963EFC" w:rsidRPr="00B734FB" w:rsidRDefault="00963EFC" w:rsidP="00963EFC">
            <w:pPr>
              <w:pStyle w:val="ListParagraph"/>
              <w:numPr>
                <w:ilvl w:val="0"/>
                <w:numId w:val="28"/>
              </w:numPr>
              <w:ind w:left="491"/>
              <w:contextualSpacing w:val="0"/>
              <w:textAlignment w:val="baseline"/>
              <w:rPr>
                <w:rFonts w:asciiTheme="minorHAnsi" w:eastAsia="Times New Roman" w:hAnsiTheme="minorHAnsi" w:cstheme="minorHAnsi"/>
                <w:b/>
                <w:bCs/>
                <w:color w:val="002060"/>
                <w:sz w:val="20"/>
                <w:szCs w:val="20"/>
              </w:rPr>
            </w:pPr>
            <w:r w:rsidRPr="00071BFA">
              <w:rPr>
                <w:rFonts w:asciiTheme="minorHAnsi" w:eastAsia="Times New Roman" w:hAnsiTheme="minorHAnsi" w:cstheme="minorHAnsi"/>
                <w:b/>
                <w:bCs/>
                <w:color w:val="002060"/>
                <w:sz w:val="20"/>
                <w:szCs w:val="20"/>
              </w:rPr>
              <w:t>Aim/Goal</w:t>
            </w:r>
            <w:r>
              <w:rPr>
                <w:rFonts w:asciiTheme="minorHAnsi" w:eastAsia="Times New Roman" w:hAnsiTheme="minorHAnsi" w:cstheme="minorHAnsi"/>
                <w:b/>
                <w:bCs/>
                <w:color w:val="002060"/>
                <w:sz w:val="20"/>
                <w:szCs w:val="20"/>
              </w:rPr>
              <w:t xml:space="preserve"> - </w:t>
            </w:r>
            <w:r w:rsidRPr="00D35223">
              <w:rPr>
                <w:rFonts w:asciiTheme="minorHAnsi" w:eastAsia="Times New Roman" w:hAnsiTheme="minorHAnsi" w:cstheme="minorHAnsi"/>
                <w:color w:val="000000"/>
                <w:sz w:val="20"/>
                <w:szCs w:val="20"/>
              </w:rPr>
              <w:t>Increase the percentage of members who have a documented care plan by 5%</w:t>
            </w:r>
          </w:p>
          <w:p w14:paraId="4C89AF76" w14:textId="77777777" w:rsidR="00963EFC" w:rsidRPr="00B734FB" w:rsidRDefault="00963EFC" w:rsidP="00963EFC">
            <w:pPr>
              <w:pStyle w:val="ListParagraph"/>
              <w:numPr>
                <w:ilvl w:val="0"/>
                <w:numId w:val="28"/>
              </w:numPr>
              <w:spacing w:after="200"/>
              <w:ind w:left="491"/>
              <w:contextualSpacing w:val="0"/>
              <w:textAlignment w:val="baseline"/>
              <w:rPr>
                <w:rFonts w:asciiTheme="minorHAnsi" w:eastAsia="Times New Roman" w:hAnsiTheme="minorHAnsi" w:cstheme="minorHAnsi"/>
                <w:b/>
                <w:bCs/>
                <w:color w:val="002060"/>
                <w:sz w:val="20"/>
                <w:szCs w:val="20"/>
              </w:rPr>
            </w:pPr>
            <w:r w:rsidRPr="00B734FB">
              <w:rPr>
                <w:rFonts w:asciiTheme="minorHAnsi" w:eastAsia="Times New Roman" w:hAnsiTheme="minorHAnsi" w:cstheme="minorHAnsi"/>
                <w:b/>
                <w:bCs/>
                <w:color w:val="002060"/>
                <w:sz w:val="20"/>
                <w:szCs w:val="20"/>
              </w:rPr>
              <w:t>Intervention Example -</w:t>
            </w:r>
            <w:r w:rsidRPr="00B734FB">
              <w:rPr>
                <w:rFonts w:asciiTheme="minorHAnsi" w:eastAsia="Times New Roman" w:hAnsiTheme="minorHAnsi" w:cstheme="minorHAnsi"/>
                <w:sz w:val="20"/>
                <w:szCs w:val="20"/>
              </w:rPr>
              <w:t xml:space="preserve"> </w:t>
            </w:r>
            <w:r w:rsidRPr="001B267B">
              <w:rPr>
                <w:rFonts w:asciiTheme="minorHAnsi" w:eastAsia="Times New Roman" w:hAnsiTheme="minorHAnsi" w:cstheme="minorHAnsi"/>
                <w:sz w:val="20"/>
                <w:szCs w:val="20"/>
              </w:rPr>
              <w:t>Hire and train dedicated Transitions of Care nurse care manager (RN</w:t>
            </w:r>
            <w:r>
              <w:rPr>
                <w:rFonts w:asciiTheme="minorHAnsi" w:eastAsia="Times New Roman" w:hAnsiTheme="minorHAnsi" w:cstheme="minorHAnsi"/>
                <w:sz w:val="20"/>
                <w:szCs w:val="20"/>
              </w:rPr>
              <w:t>)</w:t>
            </w:r>
          </w:p>
          <w:p w14:paraId="591D169C" w14:textId="77777777" w:rsidR="00963EFC" w:rsidRPr="00B734FB" w:rsidRDefault="00963EFC" w:rsidP="00963EFC">
            <w:pPr>
              <w:pStyle w:val="ListParagraph"/>
              <w:numPr>
                <w:ilvl w:val="0"/>
                <w:numId w:val="28"/>
              </w:numPr>
              <w:ind w:left="491"/>
              <w:textAlignment w:val="baseline"/>
              <w:rPr>
                <w:rFonts w:asciiTheme="minorHAnsi" w:eastAsia="Times New Roman" w:hAnsiTheme="minorHAnsi" w:cstheme="minorHAnsi"/>
                <w:b/>
                <w:bCs/>
                <w:color w:val="002060"/>
                <w:sz w:val="20"/>
                <w:szCs w:val="20"/>
              </w:rPr>
            </w:pPr>
            <w:r w:rsidRPr="00B734FB">
              <w:rPr>
                <w:rFonts w:asciiTheme="minorHAnsi" w:eastAsia="Times New Roman" w:hAnsiTheme="minorHAnsi" w:cstheme="minorHAnsi"/>
                <w:b/>
                <w:bCs/>
                <w:color w:val="002060"/>
                <w:sz w:val="20"/>
                <w:szCs w:val="20"/>
              </w:rPr>
              <w:t>Aim/Goal</w:t>
            </w:r>
            <w:r>
              <w:rPr>
                <w:rFonts w:asciiTheme="minorHAnsi" w:eastAsia="Times New Roman" w:hAnsiTheme="minorHAnsi" w:cstheme="minorHAnsi"/>
                <w:b/>
                <w:bCs/>
                <w:color w:val="002060"/>
                <w:sz w:val="20"/>
                <w:szCs w:val="20"/>
              </w:rPr>
              <w:t xml:space="preserve"> - </w:t>
            </w:r>
            <w:r w:rsidRPr="00280528">
              <w:rPr>
                <w:rFonts w:asciiTheme="minorHAnsi" w:eastAsia="Times New Roman" w:hAnsiTheme="minorHAnsi" w:cstheme="minorHAnsi"/>
                <w:color w:val="000000"/>
                <w:sz w:val="20"/>
                <w:szCs w:val="20"/>
              </w:rPr>
              <w:t>Increase the post-discharge medication reconciliation rate for members to at least 80%</w:t>
            </w:r>
          </w:p>
          <w:p w14:paraId="4BF94938" w14:textId="77777777" w:rsidR="00963EFC" w:rsidRPr="001B267B" w:rsidRDefault="00963EFC" w:rsidP="00963EFC">
            <w:pPr>
              <w:pStyle w:val="ListParagraph"/>
              <w:numPr>
                <w:ilvl w:val="0"/>
                <w:numId w:val="28"/>
              </w:numPr>
              <w:spacing w:after="200"/>
              <w:ind w:left="491"/>
              <w:contextualSpacing w:val="0"/>
              <w:textAlignment w:val="baseline"/>
              <w:rPr>
                <w:rFonts w:asciiTheme="minorHAnsi" w:eastAsia="Times New Roman" w:hAnsiTheme="minorHAnsi" w:cstheme="minorHAnsi"/>
                <w:b/>
                <w:bCs/>
                <w:color w:val="002060"/>
                <w:sz w:val="20"/>
                <w:szCs w:val="20"/>
              </w:rPr>
            </w:pPr>
            <w:r w:rsidRPr="00B734FB">
              <w:rPr>
                <w:rFonts w:asciiTheme="minorHAnsi" w:eastAsia="Times New Roman" w:hAnsiTheme="minorHAnsi" w:cstheme="minorHAnsi"/>
                <w:b/>
                <w:bCs/>
                <w:color w:val="002060"/>
                <w:sz w:val="20"/>
                <w:szCs w:val="20"/>
              </w:rPr>
              <w:t>Intervention Example</w:t>
            </w:r>
            <w:r>
              <w:rPr>
                <w:rFonts w:asciiTheme="minorHAnsi" w:eastAsia="Times New Roman" w:hAnsiTheme="minorHAnsi" w:cstheme="minorHAnsi"/>
                <w:b/>
                <w:bCs/>
                <w:color w:val="002060"/>
                <w:sz w:val="20"/>
                <w:szCs w:val="20"/>
              </w:rPr>
              <w:t xml:space="preserve"> - </w:t>
            </w:r>
            <w:r w:rsidRPr="000C5051">
              <w:rPr>
                <w:rFonts w:asciiTheme="minorHAnsi" w:eastAsia="Times New Roman" w:hAnsiTheme="minorHAnsi" w:cstheme="minorHAnsi"/>
                <w:sz w:val="20"/>
                <w:szCs w:val="20"/>
              </w:rPr>
              <w:t>Collaborate with Network Inpatient Facilities to support best practice for dissemination of discharge information</w:t>
            </w:r>
          </w:p>
        </w:tc>
      </w:tr>
      <w:tr w:rsidR="00963EFC" w14:paraId="38ED03BA" w14:textId="77777777" w:rsidTr="00BC2F64">
        <w:trPr>
          <w:gridAfter w:val="1"/>
          <w:wAfter w:w="12" w:type="dxa"/>
          <w:jc w:val="center"/>
        </w:trPr>
        <w:tc>
          <w:tcPr>
            <w:tcW w:w="2825" w:type="dxa"/>
          </w:tcPr>
          <w:p w14:paraId="434DE059" w14:textId="77777777" w:rsidR="00963EFC" w:rsidRPr="00A344CE" w:rsidRDefault="00963EFC">
            <w:pPr>
              <w:spacing w:after="240"/>
              <w:textAlignment w:val="baseline"/>
              <w:rPr>
                <w:rFonts w:asciiTheme="minorHAnsi" w:eastAsia="Times New Roman" w:hAnsiTheme="minorHAnsi" w:cstheme="minorHAnsi"/>
                <w:b/>
                <w:bCs/>
                <w:color w:val="002060"/>
                <w:sz w:val="20"/>
                <w:szCs w:val="20"/>
              </w:rPr>
            </w:pPr>
            <w:r>
              <w:rPr>
                <w:rFonts w:asciiTheme="minorHAnsi" w:eastAsia="Times New Roman" w:hAnsiTheme="minorHAnsi" w:cstheme="minorHAnsi"/>
                <w:b/>
                <w:bCs/>
                <w:color w:val="002060"/>
                <w:sz w:val="20"/>
                <w:szCs w:val="20"/>
              </w:rPr>
              <w:t>Vaccinations</w:t>
            </w:r>
          </w:p>
          <w:p w14:paraId="1DA48B61" w14:textId="77777777" w:rsidR="00963EFC" w:rsidRPr="00A344CE" w:rsidRDefault="00963EFC">
            <w:pPr>
              <w:rPr>
                <w:rFonts w:asciiTheme="minorHAnsi" w:eastAsia="Times New Roman" w:hAnsiTheme="minorHAnsi" w:cstheme="minorHAnsi"/>
                <w:b/>
                <w:bCs/>
                <w:color w:val="002060"/>
                <w:sz w:val="20"/>
                <w:szCs w:val="20"/>
              </w:rPr>
            </w:pPr>
          </w:p>
        </w:tc>
        <w:tc>
          <w:tcPr>
            <w:tcW w:w="10220" w:type="dxa"/>
          </w:tcPr>
          <w:p w14:paraId="4C83C1EF" w14:textId="77777777" w:rsidR="00963EFC" w:rsidRPr="00ED29F9" w:rsidRDefault="00963EFC" w:rsidP="00963EFC">
            <w:pPr>
              <w:pStyle w:val="ListParagraph"/>
              <w:numPr>
                <w:ilvl w:val="0"/>
                <w:numId w:val="29"/>
              </w:numPr>
              <w:ind w:left="491"/>
              <w:textAlignment w:val="baseline"/>
              <w:rPr>
                <w:rFonts w:asciiTheme="minorHAnsi" w:eastAsia="Times New Roman" w:hAnsiTheme="minorHAnsi" w:cstheme="minorHAnsi"/>
                <w:b/>
                <w:bCs/>
                <w:color w:val="002060"/>
                <w:sz w:val="20"/>
                <w:szCs w:val="20"/>
              </w:rPr>
            </w:pPr>
            <w:r w:rsidRPr="00ED29F9">
              <w:rPr>
                <w:rFonts w:asciiTheme="minorHAnsi" w:eastAsia="Times New Roman" w:hAnsiTheme="minorHAnsi" w:cstheme="minorHAnsi"/>
                <w:b/>
                <w:bCs/>
                <w:color w:val="002060"/>
                <w:sz w:val="20"/>
                <w:szCs w:val="20"/>
              </w:rPr>
              <w:t>Aim/Goal</w:t>
            </w:r>
            <w:r>
              <w:rPr>
                <w:rFonts w:asciiTheme="minorHAnsi" w:eastAsia="Times New Roman" w:hAnsiTheme="minorHAnsi" w:cstheme="minorHAnsi"/>
                <w:b/>
                <w:bCs/>
                <w:color w:val="002060"/>
                <w:sz w:val="20"/>
                <w:szCs w:val="20"/>
              </w:rPr>
              <w:t xml:space="preserve"> - </w:t>
            </w:r>
            <w:r w:rsidRPr="00096A4F">
              <w:rPr>
                <w:rFonts w:asciiTheme="minorHAnsi" w:eastAsia="Times New Roman" w:hAnsiTheme="minorHAnsi" w:cstheme="minorHAnsi"/>
                <w:color w:val="000000"/>
                <w:sz w:val="20"/>
                <w:szCs w:val="20"/>
              </w:rPr>
              <w:t>Identify and understand barriers to flu vaccinations specific to different racial groups</w:t>
            </w:r>
          </w:p>
          <w:p w14:paraId="75B3C26A" w14:textId="77777777" w:rsidR="00963EFC" w:rsidRPr="00ED29F9" w:rsidRDefault="00963EFC" w:rsidP="00963EFC">
            <w:pPr>
              <w:pStyle w:val="ListParagraph"/>
              <w:numPr>
                <w:ilvl w:val="0"/>
                <w:numId w:val="29"/>
              </w:numPr>
              <w:spacing w:after="200"/>
              <w:ind w:left="491"/>
              <w:contextualSpacing w:val="0"/>
              <w:textAlignment w:val="baseline"/>
              <w:rPr>
                <w:rFonts w:asciiTheme="minorHAnsi" w:eastAsia="Times New Roman" w:hAnsiTheme="minorHAnsi" w:cstheme="minorHAnsi"/>
                <w:b/>
                <w:bCs/>
                <w:color w:val="002060"/>
                <w:sz w:val="20"/>
                <w:szCs w:val="20"/>
              </w:rPr>
            </w:pPr>
            <w:r w:rsidRPr="00ED29F9">
              <w:rPr>
                <w:rFonts w:asciiTheme="minorHAnsi" w:eastAsia="Times New Roman" w:hAnsiTheme="minorHAnsi" w:cstheme="minorHAnsi"/>
                <w:b/>
                <w:bCs/>
                <w:color w:val="002060"/>
                <w:sz w:val="20"/>
                <w:szCs w:val="20"/>
              </w:rPr>
              <w:lastRenderedPageBreak/>
              <w:t>Intervention Example</w:t>
            </w:r>
            <w:r>
              <w:rPr>
                <w:rFonts w:asciiTheme="minorHAnsi" w:eastAsia="Times New Roman" w:hAnsiTheme="minorHAnsi" w:cstheme="minorHAnsi"/>
                <w:b/>
                <w:bCs/>
                <w:color w:val="002060"/>
                <w:sz w:val="20"/>
                <w:szCs w:val="20"/>
              </w:rPr>
              <w:t xml:space="preserve"> - </w:t>
            </w:r>
            <w:r w:rsidRPr="00B22862">
              <w:rPr>
                <w:rFonts w:asciiTheme="minorHAnsi" w:eastAsia="Times New Roman" w:hAnsiTheme="minorHAnsi" w:cstheme="minorHAnsi"/>
                <w:sz w:val="20"/>
                <w:szCs w:val="20"/>
              </w:rPr>
              <w:t>Educational flu vaccination outreach for SCO member populations at risk of experiencing disparities related to Race, Ethnicity or Language</w:t>
            </w:r>
          </w:p>
          <w:p w14:paraId="0C365F7C" w14:textId="77777777" w:rsidR="00963EFC" w:rsidRPr="00ED29F9" w:rsidRDefault="00963EFC" w:rsidP="00963EFC">
            <w:pPr>
              <w:pStyle w:val="ListParagraph"/>
              <w:numPr>
                <w:ilvl w:val="0"/>
                <w:numId w:val="29"/>
              </w:numPr>
              <w:ind w:left="491"/>
              <w:textAlignment w:val="baseline"/>
              <w:rPr>
                <w:rFonts w:asciiTheme="minorHAnsi" w:eastAsia="Times New Roman" w:hAnsiTheme="minorHAnsi" w:cstheme="minorHAnsi"/>
                <w:b/>
                <w:bCs/>
                <w:color w:val="002060"/>
                <w:sz w:val="20"/>
                <w:szCs w:val="20"/>
              </w:rPr>
            </w:pPr>
            <w:r w:rsidRPr="00ED29F9">
              <w:rPr>
                <w:rFonts w:asciiTheme="minorHAnsi" w:eastAsia="Times New Roman" w:hAnsiTheme="minorHAnsi" w:cstheme="minorHAnsi"/>
                <w:b/>
                <w:bCs/>
                <w:color w:val="002060"/>
                <w:sz w:val="20"/>
                <w:szCs w:val="20"/>
              </w:rPr>
              <w:t>Aim/Goal</w:t>
            </w:r>
            <w:r>
              <w:rPr>
                <w:rFonts w:asciiTheme="minorHAnsi" w:eastAsia="Times New Roman" w:hAnsiTheme="minorHAnsi" w:cstheme="minorHAnsi"/>
                <w:b/>
                <w:bCs/>
                <w:color w:val="002060"/>
                <w:sz w:val="20"/>
                <w:szCs w:val="20"/>
              </w:rPr>
              <w:t xml:space="preserve"> - </w:t>
            </w:r>
            <w:r w:rsidRPr="00AA4773">
              <w:rPr>
                <w:rFonts w:asciiTheme="minorHAnsi" w:eastAsia="Times New Roman" w:hAnsiTheme="minorHAnsi" w:cstheme="minorHAnsi"/>
                <w:color w:val="000000" w:themeColor="text1"/>
                <w:sz w:val="20"/>
                <w:szCs w:val="20"/>
              </w:rPr>
              <w:t>Increase flu vaccination rate</w:t>
            </w:r>
          </w:p>
          <w:p w14:paraId="1CF9DF02" w14:textId="77777777" w:rsidR="00963EFC" w:rsidRPr="005E7F4E" w:rsidRDefault="00963EFC" w:rsidP="00963EFC">
            <w:pPr>
              <w:pStyle w:val="ListParagraph"/>
              <w:numPr>
                <w:ilvl w:val="0"/>
                <w:numId w:val="29"/>
              </w:numPr>
              <w:spacing w:after="120"/>
              <w:ind w:left="490"/>
              <w:contextualSpacing w:val="0"/>
              <w:textAlignment w:val="baseline"/>
              <w:rPr>
                <w:rFonts w:asciiTheme="minorHAnsi" w:eastAsia="Times New Roman" w:hAnsiTheme="minorHAnsi" w:cstheme="minorHAnsi"/>
                <w:b/>
                <w:bCs/>
                <w:color w:val="002060"/>
                <w:sz w:val="20"/>
                <w:szCs w:val="20"/>
              </w:rPr>
            </w:pPr>
            <w:r w:rsidRPr="00ED29F9">
              <w:rPr>
                <w:rFonts w:asciiTheme="minorHAnsi" w:eastAsia="Times New Roman" w:hAnsiTheme="minorHAnsi" w:cstheme="minorHAnsi"/>
                <w:b/>
                <w:bCs/>
                <w:color w:val="002060"/>
                <w:sz w:val="20"/>
                <w:szCs w:val="20"/>
              </w:rPr>
              <w:t>Intervention Example</w:t>
            </w:r>
            <w:r>
              <w:rPr>
                <w:rFonts w:asciiTheme="minorHAnsi" w:eastAsia="Times New Roman" w:hAnsiTheme="minorHAnsi" w:cstheme="minorHAnsi"/>
                <w:b/>
                <w:bCs/>
                <w:color w:val="002060"/>
                <w:sz w:val="20"/>
                <w:szCs w:val="20"/>
              </w:rPr>
              <w:t xml:space="preserve"> - </w:t>
            </w:r>
            <w:r w:rsidRPr="00AA4773">
              <w:rPr>
                <w:rFonts w:asciiTheme="minorHAnsi" w:eastAsia="Times New Roman" w:hAnsiTheme="minorHAnsi" w:cstheme="minorHAnsi"/>
                <w:sz w:val="20"/>
                <w:szCs w:val="20"/>
              </w:rPr>
              <w:t>Encouraging member flu vaccinations via the Member incentive benefit program</w:t>
            </w:r>
          </w:p>
        </w:tc>
      </w:tr>
    </w:tbl>
    <w:p w14:paraId="48411D09" w14:textId="77777777" w:rsidR="00963EFC" w:rsidRPr="004633B8" w:rsidRDefault="00963EFC" w:rsidP="00963EFC">
      <w:pPr>
        <w:spacing w:before="240"/>
        <w:rPr>
          <w:b/>
          <w:bCs/>
          <w:color w:val="002060"/>
        </w:rPr>
      </w:pPr>
      <w:r>
        <w:rPr>
          <w:b/>
          <w:bCs/>
          <w:color w:val="002060"/>
        </w:rPr>
        <w:lastRenderedPageBreak/>
        <w:t>Appendix D-4: OneCare Program P - IPs 2023: Summary of Topic Areas, Goals, and Intervention Examples</w:t>
      </w:r>
      <w:r w:rsidRPr="002E1D0A">
        <w:rPr>
          <w:b/>
          <w:bCs/>
        </w:rPr>
        <w:t xml:space="preserve"> </w:t>
      </w:r>
      <w:r w:rsidRPr="004633B8">
        <w:rPr>
          <w:b/>
          <w:bCs/>
          <w:color w:val="002060"/>
        </w:rPr>
        <w:t>(</w:t>
      </w:r>
      <w:r>
        <w:rPr>
          <w:b/>
          <w:bCs/>
          <w:color w:val="002060"/>
        </w:rPr>
        <w:t>6</w:t>
      </w:r>
      <w:r w:rsidRPr="004633B8">
        <w:rPr>
          <w:b/>
          <w:bCs/>
          <w:color w:val="002060"/>
        </w:rPr>
        <w:t xml:space="preserve"> PIPS: </w:t>
      </w:r>
      <w:r>
        <w:rPr>
          <w:b/>
          <w:bCs/>
          <w:color w:val="002060"/>
        </w:rPr>
        <w:t>3</w:t>
      </w:r>
      <w:r w:rsidRPr="004633B8">
        <w:rPr>
          <w:b/>
          <w:bCs/>
          <w:color w:val="002060"/>
        </w:rPr>
        <w:t xml:space="preserve"> entities, 2 projects each)</w:t>
      </w:r>
    </w:p>
    <w:tbl>
      <w:tblPr>
        <w:tblStyle w:val="TableGrid"/>
        <w:tblW w:w="13410" w:type="dxa"/>
        <w:jc w:val="center"/>
        <w:tblLook w:val="04A0" w:firstRow="1" w:lastRow="0" w:firstColumn="1" w:lastColumn="0" w:noHBand="0" w:noVBand="1"/>
      </w:tblPr>
      <w:tblGrid>
        <w:gridCol w:w="2880"/>
        <w:gridCol w:w="10530"/>
      </w:tblGrid>
      <w:tr w:rsidR="00963EFC" w14:paraId="336E434C" w14:textId="77777777">
        <w:trPr>
          <w:tblHeader/>
          <w:jc w:val="center"/>
        </w:trPr>
        <w:tc>
          <w:tcPr>
            <w:tcW w:w="2880" w:type="dxa"/>
            <w:shd w:val="clear" w:color="auto" w:fill="002060"/>
          </w:tcPr>
          <w:p w14:paraId="0503BBD0" w14:textId="77777777" w:rsidR="00963EFC" w:rsidRDefault="00963EFC">
            <w:pPr>
              <w:jc w:val="center"/>
            </w:pPr>
            <w:r w:rsidRPr="00A344CE">
              <w:rPr>
                <w:rFonts w:asciiTheme="minorHAnsi" w:eastAsia="Times New Roman" w:hAnsiTheme="minorHAnsi" w:cstheme="minorHAnsi"/>
                <w:b/>
                <w:bCs/>
                <w:sz w:val="20"/>
                <w:szCs w:val="20"/>
              </w:rPr>
              <w:t>PIP Topic</w:t>
            </w:r>
          </w:p>
        </w:tc>
        <w:tc>
          <w:tcPr>
            <w:tcW w:w="10530" w:type="dxa"/>
            <w:shd w:val="clear" w:color="auto" w:fill="002060"/>
          </w:tcPr>
          <w:p w14:paraId="7B48D05C" w14:textId="77777777" w:rsidR="00963EFC" w:rsidRDefault="00963EFC">
            <w:r w:rsidRPr="00A344CE">
              <w:rPr>
                <w:rFonts w:asciiTheme="minorHAnsi" w:eastAsia="Times New Roman" w:hAnsiTheme="minorHAnsi" w:cstheme="minorHAnsi"/>
                <w:b/>
                <w:bCs/>
                <w:sz w:val="20"/>
                <w:szCs w:val="20"/>
              </w:rPr>
              <w:t>PIP Aim/Goal</w:t>
            </w:r>
            <w:r>
              <w:rPr>
                <w:rFonts w:asciiTheme="minorHAnsi" w:eastAsia="Times New Roman" w:hAnsiTheme="minorHAnsi" w:cstheme="minorHAnsi"/>
                <w:b/>
                <w:bCs/>
                <w:sz w:val="20"/>
                <w:szCs w:val="20"/>
              </w:rPr>
              <w:t xml:space="preserve"> </w:t>
            </w:r>
            <w:r w:rsidRPr="00A344CE">
              <w:rPr>
                <w:rFonts w:asciiTheme="minorHAnsi" w:eastAsia="Times New Roman" w:hAnsiTheme="minorHAnsi" w:cstheme="minorHAnsi"/>
                <w:b/>
                <w:bCs/>
                <w:sz w:val="20"/>
                <w:szCs w:val="20"/>
              </w:rPr>
              <w:t>and Intervention Examples</w:t>
            </w:r>
          </w:p>
        </w:tc>
      </w:tr>
      <w:tr w:rsidR="00963EFC" w14:paraId="6CCA5DBF" w14:textId="77777777">
        <w:trPr>
          <w:jc w:val="center"/>
        </w:trPr>
        <w:tc>
          <w:tcPr>
            <w:tcW w:w="2880" w:type="dxa"/>
            <w:shd w:val="clear" w:color="auto" w:fill="auto"/>
          </w:tcPr>
          <w:p w14:paraId="2818876A" w14:textId="77777777" w:rsidR="00963EFC" w:rsidRPr="00A344CE" w:rsidRDefault="00963EFC">
            <w:pPr>
              <w:rPr>
                <w:rFonts w:asciiTheme="minorHAnsi" w:eastAsia="Times New Roman" w:hAnsiTheme="minorHAnsi" w:cstheme="minorHAnsi"/>
                <w:b/>
                <w:bCs/>
                <w:sz w:val="20"/>
                <w:szCs w:val="20"/>
              </w:rPr>
            </w:pPr>
            <w:r>
              <w:rPr>
                <w:rFonts w:asciiTheme="minorHAnsi" w:eastAsia="Times New Roman" w:hAnsiTheme="minorHAnsi" w:cstheme="minorHAnsi"/>
                <w:b/>
                <w:bCs/>
                <w:color w:val="002060"/>
                <w:sz w:val="20"/>
                <w:szCs w:val="20"/>
              </w:rPr>
              <w:t>Vaccinations</w:t>
            </w:r>
          </w:p>
        </w:tc>
        <w:tc>
          <w:tcPr>
            <w:tcW w:w="10530" w:type="dxa"/>
            <w:shd w:val="clear" w:color="auto" w:fill="auto"/>
          </w:tcPr>
          <w:p w14:paraId="500FA7F4" w14:textId="77777777" w:rsidR="00963EFC" w:rsidRPr="0080744B" w:rsidRDefault="00963EFC" w:rsidP="00963EFC">
            <w:pPr>
              <w:pStyle w:val="ListParagraph"/>
              <w:numPr>
                <w:ilvl w:val="0"/>
                <w:numId w:val="30"/>
              </w:numPr>
              <w:ind w:left="428"/>
              <w:textAlignment w:val="baseline"/>
              <w:rPr>
                <w:rFonts w:asciiTheme="minorHAnsi" w:eastAsia="Times New Roman" w:hAnsiTheme="minorHAnsi" w:cstheme="minorHAnsi"/>
                <w:b/>
                <w:bCs/>
                <w:color w:val="002060"/>
                <w:sz w:val="20"/>
                <w:szCs w:val="20"/>
              </w:rPr>
            </w:pPr>
            <w:r w:rsidRPr="00ED29F9">
              <w:rPr>
                <w:rFonts w:asciiTheme="minorHAnsi" w:eastAsia="Times New Roman" w:hAnsiTheme="minorHAnsi" w:cstheme="minorHAnsi"/>
                <w:b/>
                <w:bCs/>
                <w:color w:val="002060"/>
                <w:sz w:val="20"/>
                <w:szCs w:val="20"/>
              </w:rPr>
              <w:t>Aim/Goal</w:t>
            </w:r>
            <w:r>
              <w:rPr>
                <w:rFonts w:asciiTheme="minorHAnsi" w:eastAsia="Times New Roman" w:hAnsiTheme="minorHAnsi" w:cstheme="minorHAnsi"/>
                <w:b/>
                <w:bCs/>
                <w:color w:val="002060"/>
                <w:sz w:val="20"/>
                <w:szCs w:val="20"/>
              </w:rPr>
              <w:t xml:space="preserve"> - </w:t>
            </w:r>
            <w:r w:rsidRPr="00800C31">
              <w:rPr>
                <w:rFonts w:asciiTheme="minorHAnsi" w:hAnsiTheme="minorHAnsi" w:cs="Calibri"/>
                <w:color w:val="000000"/>
                <w:sz w:val="20"/>
                <w:szCs w:val="20"/>
                <w:shd w:val="clear" w:color="auto" w:fill="FFFFFF"/>
              </w:rPr>
              <w:t>To increase flu immunization rates and reduce racial, and ethnic health disparities related to flu vaccination</w:t>
            </w:r>
          </w:p>
          <w:p w14:paraId="03AB0932" w14:textId="77777777" w:rsidR="00963EFC" w:rsidRPr="00ED29F9" w:rsidRDefault="00963EFC" w:rsidP="00963EFC">
            <w:pPr>
              <w:pStyle w:val="ListParagraph"/>
              <w:numPr>
                <w:ilvl w:val="0"/>
                <w:numId w:val="30"/>
              </w:numPr>
              <w:spacing w:after="200"/>
              <w:ind w:left="428"/>
              <w:contextualSpacing w:val="0"/>
              <w:textAlignment w:val="baseline"/>
              <w:rPr>
                <w:rFonts w:asciiTheme="minorHAnsi" w:eastAsia="Times New Roman" w:hAnsiTheme="minorHAnsi" w:cstheme="minorHAnsi"/>
                <w:b/>
                <w:bCs/>
                <w:color w:val="002060"/>
                <w:sz w:val="20"/>
                <w:szCs w:val="20"/>
              </w:rPr>
            </w:pPr>
            <w:r w:rsidRPr="00ED29F9">
              <w:rPr>
                <w:rFonts w:asciiTheme="minorHAnsi" w:eastAsia="Times New Roman" w:hAnsiTheme="minorHAnsi" w:cstheme="minorHAnsi"/>
                <w:b/>
                <w:bCs/>
                <w:color w:val="002060"/>
                <w:sz w:val="20"/>
                <w:szCs w:val="20"/>
              </w:rPr>
              <w:t>Intervention Example</w:t>
            </w:r>
            <w:r>
              <w:rPr>
                <w:rFonts w:asciiTheme="minorHAnsi" w:eastAsia="Times New Roman" w:hAnsiTheme="minorHAnsi" w:cstheme="minorHAnsi"/>
                <w:b/>
                <w:bCs/>
                <w:color w:val="002060"/>
                <w:sz w:val="20"/>
                <w:szCs w:val="20"/>
              </w:rPr>
              <w:t xml:space="preserve"> - </w:t>
            </w:r>
            <w:r w:rsidRPr="00800C31">
              <w:rPr>
                <w:rFonts w:asciiTheme="minorHAnsi" w:hAnsiTheme="minorHAnsi" w:cs="Calibri"/>
                <w:color w:val="000000"/>
                <w:sz w:val="20"/>
                <w:szCs w:val="20"/>
                <w:shd w:val="clear" w:color="auto" w:fill="FFFFFF"/>
              </w:rPr>
              <w:t>Cityblock health community paramedicine program</w:t>
            </w:r>
          </w:p>
          <w:p w14:paraId="538C7690" w14:textId="77777777" w:rsidR="00963EFC" w:rsidRPr="00ED29F9" w:rsidRDefault="00963EFC" w:rsidP="00963EFC">
            <w:pPr>
              <w:pStyle w:val="ListParagraph"/>
              <w:numPr>
                <w:ilvl w:val="0"/>
                <w:numId w:val="30"/>
              </w:numPr>
              <w:ind w:left="428"/>
              <w:textAlignment w:val="baseline"/>
              <w:rPr>
                <w:rFonts w:asciiTheme="minorHAnsi" w:eastAsia="Times New Roman" w:hAnsiTheme="minorHAnsi" w:cstheme="minorHAnsi"/>
                <w:b/>
                <w:bCs/>
                <w:color w:val="002060"/>
                <w:sz w:val="20"/>
                <w:szCs w:val="20"/>
              </w:rPr>
            </w:pPr>
            <w:r w:rsidRPr="00ED29F9">
              <w:rPr>
                <w:rFonts w:asciiTheme="minorHAnsi" w:eastAsia="Times New Roman" w:hAnsiTheme="minorHAnsi" w:cstheme="minorHAnsi"/>
                <w:b/>
                <w:bCs/>
                <w:color w:val="002060"/>
                <w:sz w:val="20"/>
                <w:szCs w:val="20"/>
              </w:rPr>
              <w:t>Aim/Goal</w:t>
            </w:r>
            <w:r>
              <w:rPr>
                <w:rFonts w:asciiTheme="minorHAnsi" w:eastAsia="Times New Roman" w:hAnsiTheme="minorHAnsi" w:cstheme="minorHAnsi"/>
                <w:b/>
                <w:bCs/>
                <w:color w:val="002060"/>
                <w:sz w:val="20"/>
                <w:szCs w:val="20"/>
              </w:rPr>
              <w:t xml:space="preserve"> - </w:t>
            </w:r>
            <w:r w:rsidRPr="00993D58">
              <w:rPr>
                <w:rFonts w:asciiTheme="minorHAnsi" w:eastAsia="Times New Roman" w:hAnsiTheme="minorHAnsi" w:cstheme="minorHAnsi"/>
                <w:sz w:val="20"/>
                <w:szCs w:val="20"/>
              </w:rPr>
              <w:t xml:space="preserve">To improve influenza vaccination rates with a particular focus on population subgroups identified by </w:t>
            </w:r>
            <w:r>
              <w:rPr>
                <w:rFonts w:asciiTheme="minorHAnsi" w:eastAsia="Times New Roman" w:hAnsiTheme="minorHAnsi" w:cstheme="minorHAnsi"/>
                <w:sz w:val="20"/>
                <w:szCs w:val="20"/>
              </w:rPr>
              <w:t>a</w:t>
            </w:r>
            <w:r w:rsidRPr="00993D58">
              <w:rPr>
                <w:rFonts w:asciiTheme="minorHAnsi" w:eastAsia="Times New Roman" w:hAnsiTheme="minorHAnsi" w:cstheme="minorHAnsi"/>
                <w:sz w:val="20"/>
                <w:szCs w:val="20"/>
              </w:rPr>
              <w:t xml:space="preserve"> population analysis as having historically lower vaccination rates compared to the overall</w:t>
            </w:r>
            <w:r>
              <w:rPr>
                <w:rFonts w:asciiTheme="minorHAnsi" w:eastAsia="Times New Roman" w:hAnsiTheme="minorHAnsi" w:cstheme="minorHAnsi"/>
                <w:sz w:val="20"/>
                <w:szCs w:val="20"/>
              </w:rPr>
              <w:t xml:space="preserve"> </w:t>
            </w:r>
            <w:r w:rsidRPr="00993D58">
              <w:rPr>
                <w:rFonts w:asciiTheme="minorHAnsi" w:eastAsia="Times New Roman" w:hAnsiTheme="minorHAnsi" w:cstheme="minorHAnsi"/>
                <w:sz w:val="20"/>
                <w:szCs w:val="20"/>
              </w:rPr>
              <w:t>population vaccination rates and/or compared to the population subgroups with the highest vaccination rates</w:t>
            </w:r>
          </w:p>
          <w:p w14:paraId="4EAD6361" w14:textId="77777777" w:rsidR="00963EFC" w:rsidRPr="00ED29F9" w:rsidRDefault="00963EFC" w:rsidP="00963EFC">
            <w:pPr>
              <w:pStyle w:val="ListParagraph"/>
              <w:numPr>
                <w:ilvl w:val="0"/>
                <w:numId w:val="30"/>
              </w:numPr>
              <w:ind w:left="428"/>
              <w:textAlignment w:val="baseline"/>
              <w:rPr>
                <w:rFonts w:asciiTheme="minorHAnsi" w:eastAsia="Times New Roman" w:hAnsiTheme="minorHAnsi" w:cstheme="minorHAnsi"/>
                <w:b/>
                <w:bCs/>
                <w:color w:val="002060"/>
                <w:sz w:val="20"/>
                <w:szCs w:val="20"/>
              </w:rPr>
            </w:pPr>
            <w:r w:rsidRPr="00ED29F9">
              <w:rPr>
                <w:rFonts w:asciiTheme="minorHAnsi" w:eastAsia="Times New Roman" w:hAnsiTheme="minorHAnsi" w:cstheme="minorHAnsi"/>
                <w:b/>
                <w:bCs/>
                <w:color w:val="002060"/>
                <w:sz w:val="20"/>
                <w:szCs w:val="20"/>
              </w:rPr>
              <w:t>Intervention Example</w:t>
            </w:r>
            <w:r>
              <w:rPr>
                <w:rFonts w:asciiTheme="minorHAnsi" w:eastAsia="Times New Roman" w:hAnsiTheme="minorHAnsi" w:cstheme="minorHAnsi"/>
                <w:b/>
                <w:bCs/>
                <w:color w:val="002060"/>
                <w:sz w:val="20"/>
                <w:szCs w:val="20"/>
              </w:rPr>
              <w:t xml:space="preserve"> - </w:t>
            </w:r>
            <w:r w:rsidRPr="00763551">
              <w:rPr>
                <w:rFonts w:asciiTheme="minorHAnsi" w:eastAsia="Times New Roman" w:hAnsiTheme="minorHAnsi" w:cstheme="minorHAnsi"/>
                <w:sz w:val="20"/>
                <w:szCs w:val="20"/>
              </w:rPr>
              <w:t>The vaccine task force design and implementation of operational standards and practices for vaccine administration</w:t>
            </w:r>
          </w:p>
        </w:tc>
      </w:tr>
      <w:tr w:rsidR="00963EFC" w14:paraId="5B4F2823" w14:textId="77777777">
        <w:trPr>
          <w:jc w:val="center"/>
        </w:trPr>
        <w:tc>
          <w:tcPr>
            <w:tcW w:w="2880" w:type="dxa"/>
            <w:shd w:val="clear" w:color="auto" w:fill="auto"/>
          </w:tcPr>
          <w:p w14:paraId="2A7B5C9A" w14:textId="77777777" w:rsidR="00963EFC" w:rsidRPr="008D7B16" w:rsidRDefault="00963EFC">
            <w:pPr>
              <w:rPr>
                <w:rFonts w:asciiTheme="minorHAnsi" w:eastAsia="Times New Roman" w:hAnsiTheme="minorHAnsi" w:cstheme="minorHAnsi"/>
                <w:b/>
                <w:bCs/>
                <w:color w:val="002060"/>
                <w:sz w:val="20"/>
                <w:szCs w:val="20"/>
              </w:rPr>
            </w:pPr>
            <w:r w:rsidRPr="008D7B16">
              <w:rPr>
                <w:rFonts w:asciiTheme="minorHAnsi" w:eastAsia="Times New Roman" w:hAnsiTheme="minorHAnsi" w:cstheme="minorHAnsi"/>
                <w:b/>
                <w:bCs/>
                <w:color w:val="002060"/>
                <w:sz w:val="20"/>
                <w:szCs w:val="20"/>
              </w:rPr>
              <w:t xml:space="preserve">Care </w:t>
            </w:r>
            <w:r>
              <w:rPr>
                <w:rFonts w:asciiTheme="minorHAnsi" w:eastAsia="Times New Roman" w:hAnsiTheme="minorHAnsi" w:cstheme="minorHAnsi"/>
                <w:b/>
                <w:bCs/>
                <w:color w:val="002060"/>
                <w:sz w:val="20"/>
                <w:szCs w:val="20"/>
              </w:rPr>
              <w:t>Planning</w:t>
            </w:r>
          </w:p>
          <w:p w14:paraId="599C4F4B" w14:textId="77777777" w:rsidR="00963EFC" w:rsidRPr="00A344CE" w:rsidRDefault="00963EFC">
            <w:pPr>
              <w:rPr>
                <w:rFonts w:asciiTheme="minorHAnsi" w:eastAsia="Times New Roman" w:hAnsiTheme="minorHAnsi" w:cstheme="minorHAnsi"/>
                <w:b/>
                <w:bCs/>
                <w:color w:val="002060"/>
                <w:sz w:val="20"/>
                <w:szCs w:val="20"/>
              </w:rPr>
            </w:pPr>
          </w:p>
        </w:tc>
        <w:tc>
          <w:tcPr>
            <w:tcW w:w="10530" w:type="dxa"/>
            <w:shd w:val="clear" w:color="auto" w:fill="auto"/>
          </w:tcPr>
          <w:p w14:paraId="5C9AD7CC" w14:textId="77777777" w:rsidR="00963EFC" w:rsidRPr="00ED29F9" w:rsidRDefault="00963EFC" w:rsidP="00963EFC">
            <w:pPr>
              <w:pStyle w:val="ListParagraph"/>
              <w:numPr>
                <w:ilvl w:val="0"/>
                <w:numId w:val="31"/>
              </w:numPr>
              <w:ind w:left="428"/>
              <w:textAlignment w:val="baseline"/>
              <w:rPr>
                <w:rFonts w:asciiTheme="minorHAnsi" w:eastAsia="Times New Roman" w:hAnsiTheme="minorHAnsi" w:cstheme="minorHAnsi"/>
                <w:b/>
                <w:bCs/>
                <w:color w:val="002060"/>
                <w:sz w:val="20"/>
                <w:szCs w:val="20"/>
              </w:rPr>
            </w:pPr>
            <w:r w:rsidRPr="00ED29F9">
              <w:rPr>
                <w:rFonts w:asciiTheme="minorHAnsi" w:eastAsia="Times New Roman" w:hAnsiTheme="minorHAnsi" w:cstheme="minorHAnsi"/>
                <w:b/>
                <w:bCs/>
                <w:color w:val="002060"/>
                <w:sz w:val="20"/>
                <w:szCs w:val="20"/>
              </w:rPr>
              <w:t>Aim/Goal</w:t>
            </w:r>
            <w:r>
              <w:rPr>
                <w:rFonts w:asciiTheme="minorHAnsi" w:eastAsia="Times New Roman" w:hAnsiTheme="minorHAnsi" w:cstheme="minorHAnsi"/>
                <w:b/>
                <w:bCs/>
                <w:color w:val="002060"/>
                <w:sz w:val="20"/>
                <w:szCs w:val="20"/>
              </w:rPr>
              <w:t xml:space="preserve"> - </w:t>
            </w:r>
            <w:r w:rsidRPr="00327301">
              <w:rPr>
                <w:rFonts w:asciiTheme="minorHAnsi" w:eastAsia="Times New Roman" w:hAnsiTheme="minorHAnsi" w:cstheme="minorHAnsi"/>
                <w:sz w:val="20"/>
                <w:szCs w:val="20"/>
              </w:rPr>
              <w:t>To connect with the female “unreachable”/disconnected (unengaged) members and integrate preventative wellness care gap closure for them when completing assessments and care plans resulting in improved clinical outcomes</w:t>
            </w:r>
          </w:p>
          <w:p w14:paraId="3B5587FF" w14:textId="77777777" w:rsidR="00963EFC" w:rsidRPr="007B7C69" w:rsidRDefault="00963EFC" w:rsidP="00963EFC">
            <w:pPr>
              <w:pStyle w:val="ListParagraph"/>
              <w:numPr>
                <w:ilvl w:val="0"/>
                <w:numId w:val="31"/>
              </w:numPr>
              <w:spacing w:after="200"/>
              <w:ind w:left="428"/>
              <w:contextualSpacing w:val="0"/>
              <w:textAlignment w:val="baseline"/>
              <w:rPr>
                <w:rFonts w:asciiTheme="minorHAnsi" w:eastAsia="Times New Roman" w:hAnsiTheme="minorHAnsi" w:cstheme="minorHAnsi"/>
                <w:b/>
                <w:bCs/>
                <w:color w:val="002060"/>
                <w:sz w:val="20"/>
                <w:szCs w:val="20"/>
              </w:rPr>
            </w:pPr>
            <w:r w:rsidRPr="00ED29F9">
              <w:rPr>
                <w:rFonts w:asciiTheme="minorHAnsi" w:eastAsia="Times New Roman" w:hAnsiTheme="minorHAnsi" w:cstheme="minorHAnsi"/>
                <w:b/>
                <w:bCs/>
                <w:color w:val="002060"/>
                <w:sz w:val="20"/>
                <w:szCs w:val="20"/>
              </w:rPr>
              <w:t>Intervention Example</w:t>
            </w:r>
            <w:r>
              <w:rPr>
                <w:rFonts w:asciiTheme="minorHAnsi" w:eastAsia="Times New Roman" w:hAnsiTheme="minorHAnsi" w:cstheme="minorHAnsi"/>
                <w:b/>
                <w:bCs/>
                <w:color w:val="002060"/>
                <w:sz w:val="20"/>
                <w:szCs w:val="20"/>
              </w:rPr>
              <w:t xml:space="preserve"> - </w:t>
            </w:r>
            <w:r w:rsidRPr="008D2340">
              <w:rPr>
                <w:rFonts w:asciiTheme="minorHAnsi" w:eastAsia="Times New Roman" w:hAnsiTheme="minorHAnsi" w:cstheme="minorHAnsi"/>
                <w:sz w:val="20"/>
                <w:szCs w:val="20"/>
              </w:rPr>
              <w:t>Engage female members in discussions of care goals to address preventive care gap closure care (although not limited to) for breast and cervical cancer screening when completing a comprehensive assessment and individualized member care plan</w:t>
            </w:r>
          </w:p>
        </w:tc>
      </w:tr>
      <w:tr w:rsidR="00963EFC" w14:paraId="7C6600A8" w14:textId="77777777">
        <w:trPr>
          <w:jc w:val="center"/>
        </w:trPr>
        <w:tc>
          <w:tcPr>
            <w:tcW w:w="2880" w:type="dxa"/>
            <w:shd w:val="clear" w:color="auto" w:fill="auto"/>
          </w:tcPr>
          <w:p w14:paraId="06C3B324" w14:textId="77777777" w:rsidR="00963EFC" w:rsidRPr="008D7B16" w:rsidRDefault="00963EFC">
            <w:pPr>
              <w:rPr>
                <w:rFonts w:asciiTheme="minorHAnsi" w:eastAsia="Times New Roman" w:hAnsiTheme="minorHAnsi" w:cstheme="minorHAnsi"/>
                <w:b/>
                <w:bCs/>
                <w:color w:val="002060"/>
                <w:sz w:val="20"/>
                <w:szCs w:val="20"/>
              </w:rPr>
            </w:pPr>
            <w:r>
              <w:rPr>
                <w:rFonts w:asciiTheme="minorHAnsi" w:eastAsia="Times New Roman" w:hAnsiTheme="minorHAnsi" w:cstheme="minorHAnsi"/>
                <w:b/>
                <w:bCs/>
                <w:color w:val="002060"/>
                <w:sz w:val="20"/>
                <w:szCs w:val="20"/>
              </w:rPr>
              <w:t>Follow-up Care</w:t>
            </w:r>
          </w:p>
        </w:tc>
        <w:tc>
          <w:tcPr>
            <w:tcW w:w="10530" w:type="dxa"/>
            <w:shd w:val="clear" w:color="auto" w:fill="auto"/>
          </w:tcPr>
          <w:p w14:paraId="1CBC1930" w14:textId="77777777" w:rsidR="00963EFC" w:rsidRPr="008B43CF" w:rsidRDefault="00963EFC" w:rsidP="00963EFC">
            <w:pPr>
              <w:pStyle w:val="ListParagraph"/>
              <w:numPr>
                <w:ilvl w:val="0"/>
                <w:numId w:val="31"/>
              </w:numPr>
              <w:ind w:left="428"/>
              <w:textAlignment w:val="baseline"/>
              <w:rPr>
                <w:rFonts w:asciiTheme="minorHAnsi" w:eastAsia="Times New Roman" w:hAnsiTheme="minorHAnsi" w:cstheme="minorHAnsi"/>
                <w:b/>
                <w:bCs/>
                <w:color w:val="002060"/>
                <w:sz w:val="20"/>
                <w:szCs w:val="20"/>
              </w:rPr>
            </w:pPr>
            <w:r w:rsidRPr="00ED29F9">
              <w:rPr>
                <w:rFonts w:asciiTheme="minorHAnsi" w:eastAsia="Times New Roman" w:hAnsiTheme="minorHAnsi" w:cstheme="minorHAnsi"/>
                <w:b/>
                <w:bCs/>
                <w:color w:val="002060"/>
                <w:sz w:val="20"/>
                <w:szCs w:val="20"/>
              </w:rPr>
              <w:t>Aim/Goal</w:t>
            </w:r>
            <w:r>
              <w:rPr>
                <w:rFonts w:asciiTheme="minorHAnsi" w:eastAsia="Times New Roman" w:hAnsiTheme="minorHAnsi" w:cstheme="minorHAnsi"/>
                <w:b/>
                <w:bCs/>
                <w:color w:val="002060"/>
                <w:sz w:val="20"/>
                <w:szCs w:val="20"/>
              </w:rPr>
              <w:t xml:space="preserve"> - </w:t>
            </w:r>
            <w:r w:rsidRPr="00FD58B7">
              <w:rPr>
                <w:rFonts w:asciiTheme="minorHAnsi" w:eastAsia="Times New Roman" w:hAnsiTheme="minorHAnsi" w:cstheme="minorHAnsi"/>
                <w:sz w:val="20"/>
                <w:szCs w:val="20"/>
              </w:rPr>
              <w:t>To increase the number of follow-up appointments within 7-days of discharge following a behavioral health inpatient discharge</w:t>
            </w:r>
          </w:p>
          <w:p w14:paraId="771F073F" w14:textId="77777777" w:rsidR="00963EFC" w:rsidRPr="003E2A0A" w:rsidRDefault="00963EFC" w:rsidP="00963EFC">
            <w:pPr>
              <w:pStyle w:val="ListParagraph"/>
              <w:numPr>
                <w:ilvl w:val="0"/>
                <w:numId w:val="31"/>
              </w:numPr>
              <w:ind w:left="428"/>
              <w:textAlignment w:val="baseline"/>
              <w:rPr>
                <w:rFonts w:asciiTheme="minorHAnsi" w:eastAsia="Times New Roman" w:hAnsiTheme="minorHAnsi" w:cstheme="minorHAnsi"/>
                <w:b/>
                <w:bCs/>
                <w:color w:val="002060"/>
                <w:sz w:val="20"/>
                <w:szCs w:val="20"/>
              </w:rPr>
            </w:pPr>
            <w:r w:rsidRPr="008B43CF">
              <w:rPr>
                <w:rFonts w:asciiTheme="minorHAnsi" w:eastAsia="Times New Roman" w:hAnsiTheme="minorHAnsi" w:cstheme="minorHAnsi"/>
                <w:b/>
                <w:bCs/>
                <w:color w:val="002060"/>
                <w:sz w:val="20"/>
                <w:szCs w:val="20"/>
              </w:rPr>
              <w:t>Intervention Example</w:t>
            </w:r>
            <w:r>
              <w:rPr>
                <w:rFonts w:asciiTheme="minorHAnsi" w:eastAsia="Times New Roman" w:hAnsiTheme="minorHAnsi" w:cstheme="minorHAnsi"/>
                <w:b/>
                <w:bCs/>
                <w:color w:val="002060"/>
                <w:sz w:val="20"/>
                <w:szCs w:val="20"/>
              </w:rPr>
              <w:t xml:space="preserve"> -</w:t>
            </w:r>
            <w:r>
              <w:rPr>
                <w:rFonts w:asciiTheme="minorHAnsi" w:eastAsia="Times New Roman" w:hAnsiTheme="minorHAnsi" w:cstheme="minorHAnsi"/>
                <w:sz w:val="20"/>
                <w:szCs w:val="20"/>
              </w:rPr>
              <w:t xml:space="preserve"> </w:t>
            </w:r>
            <w:r w:rsidRPr="00F046F4">
              <w:rPr>
                <w:rFonts w:asciiTheme="minorHAnsi" w:eastAsia="Times New Roman" w:hAnsiTheme="minorHAnsi" w:cstheme="minorHAnsi"/>
                <w:sz w:val="20"/>
                <w:szCs w:val="20"/>
              </w:rPr>
              <w:t xml:space="preserve">Collaboration with </w:t>
            </w:r>
            <w:proofErr w:type="gramStart"/>
            <w:r w:rsidRPr="00F046F4">
              <w:rPr>
                <w:rFonts w:asciiTheme="minorHAnsi" w:eastAsia="Times New Roman" w:hAnsiTheme="minorHAnsi" w:cstheme="minorHAnsi"/>
                <w:sz w:val="20"/>
                <w:szCs w:val="20"/>
              </w:rPr>
              <w:t>inpatient</w:t>
            </w:r>
            <w:proofErr w:type="gramEnd"/>
            <w:r w:rsidRPr="00F046F4">
              <w:rPr>
                <w:rFonts w:asciiTheme="minorHAnsi" w:eastAsia="Times New Roman" w:hAnsiTheme="minorHAnsi" w:cstheme="minorHAnsi"/>
                <w:sz w:val="20"/>
                <w:szCs w:val="20"/>
              </w:rPr>
              <w:t xml:space="preserve"> and acute care facilities</w:t>
            </w:r>
          </w:p>
        </w:tc>
      </w:tr>
    </w:tbl>
    <w:p w14:paraId="70342823" w14:textId="77777777" w:rsidR="00963EFC" w:rsidRPr="004633B8" w:rsidRDefault="00963EFC" w:rsidP="00963EFC">
      <w:pPr>
        <w:spacing w:before="240"/>
        <w:rPr>
          <w:b/>
          <w:bCs/>
          <w:color w:val="002060"/>
        </w:rPr>
      </w:pPr>
      <w:r>
        <w:rPr>
          <w:b/>
          <w:bCs/>
          <w:color w:val="002060"/>
        </w:rPr>
        <w:t>Appendix D-5: MBHBP P - IPs 2023: Summary of Topic Areas, Goals, and Intervention Examples</w:t>
      </w:r>
      <w:r w:rsidRPr="002E1D0A">
        <w:rPr>
          <w:b/>
          <w:bCs/>
        </w:rPr>
        <w:t xml:space="preserve"> </w:t>
      </w:r>
      <w:r w:rsidRPr="004633B8">
        <w:rPr>
          <w:b/>
          <w:bCs/>
          <w:color w:val="002060"/>
        </w:rPr>
        <w:t>(</w:t>
      </w:r>
      <w:r>
        <w:rPr>
          <w:b/>
          <w:bCs/>
          <w:color w:val="002060"/>
        </w:rPr>
        <w:t>2</w:t>
      </w:r>
      <w:r w:rsidRPr="004633B8">
        <w:rPr>
          <w:b/>
          <w:bCs/>
          <w:color w:val="002060"/>
        </w:rPr>
        <w:t xml:space="preserve"> PIPS: </w:t>
      </w:r>
      <w:r>
        <w:rPr>
          <w:b/>
          <w:bCs/>
          <w:color w:val="002060"/>
        </w:rPr>
        <w:t>1</w:t>
      </w:r>
      <w:r w:rsidRPr="004633B8">
        <w:rPr>
          <w:b/>
          <w:bCs/>
          <w:color w:val="002060"/>
        </w:rPr>
        <w:t xml:space="preserve"> entit</w:t>
      </w:r>
      <w:r>
        <w:rPr>
          <w:b/>
          <w:bCs/>
          <w:color w:val="002060"/>
        </w:rPr>
        <w:t>y</w:t>
      </w:r>
      <w:r w:rsidRPr="004633B8">
        <w:rPr>
          <w:b/>
          <w:bCs/>
          <w:color w:val="002060"/>
        </w:rPr>
        <w:t>, 2 projects)</w:t>
      </w:r>
    </w:p>
    <w:tbl>
      <w:tblPr>
        <w:tblStyle w:val="TableGrid"/>
        <w:tblW w:w="13410" w:type="dxa"/>
        <w:jc w:val="center"/>
        <w:tblLook w:val="04A0" w:firstRow="1" w:lastRow="0" w:firstColumn="1" w:lastColumn="0" w:noHBand="0" w:noVBand="1"/>
      </w:tblPr>
      <w:tblGrid>
        <w:gridCol w:w="2880"/>
        <w:gridCol w:w="10530"/>
      </w:tblGrid>
      <w:tr w:rsidR="00963EFC" w14:paraId="7100F9BE" w14:textId="77777777">
        <w:trPr>
          <w:tblHeader/>
          <w:jc w:val="center"/>
        </w:trPr>
        <w:tc>
          <w:tcPr>
            <w:tcW w:w="2880" w:type="dxa"/>
            <w:shd w:val="clear" w:color="auto" w:fill="002060"/>
          </w:tcPr>
          <w:p w14:paraId="1BF4B157" w14:textId="77777777" w:rsidR="00963EFC" w:rsidRDefault="00963EFC">
            <w:pPr>
              <w:jc w:val="center"/>
            </w:pPr>
            <w:r w:rsidRPr="00A344CE">
              <w:rPr>
                <w:rFonts w:asciiTheme="minorHAnsi" w:eastAsia="Times New Roman" w:hAnsiTheme="minorHAnsi" w:cstheme="minorHAnsi"/>
                <w:b/>
                <w:bCs/>
                <w:sz w:val="20"/>
                <w:szCs w:val="20"/>
              </w:rPr>
              <w:t>PIP Topic</w:t>
            </w:r>
          </w:p>
        </w:tc>
        <w:tc>
          <w:tcPr>
            <w:tcW w:w="10530" w:type="dxa"/>
            <w:shd w:val="clear" w:color="auto" w:fill="002060"/>
          </w:tcPr>
          <w:p w14:paraId="15441C5E" w14:textId="77777777" w:rsidR="00963EFC" w:rsidRDefault="00963EFC">
            <w:r w:rsidRPr="00A344CE">
              <w:rPr>
                <w:rFonts w:asciiTheme="minorHAnsi" w:eastAsia="Times New Roman" w:hAnsiTheme="minorHAnsi" w:cstheme="minorHAnsi"/>
                <w:b/>
                <w:bCs/>
                <w:sz w:val="20"/>
                <w:szCs w:val="20"/>
              </w:rPr>
              <w:t>PIP Aim/Goal</w:t>
            </w:r>
            <w:r>
              <w:rPr>
                <w:rFonts w:asciiTheme="minorHAnsi" w:eastAsia="Times New Roman" w:hAnsiTheme="minorHAnsi" w:cstheme="minorHAnsi"/>
                <w:b/>
                <w:bCs/>
                <w:sz w:val="20"/>
                <w:szCs w:val="20"/>
              </w:rPr>
              <w:t xml:space="preserve"> </w:t>
            </w:r>
            <w:r w:rsidRPr="00A344CE">
              <w:rPr>
                <w:rFonts w:asciiTheme="minorHAnsi" w:eastAsia="Times New Roman" w:hAnsiTheme="minorHAnsi" w:cstheme="minorHAnsi"/>
                <w:b/>
                <w:bCs/>
                <w:sz w:val="20"/>
                <w:szCs w:val="20"/>
              </w:rPr>
              <w:t>and Intervention Examples</w:t>
            </w:r>
          </w:p>
        </w:tc>
      </w:tr>
      <w:tr w:rsidR="00963EFC" w14:paraId="23C4E583" w14:textId="77777777">
        <w:trPr>
          <w:jc w:val="center"/>
        </w:trPr>
        <w:tc>
          <w:tcPr>
            <w:tcW w:w="2880" w:type="dxa"/>
            <w:shd w:val="clear" w:color="auto" w:fill="auto"/>
          </w:tcPr>
          <w:p w14:paraId="4D79E5AF" w14:textId="77777777" w:rsidR="00963EFC" w:rsidRPr="00A344CE" w:rsidRDefault="00963EFC">
            <w:pPr>
              <w:rPr>
                <w:rFonts w:asciiTheme="minorHAnsi" w:eastAsia="Times New Roman" w:hAnsiTheme="minorHAnsi" w:cstheme="minorHAnsi"/>
                <w:b/>
                <w:bCs/>
                <w:sz w:val="20"/>
                <w:szCs w:val="20"/>
              </w:rPr>
            </w:pPr>
            <w:r>
              <w:rPr>
                <w:rFonts w:asciiTheme="minorHAnsi" w:eastAsia="Times New Roman" w:hAnsiTheme="minorHAnsi" w:cstheme="minorHAnsi"/>
                <w:b/>
                <w:bCs/>
                <w:color w:val="002060"/>
                <w:sz w:val="20"/>
                <w:szCs w:val="20"/>
              </w:rPr>
              <w:t>Substance Use Disorder Treatment</w:t>
            </w:r>
          </w:p>
        </w:tc>
        <w:tc>
          <w:tcPr>
            <w:tcW w:w="10530" w:type="dxa"/>
            <w:shd w:val="clear" w:color="auto" w:fill="auto"/>
          </w:tcPr>
          <w:p w14:paraId="586D478F" w14:textId="77777777" w:rsidR="00963EFC" w:rsidRPr="00ED29F9" w:rsidRDefault="00963EFC" w:rsidP="00963EFC">
            <w:pPr>
              <w:pStyle w:val="ListParagraph"/>
              <w:numPr>
                <w:ilvl w:val="0"/>
                <w:numId w:val="30"/>
              </w:numPr>
              <w:ind w:left="428"/>
              <w:textAlignment w:val="baseline"/>
              <w:rPr>
                <w:rFonts w:asciiTheme="minorHAnsi" w:eastAsia="Times New Roman" w:hAnsiTheme="minorHAnsi" w:cstheme="minorHAnsi"/>
                <w:b/>
                <w:bCs/>
                <w:color w:val="002060"/>
                <w:sz w:val="20"/>
                <w:szCs w:val="20"/>
              </w:rPr>
            </w:pPr>
            <w:r w:rsidRPr="00ED29F9">
              <w:rPr>
                <w:rFonts w:asciiTheme="minorHAnsi" w:eastAsia="Times New Roman" w:hAnsiTheme="minorHAnsi" w:cstheme="minorHAnsi"/>
                <w:b/>
                <w:bCs/>
                <w:color w:val="002060"/>
                <w:sz w:val="20"/>
                <w:szCs w:val="20"/>
              </w:rPr>
              <w:t>Aim/Goal</w:t>
            </w:r>
            <w:r>
              <w:rPr>
                <w:rFonts w:asciiTheme="minorHAnsi" w:eastAsia="Times New Roman" w:hAnsiTheme="minorHAnsi" w:cstheme="minorHAnsi"/>
                <w:b/>
                <w:bCs/>
                <w:color w:val="002060"/>
                <w:sz w:val="20"/>
                <w:szCs w:val="20"/>
              </w:rPr>
              <w:t xml:space="preserve"> - </w:t>
            </w:r>
            <w:r w:rsidRPr="00057CBF">
              <w:rPr>
                <w:rFonts w:asciiTheme="minorHAnsi" w:eastAsia="Times New Roman" w:hAnsiTheme="minorHAnsi" w:cstheme="minorHAnsi"/>
                <w:sz w:val="20"/>
                <w:szCs w:val="20"/>
              </w:rPr>
              <w:t>To increase the percentage of adolescent and adult members with a new episode of alcohol and other drug (AOD) use or dependence who received initiation of AOD treatment and engagement of AOD treatment (IET)</w:t>
            </w:r>
          </w:p>
          <w:p w14:paraId="735F22BF" w14:textId="77777777" w:rsidR="00963EFC" w:rsidRPr="00B64020" w:rsidRDefault="00963EFC" w:rsidP="00963EFC">
            <w:pPr>
              <w:pStyle w:val="ListParagraph"/>
              <w:numPr>
                <w:ilvl w:val="0"/>
                <w:numId w:val="30"/>
              </w:numPr>
              <w:spacing w:after="200"/>
              <w:ind w:left="428"/>
              <w:contextualSpacing w:val="0"/>
              <w:textAlignment w:val="baseline"/>
              <w:rPr>
                <w:rFonts w:asciiTheme="minorHAnsi" w:eastAsia="Times New Roman" w:hAnsiTheme="minorHAnsi" w:cstheme="minorHAnsi"/>
                <w:b/>
                <w:bCs/>
                <w:color w:val="002060"/>
                <w:sz w:val="20"/>
                <w:szCs w:val="20"/>
              </w:rPr>
            </w:pPr>
            <w:r w:rsidRPr="00ED29F9">
              <w:rPr>
                <w:rFonts w:asciiTheme="minorHAnsi" w:eastAsia="Times New Roman" w:hAnsiTheme="minorHAnsi" w:cstheme="minorHAnsi"/>
                <w:b/>
                <w:bCs/>
                <w:color w:val="002060"/>
                <w:sz w:val="20"/>
                <w:szCs w:val="20"/>
              </w:rPr>
              <w:t>Intervention Example</w:t>
            </w:r>
            <w:r>
              <w:rPr>
                <w:rFonts w:asciiTheme="minorHAnsi" w:eastAsia="Times New Roman" w:hAnsiTheme="minorHAnsi" w:cstheme="minorHAnsi"/>
                <w:b/>
                <w:bCs/>
                <w:color w:val="002060"/>
                <w:sz w:val="20"/>
                <w:szCs w:val="20"/>
              </w:rPr>
              <w:t xml:space="preserve"> - </w:t>
            </w:r>
            <w:r w:rsidRPr="00401810">
              <w:rPr>
                <w:rFonts w:asciiTheme="minorHAnsi" w:eastAsia="Times New Roman" w:hAnsiTheme="minorHAnsi" w:cstheme="minorHAnsi"/>
                <w:sz w:val="20"/>
                <w:szCs w:val="20"/>
              </w:rPr>
              <w:t>Expand the use of community support personnel (RC, RSN and CSP) for members in the IET cohort as a way of increasing rates of initiation and engagement in treatment</w:t>
            </w:r>
          </w:p>
        </w:tc>
      </w:tr>
      <w:tr w:rsidR="00963EFC" w14:paraId="5936B63D" w14:textId="77777777">
        <w:trPr>
          <w:jc w:val="center"/>
        </w:trPr>
        <w:tc>
          <w:tcPr>
            <w:tcW w:w="2880" w:type="dxa"/>
            <w:shd w:val="clear" w:color="auto" w:fill="auto"/>
          </w:tcPr>
          <w:p w14:paraId="53A58A43" w14:textId="77777777" w:rsidR="00963EFC" w:rsidRPr="008D7B16" w:rsidRDefault="00963EFC">
            <w:pPr>
              <w:rPr>
                <w:rFonts w:asciiTheme="minorHAnsi" w:eastAsia="Times New Roman" w:hAnsiTheme="minorHAnsi" w:cstheme="minorHAnsi"/>
                <w:b/>
                <w:bCs/>
                <w:color w:val="002060"/>
                <w:sz w:val="20"/>
                <w:szCs w:val="20"/>
              </w:rPr>
            </w:pPr>
            <w:r>
              <w:rPr>
                <w:rFonts w:asciiTheme="minorHAnsi" w:eastAsia="Times New Roman" w:hAnsiTheme="minorHAnsi" w:cstheme="minorHAnsi"/>
                <w:b/>
                <w:bCs/>
                <w:color w:val="002060"/>
                <w:sz w:val="20"/>
                <w:szCs w:val="20"/>
              </w:rPr>
              <w:lastRenderedPageBreak/>
              <w:t>Telehealth</w:t>
            </w:r>
            <w:r w:rsidRPr="008D7B16">
              <w:rPr>
                <w:rFonts w:asciiTheme="minorHAnsi" w:eastAsia="Times New Roman" w:hAnsiTheme="minorHAnsi" w:cstheme="minorHAnsi"/>
                <w:b/>
                <w:bCs/>
                <w:color w:val="002060"/>
                <w:sz w:val="20"/>
                <w:szCs w:val="20"/>
              </w:rPr>
              <w:t xml:space="preserve"> </w:t>
            </w:r>
          </w:p>
          <w:p w14:paraId="10B6049C" w14:textId="77777777" w:rsidR="00963EFC" w:rsidRPr="00A344CE" w:rsidRDefault="00963EFC">
            <w:pPr>
              <w:rPr>
                <w:rFonts w:asciiTheme="minorHAnsi" w:eastAsia="Times New Roman" w:hAnsiTheme="minorHAnsi" w:cstheme="minorHAnsi"/>
                <w:b/>
                <w:bCs/>
                <w:color w:val="002060"/>
                <w:sz w:val="20"/>
                <w:szCs w:val="20"/>
              </w:rPr>
            </w:pPr>
          </w:p>
        </w:tc>
        <w:tc>
          <w:tcPr>
            <w:tcW w:w="10530" w:type="dxa"/>
            <w:shd w:val="clear" w:color="auto" w:fill="auto"/>
          </w:tcPr>
          <w:p w14:paraId="31DB871A" w14:textId="77777777" w:rsidR="00963EFC" w:rsidRPr="00ED29F9" w:rsidRDefault="00963EFC" w:rsidP="00963EFC">
            <w:pPr>
              <w:pStyle w:val="ListParagraph"/>
              <w:numPr>
                <w:ilvl w:val="0"/>
                <w:numId w:val="31"/>
              </w:numPr>
              <w:ind w:left="428"/>
              <w:textAlignment w:val="baseline"/>
              <w:rPr>
                <w:rFonts w:asciiTheme="minorHAnsi" w:eastAsia="Times New Roman" w:hAnsiTheme="minorHAnsi" w:cstheme="minorHAnsi"/>
                <w:b/>
                <w:bCs/>
                <w:color w:val="002060"/>
                <w:sz w:val="20"/>
                <w:szCs w:val="20"/>
              </w:rPr>
            </w:pPr>
            <w:r w:rsidRPr="00ED29F9">
              <w:rPr>
                <w:rFonts w:asciiTheme="minorHAnsi" w:eastAsia="Times New Roman" w:hAnsiTheme="minorHAnsi" w:cstheme="minorHAnsi"/>
                <w:b/>
                <w:bCs/>
                <w:color w:val="002060"/>
                <w:sz w:val="20"/>
                <w:szCs w:val="20"/>
              </w:rPr>
              <w:t>Aim/Goal</w:t>
            </w:r>
            <w:r>
              <w:rPr>
                <w:rFonts w:asciiTheme="minorHAnsi" w:eastAsia="Times New Roman" w:hAnsiTheme="minorHAnsi" w:cstheme="minorHAnsi"/>
                <w:b/>
                <w:bCs/>
                <w:color w:val="002060"/>
                <w:sz w:val="20"/>
                <w:szCs w:val="20"/>
              </w:rPr>
              <w:t xml:space="preserve"> - </w:t>
            </w:r>
            <w:r w:rsidRPr="00C32BC5">
              <w:rPr>
                <w:rFonts w:asciiTheme="minorHAnsi" w:eastAsia="Times New Roman" w:hAnsiTheme="minorHAnsi" w:cstheme="minorHAnsi"/>
                <w:sz w:val="20"/>
                <w:szCs w:val="20"/>
              </w:rPr>
              <w:t>To increase the utilization of telehealth as a modality for outpatient treatment within the context of the HEDIS FUH measure, which captures the rate of follow-up visits within 7 and 30 days for outpatient mental health care following discharge from inpatient mental health care</w:t>
            </w:r>
          </w:p>
          <w:p w14:paraId="4DDAAD49" w14:textId="77777777" w:rsidR="00963EFC" w:rsidRPr="00B64020" w:rsidRDefault="00963EFC" w:rsidP="00963EFC">
            <w:pPr>
              <w:pStyle w:val="ListParagraph"/>
              <w:numPr>
                <w:ilvl w:val="0"/>
                <w:numId w:val="31"/>
              </w:numPr>
              <w:spacing w:after="200"/>
              <w:ind w:left="428"/>
              <w:contextualSpacing w:val="0"/>
              <w:textAlignment w:val="baseline"/>
              <w:rPr>
                <w:rFonts w:asciiTheme="minorHAnsi" w:eastAsia="Times New Roman" w:hAnsiTheme="minorHAnsi" w:cstheme="minorHAnsi"/>
                <w:b/>
                <w:bCs/>
                <w:color w:val="002060"/>
                <w:sz w:val="20"/>
                <w:szCs w:val="20"/>
              </w:rPr>
            </w:pPr>
            <w:r w:rsidRPr="00ED29F9">
              <w:rPr>
                <w:rFonts w:asciiTheme="minorHAnsi" w:eastAsia="Times New Roman" w:hAnsiTheme="minorHAnsi" w:cstheme="minorHAnsi"/>
                <w:b/>
                <w:bCs/>
                <w:color w:val="002060"/>
                <w:sz w:val="20"/>
                <w:szCs w:val="20"/>
              </w:rPr>
              <w:t>Intervention Example</w:t>
            </w:r>
            <w:r>
              <w:rPr>
                <w:rFonts w:asciiTheme="minorHAnsi" w:eastAsia="Times New Roman" w:hAnsiTheme="minorHAnsi" w:cstheme="minorHAnsi"/>
                <w:b/>
                <w:bCs/>
                <w:color w:val="002060"/>
                <w:sz w:val="20"/>
                <w:szCs w:val="20"/>
              </w:rPr>
              <w:t xml:space="preserve"> - </w:t>
            </w:r>
            <w:r w:rsidRPr="00AF7314">
              <w:rPr>
                <w:rFonts w:asciiTheme="minorHAnsi" w:eastAsia="Times New Roman" w:hAnsiTheme="minorHAnsi" w:cstheme="minorHAnsi"/>
                <w:sz w:val="20"/>
                <w:szCs w:val="20"/>
              </w:rPr>
              <w:t>Modify discharge form to allow inpatient (IP) providers to report telehealth as a type of appointment, including that telehealth capability was assessed with the member</w:t>
            </w:r>
          </w:p>
        </w:tc>
      </w:tr>
    </w:tbl>
    <w:p w14:paraId="4FD7C99C" w14:textId="77777777" w:rsidR="004E24EA" w:rsidRPr="002F20A4" w:rsidRDefault="004E24EA" w:rsidP="00963EFC">
      <w:pPr>
        <w:pStyle w:val="Heading3"/>
        <w:spacing w:after="120"/>
        <w:rPr>
          <w:rStyle w:val="IntenseEmphasis"/>
          <w:i w:val="0"/>
          <w:iCs w:val="0"/>
          <w:sz w:val="32"/>
          <w:szCs w:val="32"/>
          <w:highlight w:val="yellow"/>
        </w:rPr>
      </w:pPr>
    </w:p>
    <w:sectPr w:rsidR="004E24EA" w:rsidRPr="002F20A4" w:rsidSect="00FD1091">
      <w:headerReference w:type="default" r:id="rId22"/>
      <w:footnotePr>
        <w:numStart w:val="8"/>
      </w:footnotePr>
      <w:pgSz w:w="15840" w:h="12240" w:orient="landscape"/>
      <w:pgMar w:top="144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7E2C0" w14:textId="77777777" w:rsidR="00DB4076" w:rsidRDefault="00DB4076" w:rsidP="00BF1E2F">
      <w:pPr>
        <w:spacing w:after="0"/>
      </w:pPr>
      <w:r>
        <w:separator/>
      </w:r>
    </w:p>
  </w:endnote>
  <w:endnote w:type="continuationSeparator" w:id="0">
    <w:p w14:paraId="6A20313E" w14:textId="77777777" w:rsidR="00DB4076" w:rsidRDefault="00DB4076" w:rsidP="00BF1E2F">
      <w:pPr>
        <w:spacing w:after="0"/>
      </w:pPr>
      <w:r>
        <w:continuationSeparator/>
      </w:r>
    </w:p>
  </w:endnote>
  <w:endnote w:type="continuationNotice" w:id="1">
    <w:p w14:paraId="63333FF8" w14:textId="77777777" w:rsidR="00DB4076" w:rsidRDefault="00DB40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208010"/>
      <w:docPartObj>
        <w:docPartGallery w:val="Page Numbers (Bottom of Page)"/>
        <w:docPartUnique/>
      </w:docPartObj>
    </w:sdtPr>
    <w:sdtEndPr>
      <w:rPr>
        <w:noProof/>
      </w:rPr>
    </w:sdtEndPr>
    <w:sdtContent>
      <w:p w14:paraId="0BF57860" w14:textId="528DAFC0" w:rsidR="00286E77" w:rsidRDefault="00286E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204BFF" w14:textId="3A0B0845" w:rsidR="00E001D0" w:rsidRPr="002A60DF" w:rsidRDefault="00E001D0">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634037"/>
      <w:docPartObj>
        <w:docPartGallery w:val="Page Numbers (Bottom of Page)"/>
        <w:docPartUnique/>
      </w:docPartObj>
    </w:sdtPr>
    <w:sdtEndPr>
      <w:rPr>
        <w:noProof/>
      </w:rPr>
    </w:sdtEndPr>
    <w:sdtContent>
      <w:p w14:paraId="5FB367D0" w14:textId="77777777" w:rsidR="00553640" w:rsidRDefault="005536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2055AB" w14:textId="5BCF03AC" w:rsidR="00553640" w:rsidRPr="002A60DF" w:rsidRDefault="0055364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10C0F" w14:textId="77777777" w:rsidR="00DB4076" w:rsidRDefault="00DB4076" w:rsidP="00BF1E2F">
      <w:pPr>
        <w:spacing w:after="0"/>
      </w:pPr>
      <w:r>
        <w:separator/>
      </w:r>
    </w:p>
  </w:footnote>
  <w:footnote w:type="continuationSeparator" w:id="0">
    <w:p w14:paraId="23BB74F0" w14:textId="77777777" w:rsidR="00DB4076" w:rsidRDefault="00DB4076" w:rsidP="00BF1E2F">
      <w:pPr>
        <w:spacing w:after="0"/>
      </w:pPr>
      <w:r>
        <w:continuationSeparator/>
      </w:r>
    </w:p>
  </w:footnote>
  <w:footnote w:type="continuationNotice" w:id="1">
    <w:p w14:paraId="366BC434" w14:textId="77777777" w:rsidR="00DB4076" w:rsidRDefault="00DB4076">
      <w:pPr>
        <w:spacing w:after="0"/>
      </w:pPr>
    </w:p>
  </w:footnote>
  <w:footnote w:id="2">
    <w:p w14:paraId="7665F314" w14:textId="5D760869" w:rsidR="00D70792" w:rsidRDefault="00D70792" w:rsidP="00D70792">
      <w:pPr>
        <w:pStyle w:val="FootnoteText"/>
      </w:pPr>
      <w:r>
        <w:rPr>
          <w:rStyle w:val="FootnoteReference"/>
        </w:rPr>
        <w:footnoteRef/>
      </w:r>
      <w:r>
        <w:t xml:space="preserve"> All summaries of contract provisions in this document are for information purposes only. Interested parties should refer to the contracts for the contractual terms and </w:t>
      </w:r>
      <w:r w:rsidR="004336E6">
        <w:t xml:space="preserve">applicable </w:t>
      </w:r>
      <w:r>
        <w:t>conditions. Nothing in this document should be read to alter or amend any contractual obligation. To the extent any discrepancies or conflicts exist between this document and the contract, the language of the contract controls.</w:t>
      </w:r>
    </w:p>
  </w:footnote>
  <w:footnote w:id="3">
    <w:p w14:paraId="3C2B9FB7" w14:textId="5D432151" w:rsidR="003C1C86" w:rsidRDefault="003C1C86">
      <w:pPr>
        <w:pStyle w:val="FootnoteText"/>
      </w:pPr>
      <w:r>
        <w:rPr>
          <w:rStyle w:val="FootnoteReference"/>
        </w:rPr>
        <w:footnoteRef/>
      </w:r>
      <w:r>
        <w:t xml:space="preserve"> </w:t>
      </w:r>
      <w:r w:rsidR="004D43E4" w:rsidRPr="002A60DF">
        <w:rPr>
          <w:sz w:val="16"/>
          <w:szCs w:val="16"/>
        </w:rPr>
        <w:t>N/A = Gap to Goal does not apply because either MassHealth MY 2020 or MY 2022 performance was above MY 2022 benchmark</w:t>
      </w:r>
    </w:p>
  </w:footnote>
  <w:footnote w:id="4">
    <w:p w14:paraId="778FEF61" w14:textId="7D7FB8EA" w:rsidR="003E06D0" w:rsidRDefault="003E06D0">
      <w:pPr>
        <w:pStyle w:val="FootnoteText"/>
      </w:pPr>
      <w:r>
        <w:rPr>
          <w:rStyle w:val="FootnoteReference"/>
        </w:rPr>
        <w:footnoteRef/>
      </w:r>
      <w:r>
        <w:t xml:space="preserve"> </w:t>
      </w:r>
      <w:r w:rsidR="00FC655B">
        <w:rPr>
          <w:sz w:val="16"/>
          <w:szCs w:val="16"/>
        </w:rPr>
        <w:t>Where National Benchmarks were not available, program specific benchmarks were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939FE37" w14:paraId="31FBB368" w14:textId="77777777" w:rsidTr="002978C9">
      <w:trPr>
        <w:trHeight w:val="300"/>
      </w:trPr>
      <w:tc>
        <w:tcPr>
          <w:tcW w:w="3120" w:type="dxa"/>
        </w:tcPr>
        <w:p w14:paraId="43C3E9FB" w14:textId="49688077" w:rsidR="0939FE37" w:rsidRDefault="0939FE37" w:rsidP="002978C9">
          <w:pPr>
            <w:pStyle w:val="Header"/>
            <w:ind w:left="-115"/>
          </w:pPr>
        </w:p>
      </w:tc>
      <w:tc>
        <w:tcPr>
          <w:tcW w:w="3120" w:type="dxa"/>
        </w:tcPr>
        <w:p w14:paraId="5E372545" w14:textId="36D25CBC" w:rsidR="0939FE37" w:rsidRDefault="0939FE37" w:rsidP="002978C9">
          <w:pPr>
            <w:pStyle w:val="Header"/>
            <w:jc w:val="center"/>
          </w:pPr>
        </w:p>
      </w:tc>
      <w:tc>
        <w:tcPr>
          <w:tcW w:w="3120" w:type="dxa"/>
        </w:tcPr>
        <w:p w14:paraId="3E3782B7" w14:textId="4D59B242" w:rsidR="0939FE37" w:rsidRDefault="0939FE37" w:rsidP="002978C9">
          <w:pPr>
            <w:pStyle w:val="Header"/>
            <w:ind w:right="-115"/>
            <w:jc w:val="right"/>
          </w:pPr>
        </w:p>
      </w:tc>
    </w:tr>
  </w:tbl>
  <w:p w14:paraId="244E8B6D" w14:textId="2F5A4BA9" w:rsidR="0939FE37" w:rsidRDefault="0939FE37" w:rsidP="00297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939FE37" w14:paraId="57EDBEC6" w14:textId="77777777" w:rsidTr="002978C9">
      <w:trPr>
        <w:trHeight w:val="300"/>
      </w:trPr>
      <w:tc>
        <w:tcPr>
          <w:tcW w:w="3120" w:type="dxa"/>
        </w:tcPr>
        <w:p w14:paraId="0D90C884" w14:textId="5497631E" w:rsidR="0939FE37" w:rsidRDefault="0939FE37" w:rsidP="002978C9">
          <w:pPr>
            <w:pStyle w:val="Header"/>
            <w:ind w:left="-115"/>
          </w:pPr>
        </w:p>
      </w:tc>
      <w:tc>
        <w:tcPr>
          <w:tcW w:w="3120" w:type="dxa"/>
        </w:tcPr>
        <w:p w14:paraId="7457AA88" w14:textId="7F4D14DF" w:rsidR="0939FE37" w:rsidRDefault="0939FE37" w:rsidP="002978C9">
          <w:pPr>
            <w:pStyle w:val="Header"/>
            <w:jc w:val="center"/>
          </w:pPr>
        </w:p>
      </w:tc>
      <w:tc>
        <w:tcPr>
          <w:tcW w:w="3120" w:type="dxa"/>
        </w:tcPr>
        <w:p w14:paraId="698A2D8D" w14:textId="2F44BE2D" w:rsidR="0939FE37" w:rsidRDefault="0939FE37" w:rsidP="002978C9">
          <w:pPr>
            <w:pStyle w:val="Header"/>
            <w:ind w:right="-115"/>
            <w:jc w:val="right"/>
          </w:pPr>
        </w:p>
      </w:tc>
    </w:tr>
  </w:tbl>
  <w:p w14:paraId="61CC20A0" w14:textId="5F485940" w:rsidR="0939FE37" w:rsidRDefault="0939FE37" w:rsidP="002978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760"/>
      <w:gridCol w:w="5760"/>
      <w:gridCol w:w="5760"/>
    </w:tblGrid>
    <w:tr w:rsidR="0939FE37" w14:paraId="513046B4" w14:textId="77777777" w:rsidTr="002978C9">
      <w:trPr>
        <w:trHeight w:val="300"/>
      </w:trPr>
      <w:tc>
        <w:tcPr>
          <w:tcW w:w="5760" w:type="dxa"/>
        </w:tcPr>
        <w:p w14:paraId="562465A7" w14:textId="5E6434B3" w:rsidR="0939FE37" w:rsidRDefault="0939FE37" w:rsidP="002978C9">
          <w:pPr>
            <w:pStyle w:val="Header"/>
            <w:ind w:left="-115"/>
          </w:pPr>
        </w:p>
      </w:tc>
      <w:tc>
        <w:tcPr>
          <w:tcW w:w="5760" w:type="dxa"/>
        </w:tcPr>
        <w:p w14:paraId="6EC57B6E" w14:textId="0FDA0ECE" w:rsidR="0939FE37" w:rsidRDefault="0939FE37" w:rsidP="002978C9">
          <w:pPr>
            <w:pStyle w:val="Header"/>
            <w:jc w:val="center"/>
          </w:pPr>
        </w:p>
      </w:tc>
      <w:tc>
        <w:tcPr>
          <w:tcW w:w="5760" w:type="dxa"/>
        </w:tcPr>
        <w:p w14:paraId="7F16002A" w14:textId="11BD8F17" w:rsidR="0939FE37" w:rsidRDefault="0939FE37" w:rsidP="002978C9">
          <w:pPr>
            <w:pStyle w:val="Header"/>
            <w:ind w:right="-115"/>
            <w:jc w:val="right"/>
          </w:pPr>
        </w:p>
      </w:tc>
    </w:tr>
  </w:tbl>
  <w:p w14:paraId="07B7FE9B" w14:textId="2E3E69E6" w:rsidR="0939FE37" w:rsidRDefault="0939FE37" w:rsidP="002978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760"/>
      <w:gridCol w:w="5760"/>
      <w:gridCol w:w="5760"/>
    </w:tblGrid>
    <w:tr w:rsidR="0939FE37" w14:paraId="5A29CEC4" w14:textId="77777777" w:rsidTr="002978C9">
      <w:trPr>
        <w:trHeight w:val="300"/>
      </w:trPr>
      <w:tc>
        <w:tcPr>
          <w:tcW w:w="5760" w:type="dxa"/>
        </w:tcPr>
        <w:p w14:paraId="11CBA3BC" w14:textId="41A7AE15" w:rsidR="0939FE37" w:rsidRDefault="0939FE37" w:rsidP="002978C9">
          <w:pPr>
            <w:pStyle w:val="Header"/>
            <w:ind w:left="-115"/>
          </w:pPr>
        </w:p>
      </w:tc>
      <w:tc>
        <w:tcPr>
          <w:tcW w:w="5760" w:type="dxa"/>
        </w:tcPr>
        <w:p w14:paraId="26803AF5" w14:textId="3C29CB10" w:rsidR="0939FE37" w:rsidRDefault="0939FE37" w:rsidP="002978C9">
          <w:pPr>
            <w:pStyle w:val="Header"/>
            <w:jc w:val="center"/>
          </w:pPr>
        </w:p>
      </w:tc>
      <w:tc>
        <w:tcPr>
          <w:tcW w:w="5760" w:type="dxa"/>
        </w:tcPr>
        <w:p w14:paraId="1429AF19" w14:textId="0DEC8819" w:rsidR="0939FE37" w:rsidRDefault="0939FE37" w:rsidP="002978C9">
          <w:pPr>
            <w:pStyle w:val="Header"/>
            <w:ind w:right="-115"/>
            <w:jc w:val="right"/>
          </w:pPr>
        </w:p>
      </w:tc>
    </w:tr>
  </w:tbl>
  <w:p w14:paraId="3CC5B32B" w14:textId="58F0A681" w:rsidR="0939FE37" w:rsidRDefault="0939FE37" w:rsidP="002978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70"/>
      <w:gridCol w:w="4470"/>
      <w:gridCol w:w="4470"/>
    </w:tblGrid>
    <w:tr w:rsidR="0939FE37" w14:paraId="1288E285" w14:textId="77777777" w:rsidTr="002978C9">
      <w:trPr>
        <w:trHeight w:val="300"/>
      </w:trPr>
      <w:tc>
        <w:tcPr>
          <w:tcW w:w="4470" w:type="dxa"/>
        </w:tcPr>
        <w:p w14:paraId="1D443010" w14:textId="2A4E9A4B" w:rsidR="0939FE37" w:rsidRDefault="0939FE37" w:rsidP="002978C9">
          <w:pPr>
            <w:pStyle w:val="Header"/>
            <w:ind w:left="-115"/>
          </w:pPr>
        </w:p>
      </w:tc>
      <w:tc>
        <w:tcPr>
          <w:tcW w:w="4470" w:type="dxa"/>
        </w:tcPr>
        <w:p w14:paraId="10C2DB7F" w14:textId="67D78DE5" w:rsidR="0939FE37" w:rsidRDefault="0939FE37" w:rsidP="002978C9">
          <w:pPr>
            <w:pStyle w:val="Header"/>
            <w:jc w:val="center"/>
          </w:pPr>
        </w:p>
      </w:tc>
      <w:tc>
        <w:tcPr>
          <w:tcW w:w="4470" w:type="dxa"/>
        </w:tcPr>
        <w:p w14:paraId="2F05F43B" w14:textId="48F18F64" w:rsidR="0939FE37" w:rsidRDefault="0939FE37" w:rsidP="002978C9">
          <w:pPr>
            <w:pStyle w:val="Header"/>
            <w:ind w:right="-115"/>
            <w:jc w:val="right"/>
          </w:pPr>
        </w:p>
      </w:tc>
    </w:tr>
  </w:tbl>
  <w:p w14:paraId="5F1114D9" w14:textId="12124B6D" w:rsidR="0939FE37" w:rsidRDefault="0939FE37" w:rsidP="00297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1D74741A"/>
    <w:lvl w:ilvl="0">
      <w:start w:val="1"/>
      <w:numFmt w:val="bullet"/>
      <w:pStyle w:val="ListBullet4"/>
      <w:lvlText w:val=""/>
      <w:lvlJc w:val="left"/>
      <w:pPr>
        <w:tabs>
          <w:tab w:val="num" w:pos="630"/>
        </w:tabs>
        <w:ind w:left="630" w:hanging="360"/>
      </w:pPr>
      <w:rPr>
        <w:rFonts w:ascii="Symbol" w:hAnsi="Symbol" w:hint="default"/>
      </w:rPr>
    </w:lvl>
  </w:abstractNum>
  <w:abstractNum w:abstractNumId="1" w15:restartNumberingAfterBreak="0">
    <w:nsid w:val="FFFFFF83"/>
    <w:multiLevelType w:val="singleLevel"/>
    <w:tmpl w:val="07CA16F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1327B10"/>
    <w:multiLevelType w:val="hybridMultilevel"/>
    <w:tmpl w:val="7DE056D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3B0260B"/>
    <w:multiLevelType w:val="hybridMultilevel"/>
    <w:tmpl w:val="689C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1263B"/>
    <w:multiLevelType w:val="hybridMultilevel"/>
    <w:tmpl w:val="A2B45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1A60A2"/>
    <w:multiLevelType w:val="hybridMultilevel"/>
    <w:tmpl w:val="DB3E7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30C60"/>
    <w:multiLevelType w:val="hybridMultilevel"/>
    <w:tmpl w:val="E6E6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E238C0"/>
    <w:multiLevelType w:val="hybridMultilevel"/>
    <w:tmpl w:val="1D9C4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9B7B4D"/>
    <w:multiLevelType w:val="multilevel"/>
    <w:tmpl w:val="28BC0BB0"/>
    <w:lvl w:ilvl="0">
      <w:start w:val="1"/>
      <w:numFmt w:val="decimal"/>
      <w:pStyle w:val="Heading1"/>
      <w:suff w:val="space"/>
      <w:lvlText w:val="Section %1."/>
      <w:lvlJc w:val="left"/>
      <w:pPr>
        <w:ind w:left="3690" w:firstLine="0"/>
      </w:pPr>
    </w:lvl>
    <w:lvl w:ilvl="1">
      <w:numFmt w:val="none"/>
      <w:pStyle w:val="Heading2"/>
      <w:lvlText w:val=""/>
      <w:lvlJc w:val="left"/>
      <w:pPr>
        <w:tabs>
          <w:tab w:val="num" w:pos="360"/>
        </w:tabs>
      </w:pPr>
    </w:lvl>
    <w:lvl w:ilvl="2">
      <w:numFmt w:val="decimal"/>
      <w:lvlText w:val=""/>
      <w:lvlJc w:val="left"/>
    </w:lvl>
    <w:lvl w:ilvl="3">
      <w:numFmt w:val="decimal"/>
      <w:pStyle w:val="Heading4"/>
      <w:lvlText w:val=""/>
      <w:lvlJc w:val="left"/>
    </w:lvl>
    <w:lvl w:ilvl="4">
      <w:numFmt w:val="decimal"/>
      <w:pStyle w:val="Heading5"/>
      <w:lvlText w:val=""/>
      <w:lvlJc w:val="left"/>
    </w:lvl>
    <w:lvl w:ilvl="5">
      <w:numFmt w:val="decimal"/>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rPr>
        <w:rFonts w:hAnsi="Symbol" w:cs="Times New Roman" w:hint="default"/>
        <w:b w:val="0"/>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abstractNum>
  <w:abstractNum w:abstractNumId="9" w15:restartNumberingAfterBreak="0">
    <w:nsid w:val="118E2C56"/>
    <w:multiLevelType w:val="hybridMultilevel"/>
    <w:tmpl w:val="2EDC121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0" w15:restartNumberingAfterBreak="0">
    <w:nsid w:val="12230197"/>
    <w:multiLevelType w:val="multilevel"/>
    <w:tmpl w:val="4262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E2172A"/>
    <w:multiLevelType w:val="hybridMultilevel"/>
    <w:tmpl w:val="6ED438E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167A063E"/>
    <w:multiLevelType w:val="multilevel"/>
    <w:tmpl w:val="060C73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434FE0"/>
    <w:multiLevelType w:val="hybridMultilevel"/>
    <w:tmpl w:val="23B2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854C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AF730E9"/>
    <w:multiLevelType w:val="hybridMultilevel"/>
    <w:tmpl w:val="F82C6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C632FD1"/>
    <w:multiLevelType w:val="hybridMultilevel"/>
    <w:tmpl w:val="752EC90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7" w15:restartNumberingAfterBreak="0">
    <w:nsid w:val="1F0C4100"/>
    <w:multiLevelType w:val="hybridMultilevel"/>
    <w:tmpl w:val="9D40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595C1A"/>
    <w:multiLevelType w:val="hybridMultilevel"/>
    <w:tmpl w:val="34A4E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FA40E11"/>
    <w:multiLevelType w:val="hybridMultilevel"/>
    <w:tmpl w:val="D0168312"/>
    <w:lvl w:ilvl="0" w:tplc="F18C50C4">
      <w:start w:val="1"/>
      <w:numFmt w:val="decimal"/>
      <w:lvlText w:val="%1."/>
      <w:lvlJc w:val="left"/>
      <w:pPr>
        <w:ind w:left="1080" w:hanging="360"/>
      </w:pPr>
      <w:rPr>
        <w:rFonts w:asciiTheme="minorHAnsi" w:hAnsiTheme="minorHAnsi"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52F3806"/>
    <w:multiLevelType w:val="hybridMultilevel"/>
    <w:tmpl w:val="47F4C560"/>
    <w:lvl w:ilvl="0" w:tplc="04090001">
      <w:start w:val="1"/>
      <w:numFmt w:val="bullet"/>
      <w:lvlText w:val=""/>
      <w:lvlJc w:val="left"/>
      <w:rPr>
        <w:rFonts w:ascii="Symbol" w:hAnsi="Symbol"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1" w15:restartNumberingAfterBreak="0">
    <w:nsid w:val="2B423767"/>
    <w:multiLevelType w:val="hybridMultilevel"/>
    <w:tmpl w:val="264C93C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2" w15:restartNumberingAfterBreak="0">
    <w:nsid w:val="2D6A05FC"/>
    <w:multiLevelType w:val="hybridMultilevel"/>
    <w:tmpl w:val="4B008DE6"/>
    <w:lvl w:ilvl="0" w:tplc="0E844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CF1618"/>
    <w:multiLevelType w:val="hybridMultilevel"/>
    <w:tmpl w:val="8CEE0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4C02B3"/>
    <w:multiLevelType w:val="hybridMultilevel"/>
    <w:tmpl w:val="4D08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EE1F53"/>
    <w:multiLevelType w:val="hybridMultilevel"/>
    <w:tmpl w:val="C19E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973FC0"/>
    <w:multiLevelType w:val="hybridMultilevel"/>
    <w:tmpl w:val="DE46D00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7" w15:restartNumberingAfterBreak="0">
    <w:nsid w:val="48292316"/>
    <w:multiLevelType w:val="hybridMultilevel"/>
    <w:tmpl w:val="F956FE1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8" w15:restartNumberingAfterBreak="0">
    <w:nsid w:val="4E8F1A25"/>
    <w:multiLevelType w:val="hybridMultilevel"/>
    <w:tmpl w:val="713EE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F14DE0"/>
    <w:multiLevelType w:val="hybridMultilevel"/>
    <w:tmpl w:val="EDB85364"/>
    <w:lvl w:ilvl="0" w:tplc="04090001">
      <w:start w:val="1"/>
      <w:numFmt w:val="bullet"/>
      <w:lvlText w:val=""/>
      <w:lvlJc w:val="left"/>
      <w:rPr>
        <w:rFonts w:ascii="Symbol" w:hAnsi="Symbol"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0" w15:restartNumberingAfterBreak="0">
    <w:nsid w:val="534255D4"/>
    <w:multiLevelType w:val="hybridMultilevel"/>
    <w:tmpl w:val="2B3E552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1" w15:restartNumberingAfterBreak="0">
    <w:nsid w:val="53D73056"/>
    <w:multiLevelType w:val="hybridMultilevel"/>
    <w:tmpl w:val="286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231CFA"/>
    <w:multiLevelType w:val="hybridMultilevel"/>
    <w:tmpl w:val="9CCE1EC8"/>
    <w:lvl w:ilvl="0" w:tplc="3866096E">
      <w:start w:val="1"/>
      <w:numFmt w:val="bullet"/>
      <w:lvlText w:val="•"/>
      <w:lvlJc w:val="left"/>
      <w:pPr>
        <w:tabs>
          <w:tab w:val="num" w:pos="720"/>
        </w:tabs>
        <w:ind w:left="720" w:hanging="360"/>
      </w:pPr>
      <w:rPr>
        <w:rFonts w:ascii="Arial" w:hAnsi="Arial" w:hint="default"/>
      </w:rPr>
    </w:lvl>
    <w:lvl w:ilvl="1" w:tplc="2656358E" w:tentative="1">
      <w:start w:val="1"/>
      <w:numFmt w:val="bullet"/>
      <w:lvlText w:val="•"/>
      <w:lvlJc w:val="left"/>
      <w:pPr>
        <w:tabs>
          <w:tab w:val="num" w:pos="1440"/>
        </w:tabs>
        <w:ind w:left="1440" w:hanging="360"/>
      </w:pPr>
      <w:rPr>
        <w:rFonts w:ascii="Arial" w:hAnsi="Arial" w:hint="default"/>
      </w:rPr>
    </w:lvl>
    <w:lvl w:ilvl="2" w:tplc="F6BE7980" w:tentative="1">
      <w:start w:val="1"/>
      <w:numFmt w:val="bullet"/>
      <w:lvlText w:val="•"/>
      <w:lvlJc w:val="left"/>
      <w:pPr>
        <w:tabs>
          <w:tab w:val="num" w:pos="2160"/>
        </w:tabs>
        <w:ind w:left="2160" w:hanging="360"/>
      </w:pPr>
      <w:rPr>
        <w:rFonts w:ascii="Arial" w:hAnsi="Arial" w:hint="default"/>
      </w:rPr>
    </w:lvl>
    <w:lvl w:ilvl="3" w:tplc="95B49D84" w:tentative="1">
      <w:start w:val="1"/>
      <w:numFmt w:val="bullet"/>
      <w:lvlText w:val="•"/>
      <w:lvlJc w:val="left"/>
      <w:pPr>
        <w:tabs>
          <w:tab w:val="num" w:pos="2880"/>
        </w:tabs>
        <w:ind w:left="2880" w:hanging="360"/>
      </w:pPr>
      <w:rPr>
        <w:rFonts w:ascii="Arial" w:hAnsi="Arial" w:hint="default"/>
      </w:rPr>
    </w:lvl>
    <w:lvl w:ilvl="4" w:tplc="5776D3AC" w:tentative="1">
      <w:start w:val="1"/>
      <w:numFmt w:val="bullet"/>
      <w:lvlText w:val="•"/>
      <w:lvlJc w:val="left"/>
      <w:pPr>
        <w:tabs>
          <w:tab w:val="num" w:pos="3600"/>
        </w:tabs>
        <w:ind w:left="3600" w:hanging="360"/>
      </w:pPr>
      <w:rPr>
        <w:rFonts w:ascii="Arial" w:hAnsi="Arial" w:hint="default"/>
      </w:rPr>
    </w:lvl>
    <w:lvl w:ilvl="5" w:tplc="2C9A869E" w:tentative="1">
      <w:start w:val="1"/>
      <w:numFmt w:val="bullet"/>
      <w:lvlText w:val="•"/>
      <w:lvlJc w:val="left"/>
      <w:pPr>
        <w:tabs>
          <w:tab w:val="num" w:pos="4320"/>
        </w:tabs>
        <w:ind w:left="4320" w:hanging="360"/>
      </w:pPr>
      <w:rPr>
        <w:rFonts w:ascii="Arial" w:hAnsi="Arial" w:hint="default"/>
      </w:rPr>
    </w:lvl>
    <w:lvl w:ilvl="6" w:tplc="FD3C79F4" w:tentative="1">
      <w:start w:val="1"/>
      <w:numFmt w:val="bullet"/>
      <w:lvlText w:val="•"/>
      <w:lvlJc w:val="left"/>
      <w:pPr>
        <w:tabs>
          <w:tab w:val="num" w:pos="5040"/>
        </w:tabs>
        <w:ind w:left="5040" w:hanging="360"/>
      </w:pPr>
      <w:rPr>
        <w:rFonts w:ascii="Arial" w:hAnsi="Arial" w:hint="default"/>
      </w:rPr>
    </w:lvl>
    <w:lvl w:ilvl="7" w:tplc="E57A2024" w:tentative="1">
      <w:start w:val="1"/>
      <w:numFmt w:val="bullet"/>
      <w:lvlText w:val="•"/>
      <w:lvlJc w:val="left"/>
      <w:pPr>
        <w:tabs>
          <w:tab w:val="num" w:pos="5760"/>
        </w:tabs>
        <w:ind w:left="5760" w:hanging="360"/>
      </w:pPr>
      <w:rPr>
        <w:rFonts w:ascii="Arial" w:hAnsi="Arial" w:hint="default"/>
      </w:rPr>
    </w:lvl>
    <w:lvl w:ilvl="8" w:tplc="79541C2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8FF72BB"/>
    <w:multiLevelType w:val="hybridMultilevel"/>
    <w:tmpl w:val="63A2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BA2FCC"/>
    <w:multiLevelType w:val="hybridMultilevel"/>
    <w:tmpl w:val="341ECDA2"/>
    <w:lvl w:ilvl="0" w:tplc="40822398">
      <w:start w:val="1"/>
      <w:numFmt w:val="decimal"/>
      <w:lvlText w:val="%1."/>
      <w:lvlJc w:val="left"/>
      <w:pPr>
        <w:ind w:left="360" w:hanging="360"/>
      </w:pPr>
      <w:rPr>
        <w:rFonts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C283AB3"/>
    <w:multiLevelType w:val="multilevel"/>
    <w:tmpl w:val="060C73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7F06BB"/>
    <w:multiLevelType w:val="hybridMultilevel"/>
    <w:tmpl w:val="EE8E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FA707B"/>
    <w:multiLevelType w:val="hybridMultilevel"/>
    <w:tmpl w:val="402064FA"/>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8" w15:restartNumberingAfterBreak="0">
    <w:nsid w:val="6C217CF6"/>
    <w:multiLevelType w:val="hybridMultilevel"/>
    <w:tmpl w:val="145C5E8E"/>
    <w:lvl w:ilvl="0" w:tplc="F18C50C4">
      <w:start w:val="1"/>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C26A0F"/>
    <w:multiLevelType w:val="hybridMultilevel"/>
    <w:tmpl w:val="2FEC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8C437C"/>
    <w:multiLevelType w:val="multilevel"/>
    <w:tmpl w:val="3988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705B00"/>
    <w:multiLevelType w:val="hybridMultilevel"/>
    <w:tmpl w:val="654464B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2" w15:restartNumberingAfterBreak="0">
    <w:nsid w:val="77C46D47"/>
    <w:multiLevelType w:val="hybridMultilevel"/>
    <w:tmpl w:val="F6966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C0F2FC1"/>
    <w:multiLevelType w:val="hybridMultilevel"/>
    <w:tmpl w:val="94ACEF0A"/>
    <w:lvl w:ilvl="0" w:tplc="6A98E3DC">
      <w:start w:val="1"/>
      <w:numFmt w:val="bullet"/>
      <w:pStyle w:val="Lis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4594387">
    <w:abstractNumId w:val="8"/>
  </w:num>
  <w:num w:numId="2" w16cid:durableId="553538936">
    <w:abstractNumId w:val="1"/>
  </w:num>
  <w:num w:numId="3" w16cid:durableId="159077362">
    <w:abstractNumId w:val="2"/>
  </w:num>
  <w:num w:numId="4" w16cid:durableId="726799279">
    <w:abstractNumId w:val="20"/>
  </w:num>
  <w:num w:numId="5" w16cid:durableId="1701708646">
    <w:abstractNumId w:val="4"/>
  </w:num>
  <w:num w:numId="6" w16cid:durableId="1454712625">
    <w:abstractNumId w:val="29"/>
  </w:num>
  <w:num w:numId="7" w16cid:durableId="1813520820">
    <w:abstractNumId w:val="0"/>
  </w:num>
  <w:num w:numId="8" w16cid:durableId="1805536210">
    <w:abstractNumId w:val="43"/>
  </w:num>
  <w:num w:numId="9" w16cid:durableId="948243812">
    <w:abstractNumId w:val="42"/>
  </w:num>
  <w:num w:numId="10" w16cid:durableId="2117483964">
    <w:abstractNumId w:val="28"/>
  </w:num>
  <w:num w:numId="11" w16cid:durableId="579290680">
    <w:abstractNumId w:val="22"/>
  </w:num>
  <w:num w:numId="12" w16cid:durableId="575478861">
    <w:abstractNumId w:val="23"/>
  </w:num>
  <w:num w:numId="13" w16cid:durableId="1670449122">
    <w:abstractNumId w:val="15"/>
  </w:num>
  <w:num w:numId="14" w16cid:durableId="998264926">
    <w:abstractNumId w:val="38"/>
  </w:num>
  <w:num w:numId="15" w16cid:durableId="1350720162">
    <w:abstractNumId w:val="14"/>
  </w:num>
  <w:num w:numId="16" w16cid:durableId="140738392">
    <w:abstractNumId w:val="17"/>
  </w:num>
  <w:num w:numId="17" w16cid:durableId="881020539">
    <w:abstractNumId w:val="6"/>
  </w:num>
  <w:num w:numId="18" w16cid:durableId="778063040">
    <w:abstractNumId w:val="3"/>
  </w:num>
  <w:num w:numId="19" w16cid:durableId="31923190">
    <w:abstractNumId w:val="33"/>
  </w:num>
  <w:num w:numId="20" w16cid:durableId="2009865637">
    <w:abstractNumId w:val="5"/>
  </w:num>
  <w:num w:numId="21" w16cid:durableId="521823708">
    <w:abstractNumId w:val="36"/>
  </w:num>
  <w:num w:numId="22" w16cid:durableId="1760247380">
    <w:abstractNumId w:val="37"/>
  </w:num>
  <w:num w:numId="23" w16cid:durableId="1121846229">
    <w:abstractNumId w:val="31"/>
  </w:num>
  <w:num w:numId="24" w16cid:durableId="1461996092">
    <w:abstractNumId w:val="12"/>
  </w:num>
  <w:num w:numId="25" w16cid:durableId="1459256867">
    <w:abstractNumId w:val="35"/>
  </w:num>
  <w:num w:numId="26" w16cid:durableId="74741323">
    <w:abstractNumId w:val="32"/>
  </w:num>
  <w:num w:numId="27" w16cid:durableId="1816295094">
    <w:abstractNumId w:val="19"/>
  </w:num>
  <w:num w:numId="28" w16cid:durableId="149830557">
    <w:abstractNumId w:val="27"/>
  </w:num>
  <w:num w:numId="29" w16cid:durableId="1223978770">
    <w:abstractNumId w:val="26"/>
  </w:num>
  <w:num w:numId="30" w16cid:durableId="510727109">
    <w:abstractNumId w:val="16"/>
  </w:num>
  <w:num w:numId="31" w16cid:durableId="1252280536">
    <w:abstractNumId w:val="30"/>
  </w:num>
  <w:num w:numId="32" w16cid:durableId="1726176389">
    <w:abstractNumId w:val="21"/>
  </w:num>
  <w:num w:numId="33" w16cid:durableId="2038309820">
    <w:abstractNumId w:val="11"/>
  </w:num>
  <w:num w:numId="34" w16cid:durableId="1284266503">
    <w:abstractNumId w:val="9"/>
  </w:num>
  <w:num w:numId="35" w16cid:durableId="460533639">
    <w:abstractNumId w:val="41"/>
  </w:num>
  <w:num w:numId="36" w16cid:durableId="1067650935">
    <w:abstractNumId w:val="34"/>
  </w:num>
  <w:num w:numId="37" w16cid:durableId="233009862">
    <w:abstractNumId w:val="24"/>
  </w:num>
  <w:num w:numId="38" w16cid:durableId="1292327997">
    <w:abstractNumId w:val="10"/>
  </w:num>
  <w:num w:numId="39" w16cid:durableId="883910209">
    <w:abstractNumId w:val="40"/>
  </w:num>
  <w:num w:numId="40" w16cid:durableId="711730228">
    <w:abstractNumId w:val="18"/>
  </w:num>
  <w:num w:numId="41" w16cid:durableId="651176114">
    <w:abstractNumId w:val="39"/>
  </w:num>
  <w:num w:numId="42" w16cid:durableId="1352728787">
    <w:abstractNumId w:val="25"/>
  </w:num>
  <w:num w:numId="43" w16cid:durableId="1462460142">
    <w:abstractNumId w:val="7"/>
  </w:num>
  <w:num w:numId="44" w16cid:durableId="1707562944">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numFmt w:val="chicago"/>
    <w:numStart w:val="8"/>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wtTA0NjAysjQ1MbVU0lEKTi0uzszPAykwqgUAZAFDNywAAAA="/>
  </w:docVars>
  <w:rsids>
    <w:rsidRoot w:val="002A2A25"/>
    <w:rsid w:val="00000BCB"/>
    <w:rsid w:val="00000F7B"/>
    <w:rsid w:val="00000FE2"/>
    <w:rsid w:val="000012B3"/>
    <w:rsid w:val="00001F32"/>
    <w:rsid w:val="00002531"/>
    <w:rsid w:val="00002549"/>
    <w:rsid w:val="000025D5"/>
    <w:rsid w:val="00002649"/>
    <w:rsid w:val="0000265D"/>
    <w:rsid w:val="000026D2"/>
    <w:rsid w:val="0000284F"/>
    <w:rsid w:val="000028DD"/>
    <w:rsid w:val="00002F2F"/>
    <w:rsid w:val="00003196"/>
    <w:rsid w:val="000033FD"/>
    <w:rsid w:val="0000358C"/>
    <w:rsid w:val="00003E65"/>
    <w:rsid w:val="000040FD"/>
    <w:rsid w:val="000041FF"/>
    <w:rsid w:val="00004377"/>
    <w:rsid w:val="000048CB"/>
    <w:rsid w:val="00004990"/>
    <w:rsid w:val="00004A17"/>
    <w:rsid w:val="00004B02"/>
    <w:rsid w:val="00004C9A"/>
    <w:rsid w:val="00004D2C"/>
    <w:rsid w:val="00004D71"/>
    <w:rsid w:val="0000515A"/>
    <w:rsid w:val="000057B3"/>
    <w:rsid w:val="0000598C"/>
    <w:rsid w:val="00005B3A"/>
    <w:rsid w:val="00006380"/>
    <w:rsid w:val="00006665"/>
    <w:rsid w:val="000067B3"/>
    <w:rsid w:val="0000692B"/>
    <w:rsid w:val="00006C13"/>
    <w:rsid w:val="00006D82"/>
    <w:rsid w:val="00006E22"/>
    <w:rsid w:val="00007095"/>
    <w:rsid w:val="0000724A"/>
    <w:rsid w:val="000072D1"/>
    <w:rsid w:val="00007324"/>
    <w:rsid w:val="00007340"/>
    <w:rsid w:val="0000739C"/>
    <w:rsid w:val="000075AF"/>
    <w:rsid w:val="0000782E"/>
    <w:rsid w:val="00007993"/>
    <w:rsid w:val="00007E22"/>
    <w:rsid w:val="00010039"/>
    <w:rsid w:val="0001031D"/>
    <w:rsid w:val="000106AA"/>
    <w:rsid w:val="00010B39"/>
    <w:rsid w:val="00010C31"/>
    <w:rsid w:val="000117B5"/>
    <w:rsid w:val="0001192C"/>
    <w:rsid w:val="00011AEA"/>
    <w:rsid w:val="00011CF2"/>
    <w:rsid w:val="00012088"/>
    <w:rsid w:val="000121B7"/>
    <w:rsid w:val="000121DE"/>
    <w:rsid w:val="0001236E"/>
    <w:rsid w:val="00012555"/>
    <w:rsid w:val="000125F6"/>
    <w:rsid w:val="00012BF8"/>
    <w:rsid w:val="00013105"/>
    <w:rsid w:val="000131EC"/>
    <w:rsid w:val="000133EE"/>
    <w:rsid w:val="000134D4"/>
    <w:rsid w:val="00013B5B"/>
    <w:rsid w:val="00013F2F"/>
    <w:rsid w:val="00014076"/>
    <w:rsid w:val="0001426E"/>
    <w:rsid w:val="00014A4E"/>
    <w:rsid w:val="00014DC6"/>
    <w:rsid w:val="00014DE4"/>
    <w:rsid w:val="00015454"/>
    <w:rsid w:val="000154CB"/>
    <w:rsid w:val="000156B3"/>
    <w:rsid w:val="00015AE2"/>
    <w:rsid w:val="00015EFA"/>
    <w:rsid w:val="00016106"/>
    <w:rsid w:val="00016226"/>
    <w:rsid w:val="0001631B"/>
    <w:rsid w:val="0001635F"/>
    <w:rsid w:val="00016441"/>
    <w:rsid w:val="00016637"/>
    <w:rsid w:val="00016B41"/>
    <w:rsid w:val="00016D2F"/>
    <w:rsid w:val="000170B0"/>
    <w:rsid w:val="00017807"/>
    <w:rsid w:val="00020131"/>
    <w:rsid w:val="0002025B"/>
    <w:rsid w:val="00020372"/>
    <w:rsid w:val="00020628"/>
    <w:rsid w:val="000208F5"/>
    <w:rsid w:val="00020A84"/>
    <w:rsid w:val="00020EC7"/>
    <w:rsid w:val="000210E9"/>
    <w:rsid w:val="00021443"/>
    <w:rsid w:val="000215B1"/>
    <w:rsid w:val="00021840"/>
    <w:rsid w:val="0002185B"/>
    <w:rsid w:val="0002189E"/>
    <w:rsid w:val="00021ECD"/>
    <w:rsid w:val="00021EE7"/>
    <w:rsid w:val="00021F6D"/>
    <w:rsid w:val="000220F0"/>
    <w:rsid w:val="0002235F"/>
    <w:rsid w:val="00022505"/>
    <w:rsid w:val="00022698"/>
    <w:rsid w:val="00022749"/>
    <w:rsid w:val="00022925"/>
    <w:rsid w:val="00022FA7"/>
    <w:rsid w:val="00023129"/>
    <w:rsid w:val="000232F9"/>
    <w:rsid w:val="000233C8"/>
    <w:rsid w:val="000234CC"/>
    <w:rsid w:val="000235E9"/>
    <w:rsid w:val="000244E3"/>
    <w:rsid w:val="00024665"/>
    <w:rsid w:val="00024C1C"/>
    <w:rsid w:val="0002521F"/>
    <w:rsid w:val="00025255"/>
    <w:rsid w:val="0002542B"/>
    <w:rsid w:val="0002546D"/>
    <w:rsid w:val="000254C8"/>
    <w:rsid w:val="0002563B"/>
    <w:rsid w:val="00025704"/>
    <w:rsid w:val="00025A56"/>
    <w:rsid w:val="00025BBF"/>
    <w:rsid w:val="0002628F"/>
    <w:rsid w:val="0002633E"/>
    <w:rsid w:val="00026D8E"/>
    <w:rsid w:val="0002746D"/>
    <w:rsid w:val="000275F4"/>
    <w:rsid w:val="00027655"/>
    <w:rsid w:val="000276A1"/>
    <w:rsid w:val="0002794A"/>
    <w:rsid w:val="00027D86"/>
    <w:rsid w:val="00027E18"/>
    <w:rsid w:val="00027E1A"/>
    <w:rsid w:val="00030037"/>
    <w:rsid w:val="00030087"/>
    <w:rsid w:val="000301E5"/>
    <w:rsid w:val="000304BF"/>
    <w:rsid w:val="000304E7"/>
    <w:rsid w:val="00030937"/>
    <w:rsid w:val="00030A88"/>
    <w:rsid w:val="00030AE9"/>
    <w:rsid w:val="00030DB4"/>
    <w:rsid w:val="000310E6"/>
    <w:rsid w:val="00031187"/>
    <w:rsid w:val="0003157F"/>
    <w:rsid w:val="00031809"/>
    <w:rsid w:val="0003187F"/>
    <w:rsid w:val="0003194F"/>
    <w:rsid w:val="000319B5"/>
    <w:rsid w:val="00031A07"/>
    <w:rsid w:val="00031B66"/>
    <w:rsid w:val="00031DCE"/>
    <w:rsid w:val="00031E2B"/>
    <w:rsid w:val="000326CD"/>
    <w:rsid w:val="000326D6"/>
    <w:rsid w:val="00032AB7"/>
    <w:rsid w:val="00032AF7"/>
    <w:rsid w:val="00032F16"/>
    <w:rsid w:val="00032F23"/>
    <w:rsid w:val="00032F2B"/>
    <w:rsid w:val="00033036"/>
    <w:rsid w:val="0003309E"/>
    <w:rsid w:val="00033172"/>
    <w:rsid w:val="00033358"/>
    <w:rsid w:val="0003336C"/>
    <w:rsid w:val="000334AE"/>
    <w:rsid w:val="0003370A"/>
    <w:rsid w:val="00033CDE"/>
    <w:rsid w:val="00034281"/>
    <w:rsid w:val="000346AC"/>
    <w:rsid w:val="00034860"/>
    <w:rsid w:val="00034920"/>
    <w:rsid w:val="0003498C"/>
    <w:rsid w:val="00034E68"/>
    <w:rsid w:val="00034E8A"/>
    <w:rsid w:val="00035546"/>
    <w:rsid w:val="000356AE"/>
    <w:rsid w:val="00035728"/>
    <w:rsid w:val="000357B1"/>
    <w:rsid w:val="00035929"/>
    <w:rsid w:val="00035D4E"/>
    <w:rsid w:val="00036415"/>
    <w:rsid w:val="00036768"/>
    <w:rsid w:val="000368B8"/>
    <w:rsid w:val="000369DF"/>
    <w:rsid w:val="00036AC1"/>
    <w:rsid w:val="00036B49"/>
    <w:rsid w:val="00036FC1"/>
    <w:rsid w:val="00037181"/>
    <w:rsid w:val="0003760E"/>
    <w:rsid w:val="00037B1D"/>
    <w:rsid w:val="00037B5B"/>
    <w:rsid w:val="00037C25"/>
    <w:rsid w:val="00037D3B"/>
    <w:rsid w:val="00037DCA"/>
    <w:rsid w:val="00037F7C"/>
    <w:rsid w:val="00040076"/>
    <w:rsid w:val="00040212"/>
    <w:rsid w:val="0004050C"/>
    <w:rsid w:val="000407C6"/>
    <w:rsid w:val="00040B93"/>
    <w:rsid w:val="00040D22"/>
    <w:rsid w:val="000414C0"/>
    <w:rsid w:val="000415E7"/>
    <w:rsid w:val="000417E6"/>
    <w:rsid w:val="000418E6"/>
    <w:rsid w:val="00041B63"/>
    <w:rsid w:val="00041D42"/>
    <w:rsid w:val="000420EE"/>
    <w:rsid w:val="00042234"/>
    <w:rsid w:val="000422A6"/>
    <w:rsid w:val="0004252A"/>
    <w:rsid w:val="00042641"/>
    <w:rsid w:val="0004285F"/>
    <w:rsid w:val="00042B9F"/>
    <w:rsid w:val="00042C0A"/>
    <w:rsid w:val="00042D55"/>
    <w:rsid w:val="00043078"/>
    <w:rsid w:val="000434B7"/>
    <w:rsid w:val="000435B7"/>
    <w:rsid w:val="000438A1"/>
    <w:rsid w:val="0004415F"/>
    <w:rsid w:val="000442EF"/>
    <w:rsid w:val="00044656"/>
    <w:rsid w:val="000446E5"/>
    <w:rsid w:val="00044979"/>
    <w:rsid w:val="000449A7"/>
    <w:rsid w:val="000449C4"/>
    <w:rsid w:val="0004511F"/>
    <w:rsid w:val="00045149"/>
    <w:rsid w:val="00045601"/>
    <w:rsid w:val="00045715"/>
    <w:rsid w:val="00045B10"/>
    <w:rsid w:val="00045F8E"/>
    <w:rsid w:val="000467BC"/>
    <w:rsid w:val="0004682F"/>
    <w:rsid w:val="00046DF1"/>
    <w:rsid w:val="0004704F"/>
    <w:rsid w:val="00047531"/>
    <w:rsid w:val="000475C2"/>
    <w:rsid w:val="00047869"/>
    <w:rsid w:val="00047914"/>
    <w:rsid w:val="00047F74"/>
    <w:rsid w:val="0005024C"/>
    <w:rsid w:val="0005035C"/>
    <w:rsid w:val="00050470"/>
    <w:rsid w:val="00050547"/>
    <w:rsid w:val="0005055E"/>
    <w:rsid w:val="00050622"/>
    <w:rsid w:val="00050CAE"/>
    <w:rsid w:val="00051127"/>
    <w:rsid w:val="00051335"/>
    <w:rsid w:val="0005166C"/>
    <w:rsid w:val="000517A2"/>
    <w:rsid w:val="00051B88"/>
    <w:rsid w:val="00051DE7"/>
    <w:rsid w:val="00052416"/>
    <w:rsid w:val="0005245B"/>
    <w:rsid w:val="00052925"/>
    <w:rsid w:val="00052A93"/>
    <w:rsid w:val="000535DF"/>
    <w:rsid w:val="0005369E"/>
    <w:rsid w:val="0005384A"/>
    <w:rsid w:val="00053DEE"/>
    <w:rsid w:val="000541D4"/>
    <w:rsid w:val="00054365"/>
    <w:rsid w:val="0005465F"/>
    <w:rsid w:val="00054F52"/>
    <w:rsid w:val="00055543"/>
    <w:rsid w:val="00055CF4"/>
    <w:rsid w:val="00055FAF"/>
    <w:rsid w:val="00055FD1"/>
    <w:rsid w:val="0005620E"/>
    <w:rsid w:val="00056235"/>
    <w:rsid w:val="000564D5"/>
    <w:rsid w:val="00056566"/>
    <w:rsid w:val="00056670"/>
    <w:rsid w:val="0005667D"/>
    <w:rsid w:val="0005693B"/>
    <w:rsid w:val="00056A31"/>
    <w:rsid w:val="0005733D"/>
    <w:rsid w:val="00060064"/>
    <w:rsid w:val="0006015C"/>
    <w:rsid w:val="0006078F"/>
    <w:rsid w:val="00060A22"/>
    <w:rsid w:val="00060B22"/>
    <w:rsid w:val="00060F07"/>
    <w:rsid w:val="00060F71"/>
    <w:rsid w:val="00060FE4"/>
    <w:rsid w:val="00061095"/>
    <w:rsid w:val="000612B5"/>
    <w:rsid w:val="00061889"/>
    <w:rsid w:val="00062223"/>
    <w:rsid w:val="00062291"/>
    <w:rsid w:val="00063786"/>
    <w:rsid w:val="0006390F"/>
    <w:rsid w:val="00063F99"/>
    <w:rsid w:val="00064172"/>
    <w:rsid w:val="00064A0A"/>
    <w:rsid w:val="00064CD3"/>
    <w:rsid w:val="00064DF8"/>
    <w:rsid w:val="00064FBA"/>
    <w:rsid w:val="00065238"/>
    <w:rsid w:val="0006526C"/>
    <w:rsid w:val="00065358"/>
    <w:rsid w:val="000657FA"/>
    <w:rsid w:val="000658D0"/>
    <w:rsid w:val="00065AF2"/>
    <w:rsid w:val="00065AFE"/>
    <w:rsid w:val="00065B1A"/>
    <w:rsid w:val="00065ED4"/>
    <w:rsid w:val="0006639A"/>
    <w:rsid w:val="000665C7"/>
    <w:rsid w:val="000665E7"/>
    <w:rsid w:val="000669D7"/>
    <w:rsid w:val="00066A85"/>
    <w:rsid w:val="00066D7A"/>
    <w:rsid w:val="00066E43"/>
    <w:rsid w:val="00066F52"/>
    <w:rsid w:val="00067320"/>
    <w:rsid w:val="00067380"/>
    <w:rsid w:val="000673D4"/>
    <w:rsid w:val="00067484"/>
    <w:rsid w:val="00067863"/>
    <w:rsid w:val="00067BB1"/>
    <w:rsid w:val="00070394"/>
    <w:rsid w:val="00070432"/>
    <w:rsid w:val="0007044E"/>
    <w:rsid w:val="000705A8"/>
    <w:rsid w:val="000705FB"/>
    <w:rsid w:val="000706CC"/>
    <w:rsid w:val="00070716"/>
    <w:rsid w:val="00070CB2"/>
    <w:rsid w:val="00070E9B"/>
    <w:rsid w:val="000715D8"/>
    <w:rsid w:val="00071AE4"/>
    <w:rsid w:val="00071AF6"/>
    <w:rsid w:val="00071B9F"/>
    <w:rsid w:val="00071BFA"/>
    <w:rsid w:val="00071C35"/>
    <w:rsid w:val="00071D5C"/>
    <w:rsid w:val="00071DB7"/>
    <w:rsid w:val="00072376"/>
    <w:rsid w:val="000723A6"/>
    <w:rsid w:val="000724FD"/>
    <w:rsid w:val="00072B5A"/>
    <w:rsid w:val="0007348A"/>
    <w:rsid w:val="000739DA"/>
    <w:rsid w:val="00073A5F"/>
    <w:rsid w:val="00073C26"/>
    <w:rsid w:val="00073E94"/>
    <w:rsid w:val="00073FEE"/>
    <w:rsid w:val="00074130"/>
    <w:rsid w:val="000741E3"/>
    <w:rsid w:val="000742AE"/>
    <w:rsid w:val="0007435A"/>
    <w:rsid w:val="0007469B"/>
    <w:rsid w:val="000746C7"/>
    <w:rsid w:val="000748C9"/>
    <w:rsid w:val="000749A8"/>
    <w:rsid w:val="00074DCD"/>
    <w:rsid w:val="0007504B"/>
    <w:rsid w:val="0007528E"/>
    <w:rsid w:val="0007532C"/>
    <w:rsid w:val="0007570B"/>
    <w:rsid w:val="00075D4B"/>
    <w:rsid w:val="00075DD9"/>
    <w:rsid w:val="0007604B"/>
    <w:rsid w:val="000763A4"/>
    <w:rsid w:val="000766AD"/>
    <w:rsid w:val="0007679F"/>
    <w:rsid w:val="00076A0C"/>
    <w:rsid w:val="00077268"/>
    <w:rsid w:val="000774C4"/>
    <w:rsid w:val="000775E9"/>
    <w:rsid w:val="000776E5"/>
    <w:rsid w:val="000776F7"/>
    <w:rsid w:val="00077932"/>
    <w:rsid w:val="00077AE3"/>
    <w:rsid w:val="00077D59"/>
    <w:rsid w:val="00077E7C"/>
    <w:rsid w:val="00080102"/>
    <w:rsid w:val="0008040F"/>
    <w:rsid w:val="000806F8"/>
    <w:rsid w:val="00080996"/>
    <w:rsid w:val="000809F0"/>
    <w:rsid w:val="00081197"/>
    <w:rsid w:val="00081610"/>
    <w:rsid w:val="0008171A"/>
    <w:rsid w:val="00081846"/>
    <w:rsid w:val="00081A0F"/>
    <w:rsid w:val="00081CAF"/>
    <w:rsid w:val="000829B3"/>
    <w:rsid w:val="00082BF8"/>
    <w:rsid w:val="00082CB2"/>
    <w:rsid w:val="00082CC6"/>
    <w:rsid w:val="00082E0C"/>
    <w:rsid w:val="000830E8"/>
    <w:rsid w:val="0008312B"/>
    <w:rsid w:val="0008329D"/>
    <w:rsid w:val="00083983"/>
    <w:rsid w:val="00083D80"/>
    <w:rsid w:val="00084247"/>
    <w:rsid w:val="000843AD"/>
    <w:rsid w:val="00084489"/>
    <w:rsid w:val="0008468B"/>
    <w:rsid w:val="000846BC"/>
    <w:rsid w:val="00084A6B"/>
    <w:rsid w:val="00084B5B"/>
    <w:rsid w:val="00084F61"/>
    <w:rsid w:val="00085554"/>
    <w:rsid w:val="0008565F"/>
    <w:rsid w:val="000859B0"/>
    <w:rsid w:val="00085C4D"/>
    <w:rsid w:val="00085D6D"/>
    <w:rsid w:val="00085E77"/>
    <w:rsid w:val="00085FB7"/>
    <w:rsid w:val="00086BD7"/>
    <w:rsid w:val="00086CA0"/>
    <w:rsid w:val="00086CED"/>
    <w:rsid w:val="00086EBD"/>
    <w:rsid w:val="000872E8"/>
    <w:rsid w:val="0008771F"/>
    <w:rsid w:val="00087779"/>
    <w:rsid w:val="00087A86"/>
    <w:rsid w:val="00088A12"/>
    <w:rsid w:val="00090274"/>
    <w:rsid w:val="00090711"/>
    <w:rsid w:val="000907F3"/>
    <w:rsid w:val="00090A3F"/>
    <w:rsid w:val="00090B1E"/>
    <w:rsid w:val="00090E02"/>
    <w:rsid w:val="00090FB9"/>
    <w:rsid w:val="000915F3"/>
    <w:rsid w:val="000916F0"/>
    <w:rsid w:val="000918BA"/>
    <w:rsid w:val="00091D3D"/>
    <w:rsid w:val="00091EC6"/>
    <w:rsid w:val="00092382"/>
    <w:rsid w:val="00092671"/>
    <w:rsid w:val="0009293D"/>
    <w:rsid w:val="00092A4C"/>
    <w:rsid w:val="0009338E"/>
    <w:rsid w:val="000935BE"/>
    <w:rsid w:val="00093A2E"/>
    <w:rsid w:val="00093A6D"/>
    <w:rsid w:val="00093DE1"/>
    <w:rsid w:val="000940CB"/>
    <w:rsid w:val="00094C5C"/>
    <w:rsid w:val="00094DFE"/>
    <w:rsid w:val="00094F34"/>
    <w:rsid w:val="000950BB"/>
    <w:rsid w:val="00095249"/>
    <w:rsid w:val="00095A28"/>
    <w:rsid w:val="00095CFA"/>
    <w:rsid w:val="00095EEE"/>
    <w:rsid w:val="000963B5"/>
    <w:rsid w:val="00096759"/>
    <w:rsid w:val="0009677E"/>
    <w:rsid w:val="000967FC"/>
    <w:rsid w:val="000969A9"/>
    <w:rsid w:val="00096AC8"/>
    <w:rsid w:val="000971D8"/>
    <w:rsid w:val="000971D9"/>
    <w:rsid w:val="0009747F"/>
    <w:rsid w:val="00097733"/>
    <w:rsid w:val="00097775"/>
    <w:rsid w:val="00097885"/>
    <w:rsid w:val="00097B0E"/>
    <w:rsid w:val="000A006E"/>
    <w:rsid w:val="000A01EE"/>
    <w:rsid w:val="000A068C"/>
    <w:rsid w:val="000A0728"/>
    <w:rsid w:val="000A0BC0"/>
    <w:rsid w:val="000A13D6"/>
    <w:rsid w:val="000A14EB"/>
    <w:rsid w:val="000A157B"/>
    <w:rsid w:val="000A17CD"/>
    <w:rsid w:val="000A18AD"/>
    <w:rsid w:val="000A1F1C"/>
    <w:rsid w:val="000A1FD5"/>
    <w:rsid w:val="000A25A1"/>
    <w:rsid w:val="000A2618"/>
    <w:rsid w:val="000A294B"/>
    <w:rsid w:val="000A2B5D"/>
    <w:rsid w:val="000A2B83"/>
    <w:rsid w:val="000A2D43"/>
    <w:rsid w:val="000A2DF5"/>
    <w:rsid w:val="000A2F9E"/>
    <w:rsid w:val="000A303D"/>
    <w:rsid w:val="000A3472"/>
    <w:rsid w:val="000A3552"/>
    <w:rsid w:val="000A371C"/>
    <w:rsid w:val="000A3B00"/>
    <w:rsid w:val="000A3B7F"/>
    <w:rsid w:val="000A3CF3"/>
    <w:rsid w:val="000A3DCA"/>
    <w:rsid w:val="000A3E62"/>
    <w:rsid w:val="000A3F22"/>
    <w:rsid w:val="000A4124"/>
    <w:rsid w:val="000A4C26"/>
    <w:rsid w:val="000A4CDF"/>
    <w:rsid w:val="000A5132"/>
    <w:rsid w:val="000A51FF"/>
    <w:rsid w:val="000A56D4"/>
    <w:rsid w:val="000A5D04"/>
    <w:rsid w:val="000A5E7C"/>
    <w:rsid w:val="000A5F45"/>
    <w:rsid w:val="000A5FEB"/>
    <w:rsid w:val="000A60DD"/>
    <w:rsid w:val="000A620B"/>
    <w:rsid w:val="000A660A"/>
    <w:rsid w:val="000A717D"/>
    <w:rsid w:val="000A759E"/>
    <w:rsid w:val="000A75C0"/>
    <w:rsid w:val="000A7679"/>
    <w:rsid w:val="000A7722"/>
    <w:rsid w:val="000A7961"/>
    <w:rsid w:val="000A7A66"/>
    <w:rsid w:val="000A7D1F"/>
    <w:rsid w:val="000B0FB9"/>
    <w:rsid w:val="000B11A4"/>
    <w:rsid w:val="000B129A"/>
    <w:rsid w:val="000B1AD1"/>
    <w:rsid w:val="000B1D97"/>
    <w:rsid w:val="000B2012"/>
    <w:rsid w:val="000B21AE"/>
    <w:rsid w:val="000B26EA"/>
    <w:rsid w:val="000B2A3D"/>
    <w:rsid w:val="000B2BFE"/>
    <w:rsid w:val="000B2D24"/>
    <w:rsid w:val="000B328E"/>
    <w:rsid w:val="000B3415"/>
    <w:rsid w:val="000B34A9"/>
    <w:rsid w:val="000B38B3"/>
    <w:rsid w:val="000B38FC"/>
    <w:rsid w:val="000B420C"/>
    <w:rsid w:val="000B459E"/>
    <w:rsid w:val="000B468C"/>
    <w:rsid w:val="000B4AB8"/>
    <w:rsid w:val="000B4BA5"/>
    <w:rsid w:val="000B4E61"/>
    <w:rsid w:val="000B4E7D"/>
    <w:rsid w:val="000B4FBC"/>
    <w:rsid w:val="000B5391"/>
    <w:rsid w:val="000B5409"/>
    <w:rsid w:val="000B54B7"/>
    <w:rsid w:val="000B55E2"/>
    <w:rsid w:val="000B56A9"/>
    <w:rsid w:val="000B58AD"/>
    <w:rsid w:val="000B5BD7"/>
    <w:rsid w:val="000B5CE5"/>
    <w:rsid w:val="000B5EF7"/>
    <w:rsid w:val="000B5F89"/>
    <w:rsid w:val="000B5FEC"/>
    <w:rsid w:val="000B613D"/>
    <w:rsid w:val="000B614C"/>
    <w:rsid w:val="000B6683"/>
    <w:rsid w:val="000B69F9"/>
    <w:rsid w:val="000B6FCE"/>
    <w:rsid w:val="000B78A6"/>
    <w:rsid w:val="000B792F"/>
    <w:rsid w:val="000B7ADC"/>
    <w:rsid w:val="000B7D13"/>
    <w:rsid w:val="000C0268"/>
    <w:rsid w:val="000C0382"/>
    <w:rsid w:val="000C04FD"/>
    <w:rsid w:val="000C0810"/>
    <w:rsid w:val="000C0A9A"/>
    <w:rsid w:val="000C0AF9"/>
    <w:rsid w:val="000C169A"/>
    <w:rsid w:val="000C17A6"/>
    <w:rsid w:val="000C1B2B"/>
    <w:rsid w:val="000C1C47"/>
    <w:rsid w:val="000C274A"/>
    <w:rsid w:val="000C2F73"/>
    <w:rsid w:val="000C3BD2"/>
    <w:rsid w:val="000C3F99"/>
    <w:rsid w:val="000C40F9"/>
    <w:rsid w:val="000C4584"/>
    <w:rsid w:val="000C485A"/>
    <w:rsid w:val="000C4880"/>
    <w:rsid w:val="000C4A3E"/>
    <w:rsid w:val="000C4E83"/>
    <w:rsid w:val="000C4F00"/>
    <w:rsid w:val="000C5365"/>
    <w:rsid w:val="000C547E"/>
    <w:rsid w:val="000C5723"/>
    <w:rsid w:val="000C5BE8"/>
    <w:rsid w:val="000C5CF8"/>
    <w:rsid w:val="000C6017"/>
    <w:rsid w:val="000C65A9"/>
    <w:rsid w:val="000C66E8"/>
    <w:rsid w:val="000C68F3"/>
    <w:rsid w:val="000C6D8E"/>
    <w:rsid w:val="000C7331"/>
    <w:rsid w:val="000C7657"/>
    <w:rsid w:val="000C7E1C"/>
    <w:rsid w:val="000C7EBA"/>
    <w:rsid w:val="000C7F66"/>
    <w:rsid w:val="000D008C"/>
    <w:rsid w:val="000D060D"/>
    <w:rsid w:val="000D08B2"/>
    <w:rsid w:val="000D0A37"/>
    <w:rsid w:val="000D0CBC"/>
    <w:rsid w:val="000D19D5"/>
    <w:rsid w:val="000D1AF2"/>
    <w:rsid w:val="000D1CDA"/>
    <w:rsid w:val="000D1DBC"/>
    <w:rsid w:val="000D2E7E"/>
    <w:rsid w:val="000D2F06"/>
    <w:rsid w:val="000D30CA"/>
    <w:rsid w:val="000D3174"/>
    <w:rsid w:val="000D34E6"/>
    <w:rsid w:val="000D3679"/>
    <w:rsid w:val="000D36E0"/>
    <w:rsid w:val="000D36E6"/>
    <w:rsid w:val="000D3A41"/>
    <w:rsid w:val="000D3DC4"/>
    <w:rsid w:val="000D3E4B"/>
    <w:rsid w:val="000D44BE"/>
    <w:rsid w:val="000D4602"/>
    <w:rsid w:val="000D482D"/>
    <w:rsid w:val="000D483B"/>
    <w:rsid w:val="000D5015"/>
    <w:rsid w:val="000D5038"/>
    <w:rsid w:val="000D5B9C"/>
    <w:rsid w:val="000D61B3"/>
    <w:rsid w:val="000D624A"/>
    <w:rsid w:val="000D62E5"/>
    <w:rsid w:val="000D6813"/>
    <w:rsid w:val="000D6C07"/>
    <w:rsid w:val="000D7339"/>
    <w:rsid w:val="000D767D"/>
    <w:rsid w:val="000D769E"/>
    <w:rsid w:val="000D7736"/>
    <w:rsid w:val="000D79A5"/>
    <w:rsid w:val="000D7A4D"/>
    <w:rsid w:val="000D7AA5"/>
    <w:rsid w:val="000D7AD4"/>
    <w:rsid w:val="000D7DC9"/>
    <w:rsid w:val="000D7E80"/>
    <w:rsid w:val="000DF4E5"/>
    <w:rsid w:val="000E01D6"/>
    <w:rsid w:val="000E0467"/>
    <w:rsid w:val="000E093D"/>
    <w:rsid w:val="000E0C5D"/>
    <w:rsid w:val="000E0D44"/>
    <w:rsid w:val="000E101B"/>
    <w:rsid w:val="000E152B"/>
    <w:rsid w:val="000E16EF"/>
    <w:rsid w:val="000E1901"/>
    <w:rsid w:val="000E1A1E"/>
    <w:rsid w:val="000E1C5A"/>
    <w:rsid w:val="000E1C83"/>
    <w:rsid w:val="000E1D4E"/>
    <w:rsid w:val="000E2192"/>
    <w:rsid w:val="000E23AE"/>
    <w:rsid w:val="000E30B1"/>
    <w:rsid w:val="000E3378"/>
    <w:rsid w:val="000E36C5"/>
    <w:rsid w:val="000E36D4"/>
    <w:rsid w:val="000E3AD4"/>
    <w:rsid w:val="000E3AE2"/>
    <w:rsid w:val="000E40DC"/>
    <w:rsid w:val="000E40EE"/>
    <w:rsid w:val="000E41B0"/>
    <w:rsid w:val="000E4C55"/>
    <w:rsid w:val="000E51B6"/>
    <w:rsid w:val="000E56B0"/>
    <w:rsid w:val="000E56BF"/>
    <w:rsid w:val="000E5717"/>
    <w:rsid w:val="000E5949"/>
    <w:rsid w:val="000E5C2B"/>
    <w:rsid w:val="000E5F74"/>
    <w:rsid w:val="000E7593"/>
    <w:rsid w:val="000E7AFA"/>
    <w:rsid w:val="000F007C"/>
    <w:rsid w:val="000F01F5"/>
    <w:rsid w:val="000F07B2"/>
    <w:rsid w:val="000F09C8"/>
    <w:rsid w:val="000F0E03"/>
    <w:rsid w:val="000F0EE7"/>
    <w:rsid w:val="000F11F8"/>
    <w:rsid w:val="000F1666"/>
    <w:rsid w:val="000F18BD"/>
    <w:rsid w:val="000F18CA"/>
    <w:rsid w:val="000F1C53"/>
    <w:rsid w:val="000F203A"/>
    <w:rsid w:val="000F22BF"/>
    <w:rsid w:val="000F23E2"/>
    <w:rsid w:val="000F2400"/>
    <w:rsid w:val="000F2531"/>
    <w:rsid w:val="000F2549"/>
    <w:rsid w:val="000F27BC"/>
    <w:rsid w:val="000F2A40"/>
    <w:rsid w:val="000F2E52"/>
    <w:rsid w:val="000F2EC5"/>
    <w:rsid w:val="000F3010"/>
    <w:rsid w:val="000F32E6"/>
    <w:rsid w:val="000F3307"/>
    <w:rsid w:val="000F360D"/>
    <w:rsid w:val="000F36B1"/>
    <w:rsid w:val="000F375B"/>
    <w:rsid w:val="000F392A"/>
    <w:rsid w:val="000F3958"/>
    <w:rsid w:val="000F3970"/>
    <w:rsid w:val="000F3A7C"/>
    <w:rsid w:val="000F3DAF"/>
    <w:rsid w:val="000F4722"/>
    <w:rsid w:val="000F478C"/>
    <w:rsid w:val="000F47E8"/>
    <w:rsid w:val="000F49CE"/>
    <w:rsid w:val="000F4BA2"/>
    <w:rsid w:val="000F5303"/>
    <w:rsid w:val="000F537A"/>
    <w:rsid w:val="000F57B1"/>
    <w:rsid w:val="000F5865"/>
    <w:rsid w:val="000F591D"/>
    <w:rsid w:val="000F60BA"/>
    <w:rsid w:val="000F679B"/>
    <w:rsid w:val="000F6806"/>
    <w:rsid w:val="000F6841"/>
    <w:rsid w:val="000F6986"/>
    <w:rsid w:val="000F6A0D"/>
    <w:rsid w:val="000F6A26"/>
    <w:rsid w:val="000F6A2A"/>
    <w:rsid w:val="000F6E43"/>
    <w:rsid w:val="000F6F61"/>
    <w:rsid w:val="000F72CF"/>
    <w:rsid w:val="000F77A5"/>
    <w:rsid w:val="000F783F"/>
    <w:rsid w:val="000F7EB3"/>
    <w:rsid w:val="001001EF"/>
    <w:rsid w:val="001003BA"/>
    <w:rsid w:val="0010040E"/>
    <w:rsid w:val="00100443"/>
    <w:rsid w:val="001004E3"/>
    <w:rsid w:val="001004F6"/>
    <w:rsid w:val="00100D22"/>
    <w:rsid w:val="00100EBD"/>
    <w:rsid w:val="00101CF4"/>
    <w:rsid w:val="00101D16"/>
    <w:rsid w:val="00101DFA"/>
    <w:rsid w:val="00102300"/>
    <w:rsid w:val="00102500"/>
    <w:rsid w:val="001025D5"/>
    <w:rsid w:val="001026D5"/>
    <w:rsid w:val="001026EB"/>
    <w:rsid w:val="00102D1E"/>
    <w:rsid w:val="001030BD"/>
    <w:rsid w:val="0010370A"/>
    <w:rsid w:val="0010392A"/>
    <w:rsid w:val="00103E54"/>
    <w:rsid w:val="001045F5"/>
    <w:rsid w:val="00104B4E"/>
    <w:rsid w:val="00104E52"/>
    <w:rsid w:val="00104E54"/>
    <w:rsid w:val="00104EB9"/>
    <w:rsid w:val="00104FC6"/>
    <w:rsid w:val="00105104"/>
    <w:rsid w:val="0010511A"/>
    <w:rsid w:val="001054B8"/>
    <w:rsid w:val="00105A42"/>
    <w:rsid w:val="001063A5"/>
    <w:rsid w:val="001065DD"/>
    <w:rsid w:val="00106677"/>
    <w:rsid w:val="00106913"/>
    <w:rsid w:val="00107B71"/>
    <w:rsid w:val="00107C4C"/>
    <w:rsid w:val="00107CBA"/>
    <w:rsid w:val="00110279"/>
    <w:rsid w:val="001105D3"/>
    <w:rsid w:val="00110836"/>
    <w:rsid w:val="00110878"/>
    <w:rsid w:val="00110FED"/>
    <w:rsid w:val="00111636"/>
    <w:rsid w:val="001117FD"/>
    <w:rsid w:val="00111E5C"/>
    <w:rsid w:val="001121C4"/>
    <w:rsid w:val="0011288B"/>
    <w:rsid w:val="0011291D"/>
    <w:rsid w:val="00112A83"/>
    <w:rsid w:val="00112A85"/>
    <w:rsid w:val="001132F8"/>
    <w:rsid w:val="00113353"/>
    <w:rsid w:val="001133F0"/>
    <w:rsid w:val="00113430"/>
    <w:rsid w:val="001143C4"/>
    <w:rsid w:val="001148A4"/>
    <w:rsid w:val="00114B14"/>
    <w:rsid w:val="00114C8F"/>
    <w:rsid w:val="00114CFC"/>
    <w:rsid w:val="001152F6"/>
    <w:rsid w:val="001155C2"/>
    <w:rsid w:val="00115773"/>
    <w:rsid w:val="00115DB8"/>
    <w:rsid w:val="00115E8A"/>
    <w:rsid w:val="001161F1"/>
    <w:rsid w:val="00116361"/>
    <w:rsid w:val="001165E9"/>
    <w:rsid w:val="00116653"/>
    <w:rsid w:val="00116723"/>
    <w:rsid w:val="001167DF"/>
    <w:rsid w:val="00117456"/>
    <w:rsid w:val="001174AB"/>
    <w:rsid w:val="0011798C"/>
    <w:rsid w:val="001179CF"/>
    <w:rsid w:val="00117DC8"/>
    <w:rsid w:val="00117E16"/>
    <w:rsid w:val="00117F33"/>
    <w:rsid w:val="00120273"/>
    <w:rsid w:val="0012032F"/>
    <w:rsid w:val="001203A4"/>
    <w:rsid w:val="0012093B"/>
    <w:rsid w:val="001209FB"/>
    <w:rsid w:val="00120D8E"/>
    <w:rsid w:val="00121056"/>
    <w:rsid w:val="00121567"/>
    <w:rsid w:val="001215BD"/>
    <w:rsid w:val="00121B49"/>
    <w:rsid w:val="00121F99"/>
    <w:rsid w:val="00121FDD"/>
    <w:rsid w:val="001224D2"/>
    <w:rsid w:val="001224D4"/>
    <w:rsid w:val="001228D0"/>
    <w:rsid w:val="00122C23"/>
    <w:rsid w:val="00122F7D"/>
    <w:rsid w:val="00123C1B"/>
    <w:rsid w:val="00123E2D"/>
    <w:rsid w:val="001240B6"/>
    <w:rsid w:val="00124389"/>
    <w:rsid w:val="00124514"/>
    <w:rsid w:val="001245F6"/>
    <w:rsid w:val="001245F8"/>
    <w:rsid w:val="001246C3"/>
    <w:rsid w:val="0012510C"/>
    <w:rsid w:val="00125522"/>
    <w:rsid w:val="00125710"/>
    <w:rsid w:val="0012578E"/>
    <w:rsid w:val="00125C65"/>
    <w:rsid w:val="00125CA1"/>
    <w:rsid w:val="0012643D"/>
    <w:rsid w:val="001269F8"/>
    <w:rsid w:val="00126A34"/>
    <w:rsid w:val="00126C37"/>
    <w:rsid w:val="001274E8"/>
    <w:rsid w:val="0012786F"/>
    <w:rsid w:val="00127899"/>
    <w:rsid w:val="00127A3C"/>
    <w:rsid w:val="00127AE0"/>
    <w:rsid w:val="00127B45"/>
    <w:rsid w:val="00127C7A"/>
    <w:rsid w:val="001300E3"/>
    <w:rsid w:val="0013013D"/>
    <w:rsid w:val="00130873"/>
    <w:rsid w:val="001308BC"/>
    <w:rsid w:val="0013099E"/>
    <w:rsid w:val="00130B34"/>
    <w:rsid w:val="00130E83"/>
    <w:rsid w:val="001310FE"/>
    <w:rsid w:val="00131280"/>
    <w:rsid w:val="001313E3"/>
    <w:rsid w:val="00131477"/>
    <w:rsid w:val="001315C2"/>
    <w:rsid w:val="00131D60"/>
    <w:rsid w:val="0013207F"/>
    <w:rsid w:val="001324B2"/>
    <w:rsid w:val="001325DF"/>
    <w:rsid w:val="00132625"/>
    <w:rsid w:val="00132ACC"/>
    <w:rsid w:val="00132D38"/>
    <w:rsid w:val="00132D8E"/>
    <w:rsid w:val="00132DB0"/>
    <w:rsid w:val="00132DC8"/>
    <w:rsid w:val="00133386"/>
    <w:rsid w:val="001333B3"/>
    <w:rsid w:val="00133590"/>
    <w:rsid w:val="00133823"/>
    <w:rsid w:val="00133BD2"/>
    <w:rsid w:val="00133CBC"/>
    <w:rsid w:val="00133E87"/>
    <w:rsid w:val="00134042"/>
    <w:rsid w:val="001343D6"/>
    <w:rsid w:val="001346B7"/>
    <w:rsid w:val="0013488B"/>
    <w:rsid w:val="00134A05"/>
    <w:rsid w:val="00134C7D"/>
    <w:rsid w:val="00135194"/>
    <w:rsid w:val="001351F4"/>
    <w:rsid w:val="00135260"/>
    <w:rsid w:val="0013557B"/>
    <w:rsid w:val="001356E8"/>
    <w:rsid w:val="00135BF8"/>
    <w:rsid w:val="001366EC"/>
    <w:rsid w:val="00136A22"/>
    <w:rsid w:val="00136A89"/>
    <w:rsid w:val="00136B51"/>
    <w:rsid w:val="00136BAD"/>
    <w:rsid w:val="00136DF6"/>
    <w:rsid w:val="00136FDC"/>
    <w:rsid w:val="00137451"/>
    <w:rsid w:val="00137463"/>
    <w:rsid w:val="001374A5"/>
    <w:rsid w:val="00137628"/>
    <w:rsid w:val="0013788D"/>
    <w:rsid w:val="00137B10"/>
    <w:rsid w:val="00137BBC"/>
    <w:rsid w:val="00137D89"/>
    <w:rsid w:val="001401A0"/>
    <w:rsid w:val="001401EF"/>
    <w:rsid w:val="001406AA"/>
    <w:rsid w:val="00140B8F"/>
    <w:rsid w:val="00140CD4"/>
    <w:rsid w:val="00140F86"/>
    <w:rsid w:val="00141136"/>
    <w:rsid w:val="001413CA"/>
    <w:rsid w:val="00141A17"/>
    <w:rsid w:val="00141A5B"/>
    <w:rsid w:val="00141D6B"/>
    <w:rsid w:val="00141DA6"/>
    <w:rsid w:val="00141F79"/>
    <w:rsid w:val="0014289B"/>
    <w:rsid w:val="001428AC"/>
    <w:rsid w:val="00142945"/>
    <w:rsid w:val="00142968"/>
    <w:rsid w:val="00142A4B"/>
    <w:rsid w:val="00143288"/>
    <w:rsid w:val="001435B7"/>
    <w:rsid w:val="001435C0"/>
    <w:rsid w:val="001439D3"/>
    <w:rsid w:val="00143A86"/>
    <w:rsid w:val="00143D0C"/>
    <w:rsid w:val="00144070"/>
    <w:rsid w:val="0014411D"/>
    <w:rsid w:val="00144482"/>
    <w:rsid w:val="001447FD"/>
    <w:rsid w:val="00144B08"/>
    <w:rsid w:val="00144BEF"/>
    <w:rsid w:val="00144E75"/>
    <w:rsid w:val="0014533E"/>
    <w:rsid w:val="0014548E"/>
    <w:rsid w:val="00145747"/>
    <w:rsid w:val="001458A2"/>
    <w:rsid w:val="00145E2F"/>
    <w:rsid w:val="00145EC4"/>
    <w:rsid w:val="0014611C"/>
    <w:rsid w:val="00146384"/>
    <w:rsid w:val="001463AB"/>
    <w:rsid w:val="00146610"/>
    <w:rsid w:val="0014678B"/>
    <w:rsid w:val="00146BC7"/>
    <w:rsid w:val="0014714D"/>
    <w:rsid w:val="001472F1"/>
    <w:rsid w:val="00147392"/>
    <w:rsid w:val="001473BA"/>
    <w:rsid w:val="001476B0"/>
    <w:rsid w:val="00147736"/>
    <w:rsid w:val="001477CF"/>
    <w:rsid w:val="001479D4"/>
    <w:rsid w:val="001503D0"/>
    <w:rsid w:val="001507F4"/>
    <w:rsid w:val="00150D6D"/>
    <w:rsid w:val="00150DA6"/>
    <w:rsid w:val="0015119D"/>
    <w:rsid w:val="001515B9"/>
    <w:rsid w:val="00151C4F"/>
    <w:rsid w:val="001520E0"/>
    <w:rsid w:val="00152178"/>
    <w:rsid w:val="00152183"/>
    <w:rsid w:val="00152A05"/>
    <w:rsid w:val="0015301D"/>
    <w:rsid w:val="001537C3"/>
    <w:rsid w:val="001537CD"/>
    <w:rsid w:val="0015382E"/>
    <w:rsid w:val="001538E8"/>
    <w:rsid w:val="00153AE9"/>
    <w:rsid w:val="00154208"/>
    <w:rsid w:val="001545AD"/>
    <w:rsid w:val="00154642"/>
    <w:rsid w:val="00154691"/>
    <w:rsid w:val="00154BA3"/>
    <w:rsid w:val="00154D02"/>
    <w:rsid w:val="00154D81"/>
    <w:rsid w:val="00154EE3"/>
    <w:rsid w:val="0015506B"/>
    <w:rsid w:val="0015526C"/>
    <w:rsid w:val="001554CF"/>
    <w:rsid w:val="00155B31"/>
    <w:rsid w:val="00155B9C"/>
    <w:rsid w:val="00155BC6"/>
    <w:rsid w:val="00155C54"/>
    <w:rsid w:val="001561B8"/>
    <w:rsid w:val="00156A33"/>
    <w:rsid w:val="001575CC"/>
    <w:rsid w:val="0015762E"/>
    <w:rsid w:val="001578BB"/>
    <w:rsid w:val="001579AA"/>
    <w:rsid w:val="00157C88"/>
    <w:rsid w:val="00157EB2"/>
    <w:rsid w:val="00160ADA"/>
    <w:rsid w:val="00161944"/>
    <w:rsid w:val="00161CF8"/>
    <w:rsid w:val="001623F3"/>
    <w:rsid w:val="00162402"/>
    <w:rsid w:val="00162781"/>
    <w:rsid w:val="001628C3"/>
    <w:rsid w:val="00162DC6"/>
    <w:rsid w:val="00163518"/>
    <w:rsid w:val="00163918"/>
    <w:rsid w:val="0016398D"/>
    <w:rsid w:val="00163FC8"/>
    <w:rsid w:val="001644EA"/>
    <w:rsid w:val="00164568"/>
    <w:rsid w:val="00164A50"/>
    <w:rsid w:val="001655ED"/>
    <w:rsid w:val="0016564E"/>
    <w:rsid w:val="00165F79"/>
    <w:rsid w:val="001661B5"/>
    <w:rsid w:val="00166388"/>
    <w:rsid w:val="00166828"/>
    <w:rsid w:val="00166E7C"/>
    <w:rsid w:val="00166FCB"/>
    <w:rsid w:val="00167126"/>
    <w:rsid w:val="0016722D"/>
    <w:rsid w:val="001672B7"/>
    <w:rsid w:val="00167464"/>
    <w:rsid w:val="0016776C"/>
    <w:rsid w:val="00167980"/>
    <w:rsid w:val="00167B5E"/>
    <w:rsid w:val="00167C18"/>
    <w:rsid w:val="00167D1A"/>
    <w:rsid w:val="001702E0"/>
    <w:rsid w:val="00170329"/>
    <w:rsid w:val="001704B7"/>
    <w:rsid w:val="0017074E"/>
    <w:rsid w:val="00170ACB"/>
    <w:rsid w:val="00170FB9"/>
    <w:rsid w:val="00171424"/>
    <w:rsid w:val="00171849"/>
    <w:rsid w:val="001720B6"/>
    <w:rsid w:val="00172120"/>
    <w:rsid w:val="00172361"/>
    <w:rsid w:val="00172705"/>
    <w:rsid w:val="0017277C"/>
    <w:rsid w:val="0017311D"/>
    <w:rsid w:val="0017323B"/>
    <w:rsid w:val="00173353"/>
    <w:rsid w:val="00173497"/>
    <w:rsid w:val="00173809"/>
    <w:rsid w:val="0017383A"/>
    <w:rsid w:val="00173A03"/>
    <w:rsid w:val="00174082"/>
    <w:rsid w:val="001742CB"/>
    <w:rsid w:val="0017459A"/>
    <w:rsid w:val="001748E6"/>
    <w:rsid w:val="00174A88"/>
    <w:rsid w:val="00174DA2"/>
    <w:rsid w:val="00174FF9"/>
    <w:rsid w:val="00175062"/>
    <w:rsid w:val="001751C1"/>
    <w:rsid w:val="001752B6"/>
    <w:rsid w:val="001752C3"/>
    <w:rsid w:val="00175918"/>
    <w:rsid w:val="00175CA0"/>
    <w:rsid w:val="00176231"/>
    <w:rsid w:val="0017623A"/>
    <w:rsid w:val="00176316"/>
    <w:rsid w:val="001765F9"/>
    <w:rsid w:val="0017662D"/>
    <w:rsid w:val="001766F4"/>
    <w:rsid w:val="00176899"/>
    <w:rsid w:val="00176C25"/>
    <w:rsid w:val="001773FB"/>
    <w:rsid w:val="00177421"/>
    <w:rsid w:val="00177914"/>
    <w:rsid w:val="001779C1"/>
    <w:rsid w:val="00177D66"/>
    <w:rsid w:val="001804FF"/>
    <w:rsid w:val="001805EF"/>
    <w:rsid w:val="0018093A"/>
    <w:rsid w:val="00180D5B"/>
    <w:rsid w:val="00180DB9"/>
    <w:rsid w:val="001813C5"/>
    <w:rsid w:val="00181476"/>
    <w:rsid w:val="00181E34"/>
    <w:rsid w:val="00182103"/>
    <w:rsid w:val="00182810"/>
    <w:rsid w:val="00182915"/>
    <w:rsid w:val="00182B56"/>
    <w:rsid w:val="00182C44"/>
    <w:rsid w:val="00182FCD"/>
    <w:rsid w:val="00183172"/>
    <w:rsid w:val="00183304"/>
    <w:rsid w:val="0018361A"/>
    <w:rsid w:val="00183736"/>
    <w:rsid w:val="00183AA6"/>
    <w:rsid w:val="0018401D"/>
    <w:rsid w:val="0018406A"/>
    <w:rsid w:val="001841CA"/>
    <w:rsid w:val="0018444F"/>
    <w:rsid w:val="00184975"/>
    <w:rsid w:val="00184B24"/>
    <w:rsid w:val="00184C59"/>
    <w:rsid w:val="0018516B"/>
    <w:rsid w:val="0018537C"/>
    <w:rsid w:val="0018555B"/>
    <w:rsid w:val="001855E6"/>
    <w:rsid w:val="0018579F"/>
    <w:rsid w:val="00185B29"/>
    <w:rsid w:val="00185D0D"/>
    <w:rsid w:val="00185FCC"/>
    <w:rsid w:val="00186020"/>
    <w:rsid w:val="00186062"/>
    <w:rsid w:val="001862DA"/>
    <w:rsid w:val="00186762"/>
    <w:rsid w:val="0018694C"/>
    <w:rsid w:val="00186BC7"/>
    <w:rsid w:val="00186D11"/>
    <w:rsid w:val="00186D18"/>
    <w:rsid w:val="0018712D"/>
    <w:rsid w:val="0018717B"/>
    <w:rsid w:val="001871D5"/>
    <w:rsid w:val="00187230"/>
    <w:rsid w:val="0018726E"/>
    <w:rsid w:val="001873F7"/>
    <w:rsid w:val="00187455"/>
    <w:rsid w:val="001900BF"/>
    <w:rsid w:val="001900D9"/>
    <w:rsid w:val="00190262"/>
    <w:rsid w:val="0019027D"/>
    <w:rsid w:val="001902A3"/>
    <w:rsid w:val="00190408"/>
    <w:rsid w:val="0019051D"/>
    <w:rsid w:val="001906AA"/>
    <w:rsid w:val="001907EA"/>
    <w:rsid w:val="00190B18"/>
    <w:rsid w:val="00190FBA"/>
    <w:rsid w:val="0019120B"/>
    <w:rsid w:val="0019122F"/>
    <w:rsid w:val="0019171B"/>
    <w:rsid w:val="00191738"/>
    <w:rsid w:val="00191751"/>
    <w:rsid w:val="00191DCF"/>
    <w:rsid w:val="00191E59"/>
    <w:rsid w:val="00191EC1"/>
    <w:rsid w:val="00191EDC"/>
    <w:rsid w:val="0019210F"/>
    <w:rsid w:val="001921DA"/>
    <w:rsid w:val="001923F2"/>
    <w:rsid w:val="00192496"/>
    <w:rsid w:val="001925DB"/>
    <w:rsid w:val="001926CB"/>
    <w:rsid w:val="00192F3C"/>
    <w:rsid w:val="00192F51"/>
    <w:rsid w:val="0019301E"/>
    <w:rsid w:val="001931E2"/>
    <w:rsid w:val="001931EB"/>
    <w:rsid w:val="001933A7"/>
    <w:rsid w:val="001943E4"/>
    <w:rsid w:val="00194436"/>
    <w:rsid w:val="00194621"/>
    <w:rsid w:val="001946B3"/>
    <w:rsid w:val="0019478C"/>
    <w:rsid w:val="00194B72"/>
    <w:rsid w:val="0019547E"/>
    <w:rsid w:val="00195711"/>
    <w:rsid w:val="00195736"/>
    <w:rsid w:val="00195A57"/>
    <w:rsid w:val="00195E3E"/>
    <w:rsid w:val="00195E93"/>
    <w:rsid w:val="0019610A"/>
    <w:rsid w:val="0019615C"/>
    <w:rsid w:val="001962BB"/>
    <w:rsid w:val="001963F7"/>
    <w:rsid w:val="00196A26"/>
    <w:rsid w:val="00196C2C"/>
    <w:rsid w:val="001973B9"/>
    <w:rsid w:val="001974A7"/>
    <w:rsid w:val="0019754B"/>
    <w:rsid w:val="0019761F"/>
    <w:rsid w:val="00197E8C"/>
    <w:rsid w:val="001A0120"/>
    <w:rsid w:val="001A021C"/>
    <w:rsid w:val="001A051A"/>
    <w:rsid w:val="001A0551"/>
    <w:rsid w:val="001A06C3"/>
    <w:rsid w:val="001A06F9"/>
    <w:rsid w:val="001A10CE"/>
    <w:rsid w:val="001A1100"/>
    <w:rsid w:val="001A12A0"/>
    <w:rsid w:val="001A1399"/>
    <w:rsid w:val="001A16C9"/>
    <w:rsid w:val="001A17F1"/>
    <w:rsid w:val="001A1A04"/>
    <w:rsid w:val="001A1CE9"/>
    <w:rsid w:val="001A1DEA"/>
    <w:rsid w:val="001A2096"/>
    <w:rsid w:val="001A20E9"/>
    <w:rsid w:val="001A26C7"/>
    <w:rsid w:val="001A26DA"/>
    <w:rsid w:val="001A275A"/>
    <w:rsid w:val="001A2D18"/>
    <w:rsid w:val="001A2EE8"/>
    <w:rsid w:val="001A31B1"/>
    <w:rsid w:val="001A347D"/>
    <w:rsid w:val="001A384F"/>
    <w:rsid w:val="001A3881"/>
    <w:rsid w:val="001A39AC"/>
    <w:rsid w:val="001A3C96"/>
    <w:rsid w:val="001A3D8A"/>
    <w:rsid w:val="001A41A5"/>
    <w:rsid w:val="001A4441"/>
    <w:rsid w:val="001A4BD0"/>
    <w:rsid w:val="001A4D5F"/>
    <w:rsid w:val="001A4FF0"/>
    <w:rsid w:val="001A5413"/>
    <w:rsid w:val="001A545D"/>
    <w:rsid w:val="001A5886"/>
    <w:rsid w:val="001A5AA7"/>
    <w:rsid w:val="001A604F"/>
    <w:rsid w:val="001A6328"/>
    <w:rsid w:val="001A6592"/>
    <w:rsid w:val="001A6789"/>
    <w:rsid w:val="001A67AF"/>
    <w:rsid w:val="001A69C5"/>
    <w:rsid w:val="001A6A6C"/>
    <w:rsid w:val="001A6DB9"/>
    <w:rsid w:val="001A6EE4"/>
    <w:rsid w:val="001A70D2"/>
    <w:rsid w:val="001A7985"/>
    <w:rsid w:val="001A7EFA"/>
    <w:rsid w:val="001B0051"/>
    <w:rsid w:val="001B007B"/>
    <w:rsid w:val="001B0430"/>
    <w:rsid w:val="001B0D9E"/>
    <w:rsid w:val="001B0E15"/>
    <w:rsid w:val="001B0F2B"/>
    <w:rsid w:val="001B1348"/>
    <w:rsid w:val="001B13C7"/>
    <w:rsid w:val="001B151D"/>
    <w:rsid w:val="001B203F"/>
    <w:rsid w:val="001B218D"/>
    <w:rsid w:val="001B21C2"/>
    <w:rsid w:val="001B2278"/>
    <w:rsid w:val="001B24D9"/>
    <w:rsid w:val="001B250F"/>
    <w:rsid w:val="001B2698"/>
    <w:rsid w:val="001B26C5"/>
    <w:rsid w:val="001B28B1"/>
    <w:rsid w:val="001B2BFC"/>
    <w:rsid w:val="001B2E14"/>
    <w:rsid w:val="001B2EA6"/>
    <w:rsid w:val="001B2FCA"/>
    <w:rsid w:val="001B3294"/>
    <w:rsid w:val="001B360B"/>
    <w:rsid w:val="001B3C47"/>
    <w:rsid w:val="001B3F1D"/>
    <w:rsid w:val="001B3FB7"/>
    <w:rsid w:val="001B4086"/>
    <w:rsid w:val="001B4435"/>
    <w:rsid w:val="001B4537"/>
    <w:rsid w:val="001B4714"/>
    <w:rsid w:val="001B4FED"/>
    <w:rsid w:val="001B52A3"/>
    <w:rsid w:val="001B5451"/>
    <w:rsid w:val="001B57BA"/>
    <w:rsid w:val="001B5C1B"/>
    <w:rsid w:val="001B5E74"/>
    <w:rsid w:val="001B6483"/>
    <w:rsid w:val="001B658C"/>
    <w:rsid w:val="001B65F7"/>
    <w:rsid w:val="001B67C0"/>
    <w:rsid w:val="001B6E7D"/>
    <w:rsid w:val="001B72A8"/>
    <w:rsid w:val="001B756F"/>
    <w:rsid w:val="001B7661"/>
    <w:rsid w:val="001B77B7"/>
    <w:rsid w:val="001B7A36"/>
    <w:rsid w:val="001C0324"/>
    <w:rsid w:val="001C03F0"/>
    <w:rsid w:val="001C0496"/>
    <w:rsid w:val="001C0616"/>
    <w:rsid w:val="001C0673"/>
    <w:rsid w:val="001C08AB"/>
    <w:rsid w:val="001C0987"/>
    <w:rsid w:val="001C0992"/>
    <w:rsid w:val="001C0A09"/>
    <w:rsid w:val="001C166F"/>
    <w:rsid w:val="001C1AD1"/>
    <w:rsid w:val="001C1D80"/>
    <w:rsid w:val="001C2001"/>
    <w:rsid w:val="001C2205"/>
    <w:rsid w:val="001C220E"/>
    <w:rsid w:val="001C22E5"/>
    <w:rsid w:val="001C231E"/>
    <w:rsid w:val="001C2DE7"/>
    <w:rsid w:val="001C2E22"/>
    <w:rsid w:val="001C334D"/>
    <w:rsid w:val="001C3485"/>
    <w:rsid w:val="001C34E4"/>
    <w:rsid w:val="001C3626"/>
    <w:rsid w:val="001C3A4B"/>
    <w:rsid w:val="001C3A5F"/>
    <w:rsid w:val="001C4078"/>
    <w:rsid w:val="001C41BE"/>
    <w:rsid w:val="001C41EB"/>
    <w:rsid w:val="001C435C"/>
    <w:rsid w:val="001C44FE"/>
    <w:rsid w:val="001C45F6"/>
    <w:rsid w:val="001C4A3A"/>
    <w:rsid w:val="001C4E35"/>
    <w:rsid w:val="001C557C"/>
    <w:rsid w:val="001C56A6"/>
    <w:rsid w:val="001C5B62"/>
    <w:rsid w:val="001C5BFF"/>
    <w:rsid w:val="001C5D72"/>
    <w:rsid w:val="001C6202"/>
    <w:rsid w:val="001C6209"/>
    <w:rsid w:val="001C621F"/>
    <w:rsid w:val="001C624A"/>
    <w:rsid w:val="001C67F7"/>
    <w:rsid w:val="001C6B29"/>
    <w:rsid w:val="001C6BF8"/>
    <w:rsid w:val="001C6C18"/>
    <w:rsid w:val="001C6D3F"/>
    <w:rsid w:val="001C6D54"/>
    <w:rsid w:val="001C6D7C"/>
    <w:rsid w:val="001C6FEF"/>
    <w:rsid w:val="001C7721"/>
    <w:rsid w:val="001C78E5"/>
    <w:rsid w:val="001C7AB7"/>
    <w:rsid w:val="001C7B6F"/>
    <w:rsid w:val="001D04E0"/>
    <w:rsid w:val="001D06D9"/>
    <w:rsid w:val="001D06E8"/>
    <w:rsid w:val="001D06F1"/>
    <w:rsid w:val="001D0E0C"/>
    <w:rsid w:val="001D1505"/>
    <w:rsid w:val="001D170F"/>
    <w:rsid w:val="001D1830"/>
    <w:rsid w:val="001D2192"/>
    <w:rsid w:val="001D2368"/>
    <w:rsid w:val="001D2835"/>
    <w:rsid w:val="001D285F"/>
    <w:rsid w:val="001D29F1"/>
    <w:rsid w:val="001D2AFB"/>
    <w:rsid w:val="001D2C6E"/>
    <w:rsid w:val="001D2F8A"/>
    <w:rsid w:val="001D3009"/>
    <w:rsid w:val="001D34E8"/>
    <w:rsid w:val="001D3555"/>
    <w:rsid w:val="001D368F"/>
    <w:rsid w:val="001D3722"/>
    <w:rsid w:val="001D3A75"/>
    <w:rsid w:val="001D3F10"/>
    <w:rsid w:val="001D403F"/>
    <w:rsid w:val="001D45A5"/>
    <w:rsid w:val="001D46C3"/>
    <w:rsid w:val="001D4A6D"/>
    <w:rsid w:val="001D522A"/>
    <w:rsid w:val="001D5ED3"/>
    <w:rsid w:val="001D6128"/>
    <w:rsid w:val="001D62D9"/>
    <w:rsid w:val="001D6786"/>
    <w:rsid w:val="001D67A8"/>
    <w:rsid w:val="001D683B"/>
    <w:rsid w:val="001D6EE2"/>
    <w:rsid w:val="001D6F5C"/>
    <w:rsid w:val="001D7005"/>
    <w:rsid w:val="001D7C7F"/>
    <w:rsid w:val="001D7D66"/>
    <w:rsid w:val="001E05EF"/>
    <w:rsid w:val="001E079E"/>
    <w:rsid w:val="001E0AB0"/>
    <w:rsid w:val="001E0B3A"/>
    <w:rsid w:val="001E0D89"/>
    <w:rsid w:val="001E1048"/>
    <w:rsid w:val="001E11E2"/>
    <w:rsid w:val="001E1AE5"/>
    <w:rsid w:val="001E1B95"/>
    <w:rsid w:val="001E1BEA"/>
    <w:rsid w:val="001E1F13"/>
    <w:rsid w:val="001E2036"/>
    <w:rsid w:val="001E25B7"/>
    <w:rsid w:val="001E26E7"/>
    <w:rsid w:val="001E3050"/>
    <w:rsid w:val="001E329B"/>
    <w:rsid w:val="001E3393"/>
    <w:rsid w:val="001E33D9"/>
    <w:rsid w:val="001E3634"/>
    <w:rsid w:val="001E36D6"/>
    <w:rsid w:val="001E3D09"/>
    <w:rsid w:val="001E3D6F"/>
    <w:rsid w:val="001E3E84"/>
    <w:rsid w:val="001E4092"/>
    <w:rsid w:val="001E429B"/>
    <w:rsid w:val="001E45F6"/>
    <w:rsid w:val="001E46C8"/>
    <w:rsid w:val="001E4FB3"/>
    <w:rsid w:val="001E50A3"/>
    <w:rsid w:val="001E50AE"/>
    <w:rsid w:val="001E515C"/>
    <w:rsid w:val="001E54F0"/>
    <w:rsid w:val="001E55ED"/>
    <w:rsid w:val="001E5CDE"/>
    <w:rsid w:val="001E5FFA"/>
    <w:rsid w:val="001E6568"/>
    <w:rsid w:val="001E6A99"/>
    <w:rsid w:val="001E6ACE"/>
    <w:rsid w:val="001E6D99"/>
    <w:rsid w:val="001E6E42"/>
    <w:rsid w:val="001E7562"/>
    <w:rsid w:val="001E7617"/>
    <w:rsid w:val="001E7880"/>
    <w:rsid w:val="001E7927"/>
    <w:rsid w:val="001E7F35"/>
    <w:rsid w:val="001F009A"/>
    <w:rsid w:val="001F04C2"/>
    <w:rsid w:val="001F05B9"/>
    <w:rsid w:val="001F05EE"/>
    <w:rsid w:val="001F0C68"/>
    <w:rsid w:val="001F1067"/>
    <w:rsid w:val="001F1D9F"/>
    <w:rsid w:val="001F216C"/>
    <w:rsid w:val="001F2563"/>
    <w:rsid w:val="001F25B5"/>
    <w:rsid w:val="001F2626"/>
    <w:rsid w:val="001F2991"/>
    <w:rsid w:val="001F2B36"/>
    <w:rsid w:val="001F2CEC"/>
    <w:rsid w:val="001F2E2B"/>
    <w:rsid w:val="001F2ED7"/>
    <w:rsid w:val="001F2F38"/>
    <w:rsid w:val="001F30EF"/>
    <w:rsid w:val="001F31A2"/>
    <w:rsid w:val="001F31AC"/>
    <w:rsid w:val="001F324B"/>
    <w:rsid w:val="001F335D"/>
    <w:rsid w:val="001F3394"/>
    <w:rsid w:val="001F34AE"/>
    <w:rsid w:val="001F352C"/>
    <w:rsid w:val="001F37B4"/>
    <w:rsid w:val="001F3B78"/>
    <w:rsid w:val="001F3BDE"/>
    <w:rsid w:val="001F3F0C"/>
    <w:rsid w:val="001F401A"/>
    <w:rsid w:val="001F4031"/>
    <w:rsid w:val="001F422E"/>
    <w:rsid w:val="001F439C"/>
    <w:rsid w:val="001F4499"/>
    <w:rsid w:val="001F46EE"/>
    <w:rsid w:val="001F4E5D"/>
    <w:rsid w:val="001F4E63"/>
    <w:rsid w:val="001F4F1F"/>
    <w:rsid w:val="001F4F5C"/>
    <w:rsid w:val="001F54A1"/>
    <w:rsid w:val="001F57DF"/>
    <w:rsid w:val="001F5AAC"/>
    <w:rsid w:val="001F5C36"/>
    <w:rsid w:val="001F6185"/>
    <w:rsid w:val="001F6471"/>
    <w:rsid w:val="001F655B"/>
    <w:rsid w:val="001F6736"/>
    <w:rsid w:val="001F69F0"/>
    <w:rsid w:val="001F69FC"/>
    <w:rsid w:val="001F6C8B"/>
    <w:rsid w:val="001F72B6"/>
    <w:rsid w:val="001F7561"/>
    <w:rsid w:val="001F79FF"/>
    <w:rsid w:val="001F7A19"/>
    <w:rsid w:val="001F7B00"/>
    <w:rsid w:val="001F7C85"/>
    <w:rsid w:val="001F7DEC"/>
    <w:rsid w:val="001F7E22"/>
    <w:rsid w:val="002007AC"/>
    <w:rsid w:val="002007FA"/>
    <w:rsid w:val="00200A3C"/>
    <w:rsid w:val="00200DDE"/>
    <w:rsid w:val="00200EAD"/>
    <w:rsid w:val="00201045"/>
    <w:rsid w:val="00201139"/>
    <w:rsid w:val="00201D7B"/>
    <w:rsid w:val="00201DBF"/>
    <w:rsid w:val="002020FE"/>
    <w:rsid w:val="00202106"/>
    <w:rsid w:val="00202514"/>
    <w:rsid w:val="002026A0"/>
    <w:rsid w:val="002026C0"/>
    <w:rsid w:val="002029EB"/>
    <w:rsid w:val="00202C5D"/>
    <w:rsid w:val="00202EBF"/>
    <w:rsid w:val="002031CF"/>
    <w:rsid w:val="002033EB"/>
    <w:rsid w:val="00203AFB"/>
    <w:rsid w:val="00204378"/>
    <w:rsid w:val="0020458F"/>
    <w:rsid w:val="002045D1"/>
    <w:rsid w:val="002046DD"/>
    <w:rsid w:val="0020486F"/>
    <w:rsid w:val="0020489D"/>
    <w:rsid w:val="002049C6"/>
    <w:rsid w:val="00204EC1"/>
    <w:rsid w:val="002051BD"/>
    <w:rsid w:val="002056DD"/>
    <w:rsid w:val="00205DE8"/>
    <w:rsid w:val="0020619C"/>
    <w:rsid w:val="002062E8"/>
    <w:rsid w:val="00206453"/>
    <w:rsid w:val="0020648E"/>
    <w:rsid w:val="002068D4"/>
    <w:rsid w:val="00206B0B"/>
    <w:rsid w:val="00206F82"/>
    <w:rsid w:val="002070E7"/>
    <w:rsid w:val="00207164"/>
    <w:rsid w:val="002072C2"/>
    <w:rsid w:val="00207392"/>
    <w:rsid w:val="0020788F"/>
    <w:rsid w:val="00207A89"/>
    <w:rsid w:val="00207B72"/>
    <w:rsid w:val="0021003E"/>
    <w:rsid w:val="00210969"/>
    <w:rsid w:val="00210A6E"/>
    <w:rsid w:val="00210C01"/>
    <w:rsid w:val="00210C9E"/>
    <w:rsid w:val="00210E48"/>
    <w:rsid w:val="002113FC"/>
    <w:rsid w:val="0021182E"/>
    <w:rsid w:val="00211DA8"/>
    <w:rsid w:val="002125A4"/>
    <w:rsid w:val="002128A9"/>
    <w:rsid w:val="00212A86"/>
    <w:rsid w:val="00212C5B"/>
    <w:rsid w:val="00212FCB"/>
    <w:rsid w:val="002135E7"/>
    <w:rsid w:val="00213725"/>
    <w:rsid w:val="0021388D"/>
    <w:rsid w:val="0021397A"/>
    <w:rsid w:val="00213A28"/>
    <w:rsid w:val="00213B4F"/>
    <w:rsid w:val="00213DD0"/>
    <w:rsid w:val="00213F2E"/>
    <w:rsid w:val="00213FC9"/>
    <w:rsid w:val="002144F1"/>
    <w:rsid w:val="002147D3"/>
    <w:rsid w:val="00214CF5"/>
    <w:rsid w:val="00215802"/>
    <w:rsid w:val="00215B72"/>
    <w:rsid w:val="0021602C"/>
    <w:rsid w:val="0021618F"/>
    <w:rsid w:val="002161ED"/>
    <w:rsid w:val="0021625E"/>
    <w:rsid w:val="00216AA5"/>
    <w:rsid w:val="00217089"/>
    <w:rsid w:val="002170E8"/>
    <w:rsid w:val="00217211"/>
    <w:rsid w:val="002177C9"/>
    <w:rsid w:val="002178B3"/>
    <w:rsid w:val="00217965"/>
    <w:rsid w:val="00217A0D"/>
    <w:rsid w:val="00217E97"/>
    <w:rsid w:val="002206F0"/>
    <w:rsid w:val="00221340"/>
    <w:rsid w:val="0022174E"/>
    <w:rsid w:val="00221976"/>
    <w:rsid w:val="00221F36"/>
    <w:rsid w:val="0022212B"/>
    <w:rsid w:val="00222478"/>
    <w:rsid w:val="00223092"/>
    <w:rsid w:val="0022314A"/>
    <w:rsid w:val="00223270"/>
    <w:rsid w:val="002234B2"/>
    <w:rsid w:val="0022394D"/>
    <w:rsid w:val="002239D6"/>
    <w:rsid w:val="00223BFF"/>
    <w:rsid w:val="00223CD9"/>
    <w:rsid w:val="00224634"/>
    <w:rsid w:val="002246D8"/>
    <w:rsid w:val="0022493F"/>
    <w:rsid w:val="00224A95"/>
    <w:rsid w:val="00224B9F"/>
    <w:rsid w:val="00224BFC"/>
    <w:rsid w:val="00224C1F"/>
    <w:rsid w:val="00224F2B"/>
    <w:rsid w:val="00225380"/>
    <w:rsid w:val="002255B9"/>
    <w:rsid w:val="00225912"/>
    <w:rsid w:val="00225E88"/>
    <w:rsid w:val="00226008"/>
    <w:rsid w:val="0022681B"/>
    <w:rsid w:val="00226985"/>
    <w:rsid w:val="00226A99"/>
    <w:rsid w:val="00226BCF"/>
    <w:rsid w:val="002273CF"/>
    <w:rsid w:val="00227798"/>
    <w:rsid w:val="00227869"/>
    <w:rsid w:val="00227A3F"/>
    <w:rsid w:val="00227CDD"/>
    <w:rsid w:val="00227E54"/>
    <w:rsid w:val="00227E57"/>
    <w:rsid w:val="0023001B"/>
    <w:rsid w:val="00230641"/>
    <w:rsid w:val="00230F4B"/>
    <w:rsid w:val="00231055"/>
    <w:rsid w:val="00231309"/>
    <w:rsid w:val="002313E4"/>
    <w:rsid w:val="00231492"/>
    <w:rsid w:val="00231579"/>
    <w:rsid w:val="00231C32"/>
    <w:rsid w:val="00231FFB"/>
    <w:rsid w:val="0023239C"/>
    <w:rsid w:val="00232466"/>
    <w:rsid w:val="0023257D"/>
    <w:rsid w:val="00232B0D"/>
    <w:rsid w:val="00232DD1"/>
    <w:rsid w:val="00232F0C"/>
    <w:rsid w:val="00233734"/>
    <w:rsid w:val="00233BCB"/>
    <w:rsid w:val="00233F2B"/>
    <w:rsid w:val="00234228"/>
    <w:rsid w:val="0023426B"/>
    <w:rsid w:val="002345D0"/>
    <w:rsid w:val="002347EB"/>
    <w:rsid w:val="00234A8F"/>
    <w:rsid w:val="00234B5E"/>
    <w:rsid w:val="00234B62"/>
    <w:rsid w:val="00234B7E"/>
    <w:rsid w:val="00234C3F"/>
    <w:rsid w:val="00234E63"/>
    <w:rsid w:val="00234F4A"/>
    <w:rsid w:val="0023524F"/>
    <w:rsid w:val="00235414"/>
    <w:rsid w:val="00235568"/>
    <w:rsid w:val="00235904"/>
    <w:rsid w:val="00235CCD"/>
    <w:rsid w:val="00235FD4"/>
    <w:rsid w:val="002362A9"/>
    <w:rsid w:val="002362FA"/>
    <w:rsid w:val="0023647B"/>
    <w:rsid w:val="002368C6"/>
    <w:rsid w:val="00236FAD"/>
    <w:rsid w:val="002375E3"/>
    <w:rsid w:val="00237604"/>
    <w:rsid w:val="00237765"/>
    <w:rsid w:val="002406DB"/>
    <w:rsid w:val="0024079C"/>
    <w:rsid w:val="00240955"/>
    <w:rsid w:val="00240D3F"/>
    <w:rsid w:val="00240D9C"/>
    <w:rsid w:val="00240EE5"/>
    <w:rsid w:val="002412EB"/>
    <w:rsid w:val="00241360"/>
    <w:rsid w:val="0024179E"/>
    <w:rsid w:val="00241D26"/>
    <w:rsid w:val="00241D29"/>
    <w:rsid w:val="00241F38"/>
    <w:rsid w:val="00242120"/>
    <w:rsid w:val="0024224E"/>
    <w:rsid w:val="00242362"/>
    <w:rsid w:val="00242446"/>
    <w:rsid w:val="002426DD"/>
    <w:rsid w:val="002428F2"/>
    <w:rsid w:val="00242A65"/>
    <w:rsid w:val="00242AF6"/>
    <w:rsid w:val="00242CAA"/>
    <w:rsid w:val="00242D23"/>
    <w:rsid w:val="00242F0C"/>
    <w:rsid w:val="00242F63"/>
    <w:rsid w:val="002432EB"/>
    <w:rsid w:val="002433AB"/>
    <w:rsid w:val="00243508"/>
    <w:rsid w:val="002437FB"/>
    <w:rsid w:val="0024399B"/>
    <w:rsid w:val="00243BD4"/>
    <w:rsid w:val="00243CAF"/>
    <w:rsid w:val="00244048"/>
    <w:rsid w:val="002442F3"/>
    <w:rsid w:val="00244327"/>
    <w:rsid w:val="00244375"/>
    <w:rsid w:val="00244880"/>
    <w:rsid w:val="00244E60"/>
    <w:rsid w:val="00244E7B"/>
    <w:rsid w:val="00244EB8"/>
    <w:rsid w:val="002450EA"/>
    <w:rsid w:val="002452F3"/>
    <w:rsid w:val="0024556C"/>
    <w:rsid w:val="00245A5C"/>
    <w:rsid w:val="00245BFE"/>
    <w:rsid w:val="00245DF6"/>
    <w:rsid w:val="00246059"/>
    <w:rsid w:val="00246157"/>
    <w:rsid w:val="002462AB"/>
    <w:rsid w:val="00246452"/>
    <w:rsid w:val="0024655D"/>
    <w:rsid w:val="00246772"/>
    <w:rsid w:val="00247491"/>
    <w:rsid w:val="00247692"/>
    <w:rsid w:val="002476B8"/>
    <w:rsid w:val="00247785"/>
    <w:rsid w:val="00247926"/>
    <w:rsid w:val="00247A33"/>
    <w:rsid w:val="00247B24"/>
    <w:rsid w:val="00247E23"/>
    <w:rsid w:val="0025019D"/>
    <w:rsid w:val="002501D4"/>
    <w:rsid w:val="002503F6"/>
    <w:rsid w:val="00250486"/>
    <w:rsid w:val="0025078F"/>
    <w:rsid w:val="002507F3"/>
    <w:rsid w:val="00250AB2"/>
    <w:rsid w:val="00250DE9"/>
    <w:rsid w:val="00250E0C"/>
    <w:rsid w:val="002510B8"/>
    <w:rsid w:val="002521DE"/>
    <w:rsid w:val="00252678"/>
    <w:rsid w:val="002527ED"/>
    <w:rsid w:val="0025282E"/>
    <w:rsid w:val="002530BB"/>
    <w:rsid w:val="00253355"/>
    <w:rsid w:val="002533B2"/>
    <w:rsid w:val="002533BF"/>
    <w:rsid w:val="00253468"/>
    <w:rsid w:val="002534E8"/>
    <w:rsid w:val="0025354E"/>
    <w:rsid w:val="00253908"/>
    <w:rsid w:val="00253D6B"/>
    <w:rsid w:val="00254346"/>
    <w:rsid w:val="002543D0"/>
    <w:rsid w:val="0025446D"/>
    <w:rsid w:val="00254791"/>
    <w:rsid w:val="0025484D"/>
    <w:rsid w:val="00254931"/>
    <w:rsid w:val="002550FC"/>
    <w:rsid w:val="00255897"/>
    <w:rsid w:val="002559C2"/>
    <w:rsid w:val="00255A16"/>
    <w:rsid w:val="00255A58"/>
    <w:rsid w:val="00255B4E"/>
    <w:rsid w:val="00255B6A"/>
    <w:rsid w:val="00255C97"/>
    <w:rsid w:val="002561B7"/>
    <w:rsid w:val="002564CD"/>
    <w:rsid w:val="00256524"/>
    <w:rsid w:val="002568B5"/>
    <w:rsid w:val="00256B80"/>
    <w:rsid w:val="00256E45"/>
    <w:rsid w:val="00256E82"/>
    <w:rsid w:val="002572C4"/>
    <w:rsid w:val="0025740A"/>
    <w:rsid w:val="002579B8"/>
    <w:rsid w:val="00257C7D"/>
    <w:rsid w:val="00257ECF"/>
    <w:rsid w:val="002603E7"/>
    <w:rsid w:val="00260C59"/>
    <w:rsid w:val="00260CA5"/>
    <w:rsid w:val="002611F3"/>
    <w:rsid w:val="002611FB"/>
    <w:rsid w:val="002612D1"/>
    <w:rsid w:val="002612F7"/>
    <w:rsid w:val="00261BF7"/>
    <w:rsid w:val="00261D83"/>
    <w:rsid w:val="00261E91"/>
    <w:rsid w:val="00262249"/>
    <w:rsid w:val="00262919"/>
    <w:rsid w:val="00262ADC"/>
    <w:rsid w:val="00263057"/>
    <w:rsid w:val="00263075"/>
    <w:rsid w:val="002632C8"/>
    <w:rsid w:val="0026353A"/>
    <w:rsid w:val="002635E3"/>
    <w:rsid w:val="00263960"/>
    <w:rsid w:val="00263C8C"/>
    <w:rsid w:val="00263E84"/>
    <w:rsid w:val="00263F9F"/>
    <w:rsid w:val="00264177"/>
    <w:rsid w:val="002642BF"/>
    <w:rsid w:val="0026485E"/>
    <w:rsid w:val="00265054"/>
    <w:rsid w:val="00265353"/>
    <w:rsid w:val="00265568"/>
    <w:rsid w:val="002656C8"/>
    <w:rsid w:val="00265B26"/>
    <w:rsid w:val="00266A5E"/>
    <w:rsid w:val="00266BEA"/>
    <w:rsid w:val="00266C3A"/>
    <w:rsid w:val="00266E6D"/>
    <w:rsid w:val="002675D8"/>
    <w:rsid w:val="002677B3"/>
    <w:rsid w:val="0026784B"/>
    <w:rsid w:val="00267CE1"/>
    <w:rsid w:val="00267E83"/>
    <w:rsid w:val="00270431"/>
    <w:rsid w:val="0027058D"/>
    <w:rsid w:val="0027090F"/>
    <w:rsid w:val="00270CA5"/>
    <w:rsid w:val="00270E23"/>
    <w:rsid w:val="00270EEF"/>
    <w:rsid w:val="00271400"/>
    <w:rsid w:val="00271408"/>
    <w:rsid w:val="002715DA"/>
    <w:rsid w:val="002717BD"/>
    <w:rsid w:val="0027261D"/>
    <w:rsid w:val="00272735"/>
    <w:rsid w:val="002728BE"/>
    <w:rsid w:val="0027295C"/>
    <w:rsid w:val="00272C53"/>
    <w:rsid w:val="00272CF9"/>
    <w:rsid w:val="00272F3E"/>
    <w:rsid w:val="002731C7"/>
    <w:rsid w:val="00273233"/>
    <w:rsid w:val="00273B4E"/>
    <w:rsid w:val="00273D1A"/>
    <w:rsid w:val="00273F52"/>
    <w:rsid w:val="0027420D"/>
    <w:rsid w:val="00274317"/>
    <w:rsid w:val="00274538"/>
    <w:rsid w:val="002746AF"/>
    <w:rsid w:val="00274884"/>
    <w:rsid w:val="00274A34"/>
    <w:rsid w:val="00274CC1"/>
    <w:rsid w:val="00274DFA"/>
    <w:rsid w:val="00275256"/>
    <w:rsid w:val="002752DA"/>
    <w:rsid w:val="00275351"/>
    <w:rsid w:val="00275808"/>
    <w:rsid w:val="002758AF"/>
    <w:rsid w:val="002759E0"/>
    <w:rsid w:val="00275D17"/>
    <w:rsid w:val="00275F1C"/>
    <w:rsid w:val="002761D7"/>
    <w:rsid w:val="00276373"/>
    <w:rsid w:val="00276411"/>
    <w:rsid w:val="0027650F"/>
    <w:rsid w:val="0027679D"/>
    <w:rsid w:val="00276952"/>
    <w:rsid w:val="00276E68"/>
    <w:rsid w:val="00276EA9"/>
    <w:rsid w:val="00276EBE"/>
    <w:rsid w:val="00277231"/>
    <w:rsid w:val="0027727D"/>
    <w:rsid w:val="00277513"/>
    <w:rsid w:val="0027752C"/>
    <w:rsid w:val="002776D9"/>
    <w:rsid w:val="00277A90"/>
    <w:rsid w:val="00277D5E"/>
    <w:rsid w:val="00277E4E"/>
    <w:rsid w:val="0027DE3E"/>
    <w:rsid w:val="00280239"/>
    <w:rsid w:val="002808CE"/>
    <w:rsid w:val="00280A20"/>
    <w:rsid w:val="00280A95"/>
    <w:rsid w:val="00280B12"/>
    <w:rsid w:val="002814FC"/>
    <w:rsid w:val="00281730"/>
    <w:rsid w:val="00281954"/>
    <w:rsid w:val="00281CCC"/>
    <w:rsid w:val="00281F2C"/>
    <w:rsid w:val="00282019"/>
    <w:rsid w:val="0028212F"/>
    <w:rsid w:val="002821B6"/>
    <w:rsid w:val="002821C2"/>
    <w:rsid w:val="00282320"/>
    <w:rsid w:val="00282EE2"/>
    <w:rsid w:val="00282EFC"/>
    <w:rsid w:val="00283127"/>
    <w:rsid w:val="00283472"/>
    <w:rsid w:val="002834BF"/>
    <w:rsid w:val="00283579"/>
    <w:rsid w:val="002838D8"/>
    <w:rsid w:val="00283D0F"/>
    <w:rsid w:val="0028436C"/>
    <w:rsid w:val="002844CC"/>
    <w:rsid w:val="002847B7"/>
    <w:rsid w:val="00284829"/>
    <w:rsid w:val="00284BE7"/>
    <w:rsid w:val="00284CAD"/>
    <w:rsid w:val="00284CD8"/>
    <w:rsid w:val="00284D0D"/>
    <w:rsid w:val="002854E5"/>
    <w:rsid w:val="0028582D"/>
    <w:rsid w:val="00285CA6"/>
    <w:rsid w:val="00285D16"/>
    <w:rsid w:val="00285D93"/>
    <w:rsid w:val="0028660B"/>
    <w:rsid w:val="00286642"/>
    <w:rsid w:val="00286793"/>
    <w:rsid w:val="00286A8E"/>
    <w:rsid w:val="00286CF3"/>
    <w:rsid w:val="00286E77"/>
    <w:rsid w:val="00287118"/>
    <w:rsid w:val="002872F1"/>
    <w:rsid w:val="002873C2"/>
    <w:rsid w:val="002876BF"/>
    <w:rsid w:val="002876F3"/>
    <w:rsid w:val="00287905"/>
    <w:rsid w:val="002879B4"/>
    <w:rsid w:val="002879E7"/>
    <w:rsid w:val="00287E18"/>
    <w:rsid w:val="0029021A"/>
    <w:rsid w:val="00290497"/>
    <w:rsid w:val="002909DF"/>
    <w:rsid w:val="00290A2E"/>
    <w:rsid w:val="00290A76"/>
    <w:rsid w:val="00290BB0"/>
    <w:rsid w:val="00290BD8"/>
    <w:rsid w:val="00290C72"/>
    <w:rsid w:val="00291655"/>
    <w:rsid w:val="0029167D"/>
    <w:rsid w:val="0029169B"/>
    <w:rsid w:val="00291722"/>
    <w:rsid w:val="0029201A"/>
    <w:rsid w:val="002920A7"/>
    <w:rsid w:val="002922DF"/>
    <w:rsid w:val="0029237D"/>
    <w:rsid w:val="002923B4"/>
    <w:rsid w:val="00292522"/>
    <w:rsid w:val="00292710"/>
    <w:rsid w:val="00292816"/>
    <w:rsid w:val="002929A2"/>
    <w:rsid w:val="00292B03"/>
    <w:rsid w:val="00292B08"/>
    <w:rsid w:val="00292DD2"/>
    <w:rsid w:val="00292F7E"/>
    <w:rsid w:val="00292FDE"/>
    <w:rsid w:val="00293534"/>
    <w:rsid w:val="00293989"/>
    <w:rsid w:val="00293ECB"/>
    <w:rsid w:val="00293F27"/>
    <w:rsid w:val="00293F78"/>
    <w:rsid w:val="00294889"/>
    <w:rsid w:val="00294985"/>
    <w:rsid w:val="00294E02"/>
    <w:rsid w:val="002953DA"/>
    <w:rsid w:val="002953EA"/>
    <w:rsid w:val="0029550A"/>
    <w:rsid w:val="0029557E"/>
    <w:rsid w:val="0029585A"/>
    <w:rsid w:val="00295A68"/>
    <w:rsid w:val="00295B38"/>
    <w:rsid w:val="00295D06"/>
    <w:rsid w:val="00296095"/>
    <w:rsid w:val="0029627E"/>
    <w:rsid w:val="00296A4F"/>
    <w:rsid w:val="00296AD3"/>
    <w:rsid w:val="00296D06"/>
    <w:rsid w:val="00296EFB"/>
    <w:rsid w:val="00296F88"/>
    <w:rsid w:val="002978C9"/>
    <w:rsid w:val="00297C25"/>
    <w:rsid w:val="00297C67"/>
    <w:rsid w:val="002A00FA"/>
    <w:rsid w:val="002A0384"/>
    <w:rsid w:val="002A03E5"/>
    <w:rsid w:val="002A04AA"/>
    <w:rsid w:val="002A0620"/>
    <w:rsid w:val="002A10F1"/>
    <w:rsid w:val="002A1263"/>
    <w:rsid w:val="002A230B"/>
    <w:rsid w:val="002A25AE"/>
    <w:rsid w:val="002A29B8"/>
    <w:rsid w:val="002A2A25"/>
    <w:rsid w:val="002A344F"/>
    <w:rsid w:val="002A355C"/>
    <w:rsid w:val="002A378C"/>
    <w:rsid w:val="002A3B0B"/>
    <w:rsid w:val="002A3E0B"/>
    <w:rsid w:val="002A456F"/>
    <w:rsid w:val="002A5881"/>
    <w:rsid w:val="002A58B2"/>
    <w:rsid w:val="002A5C9E"/>
    <w:rsid w:val="002A5E7F"/>
    <w:rsid w:val="002A5F1C"/>
    <w:rsid w:val="002A60DF"/>
    <w:rsid w:val="002A60E1"/>
    <w:rsid w:val="002A614F"/>
    <w:rsid w:val="002A6356"/>
    <w:rsid w:val="002A6460"/>
    <w:rsid w:val="002A64D9"/>
    <w:rsid w:val="002A66D4"/>
    <w:rsid w:val="002A6764"/>
    <w:rsid w:val="002A6AFC"/>
    <w:rsid w:val="002A6C1F"/>
    <w:rsid w:val="002A6CFA"/>
    <w:rsid w:val="002A6D13"/>
    <w:rsid w:val="002A6E5C"/>
    <w:rsid w:val="002A6EBF"/>
    <w:rsid w:val="002A737F"/>
    <w:rsid w:val="002A7F5E"/>
    <w:rsid w:val="002B0170"/>
    <w:rsid w:val="002B0376"/>
    <w:rsid w:val="002B03E1"/>
    <w:rsid w:val="002B065C"/>
    <w:rsid w:val="002B0688"/>
    <w:rsid w:val="002B10DA"/>
    <w:rsid w:val="002B1305"/>
    <w:rsid w:val="002B1337"/>
    <w:rsid w:val="002B1347"/>
    <w:rsid w:val="002B13A1"/>
    <w:rsid w:val="002B1A9B"/>
    <w:rsid w:val="002B1DAD"/>
    <w:rsid w:val="002B1EB7"/>
    <w:rsid w:val="002B238D"/>
    <w:rsid w:val="002B24DD"/>
    <w:rsid w:val="002B2C55"/>
    <w:rsid w:val="002B2E8C"/>
    <w:rsid w:val="002B31B1"/>
    <w:rsid w:val="002B326E"/>
    <w:rsid w:val="002B3401"/>
    <w:rsid w:val="002B3441"/>
    <w:rsid w:val="002B34C8"/>
    <w:rsid w:val="002B3836"/>
    <w:rsid w:val="002B3A37"/>
    <w:rsid w:val="002B3AD1"/>
    <w:rsid w:val="002B3E1A"/>
    <w:rsid w:val="002B4021"/>
    <w:rsid w:val="002B431C"/>
    <w:rsid w:val="002B4592"/>
    <w:rsid w:val="002B460D"/>
    <w:rsid w:val="002B4900"/>
    <w:rsid w:val="002B4AD8"/>
    <w:rsid w:val="002B4E7B"/>
    <w:rsid w:val="002B5108"/>
    <w:rsid w:val="002B515A"/>
    <w:rsid w:val="002B51FA"/>
    <w:rsid w:val="002B5987"/>
    <w:rsid w:val="002B5CF3"/>
    <w:rsid w:val="002B5D39"/>
    <w:rsid w:val="002B5D55"/>
    <w:rsid w:val="002B63A2"/>
    <w:rsid w:val="002B6A93"/>
    <w:rsid w:val="002B6F04"/>
    <w:rsid w:val="002B73FD"/>
    <w:rsid w:val="002B75AA"/>
    <w:rsid w:val="002B765D"/>
    <w:rsid w:val="002B7866"/>
    <w:rsid w:val="002B7A10"/>
    <w:rsid w:val="002B7AB7"/>
    <w:rsid w:val="002B7ECB"/>
    <w:rsid w:val="002C001F"/>
    <w:rsid w:val="002C0152"/>
    <w:rsid w:val="002C01A3"/>
    <w:rsid w:val="002C030D"/>
    <w:rsid w:val="002C04A9"/>
    <w:rsid w:val="002C09DA"/>
    <w:rsid w:val="002C0AB8"/>
    <w:rsid w:val="002C1160"/>
    <w:rsid w:val="002C12D3"/>
    <w:rsid w:val="002C1395"/>
    <w:rsid w:val="002C17A8"/>
    <w:rsid w:val="002C2046"/>
    <w:rsid w:val="002C22BE"/>
    <w:rsid w:val="002C24D5"/>
    <w:rsid w:val="002C2C78"/>
    <w:rsid w:val="002C2EB6"/>
    <w:rsid w:val="002C3295"/>
    <w:rsid w:val="002C38BA"/>
    <w:rsid w:val="002C3D2B"/>
    <w:rsid w:val="002C3DDC"/>
    <w:rsid w:val="002C40F5"/>
    <w:rsid w:val="002C4333"/>
    <w:rsid w:val="002C4399"/>
    <w:rsid w:val="002C4715"/>
    <w:rsid w:val="002C4A51"/>
    <w:rsid w:val="002C528D"/>
    <w:rsid w:val="002C5483"/>
    <w:rsid w:val="002C5537"/>
    <w:rsid w:val="002C56F6"/>
    <w:rsid w:val="002C58E8"/>
    <w:rsid w:val="002C5EA4"/>
    <w:rsid w:val="002C5F43"/>
    <w:rsid w:val="002C6417"/>
    <w:rsid w:val="002C6444"/>
    <w:rsid w:val="002C674B"/>
    <w:rsid w:val="002C679A"/>
    <w:rsid w:val="002C6802"/>
    <w:rsid w:val="002C6A21"/>
    <w:rsid w:val="002C6C72"/>
    <w:rsid w:val="002C6DF4"/>
    <w:rsid w:val="002C7B42"/>
    <w:rsid w:val="002C7C2E"/>
    <w:rsid w:val="002D032A"/>
    <w:rsid w:val="002D0812"/>
    <w:rsid w:val="002D0A9A"/>
    <w:rsid w:val="002D0C25"/>
    <w:rsid w:val="002D0F59"/>
    <w:rsid w:val="002D1411"/>
    <w:rsid w:val="002D15A9"/>
    <w:rsid w:val="002D16EB"/>
    <w:rsid w:val="002D19D3"/>
    <w:rsid w:val="002D1D2C"/>
    <w:rsid w:val="002D1F40"/>
    <w:rsid w:val="002D2030"/>
    <w:rsid w:val="002D25A0"/>
    <w:rsid w:val="002D2774"/>
    <w:rsid w:val="002D2B0A"/>
    <w:rsid w:val="002D2BB1"/>
    <w:rsid w:val="002D2C20"/>
    <w:rsid w:val="002D2D62"/>
    <w:rsid w:val="002D2E46"/>
    <w:rsid w:val="002D3268"/>
    <w:rsid w:val="002D338D"/>
    <w:rsid w:val="002D3890"/>
    <w:rsid w:val="002D398B"/>
    <w:rsid w:val="002D3AA2"/>
    <w:rsid w:val="002D4063"/>
    <w:rsid w:val="002D4E45"/>
    <w:rsid w:val="002D5914"/>
    <w:rsid w:val="002D628C"/>
    <w:rsid w:val="002D65C1"/>
    <w:rsid w:val="002D68F4"/>
    <w:rsid w:val="002D694D"/>
    <w:rsid w:val="002D6AB3"/>
    <w:rsid w:val="002D6B10"/>
    <w:rsid w:val="002D6E8D"/>
    <w:rsid w:val="002D70C1"/>
    <w:rsid w:val="002D73A0"/>
    <w:rsid w:val="002D7594"/>
    <w:rsid w:val="002D7700"/>
    <w:rsid w:val="002D7784"/>
    <w:rsid w:val="002D7A14"/>
    <w:rsid w:val="002D7D4C"/>
    <w:rsid w:val="002D7E64"/>
    <w:rsid w:val="002D7ED9"/>
    <w:rsid w:val="002E0A29"/>
    <w:rsid w:val="002E113B"/>
    <w:rsid w:val="002E17F4"/>
    <w:rsid w:val="002E1D0A"/>
    <w:rsid w:val="002E1ED0"/>
    <w:rsid w:val="002E215B"/>
    <w:rsid w:val="002E215E"/>
    <w:rsid w:val="002E277F"/>
    <w:rsid w:val="002E29DC"/>
    <w:rsid w:val="002E2A68"/>
    <w:rsid w:val="002E2BA3"/>
    <w:rsid w:val="002E2C21"/>
    <w:rsid w:val="002E2E38"/>
    <w:rsid w:val="002E2E7C"/>
    <w:rsid w:val="002E31A2"/>
    <w:rsid w:val="002E31A6"/>
    <w:rsid w:val="002E3650"/>
    <w:rsid w:val="002E37DA"/>
    <w:rsid w:val="002E3CD2"/>
    <w:rsid w:val="002E3DFB"/>
    <w:rsid w:val="002E422E"/>
    <w:rsid w:val="002E4284"/>
    <w:rsid w:val="002E4565"/>
    <w:rsid w:val="002E4724"/>
    <w:rsid w:val="002E4BBC"/>
    <w:rsid w:val="002E5288"/>
    <w:rsid w:val="002E534F"/>
    <w:rsid w:val="002E53AD"/>
    <w:rsid w:val="002E5547"/>
    <w:rsid w:val="002E5583"/>
    <w:rsid w:val="002E58D8"/>
    <w:rsid w:val="002E5A4A"/>
    <w:rsid w:val="002E6066"/>
    <w:rsid w:val="002E63A7"/>
    <w:rsid w:val="002E720F"/>
    <w:rsid w:val="002E751C"/>
    <w:rsid w:val="002E7602"/>
    <w:rsid w:val="002E76E8"/>
    <w:rsid w:val="002E7809"/>
    <w:rsid w:val="002E7A21"/>
    <w:rsid w:val="002E7B47"/>
    <w:rsid w:val="002F06D4"/>
    <w:rsid w:val="002F073D"/>
    <w:rsid w:val="002F0822"/>
    <w:rsid w:val="002F082B"/>
    <w:rsid w:val="002F0870"/>
    <w:rsid w:val="002F0DD2"/>
    <w:rsid w:val="002F0E78"/>
    <w:rsid w:val="002F1182"/>
    <w:rsid w:val="002F176B"/>
    <w:rsid w:val="002F1A5F"/>
    <w:rsid w:val="002F1B12"/>
    <w:rsid w:val="002F1CDC"/>
    <w:rsid w:val="002F2092"/>
    <w:rsid w:val="002F20A4"/>
    <w:rsid w:val="002F222E"/>
    <w:rsid w:val="002F2298"/>
    <w:rsid w:val="002F27BC"/>
    <w:rsid w:val="002F2F41"/>
    <w:rsid w:val="002F34F5"/>
    <w:rsid w:val="002F36A1"/>
    <w:rsid w:val="002F4320"/>
    <w:rsid w:val="002F44B6"/>
    <w:rsid w:val="002F5019"/>
    <w:rsid w:val="002F57B4"/>
    <w:rsid w:val="002F58D0"/>
    <w:rsid w:val="002F5B28"/>
    <w:rsid w:val="002F5FFF"/>
    <w:rsid w:val="002F6202"/>
    <w:rsid w:val="002F6646"/>
    <w:rsid w:val="002F6B2B"/>
    <w:rsid w:val="002F6BF2"/>
    <w:rsid w:val="002F748A"/>
    <w:rsid w:val="002F75B2"/>
    <w:rsid w:val="002F75E4"/>
    <w:rsid w:val="002F79B0"/>
    <w:rsid w:val="002F7B68"/>
    <w:rsid w:val="002F7BD5"/>
    <w:rsid w:val="002F7DA2"/>
    <w:rsid w:val="003002C3"/>
    <w:rsid w:val="00300581"/>
    <w:rsid w:val="00300733"/>
    <w:rsid w:val="0030087B"/>
    <w:rsid w:val="00300BAA"/>
    <w:rsid w:val="003011D6"/>
    <w:rsid w:val="003015EC"/>
    <w:rsid w:val="00301693"/>
    <w:rsid w:val="00301968"/>
    <w:rsid w:val="003020F5"/>
    <w:rsid w:val="00302129"/>
    <w:rsid w:val="0030215C"/>
    <w:rsid w:val="00302376"/>
    <w:rsid w:val="003024B5"/>
    <w:rsid w:val="00302739"/>
    <w:rsid w:val="003029A9"/>
    <w:rsid w:val="00302F70"/>
    <w:rsid w:val="00302F71"/>
    <w:rsid w:val="0030331E"/>
    <w:rsid w:val="00303716"/>
    <w:rsid w:val="00303775"/>
    <w:rsid w:val="003038E7"/>
    <w:rsid w:val="00303978"/>
    <w:rsid w:val="00303B44"/>
    <w:rsid w:val="00303B80"/>
    <w:rsid w:val="00303CF8"/>
    <w:rsid w:val="0030414B"/>
    <w:rsid w:val="0030427F"/>
    <w:rsid w:val="00304514"/>
    <w:rsid w:val="0030459E"/>
    <w:rsid w:val="003047EE"/>
    <w:rsid w:val="0030501E"/>
    <w:rsid w:val="003050CE"/>
    <w:rsid w:val="00305171"/>
    <w:rsid w:val="00305C09"/>
    <w:rsid w:val="00305D29"/>
    <w:rsid w:val="00305D6D"/>
    <w:rsid w:val="00305FAC"/>
    <w:rsid w:val="00306045"/>
    <w:rsid w:val="003069E9"/>
    <w:rsid w:val="00306A80"/>
    <w:rsid w:val="00306BDE"/>
    <w:rsid w:val="003070D8"/>
    <w:rsid w:val="003075FA"/>
    <w:rsid w:val="00307D9B"/>
    <w:rsid w:val="00307FFE"/>
    <w:rsid w:val="0031014F"/>
    <w:rsid w:val="003101FD"/>
    <w:rsid w:val="00310961"/>
    <w:rsid w:val="00310D40"/>
    <w:rsid w:val="00310EDC"/>
    <w:rsid w:val="00311213"/>
    <w:rsid w:val="0031143B"/>
    <w:rsid w:val="0031155E"/>
    <w:rsid w:val="00311911"/>
    <w:rsid w:val="00311BA8"/>
    <w:rsid w:val="00311E20"/>
    <w:rsid w:val="00311EFA"/>
    <w:rsid w:val="00311F0A"/>
    <w:rsid w:val="00312000"/>
    <w:rsid w:val="00312291"/>
    <w:rsid w:val="003122CC"/>
    <w:rsid w:val="0031231A"/>
    <w:rsid w:val="00312471"/>
    <w:rsid w:val="00312DD8"/>
    <w:rsid w:val="00313085"/>
    <w:rsid w:val="0031321B"/>
    <w:rsid w:val="0031330E"/>
    <w:rsid w:val="00313499"/>
    <w:rsid w:val="003137A7"/>
    <w:rsid w:val="003137F5"/>
    <w:rsid w:val="00313C0D"/>
    <w:rsid w:val="00313CCA"/>
    <w:rsid w:val="0031444B"/>
    <w:rsid w:val="003145A5"/>
    <w:rsid w:val="00314915"/>
    <w:rsid w:val="0031498F"/>
    <w:rsid w:val="00314A13"/>
    <w:rsid w:val="00315709"/>
    <w:rsid w:val="00315816"/>
    <w:rsid w:val="0031638B"/>
    <w:rsid w:val="003164A6"/>
    <w:rsid w:val="00316503"/>
    <w:rsid w:val="003177BF"/>
    <w:rsid w:val="003178BC"/>
    <w:rsid w:val="00317AC5"/>
    <w:rsid w:val="00317B2C"/>
    <w:rsid w:val="00317B94"/>
    <w:rsid w:val="003205A6"/>
    <w:rsid w:val="0032062A"/>
    <w:rsid w:val="00321491"/>
    <w:rsid w:val="003215D4"/>
    <w:rsid w:val="003217FF"/>
    <w:rsid w:val="00321915"/>
    <w:rsid w:val="00321963"/>
    <w:rsid w:val="0032197F"/>
    <w:rsid w:val="00321B7B"/>
    <w:rsid w:val="00321C9F"/>
    <w:rsid w:val="00321F0C"/>
    <w:rsid w:val="003220CC"/>
    <w:rsid w:val="0032231C"/>
    <w:rsid w:val="00322492"/>
    <w:rsid w:val="00322B09"/>
    <w:rsid w:val="00322FA1"/>
    <w:rsid w:val="00322FBF"/>
    <w:rsid w:val="0032395C"/>
    <w:rsid w:val="00323963"/>
    <w:rsid w:val="00323F31"/>
    <w:rsid w:val="00324393"/>
    <w:rsid w:val="003243D0"/>
    <w:rsid w:val="00324506"/>
    <w:rsid w:val="0032457A"/>
    <w:rsid w:val="003245AD"/>
    <w:rsid w:val="003245B9"/>
    <w:rsid w:val="00324649"/>
    <w:rsid w:val="0032483D"/>
    <w:rsid w:val="00324873"/>
    <w:rsid w:val="00324881"/>
    <w:rsid w:val="003248BA"/>
    <w:rsid w:val="00324E72"/>
    <w:rsid w:val="00324EE1"/>
    <w:rsid w:val="00324F0C"/>
    <w:rsid w:val="00325015"/>
    <w:rsid w:val="00325415"/>
    <w:rsid w:val="00325466"/>
    <w:rsid w:val="003255E8"/>
    <w:rsid w:val="003256C0"/>
    <w:rsid w:val="00325CFC"/>
    <w:rsid w:val="00325E5C"/>
    <w:rsid w:val="003264A8"/>
    <w:rsid w:val="003264D2"/>
    <w:rsid w:val="00326799"/>
    <w:rsid w:val="003268D2"/>
    <w:rsid w:val="00326CEF"/>
    <w:rsid w:val="00326E3A"/>
    <w:rsid w:val="00326ED5"/>
    <w:rsid w:val="00326F75"/>
    <w:rsid w:val="003270E2"/>
    <w:rsid w:val="00327CED"/>
    <w:rsid w:val="00327E95"/>
    <w:rsid w:val="00327FB4"/>
    <w:rsid w:val="00327FF3"/>
    <w:rsid w:val="003300F7"/>
    <w:rsid w:val="003301F5"/>
    <w:rsid w:val="0033038D"/>
    <w:rsid w:val="0033090B"/>
    <w:rsid w:val="00330F55"/>
    <w:rsid w:val="00330FDA"/>
    <w:rsid w:val="003313DB"/>
    <w:rsid w:val="0033145D"/>
    <w:rsid w:val="00331F8C"/>
    <w:rsid w:val="00331F97"/>
    <w:rsid w:val="00332498"/>
    <w:rsid w:val="00332589"/>
    <w:rsid w:val="00332784"/>
    <w:rsid w:val="00332A54"/>
    <w:rsid w:val="00332AC5"/>
    <w:rsid w:val="00332F65"/>
    <w:rsid w:val="00333162"/>
    <w:rsid w:val="00333312"/>
    <w:rsid w:val="00333609"/>
    <w:rsid w:val="00333629"/>
    <w:rsid w:val="00333ABB"/>
    <w:rsid w:val="00333E84"/>
    <w:rsid w:val="00333F6E"/>
    <w:rsid w:val="003349C8"/>
    <w:rsid w:val="00334C10"/>
    <w:rsid w:val="00334CB4"/>
    <w:rsid w:val="00334CB6"/>
    <w:rsid w:val="00334F34"/>
    <w:rsid w:val="003352F5"/>
    <w:rsid w:val="0033550B"/>
    <w:rsid w:val="003357C0"/>
    <w:rsid w:val="003357E8"/>
    <w:rsid w:val="003358D6"/>
    <w:rsid w:val="003358EE"/>
    <w:rsid w:val="00335B8F"/>
    <w:rsid w:val="00335E31"/>
    <w:rsid w:val="00336041"/>
    <w:rsid w:val="00336380"/>
    <w:rsid w:val="00336663"/>
    <w:rsid w:val="00336B0F"/>
    <w:rsid w:val="00336CFB"/>
    <w:rsid w:val="0033755E"/>
    <w:rsid w:val="00337780"/>
    <w:rsid w:val="00337BD1"/>
    <w:rsid w:val="003400BE"/>
    <w:rsid w:val="003400EB"/>
    <w:rsid w:val="0034021B"/>
    <w:rsid w:val="00340397"/>
    <w:rsid w:val="003406E5"/>
    <w:rsid w:val="00340937"/>
    <w:rsid w:val="00340A34"/>
    <w:rsid w:val="00340B69"/>
    <w:rsid w:val="00340C33"/>
    <w:rsid w:val="00340E48"/>
    <w:rsid w:val="00340EDB"/>
    <w:rsid w:val="0034107D"/>
    <w:rsid w:val="003415BE"/>
    <w:rsid w:val="003417E2"/>
    <w:rsid w:val="00341CE6"/>
    <w:rsid w:val="00341EB1"/>
    <w:rsid w:val="00341F56"/>
    <w:rsid w:val="00341FAE"/>
    <w:rsid w:val="0034209C"/>
    <w:rsid w:val="0034251A"/>
    <w:rsid w:val="0034257D"/>
    <w:rsid w:val="003427E2"/>
    <w:rsid w:val="003428C3"/>
    <w:rsid w:val="00342955"/>
    <w:rsid w:val="00343406"/>
    <w:rsid w:val="00343702"/>
    <w:rsid w:val="00343BE9"/>
    <w:rsid w:val="00343D70"/>
    <w:rsid w:val="00343F70"/>
    <w:rsid w:val="00344403"/>
    <w:rsid w:val="003450F5"/>
    <w:rsid w:val="00345309"/>
    <w:rsid w:val="003456F0"/>
    <w:rsid w:val="00345745"/>
    <w:rsid w:val="0034587F"/>
    <w:rsid w:val="00345970"/>
    <w:rsid w:val="003463BF"/>
    <w:rsid w:val="00346614"/>
    <w:rsid w:val="0034680C"/>
    <w:rsid w:val="003468B6"/>
    <w:rsid w:val="00346B04"/>
    <w:rsid w:val="00346E5C"/>
    <w:rsid w:val="00346EBD"/>
    <w:rsid w:val="003470BB"/>
    <w:rsid w:val="003472CE"/>
    <w:rsid w:val="003474CC"/>
    <w:rsid w:val="00347639"/>
    <w:rsid w:val="0034784D"/>
    <w:rsid w:val="0034794D"/>
    <w:rsid w:val="00347B84"/>
    <w:rsid w:val="00347D8A"/>
    <w:rsid w:val="003504A8"/>
    <w:rsid w:val="0035062F"/>
    <w:rsid w:val="0035067C"/>
    <w:rsid w:val="00350C90"/>
    <w:rsid w:val="00350DFD"/>
    <w:rsid w:val="00351421"/>
    <w:rsid w:val="00351565"/>
    <w:rsid w:val="0035178D"/>
    <w:rsid w:val="003518C7"/>
    <w:rsid w:val="003523D1"/>
    <w:rsid w:val="003523D3"/>
    <w:rsid w:val="003527ED"/>
    <w:rsid w:val="003528A1"/>
    <w:rsid w:val="00352AED"/>
    <w:rsid w:val="00352BBD"/>
    <w:rsid w:val="00352D27"/>
    <w:rsid w:val="00352D76"/>
    <w:rsid w:val="00352DF0"/>
    <w:rsid w:val="0035346D"/>
    <w:rsid w:val="0035352A"/>
    <w:rsid w:val="00353771"/>
    <w:rsid w:val="003539A0"/>
    <w:rsid w:val="00353D5D"/>
    <w:rsid w:val="0035439F"/>
    <w:rsid w:val="003543BC"/>
    <w:rsid w:val="0035477C"/>
    <w:rsid w:val="00354BAF"/>
    <w:rsid w:val="00354D20"/>
    <w:rsid w:val="0035519B"/>
    <w:rsid w:val="00355244"/>
    <w:rsid w:val="0035546E"/>
    <w:rsid w:val="0035551E"/>
    <w:rsid w:val="00355585"/>
    <w:rsid w:val="003555CD"/>
    <w:rsid w:val="00355776"/>
    <w:rsid w:val="0035581B"/>
    <w:rsid w:val="00355830"/>
    <w:rsid w:val="0035596A"/>
    <w:rsid w:val="003559CC"/>
    <w:rsid w:val="00355CCE"/>
    <w:rsid w:val="00355E20"/>
    <w:rsid w:val="003561F3"/>
    <w:rsid w:val="00356290"/>
    <w:rsid w:val="00356407"/>
    <w:rsid w:val="00356513"/>
    <w:rsid w:val="00356988"/>
    <w:rsid w:val="00356C70"/>
    <w:rsid w:val="00356E64"/>
    <w:rsid w:val="003570FB"/>
    <w:rsid w:val="00357181"/>
    <w:rsid w:val="003576C7"/>
    <w:rsid w:val="003576F6"/>
    <w:rsid w:val="00357993"/>
    <w:rsid w:val="00357D6E"/>
    <w:rsid w:val="00357DE4"/>
    <w:rsid w:val="00357F4D"/>
    <w:rsid w:val="00360234"/>
    <w:rsid w:val="00360546"/>
    <w:rsid w:val="0036060A"/>
    <w:rsid w:val="00360ADF"/>
    <w:rsid w:val="00360B75"/>
    <w:rsid w:val="00360C03"/>
    <w:rsid w:val="00360D79"/>
    <w:rsid w:val="00360E50"/>
    <w:rsid w:val="00360F17"/>
    <w:rsid w:val="00360F30"/>
    <w:rsid w:val="0036122B"/>
    <w:rsid w:val="003613C5"/>
    <w:rsid w:val="003615E0"/>
    <w:rsid w:val="0036182E"/>
    <w:rsid w:val="00361F89"/>
    <w:rsid w:val="00362082"/>
    <w:rsid w:val="003622A1"/>
    <w:rsid w:val="0036290B"/>
    <w:rsid w:val="00362A97"/>
    <w:rsid w:val="00362E73"/>
    <w:rsid w:val="00362F55"/>
    <w:rsid w:val="0036305A"/>
    <w:rsid w:val="003632B8"/>
    <w:rsid w:val="00363610"/>
    <w:rsid w:val="00363D61"/>
    <w:rsid w:val="00363EFA"/>
    <w:rsid w:val="003640C7"/>
    <w:rsid w:val="003647FC"/>
    <w:rsid w:val="00364C78"/>
    <w:rsid w:val="00364C7F"/>
    <w:rsid w:val="00364D85"/>
    <w:rsid w:val="003650EB"/>
    <w:rsid w:val="003651B2"/>
    <w:rsid w:val="00365580"/>
    <w:rsid w:val="00365AFF"/>
    <w:rsid w:val="00365B11"/>
    <w:rsid w:val="00365BA7"/>
    <w:rsid w:val="00365C3B"/>
    <w:rsid w:val="00365F31"/>
    <w:rsid w:val="00366050"/>
    <w:rsid w:val="003662A8"/>
    <w:rsid w:val="003662FE"/>
    <w:rsid w:val="0036635B"/>
    <w:rsid w:val="00366579"/>
    <w:rsid w:val="0036659F"/>
    <w:rsid w:val="00366A4C"/>
    <w:rsid w:val="00366DA8"/>
    <w:rsid w:val="00366F30"/>
    <w:rsid w:val="00366F70"/>
    <w:rsid w:val="003672C0"/>
    <w:rsid w:val="00367B13"/>
    <w:rsid w:val="00367EAC"/>
    <w:rsid w:val="00367F33"/>
    <w:rsid w:val="00370456"/>
    <w:rsid w:val="003705BF"/>
    <w:rsid w:val="0037064B"/>
    <w:rsid w:val="0037064F"/>
    <w:rsid w:val="00370651"/>
    <w:rsid w:val="00370746"/>
    <w:rsid w:val="00371293"/>
    <w:rsid w:val="00371860"/>
    <w:rsid w:val="00371DE0"/>
    <w:rsid w:val="003728AD"/>
    <w:rsid w:val="00372DA6"/>
    <w:rsid w:val="00372E56"/>
    <w:rsid w:val="00373447"/>
    <w:rsid w:val="00373513"/>
    <w:rsid w:val="00373A0F"/>
    <w:rsid w:val="003742B3"/>
    <w:rsid w:val="003743F0"/>
    <w:rsid w:val="003745DC"/>
    <w:rsid w:val="003748FC"/>
    <w:rsid w:val="00374C6A"/>
    <w:rsid w:val="003754EF"/>
    <w:rsid w:val="003755A7"/>
    <w:rsid w:val="00375851"/>
    <w:rsid w:val="00375FA0"/>
    <w:rsid w:val="00376763"/>
    <w:rsid w:val="003768FE"/>
    <w:rsid w:val="00376CB8"/>
    <w:rsid w:val="00376DAE"/>
    <w:rsid w:val="00377148"/>
    <w:rsid w:val="003778AC"/>
    <w:rsid w:val="00377997"/>
    <w:rsid w:val="00377BE0"/>
    <w:rsid w:val="00377F82"/>
    <w:rsid w:val="003802AD"/>
    <w:rsid w:val="003807A8"/>
    <w:rsid w:val="00380B22"/>
    <w:rsid w:val="00380D04"/>
    <w:rsid w:val="00380DD9"/>
    <w:rsid w:val="00380E29"/>
    <w:rsid w:val="00380F5F"/>
    <w:rsid w:val="0038155B"/>
    <w:rsid w:val="00381AE4"/>
    <w:rsid w:val="00381CC8"/>
    <w:rsid w:val="00382953"/>
    <w:rsid w:val="00382BC0"/>
    <w:rsid w:val="00382E0A"/>
    <w:rsid w:val="00382F5A"/>
    <w:rsid w:val="00382FC0"/>
    <w:rsid w:val="003836C8"/>
    <w:rsid w:val="00383717"/>
    <w:rsid w:val="00383B3C"/>
    <w:rsid w:val="00383EA2"/>
    <w:rsid w:val="00384271"/>
    <w:rsid w:val="00384378"/>
    <w:rsid w:val="0038452B"/>
    <w:rsid w:val="003848BB"/>
    <w:rsid w:val="00384A82"/>
    <w:rsid w:val="00384ACB"/>
    <w:rsid w:val="00384C46"/>
    <w:rsid w:val="00384D54"/>
    <w:rsid w:val="00384E5A"/>
    <w:rsid w:val="00385170"/>
    <w:rsid w:val="00385257"/>
    <w:rsid w:val="003853A5"/>
    <w:rsid w:val="00385576"/>
    <w:rsid w:val="00385680"/>
    <w:rsid w:val="00385695"/>
    <w:rsid w:val="0038596A"/>
    <w:rsid w:val="00385C01"/>
    <w:rsid w:val="00385EFB"/>
    <w:rsid w:val="00386181"/>
    <w:rsid w:val="003864B7"/>
    <w:rsid w:val="0038657D"/>
    <w:rsid w:val="003866BE"/>
    <w:rsid w:val="0038680C"/>
    <w:rsid w:val="0038728D"/>
    <w:rsid w:val="003875B9"/>
    <w:rsid w:val="0038761D"/>
    <w:rsid w:val="003879EB"/>
    <w:rsid w:val="00387AC4"/>
    <w:rsid w:val="00387F3B"/>
    <w:rsid w:val="00390027"/>
    <w:rsid w:val="0039025A"/>
    <w:rsid w:val="003903B7"/>
    <w:rsid w:val="003904FD"/>
    <w:rsid w:val="00390BAF"/>
    <w:rsid w:val="00390D55"/>
    <w:rsid w:val="00390DA7"/>
    <w:rsid w:val="00390F20"/>
    <w:rsid w:val="003912A1"/>
    <w:rsid w:val="00391428"/>
    <w:rsid w:val="00391759"/>
    <w:rsid w:val="00391937"/>
    <w:rsid w:val="00391B33"/>
    <w:rsid w:val="00391BB1"/>
    <w:rsid w:val="00391C11"/>
    <w:rsid w:val="00391E6A"/>
    <w:rsid w:val="00391ED4"/>
    <w:rsid w:val="00391EFD"/>
    <w:rsid w:val="00392295"/>
    <w:rsid w:val="00392414"/>
    <w:rsid w:val="00392450"/>
    <w:rsid w:val="003924CB"/>
    <w:rsid w:val="003926D9"/>
    <w:rsid w:val="003927F8"/>
    <w:rsid w:val="00392934"/>
    <w:rsid w:val="00392999"/>
    <w:rsid w:val="00392CC1"/>
    <w:rsid w:val="00392DA1"/>
    <w:rsid w:val="00392F37"/>
    <w:rsid w:val="00392FA5"/>
    <w:rsid w:val="00392FCE"/>
    <w:rsid w:val="003931B4"/>
    <w:rsid w:val="00393391"/>
    <w:rsid w:val="00393AB6"/>
    <w:rsid w:val="00393C7C"/>
    <w:rsid w:val="00393DBB"/>
    <w:rsid w:val="00394425"/>
    <w:rsid w:val="003945F1"/>
    <w:rsid w:val="0039462C"/>
    <w:rsid w:val="00394785"/>
    <w:rsid w:val="003949A3"/>
    <w:rsid w:val="00394DD8"/>
    <w:rsid w:val="00394E49"/>
    <w:rsid w:val="00394EC7"/>
    <w:rsid w:val="00395B78"/>
    <w:rsid w:val="00395DEB"/>
    <w:rsid w:val="00396565"/>
    <w:rsid w:val="00396A95"/>
    <w:rsid w:val="00396B08"/>
    <w:rsid w:val="00396B72"/>
    <w:rsid w:val="00396B73"/>
    <w:rsid w:val="00396D0E"/>
    <w:rsid w:val="00396F7D"/>
    <w:rsid w:val="00396FD7"/>
    <w:rsid w:val="003973C7"/>
    <w:rsid w:val="0039776A"/>
    <w:rsid w:val="00397822"/>
    <w:rsid w:val="00397825"/>
    <w:rsid w:val="00397A54"/>
    <w:rsid w:val="00397C1F"/>
    <w:rsid w:val="00397CEC"/>
    <w:rsid w:val="003A041C"/>
    <w:rsid w:val="003A05BF"/>
    <w:rsid w:val="003A0715"/>
    <w:rsid w:val="003A2662"/>
    <w:rsid w:val="003A2C72"/>
    <w:rsid w:val="003A37C7"/>
    <w:rsid w:val="003A40DE"/>
    <w:rsid w:val="003A41CF"/>
    <w:rsid w:val="003A45A0"/>
    <w:rsid w:val="003A4620"/>
    <w:rsid w:val="003A4ADA"/>
    <w:rsid w:val="003A4BC2"/>
    <w:rsid w:val="003A4CC5"/>
    <w:rsid w:val="003A4CE0"/>
    <w:rsid w:val="003A4F63"/>
    <w:rsid w:val="003A532F"/>
    <w:rsid w:val="003A53F8"/>
    <w:rsid w:val="003A547C"/>
    <w:rsid w:val="003A56A3"/>
    <w:rsid w:val="003A5878"/>
    <w:rsid w:val="003A5D55"/>
    <w:rsid w:val="003A5FC4"/>
    <w:rsid w:val="003A607A"/>
    <w:rsid w:val="003A61AE"/>
    <w:rsid w:val="003A6544"/>
    <w:rsid w:val="003A66EB"/>
    <w:rsid w:val="003A6762"/>
    <w:rsid w:val="003A6864"/>
    <w:rsid w:val="003A694F"/>
    <w:rsid w:val="003A6992"/>
    <w:rsid w:val="003A6E56"/>
    <w:rsid w:val="003A7143"/>
    <w:rsid w:val="003A72E9"/>
    <w:rsid w:val="003A7320"/>
    <w:rsid w:val="003A7341"/>
    <w:rsid w:val="003A7485"/>
    <w:rsid w:val="003A79F3"/>
    <w:rsid w:val="003B01C1"/>
    <w:rsid w:val="003B01DC"/>
    <w:rsid w:val="003B0344"/>
    <w:rsid w:val="003B0B3C"/>
    <w:rsid w:val="003B0E7A"/>
    <w:rsid w:val="003B10C1"/>
    <w:rsid w:val="003B141D"/>
    <w:rsid w:val="003B1B5C"/>
    <w:rsid w:val="003B1BB0"/>
    <w:rsid w:val="003B1D58"/>
    <w:rsid w:val="003B216D"/>
    <w:rsid w:val="003B232B"/>
    <w:rsid w:val="003B253B"/>
    <w:rsid w:val="003B25A1"/>
    <w:rsid w:val="003B272D"/>
    <w:rsid w:val="003B2899"/>
    <w:rsid w:val="003B28E3"/>
    <w:rsid w:val="003B298E"/>
    <w:rsid w:val="003B2A0A"/>
    <w:rsid w:val="003B2CFA"/>
    <w:rsid w:val="003B2DEB"/>
    <w:rsid w:val="003B3595"/>
    <w:rsid w:val="003B3919"/>
    <w:rsid w:val="003B3C21"/>
    <w:rsid w:val="003B3E58"/>
    <w:rsid w:val="003B45CB"/>
    <w:rsid w:val="003B4B9D"/>
    <w:rsid w:val="003B4D5D"/>
    <w:rsid w:val="003B4E99"/>
    <w:rsid w:val="003B4FAD"/>
    <w:rsid w:val="003B4FD3"/>
    <w:rsid w:val="003B51F3"/>
    <w:rsid w:val="003B5397"/>
    <w:rsid w:val="003B5850"/>
    <w:rsid w:val="003B59ED"/>
    <w:rsid w:val="003B5A80"/>
    <w:rsid w:val="003B5C29"/>
    <w:rsid w:val="003B5EBF"/>
    <w:rsid w:val="003B5F55"/>
    <w:rsid w:val="003B61DA"/>
    <w:rsid w:val="003B63C8"/>
    <w:rsid w:val="003B6510"/>
    <w:rsid w:val="003B6C0C"/>
    <w:rsid w:val="003B6DD8"/>
    <w:rsid w:val="003B71CB"/>
    <w:rsid w:val="003B765F"/>
    <w:rsid w:val="003B77CF"/>
    <w:rsid w:val="003B783C"/>
    <w:rsid w:val="003B7888"/>
    <w:rsid w:val="003B79A8"/>
    <w:rsid w:val="003B7F11"/>
    <w:rsid w:val="003B7FCE"/>
    <w:rsid w:val="003C0319"/>
    <w:rsid w:val="003C0523"/>
    <w:rsid w:val="003C05D6"/>
    <w:rsid w:val="003C0825"/>
    <w:rsid w:val="003C0FF1"/>
    <w:rsid w:val="003C1650"/>
    <w:rsid w:val="003C188B"/>
    <w:rsid w:val="003C1C86"/>
    <w:rsid w:val="003C1D47"/>
    <w:rsid w:val="003C1D4A"/>
    <w:rsid w:val="003C1E8F"/>
    <w:rsid w:val="003C22DB"/>
    <w:rsid w:val="003C2A3E"/>
    <w:rsid w:val="003C2AFD"/>
    <w:rsid w:val="003C2B86"/>
    <w:rsid w:val="003C2C20"/>
    <w:rsid w:val="003C3040"/>
    <w:rsid w:val="003C350F"/>
    <w:rsid w:val="003C3880"/>
    <w:rsid w:val="003C390A"/>
    <w:rsid w:val="003C3BCF"/>
    <w:rsid w:val="003C412A"/>
    <w:rsid w:val="003C41C9"/>
    <w:rsid w:val="003C4546"/>
    <w:rsid w:val="003C456B"/>
    <w:rsid w:val="003C45E6"/>
    <w:rsid w:val="003C45F0"/>
    <w:rsid w:val="003C48A1"/>
    <w:rsid w:val="003C494F"/>
    <w:rsid w:val="003C4C7F"/>
    <w:rsid w:val="003C5077"/>
    <w:rsid w:val="003C50BC"/>
    <w:rsid w:val="003C56F6"/>
    <w:rsid w:val="003C5BB7"/>
    <w:rsid w:val="003C5F3A"/>
    <w:rsid w:val="003C65DF"/>
    <w:rsid w:val="003C6DE0"/>
    <w:rsid w:val="003C6F8F"/>
    <w:rsid w:val="003C730B"/>
    <w:rsid w:val="003C76A6"/>
    <w:rsid w:val="003C7905"/>
    <w:rsid w:val="003C7A43"/>
    <w:rsid w:val="003C7CAD"/>
    <w:rsid w:val="003C7E54"/>
    <w:rsid w:val="003C7FA8"/>
    <w:rsid w:val="003D01A0"/>
    <w:rsid w:val="003D02EF"/>
    <w:rsid w:val="003D0B5C"/>
    <w:rsid w:val="003D0FD3"/>
    <w:rsid w:val="003D118D"/>
    <w:rsid w:val="003D1276"/>
    <w:rsid w:val="003D1312"/>
    <w:rsid w:val="003D133C"/>
    <w:rsid w:val="003D147A"/>
    <w:rsid w:val="003D165A"/>
    <w:rsid w:val="003D1AE7"/>
    <w:rsid w:val="003D2441"/>
    <w:rsid w:val="003D315A"/>
    <w:rsid w:val="003D33FE"/>
    <w:rsid w:val="003D3B19"/>
    <w:rsid w:val="003D3CAA"/>
    <w:rsid w:val="003D4231"/>
    <w:rsid w:val="003D442B"/>
    <w:rsid w:val="003D458B"/>
    <w:rsid w:val="003D4708"/>
    <w:rsid w:val="003D4AD9"/>
    <w:rsid w:val="003D4C73"/>
    <w:rsid w:val="003D4F2F"/>
    <w:rsid w:val="003D4F81"/>
    <w:rsid w:val="003D50EA"/>
    <w:rsid w:val="003D5158"/>
    <w:rsid w:val="003D5320"/>
    <w:rsid w:val="003D533F"/>
    <w:rsid w:val="003D56EB"/>
    <w:rsid w:val="003D5D3D"/>
    <w:rsid w:val="003D5E7F"/>
    <w:rsid w:val="003D5EA6"/>
    <w:rsid w:val="003D6062"/>
    <w:rsid w:val="003D63F1"/>
    <w:rsid w:val="003D67EC"/>
    <w:rsid w:val="003D6B5E"/>
    <w:rsid w:val="003D70D6"/>
    <w:rsid w:val="003D7133"/>
    <w:rsid w:val="003D71DD"/>
    <w:rsid w:val="003D729E"/>
    <w:rsid w:val="003D7324"/>
    <w:rsid w:val="003D7432"/>
    <w:rsid w:val="003D74E4"/>
    <w:rsid w:val="003D76B4"/>
    <w:rsid w:val="003E003D"/>
    <w:rsid w:val="003E06D0"/>
    <w:rsid w:val="003E0B2E"/>
    <w:rsid w:val="003E0CB1"/>
    <w:rsid w:val="003E1541"/>
    <w:rsid w:val="003E1B82"/>
    <w:rsid w:val="003E2AE2"/>
    <w:rsid w:val="003E3103"/>
    <w:rsid w:val="003E311D"/>
    <w:rsid w:val="003E32F1"/>
    <w:rsid w:val="003E36F5"/>
    <w:rsid w:val="003E4182"/>
    <w:rsid w:val="003E483E"/>
    <w:rsid w:val="003E49A0"/>
    <w:rsid w:val="003E4BEA"/>
    <w:rsid w:val="003E4C69"/>
    <w:rsid w:val="003E4E53"/>
    <w:rsid w:val="003E4FB7"/>
    <w:rsid w:val="003E538F"/>
    <w:rsid w:val="003E553A"/>
    <w:rsid w:val="003E5665"/>
    <w:rsid w:val="003E5BFA"/>
    <w:rsid w:val="003E5CBB"/>
    <w:rsid w:val="003E6140"/>
    <w:rsid w:val="003E6333"/>
    <w:rsid w:val="003E6653"/>
    <w:rsid w:val="003E66D6"/>
    <w:rsid w:val="003E6767"/>
    <w:rsid w:val="003E678F"/>
    <w:rsid w:val="003E6912"/>
    <w:rsid w:val="003E718E"/>
    <w:rsid w:val="003E7362"/>
    <w:rsid w:val="003E7661"/>
    <w:rsid w:val="003E76A0"/>
    <w:rsid w:val="003E7A5F"/>
    <w:rsid w:val="003F02CA"/>
    <w:rsid w:val="003F033F"/>
    <w:rsid w:val="003F05D3"/>
    <w:rsid w:val="003F0620"/>
    <w:rsid w:val="003F0766"/>
    <w:rsid w:val="003F0864"/>
    <w:rsid w:val="003F08A5"/>
    <w:rsid w:val="003F0F09"/>
    <w:rsid w:val="003F0FDA"/>
    <w:rsid w:val="003F11C3"/>
    <w:rsid w:val="003F1346"/>
    <w:rsid w:val="003F173B"/>
    <w:rsid w:val="003F1AF1"/>
    <w:rsid w:val="003F1CF5"/>
    <w:rsid w:val="003F2D5B"/>
    <w:rsid w:val="003F2DBB"/>
    <w:rsid w:val="003F316E"/>
    <w:rsid w:val="003F3392"/>
    <w:rsid w:val="003F342A"/>
    <w:rsid w:val="003F34D1"/>
    <w:rsid w:val="003F37F5"/>
    <w:rsid w:val="003F3C6D"/>
    <w:rsid w:val="003F3E44"/>
    <w:rsid w:val="003F4426"/>
    <w:rsid w:val="003F4559"/>
    <w:rsid w:val="003F4B43"/>
    <w:rsid w:val="003F4B5E"/>
    <w:rsid w:val="003F4B76"/>
    <w:rsid w:val="003F5315"/>
    <w:rsid w:val="003F53F2"/>
    <w:rsid w:val="003F541F"/>
    <w:rsid w:val="003F5491"/>
    <w:rsid w:val="003F5511"/>
    <w:rsid w:val="003F5582"/>
    <w:rsid w:val="003F5740"/>
    <w:rsid w:val="003F579B"/>
    <w:rsid w:val="003F5A3D"/>
    <w:rsid w:val="003F5C9B"/>
    <w:rsid w:val="003F5ECA"/>
    <w:rsid w:val="003F60FA"/>
    <w:rsid w:val="003F62B5"/>
    <w:rsid w:val="003F6429"/>
    <w:rsid w:val="003F644C"/>
    <w:rsid w:val="003F6451"/>
    <w:rsid w:val="003F64F5"/>
    <w:rsid w:val="003F67D2"/>
    <w:rsid w:val="003F6A1E"/>
    <w:rsid w:val="003F6A3E"/>
    <w:rsid w:val="003F6BCB"/>
    <w:rsid w:val="003F6CD6"/>
    <w:rsid w:val="003F6F4A"/>
    <w:rsid w:val="003F73DF"/>
    <w:rsid w:val="003F74DF"/>
    <w:rsid w:val="003F7A7F"/>
    <w:rsid w:val="003F7D50"/>
    <w:rsid w:val="004004B8"/>
    <w:rsid w:val="00400714"/>
    <w:rsid w:val="004007D0"/>
    <w:rsid w:val="00400922"/>
    <w:rsid w:val="00400C21"/>
    <w:rsid w:val="00400D7E"/>
    <w:rsid w:val="0040111A"/>
    <w:rsid w:val="00401591"/>
    <w:rsid w:val="004020B2"/>
    <w:rsid w:val="004020E9"/>
    <w:rsid w:val="00402458"/>
    <w:rsid w:val="00403187"/>
    <w:rsid w:val="00403723"/>
    <w:rsid w:val="004038BB"/>
    <w:rsid w:val="00403947"/>
    <w:rsid w:val="00403A8D"/>
    <w:rsid w:val="00403C8A"/>
    <w:rsid w:val="00403D7E"/>
    <w:rsid w:val="004042A5"/>
    <w:rsid w:val="00404515"/>
    <w:rsid w:val="004047B1"/>
    <w:rsid w:val="0040480D"/>
    <w:rsid w:val="00404892"/>
    <w:rsid w:val="004049D1"/>
    <w:rsid w:val="00404C26"/>
    <w:rsid w:val="00404CA0"/>
    <w:rsid w:val="00404CED"/>
    <w:rsid w:val="00404F1B"/>
    <w:rsid w:val="00404F8C"/>
    <w:rsid w:val="00405504"/>
    <w:rsid w:val="00405859"/>
    <w:rsid w:val="004062C3"/>
    <w:rsid w:val="004064AD"/>
    <w:rsid w:val="00406D29"/>
    <w:rsid w:val="00406D80"/>
    <w:rsid w:val="00406EE9"/>
    <w:rsid w:val="004074CA"/>
    <w:rsid w:val="00407DAF"/>
    <w:rsid w:val="00407DE4"/>
    <w:rsid w:val="00407F5E"/>
    <w:rsid w:val="004100D7"/>
    <w:rsid w:val="00410180"/>
    <w:rsid w:val="004107FE"/>
    <w:rsid w:val="004108D1"/>
    <w:rsid w:val="004108E5"/>
    <w:rsid w:val="00411117"/>
    <w:rsid w:val="004111BE"/>
    <w:rsid w:val="004115E6"/>
    <w:rsid w:val="0041160C"/>
    <w:rsid w:val="00412842"/>
    <w:rsid w:val="0041298D"/>
    <w:rsid w:val="00412EF5"/>
    <w:rsid w:val="004137F2"/>
    <w:rsid w:val="00413A0D"/>
    <w:rsid w:val="00413A87"/>
    <w:rsid w:val="00413AC8"/>
    <w:rsid w:val="00413DD2"/>
    <w:rsid w:val="004141DD"/>
    <w:rsid w:val="004142A1"/>
    <w:rsid w:val="004142B1"/>
    <w:rsid w:val="00414381"/>
    <w:rsid w:val="00414484"/>
    <w:rsid w:val="0041457D"/>
    <w:rsid w:val="00414597"/>
    <w:rsid w:val="00414781"/>
    <w:rsid w:val="004147F4"/>
    <w:rsid w:val="00414BD9"/>
    <w:rsid w:val="00414C83"/>
    <w:rsid w:val="00415075"/>
    <w:rsid w:val="004155A9"/>
    <w:rsid w:val="004158FB"/>
    <w:rsid w:val="00415D17"/>
    <w:rsid w:val="00415D7E"/>
    <w:rsid w:val="004161B7"/>
    <w:rsid w:val="00416263"/>
    <w:rsid w:val="0041653D"/>
    <w:rsid w:val="00416622"/>
    <w:rsid w:val="0041700B"/>
    <w:rsid w:val="004170F4"/>
    <w:rsid w:val="004172E7"/>
    <w:rsid w:val="004173B6"/>
    <w:rsid w:val="0041760F"/>
    <w:rsid w:val="00417D49"/>
    <w:rsid w:val="00420263"/>
    <w:rsid w:val="00420329"/>
    <w:rsid w:val="00420C4F"/>
    <w:rsid w:val="004210F6"/>
    <w:rsid w:val="0042117E"/>
    <w:rsid w:val="0042167D"/>
    <w:rsid w:val="00421742"/>
    <w:rsid w:val="00421ED8"/>
    <w:rsid w:val="00422222"/>
    <w:rsid w:val="00422245"/>
    <w:rsid w:val="0042244E"/>
    <w:rsid w:val="00422665"/>
    <w:rsid w:val="00422AE9"/>
    <w:rsid w:val="00422E54"/>
    <w:rsid w:val="0042314C"/>
    <w:rsid w:val="0042326F"/>
    <w:rsid w:val="004238EF"/>
    <w:rsid w:val="00423D29"/>
    <w:rsid w:val="00423EE0"/>
    <w:rsid w:val="00424255"/>
    <w:rsid w:val="004242C8"/>
    <w:rsid w:val="004245A4"/>
    <w:rsid w:val="00424609"/>
    <w:rsid w:val="00424C25"/>
    <w:rsid w:val="00425073"/>
    <w:rsid w:val="00425A5E"/>
    <w:rsid w:val="00425E2F"/>
    <w:rsid w:val="00425F0D"/>
    <w:rsid w:val="0042691D"/>
    <w:rsid w:val="00426AC6"/>
    <w:rsid w:val="00426E5B"/>
    <w:rsid w:val="00426FB8"/>
    <w:rsid w:val="0042709F"/>
    <w:rsid w:val="00427176"/>
    <w:rsid w:val="0042736B"/>
    <w:rsid w:val="004275D5"/>
    <w:rsid w:val="004279F2"/>
    <w:rsid w:val="00427A97"/>
    <w:rsid w:val="00427C28"/>
    <w:rsid w:val="00427D06"/>
    <w:rsid w:val="004306A5"/>
    <w:rsid w:val="0043072F"/>
    <w:rsid w:val="004307B2"/>
    <w:rsid w:val="00430996"/>
    <w:rsid w:val="004309C0"/>
    <w:rsid w:val="00430CC7"/>
    <w:rsid w:val="00431000"/>
    <w:rsid w:val="004313FA"/>
    <w:rsid w:val="0043161C"/>
    <w:rsid w:val="00431775"/>
    <w:rsid w:val="004317C7"/>
    <w:rsid w:val="00431821"/>
    <w:rsid w:val="004319CD"/>
    <w:rsid w:val="00431E20"/>
    <w:rsid w:val="004320C8"/>
    <w:rsid w:val="0043234A"/>
    <w:rsid w:val="00432A9C"/>
    <w:rsid w:val="00432BBB"/>
    <w:rsid w:val="00432E55"/>
    <w:rsid w:val="00433086"/>
    <w:rsid w:val="00433110"/>
    <w:rsid w:val="004333CA"/>
    <w:rsid w:val="004336E6"/>
    <w:rsid w:val="00433B9D"/>
    <w:rsid w:val="00433BA1"/>
    <w:rsid w:val="00433CF0"/>
    <w:rsid w:val="00433DCB"/>
    <w:rsid w:val="0043426A"/>
    <w:rsid w:val="00434360"/>
    <w:rsid w:val="004344BD"/>
    <w:rsid w:val="0043451B"/>
    <w:rsid w:val="00434AFD"/>
    <w:rsid w:val="00434B6F"/>
    <w:rsid w:val="00434E12"/>
    <w:rsid w:val="004353D2"/>
    <w:rsid w:val="004354C0"/>
    <w:rsid w:val="00435C44"/>
    <w:rsid w:val="00435C56"/>
    <w:rsid w:val="00435DE6"/>
    <w:rsid w:val="00435FA1"/>
    <w:rsid w:val="004361D0"/>
    <w:rsid w:val="004368A3"/>
    <w:rsid w:val="004370C6"/>
    <w:rsid w:val="0043717A"/>
    <w:rsid w:val="004377DC"/>
    <w:rsid w:val="00437A60"/>
    <w:rsid w:val="00437EEA"/>
    <w:rsid w:val="0044055C"/>
    <w:rsid w:val="00440CA2"/>
    <w:rsid w:val="00440E60"/>
    <w:rsid w:val="00441060"/>
    <w:rsid w:val="0044153C"/>
    <w:rsid w:val="00441898"/>
    <w:rsid w:val="00441A30"/>
    <w:rsid w:val="00441AC7"/>
    <w:rsid w:val="00441BB6"/>
    <w:rsid w:val="00442470"/>
    <w:rsid w:val="00442694"/>
    <w:rsid w:val="00442907"/>
    <w:rsid w:val="00442EE6"/>
    <w:rsid w:val="00443340"/>
    <w:rsid w:val="004438D7"/>
    <w:rsid w:val="00443AED"/>
    <w:rsid w:val="00443D23"/>
    <w:rsid w:val="00443D98"/>
    <w:rsid w:val="00443DD9"/>
    <w:rsid w:val="00443E02"/>
    <w:rsid w:val="00444120"/>
    <w:rsid w:val="00444731"/>
    <w:rsid w:val="004447CA"/>
    <w:rsid w:val="00444A79"/>
    <w:rsid w:val="00444C51"/>
    <w:rsid w:val="00444F8C"/>
    <w:rsid w:val="004453DF"/>
    <w:rsid w:val="004454BB"/>
    <w:rsid w:val="0044620C"/>
    <w:rsid w:val="00446413"/>
    <w:rsid w:val="00446501"/>
    <w:rsid w:val="00446A0F"/>
    <w:rsid w:val="00446D50"/>
    <w:rsid w:val="00447282"/>
    <w:rsid w:val="004473AF"/>
    <w:rsid w:val="0044759B"/>
    <w:rsid w:val="00447805"/>
    <w:rsid w:val="004478E3"/>
    <w:rsid w:val="00447BB3"/>
    <w:rsid w:val="00447C15"/>
    <w:rsid w:val="0045044E"/>
    <w:rsid w:val="004505F4"/>
    <w:rsid w:val="00450663"/>
    <w:rsid w:val="004507C9"/>
    <w:rsid w:val="00450F92"/>
    <w:rsid w:val="00451797"/>
    <w:rsid w:val="0045184E"/>
    <w:rsid w:val="00451852"/>
    <w:rsid w:val="00451952"/>
    <w:rsid w:val="00451A28"/>
    <w:rsid w:val="00451C77"/>
    <w:rsid w:val="004526F1"/>
    <w:rsid w:val="004527E3"/>
    <w:rsid w:val="00452B45"/>
    <w:rsid w:val="00452C2D"/>
    <w:rsid w:val="00452D22"/>
    <w:rsid w:val="00452DF9"/>
    <w:rsid w:val="00452EA8"/>
    <w:rsid w:val="00452F18"/>
    <w:rsid w:val="00453264"/>
    <w:rsid w:val="00453931"/>
    <w:rsid w:val="00453E92"/>
    <w:rsid w:val="00453EE4"/>
    <w:rsid w:val="00453FA9"/>
    <w:rsid w:val="00454012"/>
    <w:rsid w:val="00454691"/>
    <w:rsid w:val="004549A8"/>
    <w:rsid w:val="00454FF8"/>
    <w:rsid w:val="0045515D"/>
    <w:rsid w:val="004552FB"/>
    <w:rsid w:val="0045559E"/>
    <w:rsid w:val="00455AC8"/>
    <w:rsid w:val="00456061"/>
    <w:rsid w:val="004560FC"/>
    <w:rsid w:val="004565ED"/>
    <w:rsid w:val="0045687F"/>
    <w:rsid w:val="00456909"/>
    <w:rsid w:val="00456920"/>
    <w:rsid w:val="00456C41"/>
    <w:rsid w:val="00456E93"/>
    <w:rsid w:val="00456ECC"/>
    <w:rsid w:val="00456F48"/>
    <w:rsid w:val="00457A61"/>
    <w:rsid w:val="00457DCF"/>
    <w:rsid w:val="004601A2"/>
    <w:rsid w:val="00460837"/>
    <w:rsid w:val="00460A24"/>
    <w:rsid w:val="00460A49"/>
    <w:rsid w:val="00460A88"/>
    <w:rsid w:val="00460B9F"/>
    <w:rsid w:val="00460CD7"/>
    <w:rsid w:val="00460CDF"/>
    <w:rsid w:val="00460E2A"/>
    <w:rsid w:val="00460F7A"/>
    <w:rsid w:val="00461108"/>
    <w:rsid w:val="0046115A"/>
    <w:rsid w:val="00461404"/>
    <w:rsid w:val="00461943"/>
    <w:rsid w:val="00461C3A"/>
    <w:rsid w:val="004620F2"/>
    <w:rsid w:val="004622B0"/>
    <w:rsid w:val="004627F7"/>
    <w:rsid w:val="00462E1F"/>
    <w:rsid w:val="00462E7D"/>
    <w:rsid w:val="00463353"/>
    <w:rsid w:val="004633B8"/>
    <w:rsid w:val="004638AE"/>
    <w:rsid w:val="00463F15"/>
    <w:rsid w:val="004642EF"/>
    <w:rsid w:val="00464381"/>
    <w:rsid w:val="004648F8"/>
    <w:rsid w:val="00464ECF"/>
    <w:rsid w:val="00464F13"/>
    <w:rsid w:val="00465212"/>
    <w:rsid w:val="0046551D"/>
    <w:rsid w:val="00465863"/>
    <w:rsid w:val="00465D1F"/>
    <w:rsid w:val="00465D69"/>
    <w:rsid w:val="00465DE3"/>
    <w:rsid w:val="00465E54"/>
    <w:rsid w:val="00465E66"/>
    <w:rsid w:val="00465FAE"/>
    <w:rsid w:val="004664E9"/>
    <w:rsid w:val="0046655D"/>
    <w:rsid w:val="00466577"/>
    <w:rsid w:val="00466625"/>
    <w:rsid w:val="00466966"/>
    <w:rsid w:val="00466CEF"/>
    <w:rsid w:val="00466D8D"/>
    <w:rsid w:val="00467083"/>
    <w:rsid w:val="00467270"/>
    <w:rsid w:val="00467FF3"/>
    <w:rsid w:val="0047005A"/>
    <w:rsid w:val="0047013E"/>
    <w:rsid w:val="00470269"/>
    <w:rsid w:val="0047045B"/>
    <w:rsid w:val="004705DC"/>
    <w:rsid w:val="004709DA"/>
    <w:rsid w:val="00470D4C"/>
    <w:rsid w:val="0047103B"/>
    <w:rsid w:val="0047111A"/>
    <w:rsid w:val="00471491"/>
    <w:rsid w:val="0047179E"/>
    <w:rsid w:val="00471A3B"/>
    <w:rsid w:val="00472869"/>
    <w:rsid w:val="00472B36"/>
    <w:rsid w:val="00472BF0"/>
    <w:rsid w:val="00472CE1"/>
    <w:rsid w:val="00472DDC"/>
    <w:rsid w:val="00472F5A"/>
    <w:rsid w:val="00473026"/>
    <w:rsid w:val="00473034"/>
    <w:rsid w:val="00473307"/>
    <w:rsid w:val="0047335C"/>
    <w:rsid w:val="0047337C"/>
    <w:rsid w:val="00473E21"/>
    <w:rsid w:val="004741B3"/>
    <w:rsid w:val="004743AF"/>
    <w:rsid w:val="004744CD"/>
    <w:rsid w:val="004745E1"/>
    <w:rsid w:val="00474AC7"/>
    <w:rsid w:val="00474B69"/>
    <w:rsid w:val="00474CD1"/>
    <w:rsid w:val="00475382"/>
    <w:rsid w:val="00475479"/>
    <w:rsid w:val="00475530"/>
    <w:rsid w:val="004758A5"/>
    <w:rsid w:val="00475B46"/>
    <w:rsid w:val="00475DDC"/>
    <w:rsid w:val="00475E9D"/>
    <w:rsid w:val="004763AC"/>
    <w:rsid w:val="0047657F"/>
    <w:rsid w:val="00476DCA"/>
    <w:rsid w:val="00477D79"/>
    <w:rsid w:val="0047BF44"/>
    <w:rsid w:val="004800F4"/>
    <w:rsid w:val="0048027B"/>
    <w:rsid w:val="004802A5"/>
    <w:rsid w:val="00480A2F"/>
    <w:rsid w:val="00480C58"/>
    <w:rsid w:val="004814C4"/>
    <w:rsid w:val="004817ED"/>
    <w:rsid w:val="004819A8"/>
    <w:rsid w:val="00481DCB"/>
    <w:rsid w:val="00482687"/>
    <w:rsid w:val="00482737"/>
    <w:rsid w:val="00482C90"/>
    <w:rsid w:val="00482E3E"/>
    <w:rsid w:val="00483B22"/>
    <w:rsid w:val="00483CD3"/>
    <w:rsid w:val="00483D2E"/>
    <w:rsid w:val="00483E88"/>
    <w:rsid w:val="00483FB4"/>
    <w:rsid w:val="004841D6"/>
    <w:rsid w:val="00484736"/>
    <w:rsid w:val="00484A1F"/>
    <w:rsid w:val="00484FF7"/>
    <w:rsid w:val="00485198"/>
    <w:rsid w:val="004857CF"/>
    <w:rsid w:val="004857E9"/>
    <w:rsid w:val="00485AC6"/>
    <w:rsid w:val="004863BA"/>
    <w:rsid w:val="00486591"/>
    <w:rsid w:val="00486626"/>
    <w:rsid w:val="004866BE"/>
    <w:rsid w:val="004867DC"/>
    <w:rsid w:val="00486857"/>
    <w:rsid w:val="00486AC4"/>
    <w:rsid w:val="00486EC9"/>
    <w:rsid w:val="00486F5E"/>
    <w:rsid w:val="004870AF"/>
    <w:rsid w:val="0048715E"/>
    <w:rsid w:val="004871A9"/>
    <w:rsid w:val="0048742E"/>
    <w:rsid w:val="004877AA"/>
    <w:rsid w:val="0048783B"/>
    <w:rsid w:val="0048783C"/>
    <w:rsid w:val="00487A51"/>
    <w:rsid w:val="00487B98"/>
    <w:rsid w:val="004905B8"/>
    <w:rsid w:val="004906CE"/>
    <w:rsid w:val="00490F71"/>
    <w:rsid w:val="00490FAC"/>
    <w:rsid w:val="004913C1"/>
    <w:rsid w:val="004919CD"/>
    <w:rsid w:val="00492422"/>
    <w:rsid w:val="00492A9C"/>
    <w:rsid w:val="00492B18"/>
    <w:rsid w:val="00492B4E"/>
    <w:rsid w:val="00492BCF"/>
    <w:rsid w:val="00492EDD"/>
    <w:rsid w:val="004930CF"/>
    <w:rsid w:val="004933DB"/>
    <w:rsid w:val="00493607"/>
    <w:rsid w:val="004937D6"/>
    <w:rsid w:val="00493BAC"/>
    <w:rsid w:val="00493FF0"/>
    <w:rsid w:val="004941DD"/>
    <w:rsid w:val="004942B2"/>
    <w:rsid w:val="0049446A"/>
    <w:rsid w:val="0049472E"/>
    <w:rsid w:val="0049492C"/>
    <w:rsid w:val="00494C62"/>
    <w:rsid w:val="00494D09"/>
    <w:rsid w:val="00494D2B"/>
    <w:rsid w:val="00494D31"/>
    <w:rsid w:val="004951BE"/>
    <w:rsid w:val="0049567F"/>
    <w:rsid w:val="00495841"/>
    <w:rsid w:val="004961A3"/>
    <w:rsid w:val="00496655"/>
    <w:rsid w:val="00496B1C"/>
    <w:rsid w:val="00496D1C"/>
    <w:rsid w:val="0049725B"/>
    <w:rsid w:val="004972ED"/>
    <w:rsid w:val="00497381"/>
    <w:rsid w:val="0049760A"/>
    <w:rsid w:val="004976D8"/>
    <w:rsid w:val="0049778F"/>
    <w:rsid w:val="00497DF6"/>
    <w:rsid w:val="004A0147"/>
    <w:rsid w:val="004A032A"/>
    <w:rsid w:val="004A03E7"/>
    <w:rsid w:val="004A07F5"/>
    <w:rsid w:val="004A0943"/>
    <w:rsid w:val="004A0DBA"/>
    <w:rsid w:val="004A0DDE"/>
    <w:rsid w:val="004A0FC3"/>
    <w:rsid w:val="004A16BC"/>
    <w:rsid w:val="004A1A02"/>
    <w:rsid w:val="004A1B7F"/>
    <w:rsid w:val="004A1C81"/>
    <w:rsid w:val="004A1D4B"/>
    <w:rsid w:val="004A2178"/>
    <w:rsid w:val="004A25DD"/>
    <w:rsid w:val="004A2629"/>
    <w:rsid w:val="004A28A5"/>
    <w:rsid w:val="004A2C8B"/>
    <w:rsid w:val="004A2CE8"/>
    <w:rsid w:val="004A2D83"/>
    <w:rsid w:val="004A2E91"/>
    <w:rsid w:val="004A3487"/>
    <w:rsid w:val="004A34FD"/>
    <w:rsid w:val="004A3821"/>
    <w:rsid w:val="004A3D05"/>
    <w:rsid w:val="004A40BE"/>
    <w:rsid w:val="004A4317"/>
    <w:rsid w:val="004A447F"/>
    <w:rsid w:val="004A46D6"/>
    <w:rsid w:val="004A492A"/>
    <w:rsid w:val="004A4A26"/>
    <w:rsid w:val="004A5054"/>
    <w:rsid w:val="004A517D"/>
    <w:rsid w:val="004A5298"/>
    <w:rsid w:val="004A5953"/>
    <w:rsid w:val="004A5A6F"/>
    <w:rsid w:val="004A5AA1"/>
    <w:rsid w:val="004A5BF4"/>
    <w:rsid w:val="004A5D6E"/>
    <w:rsid w:val="004A619B"/>
    <w:rsid w:val="004A6628"/>
    <w:rsid w:val="004A66F0"/>
    <w:rsid w:val="004A6F9E"/>
    <w:rsid w:val="004A6FF0"/>
    <w:rsid w:val="004A71FC"/>
    <w:rsid w:val="004A78B3"/>
    <w:rsid w:val="004A7BBF"/>
    <w:rsid w:val="004B00C5"/>
    <w:rsid w:val="004B0679"/>
    <w:rsid w:val="004B09FF"/>
    <w:rsid w:val="004B0E97"/>
    <w:rsid w:val="004B10CB"/>
    <w:rsid w:val="004B10FD"/>
    <w:rsid w:val="004B1252"/>
    <w:rsid w:val="004B129F"/>
    <w:rsid w:val="004B165F"/>
    <w:rsid w:val="004B1CBB"/>
    <w:rsid w:val="004B1CD7"/>
    <w:rsid w:val="004B1D85"/>
    <w:rsid w:val="004B1E0F"/>
    <w:rsid w:val="004B1E2F"/>
    <w:rsid w:val="004B2182"/>
    <w:rsid w:val="004B2800"/>
    <w:rsid w:val="004B2A3A"/>
    <w:rsid w:val="004B33DA"/>
    <w:rsid w:val="004B33EE"/>
    <w:rsid w:val="004B37BB"/>
    <w:rsid w:val="004B3EEE"/>
    <w:rsid w:val="004B3FCC"/>
    <w:rsid w:val="004B4363"/>
    <w:rsid w:val="004B47A8"/>
    <w:rsid w:val="004B4A05"/>
    <w:rsid w:val="004B4A94"/>
    <w:rsid w:val="004B4CC8"/>
    <w:rsid w:val="004B4F84"/>
    <w:rsid w:val="004B51E8"/>
    <w:rsid w:val="004B587C"/>
    <w:rsid w:val="004B5951"/>
    <w:rsid w:val="004B5B67"/>
    <w:rsid w:val="004B5B72"/>
    <w:rsid w:val="004B5C15"/>
    <w:rsid w:val="004B5E31"/>
    <w:rsid w:val="004B5E9B"/>
    <w:rsid w:val="004B5EFF"/>
    <w:rsid w:val="004B6003"/>
    <w:rsid w:val="004B600D"/>
    <w:rsid w:val="004B629F"/>
    <w:rsid w:val="004B6304"/>
    <w:rsid w:val="004B6617"/>
    <w:rsid w:val="004B6B23"/>
    <w:rsid w:val="004B6BC9"/>
    <w:rsid w:val="004B6D55"/>
    <w:rsid w:val="004B6E14"/>
    <w:rsid w:val="004B6E83"/>
    <w:rsid w:val="004B6F19"/>
    <w:rsid w:val="004B707F"/>
    <w:rsid w:val="004B7264"/>
    <w:rsid w:val="004B733F"/>
    <w:rsid w:val="004B74E0"/>
    <w:rsid w:val="004B7593"/>
    <w:rsid w:val="004B77C9"/>
    <w:rsid w:val="004B78B3"/>
    <w:rsid w:val="004B7D96"/>
    <w:rsid w:val="004C02CD"/>
    <w:rsid w:val="004C05F4"/>
    <w:rsid w:val="004C0724"/>
    <w:rsid w:val="004C0741"/>
    <w:rsid w:val="004C12C5"/>
    <w:rsid w:val="004C1415"/>
    <w:rsid w:val="004C1BF1"/>
    <w:rsid w:val="004C1F1A"/>
    <w:rsid w:val="004C21F4"/>
    <w:rsid w:val="004C29C8"/>
    <w:rsid w:val="004C3104"/>
    <w:rsid w:val="004C3496"/>
    <w:rsid w:val="004C37B0"/>
    <w:rsid w:val="004C3A08"/>
    <w:rsid w:val="004C4614"/>
    <w:rsid w:val="004C5883"/>
    <w:rsid w:val="004C59EC"/>
    <w:rsid w:val="004C5C61"/>
    <w:rsid w:val="004C5C78"/>
    <w:rsid w:val="004C6356"/>
    <w:rsid w:val="004C64A5"/>
    <w:rsid w:val="004C6686"/>
    <w:rsid w:val="004C668B"/>
    <w:rsid w:val="004C6934"/>
    <w:rsid w:val="004C69B0"/>
    <w:rsid w:val="004C6A34"/>
    <w:rsid w:val="004C6B11"/>
    <w:rsid w:val="004C6E8D"/>
    <w:rsid w:val="004C6F8E"/>
    <w:rsid w:val="004C72B2"/>
    <w:rsid w:val="004C74CE"/>
    <w:rsid w:val="004C7CEC"/>
    <w:rsid w:val="004D0037"/>
    <w:rsid w:val="004D0397"/>
    <w:rsid w:val="004D06DA"/>
    <w:rsid w:val="004D07F4"/>
    <w:rsid w:val="004D101C"/>
    <w:rsid w:val="004D10D5"/>
    <w:rsid w:val="004D1146"/>
    <w:rsid w:val="004D1348"/>
    <w:rsid w:val="004D1A1E"/>
    <w:rsid w:val="004D1D33"/>
    <w:rsid w:val="004D1D39"/>
    <w:rsid w:val="004D25C8"/>
    <w:rsid w:val="004D27EF"/>
    <w:rsid w:val="004D2F98"/>
    <w:rsid w:val="004D2FB9"/>
    <w:rsid w:val="004D36AC"/>
    <w:rsid w:val="004D3731"/>
    <w:rsid w:val="004D3BED"/>
    <w:rsid w:val="004D4260"/>
    <w:rsid w:val="004D43E4"/>
    <w:rsid w:val="004D4AF0"/>
    <w:rsid w:val="004D4B25"/>
    <w:rsid w:val="004D4D87"/>
    <w:rsid w:val="004D4E3E"/>
    <w:rsid w:val="004D5270"/>
    <w:rsid w:val="004D52B7"/>
    <w:rsid w:val="004D544C"/>
    <w:rsid w:val="004D625E"/>
    <w:rsid w:val="004D67BA"/>
    <w:rsid w:val="004D6812"/>
    <w:rsid w:val="004D6834"/>
    <w:rsid w:val="004D6A64"/>
    <w:rsid w:val="004D6EC9"/>
    <w:rsid w:val="004D7465"/>
    <w:rsid w:val="004D77E3"/>
    <w:rsid w:val="004D7924"/>
    <w:rsid w:val="004D7A20"/>
    <w:rsid w:val="004E0025"/>
    <w:rsid w:val="004E081A"/>
    <w:rsid w:val="004E09A5"/>
    <w:rsid w:val="004E0E27"/>
    <w:rsid w:val="004E0F74"/>
    <w:rsid w:val="004E11A2"/>
    <w:rsid w:val="004E11A7"/>
    <w:rsid w:val="004E135E"/>
    <w:rsid w:val="004E1CEC"/>
    <w:rsid w:val="004E1E32"/>
    <w:rsid w:val="004E1E70"/>
    <w:rsid w:val="004E20AF"/>
    <w:rsid w:val="004E2315"/>
    <w:rsid w:val="004E239B"/>
    <w:rsid w:val="004E24EA"/>
    <w:rsid w:val="004E296F"/>
    <w:rsid w:val="004E2A51"/>
    <w:rsid w:val="004E2CD0"/>
    <w:rsid w:val="004E2DA6"/>
    <w:rsid w:val="004E2F1B"/>
    <w:rsid w:val="004E2F3F"/>
    <w:rsid w:val="004E30FE"/>
    <w:rsid w:val="004E3229"/>
    <w:rsid w:val="004E38AF"/>
    <w:rsid w:val="004E3AC8"/>
    <w:rsid w:val="004E3B14"/>
    <w:rsid w:val="004E3CEB"/>
    <w:rsid w:val="004E3F17"/>
    <w:rsid w:val="004E3F80"/>
    <w:rsid w:val="004E3FE1"/>
    <w:rsid w:val="004E4ADA"/>
    <w:rsid w:val="004E4DDE"/>
    <w:rsid w:val="004E5238"/>
    <w:rsid w:val="004E557A"/>
    <w:rsid w:val="004E570C"/>
    <w:rsid w:val="004E5DE9"/>
    <w:rsid w:val="004E5F57"/>
    <w:rsid w:val="004E6513"/>
    <w:rsid w:val="004E6523"/>
    <w:rsid w:val="004E6570"/>
    <w:rsid w:val="004E663C"/>
    <w:rsid w:val="004E6CB3"/>
    <w:rsid w:val="004E6CBF"/>
    <w:rsid w:val="004E6F5D"/>
    <w:rsid w:val="004E7050"/>
    <w:rsid w:val="004E740A"/>
    <w:rsid w:val="004E79B5"/>
    <w:rsid w:val="004E7A81"/>
    <w:rsid w:val="004E7ED2"/>
    <w:rsid w:val="004EB448"/>
    <w:rsid w:val="004F012B"/>
    <w:rsid w:val="004F0319"/>
    <w:rsid w:val="004F0354"/>
    <w:rsid w:val="004F0824"/>
    <w:rsid w:val="004F083F"/>
    <w:rsid w:val="004F0AB9"/>
    <w:rsid w:val="004F1325"/>
    <w:rsid w:val="004F1439"/>
    <w:rsid w:val="004F15BB"/>
    <w:rsid w:val="004F1665"/>
    <w:rsid w:val="004F18CB"/>
    <w:rsid w:val="004F1B26"/>
    <w:rsid w:val="004F2159"/>
    <w:rsid w:val="004F22B1"/>
    <w:rsid w:val="004F25C6"/>
    <w:rsid w:val="004F2715"/>
    <w:rsid w:val="004F2A1C"/>
    <w:rsid w:val="004F2B63"/>
    <w:rsid w:val="004F3312"/>
    <w:rsid w:val="004F35BA"/>
    <w:rsid w:val="004F3AD0"/>
    <w:rsid w:val="004F4434"/>
    <w:rsid w:val="004F4573"/>
    <w:rsid w:val="004F468E"/>
    <w:rsid w:val="004F4A5E"/>
    <w:rsid w:val="004F4A9F"/>
    <w:rsid w:val="004F4AB7"/>
    <w:rsid w:val="004F4B17"/>
    <w:rsid w:val="004F4B50"/>
    <w:rsid w:val="004F4D72"/>
    <w:rsid w:val="004F4F70"/>
    <w:rsid w:val="004F4FC7"/>
    <w:rsid w:val="004F51BB"/>
    <w:rsid w:val="004F535C"/>
    <w:rsid w:val="004F5444"/>
    <w:rsid w:val="004F56B3"/>
    <w:rsid w:val="004F5A43"/>
    <w:rsid w:val="004F5B26"/>
    <w:rsid w:val="004F623B"/>
    <w:rsid w:val="004F670F"/>
    <w:rsid w:val="004F6746"/>
    <w:rsid w:val="004F6B5D"/>
    <w:rsid w:val="004F6D60"/>
    <w:rsid w:val="004F6D7C"/>
    <w:rsid w:val="004F6E53"/>
    <w:rsid w:val="004F6EE0"/>
    <w:rsid w:val="004F6FDE"/>
    <w:rsid w:val="004F7313"/>
    <w:rsid w:val="004F749A"/>
    <w:rsid w:val="004F74C3"/>
    <w:rsid w:val="004F78B3"/>
    <w:rsid w:val="004F7C11"/>
    <w:rsid w:val="004F7EDD"/>
    <w:rsid w:val="004F7F92"/>
    <w:rsid w:val="00500320"/>
    <w:rsid w:val="0050046A"/>
    <w:rsid w:val="00500886"/>
    <w:rsid w:val="00500942"/>
    <w:rsid w:val="00500E51"/>
    <w:rsid w:val="00500FA3"/>
    <w:rsid w:val="005010F4"/>
    <w:rsid w:val="0050111F"/>
    <w:rsid w:val="00501330"/>
    <w:rsid w:val="005013A4"/>
    <w:rsid w:val="00501562"/>
    <w:rsid w:val="00501E3F"/>
    <w:rsid w:val="00501FBE"/>
    <w:rsid w:val="00502603"/>
    <w:rsid w:val="0050269B"/>
    <w:rsid w:val="00502743"/>
    <w:rsid w:val="005027BC"/>
    <w:rsid w:val="00502B26"/>
    <w:rsid w:val="00502B8B"/>
    <w:rsid w:val="00502DA4"/>
    <w:rsid w:val="00503188"/>
    <w:rsid w:val="00503226"/>
    <w:rsid w:val="00503552"/>
    <w:rsid w:val="00503889"/>
    <w:rsid w:val="005039DC"/>
    <w:rsid w:val="00503F0D"/>
    <w:rsid w:val="00503FF4"/>
    <w:rsid w:val="00504DB0"/>
    <w:rsid w:val="0050539E"/>
    <w:rsid w:val="00505697"/>
    <w:rsid w:val="00505CBA"/>
    <w:rsid w:val="00505E7A"/>
    <w:rsid w:val="00505F11"/>
    <w:rsid w:val="00505FC2"/>
    <w:rsid w:val="005061B7"/>
    <w:rsid w:val="005062BB"/>
    <w:rsid w:val="005063BF"/>
    <w:rsid w:val="00506416"/>
    <w:rsid w:val="00506ADC"/>
    <w:rsid w:val="00506AFE"/>
    <w:rsid w:val="00506BD1"/>
    <w:rsid w:val="00506F44"/>
    <w:rsid w:val="005078A9"/>
    <w:rsid w:val="00507BB8"/>
    <w:rsid w:val="00507EC8"/>
    <w:rsid w:val="0051014C"/>
    <w:rsid w:val="005105A8"/>
    <w:rsid w:val="005105A9"/>
    <w:rsid w:val="00510DB4"/>
    <w:rsid w:val="00510E16"/>
    <w:rsid w:val="00511463"/>
    <w:rsid w:val="005114B6"/>
    <w:rsid w:val="00511524"/>
    <w:rsid w:val="00511BC1"/>
    <w:rsid w:val="0051208A"/>
    <w:rsid w:val="00512A33"/>
    <w:rsid w:val="00512A53"/>
    <w:rsid w:val="00512C77"/>
    <w:rsid w:val="0051327E"/>
    <w:rsid w:val="00513729"/>
    <w:rsid w:val="0051391D"/>
    <w:rsid w:val="0051416F"/>
    <w:rsid w:val="00514BF0"/>
    <w:rsid w:val="00514BF5"/>
    <w:rsid w:val="00514C3A"/>
    <w:rsid w:val="00515038"/>
    <w:rsid w:val="00515278"/>
    <w:rsid w:val="00515464"/>
    <w:rsid w:val="00515C27"/>
    <w:rsid w:val="00515F23"/>
    <w:rsid w:val="005164D7"/>
    <w:rsid w:val="00516970"/>
    <w:rsid w:val="00516A2E"/>
    <w:rsid w:val="0051725E"/>
    <w:rsid w:val="0051728B"/>
    <w:rsid w:val="005172DE"/>
    <w:rsid w:val="00517357"/>
    <w:rsid w:val="00517E51"/>
    <w:rsid w:val="00517F29"/>
    <w:rsid w:val="0052010B"/>
    <w:rsid w:val="0052058C"/>
    <w:rsid w:val="0052061D"/>
    <w:rsid w:val="0052065E"/>
    <w:rsid w:val="005207E5"/>
    <w:rsid w:val="00520FE0"/>
    <w:rsid w:val="0052118B"/>
    <w:rsid w:val="005211D1"/>
    <w:rsid w:val="00521265"/>
    <w:rsid w:val="00521CC2"/>
    <w:rsid w:val="00521EFF"/>
    <w:rsid w:val="00522570"/>
    <w:rsid w:val="00522DA6"/>
    <w:rsid w:val="0052308A"/>
    <w:rsid w:val="00523355"/>
    <w:rsid w:val="00523530"/>
    <w:rsid w:val="0052377F"/>
    <w:rsid w:val="00523896"/>
    <w:rsid w:val="00523DA0"/>
    <w:rsid w:val="00523EB2"/>
    <w:rsid w:val="00524271"/>
    <w:rsid w:val="005242B6"/>
    <w:rsid w:val="0052455F"/>
    <w:rsid w:val="00524653"/>
    <w:rsid w:val="00524B6B"/>
    <w:rsid w:val="00524EAE"/>
    <w:rsid w:val="00525041"/>
    <w:rsid w:val="00525131"/>
    <w:rsid w:val="005257BA"/>
    <w:rsid w:val="00525A8E"/>
    <w:rsid w:val="00525B42"/>
    <w:rsid w:val="00525BC0"/>
    <w:rsid w:val="00525CA7"/>
    <w:rsid w:val="00525D83"/>
    <w:rsid w:val="0052689A"/>
    <w:rsid w:val="00526DFB"/>
    <w:rsid w:val="00527440"/>
    <w:rsid w:val="0052788E"/>
    <w:rsid w:val="005278E6"/>
    <w:rsid w:val="00527D7C"/>
    <w:rsid w:val="00527D89"/>
    <w:rsid w:val="00527EC7"/>
    <w:rsid w:val="005303D0"/>
    <w:rsid w:val="00530446"/>
    <w:rsid w:val="00530B64"/>
    <w:rsid w:val="00530F5F"/>
    <w:rsid w:val="00531223"/>
    <w:rsid w:val="00531250"/>
    <w:rsid w:val="005317A7"/>
    <w:rsid w:val="00531980"/>
    <w:rsid w:val="005319A0"/>
    <w:rsid w:val="00531A3B"/>
    <w:rsid w:val="00531A62"/>
    <w:rsid w:val="0053219A"/>
    <w:rsid w:val="00532324"/>
    <w:rsid w:val="00532408"/>
    <w:rsid w:val="005324B0"/>
    <w:rsid w:val="00532843"/>
    <w:rsid w:val="00532B19"/>
    <w:rsid w:val="00532BEA"/>
    <w:rsid w:val="00532CFE"/>
    <w:rsid w:val="00532E9F"/>
    <w:rsid w:val="005338D7"/>
    <w:rsid w:val="005339FA"/>
    <w:rsid w:val="00533AA7"/>
    <w:rsid w:val="00533B13"/>
    <w:rsid w:val="00533B9C"/>
    <w:rsid w:val="00533D72"/>
    <w:rsid w:val="00533F75"/>
    <w:rsid w:val="005340FE"/>
    <w:rsid w:val="0053481D"/>
    <w:rsid w:val="005348B4"/>
    <w:rsid w:val="00534A9A"/>
    <w:rsid w:val="00534B4A"/>
    <w:rsid w:val="00534E7C"/>
    <w:rsid w:val="00535105"/>
    <w:rsid w:val="00535263"/>
    <w:rsid w:val="00535AC2"/>
    <w:rsid w:val="00535D46"/>
    <w:rsid w:val="005360CC"/>
    <w:rsid w:val="00536171"/>
    <w:rsid w:val="00536656"/>
    <w:rsid w:val="00536748"/>
    <w:rsid w:val="0053680E"/>
    <w:rsid w:val="00536B3B"/>
    <w:rsid w:val="00536C55"/>
    <w:rsid w:val="00536E0E"/>
    <w:rsid w:val="00537FDE"/>
    <w:rsid w:val="00540398"/>
    <w:rsid w:val="005403AB"/>
    <w:rsid w:val="00540775"/>
    <w:rsid w:val="00540ACE"/>
    <w:rsid w:val="00540E9C"/>
    <w:rsid w:val="00541468"/>
    <w:rsid w:val="00541572"/>
    <w:rsid w:val="00541575"/>
    <w:rsid w:val="0054177E"/>
    <w:rsid w:val="00541934"/>
    <w:rsid w:val="0054197D"/>
    <w:rsid w:val="00541C0E"/>
    <w:rsid w:val="00541E1E"/>
    <w:rsid w:val="00541E2A"/>
    <w:rsid w:val="00541EE1"/>
    <w:rsid w:val="00542FA0"/>
    <w:rsid w:val="005431F9"/>
    <w:rsid w:val="0054323A"/>
    <w:rsid w:val="0054347C"/>
    <w:rsid w:val="005434ED"/>
    <w:rsid w:val="005435F9"/>
    <w:rsid w:val="00543612"/>
    <w:rsid w:val="00543A57"/>
    <w:rsid w:val="00543BDE"/>
    <w:rsid w:val="00543C5C"/>
    <w:rsid w:val="005440B5"/>
    <w:rsid w:val="0054434B"/>
    <w:rsid w:val="005443CD"/>
    <w:rsid w:val="005446DB"/>
    <w:rsid w:val="0054478C"/>
    <w:rsid w:val="005448DE"/>
    <w:rsid w:val="00544B36"/>
    <w:rsid w:val="00544D87"/>
    <w:rsid w:val="00544DD3"/>
    <w:rsid w:val="00544ED9"/>
    <w:rsid w:val="00545123"/>
    <w:rsid w:val="0054512A"/>
    <w:rsid w:val="005453E8"/>
    <w:rsid w:val="005463FF"/>
    <w:rsid w:val="00546475"/>
    <w:rsid w:val="00546BE2"/>
    <w:rsid w:val="00546BEC"/>
    <w:rsid w:val="00546C24"/>
    <w:rsid w:val="00546CCA"/>
    <w:rsid w:val="00546D9B"/>
    <w:rsid w:val="00546FD3"/>
    <w:rsid w:val="00547013"/>
    <w:rsid w:val="00547080"/>
    <w:rsid w:val="00547109"/>
    <w:rsid w:val="005479F8"/>
    <w:rsid w:val="00547B79"/>
    <w:rsid w:val="00547EB5"/>
    <w:rsid w:val="00547EC5"/>
    <w:rsid w:val="0055076A"/>
    <w:rsid w:val="00550A5A"/>
    <w:rsid w:val="00550D6E"/>
    <w:rsid w:val="00550F2D"/>
    <w:rsid w:val="0055100A"/>
    <w:rsid w:val="005510B8"/>
    <w:rsid w:val="0055117B"/>
    <w:rsid w:val="00551378"/>
    <w:rsid w:val="00551649"/>
    <w:rsid w:val="005517F8"/>
    <w:rsid w:val="00551988"/>
    <w:rsid w:val="005519F5"/>
    <w:rsid w:val="00551E4E"/>
    <w:rsid w:val="0055268D"/>
    <w:rsid w:val="0055298B"/>
    <w:rsid w:val="00552B08"/>
    <w:rsid w:val="005534B0"/>
    <w:rsid w:val="00553640"/>
    <w:rsid w:val="00553B5F"/>
    <w:rsid w:val="00553C96"/>
    <w:rsid w:val="00553D7E"/>
    <w:rsid w:val="00553E33"/>
    <w:rsid w:val="00553E5B"/>
    <w:rsid w:val="005540B5"/>
    <w:rsid w:val="005541A0"/>
    <w:rsid w:val="005541B4"/>
    <w:rsid w:val="00554812"/>
    <w:rsid w:val="00554B1C"/>
    <w:rsid w:val="00554F79"/>
    <w:rsid w:val="00555202"/>
    <w:rsid w:val="00555249"/>
    <w:rsid w:val="005552F8"/>
    <w:rsid w:val="00555715"/>
    <w:rsid w:val="0055607F"/>
    <w:rsid w:val="005561BD"/>
    <w:rsid w:val="00556269"/>
    <w:rsid w:val="00556659"/>
    <w:rsid w:val="0055695A"/>
    <w:rsid w:val="0055697E"/>
    <w:rsid w:val="00556999"/>
    <w:rsid w:val="005569F7"/>
    <w:rsid w:val="00556B31"/>
    <w:rsid w:val="00557128"/>
    <w:rsid w:val="0055719D"/>
    <w:rsid w:val="0055729E"/>
    <w:rsid w:val="005572D5"/>
    <w:rsid w:val="005572F4"/>
    <w:rsid w:val="00557738"/>
    <w:rsid w:val="005577EB"/>
    <w:rsid w:val="00557A51"/>
    <w:rsid w:val="00557BFE"/>
    <w:rsid w:val="00557EB0"/>
    <w:rsid w:val="00557F87"/>
    <w:rsid w:val="005603E2"/>
    <w:rsid w:val="005606D8"/>
    <w:rsid w:val="00560916"/>
    <w:rsid w:val="00560AD3"/>
    <w:rsid w:val="00560AE6"/>
    <w:rsid w:val="0056105E"/>
    <w:rsid w:val="005612F4"/>
    <w:rsid w:val="005613A9"/>
    <w:rsid w:val="005617A6"/>
    <w:rsid w:val="00561BF3"/>
    <w:rsid w:val="00561CF7"/>
    <w:rsid w:val="00562235"/>
    <w:rsid w:val="00562760"/>
    <w:rsid w:val="00562818"/>
    <w:rsid w:val="00563BA4"/>
    <w:rsid w:val="00563CA3"/>
    <w:rsid w:val="005644AD"/>
    <w:rsid w:val="00564875"/>
    <w:rsid w:val="00564964"/>
    <w:rsid w:val="00564E05"/>
    <w:rsid w:val="00564E2C"/>
    <w:rsid w:val="00564F93"/>
    <w:rsid w:val="00564FB4"/>
    <w:rsid w:val="005651B5"/>
    <w:rsid w:val="005652DE"/>
    <w:rsid w:val="0056536A"/>
    <w:rsid w:val="00565485"/>
    <w:rsid w:val="00565492"/>
    <w:rsid w:val="005655C8"/>
    <w:rsid w:val="00565827"/>
    <w:rsid w:val="00565FDD"/>
    <w:rsid w:val="0056621E"/>
    <w:rsid w:val="00566313"/>
    <w:rsid w:val="0056636E"/>
    <w:rsid w:val="0056671F"/>
    <w:rsid w:val="0056697F"/>
    <w:rsid w:val="0056698A"/>
    <w:rsid w:val="00566D03"/>
    <w:rsid w:val="00566D6E"/>
    <w:rsid w:val="00566DB0"/>
    <w:rsid w:val="00566EF5"/>
    <w:rsid w:val="0056707F"/>
    <w:rsid w:val="005672A9"/>
    <w:rsid w:val="005673C9"/>
    <w:rsid w:val="00567502"/>
    <w:rsid w:val="005679C9"/>
    <w:rsid w:val="00567A88"/>
    <w:rsid w:val="00567D90"/>
    <w:rsid w:val="00567F2A"/>
    <w:rsid w:val="00567FD3"/>
    <w:rsid w:val="00570918"/>
    <w:rsid w:val="00570C26"/>
    <w:rsid w:val="00570C95"/>
    <w:rsid w:val="00571056"/>
    <w:rsid w:val="00571119"/>
    <w:rsid w:val="0057115A"/>
    <w:rsid w:val="00571334"/>
    <w:rsid w:val="00571447"/>
    <w:rsid w:val="00571BE7"/>
    <w:rsid w:val="00571E53"/>
    <w:rsid w:val="00571E91"/>
    <w:rsid w:val="0057200E"/>
    <w:rsid w:val="0057212A"/>
    <w:rsid w:val="0057225B"/>
    <w:rsid w:val="005722D4"/>
    <w:rsid w:val="00572645"/>
    <w:rsid w:val="00573190"/>
    <w:rsid w:val="005733A2"/>
    <w:rsid w:val="005736E8"/>
    <w:rsid w:val="0057398B"/>
    <w:rsid w:val="00574923"/>
    <w:rsid w:val="00574B7B"/>
    <w:rsid w:val="00574BA3"/>
    <w:rsid w:val="00575392"/>
    <w:rsid w:val="00575E85"/>
    <w:rsid w:val="00575EDC"/>
    <w:rsid w:val="005760D6"/>
    <w:rsid w:val="00576213"/>
    <w:rsid w:val="00576253"/>
    <w:rsid w:val="0057630B"/>
    <w:rsid w:val="00576499"/>
    <w:rsid w:val="0057651C"/>
    <w:rsid w:val="005768D3"/>
    <w:rsid w:val="005769D5"/>
    <w:rsid w:val="00576A80"/>
    <w:rsid w:val="00576AD2"/>
    <w:rsid w:val="00576B5B"/>
    <w:rsid w:val="00576BCD"/>
    <w:rsid w:val="005777AC"/>
    <w:rsid w:val="00577A95"/>
    <w:rsid w:val="00577CA0"/>
    <w:rsid w:val="00577CC5"/>
    <w:rsid w:val="00577FA4"/>
    <w:rsid w:val="005801AC"/>
    <w:rsid w:val="00580212"/>
    <w:rsid w:val="0058083F"/>
    <w:rsid w:val="005808FA"/>
    <w:rsid w:val="00580ABA"/>
    <w:rsid w:val="0058144D"/>
    <w:rsid w:val="00581737"/>
    <w:rsid w:val="00582106"/>
    <w:rsid w:val="00582537"/>
    <w:rsid w:val="0058264B"/>
    <w:rsid w:val="005826FE"/>
    <w:rsid w:val="00582AFA"/>
    <w:rsid w:val="00582EB7"/>
    <w:rsid w:val="00582EE4"/>
    <w:rsid w:val="00583094"/>
    <w:rsid w:val="0058315E"/>
    <w:rsid w:val="005833C8"/>
    <w:rsid w:val="00583805"/>
    <w:rsid w:val="0058389A"/>
    <w:rsid w:val="005838C7"/>
    <w:rsid w:val="00583FF9"/>
    <w:rsid w:val="005842DA"/>
    <w:rsid w:val="00584633"/>
    <w:rsid w:val="00584B1F"/>
    <w:rsid w:val="00584D4B"/>
    <w:rsid w:val="005850DB"/>
    <w:rsid w:val="005851AB"/>
    <w:rsid w:val="005852F6"/>
    <w:rsid w:val="005853B7"/>
    <w:rsid w:val="005859D5"/>
    <w:rsid w:val="00585B89"/>
    <w:rsid w:val="00585FE5"/>
    <w:rsid w:val="005862F2"/>
    <w:rsid w:val="00586479"/>
    <w:rsid w:val="00586D4F"/>
    <w:rsid w:val="00586DE8"/>
    <w:rsid w:val="00587258"/>
    <w:rsid w:val="005878A1"/>
    <w:rsid w:val="00587B50"/>
    <w:rsid w:val="00587C61"/>
    <w:rsid w:val="00587E0F"/>
    <w:rsid w:val="005900DE"/>
    <w:rsid w:val="0059031F"/>
    <w:rsid w:val="005905D9"/>
    <w:rsid w:val="00590617"/>
    <w:rsid w:val="005908DD"/>
    <w:rsid w:val="0059093E"/>
    <w:rsid w:val="00590C9F"/>
    <w:rsid w:val="00590FD5"/>
    <w:rsid w:val="005910FE"/>
    <w:rsid w:val="0059117F"/>
    <w:rsid w:val="005916A6"/>
    <w:rsid w:val="00591B9D"/>
    <w:rsid w:val="00591E8C"/>
    <w:rsid w:val="00591F51"/>
    <w:rsid w:val="00592A19"/>
    <w:rsid w:val="00592A42"/>
    <w:rsid w:val="00592B01"/>
    <w:rsid w:val="00592B0A"/>
    <w:rsid w:val="00592C16"/>
    <w:rsid w:val="00592D96"/>
    <w:rsid w:val="00592E92"/>
    <w:rsid w:val="0059301C"/>
    <w:rsid w:val="00593075"/>
    <w:rsid w:val="00593197"/>
    <w:rsid w:val="005931A6"/>
    <w:rsid w:val="005932A7"/>
    <w:rsid w:val="00593370"/>
    <w:rsid w:val="00593441"/>
    <w:rsid w:val="005935C9"/>
    <w:rsid w:val="005937AA"/>
    <w:rsid w:val="005939C8"/>
    <w:rsid w:val="0059426C"/>
    <w:rsid w:val="005946CD"/>
    <w:rsid w:val="00594766"/>
    <w:rsid w:val="005949F5"/>
    <w:rsid w:val="00594DD3"/>
    <w:rsid w:val="00594E1C"/>
    <w:rsid w:val="00594FCC"/>
    <w:rsid w:val="0059581D"/>
    <w:rsid w:val="00595A3B"/>
    <w:rsid w:val="00595B73"/>
    <w:rsid w:val="00595F9B"/>
    <w:rsid w:val="005961FE"/>
    <w:rsid w:val="00596515"/>
    <w:rsid w:val="0059658D"/>
    <w:rsid w:val="00596891"/>
    <w:rsid w:val="00596AB0"/>
    <w:rsid w:val="00596ADE"/>
    <w:rsid w:val="00596CF2"/>
    <w:rsid w:val="00596F01"/>
    <w:rsid w:val="0059747C"/>
    <w:rsid w:val="005976C6"/>
    <w:rsid w:val="005978EC"/>
    <w:rsid w:val="00597A21"/>
    <w:rsid w:val="00597A5F"/>
    <w:rsid w:val="00597AE4"/>
    <w:rsid w:val="00597B90"/>
    <w:rsid w:val="00597C64"/>
    <w:rsid w:val="00597E17"/>
    <w:rsid w:val="00597E95"/>
    <w:rsid w:val="00597EE2"/>
    <w:rsid w:val="005A043A"/>
    <w:rsid w:val="005A07B4"/>
    <w:rsid w:val="005A0845"/>
    <w:rsid w:val="005A08A5"/>
    <w:rsid w:val="005A0C2E"/>
    <w:rsid w:val="005A0C67"/>
    <w:rsid w:val="005A0F95"/>
    <w:rsid w:val="005A1167"/>
    <w:rsid w:val="005A124C"/>
    <w:rsid w:val="005A1519"/>
    <w:rsid w:val="005A167A"/>
    <w:rsid w:val="005A180D"/>
    <w:rsid w:val="005A213C"/>
    <w:rsid w:val="005A2458"/>
    <w:rsid w:val="005A2601"/>
    <w:rsid w:val="005A2BEC"/>
    <w:rsid w:val="005A2C99"/>
    <w:rsid w:val="005A2FB1"/>
    <w:rsid w:val="005A3129"/>
    <w:rsid w:val="005A32BB"/>
    <w:rsid w:val="005A32C5"/>
    <w:rsid w:val="005A3B2D"/>
    <w:rsid w:val="005A3C82"/>
    <w:rsid w:val="005A3D7E"/>
    <w:rsid w:val="005A3DA4"/>
    <w:rsid w:val="005A4182"/>
    <w:rsid w:val="005A446A"/>
    <w:rsid w:val="005A47A2"/>
    <w:rsid w:val="005A4847"/>
    <w:rsid w:val="005A4A45"/>
    <w:rsid w:val="005A4FBC"/>
    <w:rsid w:val="005A51AE"/>
    <w:rsid w:val="005A53FB"/>
    <w:rsid w:val="005A5A72"/>
    <w:rsid w:val="005A5B6F"/>
    <w:rsid w:val="005A5BD8"/>
    <w:rsid w:val="005A5ED3"/>
    <w:rsid w:val="005A5F60"/>
    <w:rsid w:val="005A5FA4"/>
    <w:rsid w:val="005A6129"/>
    <w:rsid w:val="005A62D8"/>
    <w:rsid w:val="005A63BB"/>
    <w:rsid w:val="005A64AD"/>
    <w:rsid w:val="005A6548"/>
    <w:rsid w:val="005A6573"/>
    <w:rsid w:val="005A65F1"/>
    <w:rsid w:val="005A6CEB"/>
    <w:rsid w:val="005A6ECE"/>
    <w:rsid w:val="005A6FC1"/>
    <w:rsid w:val="005A7105"/>
    <w:rsid w:val="005A73A5"/>
    <w:rsid w:val="005A75EA"/>
    <w:rsid w:val="005A7629"/>
    <w:rsid w:val="005A7703"/>
    <w:rsid w:val="005A7760"/>
    <w:rsid w:val="005A7A2F"/>
    <w:rsid w:val="005A7A59"/>
    <w:rsid w:val="005A7E17"/>
    <w:rsid w:val="005A7EC0"/>
    <w:rsid w:val="005ACA7C"/>
    <w:rsid w:val="005B02AB"/>
    <w:rsid w:val="005B0374"/>
    <w:rsid w:val="005B08A6"/>
    <w:rsid w:val="005B0EE9"/>
    <w:rsid w:val="005B12B8"/>
    <w:rsid w:val="005B13B2"/>
    <w:rsid w:val="005B1723"/>
    <w:rsid w:val="005B1AA7"/>
    <w:rsid w:val="005B1C16"/>
    <w:rsid w:val="005B1EE5"/>
    <w:rsid w:val="005B2103"/>
    <w:rsid w:val="005B2288"/>
    <w:rsid w:val="005B22A7"/>
    <w:rsid w:val="005B284C"/>
    <w:rsid w:val="005B28BC"/>
    <w:rsid w:val="005B28CA"/>
    <w:rsid w:val="005B2CA1"/>
    <w:rsid w:val="005B310E"/>
    <w:rsid w:val="005B33AA"/>
    <w:rsid w:val="005B406B"/>
    <w:rsid w:val="005B406D"/>
    <w:rsid w:val="005B4363"/>
    <w:rsid w:val="005B4367"/>
    <w:rsid w:val="005B4493"/>
    <w:rsid w:val="005B473A"/>
    <w:rsid w:val="005B47C4"/>
    <w:rsid w:val="005B4C10"/>
    <w:rsid w:val="005B4F1D"/>
    <w:rsid w:val="005B5C96"/>
    <w:rsid w:val="005B5EBB"/>
    <w:rsid w:val="005B6187"/>
    <w:rsid w:val="005B6E78"/>
    <w:rsid w:val="005B6E92"/>
    <w:rsid w:val="005B6E93"/>
    <w:rsid w:val="005B730B"/>
    <w:rsid w:val="005B7BDA"/>
    <w:rsid w:val="005B7BF7"/>
    <w:rsid w:val="005B7DDB"/>
    <w:rsid w:val="005B7DEF"/>
    <w:rsid w:val="005B7E34"/>
    <w:rsid w:val="005C03CF"/>
    <w:rsid w:val="005C04A1"/>
    <w:rsid w:val="005C05D1"/>
    <w:rsid w:val="005C1395"/>
    <w:rsid w:val="005C14E0"/>
    <w:rsid w:val="005C1AE5"/>
    <w:rsid w:val="005C23A0"/>
    <w:rsid w:val="005C2724"/>
    <w:rsid w:val="005C302D"/>
    <w:rsid w:val="005C30B0"/>
    <w:rsid w:val="005C3BFC"/>
    <w:rsid w:val="005C3C58"/>
    <w:rsid w:val="005C44CB"/>
    <w:rsid w:val="005C4F9D"/>
    <w:rsid w:val="005C50BB"/>
    <w:rsid w:val="005C51C0"/>
    <w:rsid w:val="005C53F8"/>
    <w:rsid w:val="005C55E8"/>
    <w:rsid w:val="005C5A28"/>
    <w:rsid w:val="005C5B19"/>
    <w:rsid w:val="005C5D07"/>
    <w:rsid w:val="005C5DB2"/>
    <w:rsid w:val="005C5DC4"/>
    <w:rsid w:val="005C61BC"/>
    <w:rsid w:val="005C6EB2"/>
    <w:rsid w:val="005C70AF"/>
    <w:rsid w:val="005C738B"/>
    <w:rsid w:val="005C74CD"/>
    <w:rsid w:val="005C76D1"/>
    <w:rsid w:val="005C76EA"/>
    <w:rsid w:val="005C78A6"/>
    <w:rsid w:val="005C7BEF"/>
    <w:rsid w:val="005C7C1B"/>
    <w:rsid w:val="005C7DE0"/>
    <w:rsid w:val="005C7E05"/>
    <w:rsid w:val="005D040C"/>
    <w:rsid w:val="005D0504"/>
    <w:rsid w:val="005D07AC"/>
    <w:rsid w:val="005D09AA"/>
    <w:rsid w:val="005D0B32"/>
    <w:rsid w:val="005D0DE8"/>
    <w:rsid w:val="005D11AD"/>
    <w:rsid w:val="005D160E"/>
    <w:rsid w:val="005D1CBC"/>
    <w:rsid w:val="005D1D74"/>
    <w:rsid w:val="005D1DE3"/>
    <w:rsid w:val="005D1E84"/>
    <w:rsid w:val="005D20DD"/>
    <w:rsid w:val="005D21B2"/>
    <w:rsid w:val="005D21F9"/>
    <w:rsid w:val="005D2662"/>
    <w:rsid w:val="005D2EE6"/>
    <w:rsid w:val="005D2F08"/>
    <w:rsid w:val="005D31A5"/>
    <w:rsid w:val="005D3270"/>
    <w:rsid w:val="005D332F"/>
    <w:rsid w:val="005D38FE"/>
    <w:rsid w:val="005D3E10"/>
    <w:rsid w:val="005D3FAB"/>
    <w:rsid w:val="005D4123"/>
    <w:rsid w:val="005D43A8"/>
    <w:rsid w:val="005D4965"/>
    <w:rsid w:val="005D4BC7"/>
    <w:rsid w:val="005D525B"/>
    <w:rsid w:val="005D56A9"/>
    <w:rsid w:val="005D5B8B"/>
    <w:rsid w:val="005D6404"/>
    <w:rsid w:val="005D653A"/>
    <w:rsid w:val="005D657C"/>
    <w:rsid w:val="005D6AF6"/>
    <w:rsid w:val="005D7152"/>
    <w:rsid w:val="005D71B9"/>
    <w:rsid w:val="005D7558"/>
    <w:rsid w:val="005D755A"/>
    <w:rsid w:val="005D757F"/>
    <w:rsid w:val="005D7F5D"/>
    <w:rsid w:val="005E00DA"/>
    <w:rsid w:val="005E0264"/>
    <w:rsid w:val="005E032A"/>
    <w:rsid w:val="005E0C72"/>
    <w:rsid w:val="005E1298"/>
    <w:rsid w:val="005E1301"/>
    <w:rsid w:val="005E153C"/>
    <w:rsid w:val="005E1925"/>
    <w:rsid w:val="005E1A5D"/>
    <w:rsid w:val="005E1BAC"/>
    <w:rsid w:val="005E1BF8"/>
    <w:rsid w:val="005E21B5"/>
    <w:rsid w:val="005E2281"/>
    <w:rsid w:val="005E22FC"/>
    <w:rsid w:val="005E250B"/>
    <w:rsid w:val="005E25C1"/>
    <w:rsid w:val="005E2779"/>
    <w:rsid w:val="005E28C3"/>
    <w:rsid w:val="005E2A5A"/>
    <w:rsid w:val="005E2B17"/>
    <w:rsid w:val="005E2D9C"/>
    <w:rsid w:val="005E3036"/>
    <w:rsid w:val="005E3586"/>
    <w:rsid w:val="005E3603"/>
    <w:rsid w:val="005E37B6"/>
    <w:rsid w:val="005E3925"/>
    <w:rsid w:val="005E3D4C"/>
    <w:rsid w:val="005E4241"/>
    <w:rsid w:val="005E455F"/>
    <w:rsid w:val="005E4B4E"/>
    <w:rsid w:val="005E4D71"/>
    <w:rsid w:val="005E4DCE"/>
    <w:rsid w:val="005E4EA3"/>
    <w:rsid w:val="005E4EE1"/>
    <w:rsid w:val="005E4FC5"/>
    <w:rsid w:val="005E51CA"/>
    <w:rsid w:val="005E520F"/>
    <w:rsid w:val="005E53B0"/>
    <w:rsid w:val="005E53E2"/>
    <w:rsid w:val="005E5426"/>
    <w:rsid w:val="005E5535"/>
    <w:rsid w:val="005E56AE"/>
    <w:rsid w:val="005E5AF4"/>
    <w:rsid w:val="005E5BBD"/>
    <w:rsid w:val="005E6692"/>
    <w:rsid w:val="005E68AC"/>
    <w:rsid w:val="005E6B28"/>
    <w:rsid w:val="005E6BA9"/>
    <w:rsid w:val="005E7186"/>
    <w:rsid w:val="005E731B"/>
    <w:rsid w:val="005E7959"/>
    <w:rsid w:val="005E7B34"/>
    <w:rsid w:val="005E7D48"/>
    <w:rsid w:val="005E7ED8"/>
    <w:rsid w:val="005F001C"/>
    <w:rsid w:val="005F06AF"/>
    <w:rsid w:val="005F0867"/>
    <w:rsid w:val="005F0CA1"/>
    <w:rsid w:val="005F0CF6"/>
    <w:rsid w:val="005F0D40"/>
    <w:rsid w:val="005F0E20"/>
    <w:rsid w:val="005F0F6E"/>
    <w:rsid w:val="005F109F"/>
    <w:rsid w:val="005F12FD"/>
    <w:rsid w:val="005F16B4"/>
    <w:rsid w:val="005F1706"/>
    <w:rsid w:val="005F196C"/>
    <w:rsid w:val="005F1A0A"/>
    <w:rsid w:val="005F1BC0"/>
    <w:rsid w:val="005F1C1B"/>
    <w:rsid w:val="005F21D0"/>
    <w:rsid w:val="005F25CC"/>
    <w:rsid w:val="005F26FE"/>
    <w:rsid w:val="005F275F"/>
    <w:rsid w:val="005F2854"/>
    <w:rsid w:val="005F30F3"/>
    <w:rsid w:val="005F3200"/>
    <w:rsid w:val="005F32FD"/>
    <w:rsid w:val="005F33C8"/>
    <w:rsid w:val="005F35B7"/>
    <w:rsid w:val="005F35E1"/>
    <w:rsid w:val="005F3ACC"/>
    <w:rsid w:val="005F3BA2"/>
    <w:rsid w:val="005F3C21"/>
    <w:rsid w:val="005F476D"/>
    <w:rsid w:val="005F47EF"/>
    <w:rsid w:val="005F4803"/>
    <w:rsid w:val="005F487B"/>
    <w:rsid w:val="005F4AE7"/>
    <w:rsid w:val="005F50E0"/>
    <w:rsid w:val="005F51CE"/>
    <w:rsid w:val="005F57BF"/>
    <w:rsid w:val="005F5854"/>
    <w:rsid w:val="005F5977"/>
    <w:rsid w:val="005F59A9"/>
    <w:rsid w:val="005F5BE4"/>
    <w:rsid w:val="005F5E20"/>
    <w:rsid w:val="005F61E0"/>
    <w:rsid w:val="005F65F4"/>
    <w:rsid w:val="005F66E9"/>
    <w:rsid w:val="005F6CB3"/>
    <w:rsid w:val="005F71AC"/>
    <w:rsid w:val="005F78CC"/>
    <w:rsid w:val="005F7A1C"/>
    <w:rsid w:val="005F7EDC"/>
    <w:rsid w:val="00600071"/>
    <w:rsid w:val="0060012B"/>
    <w:rsid w:val="00600579"/>
    <w:rsid w:val="0060093C"/>
    <w:rsid w:val="00600F82"/>
    <w:rsid w:val="00600F8E"/>
    <w:rsid w:val="0060118D"/>
    <w:rsid w:val="00601442"/>
    <w:rsid w:val="006016D0"/>
    <w:rsid w:val="00601DF4"/>
    <w:rsid w:val="00601EA2"/>
    <w:rsid w:val="00602403"/>
    <w:rsid w:val="006024C8"/>
    <w:rsid w:val="00602B65"/>
    <w:rsid w:val="00602F2C"/>
    <w:rsid w:val="0060306A"/>
    <w:rsid w:val="006034C4"/>
    <w:rsid w:val="00603B12"/>
    <w:rsid w:val="00603F51"/>
    <w:rsid w:val="00604153"/>
    <w:rsid w:val="006048F9"/>
    <w:rsid w:val="00604B9E"/>
    <w:rsid w:val="00604BDD"/>
    <w:rsid w:val="00604C26"/>
    <w:rsid w:val="00605149"/>
    <w:rsid w:val="00605221"/>
    <w:rsid w:val="006053CC"/>
    <w:rsid w:val="00605576"/>
    <w:rsid w:val="00605AC9"/>
    <w:rsid w:val="00605D20"/>
    <w:rsid w:val="0060609C"/>
    <w:rsid w:val="006060FD"/>
    <w:rsid w:val="006063E9"/>
    <w:rsid w:val="00606482"/>
    <w:rsid w:val="00606B05"/>
    <w:rsid w:val="00606C31"/>
    <w:rsid w:val="00606DB7"/>
    <w:rsid w:val="00607112"/>
    <w:rsid w:val="0060711A"/>
    <w:rsid w:val="0060743E"/>
    <w:rsid w:val="006075A4"/>
    <w:rsid w:val="00607857"/>
    <w:rsid w:val="00607904"/>
    <w:rsid w:val="00607FA1"/>
    <w:rsid w:val="006102AC"/>
    <w:rsid w:val="0061044F"/>
    <w:rsid w:val="0061082F"/>
    <w:rsid w:val="0061095C"/>
    <w:rsid w:val="006109F7"/>
    <w:rsid w:val="00610E14"/>
    <w:rsid w:val="006111A3"/>
    <w:rsid w:val="00611663"/>
    <w:rsid w:val="0061180D"/>
    <w:rsid w:val="00611877"/>
    <w:rsid w:val="00611C4D"/>
    <w:rsid w:val="00611D1D"/>
    <w:rsid w:val="00611DD7"/>
    <w:rsid w:val="00612107"/>
    <w:rsid w:val="0061212F"/>
    <w:rsid w:val="00612535"/>
    <w:rsid w:val="00612776"/>
    <w:rsid w:val="006129C8"/>
    <w:rsid w:val="00612AB8"/>
    <w:rsid w:val="00613D7D"/>
    <w:rsid w:val="00613FBA"/>
    <w:rsid w:val="006144B0"/>
    <w:rsid w:val="00614575"/>
    <w:rsid w:val="00614697"/>
    <w:rsid w:val="0061480A"/>
    <w:rsid w:val="00614879"/>
    <w:rsid w:val="006148C8"/>
    <w:rsid w:val="0061501B"/>
    <w:rsid w:val="006152AE"/>
    <w:rsid w:val="006156F1"/>
    <w:rsid w:val="0061583C"/>
    <w:rsid w:val="006158BA"/>
    <w:rsid w:val="00615B95"/>
    <w:rsid w:val="00615CC1"/>
    <w:rsid w:val="00616127"/>
    <w:rsid w:val="006161E3"/>
    <w:rsid w:val="00616478"/>
    <w:rsid w:val="006164AB"/>
    <w:rsid w:val="00616658"/>
    <w:rsid w:val="0061667A"/>
    <w:rsid w:val="00616ABB"/>
    <w:rsid w:val="00616B24"/>
    <w:rsid w:val="00616E2E"/>
    <w:rsid w:val="00617033"/>
    <w:rsid w:val="006172C8"/>
    <w:rsid w:val="0061753E"/>
    <w:rsid w:val="0061793F"/>
    <w:rsid w:val="006179D8"/>
    <w:rsid w:val="00617E26"/>
    <w:rsid w:val="00617FCE"/>
    <w:rsid w:val="00620251"/>
    <w:rsid w:val="0062062F"/>
    <w:rsid w:val="006206BE"/>
    <w:rsid w:val="0062070B"/>
    <w:rsid w:val="00620714"/>
    <w:rsid w:val="006207CB"/>
    <w:rsid w:val="00620968"/>
    <w:rsid w:val="00620978"/>
    <w:rsid w:val="006209C1"/>
    <w:rsid w:val="00620A96"/>
    <w:rsid w:val="00620B37"/>
    <w:rsid w:val="00620EEA"/>
    <w:rsid w:val="00620F28"/>
    <w:rsid w:val="00621001"/>
    <w:rsid w:val="0062122F"/>
    <w:rsid w:val="00621413"/>
    <w:rsid w:val="00621438"/>
    <w:rsid w:val="006219D7"/>
    <w:rsid w:val="00622ABF"/>
    <w:rsid w:val="00622F33"/>
    <w:rsid w:val="0062300E"/>
    <w:rsid w:val="0062303F"/>
    <w:rsid w:val="00623096"/>
    <w:rsid w:val="0062346F"/>
    <w:rsid w:val="00623536"/>
    <w:rsid w:val="0062354F"/>
    <w:rsid w:val="006236C8"/>
    <w:rsid w:val="0062371A"/>
    <w:rsid w:val="00623CB4"/>
    <w:rsid w:val="00623E0B"/>
    <w:rsid w:val="006241D8"/>
    <w:rsid w:val="0062428B"/>
    <w:rsid w:val="00624338"/>
    <w:rsid w:val="0062436D"/>
    <w:rsid w:val="00624AF4"/>
    <w:rsid w:val="00624D2C"/>
    <w:rsid w:val="00625063"/>
    <w:rsid w:val="006254C0"/>
    <w:rsid w:val="00625AC0"/>
    <w:rsid w:val="00625E55"/>
    <w:rsid w:val="00625FB0"/>
    <w:rsid w:val="00626112"/>
    <w:rsid w:val="00626367"/>
    <w:rsid w:val="0062694D"/>
    <w:rsid w:val="00626F1A"/>
    <w:rsid w:val="00626FF0"/>
    <w:rsid w:val="006271E9"/>
    <w:rsid w:val="006273A2"/>
    <w:rsid w:val="00627A94"/>
    <w:rsid w:val="00627BAD"/>
    <w:rsid w:val="00627BEA"/>
    <w:rsid w:val="00627FC6"/>
    <w:rsid w:val="006300EA"/>
    <w:rsid w:val="006301C4"/>
    <w:rsid w:val="006303E7"/>
    <w:rsid w:val="0063069C"/>
    <w:rsid w:val="006306C2"/>
    <w:rsid w:val="0063075A"/>
    <w:rsid w:val="0063083E"/>
    <w:rsid w:val="006308DD"/>
    <w:rsid w:val="0063105A"/>
    <w:rsid w:val="006311D5"/>
    <w:rsid w:val="006319B8"/>
    <w:rsid w:val="00631AF4"/>
    <w:rsid w:val="00631D3C"/>
    <w:rsid w:val="00631D83"/>
    <w:rsid w:val="00632073"/>
    <w:rsid w:val="00632381"/>
    <w:rsid w:val="00632B5A"/>
    <w:rsid w:val="00632C3C"/>
    <w:rsid w:val="00632CDE"/>
    <w:rsid w:val="0063302C"/>
    <w:rsid w:val="006331A1"/>
    <w:rsid w:val="00633287"/>
    <w:rsid w:val="0063365E"/>
    <w:rsid w:val="006339BB"/>
    <w:rsid w:val="00633D03"/>
    <w:rsid w:val="00633E34"/>
    <w:rsid w:val="0063422B"/>
    <w:rsid w:val="00634269"/>
    <w:rsid w:val="00634694"/>
    <w:rsid w:val="0063472A"/>
    <w:rsid w:val="006347D4"/>
    <w:rsid w:val="006347D7"/>
    <w:rsid w:val="0063489C"/>
    <w:rsid w:val="00634B9A"/>
    <w:rsid w:val="00634CAD"/>
    <w:rsid w:val="00634E6A"/>
    <w:rsid w:val="00634F74"/>
    <w:rsid w:val="00634FFA"/>
    <w:rsid w:val="0063511C"/>
    <w:rsid w:val="0063512D"/>
    <w:rsid w:val="006355F4"/>
    <w:rsid w:val="00635608"/>
    <w:rsid w:val="0063572A"/>
    <w:rsid w:val="00635765"/>
    <w:rsid w:val="006359ED"/>
    <w:rsid w:val="00635B94"/>
    <w:rsid w:val="0063611F"/>
    <w:rsid w:val="006361A8"/>
    <w:rsid w:val="006361E4"/>
    <w:rsid w:val="00636269"/>
    <w:rsid w:val="0063631A"/>
    <w:rsid w:val="006371A2"/>
    <w:rsid w:val="00637BF6"/>
    <w:rsid w:val="00637D5D"/>
    <w:rsid w:val="00640099"/>
    <w:rsid w:val="006406BA"/>
    <w:rsid w:val="00640C2D"/>
    <w:rsid w:val="00640F50"/>
    <w:rsid w:val="00640F5A"/>
    <w:rsid w:val="006412DF"/>
    <w:rsid w:val="00641854"/>
    <w:rsid w:val="0064197E"/>
    <w:rsid w:val="00641A36"/>
    <w:rsid w:val="00641DC9"/>
    <w:rsid w:val="006420AC"/>
    <w:rsid w:val="00642215"/>
    <w:rsid w:val="00642B08"/>
    <w:rsid w:val="00642D63"/>
    <w:rsid w:val="006437B8"/>
    <w:rsid w:val="0064389C"/>
    <w:rsid w:val="006439ED"/>
    <w:rsid w:val="00643DD0"/>
    <w:rsid w:val="00643F40"/>
    <w:rsid w:val="00643F8E"/>
    <w:rsid w:val="00644020"/>
    <w:rsid w:val="006441BF"/>
    <w:rsid w:val="0064423D"/>
    <w:rsid w:val="006448C6"/>
    <w:rsid w:val="00644A65"/>
    <w:rsid w:val="00644C4B"/>
    <w:rsid w:val="00645476"/>
    <w:rsid w:val="0064552A"/>
    <w:rsid w:val="00645800"/>
    <w:rsid w:val="00645A5F"/>
    <w:rsid w:val="00645B01"/>
    <w:rsid w:val="00645C93"/>
    <w:rsid w:val="00645CCF"/>
    <w:rsid w:val="00645E9E"/>
    <w:rsid w:val="00646368"/>
    <w:rsid w:val="006465B0"/>
    <w:rsid w:val="006466DB"/>
    <w:rsid w:val="00646892"/>
    <w:rsid w:val="00646C1F"/>
    <w:rsid w:val="00646D3B"/>
    <w:rsid w:val="00646F59"/>
    <w:rsid w:val="00647138"/>
    <w:rsid w:val="0064746B"/>
    <w:rsid w:val="00647623"/>
    <w:rsid w:val="00647999"/>
    <w:rsid w:val="00647AC9"/>
    <w:rsid w:val="00647B4A"/>
    <w:rsid w:val="00647EBC"/>
    <w:rsid w:val="00647F99"/>
    <w:rsid w:val="00650124"/>
    <w:rsid w:val="00650386"/>
    <w:rsid w:val="00650925"/>
    <w:rsid w:val="00650A16"/>
    <w:rsid w:val="00650BC6"/>
    <w:rsid w:val="0065110A"/>
    <w:rsid w:val="00651343"/>
    <w:rsid w:val="00651810"/>
    <w:rsid w:val="006518E8"/>
    <w:rsid w:val="006519F6"/>
    <w:rsid w:val="00651B14"/>
    <w:rsid w:val="00651D70"/>
    <w:rsid w:val="00652063"/>
    <w:rsid w:val="006520CE"/>
    <w:rsid w:val="006523B5"/>
    <w:rsid w:val="00652474"/>
    <w:rsid w:val="00652982"/>
    <w:rsid w:val="00652A95"/>
    <w:rsid w:val="0065313C"/>
    <w:rsid w:val="00653324"/>
    <w:rsid w:val="00653684"/>
    <w:rsid w:val="0065373F"/>
    <w:rsid w:val="00653E3F"/>
    <w:rsid w:val="00653EBC"/>
    <w:rsid w:val="0065429B"/>
    <w:rsid w:val="006542EF"/>
    <w:rsid w:val="0065455E"/>
    <w:rsid w:val="006545F6"/>
    <w:rsid w:val="00654697"/>
    <w:rsid w:val="00654A5B"/>
    <w:rsid w:val="00654BAE"/>
    <w:rsid w:val="00654E38"/>
    <w:rsid w:val="006552F9"/>
    <w:rsid w:val="00655A2E"/>
    <w:rsid w:val="00655CDF"/>
    <w:rsid w:val="006562E1"/>
    <w:rsid w:val="00656378"/>
    <w:rsid w:val="00656B4A"/>
    <w:rsid w:val="0065712B"/>
    <w:rsid w:val="00657647"/>
    <w:rsid w:val="0065768B"/>
    <w:rsid w:val="0065773D"/>
    <w:rsid w:val="006579A3"/>
    <w:rsid w:val="00657B76"/>
    <w:rsid w:val="00657C10"/>
    <w:rsid w:val="0066007D"/>
    <w:rsid w:val="0066028D"/>
    <w:rsid w:val="00660703"/>
    <w:rsid w:val="00660A03"/>
    <w:rsid w:val="00660B7C"/>
    <w:rsid w:val="00660BE5"/>
    <w:rsid w:val="00660C09"/>
    <w:rsid w:val="00660C99"/>
    <w:rsid w:val="0066104A"/>
    <w:rsid w:val="006617F1"/>
    <w:rsid w:val="0066183E"/>
    <w:rsid w:val="00661A88"/>
    <w:rsid w:val="0066244B"/>
    <w:rsid w:val="006628F8"/>
    <w:rsid w:val="00662C31"/>
    <w:rsid w:val="00662C69"/>
    <w:rsid w:val="0066303C"/>
    <w:rsid w:val="00663AB3"/>
    <w:rsid w:val="00663C14"/>
    <w:rsid w:val="00663C8E"/>
    <w:rsid w:val="00663D6D"/>
    <w:rsid w:val="00663ED3"/>
    <w:rsid w:val="00663FD3"/>
    <w:rsid w:val="0066427F"/>
    <w:rsid w:val="00664487"/>
    <w:rsid w:val="006654BB"/>
    <w:rsid w:val="00665FB0"/>
    <w:rsid w:val="00665FC9"/>
    <w:rsid w:val="00665FDF"/>
    <w:rsid w:val="00665FF6"/>
    <w:rsid w:val="00666305"/>
    <w:rsid w:val="006668AB"/>
    <w:rsid w:val="00666B94"/>
    <w:rsid w:val="00666BF6"/>
    <w:rsid w:val="00666E70"/>
    <w:rsid w:val="00667194"/>
    <w:rsid w:val="00667425"/>
    <w:rsid w:val="0066752E"/>
    <w:rsid w:val="0066752F"/>
    <w:rsid w:val="00667690"/>
    <w:rsid w:val="0066772C"/>
    <w:rsid w:val="00667E59"/>
    <w:rsid w:val="0067014B"/>
    <w:rsid w:val="0067015D"/>
    <w:rsid w:val="006703CD"/>
    <w:rsid w:val="006706E8"/>
    <w:rsid w:val="00670D45"/>
    <w:rsid w:val="00671271"/>
    <w:rsid w:val="00671527"/>
    <w:rsid w:val="0067193A"/>
    <w:rsid w:val="00671A2E"/>
    <w:rsid w:val="00671B3F"/>
    <w:rsid w:val="00671C78"/>
    <w:rsid w:val="00671EF2"/>
    <w:rsid w:val="00671FDC"/>
    <w:rsid w:val="006720B2"/>
    <w:rsid w:val="006721FC"/>
    <w:rsid w:val="0067224D"/>
    <w:rsid w:val="00672771"/>
    <w:rsid w:val="006728B2"/>
    <w:rsid w:val="006728F8"/>
    <w:rsid w:val="0067298B"/>
    <w:rsid w:val="00672E16"/>
    <w:rsid w:val="00672F2F"/>
    <w:rsid w:val="00673497"/>
    <w:rsid w:val="006738AE"/>
    <w:rsid w:val="00673BF2"/>
    <w:rsid w:val="00673D21"/>
    <w:rsid w:val="0067456C"/>
    <w:rsid w:val="00674881"/>
    <w:rsid w:val="00674952"/>
    <w:rsid w:val="00674CAF"/>
    <w:rsid w:val="00674DF0"/>
    <w:rsid w:val="00674EC1"/>
    <w:rsid w:val="0067502A"/>
    <w:rsid w:val="006758BA"/>
    <w:rsid w:val="00675E06"/>
    <w:rsid w:val="006760C0"/>
    <w:rsid w:val="00676257"/>
    <w:rsid w:val="00676AE8"/>
    <w:rsid w:val="00676AFF"/>
    <w:rsid w:val="00676B5A"/>
    <w:rsid w:val="006770FD"/>
    <w:rsid w:val="00677446"/>
    <w:rsid w:val="006774EA"/>
    <w:rsid w:val="00677970"/>
    <w:rsid w:val="00677ADF"/>
    <w:rsid w:val="00677CA8"/>
    <w:rsid w:val="00680778"/>
    <w:rsid w:val="00680B51"/>
    <w:rsid w:val="00680D3D"/>
    <w:rsid w:val="00680D82"/>
    <w:rsid w:val="0068154A"/>
    <w:rsid w:val="00681593"/>
    <w:rsid w:val="0068176D"/>
    <w:rsid w:val="00681B29"/>
    <w:rsid w:val="00682835"/>
    <w:rsid w:val="00682DB1"/>
    <w:rsid w:val="00682EDA"/>
    <w:rsid w:val="00683156"/>
    <w:rsid w:val="006834E2"/>
    <w:rsid w:val="006836D7"/>
    <w:rsid w:val="0068388E"/>
    <w:rsid w:val="00683B59"/>
    <w:rsid w:val="00683C40"/>
    <w:rsid w:val="00683CB9"/>
    <w:rsid w:val="00683E7B"/>
    <w:rsid w:val="00683EA4"/>
    <w:rsid w:val="006843F7"/>
    <w:rsid w:val="0068485F"/>
    <w:rsid w:val="00684A61"/>
    <w:rsid w:val="00684BC9"/>
    <w:rsid w:val="00684BE5"/>
    <w:rsid w:val="006852D0"/>
    <w:rsid w:val="00685780"/>
    <w:rsid w:val="006858E6"/>
    <w:rsid w:val="006862E3"/>
    <w:rsid w:val="006864AB"/>
    <w:rsid w:val="00686535"/>
    <w:rsid w:val="006866B0"/>
    <w:rsid w:val="00686765"/>
    <w:rsid w:val="006869A3"/>
    <w:rsid w:val="00686D36"/>
    <w:rsid w:val="00686F25"/>
    <w:rsid w:val="00686F4F"/>
    <w:rsid w:val="00686FD5"/>
    <w:rsid w:val="0068746A"/>
    <w:rsid w:val="006875EB"/>
    <w:rsid w:val="00687659"/>
    <w:rsid w:val="0068765D"/>
    <w:rsid w:val="00687858"/>
    <w:rsid w:val="006879D1"/>
    <w:rsid w:val="00687A2B"/>
    <w:rsid w:val="00687E92"/>
    <w:rsid w:val="0069000B"/>
    <w:rsid w:val="0069030A"/>
    <w:rsid w:val="006905B6"/>
    <w:rsid w:val="0069066A"/>
    <w:rsid w:val="00690C1F"/>
    <w:rsid w:val="00690C47"/>
    <w:rsid w:val="0069102F"/>
    <w:rsid w:val="006912F5"/>
    <w:rsid w:val="0069163B"/>
    <w:rsid w:val="00691770"/>
    <w:rsid w:val="00691832"/>
    <w:rsid w:val="0069185E"/>
    <w:rsid w:val="00691891"/>
    <w:rsid w:val="006918E4"/>
    <w:rsid w:val="00691B60"/>
    <w:rsid w:val="00691DA3"/>
    <w:rsid w:val="00691DDE"/>
    <w:rsid w:val="0069202D"/>
    <w:rsid w:val="00692254"/>
    <w:rsid w:val="00692499"/>
    <w:rsid w:val="00693079"/>
    <w:rsid w:val="00693262"/>
    <w:rsid w:val="0069371A"/>
    <w:rsid w:val="006937C4"/>
    <w:rsid w:val="006938C3"/>
    <w:rsid w:val="00693C83"/>
    <w:rsid w:val="00693FDB"/>
    <w:rsid w:val="00694195"/>
    <w:rsid w:val="006941C1"/>
    <w:rsid w:val="00694341"/>
    <w:rsid w:val="006945AB"/>
    <w:rsid w:val="006947B6"/>
    <w:rsid w:val="00694D9F"/>
    <w:rsid w:val="00695783"/>
    <w:rsid w:val="0069588D"/>
    <w:rsid w:val="00695EA1"/>
    <w:rsid w:val="0069669E"/>
    <w:rsid w:val="00696881"/>
    <w:rsid w:val="00696897"/>
    <w:rsid w:val="00696C12"/>
    <w:rsid w:val="0069759C"/>
    <w:rsid w:val="006975E6"/>
    <w:rsid w:val="00697B54"/>
    <w:rsid w:val="00697C0E"/>
    <w:rsid w:val="00697D47"/>
    <w:rsid w:val="006A00C8"/>
    <w:rsid w:val="006A05FB"/>
    <w:rsid w:val="006A0A0F"/>
    <w:rsid w:val="006A0E2C"/>
    <w:rsid w:val="006A0F05"/>
    <w:rsid w:val="006A0F80"/>
    <w:rsid w:val="006A0F8C"/>
    <w:rsid w:val="006A11B3"/>
    <w:rsid w:val="006A1726"/>
    <w:rsid w:val="006A1E1F"/>
    <w:rsid w:val="006A2055"/>
    <w:rsid w:val="006A2223"/>
    <w:rsid w:val="006A244F"/>
    <w:rsid w:val="006A28B9"/>
    <w:rsid w:val="006A2CAE"/>
    <w:rsid w:val="006A3223"/>
    <w:rsid w:val="006A3308"/>
    <w:rsid w:val="006A35CD"/>
    <w:rsid w:val="006A3BE6"/>
    <w:rsid w:val="006A3DFB"/>
    <w:rsid w:val="006A3EF6"/>
    <w:rsid w:val="006A3F9E"/>
    <w:rsid w:val="006A436C"/>
    <w:rsid w:val="006A4537"/>
    <w:rsid w:val="006A4822"/>
    <w:rsid w:val="006A4AD6"/>
    <w:rsid w:val="006A4AE8"/>
    <w:rsid w:val="006A4C4E"/>
    <w:rsid w:val="006A507A"/>
    <w:rsid w:val="006A51AC"/>
    <w:rsid w:val="006A54A1"/>
    <w:rsid w:val="006A5530"/>
    <w:rsid w:val="006A55ED"/>
    <w:rsid w:val="006A5ABE"/>
    <w:rsid w:val="006A5C8B"/>
    <w:rsid w:val="006A5CC6"/>
    <w:rsid w:val="006A5EE4"/>
    <w:rsid w:val="006A61BF"/>
    <w:rsid w:val="006A629A"/>
    <w:rsid w:val="006A67AE"/>
    <w:rsid w:val="006A6866"/>
    <w:rsid w:val="006A6DA2"/>
    <w:rsid w:val="006A6DE2"/>
    <w:rsid w:val="006A7103"/>
    <w:rsid w:val="006A7360"/>
    <w:rsid w:val="006A74A4"/>
    <w:rsid w:val="006A7543"/>
    <w:rsid w:val="006A75CE"/>
    <w:rsid w:val="006A761F"/>
    <w:rsid w:val="006A788B"/>
    <w:rsid w:val="006A79C3"/>
    <w:rsid w:val="006A7F21"/>
    <w:rsid w:val="006B0341"/>
    <w:rsid w:val="006B0496"/>
    <w:rsid w:val="006B0712"/>
    <w:rsid w:val="006B07F0"/>
    <w:rsid w:val="006B0A84"/>
    <w:rsid w:val="006B0AD7"/>
    <w:rsid w:val="006B107C"/>
    <w:rsid w:val="006B12E3"/>
    <w:rsid w:val="006B1790"/>
    <w:rsid w:val="006B1FB7"/>
    <w:rsid w:val="006B2006"/>
    <w:rsid w:val="006B2791"/>
    <w:rsid w:val="006B2B9A"/>
    <w:rsid w:val="006B2C57"/>
    <w:rsid w:val="006B3259"/>
    <w:rsid w:val="006B3691"/>
    <w:rsid w:val="006B3AC0"/>
    <w:rsid w:val="006B3B29"/>
    <w:rsid w:val="006B43D9"/>
    <w:rsid w:val="006B44BB"/>
    <w:rsid w:val="006B44BE"/>
    <w:rsid w:val="006B4695"/>
    <w:rsid w:val="006B48EF"/>
    <w:rsid w:val="006B59F5"/>
    <w:rsid w:val="006B5B80"/>
    <w:rsid w:val="006B7031"/>
    <w:rsid w:val="006B745F"/>
    <w:rsid w:val="006B7B1E"/>
    <w:rsid w:val="006B7C40"/>
    <w:rsid w:val="006B7E83"/>
    <w:rsid w:val="006C012F"/>
    <w:rsid w:val="006C01EA"/>
    <w:rsid w:val="006C08AE"/>
    <w:rsid w:val="006C0C1A"/>
    <w:rsid w:val="006C100D"/>
    <w:rsid w:val="006C1176"/>
    <w:rsid w:val="006C182E"/>
    <w:rsid w:val="006C1892"/>
    <w:rsid w:val="006C1B69"/>
    <w:rsid w:val="006C2191"/>
    <w:rsid w:val="006C21C3"/>
    <w:rsid w:val="006C25F4"/>
    <w:rsid w:val="006C2770"/>
    <w:rsid w:val="006C29DC"/>
    <w:rsid w:val="006C2BBD"/>
    <w:rsid w:val="006C2EEC"/>
    <w:rsid w:val="006C3399"/>
    <w:rsid w:val="006C35B2"/>
    <w:rsid w:val="006C3678"/>
    <w:rsid w:val="006C3EE1"/>
    <w:rsid w:val="006C3FC1"/>
    <w:rsid w:val="006C4077"/>
    <w:rsid w:val="006C414E"/>
    <w:rsid w:val="006C44FC"/>
    <w:rsid w:val="006C47E4"/>
    <w:rsid w:val="006C4CB5"/>
    <w:rsid w:val="006C4ECE"/>
    <w:rsid w:val="006C5370"/>
    <w:rsid w:val="006C539F"/>
    <w:rsid w:val="006C53B4"/>
    <w:rsid w:val="006C5537"/>
    <w:rsid w:val="006C5689"/>
    <w:rsid w:val="006C56BD"/>
    <w:rsid w:val="006C5810"/>
    <w:rsid w:val="006C5843"/>
    <w:rsid w:val="006C5A0E"/>
    <w:rsid w:val="006C5AB4"/>
    <w:rsid w:val="006C5CF7"/>
    <w:rsid w:val="006C5FF2"/>
    <w:rsid w:val="006C619A"/>
    <w:rsid w:val="006C62EF"/>
    <w:rsid w:val="006C68FF"/>
    <w:rsid w:val="006C695C"/>
    <w:rsid w:val="006C6CCC"/>
    <w:rsid w:val="006C6F29"/>
    <w:rsid w:val="006C74FD"/>
    <w:rsid w:val="006C7A95"/>
    <w:rsid w:val="006C7F83"/>
    <w:rsid w:val="006C7FF1"/>
    <w:rsid w:val="006D0280"/>
    <w:rsid w:val="006D093C"/>
    <w:rsid w:val="006D0B9D"/>
    <w:rsid w:val="006D0CAE"/>
    <w:rsid w:val="006D0E09"/>
    <w:rsid w:val="006D11DE"/>
    <w:rsid w:val="006D11DF"/>
    <w:rsid w:val="006D1621"/>
    <w:rsid w:val="006D1A1C"/>
    <w:rsid w:val="006D1B32"/>
    <w:rsid w:val="006D1C9B"/>
    <w:rsid w:val="006D2145"/>
    <w:rsid w:val="006D24D8"/>
    <w:rsid w:val="006D266D"/>
    <w:rsid w:val="006D293A"/>
    <w:rsid w:val="006D2994"/>
    <w:rsid w:val="006D2EB8"/>
    <w:rsid w:val="006D30D0"/>
    <w:rsid w:val="006D35A1"/>
    <w:rsid w:val="006D3A36"/>
    <w:rsid w:val="006D3A8A"/>
    <w:rsid w:val="006D3C9A"/>
    <w:rsid w:val="006D3EAE"/>
    <w:rsid w:val="006D403E"/>
    <w:rsid w:val="006D4765"/>
    <w:rsid w:val="006D4C35"/>
    <w:rsid w:val="006D5990"/>
    <w:rsid w:val="006D5A0A"/>
    <w:rsid w:val="006D6325"/>
    <w:rsid w:val="006D6332"/>
    <w:rsid w:val="006D639D"/>
    <w:rsid w:val="006D63BC"/>
    <w:rsid w:val="006D65F1"/>
    <w:rsid w:val="006D67B3"/>
    <w:rsid w:val="006D6B3C"/>
    <w:rsid w:val="006D6B4D"/>
    <w:rsid w:val="006D6E6D"/>
    <w:rsid w:val="006D7407"/>
    <w:rsid w:val="006D742E"/>
    <w:rsid w:val="006D7442"/>
    <w:rsid w:val="006D75A8"/>
    <w:rsid w:val="006D7620"/>
    <w:rsid w:val="006D7842"/>
    <w:rsid w:val="006D7919"/>
    <w:rsid w:val="006D7A3A"/>
    <w:rsid w:val="006D7D51"/>
    <w:rsid w:val="006E0917"/>
    <w:rsid w:val="006E09E4"/>
    <w:rsid w:val="006E0B9D"/>
    <w:rsid w:val="006E0D0B"/>
    <w:rsid w:val="006E0E0F"/>
    <w:rsid w:val="006E0F92"/>
    <w:rsid w:val="006E165F"/>
    <w:rsid w:val="006E198C"/>
    <w:rsid w:val="006E1A86"/>
    <w:rsid w:val="006E1CEF"/>
    <w:rsid w:val="006E1D30"/>
    <w:rsid w:val="006E21A2"/>
    <w:rsid w:val="006E220C"/>
    <w:rsid w:val="006E23DB"/>
    <w:rsid w:val="006E2A17"/>
    <w:rsid w:val="006E2B7E"/>
    <w:rsid w:val="006E2EA3"/>
    <w:rsid w:val="006E2FE7"/>
    <w:rsid w:val="006E3021"/>
    <w:rsid w:val="006E3510"/>
    <w:rsid w:val="006E3B46"/>
    <w:rsid w:val="006E3E34"/>
    <w:rsid w:val="006E3E64"/>
    <w:rsid w:val="006E3F6B"/>
    <w:rsid w:val="006E40A9"/>
    <w:rsid w:val="006E40C3"/>
    <w:rsid w:val="006E456D"/>
    <w:rsid w:val="006E4A19"/>
    <w:rsid w:val="006E4A94"/>
    <w:rsid w:val="006E4BAC"/>
    <w:rsid w:val="006E4C70"/>
    <w:rsid w:val="006E4F6B"/>
    <w:rsid w:val="006E59DE"/>
    <w:rsid w:val="006E5A76"/>
    <w:rsid w:val="006E5C05"/>
    <w:rsid w:val="006E5C36"/>
    <w:rsid w:val="006E5D7F"/>
    <w:rsid w:val="006E5F88"/>
    <w:rsid w:val="006E62D5"/>
    <w:rsid w:val="006E6334"/>
    <w:rsid w:val="006E6913"/>
    <w:rsid w:val="006E6A44"/>
    <w:rsid w:val="006E6B85"/>
    <w:rsid w:val="006E6FAC"/>
    <w:rsid w:val="006E73C5"/>
    <w:rsid w:val="006E752A"/>
    <w:rsid w:val="006E7F0B"/>
    <w:rsid w:val="006F02CF"/>
    <w:rsid w:val="006F03F7"/>
    <w:rsid w:val="006F0973"/>
    <w:rsid w:val="006F0B10"/>
    <w:rsid w:val="006F159F"/>
    <w:rsid w:val="006F15B2"/>
    <w:rsid w:val="006F16F5"/>
    <w:rsid w:val="006F17C5"/>
    <w:rsid w:val="006F1A6E"/>
    <w:rsid w:val="006F1BD5"/>
    <w:rsid w:val="006F22DE"/>
    <w:rsid w:val="006F23F9"/>
    <w:rsid w:val="006F25E4"/>
    <w:rsid w:val="006F2C0E"/>
    <w:rsid w:val="006F2F80"/>
    <w:rsid w:val="006F3003"/>
    <w:rsid w:val="006F31BE"/>
    <w:rsid w:val="006F3207"/>
    <w:rsid w:val="006F331B"/>
    <w:rsid w:val="006F350C"/>
    <w:rsid w:val="006F35D6"/>
    <w:rsid w:val="006F3755"/>
    <w:rsid w:val="006F3837"/>
    <w:rsid w:val="006F3930"/>
    <w:rsid w:val="006F3A9C"/>
    <w:rsid w:val="006F3FAF"/>
    <w:rsid w:val="006F424E"/>
    <w:rsid w:val="006F44AA"/>
    <w:rsid w:val="006F46C1"/>
    <w:rsid w:val="006F4820"/>
    <w:rsid w:val="006F4BF3"/>
    <w:rsid w:val="006F4E99"/>
    <w:rsid w:val="006F4EE8"/>
    <w:rsid w:val="006F53C4"/>
    <w:rsid w:val="006F6064"/>
    <w:rsid w:val="006F6C41"/>
    <w:rsid w:val="006F6DB2"/>
    <w:rsid w:val="006F6F11"/>
    <w:rsid w:val="006F7611"/>
    <w:rsid w:val="006F76CA"/>
    <w:rsid w:val="006F772F"/>
    <w:rsid w:val="006F7854"/>
    <w:rsid w:val="0070066E"/>
    <w:rsid w:val="00700708"/>
    <w:rsid w:val="00700E76"/>
    <w:rsid w:val="007010AF"/>
    <w:rsid w:val="0070114C"/>
    <w:rsid w:val="007014DC"/>
    <w:rsid w:val="007014F7"/>
    <w:rsid w:val="00701DA6"/>
    <w:rsid w:val="00702399"/>
    <w:rsid w:val="0070261D"/>
    <w:rsid w:val="00702908"/>
    <w:rsid w:val="00702A78"/>
    <w:rsid w:val="00702EF8"/>
    <w:rsid w:val="0070314B"/>
    <w:rsid w:val="00703310"/>
    <w:rsid w:val="007034A8"/>
    <w:rsid w:val="007037CB"/>
    <w:rsid w:val="00703C73"/>
    <w:rsid w:val="0070409F"/>
    <w:rsid w:val="007047FC"/>
    <w:rsid w:val="00704841"/>
    <w:rsid w:val="00704C6C"/>
    <w:rsid w:val="00704F16"/>
    <w:rsid w:val="0070515E"/>
    <w:rsid w:val="0070534E"/>
    <w:rsid w:val="007053B9"/>
    <w:rsid w:val="00705DBF"/>
    <w:rsid w:val="00705DD1"/>
    <w:rsid w:val="0070608E"/>
    <w:rsid w:val="0070632C"/>
    <w:rsid w:val="0070657E"/>
    <w:rsid w:val="0070664D"/>
    <w:rsid w:val="00706975"/>
    <w:rsid w:val="00707068"/>
    <w:rsid w:val="007071AB"/>
    <w:rsid w:val="00707385"/>
    <w:rsid w:val="00707FBB"/>
    <w:rsid w:val="00710162"/>
    <w:rsid w:val="007103A8"/>
    <w:rsid w:val="00710665"/>
    <w:rsid w:val="00710764"/>
    <w:rsid w:val="007112E4"/>
    <w:rsid w:val="00711321"/>
    <w:rsid w:val="00712052"/>
    <w:rsid w:val="0071222D"/>
    <w:rsid w:val="0071223C"/>
    <w:rsid w:val="00712346"/>
    <w:rsid w:val="007134E6"/>
    <w:rsid w:val="0071383D"/>
    <w:rsid w:val="00713BB5"/>
    <w:rsid w:val="00713DE2"/>
    <w:rsid w:val="00713E17"/>
    <w:rsid w:val="00714041"/>
    <w:rsid w:val="0071438F"/>
    <w:rsid w:val="007143F0"/>
    <w:rsid w:val="007144BE"/>
    <w:rsid w:val="00714910"/>
    <w:rsid w:val="00715005"/>
    <w:rsid w:val="00715440"/>
    <w:rsid w:val="00715474"/>
    <w:rsid w:val="007156DC"/>
    <w:rsid w:val="00715839"/>
    <w:rsid w:val="007160D2"/>
    <w:rsid w:val="00716220"/>
    <w:rsid w:val="0071643D"/>
    <w:rsid w:val="007167C7"/>
    <w:rsid w:val="007167F7"/>
    <w:rsid w:val="00716AB3"/>
    <w:rsid w:val="00716D14"/>
    <w:rsid w:val="00716EA3"/>
    <w:rsid w:val="007171C9"/>
    <w:rsid w:val="00717421"/>
    <w:rsid w:val="007177B4"/>
    <w:rsid w:val="007177C2"/>
    <w:rsid w:val="00717A49"/>
    <w:rsid w:val="00717F5A"/>
    <w:rsid w:val="007202BA"/>
    <w:rsid w:val="007202D7"/>
    <w:rsid w:val="007203F2"/>
    <w:rsid w:val="007206BC"/>
    <w:rsid w:val="00720893"/>
    <w:rsid w:val="00720DF5"/>
    <w:rsid w:val="00720E50"/>
    <w:rsid w:val="00721642"/>
    <w:rsid w:val="00721788"/>
    <w:rsid w:val="007218A1"/>
    <w:rsid w:val="00721C13"/>
    <w:rsid w:val="00721CC2"/>
    <w:rsid w:val="00722348"/>
    <w:rsid w:val="0072277C"/>
    <w:rsid w:val="00722C78"/>
    <w:rsid w:val="00723319"/>
    <w:rsid w:val="00723373"/>
    <w:rsid w:val="00723727"/>
    <w:rsid w:val="007237C7"/>
    <w:rsid w:val="00723BE6"/>
    <w:rsid w:val="00723C50"/>
    <w:rsid w:val="00723C99"/>
    <w:rsid w:val="00723E9E"/>
    <w:rsid w:val="0072427A"/>
    <w:rsid w:val="007242A0"/>
    <w:rsid w:val="0072462F"/>
    <w:rsid w:val="00724E8D"/>
    <w:rsid w:val="00725081"/>
    <w:rsid w:val="0072515E"/>
    <w:rsid w:val="00725724"/>
    <w:rsid w:val="007257FD"/>
    <w:rsid w:val="00725883"/>
    <w:rsid w:val="00725908"/>
    <w:rsid w:val="00725B26"/>
    <w:rsid w:val="00725B76"/>
    <w:rsid w:val="00725D6E"/>
    <w:rsid w:val="00726052"/>
    <w:rsid w:val="00726136"/>
    <w:rsid w:val="00726343"/>
    <w:rsid w:val="007266C2"/>
    <w:rsid w:val="00726B4B"/>
    <w:rsid w:val="00726DA7"/>
    <w:rsid w:val="00726EFE"/>
    <w:rsid w:val="007272FB"/>
    <w:rsid w:val="00727533"/>
    <w:rsid w:val="007278C5"/>
    <w:rsid w:val="00727A09"/>
    <w:rsid w:val="00727A2D"/>
    <w:rsid w:val="00730266"/>
    <w:rsid w:val="0073077E"/>
    <w:rsid w:val="007308A3"/>
    <w:rsid w:val="00730928"/>
    <w:rsid w:val="00730C32"/>
    <w:rsid w:val="00730D03"/>
    <w:rsid w:val="00730FD6"/>
    <w:rsid w:val="00731EB0"/>
    <w:rsid w:val="00731F6C"/>
    <w:rsid w:val="007320D2"/>
    <w:rsid w:val="007325A1"/>
    <w:rsid w:val="007325A5"/>
    <w:rsid w:val="007325D4"/>
    <w:rsid w:val="00732BD9"/>
    <w:rsid w:val="00732CB7"/>
    <w:rsid w:val="00732D0E"/>
    <w:rsid w:val="00733074"/>
    <w:rsid w:val="007332A6"/>
    <w:rsid w:val="00733458"/>
    <w:rsid w:val="00733863"/>
    <w:rsid w:val="00733AEB"/>
    <w:rsid w:val="00733B43"/>
    <w:rsid w:val="00733DBE"/>
    <w:rsid w:val="00733DEE"/>
    <w:rsid w:val="00733EC0"/>
    <w:rsid w:val="0073451E"/>
    <w:rsid w:val="00734615"/>
    <w:rsid w:val="007346B5"/>
    <w:rsid w:val="0073474B"/>
    <w:rsid w:val="007348A3"/>
    <w:rsid w:val="007358E6"/>
    <w:rsid w:val="00735C72"/>
    <w:rsid w:val="00736326"/>
    <w:rsid w:val="00736480"/>
    <w:rsid w:val="00736857"/>
    <w:rsid w:val="00736870"/>
    <w:rsid w:val="00736AF0"/>
    <w:rsid w:val="00736B38"/>
    <w:rsid w:val="00736B83"/>
    <w:rsid w:val="00736CD8"/>
    <w:rsid w:val="00737B61"/>
    <w:rsid w:val="00737DF8"/>
    <w:rsid w:val="00737E25"/>
    <w:rsid w:val="007400C4"/>
    <w:rsid w:val="0074061F"/>
    <w:rsid w:val="007406A9"/>
    <w:rsid w:val="00740D6D"/>
    <w:rsid w:val="00740E3B"/>
    <w:rsid w:val="00740F1D"/>
    <w:rsid w:val="007414CB"/>
    <w:rsid w:val="00742077"/>
    <w:rsid w:val="007423DA"/>
    <w:rsid w:val="0074258D"/>
    <w:rsid w:val="00742716"/>
    <w:rsid w:val="0074298E"/>
    <w:rsid w:val="00742A0D"/>
    <w:rsid w:val="00742B75"/>
    <w:rsid w:val="00742BCC"/>
    <w:rsid w:val="00742F0F"/>
    <w:rsid w:val="007430F9"/>
    <w:rsid w:val="007432F9"/>
    <w:rsid w:val="00743A7E"/>
    <w:rsid w:val="00743AB0"/>
    <w:rsid w:val="00743C4B"/>
    <w:rsid w:val="00743D93"/>
    <w:rsid w:val="00744189"/>
    <w:rsid w:val="00744194"/>
    <w:rsid w:val="00744367"/>
    <w:rsid w:val="00744634"/>
    <w:rsid w:val="00744923"/>
    <w:rsid w:val="0074494C"/>
    <w:rsid w:val="00744A5C"/>
    <w:rsid w:val="00744CC7"/>
    <w:rsid w:val="00744F8C"/>
    <w:rsid w:val="0074584A"/>
    <w:rsid w:val="00746525"/>
    <w:rsid w:val="00746C3F"/>
    <w:rsid w:val="00746C4B"/>
    <w:rsid w:val="00746E5E"/>
    <w:rsid w:val="0074752F"/>
    <w:rsid w:val="007475C8"/>
    <w:rsid w:val="007479AB"/>
    <w:rsid w:val="007500F7"/>
    <w:rsid w:val="00750432"/>
    <w:rsid w:val="00750539"/>
    <w:rsid w:val="00750752"/>
    <w:rsid w:val="00750B06"/>
    <w:rsid w:val="00750DAF"/>
    <w:rsid w:val="007513A5"/>
    <w:rsid w:val="007515B3"/>
    <w:rsid w:val="0075181B"/>
    <w:rsid w:val="0075185A"/>
    <w:rsid w:val="0075197A"/>
    <w:rsid w:val="00751C9D"/>
    <w:rsid w:val="00751F0D"/>
    <w:rsid w:val="007520F8"/>
    <w:rsid w:val="007522B9"/>
    <w:rsid w:val="007524E9"/>
    <w:rsid w:val="007525CF"/>
    <w:rsid w:val="00752B02"/>
    <w:rsid w:val="007530E8"/>
    <w:rsid w:val="0075362A"/>
    <w:rsid w:val="00753798"/>
    <w:rsid w:val="00753A98"/>
    <w:rsid w:val="00753A9A"/>
    <w:rsid w:val="00753B35"/>
    <w:rsid w:val="00753CA4"/>
    <w:rsid w:val="00753CD6"/>
    <w:rsid w:val="00753EED"/>
    <w:rsid w:val="00753F8D"/>
    <w:rsid w:val="00753FE5"/>
    <w:rsid w:val="007542D6"/>
    <w:rsid w:val="0075466A"/>
    <w:rsid w:val="00754894"/>
    <w:rsid w:val="007548E3"/>
    <w:rsid w:val="00754AB2"/>
    <w:rsid w:val="00754C14"/>
    <w:rsid w:val="007550E8"/>
    <w:rsid w:val="00755336"/>
    <w:rsid w:val="00755704"/>
    <w:rsid w:val="007558C4"/>
    <w:rsid w:val="00755D87"/>
    <w:rsid w:val="00756027"/>
    <w:rsid w:val="0075651D"/>
    <w:rsid w:val="007567DE"/>
    <w:rsid w:val="00756BAA"/>
    <w:rsid w:val="00756FBD"/>
    <w:rsid w:val="007571C4"/>
    <w:rsid w:val="0075720D"/>
    <w:rsid w:val="007572E2"/>
    <w:rsid w:val="007574F6"/>
    <w:rsid w:val="0075764C"/>
    <w:rsid w:val="007577CE"/>
    <w:rsid w:val="00757BAD"/>
    <w:rsid w:val="00760099"/>
    <w:rsid w:val="007600E6"/>
    <w:rsid w:val="0076025A"/>
    <w:rsid w:val="00760336"/>
    <w:rsid w:val="007605E4"/>
    <w:rsid w:val="00760843"/>
    <w:rsid w:val="00760A22"/>
    <w:rsid w:val="00760CCA"/>
    <w:rsid w:val="00760D70"/>
    <w:rsid w:val="00760FAC"/>
    <w:rsid w:val="007610C4"/>
    <w:rsid w:val="0076132C"/>
    <w:rsid w:val="0076181B"/>
    <w:rsid w:val="00761C4D"/>
    <w:rsid w:val="00761E65"/>
    <w:rsid w:val="007624BA"/>
    <w:rsid w:val="007626CF"/>
    <w:rsid w:val="0076287E"/>
    <w:rsid w:val="00762BFC"/>
    <w:rsid w:val="00763133"/>
    <w:rsid w:val="00763291"/>
    <w:rsid w:val="00763305"/>
    <w:rsid w:val="00763B06"/>
    <w:rsid w:val="007641B4"/>
    <w:rsid w:val="0076449E"/>
    <w:rsid w:val="00764960"/>
    <w:rsid w:val="00764E35"/>
    <w:rsid w:val="00764E46"/>
    <w:rsid w:val="00764F46"/>
    <w:rsid w:val="00764FBF"/>
    <w:rsid w:val="00765275"/>
    <w:rsid w:val="0076549A"/>
    <w:rsid w:val="007654C2"/>
    <w:rsid w:val="007658BD"/>
    <w:rsid w:val="007659AD"/>
    <w:rsid w:val="00765B56"/>
    <w:rsid w:val="00765C42"/>
    <w:rsid w:val="00765EAE"/>
    <w:rsid w:val="00766297"/>
    <w:rsid w:val="00766695"/>
    <w:rsid w:val="007667B1"/>
    <w:rsid w:val="007667DB"/>
    <w:rsid w:val="00766998"/>
    <w:rsid w:val="00766DBD"/>
    <w:rsid w:val="007670B0"/>
    <w:rsid w:val="00767403"/>
    <w:rsid w:val="0076742B"/>
    <w:rsid w:val="007674F5"/>
    <w:rsid w:val="0076756B"/>
    <w:rsid w:val="00767DD4"/>
    <w:rsid w:val="00767F26"/>
    <w:rsid w:val="00770090"/>
    <w:rsid w:val="007700AC"/>
    <w:rsid w:val="0077029C"/>
    <w:rsid w:val="00770A02"/>
    <w:rsid w:val="00770E2B"/>
    <w:rsid w:val="00770E94"/>
    <w:rsid w:val="00770F26"/>
    <w:rsid w:val="00771235"/>
    <w:rsid w:val="007712B4"/>
    <w:rsid w:val="00771706"/>
    <w:rsid w:val="007717E4"/>
    <w:rsid w:val="007717ED"/>
    <w:rsid w:val="00771AD4"/>
    <w:rsid w:val="00771FBD"/>
    <w:rsid w:val="00772A82"/>
    <w:rsid w:val="00772CFB"/>
    <w:rsid w:val="0077440C"/>
    <w:rsid w:val="007745D4"/>
    <w:rsid w:val="00774731"/>
    <w:rsid w:val="007749B5"/>
    <w:rsid w:val="00774EBA"/>
    <w:rsid w:val="00774FBA"/>
    <w:rsid w:val="007750C9"/>
    <w:rsid w:val="0077553D"/>
    <w:rsid w:val="00775574"/>
    <w:rsid w:val="00775AA7"/>
    <w:rsid w:val="00775ADC"/>
    <w:rsid w:val="007762AB"/>
    <w:rsid w:val="00776308"/>
    <w:rsid w:val="00776B95"/>
    <w:rsid w:val="00776EA5"/>
    <w:rsid w:val="00776F75"/>
    <w:rsid w:val="0077766A"/>
    <w:rsid w:val="00777869"/>
    <w:rsid w:val="0077789E"/>
    <w:rsid w:val="00777FB5"/>
    <w:rsid w:val="00777FC6"/>
    <w:rsid w:val="007801BA"/>
    <w:rsid w:val="007807FD"/>
    <w:rsid w:val="0078149C"/>
    <w:rsid w:val="007815CC"/>
    <w:rsid w:val="00781731"/>
    <w:rsid w:val="00781A86"/>
    <w:rsid w:val="00781D4C"/>
    <w:rsid w:val="00781E5C"/>
    <w:rsid w:val="0078216F"/>
    <w:rsid w:val="007823BF"/>
    <w:rsid w:val="00782727"/>
    <w:rsid w:val="0078291B"/>
    <w:rsid w:val="00782A33"/>
    <w:rsid w:val="00782A8F"/>
    <w:rsid w:val="00782BE9"/>
    <w:rsid w:val="00782C2F"/>
    <w:rsid w:val="00782CDE"/>
    <w:rsid w:val="00782E23"/>
    <w:rsid w:val="0078302B"/>
    <w:rsid w:val="00783707"/>
    <w:rsid w:val="007837DA"/>
    <w:rsid w:val="00783949"/>
    <w:rsid w:val="00783C79"/>
    <w:rsid w:val="00784034"/>
    <w:rsid w:val="007841C3"/>
    <w:rsid w:val="0078437F"/>
    <w:rsid w:val="007843A3"/>
    <w:rsid w:val="00784816"/>
    <w:rsid w:val="00784996"/>
    <w:rsid w:val="00784BE4"/>
    <w:rsid w:val="00784E25"/>
    <w:rsid w:val="00784F63"/>
    <w:rsid w:val="0078505F"/>
    <w:rsid w:val="00785093"/>
    <w:rsid w:val="0078518C"/>
    <w:rsid w:val="0078547A"/>
    <w:rsid w:val="00785551"/>
    <w:rsid w:val="007859D0"/>
    <w:rsid w:val="00785CDA"/>
    <w:rsid w:val="00785E45"/>
    <w:rsid w:val="00786236"/>
    <w:rsid w:val="00786390"/>
    <w:rsid w:val="00786904"/>
    <w:rsid w:val="007869AF"/>
    <w:rsid w:val="00786B64"/>
    <w:rsid w:val="0078721E"/>
    <w:rsid w:val="007872AA"/>
    <w:rsid w:val="0078731A"/>
    <w:rsid w:val="00787467"/>
    <w:rsid w:val="007876DD"/>
    <w:rsid w:val="00787A33"/>
    <w:rsid w:val="00787B91"/>
    <w:rsid w:val="00787DF6"/>
    <w:rsid w:val="00787F58"/>
    <w:rsid w:val="007900C6"/>
    <w:rsid w:val="00790100"/>
    <w:rsid w:val="007902A4"/>
    <w:rsid w:val="00790396"/>
    <w:rsid w:val="0079077A"/>
    <w:rsid w:val="00790E72"/>
    <w:rsid w:val="007912E7"/>
    <w:rsid w:val="007912EF"/>
    <w:rsid w:val="00791954"/>
    <w:rsid w:val="00791B10"/>
    <w:rsid w:val="0079252A"/>
    <w:rsid w:val="0079262D"/>
    <w:rsid w:val="00792B55"/>
    <w:rsid w:val="00792B7B"/>
    <w:rsid w:val="00792C7D"/>
    <w:rsid w:val="00792FE3"/>
    <w:rsid w:val="007930AF"/>
    <w:rsid w:val="0079311A"/>
    <w:rsid w:val="0079327E"/>
    <w:rsid w:val="0079377C"/>
    <w:rsid w:val="00793CEE"/>
    <w:rsid w:val="00793D96"/>
    <w:rsid w:val="00793DD9"/>
    <w:rsid w:val="00793F2D"/>
    <w:rsid w:val="00794215"/>
    <w:rsid w:val="007942AD"/>
    <w:rsid w:val="00794332"/>
    <w:rsid w:val="00794F75"/>
    <w:rsid w:val="0079511C"/>
    <w:rsid w:val="00795490"/>
    <w:rsid w:val="007959C4"/>
    <w:rsid w:val="00795B25"/>
    <w:rsid w:val="00795F56"/>
    <w:rsid w:val="00796044"/>
    <w:rsid w:val="00796084"/>
    <w:rsid w:val="0079615F"/>
    <w:rsid w:val="0079660C"/>
    <w:rsid w:val="00796714"/>
    <w:rsid w:val="00796948"/>
    <w:rsid w:val="00796A65"/>
    <w:rsid w:val="00796E86"/>
    <w:rsid w:val="00797496"/>
    <w:rsid w:val="0079754C"/>
    <w:rsid w:val="0079771D"/>
    <w:rsid w:val="007979D2"/>
    <w:rsid w:val="007A00ED"/>
    <w:rsid w:val="007A0BB5"/>
    <w:rsid w:val="007A0CD4"/>
    <w:rsid w:val="007A0DDF"/>
    <w:rsid w:val="007A15B2"/>
    <w:rsid w:val="007A16B3"/>
    <w:rsid w:val="007A1BD7"/>
    <w:rsid w:val="007A211B"/>
    <w:rsid w:val="007A2604"/>
    <w:rsid w:val="007A26CD"/>
    <w:rsid w:val="007A3011"/>
    <w:rsid w:val="007A33F2"/>
    <w:rsid w:val="007A365D"/>
    <w:rsid w:val="007A3C5B"/>
    <w:rsid w:val="007A4320"/>
    <w:rsid w:val="007A5903"/>
    <w:rsid w:val="007A5987"/>
    <w:rsid w:val="007A59C9"/>
    <w:rsid w:val="007A5AC6"/>
    <w:rsid w:val="007A5C9F"/>
    <w:rsid w:val="007A6332"/>
    <w:rsid w:val="007A685B"/>
    <w:rsid w:val="007A698D"/>
    <w:rsid w:val="007A6A80"/>
    <w:rsid w:val="007A71A1"/>
    <w:rsid w:val="007A74B7"/>
    <w:rsid w:val="007A75C9"/>
    <w:rsid w:val="007A7E19"/>
    <w:rsid w:val="007B0B77"/>
    <w:rsid w:val="007B0CF6"/>
    <w:rsid w:val="007B0EE0"/>
    <w:rsid w:val="007B107D"/>
    <w:rsid w:val="007B10F3"/>
    <w:rsid w:val="007B12B7"/>
    <w:rsid w:val="007B12F7"/>
    <w:rsid w:val="007B1743"/>
    <w:rsid w:val="007B17C5"/>
    <w:rsid w:val="007B199C"/>
    <w:rsid w:val="007B1C17"/>
    <w:rsid w:val="007B1D58"/>
    <w:rsid w:val="007B1D7E"/>
    <w:rsid w:val="007B1E42"/>
    <w:rsid w:val="007B219C"/>
    <w:rsid w:val="007B317F"/>
    <w:rsid w:val="007B33B4"/>
    <w:rsid w:val="007B35AD"/>
    <w:rsid w:val="007B36F4"/>
    <w:rsid w:val="007B3911"/>
    <w:rsid w:val="007B391B"/>
    <w:rsid w:val="007B3C6C"/>
    <w:rsid w:val="007B3D82"/>
    <w:rsid w:val="007B41E9"/>
    <w:rsid w:val="007B45F0"/>
    <w:rsid w:val="007B4650"/>
    <w:rsid w:val="007B47F6"/>
    <w:rsid w:val="007B4D0C"/>
    <w:rsid w:val="007B4D2B"/>
    <w:rsid w:val="007B4FC9"/>
    <w:rsid w:val="007B4FDA"/>
    <w:rsid w:val="007B5441"/>
    <w:rsid w:val="007B57B9"/>
    <w:rsid w:val="007B5A0E"/>
    <w:rsid w:val="007B5C3F"/>
    <w:rsid w:val="007B5F56"/>
    <w:rsid w:val="007B6186"/>
    <w:rsid w:val="007B624B"/>
    <w:rsid w:val="007B67EB"/>
    <w:rsid w:val="007B68FE"/>
    <w:rsid w:val="007B6AB3"/>
    <w:rsid w:val="007B6CDA"/>
    <w:rsid w:val="007B6EBE"/>
    <w:rsid w:val="007B6FD0"/>
    <w:rsid w:val="007B7240"/>
    <w:rsid w:val="007B73FC"/>
    <w:rsid w:val="007B764D"/>
    <w:rsid w:val="007B76A4"/>
    <w:rsid w:val="007B79E2"/>
    <w:rsid w:val="007B7D96"/>
    <w:rsid w:val="007B7E9C"/>
    <w:rsid w:val="007C01C4"/>
    <w:rsid w:val="007C0312"/>
    <w:rsid w:val="007C0586"/>
    <w:rsid w:val="007C0663"/>
    <w:rsid w:val="007C07B5"/>
    <w:rsid w:val="007C0DBF"/>
    <w:rsid w:val="007C0F07"/>
    <w:rsid w:val="007C0F0A"/>
    <w:rsid w:val="007C0F9F"/>
    <w:rsid w:val="007C101F"/>
    <w:rsid w:val="007C1682"/>
    <w:rsid w:val="007C1CC8"/>
    <w:rsid w:val="007C1E3F"/>
    <w:rsid w:val="007C1F12"/>
    <w:rsid w:val="007C2315"/>
    <w:rsid w:val="007C2B44"/>
    <w:rsid w:val="007C2BF7"/>
    <w:rsid w:val="007C3140"/>
    <w:rsid w:val="007C3761"/>
    <w:rsid w:val="007C3A8F"/>
    <w:rsid w:val="007C3ADA"/>
    <w:rsid w:val="007C3C4F"/>
    <w:rsid w:val="007C3D56"/>
    <w:rsid w:val="007C40F2"/>
    <w:rsid w:val="007C4461"/>
    <w:rsid w:val="007C44B6"/>
    <w:rsid w:val="007C45AF"/>
    <w:rsid w:val="007C45DC"/>
    <w:rsid w:val="007C46A3"/>
    <w:rsid w:val="007C46DA"/>
    <w:rsid w:val="007C481E"/>
    <w:rsid w:val="007C4901"/>
    <w:rsid w:val="007C4E16"/>
    <w:rsid w:val="007C501D"/>
    <w:rsid w:val="007C5319"/>
    <w:rsid w:val="007C5608"/>
    <w:rsid w:val="007C57C4"/>
    <w:rsid w:val="007C5AAF"/>
    <w:rsid w:val="007C5B3A"/>
    <w:rsid w:val="007C5D3C"/>
    <w:rsid w:val="007C5EA9"/>
    <w:rsid w:val="007C62B6"/>
    <w:rsid w:val="007C642D"/>
    <w:rsid w:val="007C64B9"/>
    <w:rsid w:val="007C64EB"/>
    <w:rsid w:val="007C66BD"/>
    <w:rsid w:val="007C6DEB"/>
    <w:rsid w:val="007C6EFE"/>
    <w:rsid w:val="007C7296"/>
    <w:rsid w:val="007C73AE"/>
    <w:rsid w:val="007C74DF"/>
    <w:rsid w:val="007C76B6"/>
    <w:rsid w:val="007C7882"/>
    <w:rsid w:val="007C7BCC"/>
    <w:rsid w:val="007D006E"/>
    <w:rsid w:val="007D018F"/>
    <w:rsid w:val="007D03E4"/>
    <w:rsid w:val="007D0431"/>
    <w:rsid w:val="007D0751"/>
    <w:rsid w:val="007D0C08"/>
    <w:rsid w:val="007D0D45"/>
    <w:rsid w:val="007D10FE"/>
    <w:rsid w:val="007D12AF"/>
    <w:rsid w:val="007D12E6"/>
    <w:rsid w:val="007D1F96"/>
    <w:rsid w:val="007D209E"/>
    <w:rsid w:val="007D263B"/>
    <w:rsid w:val="007D28ED"/>
    <w:rsid w:val="007D2933"/>
    <w:rsid w:val="007D296E"/>
    <w:rsid w:val="007D2FC7"/>
    <w:rsid w:val="007D33FC"/>
    <w:rsid w:val="007D382E"/>
    <w:rsid w:val="007D40C3"/>
    <w:rsid w:val="007D44B3"/>
    <w:rsid w:val="007D4724"/>
    <w:rsid w:val="007D4881"/>
    <w:rsid w:val="007D48C6"/>
    <w:rsid w:val="007D494F"/>
    <w:rsid w:val="007D4AC6"/>
    <w:rsid w:val="007D4BE2"/>
    <w:rsid w:val="007D4CDF"/>
    <w:rsid w:val="007D4FF5"/>
    <w:rsid w:val="007D516E"/>
    <w:rsid w:val="007D57F5"/>
    <w:rsid w:val="007D5DEB"/>
    <w:rsid w:val="007D6010"/>
    <w:rsid w:val="007D6096"/>
    <w:rsid w:val="007D6133"/>
    <w:rsid w:val="007D61E0"/>
    <w:rsid w:val="007D6571"/>
    <w:rsid w:val="007D695E"/>
    <w:rsid w:val="007D6D56"/>
    <w:rsid w:val="007D74D4"/>
    <w:rsid w:val="007D7548"/>
    <w:rsid w:val="007D767E"/>
    <w:rsid w:val="007D79B2"/>
    <w:rsid w:val="007D7BDC"/>
    <w:rsid w:val="007D7DF5"/>
    <w:rsid w:val="007E0014"/>
    <w:rsid w:val="007E03F0"/>
    <w:rsid w:val="007E040E"/>
    <w:rsid w:val="007E04BA"/>
    <w:rsid w:val="007E071F"/>
    <w:rsid w:val="007E079D"/>
    <w:rsid w:val="007E0962"/>
    <w:rsid w:val="007E0D1E"/>
    <w:rsid w:val="007E14AB"/>
    <w:rsid w:val="007E16F1"/>
    <w:rsid w:val="007E258A"/>
    <w:rsid w:val="007E28C4"/>
    <w:rsid w:val="007E2A97"/>
    <w:rsid w:val="007E2BF3"/>
    <w:rsid w:val="007E3487"/>
    <w:rsid w:val="007E393E"/>
    <w:rsid w:val="007E394B"/>
    <w:rsid w:val="007E399F"/>
    <w:rsid w:val="007E39CC"/>
    <w:rsid w:val="007E3C67"/>
    <w:rsid w:val="007E3E31"/>
    <w:rsid w:val="007E3F25"/>
    <w:rsid w:val="007E3F4A"/>
    <w:rsid w:val="007E3FBE"/>
    <w:rsid w:val="007E3FC8"/>
    <w:rsid w:val="007E4831"/>
    <w:rsid w:val="007E48EE"/>
    <w:rsid w:val="007E4A9F"/>
    <w:rsid w:val="007E4FF1"/>
    <w:rsid w:val="007E519D"/>
    <w:rsid w:val="007E5476"/>
    <w:rsid w:val="007E579B"/>
    <w:rsid w:val="007E57A0"/>
    <w:rsid w:val="007E58DD"/>
    <w:rsid w:val="007E5A0B"/>
    <w:rsid w:val="007E5E39"/>
    <w:rsid w:val="007E64E0"/>
    <w:rsid w:val="007E662D"/>
    <w:rsid w:val="007E6C22"/>
    <w:rsid w:val="007E6FCD"/>
    <w:rsid w:val="007E6FE0"/>
    <w:rsid w:val="007E76AF"/>
    <w:rsid w:val="007E7771"/>
    <w:rsid w:val="007E7A2E"/>
    <w:rsid w:val="007E7B19"/>
    <w:rsid w:val="007F0154"/>
    <w:rsid w:val="007F02FD"/>
    <w:rsid w:val="007F031B"/>
    <w:rsid w:val="007F079B"/>
    <w:rsid w:val="007F07C4"/>
    <w:rsid w:val="007F07C5"/>
    <w:rsid w:val="007F0C23"/>
    <w:rsid w:val="007F103A"/>
    <w:rsid w:val="007F1055"/>
    <w:rsid w:val="007F1953"/>
    <w:rsid w:val="007F196C"/>
    <w:rsid w:val="007F1A8A"/>
    <w:rsid w:val="007F1C77"/>
    <w:rsid w:val="007F20A6"/>
    <w:rsid w:val="007F22F9"/>
    <w:rsid w:val="007F2C31"/>
    <w:rsid w:val="007F2D7A"/>
    <w:rsid w:val="007F2DC6"/>
    <w:rsid w:val="007F2F73"/>
    <w:rsid w:val="007F3475"/>
    <w:rsid w:val="007F3513"/>
    <w:rsid w:val="007F3534"/>
    <w:rsid w:val="007F363A"/>
    <w:rsid w:val="007F38D6"/>
    <w:rsid w:val="007F39BC"/>
    <w:rsid w:val="007F3C4A"/>
    <w:rsid w:val="007F3F97"/>
    <w:rsid w:val="007F3F9D"/>
    <w:rsid w:val="007F439F"/>
    <w:rsid w:val="007F488C"/>
    <w:rsid w:val="007F4988"/>
    <w:rsid w:val="007F50F0"/>
    <w:rsid w:val="007F5721"/>
    <w:rsid w:val="007F5ED5"/>
    <w:rsid w:val="007F653B"/>
    <w:rsid w:val="007F6A3B"/>
    <w:rsid w:val="007F6BE0"/>
    <w:rsid w:val="007F6C21"/>
    <w:rsid w:val="007F6F62"/>
    <w:rsid w:val="007F7077"/>
    <w:rsid w:val="007F7125"/>
    <w:rsid w:val="007F727F"/>
    <w:rsid w:val="007F7465"/>
    <w:rsid w:val="007F74D1"/>
    <w:rsid w:val="007F77C8"/>
    <w:rsid w:val="00800CA3"/>
    <w:rsid w:val="00800E40"/>
    <w:rsid w:val="008011D0"/>
    <w:rsid w:val="00801991"/>
    <w:rsid w:val="00801F2F"/>
    <w:rsid w:val="0080210B"/>
    <w:rsid w:val="0080215F"/>
    <w:rsid w:val="008024D1"/>
    <w:rsid w:val="008025A5"/>
    <w:rsid w:val="00802755"/>
    <w:rsid w:val="00802B84"/>
    <w:rsid w:val="00802D11"/>
    <w:rsid w:val="00802E2C"/>
    <w:rsid w:val="00802E3B"/>
    <w:rsid w:val="008032E8"/>
    <w:rsid w:val="00803300"/>
    <w:rsid w:val="008035C6"/>
    <w:rsid w:val="00803812"/>
    <w:rsid w:val="008038E5"/>
    <w:rsid w:val="00803D02"/>
    <w:rsid w:val="00803D0A"/>
    <w:rsid w:val="00803E84"/>
    <w:rsid w:val="00804418"/>
    <w:rsid w:val="008044A8"/>
    <w:rsid w:val="0080588B"/>
    <w:rsid w:val="008059B7"/>
    <w:rsid w:val="00805CD2"/>
    <w:rsid w:val="008060E4"/>
    <w:rsid w:val="00806111"/>
    <w:rsid w:val="0080621E"/>
    <w:rsid w:val="008063BE"/>
    <w:rsid w:val="008067AC"/>
    <w:rsid w:val="00806ACF"/>
    <w:rsid w:val="00806B59"/>
    <w:rsid w:val="00806CF5"/>
    <w:rsid w:val="00806F9B"/>
    <w:rsid w:val="0080753A"/>
    <w:rsid w:val="00807803"/>
    <w:rsid w:val="00807822"/>
    <w:rsid w:val="008078E6"/>
    <w:rsid w:val="00807A51"/>
    <w:rsid w:val="008106BC"/>
    <w:rsid w:val="008106DE"/>
    <w:rsid w:val="008107DE"/>
    <w:rsid w:val="0081090C"/>
    <w:rsid w:val="00810DCB"/>
    <w:rsid w:val="00810FAC"/>
    <w:rsid w:val="008116D6"/>
    <w:rsid w:val="00811B67"/>
    <w:rsid w:val="00811BE3"/>
    <w:rsid w:val="00811BF0"/>
    <w:rsid w:val="00811D29"/>
    <w:rsid w:val="00811EF6"/>
    <w:rsid w:val="00811F14"/>
    <w:rsid w:val="008120BD"/>
    <w:rsid w:val="008122A0"/>
    <w:rsid w:val="008125B8"/>
    <w:rsid w:val="008125BB"/>
    <w:rsid w:val="00812613"/>
    <w:rsid w:val="00812C71"/>
    <w:rsid w:val="0081310D"/>
    <w:rsid w:val="0081315E"/>
    <w:rsid w:val="00813160"/>
    <w:rsid w:val="0081318B"/>
    <w:rsid w:val="0081321D"/>
    <w:rsid w:val="0081340F"/>
    <w:rsid w:val="0081355E"/>
    <w:rsid w:val="00813D69"/>
    <w:rsid w:val="00813E8A"/>
    <w:rsid w:val="00813EE6"/>
    <w:rsid w:val="00813FAA"/>
    <w:rsid w:val="00814202"/>
    <w:rsid w:val="0081462F"/>
    <w:rsid w:val="0081466F"/>
    <w:rsid w:val="008146F3"/>
    <w:rsid w:val="00814884"/>
    <w:rsid w:val="00814DD8"/>
    <w:rsid w:val="00814F75"/>
    <w:rsid w:val="00815467"/>
    <w:rsid w:val="00815912"/>
    <w:rsid w:val="00815AA6"/>
    <w:rsid w:val="00815CB1"/>
    <w:rsid w:val="00815EF1"/>
    <w:rsid w:val="00816005"/>
    <w:rsid w:val="008162B6"/>
    <w:rsid w:val="008164F7"/>
    <w:rsid w:val="00816916"/>
    <w:rsid w:val="00816A1B"/>
    <w:rsid w:val="00816BFB"/>
    <w:rsid w:val="008172DB"/>
    <w:rsid w:val="0081742A"/>
    <w:rsid w:val="00817539"/>
    <w:rsid w:val="00817A2C"/>
    <w:rsid w:val="00817C59"/>
    <w:rsid w:val="00817D08"/>
    <w:rsid w:val="00817D15"/>
    <w:rsid w:val="00817FE4"/>
    <w:rsid w:val="0082009A"/>
    <w:rsid w:val="00820187"/>
    <w:rsid w:val="008203B0"/>
    <w:rsid w:val="008203C6"/>
    <w:rsid w:val="0082050E"/>
    <w:rsid w:val="008206EB"/>
    <w:rsid w:val="00820906"/>
    <w:rsid w:val="00820F3A"/>
    <w:rsid w:val="008219AB"/>
    <w:rsid w:val="00821C7A"/>
    <w:rsid w:val="00821CD6"/>
    <w:rsid w:val="00821DFA"/>
    <w:rsid w:val="008220F5"/>
    <w:rsid w:val="00822596"/>
    <w:rsid w:val="00822808"/>
    <w:rsid w:val="008228F3"/>
    <w:rsid w:val="0082298B"/>
    <w:rsid w:val="00822AC9"/>
    <w:rsid w:val="00822F36"/>
    <w:rsid w:val="00823036"/>
    <w:rsid w:val="00823087"/>
    <w:rsid w:val="00823434"/>
    <w:rsid w:val="0082354C"/>
    <w:rsid w:val="00823AB7"/>
    <w:rsid w:val="00823E8D"/>
    <w:rsid w:val="0082402C"/>
    <w:rsid w:val="00824101"/>
    <w:rsid w:val="008244C0"/>
    <w:rsid w:val="00824502"/>
    <w:rsid w:val="008246BF"/>
    <w:rsid w:val="00824AE8"/>
    <w:rsid w:val="00824C72"/>
    <w:rsid w:val="00824F82"/>
    <w:rsid w:val="008250C5"/>
    <w:rsid w:val="00825125"/>
    <w:rsid w:val="00825B3B"/>
    <w:rsid w:val="00825C4F"/>
    <w:rsid w:val="008260A3"/>
    <w:rsid w:val="008260FC"/>
    <w:rsid w:val="0082621D"/>
    <w:rsid w:val="0082648D"/>
    <w:rsid w:val="00826877"/>
    <w:rsid w:val="008268C4"/>
    <w:rsid w:val="008269FA"/>
    <w:rsid w:val="00826A9E"/>
    <w:rsid w:val="00826CCC"/>
    <w:rsid w:val="00826F76"/>
    <w:rsid w:val="008272DA"/>
    <w:rsid w:val="00827511"/>
    <w:rsid w:val="00827692"/>
    <w:rsid w:val="00827CE2"/>
    <w:rsid w:val="00827DB4"/>
    <w:rsid w:val="00827F56"/>
    <w:rsid w:val="0083006D"/>
    <w:rsid w:val="008301D7"/>
    <w:rsid w:val="00830862"/>
    <w:rsid w:val="00830C4B"/>
    <w:rsid w:val="00830E8C"/>
    <w:rsid w:val="00830FF0"/>
    <w:rsid w:val="008310A7"/>
    <w:rsid w:val="008316AE"/>
    <w:rsid w:val="008318B6"/>
    <w:rsid w:val="00831A84"/>
    <w:rsid w:val="00831A8C"/>
    <w:rsid w:val="00831BFF"/>
    <w:rsid w:val="00832479"/>
    <w:rsid w:val="00832CAA"/>
    <w:rsid w:val="008330C3"/>
    <w:rsid w:val="00833936"/>
    <w:rsid w:val="00833DC1"/>
    <w:rsid w:val="0083407E"/>
    <w:rsid w:val="00834968"/>
    <w:rsid w:val="008350BD"/>
    <w:rsid w:val="0083570E"/>
    <w:rsid w:val="008357E9"/>
    <w:rsid w:val="00835C99"/>
    <w:rsid w:val="00835E7E"/>
    <w:rsid w:val="00835E85"/>
    <w:rsid w:val="008361CE"/>
    <w:rsid w:val="008363B4"/>
    <w:rsid w:val="008369E1"/>
    <w:rsid w:val="00836BAA"/>
    <w:rsid w:val="008374AA"/>
    <w:rsid w:val="008374BA"/>
    <w:rsid w:val="008377F5"/>
    <w:rsid w:val="008377FC"/>
    <w:rsid w:val="0083785C"/>
    <w:rsid w:val="0084082A"/>
    <w:rsid w:val="0084097E"/>
    <w:rsid w:val="00840B58"/>
    <w:rsid w:val="00840C58"/>
    <w:rsid w:val="00840E0B"/>
    <w:rsid w:val="008411DC"/>
    <w:rsid w:val="008418B2"/>
    <w:rsid w:val="00841EC5"/>
    <w:rsid w:val="00841F84"/>
    <w:rsid w:val="00842202"/>
    <w:rsid w:val="00842506"/>
    <w:rsid w:val="00842B18"/>
    <w:rsid w:val="00842EF4"/>
    <w:rsid w:val="00843035"/>
    <w:rsid w:val="00843050"/>
    <w:rsid w:val="0084307A"/>
    <w:rsid w:val="00843274"/>
    <w:rsid w:val="008433F5"/>
    <w:rsid w:val="0084374E"/>
    <w:rsid w:val="00843889"/>
    <w:rsid w:val="0084418D"/>
    <w:rsid w:val="008443F4"/>
    <w:rsid w:val="00844525"/>
    <w:rsid w:val="0084457D"/>
    <w:rsid w:val="0084457E"/>
    <w:rsid w:val="0084491C"/>
    <w:rsid w:val="00844BA2"/>
    <w:rsid w:val="00844CFC"/>
    <w:rsid w:val="00844D58"/>
    <w:rsid w:val="00845080"/>
    <w:rsid w:val="008452B0"/>
    <w:rsid w:val="008456FC"/>
    <w:rsid w:val="00846502"/>
    <w:rsid w:val="008465C6"/>
    <w:rsid w:val="00847089"/>
    <w:rsid w:val="00847383"/>
    <w:rsid w:val="00847492"/>
    <w:rsid w:val="008474E0"/>
    <w:rsid w:val="0084773D"/>
    <w:rsid w:val="00850427"/>
    <w:rsid w:val="00850619"/>
    <w:rsid w:val="00850A0B"/>
    <w:rsid w:val="00850FCA"/>
    <w:rsid w:val="008511E7"/>
    <w:rsid w:val="0085141C"/>
    <w:rsid w:val="008514E9"/>
    <w:rsid w:val="008522D4"/>
    <w:rsid w:val="0085265A"/>
    <w:rsid w:val="00852A52"/>
    <w:rsid w:val="00852DDC"/>
    <w:rsid w:val="0085300C"/>
    <w:rsid w:val="00853265"/>
    <w:rsid w:val="00853473"/>
    <w:rsid w:val="008534DE"/>
    <w:rsid w:val="0085353E"/>
    <w:rsid w:val="00853684"/>
    <w:rsid w:val="008538A3"/>
    <w:rsid w:val="00853EDA"/>
    <w:rsid w:val="00854280"/>
    <w:rsid w:val="008543B6"/>
    <w:rsid w:val="00854CDB"/>
    <w:rsid w:val="0085516A"/>
    <w:rsid w:val="008554DC"/>
    <w:rsid w:val="008557FE"/>
    <w:rsid w:val="00855AFF"/>
    <w:rsid w:val="00855C03"/>
    <w:rsid w:val="0085605E"/>
    <w:rsid w:val="00856495"/>
    <w:rsid w:val="00856897"/>
    <w:rsid w:val="008568CA"/>
    <w:rsid w:val="00856E6C"/>
    <w:rsid w:val="00857005"/>
    <w:rsid w:val="008572A4"/>
    <w:rsid w:val="008573EC"/>
    <w:rsid w:val="0085747E"/>
    <w:rsid w:val="008577CD"/>
    <w:rsid w:val="00857889"/>
    <w:rsid w:val="008579C5"/>
    <w:rsid w:val="00857EE9"/>
    <w:rsid w:val="00857F0D"/>
    <w:rsid w:val="00860120"/>
    <w:rsid w:val="008604B0"/>
    <w:rsid w:val="00860636"/>
    <w:rsid w:val="0086072C"/>
    <w:rsid w:val="008607E9"/>
    <w:rsid w:val="008608F4"/>
    <w:rsid w:val="00861305"/>
    <w:rsid w:val="00861341"/>
    <w:rsid w:val="008613B2"/>
    <w:rsid w:val="008615DE"/>
    <w:rsid w:val="008616F4"/>
    <w:rsid w:val="00861930"/>
    <w:rsid w:val="00861DEF"/>
    <w:rsid w:val="00861FA8"/>
    <w:rsid w:val="00862122"/>
    <w:rsid w:val="008622C5"/>
    <w:rsid w:val="00862316"/>
    <w:rsid w:val="008625A2"/>
    <w:rsid w:val="00862791"/>
    <w:rsid w:val="00862C12"/>
    <w:rsid w:val="00862D7B"/>
    <w:rsid w:val="00862F7F"/>
    <w:rsid w:val="008635B7"/>
    <w:rsid w:val="008639C4"/>
    <w:rsid w:val="00863A4E"/>
    <w:rsid w:val="00863C92"/>
    <w:rsid w:val="00863CA8"/>
    <w:rsid w:val="00864391"/>
    <w:rsid w:val="00864454"/>
    <w:rsid w:val="008645B8"/>
    <w:rsid w:val="00864ADB"/>
    <w:rsid w:val="00864D31"/>
    <w:rsid w:val="00864D99"/>
    <w:rsid w:val="00864FC2"/>
    <w:rsid w:val="00865435"/>
    <w:rsid w:val="008656E9"/>
    <w:rsid w:val="0086579E"/>
    <w:rsid w:val="00865CB8"/>
    <w:rsid w:val="00865F75"/>
    <w:rsid w:val="00866086"/>
    <w:rsid w:val="0086615A"/>
    <w:rsid w:val="008669C2"/>
    <w:rsid w:val="00866C85"/>
    <w:rsid w:val="00866DCE"/>
    <w:rsid w:val="00866DFA"/>
    <w:rsid w:val="0086752D"/>
    <w:rsid w:val="008675F8"/>
    <w:rsid w:val="00867A8A"/>
    <w:rsid w:val="00867CB2"/>
    <w:rsid w:val="00867E6F"/>
    <w:rsid w:val="00867FE8"/>
    <w:rsid w:val="0087029D"/>
    <w:rsid w:val="00870907"/>
    <w:rsid w:val="00870A3C"/>
    <w:rsid w:val="0087125C"/>
    <w:rsid w:val="0087145E"/>
    <w:rsid w:val="00871686"/>
    <w:rsid w:val="00871C2B"/>
    <w:rsid w:val="00872371"/>
    <w:rsid w:val="00873187"/>
    <w:rsid w:val="00873206"/>
    <w:rsid w:val="008732E4"/>
    <w:rsid w:val="00873649"/>
    <w:rsid w:val="008736F3"/>
    <w:rsid w:val="00873870"/>
    <w:rsid w:val="00873A97"/>
    <w:rsid w:val="00873B72"/>
    <w:rsid w:val="00873C10"/>
    <w:rsid w:val="00873EEA"/>
    <w:rsid w:val="00874043"/>
    <w:rsid w:val="008740AD"/>
    <w:rsid w:val="00874469"/>
    <w:rsid w:val="008746BA"/>
    <w:rsid w:val="00874C58"/>
    <w:rsid w:val="00875723"/>
    <w:rsid w:val="0087574D"/>
    <w:rsid w:val="0087578B"/>
    <w:rsid w:val="00875824"/>
    <w:rsid w:val="008759F9"/>
    <w:rsid w:val="00875A15"/>
    <w:rsid w:val="00875A90"/>
    <w:rsid w:val="00875DC6"/>
    <w:rsid w:val="008763CF"/>
    <w:rsid w:val="00876AD2"/>
    <w:rsid w:val="00876B27"/>
    <w:rsid w:val="00876DD0"/>
    <w:rsid w:val="0087759C"/>
    <w:rsid w:val="0087779A"/>
    <w:rsid w:val="00880087"/>
    <w:rsid w:val="008803DA"/>
    <w:rsid w:val="00880898"/>
    <w:rsid w:val="008808D2"/>
    <w:rsid w:val="00880C05"/>
    <w:rsid w:val="00880CCD"/>
    <w:rsid w:val="00881677"/>
    <w:rsid w:val="00881808"/>
    <w:rsid w:val="00881F81"/>
    <w:rsid w:val="00881FF7"/>
    <w:rsid w:val="008822CD"/>
    <w:rsid w:val="008823C8"/>
    <w:rsid w:val="0088272C"/>
    <w:rsid w:val="00882820"/>
    <w:rsid w:val="00882EAC"/>
    <w:rsid w:val="00883045"/>
    <w:rsid w:val="008830E3"/>
    <w:rsid w:val="00883168"/>
    <w:rsid w:val="0088321D"/>
    <w:rsid w:val="00883344"/>
    <w:rsid w:val="008833E5"/>
    <w:rsid w:val="00883522"/>
    <w:rsid w:val="0088357E"/>
    <w:rsid w:val="00883A80"/>
    <w:rsid w:val="00883B28"/>
    <w:rsid w:val="00883B42"/>
    <w:rsid w:val="00883D87"/>
    <w:rsid w:val="00883ED4"/>
    <w:rsid w:val="00883F75"/>
    <w:rsid w:val="00883F79"/>
    <w:rsid w:val="00884234"/>
    <w:rsid w:val="0088478C"/>
    <w:rsid w:val="00884968"/>
    <w:rsid w:val="00884BF5"/>
    <w:rsid w:val="00884D61"/>
    <w:rsid w:val="00884DD7"/>
    <w:rsid w:val="00885560"/>
    <w:rsid w:val="00885909"/>
    <w:rsid w:val="00885D2D"/>
    <w:rsid w:val="00885E1E"/>
    <w:rsid w:val="0088685F"/>
    <w:rsid w:val="00886920"/>
    <w:rsid w:val="00886DDF"/>
    <w:rsid w:val="00887418"/>
    <w:rsid w:val="008874F8"/>
    <w:rsid w:val="00887923"/>
    <w:rsid w:val="00887A1A"/>
    <w:rsid w:val="0089000F"/>
    <w:rsid w:val="008902F5"/>
    <w:rsid w:val="00890503"/>
    <w:rsid w:val="00890A4B"/>
    <w:rsid w:val="00890C0E"/>
    <w:rsid w:val="00890D0A"/>
    <w:rsid w:val="00890D49"/>
    <w:rsid w:val="00890EC4"/>
    <w:rsid w:val="00890F48"/>
    <w:rsid w:val="008910EC"/>
    <w:rsid w:val="00891A40"/>
    <w:rsid w:val="00891AE6"/>
    <w:rsid w:val="00891BF4"/>
    <w:rsid w:val="00891CB4"/>
    <w:rsid w:val="00892295"/>
    <w:rsid w:val="00892451"/>
    <w:rsid w:val="008925C1"/>
    <w:rsid w:val="0089263D"/>
    <w:rsid w:val="008926AC"/>
    <w:rsid w:val="008928DD"/>
    <w:rsid w:val="00892970"/>
    <w:rsid w:val="00892A05"/>
    <w:rsid w:val="00892B05"/>
    <w:rsid w:val="00892C3B"/>
    <w:rsid w:val="00892C48"/>
    <w:rsid w:val="00892D30"/>
    <w:rsid w:val="00892D6F"/>
    <w:rsid w:val="00892EC1"/>
    <w:rsid w:val="00892ED9"/>
    <w:rsid w:val="0089312C"/>
    <w:rsid w:val="00893148"/>
    <w:rsid w:val="008934A1"/>
    <w:rsid w:val="00893D62"/>
    <w:rsid w:val="00893F37"/>
    <w:rsid w:val="00894C78"/>
    <w:rsid w:val="0089521C"/>
    <w:rsid w:val="0089534D"/>
    <w:rsid w:val="0089557A"/>
    <w:rsid w:val="008955F6"/>
    <w:rsid w:val="00895A7B"/>
    <w:rsid w:val="00895BB9"/>
    <w:rsid w:val="00895DFE"/>
    <w:rsid w:val="008961BF"/>
    <w:rsid w:val="00896E13"/>
    <w:rsid w:val="00897050"/>
    <w:rsid w:val="00897508"/>
    <w:rsid w:val="0089767B"/>
    <w:rsid w:val="00897973"/>
    <w:rsid w:val="00897E4E"/>
    <w:rsid w:val="00897EB6"/>
    <w:rsid w:val="008A01F5"/>
    <w:rsid w:val="008A0241"/>
    <w:rsid w:val="008A02CA"/>
    <w:rsid w:val="008A02F7"/>
    <w:rsid w:val="008A0508"/>
    <w:rsid w:val="008A0814"/>
    <w:rsid w:val="008A0890"/>
    <w:rsid w:val="008A12A7"/>
    <w:rsid w:val="008A15C2"/>
    <w:rsid w:val="008A1A6B"/>
    <w:rsid w:val="008A1A9C"/>
    <w:rsid w:val="008A1D12"/>
    <w:rsid w:val="008A1E85"/>
    <w:rsid w:val="008A21AE"/>
    <w:rsid w:val="008A29E1"/>
    <w:rsid w:val="008A2A79"/>
    <w:rsid w:val="008A2C85"/>
    <w:rsid w:val="008A32B1"/>
    <w:rsid w:val="008A3612"/>
    <w:rsid w:val="008A45E7"/>
    <w:rsid w:val="008A483A"/>
    <w:rsid w:val="008A4C4E"/>
    <w:rsid w:val="008A4D66"/>
    <w:rsid w:val="008A4D6D"/>
    <w:rsid w:val="008A4FE4"/>
    <w:rsid w:val="008A5743"/>
    <w:rsid w:val="008A5A85"/>
    <w:rsid w:val="008A5C36"/>
    <w:rsid w:val="008A5F4D"/>
    <w:rsid w:val="008A610F"/>
    <w:rsid w:val="008A6425"/>
    <w:rsid w:val="008A64B4"/>
    <w:rsid w:val="008A6A7C"/>
    <w:rsid w:val="008A6DEC"/>
    <w:rsid w:val="008A6EDB"/>
    <w:rsid w:val="008A6F22"/>
    <w:rsid w:val="008A7325"/>
    <w:rsid w:val="008A7432"/>
    <w:rsid w:val="008A7691"/>
    <w:rsid w:val="008A76F6"/>
    <w:rsid w:val="008B06C5"/>
    <w:rsid w:val="008B0AC0"/>
    <w:rsid w:val="008B0C03"/>
    <w:rsid w:val="008B0ECF"/>
    <w:rsid w:val="008B10BB"/>
    <w:rsid w:val="008B10E2"/>
    <w:rsid w:val="008B11D7"/>
    <w:rsid w:val="008B1613"/>
    <w:rsid w:val="008B1729"/>
    <w:rsid w:val="008B18E3"/>
    <w:rsid w:val="008B1922"/>
    <w:rsid w:val="008B1972"/>
    <w:rsid w:val="008B1ACC"/>
    <w:rsid w:val="008B1B8D"/>
    <w:rsid w:val="008B1B9F"/>
    <w:rsid w:val="008B1D5A"/>
    <w:rsid w:val="008B1DEE"/>
    <w:rsid w:val="008B204B"/>
    <w:rsid w:val="008B204D"/>
    <w:rsid w:val="008B228B"/>
    <w:rsid w:val="008B29CD"/>
    <w:rsid w:val="008B3901"/>
    <w:rsid w:val="008B394C"/>
    <w:rsid w:val="008B3CE4"/>
    <w:rsid w:val="008B3E84"/>
    <w:rsid w:val="008B4192"/>
    <w:rsid w:val="008B41AB"/>
    <w:rsid w:val="008B41FE"/>
    <w:rsid w:val="008B42D0"/>
    <w:rsid w:val="008B43CF"/>
    <w:rsid w:val="008B43F6"/>
    <w:rsid w:val="008B4451"/>
    <w:rsid w:val="008B459E"/>
    <w:rsid w:val="008B4D5E"/>
    <w:rsid w:val="008B4DF6"/>
    <w:rsid w:val="008B4EFE"/>
    <w:rsid w:val="008B53E1"/>
    <w:rsid w:val="008B55A6"/>
    <w:rsid w:val="008B5DD4"/>
    <w:rsid w:val="008B5E8D"/>
    <w:rsid w:val="008B6143"/>
    <w:rsid w:val="008B63E7"/>
    <w:rsid w:val="008B6CD8"/>
    <w:rsid w:val="008B6D15"/>
    <w:rsid w:val="008B6E07"/>
    <w:rsid w:val="008B6E1E"/>
    <w:rsid w:val="008B6FE6"/>
    <w:rsid w:val="008B75B5"/>
    <w:rsid w:val="008B79E1"/>
    <w:rsid w:val="008B7B6E"/>
    <w:rsid w:val="008B7C04"/>
    <w:rsid w:val="008B7C12"/>
    <w:rsid w:val="008B7CFE"/>
    <w:rsid w:val="008B7E28"/>
    <w:rsid w:val="008C012A"/>
    <w:rsid w:val="008C02DE"/>
    <w:rsid w:val="008C067F"/>
    <w:rsid w:val="008C082B"/>
    <w:rsid w:val="008C0919"/>
    <w:rsid w:val="008C0AF5"/>
    <w:rsid w:val="008C0D14"/>
    <w:rsid w:val="008C0F70"/>
    <w:rsid w:val="008C0FE2"/>
    <w:rsid w:val="008C1050"/>
    <w:rsid w:val="008C1505"/>
    <w:rsid w:val="008C156D"/>
    <w:rsid w:val="008C166B"/>
    <w:rsid w:val="008C187D"/>
    <w:rsid w:val="008C1C5A"/>
    <w:rsid w:val="008C1C74"/>
    <w:rsid w:val="008C1EE9"/>
    <w:rsid w:val="008C2501"/>
    <w:rsid w:val="008C273F"/>
    <w:rsid w:val="008C2784"/>
    <w:rsid w:val="008C2B61"/>
    <w:rsid w:val="008C2BAD"/>
    <w:rsid w:val="008C2CB1"/>
    <w:rsid w:val="008C2F5D"/>
    <w:rsid w:val="008C2F9D"/>
    <w:rsid w:val="008C3330"/>
    <w:rsid w:val="008C3915"/>
    <w:rsid w:val="008C39CE"/>
    <w:rsid w:val="008C3A28"/>
    <w:rsid w:val="008C44F3"/>
    <w:rsid w:val="008C4A04"/>
    <w:rsid w:val="008C4E4F"/>
    <w:rsid w:val="008C51D9"/>
    <w:rsid w:val="008C5694"/>
    <w:rsid w:val="008C598F"/>
    <w:rsid w:val="008C5C9F"/>
    <w:rsid w:val="008C5D41"/>
    <w:rsid w:val="008C5EB1"/>
    <w:rsid w:val="008C664F"/>
    <w:rsid w:val="008C6825"/>
    <w:rsid w:val="008C6B74"/>
    <w:rsid w:val="008C70E9"/>
    <w:rsid w:val="008C71E1"/>
    <w:rsid w:val="008C7215"/>
    <w:rsid w:val="008C7216"/>
    <w:rsid w:val="008C738B"/>
    <w:rsid w:val="008C73C9"/>
    <w:rsid w:val="008C740F"/>
    <w:rsid w:val="008C74B4"/>
    <w:rsid w:val="008D0307"/>
    <w:rsid w:val="008D04D5"/>
    <w:rsid w:val="008D0535"/>
    <w:rsid w:val="008D1488"/>
    <w:rsid w:val="008D1A04"/>
    <w:rsid w:val="008D1A48"/>
    <w:rsid w:val="008D1AE6"/>
    <w:rsid w:val="008D1B70"/>
    <w:rsid w:val="008D1D85"/>
    <w:rsid w:val="008D1DE2"/>
    <w:rsid w:val="008D1F24"/>
    <w:rsid w:val="008D2365"/>
    <w:rsid w:val="008D2595"/>
    <w:rsid w:val="008D2781"/>
    <w:rsid w:val="008D27FD"/>
    <w:rsid w:val="008D29FC"/>
    <w:rsid w:val="008D2B68"/>
    <w:rsid w:val="008D2B70"/>
    <w:rsid w:val="008D2E28"/>
    <w:rsid w:val="008D32BC"/>
    <w:rsid w:val="008D354B"/>
    <w:rsid w:val="008D371E"/>
    <w:rsid w:val="008D382A"/>
    <w:rsid w:val="008D3E42"/>
    <w:rsid w:val="008D4137"/>
    <w:rsid w:val="008D4658"/>
    <w:rsid w:val="008D48D6"/>
    <w:rsid w:val="008D4DA6"/>
    <w:rsid w:val="008D52BA"/>
    <w:rsid w:val="008D56B6"/>
    <w:rsid w:val="008D5719"/>
    <w:rsid w:val="008D5747"/>
    <w:rsid w:val="008D5CEF"/>
    <w:rsid w:val="008D61B1"/>
    <w:rsid w:val="008D6501"/>
    <w:rsid w:val="008D6554"/>
    <w:rsid w:val="008D6727"/>
    <w:rsid w:val="008D6751"/>
    <w:rsid w:val="008D67BE"/>
    <w:rsid w:val="008D6A52"/>
    <w:rsid w:val="008D6A85"/>
    <w:rsid w:val="008D6D03"/>
    <w:rsid w:val="008D6E4F"/>
    <w:rsid w:val="008D72E9"/>
    <w:rsid w:val="008D72FB"/>
    <w:rsid w:val="008D7641"/>
    <w:rsid w:val="008D76F8"/>
    <w:rsid w:val="008D774F"/>
    <w:rsid w:val="008D7778"/>
    <w:rsid w:val="008D7956"/>
    <w:rsid w:val="008D7AE2"/>
    <w:rsid w:val="008D7B16"/>
    <w:rsid w:val="008D7FDC"/>
    <w:rsid w:val="008E044F"/>
    <w:rsid w:val="008E05D7"/>
    <w:rsid w:val="008E0ADA"/>
    <w:rsid w:val="008E0B48"/>
    <w:rsid w:val="008E0D9E"/>
    <w:rsid w:val="008E12E4"/>
    <w:rsid w:val="008E156D"/>
    <w:rsid w:val="008E17FB"/>
    <w:rsid w:val="008E19B6"/>
    <w:rsid w:val="008E1AE4"/>
    <w:rsid w:val="008E1E7A"/>
    <w:rsid w:val="008E2336"/>
    <w:rsid w:val="008E2539"/>
    <w:rsid w:val="008E29C5"/>
    <w:rsid w:val="008E2C9A"/>
    <w:rsid w:val="008E2DC3"/>
    <w:rsid w:val="008E2EFB"/>
    <w:rsid w:val="008E2F4E"/>
    <w:rsid w:val="008E307E"/>
    <w:rsid w:val="008E3207"/>
    <w:rsid w:val="008E3468"/>
    <w:rsid w:val="008E35D8"/>
    <w:rsid w:val="008E371C"/>
    <w:rsid w:val="008E39D4"/>
    <w:rsid w:val="008E3E50"/>
    <w:rsid w:val="008E3EDC"/>
    <w:rsid w:val="008E3EF7"/>
    <w:rsid w:val="008E44B5"/>
    <w:rsid w:val="008E50FE"/>
    <w:rsid w:val="008E55F4"/>
    <w:rsid w:val="008E58C8"/>
    <w:rsid w:val="008E5BB2"/>
    <w:rsid w:val="008E5D6D"/>
    <w:rsid w:val="008E5E57"/>
    <w:rsid w:val="008E5FC3"/>
    <w:rsid w:val="008E61B9"/>
    <w:rsid w:val="008E6820"/>
    <w:rsid w:val="008E6B1B"/>
    <w:rsid w:val="008E6B3C"/>
    <w:rsid w:val="008E6F9C"/>
    <w:rsid w:val="008E724A"/>
    <w:rsid w:val="008E72E2"/>
    <w:rsid w:val="008E74EB"/>
    <w:rsid w:val="008E75B1"/>
    <w:rsid w:val="008E7619"/>
    <w:rsid w:val="008E7629"/>
    <w:rsid w:val="008E7719"/>
    <w:rsid w:val="008E78FD"/>
    <w:rsid w:val="008E7992"/>
    <w:rsid w:val="008E7BAD"/>
    <w:rsid w:val="008E7CF0"/>
    <w:rsid w:val="008E7D05"/>
    <w:rsid w:val="008E7EFB"/>
    <w:rsid w:val="008F01CC"/>
    <w:rsid w:val="008F021E"/>
    <w:rsid w:val="008F032D"/>
    <w:rsid w:val="008F0827"/>
    <w:rsid w:val="008F1A89"/>
    <w:rsid w:val="008F1BC1"/>
    <w:rsid w:val="008F2882"/>
    <w:rsid w:val="008F28EB"/>
    <w:rsid w:val="008F2A1D"/>
    <w:rsid w:val="008F2B71"/>
    <w:rsid w:val="008F2E42"/>
    <w:rsid w:val="008F2F07"/>
    <w:rsid w:val="008F3083"/>
    <w:rsid w:val="008F30E0"/>
    <w:rsid w:val="008F3237"/>
    <w:rsid w:val="008F3383"/>
    <w:rsid w:val="008F34D4"/>
    <w:rsid w:val="008F37F2"/>
    <w:rsid w:val="008F396C"/>
    <w:rsid w:val="008F3CA2"/>
    <w:rsid w:val="008F408D"/>
    <w:rsid w:val="008F4767"/>
    <w:rsid w:val="008F49CF"/>
    <w:rsid w:val="008F4AA8"/>
    <w:rsid w:val="008F54A2"/>
    <w:rsid w:val="008F58C5"/>
    <w:rsid w:val="008F5CC4"/>
    <w:rsid w:val="008F60A0"/>
    <w:rsid w:val="008F60E8"/>
    <w:rsid w:val="008F6595"/>
    <w:rsid w:val="008F6B1C"/>
    <w:rsid w:val="008F6B8A"/>
    <w:rsid w:val="008F6CD0"/>
    <w:rsid w:val="008F7072"/>
    <w:rsid w:val="008F74C0"/>
    <w:rsid w:val="008F7D5F"/>
    <w:rsid w:val="009001CE"/>
    <w:rsid w:val="009006F6"/>
    <w:rsid w:val="009007C3"/>
    <w:rsid w:val="009009A6"/>
    <w:rsid w:val="00900B47"/>
    <w:rsid w:val="00900C08"/>
    <w:rsid w:val="00900C13"/>
    <w:rsid w:val="00901037"/>
    <w:rsid w:val="00901256"/>
    <w:rsid w:val="00901292"/>
    <w:rsid w:val="00901747"/>
    <w:rsid w:val="009017D1"/>
    <w:rsid w:val="00901DE4"/>
    <w:rsid w:val="00902261"/>
    <w:rsid w:val="0090259E"/>
    <w:rsid w:val="009035FC"/>
    <w:rsid w:val="0090400B"/>
    <w:rsid w:val="009040EE"/>
    <w:rsid w:val="00904745"/>
    <w:rsid w:val="00904914"/>
    <w:rsid w:val="00904BDF"/>
    <w:rsid w:val="0090522A"/>
    <w:rsid w:val="00905633"/>
    <w:rsid w:val="00906202"/>
    <w:rsid w:val="00906251"/>
    <w:rsid w:val="009062F5"/>
    <w:rsid w:val="009065A1"/>
    <w:rsid w:val="009069AE"/>
    <w:rsid w:val="00906D8F"/>
    <w:rsid w:val="00906EC0"/>
    <w:rsid w:val="00907419"/>
    <w:rsid w:val="009077DB"/>
    <w:rsid w:val="009078BC"/>
    <w:rsid w:val="00907C86"/>
    <w:rsid w:val="00907CB6"/>
    <w:rsid w:val="0090C2AE"/>
    <w:rsid w:val="009100B1"/>
    <w:rsid w:val="009109B5"/>
    <w:rsid w:val="00910AAB"/>
    <w:rsid w:val="00910B49"/>
    <w:rsid w:val="00910C2F"/>
    <w:rsid w:val="00910F64"/>
    <w:rsid w:val="00911264"/>
    <w:rsid w:val="00911392"/>
    <w:rsid w:val="009118ED"/>
    <w:rsid w:val="0091197B"/>
    <w:rsid w:val="009119E7"/>
    <w:rsid w:val="00911AAE"/>
    <w:rsid w:val="00911DC0"/>
    <w:rsid w:val="00912044"/>
    <w:rsid w:val="009121C0"/>
    <w:rsid w:val="00912567"/>
    <w:rsid w:val="00912868"/>
    <w:rsid w:val="009129C7"/>
    <w:rsid w:val="009129EA"/>
    <w:rsid w:val="00912DF6"/>
    <w:rsid w:val="00913054"/>
    <w:rsid w:val="0091352B"/>
    <w:rsid w:val="0091364A"/>
    <w:rsid w:val="00913B2F"/>
    <w:rsid w:val="00913D09"/>
    <w:rsid w:val="00913FCE"/>
    <w:rsid w:val="00914059"/>
    <w:rsid w:val="009140E8"/>
    <w:rsid w:val="009141C6"/>
    <w:rsid w:val="00914DBF"/>
    <w:rsid w:val="00914ECC"/>
    <w:rsid w:val="00915162"/>
    <w:rsid w:val="00915208"/>
    <w:rsid w:val="00915345"/>
    <w:rsid w:val="009160C0"/>
    <w:rsid w:val="00916547"/>
    <w:rsid w:val="00916949"/>
    <w:rsid w:val="00916B09"/>
    <w:rsid w:val="00916D04"/>
    <w:rsid w:val="00916F23"/>
    <w:rsid w:val="00916F7C"/>
    <w:rsid w:val="0091736D"/>
    <w:rsid w:val="0091755B"/>
    <w:rsid w:val="00917603"/>
    <w:rsid w:val="00917857"/>
    <w:rsid w:val="00917ABF"/>
    <w:rsid w:val="00917BD6"/>
    <w:rsid w:val="0092041D"/>
    <w:rsid w:val="009205E5"/>
    <w:rsid w:val="00920684"/>
    <w:rsid w:val="00920C10"/>
    <w:rsid w:val="00920C67"/>
    <w:rsid w:val="00920DCC"/>
    <w:rsid w:val="00921AB8"/>
    <w:rsid w:val="00921EFF"/>
    <w:rsid w:val="009220AA"/>
    <w:rsid w:val="00922442"/>
    <w:rsid w:val="009224C7"/>
    <w:rsid w:val="00922AC4"/>
    <w:rsid w:val="00922D9A"/>
    <w:rsid w:val="00922F07"/>
    <w:rsid w:val="00922FDF"/>
    <w:rsid w:val="009231C4"/>
    <w:rsid w:val="009233C9"/>
    <w:rsid w:val="00923976"/>
    <w:rsid w:val="00923BB3"/>
    <w:rsid w:val="00923BBF"/>
    <w:rsid w:val="00923EDC"/>
    <w:rsid w:val="0092443C"/>
    <w:rsid w:val="009244D9"/>
    <w:rsid w:val="00924BAD"/>
    <w:rsid w:val="00924C03"/>
    <w:rsid w:val="00924CB6"/>
    <w:rsid w:val="00924D07"/>
    <w:rsid w:val="009252EC"/>
    <w:rsid w:val="009254D8"/>
    <w:rsid w:val="00925586"/>
    <w:rsid w:val="0092569A"/>
    <w:rsid w:val="009256C4"/>
    <w:rsid w:val="0092581A"/>
    <w:rsid w:val="00925ABA"/>
    <w:rsid w:val="00925D82"/>
    <w:rsid w:val="00925F91"/>
    <w:rsid w:val="0092606A"/>
    <w:rsid w:val="00926A21"/>
    <w:rsid w:val="009270F1"/>
    <w:rsid w:val="009300B5"/>
    <w:rsid w:val="0093084F"/>
    <w:rsid w:val="0093091D"/>
    <w:rsid w:val="00930D3F"/>
    <w:rsid w:val="00931251"/>
    <w:rsid w:val="00931632"/>
    <w:rsid w:val="00931863"/>
    <w:rsid w:val="0093188F"/>
    <w:rsid w:val="00931A1E"/>
    <w:rsid w:val="00931B18"/>
    <w:rsid w:val="00931D2F"/>
    <w:rsid w:val="00931EF7"/>
    <w:rsid w:val="00931FA2"/>
    <w:rsid w:val="00932418"/>
    <w:rsid w:val="009325CE"/>
    <w:rsid w:val="00932644"/>
    <w:rsid w:val="00932769"/>
    <w:rsid w:val="009328BB"/>
    <w:rsid w:val="00932BF4"/>
    <w:rsid w:val="00932E87"/>
    <w:rsid w:val="00932EA9"/>
    <w:rsid w:val="00932F29"/>
    <w:rsid w:val="00933026"/>
    <w:rsid w:val="009332D9"/>
    <w:rsid w:val="00933504"/>
    <w:rsid w:val="00933AB1"/>
    <w:rsid w:val="0093400A"/>
    <w:rsid w:val="0093407B"/>
    <w:rsid w:val="00934148"/>
    <w:rsid w:val="009346F0"/>
    <w:rsid w:val="009348CE"/>
    <w:rsid w:val="00934B30"/>
    <w:rsid w:val="00934B8A"/>
    <w:rsid w:val="00934DDD"/>
    <w:rsid w:val="00935037"/>
    <w:rsid w:val="00935047"/>
    <w:rsid w:val="00935397"/>
    <w:rsid w:val="00935439"/>
    <w:rsid w:val="00935547"/>
    <w:rsid w:val="00935C28"/>
    <w:rsid w:val="00935CF8"/>
    <w:rsid w:val="00935F00"/>
    <w:rsid w:val="00935F91"/>
    <w:rsid w:val="00935FE5"/>
    <w:rsid w:val="0093684E"/>
    <w:rsid w:val="00936EDB"/>
    <w:rsid w:val="009371B4"/>
    <w:rsid w:val="00937443"/>
    <w:rsid w:val="00937557"/>
    <w:rsid w:val="00937A0F"/>
    <w:rsid w:val="00937B55"/>
    <w:rsid w:val="00937E91"/>
    <w:rsid w:val="00937FD9"/>
    <w:rsid w:val="00940003"/>
    <w:rsid w:val="00940081"/>
    <w:rsid w:val="0094055B"/>
    <w:rsid w:val="00941956"/>
    <w:rsid w:val="00941AC3"/>
    <w:rsid w:val="00941EED"/>
    <w:rsid w:val="00941F93"/>
    <w:rsid w:val="009423F8"/>
    <w:rsid w:val="00942721"/>
    <w:rsid w:val="00942899"/>
    <w:rsid w:val="00942AF3"/>
    <w:rsid w:val="00942C19"/>
    <w:rsid w:val="00942E92"/>
    <w:rsid w:val="00942F54"/>
    <w:rsid w:val="00943064"/>
    <w:rsid w:val="00943637"/>
    <w:rsid w:val="009437EB"/>
    <w:rsid w:val="00943A81"/>
    <w:rsid w:val="00943B1E"/>
    <w:rsid w:val="00943B63"/>
    <w:rsid w:val="00943CEF"/>
    <w:rsid w:val="00943E9D"/>
    <w:rsid w:val="009442E0"/>
    <w:rsid w:val="0094443E"/>
    <w:rsid w:val="009445CF"/>
    <w:rsid w:val="009447F6"/>
    <w:rsid w:val="00944D36"/>
    <w:rsid w:val="00944FC9"/>
    <w:rsid w:val="009450C0"/>
    <w:rsid w:val="00945284"/>
    <w:rsid w:val="00945333"/>
    <w:rsid w:val="00945603"/>
    <w:rsid w:val="00945993"/>
    <w:rsid w:val="00945C6F"/>
    <w:rsid w:val="009465BF"/>
    <w:rsid w:val="00946B48"/>
    <w:rsid w:val="00946F6C"/>
    <w:rsid w:val="0094720C"/>
    <w:rsid w:val="0094729A"/>
    <w:rsid w:val="009474C6"/>
    <w:rsid w:val="00947E08"/>
    <w:rsid w:val="00947EF6"/>
    <w:rsid w:val="00947FFB"/>
    <w:rsid w:val="009501A2"/>
    <w:rsid w:val="00950544"/>
    <w:rsid w:val="00950B3A"/>
    <w:rsid w:val="00950FFE"/>
    <w:rsid w:val="00951149"/>
    <w:rsid w:val="0095121E"/>
    <w:rsid w:val="00951579"/>
    <w:rsid w:val="00951707"/>
    <w:rsid w:val="009519AC"/>
    <w:rsid w:val="00951AA7"/>
    <w:rsid w:val="00951BA1"/>
    <w:rsid w:val="00951E4B"/>
    <w:rsid w:val="00951F38"/>
    <w:rsid w:val="009520C8"/>
    <w:rsid w:val="009523A9"/>
    <w:rsid w:val="00952565"/>
    <w:rsid w:val="009527B2"/>
    <w:rsid w:val="00952B13"/>
    <w:rsid w:val="00952B67"/>
    <w:rsid w:val="00952E39"/>
    <w:rsid w:val="00953170"/>
    <w:rsid w:val="009532AC"/>
    <w:rsid w:val="00953B28"/>
    <w:rsid w:val="00953BF7"/>
    <w:rsid w:val="00953EB4"/>
    <w:rsid w:val="009540FF"/>
    <w:rsid w:val="009549C2"/>
    <w:rsid w:val="00954B54"/>
    <w:rsid w:val="00954FC7"/>
    <w:rsid w:val="00956069"/>
    <w:rsid w:val="0095628B"/>
    <w:rsid w:val="00956452"/>
    <w:rsid w:val="0095651B"/>
    <w:rsid w:val="009565A7"/>
    <w:rsid w:val="00956745"/>
    <w:rsid w:val="00956894"/>
    <w:rsid w:val="009569D5"/>
    <w:rsid w:val="00956B05"/>
    <w:rsid w:val="00956B6B"/>
    <w:rsid w:val="009570A1"/>
    <w:rsid w:val="009575B7"/>
    <w:rsid w:val="0095765D"/>
    <w:rsid w:val="009604CD"/>
    <w:rsid w:val="00960557"/>
    <w:rsid w:val="009617BD"/>
    <w:rsid w:val="00961B2F"/>
    <w:rsid w:val="00961C1F"/>
    <w:rsid w:val="00962079"/>
    <w:rsid w:val="0096221D"/>
    <w:rsid w:val="00962885"/>
    <w:rsid w:val="00962971"/>
    <w:rsid w:val="00962CA1"/>
    <w:rsid w:val="00962F93"/>
    <w:rsid w:val="00963132"/>
    <w:rsid w:val="00963136"/>
    <w:rsid w:val="00963186"/>
    <w:rsid w:val="009631F2"/>
    <w:rsid w:val="00963214"/>
    <w:rsid w:val="0096372E"/>
    <w:rsid w:val="009638B1"/>
    <w:rsid w:val="00963EAD"/>
    <w:rsid w:val="00963EFC"/>
    <w:rsid w:val="00963F94"/>
    <w:rsid w:val="00964009"/>
    <w:rsid w:val="00964382"/>
    <w:rsid w:val="00964654"/>
    <w:rsid w:val="009649A7"/>
    <w:rsid w:val="00964AA1"/>
    <w:rsid w:val="009653F1"/>
    <w:rsid w:val="009657BE"/>
    <w:rsid w:val="00965B52"/>
    <w:rsid w:val="00965DAA"/>
    <w:rsid w:val="00966027"/>
    <w:rsid w:val="00966878"/>
    <w:rsid w:val="00966D51"/>
    <w:rsid w:val="00967179"/>
    <w:rsid w:val="009674F1"/>
    <w:rsid w:val="00967588"/>
    <w:rsid w:val="0096799F"/>
    <w:rsid w:val="00967EAF"/>
    <w:rsid w:val="00967F9D"/>
    <w:rsid w:val="00970305"/>
    <w:rsid w:val="00970A70"/>
    <w:rsid w:val="00971085"/>
    <w:rsid w:val="009713FB"/>
    <w:rsid w:val="00971783"/>
    <w:rsid w:val="0097182C"/>
    <w:rsid w:val="009718E9"/>
    <w:rsid w:val="00971BAA"/>
    <w:rsid w:val="00971C66"/>
    <w:rsid w:val="00972078"/>
    <w:rsid w:val="009720E0"/>
    <w:rsid w:val="009723E9"/>
    <w:rsid w:val="00972A39"/>
    <w:rsid w:val="009733CC"/>
    <w:rsid w:val="00973677"/>
    <w:rsid w:val="009736AB"/>
    <w:rsid w:val="0097375C"/>
    <w:rsid w:val="0097380D"/>
    <w:rsid w:val="00973A8F"/>
    <w:rsid w:val="00973B32"/>
    <w:rsid w:val="0097454F"/>
    <w:rsid w:val="009746C3"/>
    <w:rsid w:val="00974A4F"/>
    <w:rsid w:val="009755E0"/>
    <w:rsid w:val="00975982"/>
    <w:rsid w:val="00975BA5"/>
    <w:rsid w:val="00975E93"/>
    <w:rsid w:val="0097617C"/>
    <w:rsid w:val="009764F3"/>
    <w:rsid w:val="0097654D"/>
    <w:rsid w:val="009766B0"/>
    <w:rsid w:val="009767BE"/>
    <w:rsid w:val="009767E4"/>
    <w:rsid w:val="00976A06"/>
    <w:rsid w:val="00976C0F"/>
    <w:rsid w:val="00976CC6"/>
    <w:rsid w:val="00976EAF"/>
    <w:rsid w:val="00977032"/>
    <w:rsid w:val="009770E8"/>
    <w:rsid w:val="009770FF"/>
    <w:rsid w:val="00977156"/>
    <w:rsid w:val="009774B4"/>
    <w:rsid w:val="009776FD"/>
    <w:rsid w:val="00977E65"/>
    <w:rsid w:val="00977F67"/>
    <w:rsid w:val="009800E8"/>
    <w:rsid w:val="009801B2"/>
    <w:rsid w:val="009801FF"/>
    <w:rsid w:val="0098027F"/>
    <w:rsid w:val="00980E02"/>
    <w:rsid w:val="009811F5"/>
    <w:rsid w:val="009813BA"/>
    <w:rsid w:val="00981422"/>
    <w:rsid w:val="0098147D"/>
    <w:rsid w:val="009814DE"/>
    <w:rsid w:val="00981CF7"/>
    <w:rsid w:val="00981DE0"/>
    <w:rsid w:val="00981ECF"/>
    <w:rsid w:val="009823F1"/>
    <w:rsid w:val="00982497"/>
    <w:rsid w:val="00982AE0"/>
    <w:rsid w:val="00982CF8"/>
    <w:rsid w:val="00983218"/>
    <w:rsid w:val="00983438"/>
    <w:rsid w:val="00983671"/>
    <w:rsid w:val="009838D7"/>
    <w:rsid w:val="00983AB3"/>
    <w:rsid w:val="00984222"/>
    <w:rsid w:val="00984428"/>
    <w:rsid w:val="00984637"/>
    <w:rsid w:val="0098479D"/>
    <w:rsid w:val="00984A70"/>
    <w:rsid w:val="009851AF"/>
    <w:rsid w:val="0098541D"/>
    <w:rsid w:val="009855AF"/>
    <w:rsid w:val="0098578D"/>
    <w:rsid w:val="00985B30"/>
    <w:rsid w:val="00985BF0"/>
    <w:rsid w:val="00985D24"/>
    <w:rsid w:val="00986042"/>
    <w:rsid w:val="00986326"/>
    <w:rsid w:val="00986488"/>
    <w:rsid w:val="009866D7"/>
    <w:rsid w:val="009868E0"/>
    <w:rsid w:val="00986CA6"/>
    <w:rsid w:val="00986D82"/>
    <w:rsid w:val="00986F6A"/>
    <w:rsid w:val="0098727D"/>
    <w:rsid w:val="009878C4"/>
    <w:rsid w:val="0098795C"/>
    <w:rsid w:val="009879ED"/>
    <w:rsid w:val="00987DA2"/>
    <w:rsid w:val="009900E1"/>
    <w:rsid w:val="0099010F"/>
    <w:rsid w:val="0099060F"/>
    <w:rsid w:val="009906FD"/>
    <w:rsid w:val="009907E4"/>
    <w:rsid w:val="00990819"/>
    <w:rsid w:val="009908C1"/>
    <w:rsid w:val="00990AEB"/>
    <w:rsid w:val="00990BB7"/>
    <w:rsid w:val="00990D40"/>
    <w:rsid w:val="00990E1F"/>
    <w:rsid w:val="0099137E"/>
    <w:rsid w:val="0099195E"/>
    <w:rsid w:val="00991E75"/>
    <w:rsid w:val="0099238E"/>
    <w:rsid w:val="0099240B"/>
    <w:rsid w:val="009926E3"/>
    <w:rsid w:val="00992828"/>
    <w:rsid w:val="00992A8E"/>
    <w:rsid w:val="00992D18"/>
    <w:rsid w:val="0099314B"/>
    <w:rsid w:val="00993293"/>
    <w:rsid w:val="009932FB"/>
    <w:rsid w:val="00993631"/>
    <w:rsid w:val="00993675"/>
    <w:rsid w:val="009936B1"/>
    <w:rsid w:val="0099385F"/>
    <w:rsid w:val="00993868"/>
    <w:rsid w:val="00993926"/>
    <w:rsid w:val="0099399F"/>
    <w:rsid w:val="00994037"/>
    <w:rsid w:val="009945F2"/>
    <w:rsid w:val="0099494B"/>
    <w:rsid w:val="00995284"/>
    <w:rsid w:val="00995ADB"/>
    <w:rsid w:val="00996419"/>
    <w:rsid w:val="00996558"/>
    <w:rsid w:val="009965E6"/>
    <w:rsid w:val="00996768"/>
    <w:rsid w:val="00996925"/>
    <w:rsid w:val="00996A0D"/>
    <w:rsid w:val="00996BB9"/>
    <w:rsid w:val="00996D80"/>
    <w:rsid w:val="00996DEB"/>
    <w:rsid w:val="00996EAA"/>
    <w:rsid w:val="00997248"/>
    <w:rsid w:val="00997285"/>
    <w:rsid w:val="00997A94"/>
    <w:rsid w:val="00997B14"/>
    <w:rsid w:val="00997F95"/>
    <w:rsid w:val="009A0018"/>
    <w:rsid w:val="009A02D0"/>
    <w:rsid w:val="009A03E8"/>
    <w:rsid w:val="009A051F"/>
    <w:rsid w:val="009A0ADB"/>
    <w:rsid w:val="009A0C6A"/>
    <w:rsid w:val="009A0CF7"/>
    <w:rsid w:val="009A0F4F"/>
    <w:rsid w:val="009A1091"/>
    <w:rsid w:val="009A110A"/>
    <w:rsid w:val="009A1316"/>
    <w:rsid w:val="009A1354"/>
    <w:rsid w:val="009A193D"/>
    <w:rsid w:val="009A1A0C"/>
    <w:rsid w:val="009A1E58"/>
    <w:rsid w:val="009A24C7"/>
    <w:rsid w:val="009A2589"/>
    <w:rsid w:val="009A28C0"/>
    <w:rsid w:val="009A2C95"/>
    <w:rsid w:val="009A2CE5"/>
    <w:rsid w:val="009A2ED1"/>
    <w:rsid w:val="009A2F25"/>
    <w:rsid w:val="009A2F85"/>
    <w:rsid w:val="009A33C4"/>
    <w:rsid w:val="009A3518"/>
    <w:rsid w:val="009A3930"/>
    <w:rsid w:val="009A3DEF"/>
    <w:rsid w:val="009A433F"/>
    <w:rsid w:val="009A44BF"/>
    <w:rsid w:val="009A48C5"/>
    <w:rsid w:val="009A4B70"/>
    <w:rsid w:val="009A4CA0"/>
    <w:rsid w:val="009A50A7"/>
    <w:rsid w:val="009A513A"/>
    <w:rsid w:val="009A54B9"/>
    <w:rsid w:val="009A5702"/>
    <w:rsid w:val="009A6162"/>
    <w:rsid w:val="009A6214"/>
    <w:rsid w:val="009A6487"/>
    <w:rsid w:val="009A67FC"/>
    <w:rsid w:val="009A6958"/>
    <w:rsid w:val="009A6E24"/>
    <w:rsid w:val="009A6E39"/>
    <w:rsid w:val="009A6F44"/>
    <w:rsid w:val="009A70BD"/>
    <w:rsid w:val="009A7270"/>
    <w:rsid w:val="009A7285"/>
    <w:rsid w:val="009A73BC"/>
    <w:rsid w:val="009A7453"/>
    <w:rsid w:val="009A7DAA"/>
    <w:rsid w:val="009A7F47"/>
    <w:rsid w:val="009A7F4E"/>
    <w:rsid w:val="009B03F6"/>
    <w:rsid w:val="009B07B0"/>
    <w:rsid w:val="009B097D"/>
    <w:rsid w:val="009B0A18"/>
    <w:rsid w:val="009B0FB4"/>
    <w:rsid w:val="009B10ED"/>
    <w:rsid w:val="009B1234"/>
    <w:rsid w:val="009B1443"/>
    <w:rsid w:val="009B1549"/>
    <w:rsid w:val="009B1971"/>
    <w:rsid w:val="009B1CE4"/>
    <w:rsid w:val="009B1EDD"/>
    <w:rsid w:val="009B1F21"/>
    <w:rsid w:val="009B2067"/>
    <w:rsid w:val="009B2CDF"/>
    <w:rsid w:val="009B2EA0"/>
    <w:rsid w:val="009B2F4E"/>
    <w:rsid w:val="009B302F"/>
    <w:rsid w:val="009B3A6C"/>
    <w:rsid w:val="009B3B47"/>
    <w:rsid w:val="009B3BC5"/>
    <w:rsid w:val="009B3EB7"/>
    <w:rsid w:val="009B3F34"/>
    <w:rsid w:val="009B3F90"/>
    <w:rsid w:val="009B3FE4"/>
    <w:rsid w:val="009B40A8"/>
    <w:rsid w:val="009B4123"/>
    <w:rsid w:val="009B4184"/>
    <w:rsid w:val="009B424E"/>
    <w:rsid w:val="009B45E6"/>
    <w:rsid w:val="009B45F7"/>
    <w:rsid w:val="009B46AC"/>
    <w:rsid w:val="009B46FA"/>
    <w:rsid w:val="009B4E0D"/>
    <w:rsid w:val="009B4E3A"/>
    <w:rsid w:val="009B5035"/>
    <w:rsid w:val="009B53BB"/>
    <w:rsid w:val="009B54D2"/>
    <w:rsid w:val="009B554A"/>
    <w:rsid w:val="009B59A4"/>
    <w:rsid w:val="009B5EE2"/>
    <w:rsid w:val="009B6189"/>
    <w:rsid w:val="009B625B"/>
    <w:rsid w:val="009B62C7"/>
    <w:rsid w:val="009B62D7"/>
    <w:rsid w:val="009B6756"/>
    <w:rsid w:val="009B6B48"/>
    <w:rsid w:val="009B6C12"/>
    <w:rsid w:val="009B6C7F"/>
    <w:rsid w:val="009B6D0E"/>
    <w:rsid w:val="009B7334"/>
    <w:rsid w:val="009B749E"/>
    <w:rsid w:val="009B7DDD"/>
    <w:rsid w:val="009C003F"/>
    <w:rsid w:val="009C00D7"/>
    <w:rsid w:val="009C016D"/>
    <w:rsid w:val="009C0621"/>
    <w:rsid w:val="009C0E89"/>
    <w:rsid w:val="009C12A1"/>
    <w:rsid w:val="009C1436"/>
    <w:rsid w:val="009C16A2"/>
    <w:rsid w:val="009C199F"/>
    <w:rsid w:val="009C1B8E"/>
    <w:rsid w:val="009C1C65"/>
    <w:rsid w:val="009C2AD1"/>
    <w:rsid w:val="009C30AF"/>
    <w:rsid w:val="009C3142"/>
    <w:rsid w:val="009C3239"/>
    <w:rsid w:val="009C3365"/>
    <w:rsid w:val="009C36A5"/>
    <w:rsid w:val="009C3854"/>
    <w:rsid w:val="009C3CF8"/>
    <w:rsid w:val="009C4455"/>
    <w:rsid w:val="009C4790"/>
    <w:rsid w:val="009C4BFD"/>
    <w:rsid w:val="009C4E6A"/>
    <w:rsid w:val="009C4F94"/>
    <w:rsid w:val="009C5100"/>
    <w:rsid w:val="009C53C8"/>
    <w:rsid w:val="009C60E3"/>
    <w:rsid w:val="009C62D1"/>
    <w:rsid w:val="009C676C"/>
    <w:rsid w:val="009C6944"/>
    <w:rsid w:val="009C6AE9"/>
    <w:rsid w:val="009C6DD6"/>
    <w:rsid w:val="009C6FC2"/>
    <w:rsid w:val="009C70B2"/>
    <w:rsid w:val="009C7126"/>
    <w:rsid w:val="009C73E1"/>
    <w:rsid w:val="009C790C"/>
    <w:rsid w:val="009C7A8D"/>
    <w:rsid w:val="009C7B32"/>
    <w:rsid w:val="009C7B48"/>
    <w:rsid w:val="009C7BB3"/>
    <w:rsid w:val="009D032C"/>
    <w:rsid w:val="009D0460"/>
    <w:rsid w:val="009D04E1"/>
    <w:rsid w:val="009D0521"/>
    <w:rsid w:val="009D061D"/>
    <w:rsid w:val="009D06C9"/>
    <w:rsid w:val="009D0731"/>
    <w:rsid w:val="009D0ADC"/>
    <w:rsid w:val="009D0DF4"/>
    <w:rsid w:val="009D0F56"/>
    <w:rsid w:val="009D1077"/>
    <w:rsid w:val="009D10D5"/>
    <w:rsid w:val="009D1424"/>
    <w:rsid w:val="009D148B"/>
    <w:rsid w:val="009D1554"/>
    <w:rsid w:val="009D17EC"/>
    <w:rsid w:val="009D1915"/>
    <w:rsid w:val="009D1971"/>
    <w:rsid w:val="009D1C0A"/>
    <w:rsid w:val="009D21B4"/>
    <w:rsid w:val="009D236A"/>
    <w:rsid w:val="009D23C5"/>
    <w:rsid w:val="009D26A8"/>
    <w:rsid w:val="009D26DC"/>
    <w:rsid w:val="009D311F"/>
    <w:rsid w:val="009D33AE"/>
    <w:rsid w:val="009D38AA"/>
    <w:rsid w:val="009D3AEC"/>
    <w:rsid w:val="009D3C1C"/>
    <w:rsid w:val="009D3F40"/>
    <w:rsid w:val="009D3F5D"/>
    <w:rsid w:val="009D40A6"/>
    <w:rsid w:val="009D4204"/>
    <w:rsid w:val="009D4480"/>
    <w:rsid w:val="009D46CD"/>
    <w:rsid w:val="009D47DC"/>
    <w:rsid w:val="009D4BC6"/>
    <w:rsid w:val="009D50DF"/>
    <w:rsid w:val="009D5218"/>
    <w:rsid w:val="009D57F5"/>
    <w:rsid w:val="009D5EBA"/>
    <w:rsid w:val="009D60E3"/>
    <w:rsid w:val="009D60F4"/>
    <w:rsid w:val="009D62A4"/>
    <w:rsid w:val="009D6777"/>
    <w:rsid w:val="009D699E"/>
    <w:rsid w:val="009D6A3F"/>
    <w:rsid w:val="009D6E84"/>
    <w:rsid w:val="009D6EAB"/>
    <w:rsid w:val="009D754B"/>
    <w:rsid w:val="009D7635"/>
    <w:rsid w:val="009D7638"/>
    <w:rsid w:val="009D76F6"/>
    <w:rsid w:val="009D784E"/>
    <w:rsid w:val="009D7BD9"/>
    <w:rsid w:val="009D7C4E"/>
    <w:rsid w:val="009D7EA1"/>
    <w:rsid w:val="009E02A4"/>
    <w:rsid w:val="009E044C"/>
    <w:rsid w:val="009E04EB"/>
    <w:rsid w:val="009E069C"/>
    <w:rsid w:val="009E06A6"/>
    <w:rsid w:val="009E0B31"/>
    <w:rsid w:val="009E0D1C"/>
    <w:rsid w:val="009E1086"/>
    <w:rsid w:val="009E1163"/>
    <w:rsid w:val="009E12EB"/>
    <w:rsid w:val="009E1719"/>
    <w:rsid w:val="009E19D7"/>
    <w:rsid w:val="009E22B6"/>
    <w:rsid w:val="009E23BA"/>
    <w:rsid w:val="009E2531"/>
    <w:rsid w:val="009E2616"/>
    <w:rsid w:val="009E2A4A"/>
    <w:rsid w:val="009E2E2F"/>
    <w:rsid w:val="009E2E5B"/>
    <w:rsid w:val="009E2FC6"/>
    <w:rsid w:val="009E324E"/>
    <w:rsid w:val="009E3555"/>
    <w:rsid w:val="009E398B"/>
    <w:rsid w:val="009E3CC3"/>
    <w:rsid w:val="009E3CDB"/>
    <w:rsid w:val="009E436C"/>
    <w:rsid w:val="009E4C81"/>
    <w:rsid w:val="009E4DC3"/>
    <w:rsid w:val="009E4E82"/>
    <w:rsid w:val="009E502E"/>
    <w:rsid w:val="009E51AB"/>
    <w:rsid w:val="009E557C"/>
    <w:rsid w:val="009E568C"/>
    <w:rsid w:val="009E590E"/>
    <w:rsid w:val="009E5913"/>
    <w:rsid w:val="009E5B4E"/>
    <w:rsid w:val="009E5EC8"/>
    <w:rsid w:val="009E6102"/>
    <w:rsid w:val="009E652F"/>
    <w:rsid w:val="009E66EF"/>
    <w:rsid w:val="009E69A8"/>
    <w:rsid w:val="009E6C25"/>
    <w:rsid w:val="009E7285"/>
    <w:rsid w:val="009E7A0A"/>
    <w:rsid w:val="009E7A7C"/>
    <w:rsid w:val="009E7E63"/>
    <w:rsid w:val="009E7FAB"/>
    <w:rsid w:val="009EFDD7"/>
    <w:rsid w:val="009F0161"/>
    <w:rsid w:val="009F01D7"/>
    <w:rsid w:val="009F0683"/>
    <w:rsid w:val="009F0B6A"/>
    <w:rsid w:val="009F0DD4"/>
    <w:rsid w:val="009F133F"/>
    <w:rsid w:val="009F14B7"/>
    <w:rsid w:val="009F177C"/>
    <w:rsid w:val="009F1CD3"/>
    <w:rsid w:val="009F1DDD"/>
    <w:rsid w:val="009F24B3"/>
    <w:rsid w:val="009F2A79"/>
    <w:rsid w:val="009F2CB5"/>
    <w:rsid w:val="009F2CC3"/>
    <w:rsid w:val="009F2CD8"/>
    <w:rsid w:val="009F2FA5"/>
    <w:rsid w:val="009F311D"/>
    <w:rsid w:val="009F3265"/>
    <w:rsid w:val="009F3936"/>
    <w:rsid w:val="009F3C5D"/>
    <w:rsid w:val="009F3F02"/>
    <w:rsid w:val="009F4297"/>
    <w:rsid w:val="009F459D"/>
    <w:rsid w:val="009F4AE8"/>
    <w:rsid w:val="009F4C25"/>
    <w:rsid w:val="009F4EFC"/>
    <w:rsid w:val="009F4FB0"/>
    <w:rsid w:val="009F51C5"/>
    <w:rsid w:val="009F52A5"/>
    <w:rsid w:val="009F55AF"/>
    <w:rsid w:val="009F58D7"/>
    <w:rsid w:val="009F5DD9"/>
    <w:rsid w:val="009F5F14"/>
    <w:rsid w:val="009F5F65"/>
    <w:rsid w:val="009F5F88"/>
    <w:rsid w:val="009F647F"/>
    <w:rsid w:val="009F6638"/>
    <w:rsid w:val="009F6AC9"/>
    <w:rsid w:val="009F6CA7"/>
    <w:rsid w:val="009F6E90"/>
    <w:rsid w:val="009F6FAA"/>
    <w:rsid w:val="009F75A2"/>
    <w:rsid w:val="009F76AB"/>
    <w:rsid w:val="00A00218"/>
    <w:rsid w:val="00A0046E"/>
    <w:rsid w:val="00A00757"/>
    <w:rsid w:val="00A00838"/>
    <w:rsid w:val="00A00967"/>
    <w:rsid w:val="00A00DF9"/>
    <w:rsid w:val="00A01C65"/>
    <w:rsid w:val="00A01E6C"/>
    <w:rsid w:val="00A01F0B"/>
    <w:rsid w:val="00A020AA"/>
    <w:rsid w:val="00A025E0"/>
    <w:rsid w:val="00A02A90"/>
    <w:rsid w:val="00A02B30"/>
    <w:rsid w:val="00A02E24"/>
    <w:rsid w:val="00A03403"/>
    <w:rsid w:val="00A0344A"/>
    <w:rsid w:val="00A034A9"/>
    <w:rsid w:val="00A034AD"/>
    <w:rsid w:val="00A0358F"/>
    <w:rsid w:val="00A03783"/>
    <w:rsid w:val="00A03CCB"/>
    <w:rsid w:val="00A04255"/>
    <w:rsid w:val="00A04935"/>
    <w:rsid w:val="00A051FB"/>
    <w:rsid w:val="00A055DC"/>
    <w:rsid w:val="00A06007"/>
    <w:rsid w:val="00A06254"/>
    <w:rsid w:val="00A0634A"/>
    <w:rsid w:val="00A06C89"/>
    <w:rsid w:val="00A06F82"/>
    <w:rsid w:val="00A0708A"/>
    <w:rsid w:val="00A070CE"/>
    <w:rsid w:val="00A07248"/>
    <w:rsid w:val="00A07368"/>
    <w:rsid w:val="00A07596"/>
    <w:rsid w:val="00A07BBC"/>
    <w:rsid w:val="00A07C48"/>
    <w:rsid w:val="00A07FAA"/>
    <w:rsid w:val="00A07FCC"/>
    <w:rsid w:val="00A1011F"/>
    <w:rsid w:val="00A10234"/>
    <w:rsid w:val="00A10562"/>
    <w:rsid w:val="00A105A9"/>
    <w:rsid w:val="00A106D7"/>
    <w:rsid w:val="00A108DE"/>
    <w:rsid w:val="00A1101C"/>
    <w:rsid w:val="00A111D5"/>
    <w:rsid w:val="00A117DB"/>
    <w:rsid w:val="00A11E11"/>
    <w:rsid w:val="00A122E9"/>
    <w:rsid w:val="00A126ED"/>
    <w:rsid w:val="00A127B4"/>
    <w:rsid w:val="00A12A09"/>
    <w:rsid w:val="00A12B26"/>
    <w:rsid w:val="00A12C40"/>
    <w:rsid w:val="00A130D9"/>
    <w:rsid w:val="00A132E5"/>
    <w:rsid w:val="00A135A0"/>
    <w:rsid w:val="00A13A2F"/>
    <w:rsid w:val="00A13A38"/>
    <w:rsid w:val="00A13CEB"/>
    <w:rsid w:val="00A13D5D"/>
    <w:rsid w:val="00A14161"/>
    <w:rsid w:val="00A14389"/>
    <w:rsid w:val="00A14416"/>
    <w:rsid w:val="00A144B6"/>
    <w:rsid w:val="00A145B8"/>
    <w:rsid w:val="00A1469A"/>
    <w:rsid w:val="00A14A00"/>
    <w:rsid w:val="00A14CBA"/>
    <w:rsid w:val="00A14EA6"/>
    <w:rsid w:val="00A1532A"/>
    <w:rsid w:val="00A15340"/>
    <w:rsid w:val="00A1571F"/>
    <w:rsid w:val="00A15791"/>
    <w:rsid w:val="00A15BCB"/>
    <w:rsid w:val="00A15C55"/>
    <w:rsid w:val="00A15C99"/>
    <w:rsid w:val="00A1612B"/>
    <w:rsid w:val="00A163DB"/>
    <w:rsid w:val="00A16427"/>
    <w:rsid w:val="00A165CA"/>
    <w:rsid w:val="00A1662C"/>
    <w:rsid w:val="00A16638"/>
    <w:rsid w:val="00A1683E"/>
    <w:rsid w:val="00A1684A"/>
    <w:rsid w:val="00A1695B"/>
    <w:rsid w:val="00A169A4"/>
    <w:rsid w:val="00A173A4"/>
    <w:rsid w:val="00A1740D"/>
    <w:rsid w:val="00A177EB"/>
    <w:rsid w:val="00A17947"/>
    <w:rsid w:val="00A17DEA"/>
    <w:rsid w:val="00A17EED"/>
    <w:rsid w:val="00A2020E"/>
    <w:rsid w:val="00A202D7"/>
    <w:rsid w:val="00A204E0"/>
    <w:rsid w:val="00A208F1"/>
    <w:rsid w:val="00A20BCE"/>
    <w:rsid w:val="00A20BF6"/>
    <w:rsid w:val="00A20D48"/>
    <w:rsid w:val="00A214F6"/>
    <w:rsid w:val="00A21A0E"/>
    <w:rsid w:val="00A21A2D"/>
    <w:rsid w:val="00A21A6C"/>
    <w:rsid w:val="00A21D82"/>
    <w:rsid w:val="00A2209A"/>
    <w:rsid w:val="00A22721"/>
    <w:rsid w:val="00A22B85"/>
    <w:rsid w:val="00A22DB4"/>
    <w:rsid w:val="00A22E7C"/>
    <w:rsid w:val="00A22F14"/>
    <w:rsid w:val="00A22FBE"/>
    <w:rsid w:val="00A23147"/>
    <w:rsid w:val="00A236BD"/>
    <w:rsid w:val="00A23B74"/>
    <w:rsid w:val="00A23C47"/>
    <w:rsid w:val="00A23D2B"/>
    <w:rsid w:val="00A2402F"/>
    <w:rsid w:val="00A24657"/>
    <w:rsid w:val="00A24791"/>
    <w:rsid w:val="00A247C6"/>
    <w:rsid w:val="00A24826"/>
    <w:rsid w:val="00A249F6"/>
    <w:rsid w:val="00A24D2C"/>
    <w:rsid w:val="00A2521E"/>
    <w:rsid w:val="00A2566D"/>
    <w:rsid w:val="00A25ED1"/>
    <w:rsid w:val="00A25F4F"/>
    <w:rsid w:val="00A2603E"/>
    <w:rsid w:val="00A260AE"/>
    <w:rsid w:val="00A260C1"/>
    <w:rsid w:val="00A264F7"/>
    <w:rsid w:val="00A26634"/>
    <w:rsid w:val="00A26885"/>
    <w:rsid w:val="00A2692A"/>
    <w:rsid w:val="00A27332"/>
    <w:rsid w:val="00A275A9"/>
    <w:rsid w:val="00A27718"/>
    <w:rsid w:val="00A2787E"/>
    <w:rsid w:val="00A27CC8"/>
    <w:rsid w:val="00A27E9D"/>
    <w:rsid w:val="00A27ECD"/>
    <w:rsid w:val="00A3055F"/>
    <w:rsid w:val="00A30564"/>
    <w:rsid w:val="00A305B5"/>
    <w:rsid w:val="00A306EF"/>
    <w:rsid w:val="00A30879"/>
    <w:rsid w:val="00A30DF1"/>
    <w:rsid w:val="00A3121C"/>
    <w:rsid w:val="00A312EF"/>
    <w:rsid w:val="00A316A6"/>
    <w:rsid w:val="00A31970"/>
    <w:rsid w:val="00A320FA"/>
    <w:rsid w:val="00A323D7"/>
    <w:rsid w:val="00A32A5E"/>
    <w:rsid w:val="00A32E6A"/>
    <w:rsid w:val="00A32EB4"/>
    <w:rsid w:val="00A32F23"/>
    <w:rsid w:val="00A33027"/>
    <w:rsid w:val="00A333E6"/>
    <w:rsid w:val="00A33851"/>
    <w:rsid w:val="00A33A45"/>
    <w:rsid w:val="00A33D0F"/>
    <w:rsid w:val="00A33E15"/>
    <w:rsid w:val="00A34038"/>
    <w:rsid w:val="00A340B7"/>
    <w:rsid w:val="00A344CE"/>
    <w:rsid w:val="00A347DA"/>
    <w:rsid w:val="00A34A26"/>
    <w:rsid w:val="00A34A6F"/>
    <w:rsid w:val="00A34DF1"/>
    <w:rsid w:val="00A34E7B"/>
    <w:rsid w:val="00A35F8A"/>
    <w:rsid w:val="00A361CD"/>
    <w:rsid w:val="00A3647B"/>
    <w:rsid w:val="00A36520"/>
    <w:rsid w:val="00A36626"/>
    <w:rsid w:val="00A36CC4"/>
    <w:rsid w:val="00A37197"/>
    <w:rsid w:val="00A37821"/>
    <w:rsid w:val="00A37CBF"/>
    <w:rsid w:val="00A37E8D"/>
    <w:rsid w:val="00A37FDA"/>
    <w:rsid w:val="00A38AFB"/>
    <w:rsid w:val="00A4012E"/>
    <w:rsid w:val="00A401A8"/>
    <w:rsid w:val="00A40686"/>
    <w:rsid w:val="00A40936"/>
    <w:rsid w:val="00A40D41"/>
    <w:rsid w:val="00A40ECC"/>
    <w:rsid w:val="00A4116D"/>
    <w:rsid w:val="00A41496"/>
    <w:rsid w:val="00A414F7"/>
    <w:rsid w:val="00A41756"/>
    <w:rsid w:val="00A41F91"/>
    <w:rsid w:val="00A42273"/>
    <w:rsid w:val="00A422DF"/>
    <w:rsid w:val="00A4314C"/>
    <w:rsid w:val="00A432F9"/>
    <w:rsid w:val="00A433ED"/>
    <w:rsid w:val="00A4342B"/>
    <w:rsid w:val="00A4357F"/>
    <w:rsid w:val="00A438F8"/>
    <w:rsid w:val="00A43B61"/>
    <w:rsid w:val="00A43F37"/>
    <w:rsid w:val="00A441ED"/>
    <w:rsid w:val="00A44234"/>
    <w:rsid w:val="00A44A51"/>
    <w:rsid w:val="00A44B10"/>
    <w:rsid w:val="00A44B45"/>
    <w:rsid w:val="00A44F2D"/>
    <w:rsid w:val="00A45075"/>
    <w:rsid w:val="00A4527D"/>
    <w:rsid w:val="00A453B0"/>
    <w:rsid w:val="00A453C1"/>
    <w:rsid w:val="00A453EA"/>
    <w:rsid w:val="00A45474"/>
    <w:rsid w:val="00A454D9"/>
    <w:rsid w:val="00A458D5"/>
    <w:rsid w:val="00A458E5"/>
    <w:rsid w:val="00A45953"/>
    <w:rsid w:val="00A45D5F"/>
    <w:rsid w:val="00A46656"/>
    <w:rsid w:val="00A46895"/>
    <w:rsid w:val="00A46A08"/>
    <w:rsid w:val="00A46ACE"/>
    <w:rsid w:val="00A46C9D"/>
    <w:rsid w:val="00A479A6"/>
    <w:rsid w:val="00A47CBB"/>
    <w:rsid w:val="00A47D67"/>
    <w:rsid w:val="00A47DF2"/>
    <w:rsid w:val="00A47FE9"/>
    <w:rsid w:val="00A505A4"/>
    <w:rsid w:val="00A50984"/>
    <w:rsid w:val="00A50B0C"/>
    <w:rsid w:val="00A50C98"/>
    <w:rsid w:val="00A50DCF"/>
    <w:rsid w:val="00A50F4D"/>
    <w:rsid w:val="00A513D5"/>
    <w:rsid w:val="00A513EE"/>
    <w:rsid w:val="00A51784"/>
    <w:rsid w:val="00A519AE"/>
    <w:rsid w:val="00A51C80"/>
    <w:rsid w:val="00A51D9F"/>
    <w:rsid w:val="00A51E3B"/>
    <w:rsid w:val="00A524F5"/>
    <w:rsid w:val="00A525EB"/>
    <w:rsid w:val="00A52629"/>
    <w:rsid w:val="00A528EB"/>
    <w:rsid w:val="00A52B29"/>
    <w:rsid w:val="00A52BAF"/>
    <w:rsid w:val="00A52E4A"/>
    <w:rsid w:val="00A52E51"/>
    <w:rsid w:val="00A52F4B"/>
    <w:rsid w:val="00A52F85"/>
    <w:rsid w:val="00A5300B"/>
    <w:rsid w:val="00A532DB"/>
    <w:rsid w:val="00A533E2"/>
    <w:rsid w:val="00A53456"/>
    <w:rsid w:val="00A53470"/>
    <w:rsid w:val="00A536C3"/>
    <w:rsid w:val="00A53841"/>
    <w:rsid w:val="00A53A1C"/>
    <w:rsid w:val="00A53BE0"/>
    <w:rsid w:val="00A53D54"/>
    <w:rsid w:val="00A53EEB"/>
    <w:rsid w:val="00A5424D"/>
    <w:rsid w:val="00A54485"/>
    <w:rsid w:val="00A5450F"/>
    <w:rsid w:val="00A546CD"/>
    <w:rsid w:val="00A5474A"/>
    <w:rsid w:val="00A54844"/>
    <w:rsid w:val="00A5491D"/>
    <w:rsid w:val="00A54D21"/>
    <w:rsid w:val="00A54F8B"/>
    <w:rsid w:val="00A55030"/>
    <w:rsid w:val="00A5547F"/>
    <w:rsid w:val="00A55A54"/>
    <w:rsid w:val="00A55C0F"/>
    <w:rsid w:val="00A5604F"/>
    <w:rsid w:val="00A560A9"/>
    <w:rsid w:val="00A560E3"/>
    <w:rsid w:val="00A563F7"/>
    <w:rsid w:val="00A56529"/>
    <w:rsid w:val="00A569FD"/>
    <w:rsid w:val="00A56EA0"/>
    <w:rsid w:val="00A56F9B"/>
    <w:rsid w:val="00A5799B"/>
    <w:rsid w:val="00A57A42"/>
    <w:rsid w:val="00A57A92"/>
    <w:rsid w:val="00A57CEF"/>
    <w:rsid w:val="00A57F37"/>
    <w:rsid w:val="00A6012C"/>
    <w:rsid w:val="00A604B2"/>
    <w:rsid w:val="00A60886"/>
    <w:rsid w:val="00A609B4"/>
    <w:rsid w:val="00A60BEE"/>
    <w:rsid w:val="00A60D7C"/>
    <w:rsid w:val="00A60DE4"/>
    <w:rsid w:val="00A60FA7"/>
    <w:rsid w:val="00A61AC4"/>
    <w:rsid w:val="00A61EFD"/>
    <w:rsid w:val="00A621BA"/>
    <w:rsid w:val="00A622FE"/>
    <w:rsid w:val="00A62ABD"/>
    <w:rsid w:val="00A62ADB"/>
    <w:rsid w:val="00A62C68"/>
    <w:rsid w:val="00A62E23"/>
    <w:rsid w:val="00A62E29"/>
    <w:rsid w:val="00A630ED"/>
    <w:rsid w:val="00A63263"/>
    <w:rsid w:val="00A63362"/>
    <w:rsid w:val="00A63544"/>
    <w:rsid w:val="00A63D79"/>
    <w:rsid w:val="00A63F43"/>
    <w:rsid w:val="00A63F70"/>
    <w:rsid w:val="00A6417C"/>
    <w:rsid w:val="00A64481"/>
    <w:rsid w:val="00A64611"/>
    <w:rsid w:val="00A64795"/>
    <w:rsid w:val="00A64CA0"/>
    <w:rsid w:val="00A64FC2"/>
    <w:rsid w:val="00A65149"/>
    <w:rsid w:val="00A65523"/>
    <w:rsid w:val="00A659AA"/>
    <w:rsid w:val="00A65A1C"/>
    <w:rsid w:val="00A65D3C"/>
    <w:rsid w:val="00A65E60"/>
    <w:rsid w:val="00A6602A"/>
    <w:rsid w:val="00A6606D"/>
    <w:rsid w:val="00A660B0"/>
    <w:rsid w:val="00A6656F"/>
    <w:rsid w:val="00A667C2"/>
    <w:rsid w:val="00A67106"/>
    <w:rsid w:val="00A674F0"/>
    <w:rsid w:val="00A67561"/>
    <w:rsid w:val="00A675A3"/>
    <w:rsid w:val="00A67883"/>
    <w:rsid w:val="00A67C5F"/>
    <w:rsid w:val="00A67CDD"/>
    <w:rsid w:val="00A67E4C"/>
    <w:rsid w:val="00A7090C"/>
    <w:rsid w:val="00A70E5D"/>
    <w:rsid w:val="00A70F63"/>
    <w:rsid w:val="00A710FE"/>
    <w:rsid w:val="00A713B3"/>
    <w:rsid w:val="00A717C7"/>
    <w:rsid w:val="00A71B26"/>
    <w:rsid w:val="00A72592"/>
    <w:rsid w:val="00A72D43"/>
    <w:rsid w:val="00A72DE4"/>
    <w:rsid w:val="00A72FBB"/>
    <w:rsid w:val="00A7306E"/>
    <w:rsid w:val="00A730AF"/>
    <w:rsid w:val="00A731EE"/>
    <w:rsid w:val="00A73937"/>
    <w:rsid w:val="00A7393C"/>
    <w:rsid w:val="00A73D97"/>
    <w:rsid w:val="00A7402D"/>
    <w:rsid w:val="00A745D6"/>
    <w:rsid w:val="00A7460A"/>
    <w:rsid w:val="00A74809"/>
    <w:rsid w:val="00A74DD7"/>
    <w:rsid w:val="00A75B24"/>
    <w:rsid w:val="00A75B5E"/>
    <w:rsid w:val="00A75C38"/>
    <w:rsid w:val="00A75DF0"/>
    <w:rsid w:val="00A75E38"/>
    <w:rsid w:val="00A75E7C"/>
    <w:rsid w:val="00A75EF3"/>
    <w:rsid w:val="00A75F57"/>
    <w:rsid w:val="00A764B4"/>
    <w:rsid w:val="00A766C8"/>
    <w:rsid w:val="00A77172"/>
    <w:rsid w:val="00A77490"/>
    <w:rsid w:val="00A776A5"/>
    <w:rsid w:val="00A7786F"/>
    <w:rsid w:val="00A77C40"/>
    <w:rsid w:val="00A77DAD"/>
    <w:rsid w:val="00A77FC3"/>
    <w:rsid w:val="00A80104"/>
    <w:rsid w:val="00A80275"/>
    <w:rsid w:val="00A80489"/>
    <w:rsid w:val="00A80716"/>
    <w:rsid w:val="00A80C1F"/>
    <w:rsid w:val="00A80C86"/>
    <w:rsid w:val="00A80F6B"/>
    <w:rsid w:val="00A8131A"/>
    <w:rsid w:val="00A81830"/>
    <w:rsid w:val="00A818E5"/>
    <w:rsid w:val="00A81905"/>
    <w:rsid w:val="00A8197D"/>
    <w:rsid w:val="00A819FE"/>
    <w:rsid w:val="00A81D64"/>
    <w:rsid w:val="00A821EA"/>
    <w:rsid w:val="00A82374"/>
    <w:rsid w:val="00A825C5"/>
    <w:rsid w:val="00A82DCE"/>
    <w:rsid w:val="00A82E09"/>
    <w:rsid w:val="00A82FAE"/>
    <w:rsid w:val="00A831DD"/>
    <w:rsid w:val="00A83C3B"/>
    <w:rsid w:val="00A83DAB"/>
    <w:rsid w:val="00A8450F"/>
    <w:rsid w:val="00A84612"/>
    <w:rsid w:val="00A84B85"/>
    <w:rsid w:val="00A85059"/>
    <w:rsid w:val="00A85936"/>
    <w:rsid w:val="00A859A2"/>
    <w:rsid w:val="00A85AC5"/>
    <w:rsid w:val="00A85C75"/>
    <w:rsid w:val="00A8604E"/>
    <w:rsid w:val="00A8623D"/>
    <w:rsid w:val="00A868B8"/>
    <w:rsid w:val="00A86B73"/>
    <w:rsid w:val="00A86EA5"/>
    <w:rsid w:val="00A870CF"/>
    <w:rsid w:val="00A871FC"/>
    <w:rsid w:val="00A87232"/>
    <w:rsid w:val="00A87642"/>
    <w:rsid w:val="00A87854"/>
    <w:rsid w:val="00A87ACA"/>
    <w:rsid w:val="00A87EE7"/>
    <w:rsid w:val="00A90425"/>
    <w:rsid w:val="00A90452"/>
    <w:rsid w:val="00A90848"/>
    <w:rsid w:val="00A909D5"/>
    <w:rsid w:val="00A90B08"/>
    <w:rsid w:val="00A90D3C"/>
    <w:rsid w:val="00A90EB0"/>
    <w:rsid w:val="00A913BE"/>
    <w:rsid w:val="00A9141D"/>
    <w:rsid w:val="00A914A3"/>
    <w:rsid w:val="00A918A2"/>
    <w:rsid w:val="00A919BC"/>
    <w:rsid w:val="00A91BE2"/>
    <w:rsid w:val="00A91CF1"/>
    <w:rsid w:val="00A92171"/>
    <w:rsid w:val="00A922DA"/>
    <w:rsid w:val="00A9231F"/>
    <w:rsid w:val="00A924AE"/>
    <w:rsid w:val="00A92C85"/>
    <w:rsid w:val="00A9329F"/>
    <w:rsid w:val="00A93393"/>
    <w:rsid w:val="00A93866"/>
    <w:rsid w:val="00A9386F"/>
    <w:rsid w:val="00A939D7"/>
    <w:rsid w:val="00A9409D"/>
    <w:rsid w:val="00A943F4"/>
    <w:rsid w:val="00A94553"/>
    <w:rsid w:val="00A945A5"/>
    <w:rsid w:val="00A9482D"/>
    <w:rsid w:val="00A94839"/>
    <w:rsid w:val="00A94F27"/>
    <w:rsid w:val="00A95254"/>
    <w:rsid w:val="00A952CD"/>
    <w:rsid w:val="00A95359"/>
    <w:rsid w:val="00A95503"/>
    <w:rsid w:val="00A9561F"/>
    <w:rsid w:val="00A9562E"/>
    <w:rsid w:val="00A957F2"/>
    <w:rsid w:val="00A95E45"/>
    <w:rsid w:val="00A965B3"/>
    <w:rsid w:val="00A967E8"/>
    <w:rsid w:val="00A96E36"/>
    <w:rsid w:val="00A9782F"/>
    <w:rsid w:val="00A978D9"/>
    <w:rsid w:val="00A978FE"/>
    <w:rsid w:val="00A97CF1"/>
    <w:rsid w:val="00AA01C0"/>
    <w:rsid w:val="00AA040F"/>
    <w:rsid w:val="00AA0DE2"/>
    <w:rsid w:val="00AA13B6"/>
    <w:rsid w:val="00AA1784"/>
    <w:rsid w:val="00AA1E7D"/>
    <w:rsid w:val="00AA1ED1"/>
    <w:rsid w:val="00AA215C"/>
    <w:rsid w:val="00AA2482"/>
    <w:rsid w:val="00AA290E"/>
    <w:rsid w:val="00AA2D70"/>
    <w:rsid w:val="00AA2F30"/>
    <w:rsid w:val="00AA2F55"/>
    <w:rsid w:val="00AA306A"/>
    <w:rsid w:val="00AA313D"/>
    <w:rsid w:val="00AA3365"/>
    <w:rsid w:val="00AA39F6"/>
    <w:rsid w:val="00AA3AD9"/>
    <w:rsid w:val="00AA447E"/>
    <w:rsid w:val="00AA44DB"/>
    <w:rsid w:val="00AA4CC4"/>
    <w:rsid w:val="00AA4E90"/>
    <w:rsid w:val="00AA4F63"/>
    <w:rsid w:val="00AA5056"/>
    <w:rsid w:val="00AA5271"/>
    <w:rsid w:val="00AA52DC"/>
    <w:rsid w:val="00AA5541"/>
    <w:rsid w:val="00AA57AF"/>
    <w:rsid w:val="00AA5829"/>
    <w:rsid w:val="00AA5AFB"/>
    <w:rsid w:val="00AA5DD3"/>
    <w:rsid w:val="00AA640C"/>
    <w:rsid w:val="00AA65C1"/>
    <w:rsid w:val="00AA67DC"/>
    <w:rsid w:val="00AA6C6F"/>
    <w:rsid w:val="00AA7307"/>
    <w:rsid w:val="00AA74FD"/>
    <w:rsid w:val="00AA7787"/>
    <w:rsid w:val="00AA7B5C"/>
    <w:rsid w:val="00AA7BAB"/>
    <w:rsid w:val="00AA7E89"/>
    <w:rsid w:val="00AB016E"/>
    <w:rsid w:val="00AB085C"/>
    <w:rsid w:val="00AB096E"/>
    <w:rsid w:val="00AB1498"/>
    <w:rsid w:val="00AB1832"/>
    <w:rsid w:val="00AB1A1D"/>
    <w:rsid w:val="00AB1B0F"/>
    <w:rsid w:val="00AB1BA8"/>
    <w:rsid w:val="00AB1BDD"/>
    <w:rsid w:val="00AB1E51"/>
    <w:rsid w:val="00AB21FE"/>
    <w:rsid w:val="00AB235F"/>
    <w:rsid w:val="00AB23E6"/>
    <w:rsid w:val="00AB2642"/>
    <w:rsid w:val="00AB271B"/>
    <w:rsid w:val="00AB2B01"/>
    <w:rsid w:val="00AB2B3C"/>
    <w:rsid w:val="00AB2B94"/>
    <w:rsid w:val="00AB2CAF"/>
    <w:rsid w:val="00AB30C3"/>
    <w:rsid w:val="00AB378B"/>
    <w:rsid w:val="00AB37D3"/>
    <w:rsid w:val="00AB3ABF"/>
    <w:rsid w:val="00AB4346"/>
    <w:rsid w:val="00AB43C5"/>
    <w:rsid w:val="00AB45B8"/>
    <w:rsid w:val="00AB4965"/>
    <w:rsid w:val="00AB4A26"/>
    <w:rsid w:val="00AB4A27"/>
    <w:rsid w:val="00AB4BF6"/>
    <w:rsid w:val="00AB56E9"/>
    <w:rsid w:val="00AB5C0F"/>
    <w:rsid w:val="00AB5F72"/>
    <w:rsid w:val="00AB61F0"/>
    <w:rsid w:val="00AB6B85"/>
    <w:rsid w:val="00AB794B"/>
    <w:rsid w:val="00AC0090"/>
    <w:rsid w:val="00AC011F"/>
    <w:rsid w:val="00AC024E"/>
    <w:rsid w:val="00AC08FB"/>
    <w:rsid w:val="00AC0A1A"/>
    <w:rsid w:val="00AC0B4E"/>
    <w:rsid w:val="00AC0D42"/>
    <w:rsid w:val="00AC0DFF"/>
    <w:rsid w:val="00AC0E86"/>
    <w:rsid w:val="00AC1449"/>
    <w:rsid w:val="00AC1E6E"/>
    <w:rsid w:val="00AC26C6"/>
    <w:rsid w:val="00AC2ABC"/>
    <w:rsid w:val="00AC2B31"/>
    <w:rsid w:val="00AC2D09"/>
    <w:rsid w:val="00AC3575"/>
    <w:rsid w:val="00AC35C7"/>
    <w:rsid w:val="00AC362D"/>
    <w:rsid w:val="00AC3C6B"/>
    <w:rsid w:val="00AC4015"/>
    <w:rsid w:val="00AC40EF"/>
    <w:rsid w:val="00AC4181"/>
    <w:rsid w:val="00AC449A"/>
    <w:rsid w:val="00AC46B2"/>
    <w:rsid w:val="00AC5393"/>
    <w:rsid w:val="00AC5849"/>
    <w:rsid w:val="00AC59CE"/>
    <w:rsid w:val="00AC5A39"/>
    <w:rsid w:val="00AC5AB0"/>
    <w:rsid w:val="00AC627B"/>
    <w:rsid w:val="00AC6A1B"/>
    <w:rsid w:val="00AC6AB4"/>
    <w:rsid w:val="00AC6D0C"/>
    <w:rsid w:val="00AC6DE1"/>
    <w:rsid w:val="00AC70E0"/>
    <w:rsid w:val="00AC71F2"/>
    <w:rsid w:val="00AC720C"/>
    <w:rsid w:val="00AC7327"/>
    <w:rsid w:val="00AC765C"/>
    <w:rsid w:val="00AC7722"/>
    <w:rsid w:val="00AC7746"/>
    <w:rsid w:val="00AC7BE4"/>
    <w:rsid w:val="00AC7C4F"/>
    <w:rsid w:val="00AC7D63"/>
    <w:rsid w:val="00AC7D6E"/>
    <w:rsid w:val="00AC7DAF"/>
    <w:rsid w:val="00AD00EB"/>
    <w:rsid w:val="00AD0111"/>
    <w:rsid w:val="00AD01AE"/>
    <w:rsid w:val="00AD0273"/>
    <w:rsid w:val="00AD042B"/>
    <w:rsid w:val="00AD0434"/>
    <w:rsid w:val="00AD04CF"/>
    <w:rsid w:val="00AD04F9"/>
    <w:rsid w:val="00AD0532"/>
    <w:rsid w:val="00AD07C3"/>
    <w:rsid w:val="00AD0F3E"/>
    <w:rsid w:val="00AD0F8E"/>
    <w:rsid w:val="00AD1018"/>
    <w:rsid w:val="00AD11CE"/>
    <w:rsid w:val="00AD13C6"/>
    <w:rsid w:val="00AD14BE"/>
    <w:rsid w:val="00AD17ED"/>
    <w:rsid w:val="00AD1916"/>
    <w:rsid w:val="00AD1ECC"/>
    <w:rsid w:val="00AD22ED"/>
    <w:rsid w:val="00AD23F1"/>
    <w:rsid w:val="00AD2858"/>
    <w:rsid w:val="00AD286C"/>
    <w:rsid w:val="00AD3372"/>
    <w:rsid w:val="00AD36D6"/>
    <w:rsid w:val="00AD38DD"/>
    <w:rsid w:val="00AD3991"/>
    <w:rsid w:val="00AD4505"/>
    <w:rsid w:val="00AD4852"/>
    <w:rsid w:val="00AD4A2B"/>
    <w:rsid w:val="00AD4B84"/>
    <w:rsid w:val="00AD50BD"/>
    <w:rsid w:val="00AD579C"/>
    <w:rsid w:val="00AD5AB0"/>
    <w:rsid w:val="00AD5AD4"/>
    <w:rsid w:val="00AD5B2E"/>
    <w:rsid w:val="00AD5D56"/>
    <w:rsid w:val="00AD5FC1"/>
    <w:rsid w:val="00AD5FF4"/>
    <w:rsid w:val="00AD6292"/>
    <w:rsid w:val="00AD68BF"/>
    <w:rsid w:val="00AD6CFD"/>
    <w:rsid w:val="00AD7017"/>
    <w:rsid w:val="00AD75FA"/>
    <w:rsid w:val="00AD77C7"/>
    <w:rsid w:val="00AD7A22"/>
    <w:rsid w:val="00AD7B31"/>
    <w:rsid w:val="00AD7BBC"/>
    <w:rsid w:val="00AD7F18"/>
    <w:rsid w:val="00AE02CE"/>
    <w:rsid w:val="00AE0C7E"/>
    <w:rsid w:val="00AE0EE2"/>
    <w:rsid w:val="00AE1062"/>
    <w:rsid w:val="00AE12A6"/>
    <w:rsid w:val="00AE1309"/>
    <w:rsid w:val="00AE139C"/>
    <w:rsid w:val="00AE19CA"/>
    <w:rsid w:val="00AE22D7"/>
    <w:rsid w:val="00AE2365"/>
    <w:rsid w:val="00AE249F"/>
    <w:rsid w:val="00AE24DC"/>
    <w:rsid w:val="00AE2BB4"/>
    <w:rsid w:val="00AE3276"/>
    <w:rsid w:val="00AE359A"/>
    <w:rsid w:val="00AE36E0"/>
    <w:rsid w:val="00AE3945"/>
    <w:rsid w:val="00AE3A58"/>
    <w:rsid w:val="00AE3A7F"/>
    <w:rsid w:val="00AE3E47"/>
    <w:rsid w:val="00AE3F24"/>
    <w:rsid w:val="00AE3F3D"/>
    <w:rsid w:val="00AE44F5"/>
    <w:rsid w:val="00AE494B"/>
    <w:rsid w:val="00AE4C0E"/>
    <w:rsid w:val="00AE518E"/>
    <w:rsid w:val="00AE57A3"/>
    <w:rsid w:val="00AE5827"/>
    <w:rsid w:val="00AE586E"/>
    <w:rsid w:val="00AE5A9A"/>
    <w:rsid w:val="00AE5DE9"/>
    <w:rsid w:val="00AE63F0"/>
    <w:rsid w:val="00AE6754"/>
    <w:rsid w:val="00AE732E"/>
    <w:rsid w:val="00AE77D5"/>
    <w:rsid w:val="00AE7ACB"/>
    <w:rsid w:val="00AE7B7B"/>
    <w:rsid w:val="00AE7EC8"/>
    <w:rsid w:val="00AF091C"/>
    <w:rsid w:val="00AF0946"/>
    <w:rsid w:val="00AF09D3"/>
    <w:rsid w:val="00AF09E4"/>
    <w:rsid w:val="00AF0C9A"/>
    <w:rsid w:val="00AF0E32"/>
    <w:rsid w:val="00AF0FAE"/>
    <w:rsid w:val="00AF103A"/>
    <w:rsid w:val="00AF1A0D"/>
    <w:rsid w:val="00AF1AD6"/>
    <w:rsid w:val="00AF1C7E"/>
    <w:rsid w:val="00AF1DAB"/>
    <w:rsid w:val="00AF263B"/>
    <w:rsid w:val="00AF2999"/>
    <w:rsid w:val="00AF2B1B"/>
    <w:rsid w:val="00AF2BF2"/>
    <w:rsid w:val="00AF3041"/>
    <w:rsid w:val="00AF310A"/>
    <w:rsid w:val="00AF32D6"/>
    <w:rsid w:val="00AF351A"/>
    <w:rsid w:val="00AF3809"/>
    <w:rsid w:val="00AF393C"/>
    <w:rsid w:val="00AF3CF9"/>
    <w:rsid w:val="00AF3E97"/>
    <w:rsid w:val="00AF3F90"/>
    <w:rsid w:val="00AF4022"/>
    <w:rsid w:val="00AF450A"/>
    <w:rsid w:val="00AF4540"/>
    <w:rsid w:val="00AF474A"/>
    <w:rsid w:val="00AF4845"/>
    <w:rsid w:val="00AF4906"/>
    <w:rsid w:val="00AF49CB"/>
    <w:rsid w:val="00AF4D25"/>
    <w:rsid w:val="00AF4FD0"/>
    <w:rsid w:val="00AF524D"/>
    <w:rsid w:val="00AF53D9"/>
    <w:rsid w:val="00AF572B"/>
    <w:rsid w:val="00AF5813"/>
    <w:rsid w:val="00AF5A17"/>
    <w:rsid w:val="00AF5A51"/>
    <w:rsid w:val="00AF5BE4"/>
    <w:rsid w:val="00AF5E83"/>
    <w:rsid w:val="00AF62C5"/>
    <w:rsid w:val="00AF6456"/>
    <w:rsid w:val="00AF648F"/>
    <w:rsid w:val="00AF6D1E"/>
    <w:rsid w:val="00AF6E75"/>
    <w:rsid w:val="00AF7107"/>
    <w:rsid w:val="00AF7229"/>
    <w:rsid w:val="00AF7264"/>
    <w:rsid w:val="00AF72BA"/>
    <w:rsid w:val="00AF7A20"/>
    <w:rsid w:val="00AF7AC6"/>
    <w:rsid w:val="00AF7DD3"/>
    <w:rsid w:val="00AF7F5D"/>
    <w:rsid w:val="00AF7F71"/>
    <w:rsid w:val="00B002E0"/>
    <w:rsid w:val="00B003AC"/>
    <w:rsid w:val="00B007E8"/>
    <w:rsid w:val="00B008EE"/>
    <w:rsid w:val="00B00BFD"/>
    <w:rsid w:val="00B00C88"/>
    <w:rsid w:val="00B00FD8"/>
    <w:rsid w:val="00B011FB"/>
    <w:rsid w:val="00B01515"/>
    <w:rsid w:val="00B016F0"/>
    <w:rsid w:val="00B0173C"/>
    <w:rsid w:val="00B017DC"/>
    <w:rsid w:val="00B0183B"/>
    <w:rsid w:val="00B01BE9"/>
    <w:rsid w:val="00B020FD"/>
    <w:rsid w:val="00B022A8"/>
    <w:rsid w:val="00B02577"/>
    <w:rsid w:val="00B02629"/>
    <w:rsid w:val="00B032C7"/>
    <w:rsid w:val="00B032CC"/>
    <w:rsid w:val="00B0332B"/>
    <w:rsid w:val="00B03695"/>
    <w:rsid w:val="00B0380C"/>
    <w:rsid w:val="00B03A5B"/>
    <w:rsid w:val="00B03B36"/>
    <w:rsid w:val="00B03E9B"/>
    <w:rsid w:val="00B04281"/>
    <w:rsid w:val="00B04367"/>
    <w:rsid w:val="00B0462F"/>
    <w:rsid w:val="00B04A4A"/>
    <w:rsid w:val="00B04B17"/>
    <w:rsid w:val="00B04E67"/>
    <w:rsid w:val="00B04E80"/>
    <w:rsid w:val="00B0519E"/>
    <w:rsid w:val="00B0599A"/>
    <w:rsid w:val="00B065AF"/>
    <w:rsid w:val="00B06889"/>
    <w:rsid w:val="00B068D3"/>
    <w:rsid w:val="00B06ACA"/>
    <w:rsid w:val="00B0705A"/>
    <w:rsid w:val="00B07060"/>
    <w:rsid w:val="00B0719B"/>
    <w:rsid w:val="00B07795"/>
    <w:rsid w:val="00B07D26"/>
    <w:rsid w:val="00B07F35"/>
    <w:rsid w:val="00B07F4C"/>
    <w:rsid w:val="00B07FEC"/>
    <w:rsid w:val="00B103F0"/>
    <w:rsid w:val="00B106B6"/>
    <w:rsid w:val="00B107CB"/>
    <w:rsid w:val="00B10963"/>
    <w:rsid w:val="00B1097B"/>
    <w:rsid w:val="00B10CA2"/>
    <w:rsid w:val="00B1113C"/>
    <w:rsid w:val="00B11560"/>
    <w:rsid w:val="00B115F5"/>
    <w:rsid w:val="00B11662"/>
    <w:rsid w:val="00B1173D"/>
    <w:rsid w:val="00B121DE"/>
    <w:rsid w:val="00B1272C"/>
    <w:rsid w:val="00B12A36"/>
    <w:rsid w:val="00B12A61"/>
    <w:rsid w:val="00B12D33"/>
    <w:rsid w:val="00B13294"/>
    <w:rsid w:val="00B133F9"/>
    <w:rsid w:val="00B13707"/>
    <w:rsid w:val="00B138E8"/>
    <w:rsid w:val="00B139DD"/>
    <w:rsid w:val="00B13FBD"/>
    <w:rsid w:val="00B14054"/>
    <w:rsid w:val="00B141CB"/>
    <w:rsid w:val="00B142AC"/>
    <w:rsid w:val="00B14800"/>
    <w:rsid w:val="00B1494A"/>
    <w:rsid w:val="00B14A09"/>
    <w:rsid w:val="00B14F68"/>
    <w:rsid w:val="00B1508D"/>
    <w:rsid w:val="00B1529C"/>
    <w:rsid w:val="00B15683"/>
    <w:rsid w:val="00B156C4"/>
    <w:rsid w:val="00B15AF2"/>
    <w:rsid w:val="00B15BAA"/>
    <w:rsid w:val="00B162A2"/>
    <w:rsid w:val="00B162CF"/>
    <w:rsid w:val="00B165A5"/>
    <w:rsid w:val="00B16641"/>
    <w:rsid w:val="00B166E1"/>
    <w:rsid w:val="00B1766B"/>
    <w:rsid w:val="00B17A95"/>
    <w:rsid w:val="00B17C63"/>
    <w:rsid w:val="00B20083"/>
    <w:rsid w:val="00B20535"/>
    <w:rsid w:val="00B20651"/>
    <w:rsid w:val="00B20896"/>
    <w:rsid w:val="00B20BA0"/>
    <w:rsid w:val="00B20ECB"/>
    <w:rsid w:val="00B214B0"/>
    <w:rsid w:val="00B21A40"/>
    <w:rsid w:val="00B21D37"/>
    <w:rsid w:val="00B22234"/>
    <w:rsid w:val="00B2247C"/>
    <w:rsid w:val="00B22523"/>
    <w:rsid w:val="00B2262C"/>
    <w:rsid w:val="00B22650"/>
    <w:rsid w:val="00B229F7"/>
    <w:rsid w:val="00B22D29"/>
    <w:rsid w:val="00B22D5E"/>
    <w:rsid w:val="00B22DEF"/>
    <w:rsid w:val="00B22DF1"/>
    <w:rsid w:val="00B22E20"/>
    <w:rsid w:val="00B233CE"/>
    <w:rsid w:val="00B235DD"/>
    <w:rsid w:val="00B23AC0"/>
    <w:rsid w:val="00B23C6B"/>
    <w:rsid w:val="00B240C2"/>
    <w:rsid w:val="00B2421A"/>
    <w:rsid w:val="00B243C2"/>
    <w:rsid w:val="00B2442D"/>
    <w:rsid w:val="00B24AEA"/>
    <w:rsid w:val="00B25139"/>
    <w:rsid w:val="00B251A0"/>
    <w:rsid w:val="00B25335"/>
    <w:rsid w:val="00B25786"/>
    <w:rsid w:val="00B257DB"/>
    <w:rsid w:val="00B258D0"/>
    <w:rsid w:val="00B258DB"/>
    <w:rsid w:val="00B258FC"/>
    <w:rsid w:val="00B25902"/>
    <w:rsid w:val="00B25940"/>
    <w:rsid w:val="00B25D1C"/>
    <w:rsid w:val="00B25D54"/>
    <w:rsid w:val="00B25DD9"/>
    <w:rsid w:val="00B261F6"/>
    <w:rsid w:val="00B2628E"/>
    <w:rsid w:val="00B2638A"/>
    <w:rsid w:val="00B265D8"/>
    <w:rsid w:val="00B26A8F"/>
    <w:rsid w:val="00B26E0B"/>
    <w:rsid w:val="00B27074"/>
    <w:rsid w:val="00B2719F"/>
    <w:rsid w:val="00B275C1"/>
    <w:rsid w:val="00B27610"/>
    <w:rsid w:val="00B2780A"/>
    <w:rsid w:val="00B2ED16"/>
    <w:rsid w:val="00B300C0"/>
    <w:rsid w:val="00B300C3"/>
    <w:rsid w:val="00B30561"/>
    <w:rsid w:val="00B307D3"/>
    <w:rsid w:val="00B30B2A"/>
    <w:rsid w:val="00B30EA6"/>
    <w:rsid w:val="00B31018"/>
    <w:rsid w:val="00B311CA"/>
    <w:rsid w:val="00B31317"/>
    <w:rsid w:val="00B315C2"/>
    <w:rsid w:val="00B31605"/>
    <w:rsid w:val="00B317AB"/>
    <w:rsid w:val="00B31D12"/>
    <w:rsid w:val="00B31D99"/>
    <w:rsid w:val="00B31E20"/>
    <w:rsid w:val="00B31FBC"/>
    <w:rsid w:val="00B32393"/>
    <w:rsid w:val="00B323B0"/>
    <w:rsid w:val="00B323B6"/>
    <w:rsid w:val="00B328B3"/>
    <w:rsid w:val="00B32942"/>
    <w:rsid w:val="00B329FD"/>
    <w:rsid w:val="00B330CB"/>
    <w:rsid w:val="00B33793"/>
    <w:rsid w:val="00B339EE"/>
    <w:rsid w:val="00B33A7F"/>
    <w:rsid w:val="00B33F4D"/>
    <w:rsid w:val="00B340C7"/>
    <w:rsid w:val="00B34725"/>
    <w:rsid w:val="00B348AC"/>
    <w:rsid w:val="00B34CEA"/>
    <w:rsid w:val="00B34D0D"/>
    <w:rsid w:val="00B34D1B"/>
    <w:rsid w:val="00B34E15"/>
    <w:rsid w:val="00B350CB"/>
    <w:rsid w:val="00B355A2"/>
    <w:rsid w:val="00B356C1"/>
    <w:rsid w:val="00B35804"/>
    <w:rsid w:val="00B35910"/>
    <w:rsid w:val="00B3620A"/>
    <w:rsid w:val="00B362E5"/>
    <w:rsid w:val="00B36523"/>
    <w:rsid w:val="00B366AE"/>
    <w:rsid w:val="00B367B1"/>
    <w:rsid w:val="00B36AAB"/>
    <w:rsid w:val="00B36C91"/>
    <w:rsid w:val="00B36D69"/>
    <w:rsid w:val="00B36FC5"/>
    <w:rsid w:val="00B371A7"/>
    <w:rsid w:val="00B3723D"/>
    <w:rsid w:val="00B374FF"/>
    <w:rsid w:val="00B377DD"/>
    <w:rsid w:val="00B37A93"/>
    <w:rsid w:val="00B37B62"/>
    <w:rsid w:val="00B37E84"/>
    <w:rsid w:val="00B4021D"/>
    <w:rsid w:val="00B404E4"/>
    <w:rsid w:val="00B406A5"/>
    <w:rsid w:val="00B4099B"/>
    <w:rsid w:val="00B40A5B"/>
    <w:rsid w:val="00B41602"/>
    <w:rsid w:val="00B417E7"/>
    <w:rsid w:val="00B41B84"/>
    <w:rsid w:val="00B41DD3"/>
    <w:rsid w:val="00B423FA"/>
    <w:rsid w:val="00B4240C"/>
    <w:rsid w:val="00B42BF4"/>
    <w:rsid w:val="00B42D26"/>
    <w:rsid w:val="00B431DD"/>
    <w:rsid w:val="00B4331F"/>
    <w:rsid w:val="00B4335D"/>
    <w:rsid w:val="00B43370"/>
    <w:rsid w:val="00B43433"/>
    <w:rsid w:val="00B434E0"/>
    <w:rsid w:val="00B43A04"/>
    <w:rsid w:val="00B44864"/>
    <w:rsid w:val="00B44A20"/>
    <w:rsid w:val="00B44A6F"/>
    <w:rsid w:val="00B44ABB"/>
    <w:rsid w:val="00B44E7F"/>
    <w:rsid w:val="00B45A93"/>
    <w:rsid w:val="00B45AB5"/>
    <w:rsid w:val="00B45AD7"/>
    <w:rsid w:val="00B45C8A"/>
    <w:rsid w:val="00B45F2D"/>
    <w:rsid w:val="00B4624E"/>
    <w:rsid w:val="00B4626F"/>
    <w:rsid w:val="00B46828"/>
    <w:rsid w:val="00B46F06"/>
    <w:rsid w:val="00B46F29"/>
    <w:rsid w:val="00B476D5"/>
    <w:rsid w:val="00B479F7"/>
    <w:rsid w:val="00B47BFB"/>
    <w:rsid w:val="00B47E04"/>
    <w:rsid w:val="00B500AE"/>
    <w:rsid w:val="00B5065E"/>
    <w:rsid w:val="00B507EF"/>
    <w:rsid w:val="00B508D7"/>
    <w:rsid w:val="00B511D1"/>
    <w:rsid w:val="00B51822"/>
    <w:rsid w:val="00B5185F"/>
    <w:rsid w:val="00B51C5A"/>
    <w:rsid w:val="00B5241E"/>
    <w:rsid w:val="00B52AD8"/>
    <w:rsid w:val="00B52B78"/>
    <w:rsid w:val="00B5334A"/>
    <w:rsid w:val="00B539A9"/>
    <w:rsid w:val="00B54208"/>
    <w:rsid w:val="00B54420"/>
    <w:rsid w:val="00B54925"/>
    <w:rsid w:val="00B54C7D"/>
    <w:rsid w:val="00B552BF"/>
    <w:rsid w:val="00B55431"/>
    <w:rsid w:val="00B55488"/>
    <w:rsid w:val="00B559C3"/>
    <w:rsid w:val="00B55C54"/>
    <w:rsid w:val="00B55C62"/>
    <w:rsid w:val="00B55D02"/>
    <w:rsid w:val="00B55D50"/>
    <w:rsid w:val="00B561AD"/>
    <w:rsid w:val="00B56210"/>
    <w:rsid w:val="00B5651B"/>
    <w:rsid w:val="00B5664F"/>
    <w:rsid w:val="00B5671E"/>
    <w:rsid w:val="00B567E4"/>
    <w:rsid w:val="00B56823"/>
    <w:rsid w:val="00B5752F"/>
    <w:rsid w:val="00B5772E"/>
    <w:rsid w:val="00B57BDC"/>
    <w:rsid w:val="00B57E2B"/>
    <w:rsid w:val="00B60757"/>
    <w:rsid w:val="00B60E3F"/>
    <w:rsid w:val="00B6103E"/>
    <w:rsid w:val="00B6123F"/>
    <w:rsid w:val="00B615FA"/>
    <w:rsid w:val="00B61630"/>
    <w:rsid w:val="00B61ABC"/>
    <w:rsid w:val="00B61DD9"/>
    <w:rsid w:val="00B623B5"/>
    <w:rsid w:val="00B62444"/>
    <w:rsid w:val="00B62592"/>
    <w:rsid w:val="00B626C3"/>
    <w:rsid w:val="00B626E0"/>
    <w:rsid w:val="00B628A4"/>
    <w:rsid w:val="00B62954"/>
    <w:rsid w:val="00B62A09"/>
    <w:rsid w:val="00B62CBF"/>
    <w:rsid w:val="00B62DA3"/>
    <w:rsid w:val="00B63684"/>
    <w:rsid w:val="00B637D2"/>
    <w:rsid w:val="00B6391D"/>
    <w:rsid w:val="00B63C04"/>
    <w:rsid w:val="00B63D82"/>
    <w:rsid w:val="00B63FB7"/>
    <w:rsid w:val="00B64125"/>
    <w:rsid w:val="00B641B1"/>
    <w:rsid w:val="00B6452A"/>
    <w:rsid w:val="00B64A3C"/>
    <w:rsid w:val="00B64F13"/>
    <w:rsid w:val="00B65188"/>
    <w:rsid w:val="00B65415"/>
    <w:rsid w:val="00B65538"/>
    <w:rsid w:val="00B65BEF"/>
    <w:rsid w:val="00B65CEA"/>
    <w:rsid w:val="00B65D88"/>
    <w:rsid w:val="00B65DE9"/>
    <w:rsid w:val="00B66131"/>
    <w:rsid w:val="00B6654E"/>
    <w:rsid w:val="00B665A9"/>
    <w:rsid w:val="00B66964"/>
    <w:rsid w:val="00B66975"/>
    <w:rsid w:val="00B66BEA"/>
    <w:rsid w:val="00B66C73"/>
    <w:rsid w:val="00B66DBF"/>
    <w:rsid w:val="00B671B1"/>
    <w:rsid w:val="00B67249"/>
    <w:rsid w:val="00B67582"/>
    <w:rsid w:val="00B7005A"/>
    <w:rsid w:val="00B705BC"/>
    <w:rsid w:val="00B7077D"/>
    <w:rsid w:val="00B70849"/>
    <w:rsid w:val="00B7092D"/>
    <w:rsid w:val="00B70D26"/>
    <w:rsid w:val="00B70D40"/>
    <w:rsid w:val="00B71DCF"/>
    <w:rsid w:val="00B721B3"/>
    <w:rsid w:val="00B723D6"/>
    <w:rsid w:val="00B725FD"/>
    <w:rsid w:val="00B72818"/>
    <w:rsid w:val="00B72A43"/>
    <w:rsid w:val="00B72BA9"/>
    <w:rsid w:val="00B72D24"/>
    <w:rsid w:val="00B72D37"/>
    <w:rsid w:val="00B72D6E"/>
    <w:rsid w:val="00B72DD6"/>
    <w:rsid w:val="00B7304A"/>
    <w:rsid w:val="00B73317"/>
    <w:rsid w:val="00B734FB"/>
    <w:rsid w:val="00B73890"/>
    <w:rsid w:val="00B73E60"/>
    <w:rsid w:val="00B73F4E"/>
    <w:rsid w:val="00B740DB"/>
    <w:rsid w:val="00B74864"/>
    <w:rsid w:val="00B74BA3"/>
    <w:rsid w:val="00B74F18"/>
    <w:rsid w:val="00B75224"/>
    <w:rsid w:val="00B753DF"/>
    <w:rsid w:val="00B75D5B"/>
    <w:rsid w:val="00B76045"/>
    <w:rsid w:val="00B76064"/>
    <w:rsid w:val="00B76635"/>
    <w:rsid w:val="00B7672C"/>
    <w:rsid w:val="00B76EDE"/>
    <w:rsid w:val="00B77564"/>
    <w:rsid w:val="00B77774"/>
    <w:rsid w:val="00B77CC3"/>
    <w:rsid w:val="00B800A9"/>
    <w:rsid w:val="00B80B12"/>
    <w:rsid w:val="00B80B4F"/>
    <w:rsid w:val="00B80C10"/>
    <w:rsid w:val="00B80C83"/>
    <w:rsid w:val="00B810C4"/>
    <w:rsid w:val="00B810CC"/>
    <w:rsid w:val="00B8144E"/>
    <w:rsid w:val="00B81871"/>
    <w:rsid w:val="00B82342"/>
    <w:rsid w:val="00B823B4"/>
    <w:rsid w:val="00B824BE"/>
    <w:rsid w:val="00B82732"/>
    <w:rsid w:val="00B82EB1"/>
    <w:rsid w:val="00B833EA"/>
    <w:rsid w:val="00B8378F"/>
    <w:rsid w:val="00B8380E"/>
    <w:rsid w:val="00B83839"/>
    <w:rsid w:val="00B83888"/>
    <w:rsid w:val="00B83C9B"/>
    <w:rsid w:val="00B84063"/>
    <w:rsid w:val="00B84094"/>
    <w:rsid w:val="00B84374"/>
    <w:rsid w:val="00B84A99"/>
    <w:rsid w:val="00B84C6B"/>
    <w:rsid w:val="00B84C91"/>
    <w:rsid w:val="00B852C5"/>
    <w:rsid w:val="00B85490"/>
    <w:rsid w:val="00B85AD0"/>
    <w:rsid w:val="00B86421"/>
    <w:rsid w:val="00B87105"/>
    <w:rsid w:val="00B8741B"/>
    <w:rsid w:val="00B8762B"/>
    <w:rsid w:val="00B87870"/>
    <w:rsid w:val="00B87B29"/>
    <w:rsid w:val="00B87D1E"/>
    <w:rsid w:val="00B87E9D"/>
    <w:rsid w:val="00B87EBD"/>
    <w:rsid w:val="00B87F01"/>
    <w:rsid w:val="00B9014F"/>
    <w:rsid w:val="00B90594"/>
    <w:rsid w:val="00B905C6"/>
    <w:rsid w:val="00B906CC"/>
    <w:rsid w:val="00B90CA9"/>
    <w:rsid w:val="00B90E36"/>
    <w:rsid w:val="00B91187"/>
    <w:rsid w:val="00B91466"/>
    <w:rsid w:val="00B91A1D"/>
    <w:rsid w:val="00B91BCC"/>
    <w:rsid w:val="00B91D7F"/>
    <w:rsid w:val="00B91F15"/>
    <w:rsid w:val="00B9211E"/>
    <w:rsid w:val="00B92189"/>
    <w:rsid w:val="00B922C8"/>
    <w:rsid w:val="00B92DC1"/>
    <w:rsid w:val="00B92DE5"/>
    <w:rsid w:val="00B934AF"/>
    <w:rsid w:val="00B934E5"/>
    <w:rsid w:val="00B93A72"/>
    <w:rsid w:val="00B9404C"/>
    <w:rsid w:val="00B94879"/>
    <w:rsid w:val="00B94AC4"/>
    <w:rsid w:val="00B94BF8"/>
    <w:rsid w:val="00B9575E"/>
    <w:rsid w:val="00B95B01"/>
    <w:rsid w:val="00B96299"/>
    <w:rsid w:val="00B965E9"/>
    <w:rsid w:val="00B96692"/>
    <w:rsid w:val="00B967F9"/>
    <w:rsid w:val="00B968F6"/>
    <w:rsid w:val="00B975B5"/>
    <w:rsid w:val="00B976CE"/>
    <w:rsid w:val="00B97998"/>
    <w:rsid w:val="00B97CB0"/>
    <w:rsid w:val="00B97DE5"/>
    <w:rsid w:val="00BA1329"/>
    <w:rsid w:val="00BA13C3"/>
    <w:rsid w:val="00BA1483"/>
    <w:rsid w:val="00BA1662"/>
    <w:rsid w:val="00BA18C9"/>
    <w:rsid w:val="00BA1A3D"/>
    <w:rsid w:val="00BA1A72"/>
    <w:rsid w:val="00BA1BCF"/>
    <w:rsid w:val="00BA1BED"/>
    <w:rsid w:val="00BA1D38"/>
    <w:rsid w:val="00BA2105"/>
    <w:rsid w:val="00BA2267"/>
    <w:rsid w:val="00BA2673"/>
    <w:rsid w:val="00BA274D"/>
    <w:rsid w:val="00BA27BD"/>
    <w:rsid w:val="00BA2897"/>
    <w:rsid w:val="00BA28C8"/>
    <w:rsid w:val="00BA2C39"/>
    <w:rsid w:val="00BA2C3D"/>
    <w:rsid w:val="00BA2F09"/>
    <w:rsid w:val="00BA35F6"/>
    <w:rsid w:val="00BA361A"/>
    <w:rsid w:val="00BA3B77"/>
    <w:rsid w:val="00BA3BC0"/>
    <w:rsid w:val="00BA3EFA"/>
    <w:rsid w:val="00BA3FF0"/>
    <w:rsid w:val="00BA407D"/>
    <w:rsid w:val="00BA4433"/>
    <w:rsid w:val="00BA483A"/>
    <w:rsid w:val="00BA499A"/>
    <w:rsid w:val="00BA49F4"/>
    <w:rsid w:val="00BA4D15"/>
    <w:rsid w:val="00BA4F42"/>
    <w:rsid w:val="00BA58BD"/>
    <w:rsid w:val="00BA5C83"/>
    <w:rsid w:val="00BA5D8A"/>
    <w:rsid w:val="00BA5F0D"/>
    <w:rsid w:val="00BA6226"/>
    <w:rsid w:val="00BA6C48"/>
    <w:rsid w:val="00BA6C7D"/>
    <w:rsid w:val="00BA7107"/>
    <w:rsid w:val="00BA7608"/>
    <w:rsid w:val="00BA7C89"/>
    <w:rsid w:val="00BA7CB1"/>
    <w:rsid w:val="00BA7EE0"/>
    <w:rsid w:val="00BB02EC"/>
    <w:rsid w:val="00BB07C6"/>
    <w:rsid w:val="00BB0965"/>
    <w:rsid w:val="00BB0F41"/>
    <w:rsid w:val="00BB0FCA"/>
    <w:rsid w:val="00BB170C"/>
    <w:rsid w:val="00BB2275"/>
    <w:rsid w:val="00BB22FC"/>
    <w:rsid w:val="00BB2540"/>
    <w:rsid w:val="00BB2997"/>
    <w:rsid w:val="00BB2B91"/>
    <w:rsid w:val="00BB2DDE"/>
    <w:rsid w:val="00BB2DF6"/>
    <w:rsid w:val="00BB329E"/>
    <w:rsid w:val="00BB377E"/>
    <w:rsid w:val="00BB3B41"/>
    <w:rsid w:val="00BB4045"/>
    <w:rsid w:val="00BB4290"/>
    <w:rsid w:val="00BB42A8"/>
    <w:rsid w:val="00BB42DE"/>
    <w:rsid w:val="00BB471A"/>
    <w:rsid w:val="00BB49CF"/>
    <w:rsid w:val="00BB502A"/>
    <w:rsid w:val="00BB52F1"/>
    <w:rsid w:val="00BB540B"/>
    <w:rsid w:val="00BB5518"/>
    <w:rsid w:val="00BB5C5C"/>
    <w:rsid w:val="00BB5F45"/>
    <w:rsid w:val="00BB681F"/>
    <w:rsid w:val="00BB6A1F"/>
    <w:rsid w:val="00BB6AD3"/>
    <w:rsid w:val="00BB6EED"/>
    <w:rsid w:val="00BB7755"/>
    <w:rsid w:val="00BB7B32"/>
    <w:rsid w:val="00BB7CBB"/>
    <w:rsid w:val="00BB7DA4"/>
    <w:rsid w:val="00BC09A8"/>
    <w:rsid w:val="00BC0B98"/>
    <w:rsid w:val="00BC0BFF"/>
    <w:rsid w:val="00BC0C58"/>
    <w:rsid w:val="00BC11E2"/>
    <w:rsid w:val="00BC12FF"/>
    <w:rsid w:val="00BC1478"/>
    <w:rsid w:val="00BC1894"/>
    <w:rsid w:val="00BC189B"/>
    <w:rsid w:val="00BC1EB2"/>
    <w:rsid w:val="00BC2151"/>
    <w:rsid w:val="00BC230D"/>
    <w:rsid w:val="00BC2528"/>
    <w:rsid w:val="00BC2732"/>
    <w:rsid w:val="00BC27B6"/>
    <w:rsid w:val="00BC2C90"/>
    <w:rsid w:val="00BC2F64"/>
    <w:rsid w:val="00BC3A0F"/>
    <w:rsid w:val="00BC3AB7"/>
    <w:rsid w:val="00BC3AED"/>
    <w:rsid w:val="00BC3BA3"/>
    <w:rsid w:val="00BC3ED9"/>
    <w:rsid w:val="00BC40AB"/>
    <w:rsid w:val="00BC4682"/>
    <w:rsid w:val="00BC4A27"/>
    <w:rsid w:val="00BC4B2C"/>
    <w:rsid w:val="00BC4B33"/>
    <w:rsid w:val="00BC4EEA"/>
    <w:rsid w:val="00BC5019"/>
    <w:rsid w:val="00BC55DF"/>
    <w:rsid w:val="00BC567F"/>
    <w:rsid w:val="00BC569E"/>
    <w:rsid w:val="00BC56E7"/>
    <w:rsid w:val="00BC57D3"/>
    <w:rsid w:val="00BC5CF1"/>
    <w:rsid w:val="00BC5D29"/>
    <w:rsid w:val="00BC5E6E"/>
    <w:rsid w:val="00BC6341"/>
    <w:rsid w:val="00BC6664"/>
    <w:rsid w:val="00BC67BD"/>
    <w:rsid w:val="00BC6976"/>
    <w:rsid w:val="00BC6AD7"/>
    <w:rsid w:val="00BC6BAE"/>
    <w:rsid w:val="00BC6C05"/>
    <w:rsid w:val="00BC6CF5"/>
    <w:rsid w:val="00BC6FBD"/>
    <w:rsid w:val="00BC6FCD"/>
    <w:rsid w:val="00BC707C"/>
    <w:rsid w:val="00BC70DF"/>
    <w:rsid w:val="00BC782F"/>
    <w:rsid w:val="00BC78F8"/>
    <w:rsid w:val="00BC7CEB"/>
    <w:rsid w:val="00BD037B"/>
    <w:rsid w:val="00BD06AE"/>
    <w:rsid w:val="00BD077C"/>
    <w:rsid w:val="00BD0EB2"/>
    <w:rsid w:val="00BD0EB7"/>
    <w:rsid w:val="00BD0FF6"/>
    <w:rsid w:val="00BD1235"/>
    <w:rsid w:val="00BD148C"/>
    <w:rsid w:val="00BD1528"/>
    <w:rsid w:val="00BD17AA"/>
    <w:rsid w:val="00BD1959"/>
    <w:rsid w:val="00BD1F85"/>
    <w:rsid w:val="00BD21F6"/>
    <w:rsid w:val="00BD22BA"/>
    <w:rsid w:val="00BD2972"/>
    <w:rsid w:val="00BD2D0E"/>
    <w:rsid w:val="00BD2D2A"/>
    <w:rsid w:val="00BD2DAD"/>
    <w:rsid w:val="00BD32B9"/>
    <w:rsid w:val="00BD32F0"/>
    <w:rsid w:val="00BD337B"/>
    <w:rsid w:val="00BD338A"/>
    <w:rsid w:val="00BD39DB"/>
    <w:rsid w:val="00BD3B14"/>
    <w:rsid w:val="00BD420A"/>
    <w:rsid w:val="00BD4342"/>
    <w:rsid w:val="00BD4488"/>
    <w:rsid w:val="00BD4880"/>
    <w:rsid w:val="00BD4911"/>
    <w:rsid w:val="00BD4B87"/>
    <w:rsid w:val="00BD55DF"/>
    <w:rsid w:val="00BD5B41"/>
    <w:rsid w:val="00BD5DC0"/>
    <w:rsid w:val="00BD5E68"/>
    <w:rsid w:val="00BD5E74"/>
    <w:rsid w:val="00BD607D"/>
    <w:rsid w:val="00BD61E9"/>
    <w:rsid w:val="00BD6303"/>
    <w:rsid w:val="00BD6441"/>
    <w:rsid w:val="00BD64B2"/>
    <w:rsid w:val="00BD6510"/>
    <w:rsid w:val="00BD6734"/>
    <w:rsid w:val="00BD6A25"/>
    <w:rsid w:val="00BD6CA4"/>
    <w:rsid w:val="00BD6CA9"/>
    <w:rsid w:val="00BD733B"/>
    <w:rsid w:val="00BD7386"/>
    <w:rsid w:val="00BD76BB"/>
    <w:rsid w:val="00BD7917"/>
    <w:rsid w:val="00BD79AB"/>
    <w:rsid w:val="00BD7AE3"/>
    <w:rsid w:val="00BD7D29"/>
    <w:rsid w:val="00BD7DFD"/>
    <w:rsid w:val="00BE04B4"/>
    <w:rsid w:val="00BE076C"/>
    <w:rsid w:val="00BE0CB2"/>
    <w:rsid w:val="00BE10B0"/>
    <w:rsid w:val="00BE192B"/>
    <w:rsid w:val="00BE223B"/>
    <w:rsid w:val="00BE231B"/>
    <w:rsid w:val="00BE2405"/>
    <w:rsid w:val="00BE2591"/>
    <w:rsid w:val="00BE2683"/>
    <w:rsid w:val="00BE276C"/>
    <w:rsid w:val="00BE287B"/>
    <w:rsid w:val="00BE3274"/>
    <w:rsid w:val="00BE35EA"/>
    <w:rsid w:val="00BE396F"/>
    <w:rsid w:val="00BE3ADC"/>
    <w:rsid w:val="00BE3AFD"/>
    <w:rsid w:val="00BE3B38"/>
    <w:rsid w:val="00BE3D57"/>
    <w:rsid w:val="00BE3F67"/>
    <w:rsid w:val="00BE41C8"/>
    <w:rsid w:val="00BE42CF"/>
    <w:rsid w:val="00BE4552"/>
    <w:rsid w:val="00BE4862"/>
    <w:rsid w:val="00BE48B1"/>
    <w:rsid w:val="00BE4BCE"/>
    <w:rsid w:val="00BE4DCD"/>
    <w:rsid w:val="00BE5434"/>
    <w:rsid w:val="00BE55F5"/>
    <w:rsid w:val="00BE56F5"/>
    <w:rsid w:val="00BE581A"/>
    <w:rsid w:val="00BE5D92"/>
    <w:rsid w:val="00BE5E18"/>
    <w:rsid w:val="00BE636E"/>
    <w:rsid w:val="00BE644E"/>
    <w:rsid w:val="00BE659B"/>
    <w:rsid w:val="00BE6B10"/>
    <w:rsid w:val="00BE6C4D"/>
    <w:rsid w:val="00BE7D30"/>
    <w:rsid w:val="00BEC8D8"/>
    <w:rsid w:val="00BF023B"/>
    <w:rsid w:val="00BF049F"/>
    <w:rsid w:val="00BF06FA"/>
    <w:rsid w:val="00BF09F8"/>
    <w:rsid w:val="00BF0B04"/>
    <w:rsid w:val="00BF0D87"/>
    <w:rsid w:val="00BF0E5B"/>
    <w:rsid w:val="00BF1240"/>
    <w:rsid w:val="00BF140E"/>
    <w:rsid w:val="00BF1500"/>
    <w:rsid w:val="00BF18B5"/>
    <w:rsid w:val="00BF1E2F"/>
    <w:rsid w:val="00BF2120"/>
    <w:rsid w:val="00BF217C"/>
    <w:rsid w:val="00BF22D1"/>
    <w:rsid w:val="00BF232C"/>
    <w:rsid w:val="00BF26F9"/>
    <w:rsid w:val="00BF29FD"/>
    <w:rsid w:val="00BF2D97"/>
    <w:rsid w:val="00BF34F5"/>
    <w:rsid w:val="00BF372B"/>
    <w:rsid w:val="00BF3DC9"/>
    <w:rsid w:val="00BF4AD7"/>
    <w:rsid w:val="00BF4E83"/>
    <w:rsid w:val="00BF4EB8"/>
    <w:rsid w:val="00BF4F32"/>
    <w:rsid w:val="00BF4FD9"/>
    <w:rsid w:val="00BF5236"/>
    <w:rsid w:val="00BF53DD"/>
    <w:rsid w:val="00BF5864"/>
    <w:rsid w:val="00BF5896"/>
    <w:rsid w:val="00BF58BC"/>
    <w:rsid w:val="00BF5A53"/>
    <w:rsid w:val="00BF5A7F"/>
    <w:rsid w:val="00BF5B83"/>
    <w:rsid w:val="00BF5CB2"/>
    <w:rsid w:val="00BF6001"/>
    <w:rsid w:val="00BF61E4"/>
    <w:rsid w:val="00BF62C5"/>
    <w:rsid w:val="00BF66B3"/>
    <w:rsid w:val="00BF6C68"/>
    <w:rsid w:val="00BF6E44"/>
    <w:rsid w:val="00BF6FF3"/>
    <w:rsid w:val="00BF713E"/>
    <w:rsid w:val="00BF71A2"/>
    <w:rsid w:val="00BF72D4"/>
    <w:rsid w:val="00BF776C"/>
    <w:rsid w:val="00BF78B2"/>
    <w:rsid w:val="00BF7F23"/>
    <w:rsid w:val="00C001E7"/>
    <w:rsid w:val="00C00423"/>
    <w:rsid w:val="00C004AC"/>
    <w:rsid w:val="00C00D89"/>
    <w:rsid w:val="00C0105C"/>
    <w:rsid w:val="00C01638"/>
    <w:rsid w:val="00C01846"/>
    <w:rsid w:val="00C018F5"/>
    <w:rsid w:val="00C02386"/>
    <w:rsid w:val="00C02508"/>
    <w:rsid w:val="00C02937"/>
    <w:rsid w:val="00C02C81"/>
    <w:rsid w:val="00C033FA"/>
    <w:rsid w:val="00C03C7E"/>
    <w:rsid w:val="00C040D1"/>
    <w:rsid w:val="00C04338"/>
    <w:rsid w:val="00C0459F"/>
    <w:rsid w:val="00C04919"/>
    <w:rsid w:val="00C04A88"/>
    <w:rsid w:val="00C04B54"/>
    <w:rsid w:val="00C04F24"/>
    <w:rsid w:val="00C0529E"/>
    <w:rsid w:val="00C0590E"/>
    <w:rsid w:val="00C05B0C"/>
    <w:rsid w:val="00C05D47"/>
    <w:rsid w:val="00C061E5"/>
    <w:rsid w:val="00C06373"/>
    <w:rsid w:val="00C064B3"/>
    <w:rsid w:val="00C06573"/>
    <w:rsid w:val="00C06667"/>
    <w:rsid w:val="00C066DE"/>
    <w:rsid w:val="00C06765"/>
    <w:rsid w:val="00C067B0"/>
    <w:rsid w:val="00C0688A"/>
    <w:rsid w:val="00C069A7"/>
    <w:rsid w:val="00C06C7B"/>
    <w:rsid w:val="00C06D6B"/>
    <w:rsid w:val="00C07295"/>
    <w:rsid w:val="00C077AF"/>
    <w:rsid w:val="00C07A06"/>
    <w:rsid w:val="00C102B5"/>
    <w:rsid w:val="00C104CF"/>
    <w:rsid w:val="00C10DA3"/>
    <w:rsid w:val="00C110B8"/>
    <w:rsid w:val="00C112F0"/>
    <w:rsid w:val="00C120E8"/>
    <w:rsid w:val="00C1212D"/>
    <w:rsid w:val="00C122CB"/>
    <w:rsid w:val="00C12524"/>
    <w:rsid w:val="00C125AF"/>
    <w:rsid w:val="00C12AF3"/>
    <w:rsid w:val="00C12D32"/>
    <w:rsid w:val="00C13981"/>
    <w:rsid w:val="00C13AF0"/>
    <w:rsid w:val="00C13B27"/>
    <w:rsid w:val="00C13E1C"/>
    <w:rsid w:val="00C13EFE"/>
    <w:rsid w:val="00C145F5"/>
    <w:rsid w:val="00C146A2"/>
    <w:rsid w:val="00C14FB2"/>
    <w:rsid w:val="00C155FE"/>
    <w:rsid w:val="00C15728"/>
    <w:rsid w:val="00C15D35"/>
    <w:rsid w:val="00C15E09"/>
    <w:rsid w:val="00C15EB1"/>
    <w:rsid w:val="00C15FC1"/>
    <w:rsid w:val="00C16189"/>
    <w:rsid w:val="00C16FE9"/>
    <w:rsid w:val="00C17025"/>
    <w:rsid w:val="00C1743E"/>
    <w:rsid w:val="00C1773E"/>
    <w:rsid w:val="00C177CC"/>
    <w:rsid w:val="00C17CC3"/>
    <w:rsid w:val="00C20193"/>
    <w:rsid w:val="00C2024F"/>
    <w:rsid w:val="00C207DB"/>
    <w:rsid w:val="00C20A1B"/>
    <w:rsid w:val="00C20D72"/>
    <w:rsid w:val="00C2106B"/>
    <w:rsid w:val="00C211DA"/>
    <w:rsid w:val="00C21B23"/>
    <w:rsid w:val="00C21B79"/>
    <w:rsid w:val="00C21C1C"/>
    <w:rsid w:val="00C21E3E"/>
    <w:rsid w:val="00C22254"/>
    <w:rsid w:val="00C22798"/>
    <w:rsid w:val="00C2282C"/>
    <w:rsid w:val="00C22A38"/>
    <w:rsid w:val="00C23102"/>
    <w:rsid w:val="00C23571"/>
    <w:rsid w:val="00C240F0"/>
    <w:rsid w:val="00C24328"/>
    <w:rsid w:val="00C2454F"/>
    <w:rsid w:val="00C2469C"/>
    <w:rsid w:val="00C247D7"/>
    <w:rsid w:val="00C24B7E"/>
    <w:rsid w:val="00C24ED5"/>
    <w:rsid w:val="00C25252"/>
    <w:rsid w:val="00C25389"/>
    <w:rsid w:val="00C259BC"/>
    <w:rsid w:val="00C259E9"/>
    <w:rsid w:val="00C25A6E"/>
    <w:rsid w:val="00C25C40"/>
    <w:rsid w:val="00C25DA2"/>
    <w:rsid w:val="00C25FFB"/>
    <w:rsid w:val="00C261A9"/>
    <w:rsid w:val="00C264E8"/>
    <w:rsid w:val="00C26794"/>
    <w:rsid w:val="00C269E3"/>
    <w:rsid w:val="00C27151"/>
    <w:rsid w:val="00C27650"/>
    <w:rsid w:val="00C27A4F"/>
    <w:rsid w:val="00C27AAA"/>
    <w:rsid w:val="00C27CD3"/>
    <w:rsid w:val="00C27D0E"/>
    <w:rsid w:val="00C27F1D"/>
    <w:rsid w:val="00C27F4A"/>
    <w:rsid w:val="00C30597"/>
    <w:rsid w:val="00C305EB"/>
    <w:rsid w:val="00C30C55"/>
    <w:rsid w:val="00C318E0"/>
    <w:rsid w:val="00C319AB"/>
    <w:rsid w:val="00C319BF"/>
    <w:rsid w:val="00C31B51"/>
    <w:rsid w:val="00C31E29"/>
    <w:rsid w:val="00C32099"/>
    <w:rsid w:val="00C3215A"/>
    <w:rsid w:val="00C32206"/>
    <w:rsid w:val="00C3231D"/>
    <w:rsid w:val="00C324DD"/>
    <w:rsid w:val="00C32BB9"/>
    <w:rsid w:val="00C32CCC"/>
    <w:rsid w:val="00C32D1F"/>
    <w:rsid w:val="00C33396"/>
    <w:rsid w:val="00C33600"/>
    <w:rsid w:val="00C33709"/>
    <w:rsid w:val="00C33BC1"/>
    <w:rsid w:val="00C33EE9"/>
    <w:rsid w:val="00C33F1F"/>
    <w:rsid w:val="00C33F58"/>
    <w:rsid w:val="00C34047"/>
    <w:rsid w:val="00C3407B"/>
    <w:rsid w:val="00C342B1"/>
    <w:rsid w:val="00C347ED"/>
    <w:rsid w:val="00C3499E"/>
    <w:rsid w:val="00C34B10"/>
    <w:rsid w:val="00C3500F"/>
    <w:rsid w:val="00C3561F"/>
    <w:rsid w:val="00C35699"/>
    <w:rsid w:val="00C356CF"/>
    <w:rsid w:val="00C35828"/>
    <w:rsid w:val="00C35CDF"/>
    <w:rsid w:val="00C35EE4"/>
    <w:rsid w:val="00C3601F"/>
    <w:rsid w:val="00C36158"/>
    <w:rsid w:val="00C3634E"/>
    <w:rsid w:val="00C36399"/>
    <w:rsid w:val="00C36400"/>
    <w:rsid w:val="00C36913"/>
    <w:rsid w:val="00C36BDE"/>
    <w:rsid w:val="00C36C5C"/>
    <w:rsid w:val="00C36D63"/>
    <w:rsid w:val="00C3754B"/>
    <w:rsid w:val="00C37789"/>
    <w:rsid w:val="00C3778D"/>
    <w:rsid w:val="00C3793B"/>
    <w:rsid w:val="00C37A26"/>
    <w:rsid w:val="00C37EEB"/>
    <w:rsid w:val="00C400C9"/>
    <w:rsid w:val="00C41307"/>
    <w:rsid w:val="00C4140E"/>
    <w:rsid w:val="00C417FB"/>
    <w:rsid w:val="00C41ABA"/>
    <w:rsid w:val="00C41BAC"/>
    <w:rsid w:val="00C41C0B"/>
    <w:rsid w:val="00C4239F"/>
    <w:rsid w:val="00C4241B"/>
    <w:rsid w:val="00C42A7F"/>
    <w:rsid w:val="00C42B7D"/>
    <w:rsid w:val="00C42C73"/>
    <w:rsid w:val="00C42E8B"/>
    <w:rsid w:val="00C43495"/>
    <w:rsid w:val="00C43529"/>
    <w:rsid w:val="00C43AB9"/>
    <w:rsid w:val="00C43BF3"/>
    <w:rsid w:val="00C43EAA"/>
    <w:rsid w:val="00C442A4"/>
    <w:rsid w:val="00C443C3"/>
    <w:rsid w:val="00C447B2"/>
    <w:rsid w:val="00C44A21"/>
    <w:rsid w:val="00C456A1"/>
    <w:rsid w:val="00C4595C"/>
    <w:rsid w:val="00C4597B"/>
    <w:rsid w:val="00C45C3C"/>
    <w:rsid w:val="00C45D12"/>
    <w:rsid w:val="00C45E8B"/>
    <w:rsid w:val="00C46092"/>
    <w:rsid w:val="00C46101"/>
    <w:rsid w:val="00C46D03"/>
    <w:rsid w:val="00C46D2B"/>
    <w:rsid w:val="00C46EEF"/>
    <w:rsid w:val="00C470C4"/>
    <w:rsid w:val="00C4730F"/>
    <w:rsid w:val="00C4769C"/>
    <w:rsid w:val="00C477AC"/>
    <w:rsid w:val="00C478CC"/>
    <w:rsid w:val="00C47A6D"/>
    <w:rsid w:val="00C47DB1"/>
    <w:rsid w:val="00C47F52"/>
    <w:rsid w:val="00C47FB2"/>
    <w:rsid w:val="00C50031"/>
    <w:rsid w:val="00C500C2"/>
    <w:rsid w:val="00C5032B"/>
    <w:rsid w:val="00C507BD"/>
    <w:rsid w:val="00C50CC0"/>
    <w:rsid w:val="00C510BF"/>
    <w:rsid w:val="00C512F7"/>
    <w:rsid w:val="00C51E33"/>
    <w:rsid w:val="00C520A9"/>
    <w:rsid w:val="00C523B9"/>
    <w:rsid w:val="00C5289C"/>
    <w:rsid w:val="00C528EA"/>
    <w:rsid w:val="00C528FF"/>
    <w:rsid w:val="00C529A1"/>
    <w:rsid w:val="00C529BB"/>
    <w:rsid w:val="00C52A78"/>
    <w:rsid w:val="00C52C9E"/>
    <w:rsid w:val="00C52E75"/>
    <w:rsid w:val="00C530A3"/>
    <w:rsid w:val="00C5312D"/>
    <w:rsid w:val="00C53159"/>
    <w:rsid w:val="00C53253"/>
    <w:rsid w:val="00C535D1"/>
    <w:rsid w:val="00C537E5"/>
    <w:rsid w:val="00C538C7"/>
    <w:rsid w:val="00C5399E"/>
    <w:rsid w:val="00C53A54"/>
    <w:rsid w:val="00C5404D"/>
    <w:rsid w:val="00C5419B"/>
    <w:rsid w:val="00C546C2"/>
    <w:rsid w:val="00C547B4"/>
    <w:rsid w:val="00C547D3"/>
    <w:rsid w:val="00C54BDA"/>
    <w:rsid w:val="00C54C2E"/>
    <w:rsid w:val="00C551CB"/>
    <w:rsid w:val="00C55447"/>
    <w:rsid w:val="00C55974"/>
    <w:rsid w:val="00C55C99"/>
    <w:rsid w:val="00C567E2"/>
    <w:rsid w:val="00C56BC5"/>
    <w:rsid w:val="00C56BFA"/>
    <w:rsid w:val="00C56C99"/>
    <w:rsid w:val="00C56F35"/>
    <w:rsid w:val="00C56F61"/>
    <w:rsid w:val="00C5751F"/>
    <w:rsid w:val="00C5763E"/>
    <w:rsid w:val="00C577EE"/>
    <w:rsid w:val="00C57AC7"/>
    <w:rsid w:val="00C57B66"/>
    <w:rsid w:val="00C57B88"/>
    <w:rsid w:val="00C57F01"/>
    <w:rsid w:val="00C57F30"/>
    <w:rsid w:val="00C6056D"/>
    <w:rsid w:val="00C60AB9"/>
    <w:rsid w:val="00C60AC5"/>
    <w:rsid w:val="00C60DFF"/>
    <w:rsid w:val="00C61275"/>
    <w:rsid w:val="00C6146F"/>
    <w:rsid w:val="00C61A16"/>
    <w:rsid w:val="00C61B5D"/>
    <w:rsid w:val="00C61EC1"/>
    <w:rsid w:val="00C62260"/>
    <w:rsid w:val="00C62310"/>
    <w:rsid w:val="00C6273F"/>
    <w:rsid w:val="00C62CFD"/>
    <w:rsid w:val="00C631F4"/>
    <w:rsid w:val="00C63573"/>
    <w:rsid w:val="00C635AE"/>
    <w:rsid w:val="00C63C3A"/>
    <w:rsid w:val="00C63DEF"/>
    <w:rsid w:val="00C642DD"/>
    <w:rsid w:val="00C64500"/>
    <w:rsid w:val="00C64AB0"/>
    <w:rsid w:val="00C64C0F"/>
    <w:rsid w:val="00C64DAE"/>
    <w:rsid w:val="00C650C2"/>
    <w:rsid w:val="00C659CF"/>
    <w:rsid w:val="00C65A56"/>
    <w:rsid w:val="00C65D40"/>
    <w:rsid w:val="00C6633C"/>
    <w:rsid w:val="00C664D8"/>
    <w:rsid w:val="00C66B0F"/>
    <w:rsid w:val="00C66F90"/>
    <w:rsid w:val="00C671F6"/>
    <w:rsid w:val="00C673D6"/>
    <w:rsid w:val="00C6751C"/>
    <w:rsid w:val="00C675A2"/>
    <w:rsid w:val="00C67616"/>
    <w:rsid w:val="00C6797F"/>
    <w:rsid w:val="00C67BD0"/>
    <w:rsid w:val="00C67CC5"/>
    <w:rsid w:val="00C7004C"/>
    <w:rsid w:val="00C70101"/>
    <w:rsid w:val="00C701A0"/>
    <w:rsid w:val="00C702A8"/>
    <w:rsid w:val="00C707E1"/>
    <w:rsid w:val="00C710C6"/>
    <w:rsid w:val="00C713D5"/>
    <w:rsid w:val="00C722E4"/>
    <w:rsid w:val="00C72FA3"/>
    <w:rsid w:val="00C73081"/>
    <w:rsid w:val="00C730AC"/>
    <w:rsid w:val="00C73219"/>
    <w:rsid w:val="00C732AE"/>
    <w:rsid w:val="00C73308"/>
    <w:rsid w:val="00C73442"/>
    <w:rsid w:val="00C7376A"/>
    <w:rsid w:val="00C73AB4"/>
    <w:rsid w:val="00C73CCB"/>
    <w:rsid w:val="00C74113"/>
    <w:rsid w:val="00C74287"/>
    <w:rsid w:val="00C7442E"/>
    <w:rsid w:val="00C74460"/>
    <w:rsid w:val="00C7472E"/>
    <w:rsid w:val="00C74C50"/>
    <w:rsid w:val="00C750AE"/>
    <w:rsid w:val="00C75149"/>
    <w:rsid w:val="00C755D6"/>
    <w:rsid w:val="00C75601"/>
    <w:rsid w:val="00C75633"/>
    <w:rsid w:val="00C76116"/>
    <w:rsid w:val="00C7625F"/>
    <w:rsid w:val="00C76384"/>
    <w:rsid w:val="00C766E8"/>
    <w:rsid w:val="00C76AAA"/>
    <w:rsid w:val="00C76E07"/>
    <w:rsid w:val="00C76F93"/>
    <w:rsid w:val="00C77126"/>
    <w:rsid w:val="00C772C8"/>
    <w:rsid w:val="00C77484"/>
    <w:rsid w:val="00C774C6"/>
    <w:rsid w:val="00C7768F"/>
    <w:rsid w:val="00C77818"/>
    <w:rsid w:val="00C7793C"/>
    <w:rsid w:val="00C77F99"/>
    <w:rsid w:val="00C8023C"/>
    <w:rsid w:val="00C80BD9"/>
    <w:rsid w:val="00C80D05"/>
    <w:rsid w:val="00C80D9E"/>
    <w:rsid w:val="00C80F8B"/>
    <w:rsid w:val="00C8125D"/>
    <w:rsid w:val="00C8132E"/>
    <w:rsid w:val="00C8153B"/>
    <w:rsid w:val="00C81AE4"/>
    <w:rsid w:val="00C81BA7"/>
    <w:rsid w:val="00C81D63"/>
    <w:rsid w:val="00C81E2C"/>
    <w:rsid w:val="00C81F47"/>
    <w:rsid w:val="00C82048"/>
    <w:rsid w:val="00C8214B"/>
    <w:rsid w:val="00C821C8"/>
    <w:rsid w:val="00C821FC"/>
    <w:rsid w:val="00C8235F"/>
    <w:rsid w:val="00C823D1"/>
    <w:rsid w:val="00C8253A"/>
    <w:rsid w:val="00C82D9E"/>
    <w:rsid w:val="00C82E12"/>
    <w:rsid w:val="00C82F29"/>
    <w:rsid w:val="00C82FAA"/>
    <w:rsid w:val="00C8325A"/>
    <w:rsid w:val="00C832C8"/>
    <w:rsid w:val="00C8378D"/>
    <w:rsid w:val="00C83919"/>
    <w:rsid w:val="00C84475"/>
    <w:rsid w:val="00C84693"/>
    <w:rsid w:val="00C848B9"/>
    <w:rsid w:val="00C85133"/>
    <w:rsid w:val="00C851B1"/>
    <w:rsid w:val="00C85424"/>
    <w:rsid w:val="00C8547A"/>
    <w:rsid w:val="00C85624"/>
    <w:rsid w:val="00C858CD"/>
    <w:rsid w:val="00C85D6F"/>
    <w:rsid w:val="00C85DDD"/>
    <w:rsid w:val="00C85F12"/>
    <w:rsid w:val="00C85F52"/>
    <w:rsid w:val="00C86350"/>
    <w:rsid w:val="00C8654B"/>
    <w:rsid w:val="00C8665A"/>
    <w:rsid w:val="00C86761"/>
    <w:rsid w:val="00C8681D"/>
    <w:rsid w:val="00C8707B"/>
    <w:rsid w:val="00C870E1"/>
    <w:rsid w:val="00C87534"/>
    <w:rsid w:val="00C87840"/>
    <w:rsid w:val="00C87BFE"/>
    <w:rsid w:val="00C87CBD"/>
    <w:rsid w:val="00C87F35"/>
    <w:rsid w:val="00C9045E"/>
    <w:rsid w:val="00C9089A"/>
    <w:rsid w:val="00C90C59"/>
    <w:rsid w:val="00C9122C"/>
    <w:rsid w:val="00C91635"/>
    <w:rsid w:val="00C91C54"/>
    <w:rsid w:val="00C923FA"/>
    <w:rsid w:val="00C9268C"/>
    <w:rsid w:val="00C92978"/>
    <w:rsid w:val="00C92B7A"/>
    <w:rsid w:val="00C92D23"/>
    <w:rsid w:val="00C92F88"/>
    <w:rsid w:val="00C930B5"/>
    <w:rsid w:val="00C93206"/>
    <w:rsid w:val="00C93263"/>
    <w:rsid w:val="00C93335"/>
    <w:rsid w:val="00C93373"/>
    <w:rsid w:val="00C93766"/>
    <w:rsid w:val="00C93857"/>
    <w:rsid w:val="00C93A92"/>
    <w:rsid w:val="00C93AC3"/>
    <w:rsid w:val="00C93B82"/>
    <w:rsid w:val="00C93BD8"/>
    <w:rsid w:val="00C9492E"/>
    <w:rsid w:val="00C94A3E"/>
    <w:rsid w:val="00C94AD1"/>
    <w:rsid w:val="00C9566F"/>
    <w:rsid w:val="00C958EC"/>
    <w:rsid w:val="00C95998"/>
    <w:rsid w:val="00C962AE"/>
    <w:rsid w:val="00C96414"/>
    <w:rsid w:val="00C96810"/>
    <w:rsid w:val="00C9681E"/>
    <w:rsid w:val="00C96C05"/>
    <w:rsid w:val="00C96E06"/>
    <w:rsid w:val="00C9721F"/>
    <w:rsid w:val="00C972AA"/>
    <w:rsid w:val="00C972F2"/>
    <w:rsid w:val="00C97369"/>
    <w:rsid w:val="00C9771F"/>
    <w:rsid w:val="00C97752"/>
    <w:rsid w:val="00C97A7F"/>
    <w:rsid w:val="00C97B47"/>
    <w:rsid w:val="00CA00C3"/>
    <w:rsid w:val="00CA0144"/>
    <w:rsid w:val="00CA03DD"/>
    <w:rsid w:val="00CA042C"/>
    <w:rsid w:val="00CA04CC"/>
    <w:rsid w:val="00CA062A"/>
    <w:rsid w:val="00CA0A95"/>
    <w:rsid w:val="00CA0E63"/>
    <w:rsid w:val="00CA102A"/>
    <w:rsid w:val="00CA12AA"/>
    <w:rsid w:val="00CA15E6"/>
    <w:rsid w:val="00CA175D"/>
    <w:rsid w:val="00CA1EC2"/>
    <w:rsid w:val="00CA2597"/>
    <w:rsid w:val="00CA2AA3"/>
    <w:rsid w:val="00CA2C51"/>
    <w:rsid w:val="00CA3265"/>
    <w:rsid w:val="00CA347D"/>
    <w:rsid w:val="00CA34E9"/>
    <w:rsid w:val="00CA35CE"/>
    <w:rsid w:val="00CA3763"/>
    <w:rsid w:val="00CA3890"/>
    <w:rsid w:val="00CA39F6"/>
    <w:rsid w:val="00CA3C05"/>
    <w:rsid w:val="00CA46C5"/>
    <w:rsid w:val="00CA46E0"/>
    <w:rsid w:val="00CA4F56"/>
    <w:rsid w:val="00CA4F98"/>
    <w:rsid w:val="00CA4FE7"/>
    <w:rsid w:val="00CA5048"/>
    <w:rsid w:val="00CA51C4"/>
    <w:rsid w:val="00CA56F1"/>
    <w:rsid w:val="00CA5717"/>
    <w:rsid w:val="00CA5776"/>
    <w:rsid w:val="00CA5A23"/>
    <w:rsid w:val="00CA5BF4"/>
    <w:rsid w:val="00CA5C1E"/>
    <w:rsid w:val="00CA5CA0"/>
    <w:rsid w:val="00CA5FBB"/>
    <w:rsid w:val="00CA6173"/>
    <w:rsid w:val="00CA61CD"/>
    <w:rsid w:val="00CA62DC"/>
    <w:rsid w:val="00CA6422"/>
    <w:rsid w:val="00CA6648"/>
    <w:rsid w:val="00CA6C0C"/>
    <w:rsid w:val="00CA711C"/>
    <w:rsid w:val="00CA7437"/>
    <w:rsid w:val="00CA75E9"/>
    <w:rsid w:val="00CAE7A4"/>
    <w:rsid w:val="00CB00CA"/>
    <w:rsid w:val="00CB0459"/>
    <w:rsid w:val="00CB058E"/>
    <w:rsid w:val="00CB097F"/>
    <w:rsid w:val="00CB0C90"/>
    <w:rsid w:val="00CB0DB4"/>
    <w:rsid w:val="00CB0E66"/>
    <w:rsid w:val="00CB126D"/>
    <w:rsid w:val="00CB14F1"/>
    <w:rsid w:val="00CB1796"/>
    <w:rsid w:val="00CB199C"/>
    <w:rsid w:val="00CB1DF4"/>
    <w:rsid w:val="00CB1E6C"/>
    <w:rsid w:val="00CB1E6F"/>
    <w:rsid w:val="00CB22CD"/>
    <w:rsid w:val="00CB2C75"/>
    <w:rsid w:val="00CB3034"/>
    <w:rsid w:val="00CB3184"/>
    <w:rsid w:val="00CB3A67"/>
    <w:rsid w:val="00CB3EDF"/>
    <w:rsid w:val="00CB41A1"/>
    <w:rsid w:val="00CB42CE"/>
    <w:rsid w:val="00CB438E"/>
    <w:rsid w:val="00CB440D"/>
    <w:rsid w:val="00CB45A0"/>
    <w:rsid w:val="00CB4639"/>
    <w:rsid w:val="00CB46FE"/>
    <w:rsid w:val="00CB4BD2"/>
    <w:rsid w:val="00CB4F89"/>
    <w:rsid w:val="00CB516B"/>
    <w:rsid w:val="00CB578C"/>
    <w:rsid w:val="00CB5F78"/>
    <w:rsid w:val="00CB613B"/>
    <w:rsid w:val="00CB616A"/>
    <w:rsid w:val="00CB63F7"/>
    <w:rsid w:val="00CB662A"/>
    <w:rsid w:val="00CB6843"/>
    <w:rsid w:val="00CB692E"/>
    <w:rsid w:val="00CB6B98"/>
    <w:rsid w:val="00CB6BE2"/>
    <w:rsid w:val="00CB6BF8"/>
    <w:rsid w:val="00CB7028"/>
    <w:rsid w:val="00CB72D4"/>
    <w:rsid w:val="00CB751F"/>
    <w:rsid w:val="00CB7609"/>
    <w:rsid w:val="00CB788A"/>
    <w:rsid w:val="00CB78E1"/>
    <w:rsid w:val="00CC0144"/>
    <w:rsid w:val="00CC0239"/>
    <w:rsid w:val="00CC05E7"/>
    <w:rsid w:val="00CC0BF0"/>
    <w:rsid w:val="00CC0D81"/>
    <w:rsid w:val="00CC0E8F"/>
    <w:rsid w:val="00CC1073"/>
    <w:rsid w:val="00CC107C"/>
    <w:rsid w:val="00CC111C"/>
    <w:rsid w:val="00CC15EC"/>
    <w:rsid w:val="00CC161A"/>
    <w:rsid w:val="00CC1659"/>
    <w:rsid w:val="00CC1B3F"/>
    <w:rsid w:val="00CC1B75"/>
    <w:rsid w:val="00CC1BA7"/>
    <w:rsid w:val="00CC1BEA"/>
    <w:rsid w:val="00CC1C15"/>
    <w:rsid w:val="00CC2070"/>
    <w:rsid w:val="00CC20C5"/>
    <w:rsid w:val="00CC23E6"/>
    <w:rsid w:val="00CC24BA"/>
    <w:rsid w:val="00CC27DF"/>
    <w:rsid w:val="00CC2879"/>
    <w:rsid w:val="00CC3058"/>
    <w:rsid w:val="00CC314C"/>
    <w:rsid w:val="00CC3299"/>
    <w:rsid w:val="00CC3506"/>
    <w:rsid w:val="00CC372A"/>
    <w:rsid w:val="00CC3C64"/>
    <w:rsid w:val="00CC3C73"/>
    <w:rsid w:val="00CC4080"/>
    <w:rsid w:val="00CC408C"/>
    <w:rsid w:val="00CC41C7"/>
    <w:rsid w:val="00CC49B5"/>
    <w:rsid w:val="00CC4ADA"/>
    <w:rsid w:val="00CC4D2E"/>
    <w:rsid w:val="00CC4E18"/>
    <w:rsid w:val="00CC5039"/>
    <w:rsid w:val="00CC5126"/>
    <w:rsid w:val="00CC5255"/>
    <w:rsid w:val="00CC547B"/>
    <w:rsid w:val="00CC5500"/>
    <w:rsid w:val="00CC5556"/>
    <w:rsid w:val="00CC5B2D"/>
    <w:rsid w:val="00CC5C11"/>
    <w:rsid w:val="00CC6187"/>
    <w:rsid w:val="00CC6190"/>
    <w:rsid w:val="00CC6220"/>
    <w:rsid w:val="00CC6225"/>
    <w:rsid w:val="00CC643E"/>
    <w:rsid w:val="00CC645C"/>
    <w:rsid w:val="00CC65AE"/>
    <w:rsid w:val="00CC65C5"/>
    <w:rsid w:val="00CC6E41"/>
    <w:rsid w:val="00CC6E85"/>
    <w:rsid w:val="00CC6FFE"/>
    <w:rsid w:val="00CC7080"/>
    <w:rsid w:val="00CC7432"/>
    <w:rsid w:val="00CC74AC"/>
    <w:rsid w:val="00CC76DF"/>
    <w:rsid w:val="00CC7787"/>
    <w:rsid w:val="00CC78D7"/>
    <w:rsid w:val="00CC7C67"/>
    <w:rsid w:val="00CD0145"/>
    <w:rsid w:val="00CD01E3"/>
    <w:rsid w:val="00CD0452"/>
    <w:rsid w:val="00CD054F"/>
    <w:rsid w:val="00CD07E9"/>
    <w:rsid w:val="00CD0BB3"/>
    <w:rsid w:val="00CD0D7D"/>
    <w:rsid w:val="00CD12E4"/>
    <w:rsid w:val="00CD1801"/>
    <w:rsid w:val="00CD1E49"/>
    <w:rsid w:val="00CD23EF"/>
    <w:rsid w:val="00CD25D3"/>
    <w:rsid w:val="00CD2BAF"/>
    <w:rsid w:val="00CD2CB2"/>
    <w:rsid w:val="00CD310E"/>
    <w:rsid w:val="00CD34AB"/>
    <w:rsid w:val="00CD360E"/>
    <w:rsid w:val="00CD3826"/>
    <w:rsid w:val="00CD3D96"/>
    <w:rsid w:val="00CD41EB"/>
    <w:rsid w:val="00CD42EA"/>
    <w:rsid w:val="00CD443D"/>
    <w:rsid w:val="00CD4625"/>
    <w:rsid w:val="00CD4AB0"/>
    <w:rsid w:val="00CD4C20"/>
    <w:rsid w:val="00CD4CD0"/>
    <w:rsid w:val="00CD50CA"/>
    <w:rsid w:val="00CD54DC"/>
    <w:rsid w:val="00CD5679"/>
    <w:rsid w:val="00CD5B50"/>
    <w:rsid w:val="00CD5EB0"/>
    <w:rsid w:val="00CD629A"/>
    <w:rsid w:val="00CD6372"/>
    <w:rsid w:val="00CD63C8"/>
    <w:rsid w:val="00CD6591"/>
    <w:rsid w:val="00CD6761"/>
    <w:rsid w:val="00CD68A2"/>
    <w:rsid w:val="00CD68C9"/>
    <w:rsid w:val="00CD6D43"/>
    <w:rsid w:val="00CD6E76"/>
    <w:rsid w:val="00CD71B6"/>
    <w:rsid w:val="00CD71D8"/>
    <w:rsid w:val="00CD7F08"/>
    <w:rsid w:val="00CE031A"/>
    <w:rsid w:val="00CE05CE"/>
    <w:rsid w:val="00CE05FD"/>
    <w:rsid w:val="00CE080F"/>
    <w:rsid w:val="00CE0985"/>
    <w:rsid w:val="00CE106B"/>
    <w:rsid w:val="00CE1369"/>
    <w:rsid w:val="00CE1433"/>
    <w:rsid w:val="00CE16A0"/>
    <w:rsid w:val="00CE1730"/>
    <w:rsid w:val="00CE1886"/>
    <w:rsid w:val="00CE1CAF"/>
    <w:rsid w:val="00CE1D64"/>
    <w:rsid w:val="00CE1FC9"/>
    <w:rsid w:val="00CE215C"/>
    <w:rsid w:val="00CE26B0"/>
    <w:rsid w:val="00CE2826"/>
    <w:rsid w:val="00CE2E16"/>
    <w:rsid w:val="00CE3163"/>
    <w:rsid w:val="00CE336D"/>
    <w:rsid w:val="00CE378E"/>
    <w:rsid w:val="00CE38B2"/>
    <w:rsid w:val="00CE3E17"/>
    <w:rsid w:val="00CE413B"/>
    <w:rsid w:val="00CE41EE"/>
    <w:rsid w:val="00CE4200"/>
    <w:rsid w:val="00CE429B"/>
    <w:rsid w:val="00CE43F6"/>
    <w:rsid w:val="00CE44C8"/>
    <w:rsid w:val="00CE4678"/>
    <w:rsid w:val="00CE46D0"/>
    <w:rsid w:val="00CE4BDD"/>
    <w:rsid w:val="00CE4E71"/>
    <w:rsid w:val="00CE4FF9"/>
    <w:rsid w:val="00CE500F"/>
    <w:rsid w:val="00CE510D"/>
    <w:rsid w:val="00CE5432"/>
    <w:rsid w:val="00CE5481"/>
    <w:rsid w:val="00CE549B"/>
    <w:rsid w:val="00CE54D1"/>
    <w:rsid w:val="00CE5559"/>
    <w:rsid w:val="00CE56AD"/>
    <w:rsid w:val="00CE5986"/>
    <w:rsid w:val="00CE5C08"/>
    <w:rsid w:val="00CE5D87"/>
    <w:rsid w:val="00CE5EF1"/>
    <w:rsid w:val="00CE60B4"/>
    <w:rsid w:val="00CE61A0"/>
    <w:rsid w:val="00CE68CE"/>
    <w:rsid w:val="00CE6934"/>
    <w:rsid w:val="00CE6CEB"/>
    <w:rsid w:val="00CE6D87"/>
    <w:rsid w:val="00CE7088"/>
    <w:rsid w:val="00CE709C"/>
    <w:rsid w:val="00CE7311"/>
    <w:rsid w:val="00CE73F3"/>
    <w:rsid w:val="00CE74E5"/>
    <w:rsid w:val="00CE7ABE"/>
    <w:rsid w:val="00CE7C00"/>
    <w:rsid w:val="00CE7D6F"/>
    <w:rsid w:val="00CF01F3"/>
    <w:rsid w:val="00CF0399"/>
    <w:rsid w:val="00CF07C3"/>
    <w:rsid w:val="00CF094A"/>
    <w:rsid w:val="00CF095A"/>
    <w:rsid w:val="00CF0C2D"/>
    <w:rsid w:val="00CF0D28"/>
    <w:rsid w:val="00CF16EA"/>
    <w:rsid w:val="00CF173B"/>
    <w:rsid w:val="00CF191E"/>
    <w:rsid w:val="00CF19F7"/>
    <w:rsid w:val="00CF1B0B"/>
    <w:rsid w:val="00CF1ED7"/>
    <w:rsid w:val="00CF24A3"/>
    <w:rsid w:val="00CF27C7"/>
    <w:rsid w:val="00CF2B1D"/>
    <w:rsid w:val="00CF2B85"/>
    <w:rsid w:val="00CF2D0C"/>
    <w:rsid w:val="00CF2D3A"/>
    <w:rsid w:val="00CF2EA4"/>
    <w:rsid w:val="00CF3268"/>
    <w:rsid w:val="00CF37A1"/>
    <w:rsid w:val="00CF38AD"/>
    <w:rsid w:val="00CF3C97"/>
    <w:rsid w:val="00CF42C8"/>
    <w:rsid w:val="00CF45A9"/>
    <w:rsid w:val="00CF461A"/>
    <w:rsid w:val="00CF47F3"/>
    <w:rsid w:val="00CF4938"/>
    <w:rsid w:val="00CF49E1"/>
    <w:rsid w:val="00CF4DB4"/>
    <w:rsid w:val="00CF5116"/>
    <w:rsid w:val="00CF51F0"/>
    <w:rsid w:val="00CF52DF"/>
    <w:rsid w:val="00CF52F2"/>
    <w:rsid w:val="00CF55C7"/>
    <w:rsid w:val="00CF5BBD"/>
    <w:rsid w:val="00CF5BC4"/>
    <w:rsid w:val="00CF5C5C"/>
    <w:rsid w:val="00CF5FCA"/>
    <w:rsid w:val="00CF6115"/>
    <w:rsid w:val="00CF6480"/>
    <w:rsid w:val="00CF663A"/>
    <w:rsid w:val="00CF66EB"/>
    <w:rsid w:val="00CF69F6"/>
    <w:rsid w:val="00CF6CE9"/>
    <w:rsid w:val="00CF704A"/>
    <w:rsid w:val="00CF7175"/>
    <w:rsid w:val="00CF735F"/>
    <w:rsid w:val="00CF74C2"/>
    <w:rsid w:val="00D0032B"/>
    <w:rsid w:val="00D00410"/>
    <w:rsid w:val="00D00683"/>
    <w:rsid w:val="00D007DC"/>
    <w:rsid w:val="00D0080E"/>
    <w:rsid w:val="00D00857"/>
    <w:rsid w:val="00D00A6F"/>
    <w:rsid w:val="00D00B66"/>
    <w:rsid w:val="00D00B74"/>
    <w:rsid w:val="00D00E01"/>
    <w:rsid w:val="00D0140C"/>
    <w:rsid w:val="00D016FF"/>
    <w:rsid w:val="00D01AE1"/>
    <w:rsid w:val="00D01D90"/>
    <w:rsid w:val="00D01E32"/>
    <w:rsid w:val="00D01E8D"/>
    <w:rsid w:val="00D02C3B"/>
    <w:rsid w:val="00D02CD8"/>
    <w:rsid w:val="00D02D94"/>
    <w:rsid w:val="00D03379"/>
    <w:rsid w:val="00D03498"/>
    <w:rsid w:val="00D037CD"/>
    <w:rsid w:val="00D03A37"/>
    <w:rsid w:val="00D03C95"/>
    <w:rsid w:val="00D03D43"/>
    <w:rsid w:val="00D0407B"/>
    <w:rsid w:val="00D04144"/>
    <w:rsid w:val="00D04159"/>
    <w:rsid w:val="00D042DB"/>
    <w:rsid w:val="00D04488"/>
    <w:rsid w:val="00D045D9"/>
    <w:rsid w:val="00D04E9B"/>
    <w:rsid w:val="00D0549B"/>
    <w:rsid w:val="00D0582C"/>
    <w:rsid w:val="00D0594F"/>
    <w:rsid w:val="00D05A9D"/>
    <w:rsid w:val="00D05BB5"/>
    <w:rsid w:val="00D06205"/>
    <w:rsid w:val="00D06229"/>
    <w:rsid w:val="00D0623D"/>
    <w:rsid w:val="00D062F0"/>
    <w:rsid w:val="00D06C46"/>
    <w:rsid w:val="00D06CBB"/>
    <w:rsid w:val="00D06D44"/>
    <w:rsid w:val="00D071BB"/>
    <w:rsid w:val="00D072B4"/>
    <w:rsid w:val="00D0739E"/>
    <w:rsid w:val="00D0758E"/>
    <w:rsid w:val="00D07688"/>
    <w:rsid w:val="00D076E4"/>
    <w:rsid w:val="00D07859"/>
    <w:rsid w:val="00D07D0E"/>
    <w:rsid w:val="00D10203"/>
    <w:rsid w:val="00D10237"/>
    <w:rsid w:val="00D1056F"/>
    <w:rsid w:val="00D10795"/>
    <w:rsid w:val="00D10B80"/>
    <w:rsid w:val="00D10E35"/>
    <w:rsid w:val="00D11026"/>
    <w:rsid w:val="00D110CF"/>
    <w:rsid w:val="00D11D73"/>
    <w:rsid w:val="00D11DB1"/>
    <w:rsid w:val="00D11DDB"/>
    <w:rsid w:val="00D11E53"/>
    <w:rsid w:val="00D1217A"/>
    <w:rsid w:val="00D1269C"/>
    <w:rsid w:val="00D12774"/>
    <w:rsid w:val="00D12BA6"/>
    <w:rsid w:val="00D12E0E"/>
    <w:rsid w:val="00D12EDD"/>
    <w:rsid w:val="00D134EA"/>
    <w:rsid w:val="00D13615"/>
    <w:rsid w:val="00D1405F"/>
    <w:rsid w:val="00D1418B"/>
    <w:rsid w:val="00D141C2"/>
    <w:rsid w:val="00D1426B"/>
    <w:rsid w:val="00D14F42"/>
    <w:rsid w:val="00D1506F"/>
    <w:rsid w:val="00D150D1"/>
    <w:rsid w:val="00D158CF"/>
    <w:rsid w:val="00D15DED"/>
    <w:rsid w:val="00D15E92"/>
    <w:rsid w:val="00D15EEC"/>
    <w:rsid w:val="00D16634"/>
    <w:rsid w:val="00D16AA5"/>
    <w:rsid w:val="00D16ADA"/>
    <w:rsid w:val="00D16B6F"/>
    <w:rsid w:val="00D16D0C"/>
    <w:rsid w:val="00D16F48"/>
    <w:rsid w:val="00D16F70"/>
    <w:rsid w:val="00D1704B"/>
    <w:rsid w:val="00D174F3"/>
    <w:rsid w:val="00D17886"/>
    <w:rsid w:val="00D178F4"/>
    <w:rsid w:val="00D179DE"/>
    <w:rsid w:val="00D17A13"/>
    <w:rsid w:val="00D17A14"/>
    <w:rsid w:val="00D17BC6"/>
    <w:rsid w:val="00D20521"/>
    <w:rsid w:val="00D20583"/>
    <w:rsid w:val="00D206DA"/>
    <w:rsid w:val="00D20878"/>
    <w:rsid w:val="00D208BF"/>
    <w:rsid w:val="00D20CAE"/>
    <w:rsid w:val="00D20E46"/>
    <w:rsid w:val="00D212D4"/>
    <w:rsid w:val="00D21BE1"/>
    <w:rsid w:val="00D21C98"/>
    <w:rsid w:val="00D21D48"/>
    <w:rsid w:val="00D226EF"/>
    <w:rsid w:val="00D2282A"/>
    <w:rsid w:val="00D22831"/>
    <w:rsid w:val="00D228AB"/>
    <w:rsid w:val="00D22D79"/>
    <w:rsid w:val="00D22DDE"/>
    <w:rsid w:val="00D22EFB"/>
    <w:rsid w:val="00D22F03"/>
    <w:rsid w:val="00D230AD"/>
    <w:rsid w:val="00D2312D"/>
    <w:rsid w:val="00D23F02"/>
    <w:rsid w:val="00D24013"/>
    <w:rsid w:val="00D2455F"/>
    <w:rsid w:val="00D246A0"/>
    <w:rsid w:val="00D24DDA"/>
    <w:rsid w:val="00D24E32"/>
    <w:rsid w:val="00D24EFF"/>
    <w:rsid w:val="00D250B5"/>
    <w:rsid w:val="00D2579A"/>
    <w:rsid w:val="00D25894"/>
    <w:rsid w:val="00D25B27"/>
    <w:rsid w:val="00D25C1E"/>
    <w:rsid w:val="00D25CD3"/>
    <w:rsid w:val="00D260B7"/>
    <w:rsid w:val="00D26518"/>
    <w:rsid w:val="00D2693A"/>
    <w:rsid w:val="00D269DA"/>
    <w:rsid w:val="00D26C68"/>
    <w:rsid w:val="00D26C7A"/>
    <w:rsid w:val="00D26D24"/>
    <w:rsid w:val="00D26E9E"/>
    <w:rsid w:val="00D275AE"/>
    <w:rsid w:val="00D27890"/>
    <w:rsid w:val="00D27891"/>
    <w:rsid w:val="00D279C3"/>
    <w:rsid w:val="00D279D2"/>
    <w:rsid w:val="00D27A62"/>
    <w:rsid w:val="00D27D9D"/>
    <w:rsid w:val="00D300AA"/>
    <w:rsid w:val="00D300DB"/>
    <w:rsid w:val="00D30181"/>
    <w:rsid w:val="00D301CC"/>
    <w:rsid w:val="00D305AC"/>
    <w:rsid w:val="00D30791"/>
    <w:rsid w:val="00D30888"/>
    <w:rsid w:val="00D30909"/>
    <w:rsid w:val="00D30BCF"/>
    <w:rsid w:val="00D30D13"/>
    <w:rsid w:val="00D30F8B"/>
    <w:rsid w:val="00D31081"/>
    <w:rsid w:val="00D3132D"/>
    <w:rsid w:val="00D31481"/>
    <w:rsid w:val="00D31883"/>
    <w:rsid w:val="00D320AA"/>
    <w:rsid w:val="00D323AD"/>
    <w:rsid w:val="00D3251F"/>
    <w:rsid w:val="00D32EA3"/>
    <w:rsid w:val="00D330F1"/>
    <w:rsid w:val="00D33119"/>
    <w:rsid w:val="00D33326"/>
    <w:rsid w:val="00D337BA"/>
    <w:rsid w:val="00D339CE"/>
    <w:rsid w:val="00D339F0"/>
    <w:rsid w:val="00D340FB"/>
    <w:rsid w:val="00D349B4"/>
    <w:rsid w:val="00D349E9"/>
    <w:rsid w:val="00D34A00"/>
    <w:rsid w:val="00D34BBA"/>
    <w:rsid w:val="00D34C16"/>
    <w:rsid w:val="00D35568"/>
    <w:rsid w:val="00D35626"/>
    <w:rsid w:val="00D356EC"/>
    <w:rsid w:val="00D35889"/>
    <w:rsid w:val="00D35937"/>
    <w:rsid w:val="00D35B06"/>
    <w:rsid w:val="00D35B76"/>
    <w:rsid w:val="00D35D67"/>
    <w:rsid w:val="00D35FFA"/>
    <w:rsid w:val="00D36194"/>
    <w:rsid w:val="00D36DC2"/>
    <w:rsid w:val="00D36ED3"/>
    <w:rsid w:val="00D370BD"/>
    <w:rsid w:val="00D37107"/>
    <w:rsid w:val="00D372C8"/>
    <w:rsid w:val="00D3738D"/>
    <w:rsid w:val="00D3763E"/>
    <w:rsid w:val="00D37761"/>
    <w:rsid w:val="00D37798"/>
    <w:rsid w:val="00D37BDD"/>
    <w:rsid w:val="00D40147"/>
    <w:rsid w:val="00D40158"/>
    <w:rsid w:val="00D40495"/>
    <w:rsid w:val="00D40D2B"/>
    <w:rsid w:val="00D40D78"/>
    <w:rsid w:val="00D40FE0"/>
    <w:rsid w:val="00D41046"/>
    <w:rsid w:val="00D4193F"/>
    <w:rsid w:val="00D419A1"/>
    <w:rsid w:val="00D423CC"/>
    <w:rsid w:val="00D42459"/>
    <w:rsid w:val="00D42468"/>
    <w:rsid w:val="00D43632"/>
    <w:rsid w:val="00D439A5"/>
    <w:rsid w:val="00D43C26"/>
    <w:rsid w:val="00D43D17"/>
    <w:rsid w:val="00D43DB0"/>
    <w:rsid w:val="00D43E6B"/>
    <w:rsid w:val="00D4406A"/>
    <w:rsid w:val="00D442F5"/>
    <w:rsid w:val="00D44BB5"/>
    <w:rsid w:val="00D44D02"/>
    <w:rsid w:val="00D44DC3"/>
    <w:rsid w:val="00D44F15"/>
    <w:rsid w:val="00D455D3"/>
    <w:rsid w:val="00D455DE"/>
    <w:rsid w:val="00D46569"/>
    <w:rsid w:val="00D469AA"/>
    <w:rsid w:val="00D46CD4"/>
    <w:rsid w:val="00D47119"/>
    <w:rsid w:val="00D477B8"/>
    <w:rsid w:val="00D47D1D"/>
    <w:rsid w:val="00D5023F"/>
    <w:rsid w:val="00D50598"/>
    <w:rsid w:val="00D5059D"/>
    <w:rsid w:val="00D50A9C"/>
    <w:rsid w:val="00D511A7"/>
    <w:rsid w:val="00D51235"/>
    <w:rsid w:val="00D51269"/>
    <w:rsid w:val="00D5151E"/>
    <w:rsid w:val="00D51902"/>
    <w:rsid w:val="00D51977"/>
    <w:rsid w:val="00D51BB8"/>
    <w:rsid w:val="00D51FC1"/>
    <w:rsid w:val="00D522FB"/>
    <w:rsid w:val="00D523AC"/>
    <w:rsid w:val="00D5242D"/>
    <w:rsid w:val="00D524F8"/>
    <w:rsid w:val="00D5259D"/>
    <w:rsid w:val="00D52B2E"/>
    <w:rsid w:val="00D52B95"/>
    <w:rsid w:val="00D52DAA"/>
    <w:rsid w:val="00D52F68"/>
    <w:rsid w:val="00D53A9E"/>
    <w:rsid w:val="00D53CB8"/>
    <w:rsid w:val="00D5428E"/>
    <w:rsid w:val="00D5471C"/>
    <w:rsid w:val="00D54BF8"/>
    <w:rsid w:val="00D54D9F"/>
    <w:rsid w:val="00D54F7B"/>
    <w:rsid w:val="00D54FB1"/>
    <w:rsid w:val="00D5500D"/>
    <w:rsid w:val="00D55184"/>
    <w:rsid w:val="00D5541D"/>
    <w:rsid w:val="00D554B9"/>
    <w:rsid w:val="00D55811"/>
    <w:rsid w:val="00D559CA"/>
    <w:rsid w:val="00D55FA4"/>
    <w:rsid w:val="00D56373"/>
    <w:rsid w:val="00D56510"/>
    <w:rsid w:val="00D56871"/>
    <w:rsid w:val="00D56C9A"/>
    <w:rsid w:val="00D56CB2"/>
    <w:rsid w:val="00D56F7F"/>
    <w:rsid w:val="00D56F81"/>
    <w:rsid w:val="00D5705D"/>
    <w:rsid w:val="00D57141"/>
    <w:rsid w:val="00D573B5"/>
    <w:rsid w:val="00D578D5"/>
    <w:rsid w:val="00D57BD3"/>
    <w:rsid w:val="00D57F3A"/>
    <w:rsid w:val="00D60799"/>
    <w:rsid w:val="00D607DE"/>
    <w:rsid w:val="00D6081A"/>
    <w:rsid w:val="00D6086F"/>
    <w:rsid w:val="00D60976"/>
    <w:rsid w:val="00D60CB9"/>
    <w:rsid w:val="00D612F1"/>
    <w:rsid w:val="00D61669"/>
    <w:rsid w:val="00D618B7"/>
    <w:rsid w:val="00D618D0"/>
    <w:rsid w:val="00D61C2F"/>
    <w:rsid w:val="00D61CF7"/>
    <w:rsid w:val="00D62056"/>
    <w:rsid w:val="00D621D1"/>
    <w:rsid w:val="00D62390"/>
    <w:rsid w:val="00D62399"/>
    <w:rsid w:val="00D62660"/>
    <w:rsid w:val="00D62DAE"/>
    <w:rsid w:val="00D62E03"/>
    <w:rsid w:val="00D63526"/>
    <w:rsid w:val="00D63911"/>
    <w:rsid w:val="00D63B84"/>
    <w:rsid w:val="00D63BC8"/>
    <w:rsid w:val="00D63BCB"/>
    <w:rsid w:val="00D63C28"/>
    <w:rsid w:val="00D6419C"/>
    <w:rsid w:val="00D64208"/>
    <w:rsid w:val="00D64B6A"/>
    <w:rsid w:val="00D64C4C"/>
    <w:rsid w:val="00D64C61"/>
    <w:rsid w:val="00D64E80"/>
    <w:rsid w:val="00D654AC"/>
    <w:rsid w:val="00D65554"/>
    <w:rsid w:val="00D656D8"/>
    <w:rsid w:val="00D657F5"/>
    <w:rsid w:val="00D65931"/>
    <w:rsid w:val="00D65BFE"/>
    <w:rsid w:val="00D65C8B"/>
    <w:rsid w:val="00D66031"/>
    <w:rsid w:val="00D66A6D"/>
    <w:rsid w:val="00D66CBB"/>
    <w:rsid w:val="00D67918"/>
    <w:rsid w:val="00D67D35"/>
    <w:rsid w:val="00D67E5A"/>
    <w:rsid w:val="00D705FB"/>
    <w:rsid w:val="00D7077A"/>
    <w:rsid w:val="00D70792"/>
    <w:rsid w:val="00D7088B"/>
    <w:rsid w:val="00D70A8E"/>
    <w:rsid w:val="00D70D57"/>
    <w:rsid w:val="00D70EB5"/>
    <w:rsid w:val="00D7140A"/>
    <w:rsid w:val="00D719A3"/>
    <w:rsid w:val="00D71B51"/>
    <w:rsid w:val="00D71C4C"/>
    <w:rsid w:val="00D71D7B"/>
    <w:rsid w:val="00D72308"/>
    <w:rsid w:val="00D725BF"/>
    <w:rsid w:val="00D72741"/>
    <w:rsid w:val="00D72906"/>
    <w:rsid w:val="00D73160"/>
    <w:rsid w:val="00D7368B"/>
    <w:rsid w:val="00D73B93"/>
    <w:rsid w:val="00D73C19"/>
    <w:rsid w:val="00D73D91"/>
    <w:rsid w:val="00D740BF"/>
    <w:rsid w:val="00D74311"/>
    <w:rsid w:val="00D745C8"/>
    <w:rsid w:val="00D74689"/>
    <w:rsid w:val="00D74A4D"/>
    <w:rsid w:val="00D74C70"/>
    <w:rsid w:val="00D7501A"/>
    <w:rsid w:val="00D75605"/>
    <w:rsid w:val="00D7591E"/>
    <w:rsid w:val="00D75B93"/>
    <w:rsid w:val="00D75F99"/>
    <w:rsid w:val="00D76BC4"/>
    <w:rsid w:val="00D76C10"/>
    <w:rsid w:val="00D77006"/>
    <w:rsid w:val="00D77510"/>
    <w:rsid w:val="00D7775A"/>
    <w:rsid w:val="00D779F8"/>
    <w:rsid w:val="00D8042F"/>
    <w:rsid w:val="00D8055E"/>
    <w:rsid w:val="00D807A6"/>
    <w:rsid w:val="00D807E8"/>
    <w:rsid w:val="00D809DE"/>
    <w:rsid w:val="00D80A8D"/>
    <w:rsid w:val="00D816C7"/>
    <w:rsid w:val="00D81705"/>
    <w:rsid w:val="00D81BAB"/>
    <w:rsid w:val="00D81BB2"/>
    <w:rsid w:val="00D81C31"/>
    <w:rsid w:val="00D81F00"/>
    <w:rsid w:val="00D82092"/>
    <w:rsid w:val="00D8241A"/>
    <w:rsid w:val="00D8253B"/>
    <w:rsid w:val="00D8257B"/>
    <w:rsid w:val="00D8279B"/>
    <w:rsid w:val="00D82A02"/>
    <w:rsid w:val="00D82B62"/>
    <w:rsid w:val="00D82BE8"/>
    <w:rsid w:val="00D82CCC"/>
    <w:rsid w:val="00D82ED5"/>
    <w:rsid w:val="00D83057"/>
    <w:rsid w:val="00D83568"/>
    <w:rsid w:val="00D83818"/>
    <w:rsid w:val="00D838BB"/>
    <w:rsid w:val="00D83A0C"/>
    <w:rsid w:val="00D83FB1"/>
    <w:rsid w:val="00D843BD"/>
    <w:rsid w:val="00D84625"/>
    <w:rsid w:val="00D8466A"/>
    <w:rsid w:val="00D8470B"/>
    <w:rsid w:val="00D848A7"/>
    <w:rsid w:val="00D84DAD"/>
    <w:rsid w:val="00D84E03"/>
    <w:rsid w:val="00D84ECF"/>
    <w:rsid w:val="00D84F8E"/>
    <w:rsid w:val="00D850B1"/>
    <w:rsid w:val="00D851DA"/>
    <w:rsid w:val="00D851E2"/>
    <w:rsid w:val="00D85B26"/>
    <w:rsid w:val="00D85C0D"/>
    <w:rsid w:val="00D85DC5"/>
    <w:rsid w:val="00D85ED7"/>
    <w:rsid w:val="00D860B9"/>
    <w:rsid w:val="00D860F1"/>
    <w:rsid w:val="00D8627A"/>
    <w:rsid w:val="00D86402"/>
    <w:rsid w:val="00D86A8C"/>
    <w:rsid w:val="00D86AF8"/>
    <w:rsid w:val="00D86CB1"/>
    <w:rsid w:val="00D86D1A"/>
    <w:rsid w:val="00D86FF5"/>
    <w:rsid w:val="00D872FC"/>
    <w:rsid w:val="00D87800"/>
    <w:rsid w:val="00D8787A"/>
    <w:rsid w:val="00D87C4B"/>
    <w:rsid w:val="00D87D6B"/>
    <w:rsid w:val="00D900F1"/>
    <w:rsid w:val="00D90F09"/>
    <w:rsid w:val="00D91378"/>
    <w:rsid w:val="00D91404"/>
    <w:rsid w:val="00D91C18"/>
    <w:rsid w:val="00D92148"/>
    <w:rsid w:val="00D921F9"/>
    <w:rsid w:val="00D926E9"/>
    <w:rsid w:val="00D929CB"/>
    <w:rsid w:val="00D93294"/>
    <w:rsid w:val="00D93350"/>
    <w:rsid w:val="00D93682"/>
    <w:rsid w:val="00D9384B"/>
    <w:rsid w:val="00D939A5"/>
    <w:rsid w:val="00D93B9A"/>
    <w:rsid w:val="00D93C03"/>
    <w:rsid w:val="00D9418B"/>
    <w:rsid w:val="00D9446B"/>
    <w:rsid w:val="00D94646"/>
    <w:rsid w:val="00D94A2C"/>
    <w:rsid w:val="00D94AA6"/>
    <w:rsid w:val="00D94B87"/>
    <w:rsid w:val="00D95097"/>
    <w:rsid w:val="00D95310"/>
    <w:rsid w:val="00D953EF"/>
    <w:rsid w:val="00D955C1"/>
    <w:rsid w:val="00D95C8A"/>
    <w:rsid w:val="00D95D47"/>
    <w:rsid w:val="00D95DB3"/>
    <w:rsid w:val="00D96315"/>
    <w:rsid w:val="00D96911"/>
    <w:rsid w:val="00D969E5"/>
    <w:rsid w:val="00D96E13"/>
    <w:rsid w:val="00D972C5"/>
    <w:rsid w:val="00D97CBA"/>
    <w:rsid w:val="00DA0098"/>
    <w:rsid w:val="00DA01E8"/>
    <w:rsid w:val="00DA0339"/>
    <w:rsid w:val="00DA0AD6"/>
    <w:rsid w:val="00DA0B48"/>
    <w:rsid w:val="00DA1055"/>
    <w:rsid w:val="00DA1690"/>
    <w:rsid w:val="00DA1E01"/>
    <w:rsid w:val="00DA1E5F"/>
    <w:rsid w:val="00DA1F8D"/>
    <w:rsid w:val="00DA1FCA"/>
    <w:rsid w:val="00DA21C8"/>
    <w:rsid w:val="00DA2322"/>
    <w:rsid w:val="00DA2422"/>
    <w:rsid w:val="00DA2720"/>
    <w:rsid w:val="00DA27BE"/>
    <w:rsid w:val="00DA286B"/>
    <w:rsid w:val="00DA28E3"/>
    <w:rsid w:val="00DA2D74"/>
    <w:rsid w:val="00DA37A6"/>
    <w:rsid w:val="00DA3B2F"/>
    <w:rsid w:val="00DA3C14"/>
    <w:rsid w:val="00DA3C38"/>
    <w:rsid w:val="00DA3DA3"/>
    <w:rsid w:val="00DA43AE"/>
    <w:rsid w:val="00DA4548"/>
    <w:rsid w:val="00DA457F"/>
    <w:rsid w:val="00DA4688"/>
    <w:rsid w:val="00DA487F"/>
    <w:rsid w:val="00DA4B40"/>
    <w:rsid w:val="00DA4DE0"/>
    <w:rsid w:val="00DA5253"/>
    <w:rsid w:val="00DA54FA"/>
    <w:rsid w:val="00DA5E3D"/>
    <w:rsid w:val="00DA5FD2"/>
    <w:rsid w:val="00DA629F"/>
    <w:rsid w:val="00DA62BC"/>
    <w:rsid w:val="00DA6803"/>
    <w:rsid w:val="00DA7016"/>
    <w:rsid w:val="00DA75FF"/>
    <w:rsid w:val="00DA79E1"/>
    <w:rsid w:val="00DA7CEB"/>
    <w:rsid w:val="00DA7D84"/>
    <w:rsid w:val="00DA7E4F"/>
    <w:rsid w:val="00DB0129"/>
    <w:rsid w:val="00DB0871"/>
    <w:rsid w:val="00DB0AC6"/>
    <w:rsid w:val="00DB0D10"/>
    <w:rsid w:val="00DB0D24"/>
    <w:rsid w:val="00DB0DF3"/>
    <w:rsid w:val="00DB118E"/>
    <w:rsid w:val="00DB1362"/>
    <w:rsid w:val="00DB13AE"/>
    <w:rsid w:val="00DB13D7"/>
    <w:rsid w:val="00DB15FA"/>
    <w:rsid w:val="00DB1728"/>
    <w:rsid w:val="00DB175B"/>
    <w:rsid w:val="00DB177C"/>
    <w:rsid w:val="00DB1906"/>
    <w:rsid w:val="00DB1958"/>
    <w:rsid w:val="00DB19D9"/>
    <w:rsid w:val="00DB1C77"/>
    <w:rsid w:val="00DB1D0F"/>
    <w:rsid w:val="00DB1E8E"/>
    <w:rsid w:val="00DB21D9"/>
    <w:rsid w:val="00DB237D"/>
    <w:rsid w:val="00DB23D6"/>
    <w:rsid w:val="00DB23F8"/>
    <w:rsid w:val="00DB25B4"/>
    <w:rsid w:val="00DB273B"/>
    <w:rsid w:val="00DB2933"/>
    <w:rsid w:val="00DB2A0F"/>
    <w:rsid w:val="00DB2CF8"/>
    <w:rsid w:val="00DB2D45"/>
    <w:rsid w:val="00DB2EE2"/>
    <w:rsid w:val="00DB2F46"/>
    <w:rsid w:val="00DB2FAE"/>
    <w:rsid w:val="00DB3188"/>
    <w:rsid w:val="00DB32CD"/>
    <w:rsid w:val="00DB343D"/>
    <w:rsid w:val="00DB3534"/>
    <w:rsid w:val="00DB35C8"/>
    <w:rsid w:val="00DB38BA"/>
    <w:rsid w:val="00DB3B49"/>
    <w:rsid w:val="00DB3C3C"/>
    <w:rsid w:val="00DB3D60"/>
    <w:rsid w:val="00DB4076"/>
    <w:rsid w:val="00DB4281"/>
    <w:rsid w:val="00DB4297"/>
    <w:rsid w:val="00DB455D"/>
    <w:rsid w:val="00DB467A"/>
    <w:rsid w:val="00DB467C"/>
    <w:rsid w:val="00DB479A"/>
    <w:rsid w:val="00DB4816"/>
    <w:rsid w:val="00DB492F"/>
    <w:rsid w:val="00DB4B44"/>
    <w:rsid w:val="00DB4B87"/>
    <w:rsid w:val="00DB4CCA"/>
    <w:rsid w:val="00DB4FA3"/>
    <w:rsid w:val="00DB596F"/>
    <w:rsid w:val="00DB5C9B"/>
    <w:rsid w:val="00DB5D36"/>
    <w:rsid w:val="00DB5F89"/>
    <w:rsid w:val="00DB612D"/>
    <w:rsid w:val="00DB6BB4"/>
    <w:rsid w:val="00DB6C14"/>
    <w:rsid w:val="00DB6E86"/>
    <w:rsid w:val="00DB7408"/>
    <w:rsid w:val="00DB7699"/>
    <w:rsid w:val="00DB7B2E"/>
    <w:rsid w:val="00DC0451"/>
    <w:rsid w:val="00DC0765"/>
    <w:rsid w:val="00DC0B9A"/>
    <w:rsid w:val="00DC0BFE"/>
    <w:rsid w:val="00DC0C17"/>
    <w:rsid w:val="00DC0CA1"/>
    <w:rsid w:val="00DC111F"/>
    <w:rsid w:val="00DC11AF"/>
    <w:rsid w:val="00DC1532"/>
    <w:rsid w:val="00DC160E"/>
    <w:rsid w:val="00DC18F1"/>
    <w:rsid w:val="00DC1D87"/>
    <w:rsid w:val="00DC2124"/>
    <w:rsid w:val="00DC23F2"/>
    <w:rsid w:val="00DC2813"/>
    <w:rsid w:val="00DC28E5"/>
    <w:rsid w:val="00DC362D"/>
    <w:rsid w:val="00DC3AC6"/>
    <w:rsid w:val="00DC414A"/>
    <w:rsid w:val="00DC4290"/>
    <w:rsid w:val="00DC45CB"/>
    <w:rsid w:val="00DC478F"/>
    <w:rsid w:val="00DC4872"/>
    <w:rsid w:val="00DC50D7"/>
    <w:rsid w:val="00DC51C0"/>
    <w:rsid w:val="00DC5381"/>
    <w:rsid w:val="00DC53A0"/>
    <w:rsid w:val="00DC54C7"/>
    <w:rsid w:val="00DC55B2"/>
    <w:rsid w:val="00DC597C"/>
    <w:rsid w:val="00DC5BF8"/>
    <w:rsid w:val="00DC5F23"/>
    <w:rsid w:val="00DC5F65"/>
    <w:rsid w:val="00DC6263"/>
    <w:rsid w:val="00DC652B"/>
    <w:rsid w:val="00DC65DC"/>
    <w:rsid w:val="00DC695A"/>
    <w:rsid w:val="00DC6963"/>
    <w:rsid w:val="00DC6CC9"/>
    <w:rsid w:val="00DC70EE"/>
    <w:rsid w:val="00DC77B5"/>
    <w:rsid w:val="00DC77BC"/>
    <w:rsid w:val="00DC7DB5"/>
    <w:rsid w:val="00DC7DC0"/>
    <w:rsid w:val="00DC7FA6"/>
    <w:rsid w:val="00DCFB86"/>
    <w:rsid w:val="00DD02F1"/>
    <w:rsid w:val="00DD0599"/>
    <w:rsid w:val="00DD05F6"/>
    <w:rsid w:val="00DD06D6"/>
    <w:rsid w:val="00DD07E6"/>
    <w:rsid w:val="00DD0C14"/>
    <w:rsid w:val="00DD0C1A"/>
    <w:rsid w:val="00DD0DC5"/>
    <w:rsid w:val="00DD0E47"/>
    <w:rsid w:val="00DD0F58"/>
    <w:rsid w:val="00DD12DF"/>
    <w:rsid w:val="00DD16C8"/>
    <w:rsid w:val="00DD19A2"/>
    <w:rsid w:val="00DD1C09"/>
    <w:rsid w:val="00DD1D50"/>
    <w:rsid w:val="00DD1D9F"/>
    <w:rsid w:val="00DD1FFF"/>
    <w:rsid w:val="00DD20C4"/>
    <w:rsid w:val="00DD20CF"/>
    <w:rsid w:val="00DD20DE"/>
    <w:rsid w:val="00DD226B"/>
    <w:rsid w:val="00DD2472"/>
    <w:rsid w:val="00DD27DB"/>
    <w:rsid w:val="00DD29D6"/>
    <w:rsid w:val="00DD2BDD"/>
    <w:rsid w:val="00DD2CFC"/>
    <w:rsid w:val="00DD3218"/>
    <w:rsid w:val="00DD34F3"/>
    <w:rsid w:val="00DD36F0"/>
    <w:rsid w:val="00DD3B13"/>
    <w:rsid w:val="00DD3B18"/>
    <w:rsid w:val="00DD3C0B"/>
    <w:rsid w:val="00DD4274"/>
    <w:rsid w:val="00DD434A"/>
    <w:rsid w:val="00DD4651"/>
    <w:rsid w:val="00DD4A38"/>
    <w:rsid w:val="00DD4BC7"/>
    <w:rsid w:val="00DD4D8C"/>
    <w:rsid w:val="00DD5610"/>
    <w:rsid w:val="00DD572B"/>
    <w:rsid w:val="00DD5A4C"/>
    <w:rsid w:val="00DD5CBC"/>
    <w:rsid w:val="00DD5E4C"/>
    <w:rsid w:val="00DD673F"/>
    <w:rsid w:val="00DD6915"/>
    <w:rsid w:val="00DD69CD"/>
    <w:rsid w:val="00DD6BCF"/>
    <w:rsid w:val="00DD6E01"/>
    <w:rsid w:val="00DD6FD6"/>
    <w:rsid w:val="00DD74F9"/>
    <w:rsid w:val="00DD755A"/>
    <w:rsid w:val="00DD75F2"/>
    <w:rsid w:val="00DD79BC"/>
    <w:rsid w:val="00DD7EA4"/>
    <w:rsid w:val="00DE01C0"/>
    <w:rsid w:val="00DE01F6"/>
    <w:rsid w:val="00DE01F8"/>
    <w:rsid w:val="00DE023A"/>
    <w:rsid w:val="00DE02F6"/>
    <w:rsid w:val="00DE080F"/>
    <w:rsid w:val="00DE08F7"/>
    <w:rsid w:val="00DE0D72"/>
    <w:rsid w:val="00DE10AD"/>
    <w:rsid w:val="00DE167D"/>
    <w:rsid w:val="00DE1B25"/>
    <w:rsid w:val="00DE1E6B"/>
    <w:rsid w:val="00DE1EC2"/>
    <w:rsid w:val="00DE20D4"/>
    <w:rsid w:val="00DE21FB"/>
    <w:rsid w:val="00DE2249"/>
    <w:rsid w:val="00DE2476"/>
    <w:rsid w:val="00DE252E"/>
    <w:rsid w:val="00DE257A"/>
    <w:rsid w:val="00DE26B0"/>
    <w:rsid w:val="00DE29C5"/>
    <w:rsid w:val="00DE2ED8"/>
    <w:rsid w:val="00DE3072"/>
    <w:rsid w:val="00DE36E2"/>
    <w:rsid w:val="00DE3940"/>
    <w:rsid w:val="00DE4049"/>
    <w:rsid w:val="00DE4546"/>
    <w:rsid w:val="00DE4756"/>
    <w:rsid w:val="00DE47D2"/>
    <w:rsid w:val="00DE4AAD"/>
    <w:rsid w:val="00DE4AF8"/>
    <w:rsid w:val="00DE4EE8"/>
    <w:rsid w:val="00DE5119"/>
    <w:rsid w:val="00DE54D1"/>
    <w:rsid w:val="00DE5652"/>
    <w:rsid w:val="00DE5831"/>
    <w:rsid w:val="00DE58BD"/>
    <w:rsid w:val="00DE58CF"/>
    <w:rsid w:val="00DE5F09"/>
    <w:rsid w:val="00DE5F96"/>
    <w:rsid w:val="00DE6325"/>
    <w:rsid w:val="00DE6359"/>
    <w:rsid w:val="00DE6451"/>
    <w:rsid w:val="00DE69A3"/>
    <w:rsid w:val="00DE7051"/>
    <w:rsid w:val="00DE7124"/>
    <w:rsid w:val="00DE75BD"/>
    <w:rsid w:val="00DE7667"/>
    <w:rsid w:val="00DE7793"/>
    <w:rsid w:val="00DE7991"/>
    <w:rsid w:val="00DE7A83"/>
    <w:rsid w:val="00DE7B10"/>
    <w:rsid w:val="00DE7B97"/>
    <w:rsid w:val="00DE7D11"/>
    <w:rsid w:val="00DF0153"/>
    <w:rsid w:val="00DF07B1"/>
    <w:rsid w:val="00DF0D2F"/>
    <w:rsid w:val="00DF103F"/>
    <w:rsid w:val="00DF1475"/>
    <w:rsid w:val="00DF1535"/>
    <w:rsid w:val="00DF17F3"/>
    <w:rsid w:val="00DF19CC"/>
    <w:rsid w:val="00DF1ADF"/>
    <w:rsid w:val="00DF1BF6"/>
    <w:rsid w:val="00DF1CDA"/>
    <w:rsid w:val="00DF1DE0"/>
    <w:rsid w:val="00DF2062"/>
    <w:rsid w:val="00DF207F"/>
    <w:rsid w:val="00DF20C6"/>
    <w:rsid w:val="00DF256A"/>
    <w:rsid w:val="00DF25FD"/>
    <w:rsid w:val="00DF2BBF"/>
    <w:rsid w:val="00DF2C02"/>
    <w:rsid w:val="00DF349D"/>
    <w:rsid w:val="00DF3978"/>
    <w:rsid w:val="00DF3B12"/>
    <w:rsid w:val="00DF3CC0"/>
    <w:rsid w:val="00DF40F3"/>
    <w:rsid w:val="00DF4276"/>
    <w:rsid w:val="00DF42EC"/>
    <w:rsid w:val="00DF445C"/>
    <w:rsid w:val="00DF48AE"/>
    <w:rsid w:val="00DF4C0A"/>
    <w:rsid w:val="00DF4F52"/>
    <w:rsid w:val="00DF52D9"/>
    <w:rsid w:val="00DF5B48"/>
    <w:rsid w:val="00DF5BAF"/>
    <w:rsid w:val="00DF5C2E"/>
    <w:rsid w:val="00DF5CB9"/>
    <w:rsid w:val="00DF6459"/>
    <w:rsid w:val="00DF67C7"/>
    <w:rsid w:val="00DF6AF8"/>
    <w:rsid w:val="00DF6B8D"/>
    <w:rsid w:val="00DF6F74"/>
    <w:rsid w:val="00DF700C"/>
    <w:rsid w:val="00DF77A9"/>
    <w:rsid w:val="00DF7F27"/>
    <w:rsid w:val="00DF7F9C"/>
    <w:rsid w:val="00E001D0"/>
    <w:rsid w:val="00E0043A"/>
    <w:rsid w:val="00E004B5"/>
    <w:rsid w:val="00E009B9"/>
    <w:rsid w:val="00E00B25"/>
    <w:rsid w:val="00E0172F"/>
    <w:rsid w:val="00E0180A"/>
    <w:rsid w:val="00E019A4"/>
    <w:rsid w:val="00E01A1E"/>
    <w:rsid w:val="00E01CE9"/>
    <w:rsid w:val="00E0270B"/>
    <w:rsid w:val="00E02830"/>
    <w:rsid w:val="00E029F9"/>
    <w:rsid w:val="00E02ACF"/>
    <w:rsid w:val="00E02BF2"/>
    <w:rsid w:val="00E02E0D"/>
    <w:rsid w:val="00E03028"/>
    <w:rsid w:val="00E032D7"/>
    <w:rsid w:val="00E038C2"/>
    <w:rsid w:val="00E03A63"/>
    <w:rsid w:val="00E03A6C"/>
    <w:rsid w:val="00E03AAD"/>
    <w:rsid w:val="00E03D56"/>
    <w:rsid w:val="00E041A0"/>
    <w:rsid w:val="00E0448B"/>
    <w:rsid w:val="00E04719"/>
    <w:rsid w:val="00E04C79"/>
    <w:rsid w:val="00E04D7D"/>
    <w:rsid w:val="00E04FA9"/>
    <w:rsid w:val="00E050DE"/>
    <w:rsid w:val="00E051C3"/>
    <w:rsid w:val="00E05472"/>
    <w:rsid w:val="00E05763"/>
    <w:rsid w:val="00E05AB6"/>
    <w:rsid w:val="00E05EB4"/>
    <w:rsid w:val="00E05FDA"/>
    <w:rsid w:val="00E061B4"/>
    <w:rsid w:val="00E061F2"/>
    <w:rsid w:val="00E067A2"/>
    <w:rsid w:val="00E0682E"/>
    <w:rsid w:val="00E06ADB"/>
    <w:rsid w:val="00E06D3C"/>
    <w:rsid w:val="00E077E3"/>
    <w:rsid w:val="00E07C7B"/>
    <w:rsid w:val="00E07D58"/>
    <w:rsid w:val="00E1012C"/>
    <w:rsid w:val="00E1023A"/>
    <w:rsid w:val="00E103D9"/>
    <w:rsid w:val="00E10C05"/>
    <w:rsid w:val="00E11113"/>
    <w:rsid w:val="00E1116E"/>
    <w:rsid w:val="00E112B4"/>
    <w:rsid w:val="00E11382"/>
    <w:rsid w:val="00E117E2"/>
    <w:rsid w:val="00E11C59"/>
    <w:rsid w:val="00E11F38"/>
    <w:rsid w:val="00E12054"/>
    <w:rsid w:val="00E12146"/>
    <w:rsid w:val="00E122AA"/>
    <w:rsid w:val="00E1231B"/>
    <w:rsid w:val="00E12820"/>
    <w:rsid w:val="00E12E5E"/>
    <w:rsid w:val="00E131A7"/>
    <w:rsid w:val="00E13244"/>
    <w:rsid w:val="00E1336B"/>
    <w:rsid w:val="00E138EC"/>
    <w:rsid w:val="00E13E07"/>
    <w:rsid w:val="00E13F5E"/>
    <w:rsid w:val="00E146CE"/>
    <w:rsid w:val="00E14E95"/>
    <w:rsid w:val="00E14EE2"/>
    <w:rsid w:val="00E150C9"/>
    <w:rsid w:val="00E156CC"/>
    <w:rsid w:val="00E15770"/>
    <w:rsid w:val="00E1580E"/>
    <w:rsid w:val="00E16290"/>
    <w:rsid w:val="00E163DB"/>
    <w:rsid w:val="00E167C6"/>
    <w:rsid w:val="00E167E0"/>
    <w:rsid w:val="00E16854"/>
    <w:rsid w:val="00E16B0D"/>
    <w:rsid w:val="00E16EA4"/>
    <w:rsid w:val="00E16FF9"/>
    <w:rsid w:val="00E1701D"/>
    <w:rsid w:val="00E1702E"/>
    <w:rsid w:val="00E17343"/>
    <w:rsid w:val="00E1769A"/>
    <w:rsid w:val="00E177A2"/>
    <w:rsid w:val="00E17973"/>
    <w:rsid w:val="00E17AFA"/>
    <w:rsid w:val="00E17BEC"/>
    <w:rsid w:val="00E2007A"/>
    <w:rsid w:val="00E20503"/>
    <w:rsid w:val="00E20939"/>
    <w:rsid w:val="00E2097B"/>
    <w:rsid w:val="00E20CC0"/>
    <w:rsid w:val="00E20D79"/>
    <w:rsid w:val="00E20FFD"/>
    <w:rsid w:val="00E21769"/>
    <w:rsid w:val="00E21A05"/>
    <w:rsid w:val="00E21B1C"/>
    <w:rsid w:val="00E21DD7"/>
    <w:rsid w:val="00E21E99"/>
    <w:rsid w:val="00E220F8"/>
    <w:rsid w:val="00E22364"/>
    <w:rsid w:val="00E223B9"/>
    <w:rsid w:val="00E2266C"/>
    <w:rsid w:val="00E22A9B"/>
    <w:rsid w:val="00E22BAC"/>
    <w:rsid w:val="00E22E79"/>
    <w:rsid w:val="00E23262"/>
    <w:rsid w:val="00E233D9"/>
    <w:rsid w:val="00E235C9"/>
    <w:rsid w:val="00E23837"/>
    <w:rsid w:val="00E239AC"/>
    <w:rsid w:val="00E23ACA"/>
    <w:rsid w:val="00E23B9C"/>
    <w:rsid w:val="00E23D6C"/>
    <w:rsid w:val="00E23E7D"/>
    <w:rsid w:val="00E2417E"/>
    <w:rsid w:val="00E24318"/>
    <w:rsid w:val="00E24522"/>
    <w:rsid w:val="00E24DD4"/>
    <w:rsid w:val="00E255D0"/>
    <w:rsid w:val="00E2584B"/>
    <w:rsid w:val="00E25AF7"/>
    <w:rsid w:val="00E25FEC"/>
    <w:rsid w:val="00E26167"/>
    <w:rsid w:val="00E264D5"/>
    <w:rsid w:val="00E270A5"/>
    <w:rsid w:val="00E27B93"/>
    <w:rsid w:val="00E27D01"/>
    <w:rsid w:val="00E27D1D"/>
    <w:rsid w:val="00E30266"/>
    <w:rsid w:val="00E30313"/>
    <w:rsid w:val="00E30319"/>
    <w:rsid w:val="00E3038F"/>
    <w:rsid w:val="00E30E8F"/>
    <w:rsid w:val="00E31C2E"/>
    <w:rsid w:val="00E322AA"/>
    <w:rsid w:val="00E32395"/>
    <w:rsid w:val="00E326C5"/>
    <w:rsid w:val="00E328E5"/>
    <w:rsid w:val="00E3299B"/>
    <w:rsid w:val="00E329AA"/>
    <w:rsid w:val="00E32AE3"/>
    <w:rsid w:val="00E32B01"/>
    <w:rsid w:val="00E32C3B"/>
    <w:rsid w:val="00E32C75"/>
    <w:rsid w:val="00E32FCC"/>
    <w:rsid w:val="00E33107"/>
    <w:rsid w:val="00E331C4"/>
    <w:rsid w:val="00E33390"/>
    <w:rsid w:val="00E33BA9"/>
    <w:rsid w:val="00E33C25"/>
    <w:rsid w:val="00E33FA1"/>
    <w:rsid w:val="00E34103"/>
    <w:rsid w:val="00E341A9"/>
    <w:rsid w:val="00E34302"/>
    <w:rsid w:val="00E343EB"/>
    <w:rsid w:val="00E35127"/>
    <w:rsid w:val="00E35434"/>
    <w:rsid w:val="00E3563A"/>
    <w:rsid w:val="00E357F8"/>
    <w:rsid w:val="00E35A69"/>
    <w:rsid w:val="00E35D84"/>
    <w:rsid w:val="00E35DD4"/>
    <w:rsid w:val="00E35EF1"/>
    <w:rsid w:val="00E3649B"/>
    <w:rsid w:val="00E36886"/>
    <w:rsid w:val="00E379F0"/>
    <w:rsid w:val="00E37A7A"/>
    <w:rsid w:val="00E37CB6"/>
    <w:rsid w:val="00E37DCB"/>
    <w:rsid w:val="00E37E51"/>
    <w:rsid w:val="00E37EEE"/>
    <w:rsid w:val="00E400E3"/>
    <w:rsid w:val="00E40406"/>
    <w:rsid w:val="00E405A1"/>
    <w:rsid w:val="00E40AA4"/>
    <w:rsid w:val="00E40B1C"/>
    <w:rsid w:val="00E40C41"/>
    <w:rsid w:val="00E413CD"/>
    <w:rsid w:val="00E4197C"/>
    <w:rsid w:val="00E41DB3"/>
    <w:rsid w:val="00E41E7B"/>
    <w:rsid w:val="00E42071"/>
    <w:rsid w:val="00E42074"/>
    <w:rsid w:val="00E4218D"/>
    <w:rsid w:val="00E42538"/>
    <w:rsid w:val="00E42A8E"/>
    <w:rsid w:val="00E42BCB"/>
    <w:rsid w:val="00E42E70"/>
    <w:rsid w:val="00E42EE0"/>
    <w:rsid w:val="00E4307F"/>
    <w:rsid w:val="00E43383"/>
    <w:rsid w:val="00E435AF"/>
    <w:rsid w:val="00E438C3"/>
    <w:rsid w:val="00E43935"/>
    <w:rsid w:val="00E43C29"/>
    <w:rsid w:val="00E43EC0"/>
    <w:rsid w:val="00E44052"/>
    <w:rsid w:val="00E4458F"/>
    <w:rsid w:val="00E44864"/>
    <w:rsid w:val="00E449C6"/>
    <w:rsid w:val="00E44C00"/>
    <w:rsid w:val="00E44C55"/>
    <w:rsid w:val="00E44D72"/>
    <w:rsid w:val="00E45099"/>
    <w:rsid w:val="00E458A5"/>
    <w:rsid w:val="00E45BF0"/>
    <w:rsid w:val="00E45DC0"/>
    <w:rsid w:val="00E46174"/>
    <w:rsid w:val="00E46267"/>
    <w:rsid w:val="00E46574"/>
    <w:rsid w:val="00E46723"/>
    <w:rsid w:val="00E4674C"/>
    <w:rsid w:val="00E46AD5"/>
    <w:rsid w:val="00E46FC1"/>
    <w:rsid w:val="00E477F9"/>
    <w:rsid w:val="00E47A96"/>
    <w:rsid w:val="00E47E27"/>
    <w:rsid w:val="00E47F51"/>
    <w:rsid w:val="00E47F98"/>
    <w:rsid w:val="00E506DC"/>
    <w:rsid w:val="00E506E6"/>
    <w:rsid w:val="00E508C9"/>
    <w:rsid w:val="00E50FA6"/>
    <w:rsid w:val="00E51215"/>
    <w:rsid w:val="00E516A5"/>
    <w:rsid w:val="00E5190B"/>
    <w:rsid w:val="00E51B36"/>
    <w:rsid w:val="00E51DBB"/>
    <w:rsid w:val="00E525C8"/>
    <w:rsid w:val="00E52826"/>
    <w:rsid w:val="00E52D7D"/>
    <w:rsid w:val="00E53789"/>
    <w:rsid w:val="00E5388E"/>
    <w:rsid w:val="00E53ADD"/>
    <w:rsid w:val="00E54081"/>
    <w:rsid w:val="00E543BD"/>
    <w:rsid w:val="00E54CB8"/>
    <w:rsid w:val="00E54E0B"/>
    <w:rsid w:val="00E54FE3"/>
    <w:rsid w:val="00E55798"/>
    <w:rsid w:val="00E55A8D"/>
    <w:rsid w:val="00E55D00"/>
    <w:rsid w:val="00E55DDC"/>
    <w:rsid w:val="00E5669A"/>
    <w:rsid w:val="00E567AB"/>
    <w:rsid w:val="00E567B6"/>
    <w:rsid w:val="00E56A47"/>
    <w:rsid w:val="00E56C9D"/>
    <w:rsid w:val="00E56DC2"/>
    <w:rsid w:val="00E5721E"/>
    <w:rsid w:val="00E576A3"/>
    <w:rsid w:val="00E57D1A"/>
    <w:rsid w:val="00E57D74"/>
    <w:rsid w:val="00E57FA7"/>
    <w:rsid w:val="00E57FCB"/>
    <w:rsid w:val="00E60410"/>
    <w:rsid w:val="00E6052A"/>
    <w:rsid w:val="00E60857"/>
    <w:rsid w:val="00E60DBF"/>
    <w:rsid w:val="00E60DC5"/>
    <w:rsid w:val="00E60F72"/>
    <w:rsid w:val="00E61245"/>
    <w:rsid w:val="00E61288"/>
    <w:rsid w:val="00E61300"/>
    <w:rsid w:val="00E61542"/>
    <w:rsid w:val="00E6192B"/>
    <w:rsid w:val="00E61B5A"/>
    <w:rsid w:val="00E61FC3"/>
    <w:rsid w:val="00E61FEF"/>
    <w:rsid w:val="00E62145"/>
    <w:rsid w:val="00E62211"/>
    <w:rsid w:val="00E62235"/>
    <w:rsid w:val="00E62371"/>
    <w:rsid w:val="00E6279B"/>
    <w:rsid w:val="00E62978"/>
    <w:rsid w:val="00E62E40"/>
    <w:rsid w:val="00E634EC"/>
    <w:rsid w:val="00E63504"/>
    <w:rsid w:val="00E6371B"/>
    <w:rsid w:val="00E637E5"/>
    <w:rsid w:val="00E63BDA"/>
    <w:rsid w:val="00E63BDC"/>
    <w:rsid w:val="00E63FE6"/>
    <w:rsid w:val="00E6400D"/>
    <w:rsid w:val="00E6407A"/>
    <w:rsid w:val="00E6422F"/>
    <w:rsid w:val="00E64299"/>
    <w:rsid w:val="00E64648"/>
    <w:rsid w:val="00E64780"/>
    <w:rsid w:val="00E64937"/>
    <w:rsid w:val="00E649FE"/>
    <w:rsid w:val="00E64B7F"/>
    <w:rsid w:val="00E64CEA"/>
    <w:rsid w:val="00E650F2"/>
    <w:rsid w:val="00E6524A"/>
    <w:rsid w:val="00E6535F"/>
    <w:rsid w:val="00E6558C"/>
    <w:rsid w:val="00E658E9"/>
    <w:rsid w:val="00E65AC2"/>
    <w:rsid w:val="00E65E41"/>
    <w:rsid w:val="00E65F95"/>
    <w:rsid w:val="00E665DF"/>
    <w:rsid w:val="00E66618"/>
    <w:rsid w:val="00E6697D"/>
    <w:rsid w:val="00E66B47"/>
    <w:rsid w:val="00E66C88"/>
    <w:rsid w:val="00E6733C"/>
    <w:rsid w:val="00E67412"/>
    <w:rsid w:val="00E67431"/>
    <w:rsid w:val="00E67AA8"/>
    <w:rsid w:val="00E67D63"/>
    <w:rsid w:val="00E7026A"/>
    <w:rsid w:val="00E703C7"/>
    <w:rsid w:val="00E704FA"/>
    <w:rsid w:val="00E7054A"/>
    <w:rsid w:val="00E705FE"/>
    <w:rsid w:val="00E70A96"/>
    <w:rsid w:val="00E70AF2"/>
    <w:rsid w:val="00E70C70"/>
    <w:rsid w:val="00E70CBF"/>
    <w:rsid w:val="00E70F89"/>
    <w:rsid w:val="00E713D1"/>
    <w:rsid w:val="00E714EC"/>
    <w:rsid w:val="00E71798"/>
    <w:rsid w:val="00E71A27"/>
    <w:rsid w:val="00E71C05"/>
    <w:rsid w:val="00E71FFF"/>
    <w:rsid w:val="00E7211A"/>
    <w:rsid w:val="00E72656"/>
    <w:rsid w:val="00E726A9"/>
    <w:rsid w:val="00E72CE3"/>
    <w:rsid w:val="00E72D1C"/>
    <w:rsid w:val="00E72E66"/>
    <w:rsid w:val="00E7323C"/>
    <w:rsid w:val="00E7324B"/>
    <w:rsid w:val="00E73377"/>
    <w:rsid w:val="00E73383"/>
    <w:rsid w:val="00E739A9"/>
    <w:rsid w:val="00E73CE7"/>
    <w:rsid w:val="00E73CFC"/>
    <w:rsid w:val="00E73E7A"/>
    <w:rsid w:val="00E73E9C"/>
    <w:rsid w:val="00E74040"/>
    <w:rsid w:val="00E74138"/>
    <w:rsid w:val="00E74533"/>
    <w:rsid w:val="00E7479B"/>
    <w:rsid w:val="00E74D12"/>
    <w:rsid w:val="00E755A3"/>
    <w:rsid w:val="00E75D3E"/>
    <w:rsid w:val="00E7613A"/>
    <w:rsid w:val="00E76251"/>
    <w:rsid w:val="00E76DB9"/>
    <w:rsid w:val="00E76E6F"/>
    <w:rsid w:val="00E77344"/>
    <w:rsid w:val="00E7743B"/>
    <w:rsid w:val="00E77856"/>
    <w:rsid w:val="00E77BFD"/>
    <w:rsid w:val="00E77F63"/>
    <w:rsid w:val="00E80288"/>
    <w:rsid w:val="00E803BE"/>
    <w:rsid w:val="00E8068C"/>
    <w:rsid w:val="00E80A20"/>
    <w:rsid w:val="00E80E10"/>
    <w:rsid w:val="00E80F21"/>
    <w:rsid w:val="00E80F6F"/>
    <w:rsid w:val="00E80F73"/>
    <w:rsid w:val="00E810C8"/>
    <w:rsid w:val="00E81117"/>
    <w:rsid w:val="00E812F0"/>
    <w:rsid w:val="00E81365"/>
    <w:rsid w:val="00E814FB"/>
    <w:rsid w:val="00E81B6A"/>
    <w:rsid w:val="00E81DF4"/>
    <w:rsid w:val="00E821C0"/>
    <w:rsid w:val="00E82B02"/>
    <w:rsid w:val="00E8334D"/>
    <w:rsid w:val="00E838DC"/>
    <w:rsid w:val="00E83934"/>
    <w:rsid w:val="00E83996"/>
    <w:rsid w:val="00E83A37"/>
    <w:rsid w:val="00E83B93"/>
    <w:rsid w:val="00E84390"/>
    <w:rsid w:val="00E84B66"/>
    <w:rsid w:val="00E84BF2"/>
    <w:rsid w:val="00E84C03"/>
    <w:rsid w:val="00E84F2B"/>
    <w:rsid w:val="00E850B7"/>
    <w:rsid w:val="00E851F3"/>
    <w:rsid w:val="00E85291"/>
    <w:rsid w:val="00E854DF"/>
    <w:rsid w:val="00E854FD"/>
    <w:rsid w:val="00E85635"/>
    <w:rsid w:val="00E85745"/>
    <w:rsid w:val="00E85783"/>
    <w:rsid w:val="00E85838"/>
    <w:rsid w:val="00E858E7"/>
    <w:rsid w:val="00E862C3"/>
    <w:rsid w:val="00E86305"/>
    <w:rsid w:val="00E865D2"/>
    <w:rsid w:val="00E867B8"/>
    <w:rsid w:val="00E867EA"/>
    <w:rsid w:val="00E868BD"/>
    <w:rsid w:val="00E870F9"/>
    <w:rsid w:val="00E87743"/>
    <w:rsid w:val="00E8794D"/>
    <w:rsid w:val="00E87A00"/>
    <w:rsid w:val="00E87B8F"/>
    <w:rsid w:val="00E87FD7"/>
    <w:rsid w:val="00E90059"/>
    <w:rsid w:val="00E90364"/>
    <w:rsid w:val="00E905A8"/>
    <w:rsid w:val="00E9094A"/>
    <w:rsid w:val="00E910A8"/>
    <w:rsid w:val="00E9130B"/>
    <w:rsid w:val="00E91722"/>
    <w:rsid w:val="00E9235A"/>
    <w:rsid w:val="00E927B1"/>
    <w:rsid w:val="00E92A67"/>
    <w:rsid w:val="00E92C47"/>
    <w:rsid w:val="00E93016"/>
    <w:rsid w:val="00E930EE"/>
    <w:rsid w:val="00E932F5"/>
    <w:rsid w:val="00E93447"/>
    <w:rsid w:val="00E93861"/>
    <w:rsid w:val="00E93AC1"/>
    <w:rsid w:val="00E93B55"/>
    <w:rsid w:val="00E93D1B"/>
    <w:rsid w:val="00E93DF7"/>
    <w:rsid w:val="00E940B0"/>
    <w:rsid w:val="00E9434C"/>
    <w:rsid w:val="00E9451F"/>
    <w:rsid w:val="00E94657"/>
    <w:rsid w:val="00E9470A"/>
    <w:rsid w:val="00E9481E"/>
    <w:rsid w:val="00E949D8"/>
    <w:rsid w:val="00E94D12"/>
    <w:rsid w:val="00E94EE9"/>
    <w:rsid w:val="00E9502B"/>
    <w:rsid w:val="00E950CF"/>
    <w:rsid w:val="00E951D0"/>
    <w:rsid w:val="00E951E8"/>
    <w:rsid w:val="00E95A3F"/>
    <w:rsid w:val="00E95A8A"/>
    <w:rsid w:val="00E961FB"/>
    <w:rsid w:val="00E963B6"/>
    <w:rsid w:val="00E96BC0"/>
    <w:rsid w:val="00E96E7D"/>
    <w:rsid w:val="00E96E9F"/>
    <w:rsid w:val="00E96FA2"/>
    <w:rsid w:val="00E970D4"/>
    <w:rsid w:val="00E97158"/>
    <w:rsid w:val="00E973E0"/>
    <w:rsid w:val="00E97451"/>
    <w:rsid w:val="00E97796"/>
    <w:rsid w:val="00E9788C"/>
    <w:rsid w:val="00EA014D"/>
    <w:rsid w:val="00EA0205"/>
    <w:rsid w:val="00EA0C71"/>
    <w:rsid w:val="00EA1041"/>
    <w:rsid w:val="00EA12E7"/>
    <w:rsid w:val="00EA1854"/>
    <w:rsid w:val="00EA1C07"/>
    <w:rsid w:val="00EA1C4B"/>
    <w:rsid w:val="00EA1DED"/>
    <w:rsid w:val="00EA1E58"/>
    <w:rsid w:val="00EA25BC"/>
    <w:rsid w:val="00EA27F4"/>
    <w:rsid w:val="00EA2813"/>
    <w:rsid w:val="00EA2985"/>
    <w:rsid w:val="00EA2B2D"/>
    <w:rsid w:val="00EA2C41"/>
    <w:rsid w:val="00EA2DCE"/>
    <w:rsid w:val="00EA324C"/>
    <w:rsid w:val="00EA32B6"/>
    <w:rsid w:val="00EA334A"/>
    <w:rsid w:val="00EA3792"/>
    <w:rsid w:val="00EA3840"/>
    <w:rsid w:val="00EA3F27"/>
    <w:rsid w:val="00EA46CB"/>
    <w:rsid w:val="00EA48F4"/>
    <w:rsid w:val="00EA5726"/>
    <w:rsid w:val="00EA5ABA"/>
    <w:rsid w:val="00EA5D82"/>
    <w:rsid w:val="00EA6019"/>
    <w:rsid w:val="00EA6342"/>
    <w:rsid w:val="00EA64D5"/>
    <w:rsid w:val="00EA65CB"/>
    <w:rsid w:val="00EA6AB6"/>
    <w:rsid w:val="00EA6D49"/>
    <w:rsid w:val="00EA6D92"/>
    <w:rsid w:val="00EA6E7D"/>
    <w:rsid w:val="00EA71D8"/>
    <w:rsid w:val="00EA72CC"/>
    <w:rsid w:val="00EA7CAC"/>
    <w:rsid w:val="00EA7D83"/>
    <w:rsid w:val="00EA7EC7"/>
    <w:rsid w:val="00EB021D"/>
    <w:rsid w:val="00EB044C"/>
    <w:rsid w:val="00EB045F"/>
    <w:rsid w:val="00EB04A1"/>
    <w:rsid w:val="00EB04B0"/>
    <w:rsid w:val="00EB0C15"/>
    <w:rsid w:val="00EB1369"/>
    <w:rsid w:val="00EB151B"/>
    <w:rsid w:val="00EB2022"/>
    <w:rsid w:val="00EB23E8"/>
    <w:rsid w:val="00EB294C"/>
    <w:rsid w:val="00EB30B1"/>
    <w:rsid w:val="00EB33B9"/>
    <w:rsid w:val="00EB33D0"/>
    <w:rsid w:val="00EB3860"/>
    <w:rsid w:val="00EB39A4"/>
    <w:rsid w:val="00EB3A2E"/>
    <w:rsid w:val="00EB3FD2"/>
    <w:rsid w:val="00EB404C"/>
    <w:rsid w:val="00EB4251"/>
    <w:rsid w:val="00EB4315"/>
    <w:rsid w:val="00EB4582"/>
    <w:rsid w:val="00EB52B8"/>
    <w:rsid w:val="00EB54BF"/>
    <w:rsid w:val="00EB54D5"/>
    <w:rsid w:val="00EB574D"/>
    <w:rsid w:val="00EB588B"/>
    <w:rsid w:val="00EB5B4C"/>
    <w:rsid w:val="00EB5CFC"/>
    <w:rsid w:val="00EB5DBC"/>
    <w:rsid w:val="00EB5F00"/>
    <w:rsid w:val="00EB62E8"/>
    <w:rsid w:val="00EB6533"/>
    <w:rsid w:val="00EB6716"/>
    <w:rsid w:val="00EB6B06"/>
    <w:rsid w:val="00EB6C0F"/>
    <w:rsid w:val="00EB6C90"/>
    <w:rsid w:val="00EB70C9"/>
    <w:rsid w:val="00EB76B9"/>
    <w:rsid w:val="00EB7729"/>
    <w:rsid w:val="00EB785C"/>
    <w:rsid w:val="00EB79C4"/>
    <w:rsid w:val="00EB7A6D"/>
    <w:rsid w:val="00EB7BA8"/>
    <w:rsid w:val="00EB7EEA"/>
    <w:rsid w:val="00EC05A9"/>
    <w:rsid w:val="00EC06F9"/>
    <w:rsid w:val="00EC0ACC"/>
    <w:rsid w:val="00EC0AF2"/>
    <w:rsid w:val="00EC10CC"/>
    <w:rsid w:val="00EC1366"/>
    <w:rsid w:val="00EC17E2"/>
    <w:rsid w:val="00EC186C"/>
    <w:rsid w:val="00EC1964"/>
    <w:rsid w:val="00EC1B72"/>
    <w:rsid w:val="00EC1D16"/>
    <w:rsid w:val="00EC1D7C"/>
    <w:rsid w:val="00EC1F55"/>
    <w:rsid w:val="00EC2269"/>
    <w:rsid w:val="00EC254A"/>
    <w:rsid w:val="00EC265F"/>
    <w:rsid w:val="00EC3191"/>
    <w:rsid w:val="00EC3490"/>
    <w:rsid w:val="00EC3C07"/>
    <w:rsid w:val="00EC3C09"/>
    <w:rsid w:val="00EC3C29"/>
    <w:rsid w:val="00EC3D66"/>
    <w:rsid w:val="00EC3ECC"/>
    <w:rsid w:val="00EC3F1C"/>
    <w:rsid w:val="00EC4000"/>
    <w:rsid w:val="00EC4182"/>
    <w:rsid w:val="00EC4204"/>
    <w:rsid w:val="00EC42FF"/>
    <w:rsid w:val="00EC4361"/>
    <w:rsid w:val="00EC457D"/>
    <w:rsid w:val="00EC45D5"/>
    <w:rsid w:val="00EC486A"/>
    <w:rsid w:val="00EC4DD2"/>
    <w:rsid w:val="00EC4DE0"/>
    <w:rsid w:val="00EC4EB7"/>
    <w:rsid w:val="00EC5182"/>
    <w:rsid w:val="00EC5F92"/>
    <w:rsid w:val="00EC5F9F"/>
    <w:rsid w:val="00EC63DF"/>
    <w:rsid w:val="00EC64D5"/>
    <w:rsid w:val="00EC67C8"/>
    <w:rsid w:val="00EC69B0"/>
    <w:rsid w:val="00EC71B9"/>
    <w:rsid w:val="00EC7423"/>
    <w:rsid w:val="00EC74D6"/>
    <w:rsid w:val="00EC789F"/>
    <w:rsid w:val="00EC7F59"/>
    <w:rsid w:val="00ED005B"/>
    <w:rsid w:val="00ED07D7"/>
    <w:rsid w:val="00ED0A7C"/>
    <w:rsid w:val="00ED0AF2"/>
    <w:rsid w:val="00ED0C2F"/>
    <w:rsid w:val="00ED0C51"/>
    <w:rsid w:val="00ED10B1"/>
    <w:rsid w:val="00ED1132"/>
    <w:rsid w:val="00ED11F5"/>
    <w:rsid w:val="00ED14CF"/>
    <w:rsid w:val="00ED1721"/>
    <w:rsid w:val="00ED1971"/>
    <w:rsid w:val="00ED1A77"/>
    <w:rsid w:val="00ED1B56"/>
    <w:rsid w:val="00ED1F00"/>
    <w:rsid w:val="00ED20B6"/>
    <w:rsid w:val="00ED21DB"/>
    <w:rsid w:val="00ED22E8"/>
    <w:rsid w:val="00ED26EB"/>
    <w:rsid w:val="00ED2970"/>
    <w:rsid w:val="00ED29D2"/>
    <w:rsid w:val="00ED29F9"/>
    <w:rsid w:val="00ED2C15"/>
    <w:rsid w:val="00ED2EB7"/>
    <w:rsid w:val="00ED3CF9"/>
    <w:rsid w:val="00ED3ED4"/>
    <w:rsid w:val="00ED438B"/>
    <w:rsid w:val="00ED4575"/>
    <w:rsid w:val="00ED495F"/>
    <w:rsid w:val="00ED5086"/>
    <w:rsid w:val="00ED51AA"/>
    <w:rsid w:val="00ED5476"/>
    <w:rsid w:val="00ED5B78"/>
    <w:rsid w:val="00ED5E84"/>
    <w:rsid w:val="00ED5F15"/>
    <w:rsid w:val="00ED6148"/>
    <w:rsid w:val="00ED658F"/>
    <w:rsid w:val="00ED6CEE"/>
    <w:rsid w:val="00ED7117"/>
    <w:rsid w:val="00ED74CD"/>
    <w:rsid w:val="00ED79C4"/>
    <w:rsid w:val="00ED7BF6"/>
    <w:rsid w:val="00ED7DFE"/>
    <w:rsid w:val="00EE00CF"/>
    <w:rsid w:val="00EE03E6"/>
    <w:rsid w:val="00EE08DC"/>
    <w:rsid w:val="00EE0B4F"/>
    <w:rsid w:val="00EE1005"/>
    <w:rsid w:val="00EE125F"/>
    <w:rsid w:val="00EE13B9"/>
    <w:rsid w:val="00EE1542"/>
    <w:rsid w:val="00EE160D"/>
    <w:rsid w:val="00EE194B"/>
    <w:rsid w:val="00EE1E6A"/>
    <w:rsid w:val="00EE20BD"/>
    <w:rsid w:val="00EE2184"/>
    <w:rsid w:val="00EE2205"/>
    <w:rsid w:val="00EE2989"/>
    <w:rsid w:val="00EE2A19"/>
    <w:rsid w:val="00EE2EE1"/>
    <w:rsid w:val="00EE3173"/>
    <w:rsid w:val="00EE3211"/>
    <w:rsid w:val="00EE3227"/>
    <w:rsid w:val="00EE387E"/>
    <w:rsid w:val="00EE3E6A"/>
    <w:rsid w:val="00EE3EA2"/>
    <w:rsid w:val="00EE3F0C"/>
    <w:rsid w:val="00EE4049"/>
    <w:rsid w:val="00EE4116"/>
    <w:rsid w:val="00EE4611"/>
    <w:rsid w:val="00EE481F"/>
    <w:rsid w:val="00EE4986"/>
    <w:rsid w:val="00EE4B49"/>
    <w:rsid w:val="00EE5AF6"/>
    <w:rsid w:val="00EE5B64"/>
    <w:rsid w:val="00EE5C6E"/>
    <w:rsid w:val="00EE5D00"/>
    <w:rsid w:val="00EE5DD1"/>
    <w:rsid w:val="00EE5E2F"/>
    <w:rsid w:val="00EE5EE3"/>
    <w:rsid w:val="00EE6170"/>
    <w:rsid w:val="00EE61DF"/>
    <w:rsid w:val="00EE6377"/>
    <w:rsid w:val="00EE6948"/>
    <w:rsid w:val="00EE6B52"/>
    <w:rsid w:val="00EE6CE2"/>
    <w:rsid w:val="00EE6E23"/>
    <w:rsid w:val="00EE6F70"/>
    <w:rsid w:val="00EE745E"/>
    <w:rsid w:val="00EE7953"/>
    <w:rsid w:val="00EE7AF9"/>
    <w:rsid w:val="00EF015A"/>
    <w:rsid w:val="00EF017D"/>
    <w:rsid w:val="00EF054B"/>
    <w:rsid w:val="00EF05FE"/>
    <w:rsid w:val="00EF0841"/>
    <w:rsid w:val="00EF08A3"/>
    <w:rsid w:val="00EF091A"/>
    <w:rsid w:val="00EF09CF"/>
    <w:rsid w:val="00EF09E6"/>
    <w:rsid w:val="00EF1250"/>
    <w:rsid w:val="00EF12D0"/>
    <w:rsid w:val="00EF1305"/>
    <w:rsid w:val="00EF1539"/>
    <w:rsid w:val="00EF1912"/>
    <w:rsid w:val="00EF1E6C"/>
    <w:rsid w:val="00EF1F80"/>
    <w:rsid w:val="00EF1FF8"/>
    <w:rsid w:val="00EF220B"/>
    <w:rsid w:val="00EF2354"/>
    <w:rsid w:val="00EF2A7F"/>
    <w:rsid w:val="00EF2FD4"/>
    <w:rsid w:val="00EF31DE"/>
    <w:rsid w:val="00EF32AA"/>
    <w:rsid w:val="00EF3407"/>
    <w:rsid w:val="00EF350B"/>
    <w:rsid w:val="00EF3512"/>
    <w:rsid w:val="00EF380D"/>
    <w:rsid w:val="00EF3C1C"/>
    <w:rsid w:val="00EF4036"/>
    <w:rsid w:val="00EF4240"/>
    <w:rsid w:val="00EF481F"/>
    <w:rsid w:val="00EF4B6E"/>
    <w:rsid w:val="00EF4C56"/>
    <w:rsid w:val="00EF4C5F"/>
    <w:rsid w:val="00EF4D56"/>
    <w:rsid w:val="00EF4D98"/>
    <w:rsid w:val="00EF4FD4"/>
    <w:rsid w:val="00EF5513"/>
    <w:rsid w:val="00EF571C"/>
    <w:rsid w:val="00EF5769"/>
    <w:rsid w:val="00EF58B5"/>
    <w:rsid w:val="00EF5AC6"/>
    <w:rsid w:val="00EF5C70"/>
    <w:rsid w:val="00EF5F23"/>
    <w:rsid w:val="00EF5FCE"/>
    <w:rsid w:val="00EF635B"/>
    <w:rsid w:val="00EF6512"/>
    <w:rsid w:val="00EF6EF6"/>
    <w:rsid w:val="00EF7B70"/>
    <w:rsid w:val="00F00103"/>
    <w:rsid w:val="00F00291"/>
    <w:rsid w:val="00F005D6"/>
    <w:rsid w:val="00F0069B"/>
    <w:rsid w:val="00F00853"/>
    <w:rsid w:val="00F00BC0"/>
    <w:rsid w:val="00F00DE3"/>
    <w:rsid w:val="00F01084"/>
    <w:rsid w:val="00F012F3"/>
    <w:rsid w:val="00F01324"/>
    <w:rsid w:val="00F0150F"/>
    <w:rsid w:val="00F01765"/>
    <w:rsid w:val="00F018B9"/>
    <w:rsid w:val="00F0195D"/>
    <w:rsid w:val="00F01B37"/>
    <w:rsid w:val="00F01BB8"/>
    <w:rsid w:val="00F01E7D"/>
    <w:rsid w:val="00F02491"/>
    <w:rsid w:val="00F027C7"/>
    <w:rsid w:val="00F02B02"/>
    <w:rsid w:val="00F02EE3"/>
    <w:rsid w:val="00F035D9"/>
    <w:rsid w:val="00F039B1"/>
    <w:rsid w:val="00F03A03"/>
    <w:rsid w:val="00F03A88"/>
    <w:rsid w:val="00F03F37"/>
    <w:rsid w:val="00F0424A"/>
    <w:rsid w:val="00F04691"/>
    <w:rsid w:val="00F049B5"/>
    <w:rsid w:val="00F04D07"/>
    <w:rsid w:val="00F04FD1"/>
    <w:rsid w:val="00F05017"/>
    <w:rsid w:val="00F0516F"/>
    <w:rsid w:val="00F054F0"/>
    <w:rsid w:val="00F05726"/>
    <w:rsid w:val="00F05B08"/>
    <w:rsid w:val="00F05B24"/>
    <w:rsid w:val="00F06119"/>
    <w:rsid w:val="00F06360"/>
    <w:rsid w:val="00F06AEA"/>
    <w:rsid w:val="00F06B5C"/>
    <w:rsid w:val="00F06D63"/>
    <w:rsid w:val="00F07151"/>
    <w:rsid w:val="00F073A1"/>
    <w:rsid w:val="00F075B6"/>
    <w:rsid w:val="00F075F0"/>
    <w:rsid w:val="00F07640"/>
    <w:rsid w:val="00F07BA0"/>
    <w:rsid w:val="00F10C1B"/>
    <w:rsid w:val="00F10CCC"/>
    <w:rsid w:val="00F10D25"/>
    <w:rsid w:val="00F10DCC"/>
    <w:rsid w:val="00F11428"/>
    <w:rsid w:val="00F11761"/>
    <w:rsid w:val="00F11993"/>
    <w:rsid w:val="00F1204C"/>
    <w:rsid w:val="00F125E6"/>
    <w:rsid w:val="00F127A7"/>
    <w:rsid w:val="00F12C71"/>
    <w:rsid w:val="00F12EAC"/>
    <w:rsid w:val="00F12F48"/>
    <w:rsid w:val="00F12FE4"/>
    <w:rsid w:val="00F13035"/>
    <w:rsid w:val="00F1306C"/>
    <w:rsid w:val="00F130F7"/>
    <w:rsid w:val="00F13196"/>
    <w:rsid w:val="00F13207"/>
    <w:rsid w:val="00F13463"/>
    <w:rsid w:val="00F13F34"/>
    <w:rsid w:val="00F140CA"/>
    <w:rsid w:val="00F144FE"/>
    <w:rsid w:val="00F145FC"/>
    <w:rsid w:val="00F14874"/>
    <w:rsid w:val="00F14CD4"/>
    <w:rsid w:val="00F14D51"/>
    <w:rsid w:val="00F14E0C"/>
    <w:rsid w:val="00F14E96"/>
    <w:rsid w:val="00F14ED2"/>
    <w:rsid w:val="00F14FFF"/>
    <w:rsid w:val="00F1514E"/>
    <w:rsid w:val="00F1555C"/>
    <w:rsid w:val="00F158BA"/>
    <w:rsid w:val="00F15B03"/>
    <w:rsid w:val="00F15DD8"/>
    <w:rsid w:val="00F1616A"/>
    <w:rsid w:val="00F16725"/>
    <w:rsid w:val="00F16816"/>
    <w:rsid w:val="00F16D20"/>
    <w:rsid w:val="00F16F2F"/>
    <w:rsid w:val="00F172F3"/>
    <w:rsid w:val="00F17830"/>
    <w:rsid w:val="00F17D37"/>
    <w:rsid w:val="00F20473"/>
    <w:rsid w:val="00F2057F"/>
    <w:rsid w:val="00F2082D"/>
    <w:rsid w:val="00F20D62"/>
    <w:rsid w:val="00F20DAA"/>
    <w:rsid w:val="00F21037"/>
    <w:rsid w:val="00F21274"/>
    <w:rsid w:val="00F21859"/>
    <w:rsid w:val="00F21F0F"/>
    <w:rsid w:val="00F21F1A"/>
    <w:rsid w:val="00F22787"/>
    <w:rsid w:val="00F2286D"/>
    <w:rsid w:val="00F2291C"/>
    <w:rsid w:val="00F2297C"/>
    <w:rsid w:val="00F22C06"/>
    <w:rsid w:val="00F22E5E"/>
    <w:rsid w:val="00F22F3F"/>
    <w:rsid w:val="00F230A3"/>
    <w:rsid w:val="00F23722"/>
    <w:rsid w:val="00F23934"/>
    <w:rsid w:val="00F23CE4"/>
    <w:rsid w:val="00F23E4F"/>
    <w:rsid w:val="00F24916"/>
    <w:rsid w:val="00F24A9A"/>
    <w:rsid w:val="00F251E9"/>
    <w:rsid w:val="00F25733"/>
    <w:rsid w:val="00F257D6"/>
    <w:rsid w:val="00F2597C"/>
    <w:rsid w:val="00F25A0F"/>
    <w:rsid w:val="00F25AA5"/>
    <w:rsid w:val="00F25E95"/>
    <w:rsid w:val="00F25EDB"/>
    <w:rsid w:val="00F25FD9"/>
    <w:rsid w:val="00F26018"/>
    <w:rsid w:val="00F26259"/>
    <w:rsid w:val="00F262E0"/>
    <w:rsid w:val="00F26846"/>
    <w:rsid w:val="00F269EF"/>
    <w:rsid w:val="00F26ACE"/>
    <w:rsid w:val="00F26E55"/>
    <w:rsid w:val="00F26EA4"/>
    <w:rsid w:val="00F26F7B"/>
    <w:rsid w:val="00F27106"/>
    <w:rsid w:val="00F2763A"/>
    <w:rsid w:val="00F2783C"/>
    <w:rsid w:val="00F27A9D"/>
    <w:rsid w:val="00F27E17"/>
    <w:rsid w:val="00F303B8"/>
    <w:rsid w:val="00F3071D"/>
    <w:rsid w:val="00F3084E"/>
    <w:rsid w:val="00F308EF"/>
    <w:rsid w:val="00F30BFB"/>
    <w:rsid w:val="00F31039"/>
    <w:rsid w:val="00F311B2"/>
    <w:rsid w:val="00F3148A"/>
    <w:rsid w:val="00F31687"/>
    <w:rsid w:val="00F3179D"/>
    <w:rsid w:val="00F319B4"/>
    <w:rsid w:val="00F3200B"/>
    <w:rsid w:val="00F3251E"/>
    <w:rsid w:val="00F32572"/>
    <w:rsid w:val="00F32CF3"/>
    <w:rsid w:val="00F32DF4"/>
    <w:rsid w:val="00F3347C"/>
    <w:rsid w:val="00F336F6"/>
    <w:rsid w:val="00F33BB7"/>
    <w:rsid w:val="00F34022"/>
    <w:rsid w:val="00F34B8D"/>
    <w:rsid w:val="00F34E2E"/>
    <w:rsid w:val="00F353C8"/>
    <w:rsid w:val="00F355E1"/>
    <w:rsid w:val="00F3566C"/>
    <w:rsid w:val="00F35A3B"/>
    <w:rsid w:val="00F35AB3"/>
    <w:rsid w:val="00F35EDC"/>
    <w:rsid w:val="00F35F53"/>
    <w:rsid w:val="00F360B6"/>
    <w:rsid w:val="00F3642F"/>
    <w:rsid w:val="00F3648E"/>
    <w:rsid w:val="00F3660D"/>
    <w:rsid w:val="00F366BE"/>
    <w:rsid w:val="00F36820"/>
    <w:rsid w:val="00F36A66"/>
    <w:rsid w:val="00F36CF3"/>
    <w:rsid w:val="00F36D35"/>
    <w:rsid w:val="00F37032"/>
    <w:rsid w:val="00F37546"/>
    <w:rsid w:val="00F375C2"/>
    <w:rsid w:val="00F37C9E"/>
    <w:rsid w:val="00F40959"/>
    <w:rsid w:val="00F409D9"/>
    <w:rsid w:val="00F416A3"/>
    <w:rsid w:val="00F417CD"/>
    <w:rsid w:val="00F41B7F"/>
    <w:rsid w:val="00F41D48"/>
    <w:rsid w:val="00F41E51"/>
    <w:rsid w:val="00F42B37"/>
    <w:rsid w:val="00F42D30"/>
    <w:rsid w:val="00F42D6A"/>
    <w:rsid w:val="00F43296"/>
    <w:rsid w:val="00F43382"/>
    <w:rsid w:val="00F4368D"/>
    <w:rsid w:val="00F43791"/>
    <w:rsid w:val="00F43AC0"/>
    <w:rsid w:val="00F43ED7"/>
    <w:rsid w:val="00F44074"/>
    <w:rsid w:val="00F4430E"/>
    <w:rsid w:val="00F44569"/>
    <w:rsid w:val="00F4462A"/>
    <w:rsid w:val="00F44662"/>
    <w:rsid w:val="00F44881"/>
    <w:rsid w:val="00F44A7D"/>
    <w:rsid w:val="00F44ABF"/>
    <w:rsid w:val="00F450B7"/>
    <w:rsid w:val="00F45131"/>
    <w:rsid w:val="00F4538C"/>
    <w:rsid w:val="00F45635"/>
    <w:rsid w:val="00F4586C"/>
    <w:rsid w:val="00F458A5"/>
    <w:rsid w:val="00F45ADD"/>
    <w:rsid w:val="00F4601D"/>
    <w:rsid w:val="00F460BD"/>
    <w:rsid w:val="00F463DC"/>
    <w:rsid w:val="00F468D6"/>
    <w:rsid w:val="00F46C27"/>
    <w:rsid w:val="00F46E3E"/>
    <w:rsid w:val="00F47019"/>
    <w:rsid w:val="00F47070"/>
    <w:rsid w:val="00F47128"/>
    <w:rsid w:val="00F474E2"/>
    <w:rsid w:val="00F475C7"/>
    <w:rsid w:val="00F47AB4"/>
    <w:rsid w:val="00F47AF8"/>
    <w:rsid w:val="00F47B21"/>
    <w:rsid w:val="00F47DE9"/>
    <w:rsid w:val="00F47E28"/>
    <w:rsid w:val="00F50062"/>
    <w:rsid w:val="00F5029B"/>
    <w:rsid w:val="00F50978"/>
    <w:rsid w:val="00F50BC8"/>
    <w:rsid w:val="00F50D91"/>
    <w:rsid w:val="00F51B2D"/>
    <w:rsid w:val="00F51D60"/>
    <w:rsid w:val="00F520A3"/>
    <w:rsid w:val="00F522E2"/>
    <w:rsid w:val="00F5248D"/>
    <w:rsid w:val="00F525D8"/>
    <w:rsid w:val="00F532D2"/>
    <w:rsid w:val="00F53A65"/>
    <w:rsid w:val="00F53C08"/>
    <w:rsid w:val="00F53C0A"/>
    <w:rsid w:val="00F53C53"/>
    <w:rsid w:val="00F53D0D"/>
    <w:rsid w:val="00F53DA5"/>
    <w:rsid w:val="00F543F0"/>
    <w:rsid w:val="00F546FA"/>
    <w:rsid w:val="00F547B2"/>
    <w:rsid w:val="00F549CF"/>
    <w:rsid w:val="00F54AD7"/>
    <w:rsid w:val="00F54C73"/>
    <w:rsid w:val="00F54DD2"/>
    <w:rsid w:val="00F54FC5"/>
    <w:rsid w:val="00F54FD8"/>
    <w:rsid w:val="00F551AE"/>
    <w:rsid w:val="00F5542D"/>
    <w:rsid w:val="00F554B2"/>
    <w:rsid w:val="00F55547"/>
    <w:rsid w:val="00F55855"/>
    <w:rsid w:val="00F55916"/>
    <w:rsid w:val="00F55A73"/>
    <w:rsid w:val="00F55B59"/>
    <w:rsid w:val="00F55DFD"/>
    <w:rsid w:val="00F55E00"/>
    <w:rsid w:val="00F560D5"/>
    <w:rsid w:val="00F56373"/>
    <w:rsid w:val="00F56393"/>
    <w:rsid w:val="00F56442"/>
    <w:rsid w:val="00F56E55"/>
    <w:rsid w:val="00F56E63"/>
    <w:rsid w:val="00F56F2A"/>
    <w:rsid w:val="00F57592"/>
    <w:rsid w:val="00F575BA"/>
    <w:rsid w:val="00F57838"/>
    <w:rsid w:val="00F57BC5"/>
    <w:rsid w:val="00F603E5"/>
    <w:rsid w:val="00F60852"/>
    <w:rsid w:val="00F60929"/>
    <w:rsid w:val="00F609B9"/>
    <w:rsid w:val="00F60BE7"/>
    <w:rsid w:val="00F60C39"/>
    <w:rsid w:val="00F61604"/>
    <w:rsid w:val="00F61885"/>
    <w:rsid w:val="00F620AA"/>
    <w:rsid w:val="00F6236D"/>
    <w:rsid w:val="00F62B9B"/>
    <w:rsid w:val="00F62C80"/>
    <w:rsid w:val="00F62FCE"/>
    <w:rsid w:val="00F63367"/>
    <w:rsid w:val="00F635F6"/>
    <w:rsid w:val="00F636B9"/>
    <w:rsid w:val="00F63869"/>
    <w:rsid w:val="00F63C10"/>
    <w:rsid w:val="00F63EC3"/>
    <w:rsid w:val="00F64808"/>
    <w:rsid w:val="00F64C99"/>
    <w:rsid w:val="00F64E6B"/>
    <w:rsid w:val="00F64FB8"/>
    <w:rsid w:val="00F65238"/>
    <w:rsid w:val="00F6528D"/>
    <w:rsid w:val="00F654D2"/>
    <w:rsid w:val="00F65513"/>
    <w:rsid w:val="00F658AA"/>
    <w:rsid w:val="00F65AB3"/>
    <w:rsid w:val="00F65E37"/>
    <w:rsid w:val="00F65E69"/>
    <w:rsid w:val="00F66053"/>
    <w:rsid w:val="00F6613C"/>
    <w:rsid w:val="00F6655C"/>
    <w:rsid w:val="00F6706B"/>
    <w:rsid w:val="00F67159"/>
    <w:rsid w:val="00F6720F"/>
    <w:rsid w:val="00F672E3"/>
    <w:rsid w:val="00F67375"/>
    <w:rsid w:val="00F67638"/>
    <w:rsid w:val="00F67829"/>
    <w:rsid w:val="00F679BF"/>
    <w:rsid w:val="00F67BC1"/>
    <w:rsid w:val="00F67D81"/>
    <w:rsid w:val="00F67DD7"/>
    <w:rsid w:val="00F67E44"/>
    <w:rsid w:val="00F67F81"/>
    <w:rsid w:val="00F67F9E"/>
    <w:rsid w:val="00F70338"/>
    <w:rsid w:val="00F707F1"/>
    <w:rsid w:val="00F70DF0"/>
    <w:rsid w:val="00F712DA"/>
    <w:rsid w:val="00F71711"/>
    <w:rsid w:val="00F7205C"/>
    <w:rsid w:val="00F72186"/>
    <w:rsid w:val="00F721DA"/>
    <w:rsid w:val="00F7248C"/>
    <w:rsid w:val="00F72759"/>
    <w:rsid w:val="00F727A3"/>
    <w:rsid w:val="00F72868"/>
    <w:rsid w:val="00F728B8"/>
    <w:rsid w:val="00F72B33"/>
    <w:rsid w:val="00F73048"/>
    <w:rsid w:val="00F7371A"/>
    <w:rsid w:val="00F738E7"/>
    <w:rsid w:val="00F73950"/>
    <w:rsid w:val="00F73BD5"/>
    <w:rsid w:val="00F74039"/>
    <w:rsid w:val="00F7488E"/>
    <w:rsid w:val="00F74A6E"/>
    <w:rsid w:val="00F74AAD"/>
    <w:rsid w:val="00F74AC2"/>
    <w:rsid w:val="00F74C22"/>
    <w:rsid w:val="00F75321"/>
    <w:rsid w:val="00F755E1"/>
    <w:rsid w:val="00F757BC"/>
    <w:rsid w:val="00F758B6"/>
    <w:rsid w:val="00F75F9C"/>
    <w:rsid w:val="00F7632E"/>
    <w:rsid w:val="00F76946"/>
    <w:rsid w:val="00F769FE"/>
    <w:rsid w:val="00F76DC1"/>
    <w:rsid w:val="00F76DF8"/>
    <w:rsid w:val="00F7759D"/>
    <w:rsid w:val="00F77820"/>
    <w:rsid w:val="00F77871"/>
    <w:rsid w:val="00F77CF2"/>
    <w:rsid w:val="00F80584"/>
    <w:rsid w:val="00F805CD"/>
    <w:rsid w:val="00F806EF"/>
    <w:rsid w:val="00F8099E"/>
    <w:rsid w:val="00F809BD"/>
    <w:rsid w:val="00F80B38"/>
    <w:rsid w:val="00F81359"/>
    <w:rsid w:val="00F81678"/>
    <w:rsid w:val="00F816D1"/>
    <w:rsid w:val="00F81B3A"/>
    <w:rsid w:val="00F81BB5"/>
    <w:rsid w:val="00F81CD6"/>
    <w:rsid w:val="00F81D47"/>
    <w:rsid w:val="00F81DAB"/>
    <w:rsid w:val="00F81F4D"/>
    <w:rsid w:val="00F81F88"/>
    <w:rsid w:val="00F82F71"/>
    <w:rsid w:val="00F83283"/>
    <w:rsid w:val="00F8341D"/>
    <w:rsid w:val="00F83627"/>
    <w:rsid w:val="00F83682"/>
    <w:rsid w:val="00F839AB"/>
    <w:rsid w:val="00F83A1B"/>
    <w:rsid w:val="00F84664"/>
    <w:rsid w:val="00F847E1"/>
    <w:rsid w:val="00F84B0D"/>
    <w:rsid w:val="00F853FA"/>
    <w:rsid w:val="00F8574D"/>
    <w:rsid w:val="00F8576A"/>
    <w:rsid w:val="00F859E1"/>
    <w:rsid w:val="00F85A50"/>
    <w:rsid w:val="00F85A94"/>
    <w:rsid w:val="00F85EF1"/>
    <w:rsid w:val="00F861A5"/>
    <w:rsid w:val="00F867DF"/>
    <w:rsid w:val="00F8712C"/>
    <w:rsid w:val="00F874FC"/>
    <w:rsid w:val="00F8777F"/>
    <w:rsid w:val="00F8783D"/>
    <w:rsid w:val="00F87A85"/>
    <w:rsid w:val="00F902C4"/>
    <w:rsid w:val="00F903D0"/>
    <w:rsid w:val="00F907B0"/>
    <w:rsid w:val="00F90E2E"/>
    <w:rsid w:val="00F90EF8"/>
    <w:rsid w:val="00F9139D"/>
    <w:rsid w:val="00F9173C"/>
    <w:rsid w:val="00F918D2"/>
    <w:rsid w:val="00F91B13"/>
    <w:rsid w:val="00F91C3A"/>
    <w:rsid w:val="00F91CD6"/>
    <w:rsid w:val="00F91F66"/>
    <w:rsid w:val="00F92405"/>
    <w:rsid w:val="00F926BB"/>
    <w:rsid w:val="00F92AA5"/>
    <w:rsid w:val="00F92C0E"/>
    <w:rsid w:val="00F933E3"/>
    <w:rsid w:val="00F934AF"/>
    <w:rsid w:val="00F938FB"/>
    <w:rsid w:val="00F93A30"/>
    <w:rsid w:val="00F93A83"/>
    <w:rsid w:val="00F93B9F"/>
    <w:rsid w:val="00F93D4E"/>
    <w:rsid w:val="00F94078"/>
    <w:rsid w:val="00F94482"/>
    <w:rsid w:val="00F9457E"/>
    <w:rsid w:val="00F94AD7"/>
    <w:rsid w:val="00F94DA5"/>
    <w:rsid w:val="00F95727"/>
    <w:rsid w:val="00F9582C"/>
    <w:rsid w:val="00F95F3E"/>
    <w:rsid w:val="00F961AB"/>
    <w:rsid w:val="00F9629B"/>
    <w:rsid w:val="00F968CF"/>
    <w:rsid w:val="00F96B50"/>
    <w:rsid w:val="00F96BF1"/>
    <w:rsid w:val="00F96C59"/>
    <w:rsid w:val="00F96E38"/>
    <w:rsid w:val="00F96E89"/>
    <w:rsid w:val="00F96F89"/>
    <w:rsid w:val="00F978C6"/>
    <w:rsid w:val="00F97A87"/>
    <w:rsid w:val="00F97AB7"/>
    <w:rsid w:val="00F97D33"/>
    <w:rsid w:val="00F97FEF"/>
    <w:rsid w:val="00FA01ED"/>
    <w:rsid w:val="00FA057A"/>
    <w:rsid w:val="00FA0684"/>
    <w:rsid w:val="00FA087F"/>
    <w:rsid w:val="00FA0979"/>
    <w:rsid w:val="00FA0E3C"/>
    <w:rsid w:val="00FA107A"/>
    <w:rsid w:val="00FA177A"/>
    <w:rsid w:val="00FA1A3A"/>
    <w:rsid w:val="00FA1D3C"/>
    <w:rsid w:val="00FA22BB"/>
    <w:rsid w:val="00FA2472"/>
    <w:rsid w:val="00FA276F"/>
    <w:rsid w:val="00FA2D3B"/>
    <w:rsid w:val="00FA317D"/>
    <w:rsid w:val="00FA3327"/>
    <w:rsid w:val="00FA336F"/>
    <w:rsid w:val="00FA343A"/>
    <w:rsid w:val="00FA3731"/>
    <w:rsid w:val="00FA3929"/>
    <w:rsid w:val="00FA3B70"/>
    <w:rsid w:val="00FA3E1C"/>
    <w:rsid w:val="00FA3ECD"/>
    <w:rsid w:val="00FA4A56"/>
    <w:rsid w:val="00FA4B65"/>
    <w:rsid w:val="00FA542A"/>
    <w:rsid w:val="00FA543D"/>
    <w:rsid w:val="00FA55DC"/>
    <w:rsid w:val="00FA58B8"/>
    <w:rsid w:val="00FA59C9"/>
    <w:rsid w:val="00FA5D1F"/>
    <w:rsid w:val="00FA5DCF"/>
    <w:rsid w:val="00FA62B6"/>
    <w:rsid w:val="00FA6489"/>
    <w:rsid w:val="00FA64D7"/>
    <w:rsid w:val="00FA64EA"/>
    <w:rsid w:val="00FA67E2"/>
    <w:rsid w:val="00FA6D59"/>
    <w:rsid w:val="00FA71EE"/>
    <w:rsid w:val="00FA73C8"/>
    <w:rsid w:val="00FA7478"/>
    <w:rsid w:val="00FA74D4"/>
    <w:rsid w:val="00FA7550"/>
    <w:rsid w:val="00FA7E7D"/>
    <w:rsid w:val="00FA7F93"/>
    <w:rsid w:val="00FA7FDE"/>
    <w:rsid w:val="00FB033B"/>
    <w:rsid w:val="00FB044B"/>
    <w:rsid w:val="00FB07AF"/>
    <w:rsid w:val="00FB07FF"/>
    <w:rsid w:val="00FB0BC2"/>
    <w:rsid w:val="00FB0E7E"/>
    <w:rsid w:val="00FB1432"/>
    <w:rsid w:val="00FB156B"/>
    <w:rsid w:val="00FB1756"/>
    <w:rsid w:val="00FB17B8"/>
    <w:rsid w:val="00FB184D"/>
    <w:rsid w:val="00FB18AD"/>
    <w:rsid w:val="00FB1A54"/>
    <w:rsid w:val="00FB1B0C"/>
    <w:rsid w:val="00FB1D40"/>
    <w:rsid w:val="00FB20C2"/>
    <w:rsid w:val="00FB2355"/>
    <w:rsid w:val="00FB24D0"/>
    <w:rsid w:val="00FB2849"/>
    <w:rsid w:val="00FB28F0"/>
    <w:rsid w:val="00FB2A13"/>
    <w:rsid w:val="00FB2D39"/>
    <w:rsid w:val="00FB2E83"/>
    <w:rsid w:val="00FB3241"/>
    <w:rsid w:val="00FB336E"/>
    <w:rsid w:val="00FB389B"/>
    <w:rsid w:val="00FB3909"/>
    <w:rsid w:val="00FB3D05"/>
    <w:rsid w:val="00FB3E6C"/>
    <w:rsid w:val="00FB4173"/>
    <w:rsid w:val="00FB4EF8"/>
    <w:rsid w:val="00FB5092"/>
    <w:rsid w:val="00FB5102"/>
    <w:rsid w:val="00FB53FE"/>
    <w:rsid w:val="00FB54C1"/>
    <w:rsid w:val="00FB594F"/>
    <w:rsid w:val="00FB5C1D"/>
    <w:rsid w:val="00FB5F95"/>
    <w:rsid w:val="00FB6156"/>
    <w:rsid w:val="00FB626F"/>
    <w:rsid w:val="00FB6825"/>
    <w:rsid w:val="00FB6CC5"/>
    <w:rsid w:val="00FB6DBF"/>
    <w:rsid w:val="00FB7191"/>
    <w:rsid w:val="00FB79BF"/>
    <w:rsid w:val="00FB7B56"/>
    <w:rsid w:val="00FB7B59"/>
    <w:rsid w:val="00FB7EA7"/>
    <w:rsid w:val="00FC0174"/>
    <w:rsid w:val="00FC05B6"/>
    <w:rsid w:val="00FC0672"/>
    <w:rsid w:val="00FC07DE"/>
    <w:rsid w:val="00FC0839"/>
    <w:rsid w:val="00FC08E1"/>
    <w:rsid w:val="00FC0940"/>
    <w:rsid w:val="00FC0D18"/>
    <w:rsid w:val="00FC0DBE"/>
    <w:rsid w:val="00FC0EBF"/>
    <w:rsid w:val="00FC1F5A"/>
    <w:rsid w:val="00FC1FB6"/>
    <w:rsid w:val="00FC2009"/>
    <w:rsid w:val="00FC2105"/>
    <w:rsid w:val="00FC247D"/>
    <w:rsid w:val="00FC290E"/>
    <w:rsid w:val="00FC2AA5"/>
    <w:rsid w:val="00FC2AB7"/>
    <w:rsid w:val="00FC2EC7"/>
    <w:rsid w:val="00FC3333"/>
    <w:rsid w:val="00FC358E"/>
    <w:rsid w:val="00FC3B95"/>
    <w:rsid w:val="00FC3D9E"/>
    <w:rsid w:val="00FC3E12"/>
    <w:rsid w:val="00FC446B"/>
    <w:rsid w:val="00FC45EC"/>
    <w:rsid w:val="00FC466F"/>
    <w:rsid w:val="00FC4683"/>
    <w:rsid w:val="00FC4A3C"/>
    <w:rsid w:val="00FC53FF"/>
    <w:rsid w:val="00FC56A0"/>
    <w:rsid w:val="00FC5F2E"/>
    <w:rsid w:val="00FC5FAF"/>
    <w:rsid w:val="00FC655B"/>
    <w:rsid w:val="00FC65DD"/>
    <w:rsid w:val="00FC6657"/>
    <w:rsid w:val="00FC67B2"/>
    <w:rsid w:val="00FC6D66"/>
    <w:rsid w:val="00FC7141"/>
    <w:rsid w:val="00FC7334"/>
    <w:rsid w:val="00FC7655"/>
    <w:rsid w:val="00FC7BA2"/>
    <w:rsid w:val="00FD0876"/>
    <w:rsid w:val="00FD09FE"/>
    <w:rsid w:val="00FD0B86"/>
    <w:rsid w:val="00FD1091"/>
    <w:rsid w:val="00FD1131"/>
    <w:rsid w:val="00FD1A87"/>
    <w:rsid w:val="00FD1B9B"/>
    <w:rsid w:val="00FD1C74"/>
    <w:rsid w:val="00FD1E69"/>
    <w:rsid w:val="00FD218A"/>
    <w:rsid w:val="00FD2217"/>
    <w:rsid w:val="00FD22FD"/>
    <w:rsid w:val="00FD23FE"/>
    <w:rsid w:val="00FD2747"/>
    <w:rsid w:val="00FD2881"/>
    <w:rsid w:val="00FD2894"/>
    <w:rsid w:val="00FD2925"/>
    <w:rsid w:val="00FD2FF1"/>
    <w:rsid w:val="00FD3083"/>
    <w:rsid w:val="00FD31DA"/>
    <w:rsid w:val="00FD31F0"/>
    <w:rsid w:val="00FD3610"/>
    <w:rsid w:val="00FD37CD"/>
    <w:rsid w:val="00FD388F"/>
    <w:rsid w:val="00FD38B0"/>
    <w:rsid w:val="00FD39B2"/>
    <w:rsid w:val="00FD39D3"/>
    <w:rsid w:val="00FD3C17"/>
    <w:rsid w:val="00FD3C8F"/>
    <w:rsid w:val="00FD3DD2"/>
    <w:rsid w:val="00FD3E6E"/>
    <w:rsid w:val="00FD3F32"/>
    <w:rsid w:val="00FD40C9"/>
    <w:rsid w:val="00FD42FA"/>
    <w:rsid w:val="00FD4592"/>
    <w:rsid w:val="00FD45BF"/>
    <w:rsid w:val="00FD461E"/>
    <w:rsid w:val="00FD4821"/>
    <w:rsid w:val="00FD4876"/>
    <w:rsid w:val="00FD4ACC"/>
    <w:rsid w:val="00FD5806"/>
    <w:rsid w:val="00FD59F4"/>
    <w:rsid w:val="00FD615E"/>
    <w:rsid w:val="00FD6230"/>
    <w:rsid w:val="00FD6253"/>
    <w:rsid w:val="00FD6425"/>
    <w:rsid w:val="00FD6EB0"/>
    <w:rsid w:val="00FD6F9E"/>
    <w:rsid w:val="00FD6FF4"/>
    <w:rsid w:val="00FD71D8"/>
    <w:rsid w:val="00FD71F4"/>
    <w:rsid w:val="00FD726A"/>
    <w:rsid w:val="00FD74DC"/>
    <w:rsid w:val="00FD76E0"/>
    <w:rsid w:val="00FD775A"/>
    <w:rsid w:val="00FD78E5"/>
    <w:rsid w:val="00FE0613"/>
    <w:rsid w:val="00FE09ED"/>
    <w:rsid w:val="00FE0C89"/>
    <w:rsid w:val="00FE0FE0"/>
    <w:rsid w:val="00FE13A6"/>
    <w:rsid w:val="00FE1489"/>
    <w:rsid w:val="00FE177B"/>
    <w:rsid w:val="00FE1CA1"/>
    <w:rsid w:val="00FE1EC2"/>
    <w:rsid w:val="00FE1F38"/>
    <w:rsid w:val="00FE216B"/>
    <w:rsid w:val="00FE2E94"/>
    <w:rsid w:val="00FE32E2"/>
    <w:rsid w:val="00FE34BC"/>
    <w:rsid w:val="00FE3651"/>
    <w:rsid w:val="00FE3695"/>
    <w:rsid w:val="00FE37A7"/>
    <w:rsid w:val="00FE3A81"/>
    <w:rsid w:val="00FE3CD1"/>
    <w:rsid w:val="00FE3F93"/>
    <w:rsid w:val="00FE4348"/>
    <w:rsid w:val="00FE47C2"/>
    <w:rsid w:val="00FE51EB"/>
    <w:rsid w:val="00FE54ED"/>
    <w:rsid w:val="00FE576F"/>
    <w:rsid w:val="00FE5995"/>
    <w:rsid w:val="00FE5B55"/>
    <w:rsid w:val="00FE628F"/>
    <w:rsid w:val="00FE631C"/>
    <w:rsid w:val="00FE65E8"/>
    <w:rsid w:val="00FE7749"/>
    <w:rsid w:val="00FE777B"/>
    <w:rsid w:val="00FE77EE"/>
    <w:rsid w:val="00FE79DB"/>
    <w:rsid w:val="00FE7B94"/>
    <w:rsid w:val="00FE7BFC"/>
    <w:rsid w:val="00FF006F"/>
    <w:rsid w:val="00FF0AC6"/>
    <w:rsid w:val="00FF0B22"/>
    <w:rsid w:val="00FF1072"/>
    <w:rsid w:val="00FF12F8"/>
    <w:rsid w:val="00FF132E"/>
    <w:rsid w:val="00FF1B00"/>
    <w:rsid w:val="00FF1CD3"/>
    <w:rsid w:val="00FF2130"/>
    <w:rsid w:val="00FF21E7"/>
    <w:rsid w:val="00FF29D0"/>
    <w:rsid w:val="00FF2A22"/>
    <w:rsid w:val="00FF2E18"/>
    <w:rsid w:val="00FF309F"/>
    <w:rsid w:val="00FF30DE"/>
    <w:rsid w:val="00FF37FC"/>
    <w:rsid w:val="00FF39BA"/>
    <w:rsid w:val="00FF3BD1"/>
    <w:rsid w:val="00FF3D46"/>
    <w:rsid w:val="00FF459E"/>
    <w:rsid w:val="00FF45BA"/>
    <w:rsid w:val="00FF492F"/>
    <w:rsid w:val="00FF4A13"/>
    <w:rsid w:val="00FF4D9D"/>
    <w:rsid w:val="00FF4F40"/>
    <w:rsid w:val="00FF539B"/>
    <w:rsid w:val="00FF587C"/>
    <w:rsid w:val="00FF5C02"/>
    <w:rsid w:val="00FF60A0"/>
    <w:rsid w:val="00FF6397"/>
    <w:rsid w:val="00FF6608"/>
    <w:rsid w:val="00FF66E2"/>
    <w:rsid w:val="00FF6870"/>
    <w:rsid w:val="00FF68B2"/>
    <w:rsid w:val="00FF6951"/>
    <w:rsid w:val="00FF6AA6"/>
    <w:rsid w:val="00FF6FD7"/>
    <w:rsid w:val="00FF71B7"/>
    <w:rsid w:val="00FF735F"/>
    <w:rsid w:val="00FF75BC"/>
    <w:rsid w:val="00FF7A3F"/>
    <w:rsid w:val="01074CA9"/>
    <w:rsid w:val="0110A35B"/>
    <w:rsid w:val="01133E7B"/>
    <w:rsid w:val="01179A92"/>
    <w:rsid w:val="011BA753"/>
    <w:rsid w:val="013859AA"/>
    <w:rsid w:val="0160D570"/>
    <w:rsid w:val="016D4BED"/>
    <w:rsid w:val="0173A39B"/>
    <w:rsid w:val="0175C246"/>
    <w:rsid w:val="01778682"/>
    <w:rsid w:val="0178FB79"/>
    <w:rsid w:val="017A14EE"/>
    <w:rsid w:val="01A5B682"/>
    <w:rsid w:val="01A5EE36"/>
    <w:rsid w:val="01C5EF6C"/>
    <w:rsid w:val="01C86776"/>
    <w:rsid w:val="01D3DD21"/>
    <w:rsid w:val="01D67975"/>
    <w:rsid w:val="01DF704A"/>
    <w:rsid w:val="01E06EBB"/>
    <w:rsid w:val="01F357F7"/>
    <w:rsid w:val="01F84D41"/>
    <w:rsid w:val="01FB6138"/>
    <w:rsid w:val="02068B71"/>
    <w:rsid w:val="0214D7DD"/>
    <w:rsid w:val="0239BA10"/>
    <w:rsid w:val="024170DC"/>
    <w:rsid w:val="02586F8C"/>
    <w:rsid w:val="026B3E09"/>
    <w:rsid w:val="02820C6B"/>
    <w:rsid w:val="0283069E"/>
    <w:rsid w:val="02907E56"/>
    <w:rsid w:val="02A352EB"/>
    <w:rsid w:val="02BB0577"/>
    <w:rsid w:val="02BC1956"/>
    <w:rsid w:val="02C7FB6E"/>
    <w:rsid w:val="02D5BA93"/>
    <w:rsid w:val="02DAAEC0"/>
    <w:rsid w:val="02DD6B80"/>
    <w:rsid w:val="02E0F3CC"/>
    <w:rsid w:val="02E2F40D"/>
    <w:rsid w:val="02F5A813"/>
    <w:rsid w:val="030D4930"/>
    <w:rsid w:val="0315E54F"/>
    <w:rsid w:val="031B0E9F"/>
    <w:rsid w:val="031DAB50"/>
    <w:rsid w:val="03237FB8"/>
    <w:rsid w:val="032B140C"/>
    <w:rsid w:val="0330FE14"/>
    <w:rsid w:val="03344ECE"/>
    <w:rsid w:val="03680532"/>
    <w:rsid w:val="036EBE62"/>
    <w:rsid w:val="03857349"/>
    <w:rsid w:val="03904C65"/>
    <w:rsid w:val="039396FA"/>
    <w:rsid w:val="039C01C6"/>
    <w:rsid w:val="039D5027"/>
    <w:rsid w:val="039DC904"/>
    <w:rsid w:val="03A6AF5E"/>
    <w:rsid w:val="03C36381"/>
    <w:rsid w:val="03C86370"/>
    <w:rsid w:val="03CABECB"/>
    <w:rsid w:val="03E07888"/>
    <w:rsid w:val="03E333E1"/>
    <w:rsid w:val="03E6B7FD"/>
    <w:rsid w:val="03F60100"/>
    <w:rsid w:val="04003315"/>
    <w:rsid w:val="04029290"/>
    <w:rsid w:val="04033AAE"/>
    <w:rsid w:val="041B424A"/>
    <w:rsid w:val="042964C5"/>
    <w:rsid w:val="042A482A"/>
    <w:rsid w:val="04306797"/>
    <w:rsid w:val="043243E9"/>
    <w:rsid w:val="0441D9AD"/>
    <w:rsid w:val="04518CDC"/>
    <w:rsid w:val="0461505A"/>
    <w:rsid w:val="04700E60"/>
    <w:rsid w:val="047CC42D"/>
    <w:rsid w:val="04A68D09"/>
    <w:rsid w:val="04A6F9FC"/>
    <w:rsid w:val="04AF035F"/>
    <w:rsid w:val="04B03E7C"/>
    <w:rsid w:val="04C94420"/>
    <w:rsid w:val="04CAAA17"/>
    <w:rsid w:val="04D54ECE"/>
    <w:rsid w:val="04DF0E12"/>
    <w:rsid w:val="04E5B234"/>
    <w:rsid w:val="04F304D3"/>
    <w:rsid w:val="04F35FEA"/>
    <w:rsid w:val="0501F329"/>
    <w:rsid w:val="050DDA62"/>
    <w:rsid w:val="0513F54C"/>
    <w:rsid w:val="051EA9CA"/>
    <w:rsid w:val="051FCD2E"/>
    <w:rsid w:val="052F369F"/>
    <w:rsid w:val="052FEE03"/>
    <w:rsid w:val="0530A608"/>
    <w:rsid w:val="05391ED3"/>
    <w:rsid w:val="0540C1A3"/>
    <w:rsid w:val="054CA5FD"/>
    <w:rsid w:val="0550ECD3"/>
    <w:rsid w:val="05535DC4"/>
    <w:rsid w:val="05599CA9"/>
    <w:rsid w:val="056740C4"/>
    <w:rsid w:val="056BBE10"/>
    <w:rsid w:val="057AE367"/>
    <w:rsid w:val="059EED06"/>
    <w:rsid w:val="05AB8079"/>
    <w:rsid w:val="05C3C797"/>
    <w:rsid w:val="05DE90F1"/>
    <w:rsid w:val="05E199E4"/>
    <w:rsid w:val="05FC5F54"/>
    <w:rsid w:val="0605365D"/>
    <w:rsid w:val="0611823A"/>
    <w:rsid w:val="06169724"/>
    <w:rsid w:val="0630C622"/>
    <w:rsid w:val="0645AFDE"/>
    <w:rsid w:val="064F651E"/>
    <w:rsid w:val="06582E48"/>
    <w:rsid w:val="0663880B"/>
    <w:rsid w:val="06678F65"/>
    <w:rsid w:val="06708643"/>
    <w:rsid w:val="0672512E"/>
    <w:rsid w:val="0676E838"/>
    <w:rsid w:val="067CEE26"/>
    <w:rsid w:val="0685F7EC"/>
    <w:rsid w:val="06921810"/>
    <w:rsid w:val="069BF992"/>
    <w:rsid w:val="069FE807"/>
    <w:rsid w:val="06A54A06"/>
    <w:rsid w:val="06AA8F13"/>
    <w:rsid w:val="06B46C1F"/>
    <w:rsid w:val="06B7E832"/>
    <w:rsid w:val="06C8A927"/>
    <w:rsid w:val="06CE242B"/>
    <w:rsid w:val="06E7AE25"/>
    <w:rsid w:val="06FA18FE"/>
    <w:rsid w:val="07047CBE"/>
    <w:rsid w:val="071A28FD"/>
    <w:rsid w:val="071EBBED"/>
    <w:rsid w:val="072B9FBF"/>
    <w:rsid w:val="072ED29B"/>
    <w:rsid w:val="072F75BA"/>
    <w:rsid w:val="07557729"/>
    <w:rsid w:val="075D2EFA"/>
    <w:rsid w:val="0763A91E"/>
    <w:rsid w:val="076CDEA6"/>
    <w:rsid w:val="0779BEBC"/>
    <w:rsid w:val="077A5B79"/>
    <w:rsid w:val="078602E5"/>
    <w:rsid w:val="078A43D2"/>
    <w:rsid w:val="078B48A0"/>
    <w:rsid w:val="07901833"/>
    <w:rsid w:val="079B8308"/>
    <w:rsid w:val="07A8C78C"/>
    <w:rsid w:val="07AE6669"/>
    <w:rsid w:val="07B82901"/>
    <w:rsid w:val="07DABB9B"/>
    <w:rsid w:val="07E0B500"/>
    <w:rsid w:val="07EE5885"/>
    <w:rsid w:val="0804117D"/>
    <w:rsid w:val="08232A22"/>
    <w:rsid w:val="082B963B"/>
    <w:rsid w:val="082D28F7"/>
    <w:rsid w:val="082ECBF4"/>
    <w:rsid w:val="08427695"/>
    <w:rsid w:val="0844707A"/>
    <w:rsid w:val="084AACAD"/>
    <w:rsid w:val="0856CFBD"/>
    <w:rsid w:val="085FE3B5"/>
    <w:rsid w:val="0860992D"/>
    <w:rsid w:val="0888D648"/>
    <w:rsid w:val="088969C0"/>
    <w:rsid w:val="088D9871"/>
    <w:rsid w:val="0898AB53"/>
    <w:rsid w:val="089C98F5"/>
    <w:rsid w:val="08AB9D91"/>
    <w:rsid w:val="08AE8023"/>
    <w:rsid w:val="08B5C63E"/>
    <w:rsid w:val="08B6ADE9"/>
    <w:rsid w:val="08BC8EFC"/>
    <w:rsid w:val="08C5ECD0"/>
    <w:rsid w:val="08DF6E76"/>
    <w:rsid w:val="08E9B1CC"/>
    <w:rsid w:val="08ED50A7"/>
    <w:rsid w:val="08EE0F6E"/>
    <w:rsid w:val="08F96C12"/>
    <w:rsid w:val="091B6276"/>
    <w:rsid w:val="091C2A81"/>
    <w:rsid w:val="092CB9A7"/>
    <w:rsid w:val="092CE014"/>
    <w:rsid w:val="0939FE37"/>
    <w:rsid w:val="094EE018"/>
    <w:rsid w:val="09652100"/>
    <w:rsid w:val="096AEA8D"/>
    <w:rsid w:val="09701609"/>
    <w:rsid w:val="09722594"/>
    <w:rsid w:val="09759345"/>
    <w:rsid w:val="0983AF9F"/>
    <w:rsid w:val="0985D43F"/>
    <w:rsid w:val="098DB544"/>
    <w:rsid w:val="0993B57C"/>
    <w:rsid w:val="0995240C"/>
    <w:rsid w:val="099B7246"/>
    <w:rsid w:val="09BE630B"/>
    <w:rsid w:val="09BF6ED4"/>
    <w:rsid w:val="09C07716"/>
    <w:rsid w:val="09C0DD80"/>
    <w:rsid w:val="09C418A9"/>
    <w:rsid w:val="09CFFC80"/>
    <w:rsid w:val="09E01011"/>
    <w:rsid w:val="09E35E4E"/>
    <w:rsid w:val="0A1CEBBD"/>
    <w:rsid w:val="0A25D417"/>
    <w:rsid w:val="0A26FD16"/>
    <w:rsid w:val="0A3AA3E9"/>
    <w:rsid w:val="0A3D959B"/>
    <w:rsid w:val="0A420371"/>
    <w:rsid w:val="0A5217EC"/>
    <w:rsid w:val="0A566020"/>
    <w:rsid w:val="0A63548F"/>
    <w:rsid w:val="0A68BF8B"/>
    <w:rsid w:val="0A6D94DB"/>
    <w:rsid w:val="0A846E66"/>
    <w:rsid w:val="0AA5BF6B"/>
    <w:rsid w:val="0AB20214"/>
    <w:rsid w:val="0AC0A217"/>
    <w:rsid w:val="0AC0E006"/>
    <w:rsid w:val="0AC37029"/>
    <w:rsid w:val="0ACA03DF"/>
    <w:rsid w:val="0AD737D9"/>
    <w:rsid w:val="0AE28063"/>
    <w:rsid w:val="0AECE6BF"/>
    <w:rsid w:val="0AF85A68"/>
    <w:rsid w:val="0B00B94A"/>
    <w:rsid w:val="0B02B020"/>
    <w:rsid w:val="0B295E17"/>
    <w:rsid w:val="0B2E8919"/>
    <w:rsid w:val="0B3D6C0C"/>
    <w:rsid w:val="0B3DF3D4"/>
    <w:rsid w:val="0B4048E9"/>
    <w:rsid w:val="0B4052E1"/>
    <w:rsid w:val="0B6FE0D2"/>
    <w:rsid w:val="0B917065"/>
    <w:rsid w:val="0B92A3C3"/>
    <w:rsid w:val="0B93FA72"/>
    <w:rsid w:val="0B9C9141"/>
    <w:rsid w:val="0BA4FCE8"/>
    <w:rsid w:val="0BA71D0D"/>
    <w:rsid w:val="0BAEFCCC"/>
    <w:rsid w:val="0BB227A3"/>
    <w:rsid w:val="0BC392F1"/>
    <w:rsid w:val="0BCBFE41"/>
    <w:rsid w:val="0BD4A8FD"/>
    <w:rsid w:val="0BD4EE05"/>
    <w:rsid w:val="0BEE2F8F"/>
    <w:rsid w:val="0C020B62"/>
    <w:rsid w:val="0C167927"/>
    <w:rsid w:val="0C1FF0BE"/>
    <w:rsid w:val="0C21421B"/>
    <w:rsid w:val="0C29E8E4"/>
    <w:rsid w:val="0C2ED2CD"/>
    <w:rsid w:val="0C3598FB"/>
    <w:rsid w:val="0C399E63"/>
    <w:rsid w:val="0C420909"/>
    <w:rsid w:val="0C5060AE"/>
    <w:rsid w:val="0C541015"/>
    <w:rsid w:val="0C61165F"/>
    <w:rsid w:val="0C643C09"/>
    <w:rsid w:val="0C6C453E"/>
    <w:rsid w:val="0C7A7E58"/>
    <w:rsid w:val="0C874B23"/>
    <w:rsid w:val="0C8A0772"/>
    <w:rsid w:val="0C9B2C6F"/>
    <w:rsid w:val="0CB918C9"/>
    <w:rsid w:val="0CCB4602"/>
    <w:rsid w:val="0CD3339E"/>
    <w:rsid w:val="0CE40EFC"/>
    <w:rsid w:val="0CE43B7F"/>
    <w:rsid w:val="0CF9DAE3"/>
    <w:rsid w:val="0CFEA520"/>
    <w:rsid w:val="0CFF1AD0"/>
    <w:rsid w:val="0D104B51"/>
    <w:rsid w:val="0D23EDDE"/>
    <w:rsid w:val="0D31AAB3"/>
    <w:rsid w:val="0D31C1A8"/>
    <w:rsid w:val="0D377036"/>
    <w:rsid w:val="0D38A9BE"/>
    <w:rsid w:val="0D3C2CFD"/>
    <w:rsid w:val="0D51FA4C"/>
    <w:rsid w:val="0D598650"/>
    <w:rsid w:val="0D5DE560"/>
    <w:rsid w:val="0D604824"/>
    <w:rsid w:val="0D62B5F4"/>
    <w:rsid w:val="0D68A365"/>
    <w:rsid w:val="0D6D6DCA"/>
    <w:rsid w:val="0D78C888"/>
    <w:rsid w:val="0D8F4811"/>
    <w:rsid w:val="0D90709A"/>
    <w:rsid w:val="0D93282C"/>
    <w:rsid w:val="0D9F966C"/>
    <w:rsid w:val="0DAE6F66"/>
    <w:rsid w:val="0DB0B2C7"/>
    <w:rsid w:val="0DC25BB2"/>
    <w:rsid w:val="0DD8FB20"/>
    <w:rsid w:val="0DD912F6"/>
    <w:rsid w:val="0DD957C2"/>
    <w:rsid w:val="0DDFB21E"/>
    <w:rsid w:val="0DE5F2EA"/>
    <w:rsid w:val="0DEE9CC3"/>
    <w:rsid w:val="0DF8520B"/>
    <w:rsid w:val="0DFD7F05"/>
    <w:rsid w:val="0E07CEF8"/>
    <w:rsid w:val="0E0C923B"/>
    <w:rsid w:val="0E13FEE0"/>
    <w:rsid w:val="0E1B8A20"/>
    <w:rsid w:val="0E1D8918"/>
    <w:rsid w:val="0E2BE7FA"/>
    <w:rsid w:val="0E35F040"/>
    <w:rsid w:val="0E6D41FE"/>
    <w:rsid w:val="0E70903E"/>
    <w:rsid w:val="0E7B9BF5"/>
    <w:rsid w:val="0E7D6267"/>
    <w:rsid w:val="0E8A3064"/>
    <w:rsid w:val="0E8EC811"/>
    <w:rsid w:val="0EB02973"/>
    <w:rsid w:val="0EB840FF"/>
    <w:rsid w:val="0EBCDB74"/>
    <w:rsid w:val="0EC129DE"/>
    <w:rsid w:val="0EC67A19"/>
    <w:rsid w:val="0ED284F2"/>
    <w:rsid w:val="0EDA115D"/>
    <w:rsid w:val="0EDEB46D"/>
    <w:rsid w:val="0EE361DB"/>
    <w:rsid w:val="0EE39E74"/>
    <w:rsid w:val="0EEC66AA"/>
    <w:rsid w:val="0EF9685D"/>
    <w:rsid w:val="0EFE8655"/>
    <w:rsid w:val="0F01B75B"/>
    <w:rsid w:val="0F12889C"/>
    <w:rsid w:val="0F163A2C"/>
    <w:rsid w:val="0F1DCD21"/>
    <w:rsid w:val="0F216CBC"/>
    <w:rsid w:val="0F23E0C3"/>
    <w:rsid w:val="0F33C8A4"/>
    <w:rsid w:val="0F493756"/>
    <w:rsid w:val="0F52BE05"/>
    <w:rsid w:val="0F5FFD95"/>
    <w:rsid w:val="0F63423A"/>
    <w:rsid w:val="0F63BBE3"/>
    <w:rsid w:val="0F6B20DE"/>
    <w:rsid w:val="0F6CD668"/>
    <w:rsid w:val="0F8F7098"/>
    <w:rsid w:val="0F9069B0"/>
    <w:rsid w:val="0FB58438"/>
    <w:rsid w:val="0FD5E200"/>
    <w:rsid w:val="0FD7912E"/>
    <w:rsid w:val="0FE0F6DE"/>
    <w:rsid w:val="0FFAD651"/>
    <w:rsid w:val="1009BBF2"/>
    <w:rsid w:val="10164604"/>
    <w:rsid w:val="10258533"/>
    <w:rsid w:val="103B0869"/>
    <w:rsid w:val="104FB893"/>
    <w:rsid w:val="105203B4"/>
    <w:rsid w:val="1053D04D"/>
    <w:rsid w:val="106432D3"/>
    <w:rsid w:val="10661F89"/>
    <w:rsid w:val="106B332F"/>
    <w:rsid w:val="106F771E"/>
    <w:rsid w:val="10711D3A"/>
    <w:rsid w:val="10726ACB"/>
    <w:rsid w:val="1072E21C"/>
    <w:rsid w:val="1081CD22"/>
    <w:rsid w:val="108DBE1B"/>
    <w:rsid w:val="1098A894"/>
    <w:rsid w:val="1099233C"/>
    <w:rsid w:val="10AD2A69"/>
    <w:rsid w:val="10C02EE0"/>
    <w:rsid w:val="10D9443C"/>
    <w:rsid w:val="10DC74F2"/>
    <w:rsid w:val="10EEFE71"/>
    <w:rsid w:val="1102A352"/>
    <w:rsid w:val="1106D5C9"/>
    <w:rsid w:val="1118D6D0"/>
    <w:rsid w:val="112BFE91"/>
    <w:rsid w:val="113E744F"/>
    <w:rsid w:val="11481962"/>
    <w:rsid w:val="1148C6D5"/>
    <w:rsid w:val="1148E594"/>
    <w:rsid w:val="114D3B40"/>
    <w:rsid w:val="11548EF0"/>
    <w:rsid w:val="1165B2E9"/>
    <w:rsid w:val="11679BEC"/>
    <w:rsid w:val="117E6CBD"/>
    <w:rsid w:val="1181EDA2"/>
    <w:rsid w:val="118E75A1"/>
    <w:rsid w:val="1190862A"/>
    <w:rsid w:val="11932CEB"/>
    <w:rsid w:val="11942C9E"/>
    <w:rsid w:val="11A15656"/>
    <w:rsid w:val="11A2AA9F"/>
    <w:rsid w:val="11A5569A"/>
    <w:rsid w:val="11AB2573"/>
    <w:rsid w:val="11B75035"/>
    <w:rsid w:val="11B80B11"/>
    <w:rsid w:val="11BA51F2"/>
    <w:rsid w:val="11C63E6E"/>
    <w:rsid w:val="11CA0F4C"/>
    <w:rsid w:val="11DB751F"/>
    <w:rsid w:val="11E60D6F"/>
    <w:rsid w:val="11F07C8C"/>
    <w:rsid w:val="11F47C36"/>
    <w:rsid w:val="1220569E"/>
    <w:rsid w:val="1222900E"/>
    <w:rsid w:val="1236243E"/>
    <w:rsid w:val="123977D9"/>
    <w:rsid w:val="123C4586"/>
    <w:rsid w:val="123CF53F"/>
    <w:rsid w:val="1243055D"/>
    <w:rsid w:val="12430759"/>
    <w:rsid w:val="1244C144"/>
    <w:rsid w:val="128BFB49"/>
    <w:rsid w:val="128F35AC"/>
    <w:rsid w:val="12925D31"/>
    <w:rsid w:val="12978976"/>
    <w:rsid w:val="129EB9D4"/>
    <w:rsid w:val="12A4772A"/>
    <w:rsid w:val="12AA1D3E"/>
    <w:rsid w:val="12B0B315"/>
    <w:rsid w:val="12C3412C"/>
    <w:rsid w:val="12EC8AB0"/>
    <w:rsid w:val="12F03137"/>
    <w:rsid w:val="1307DD1A"/>
    <w:rsid w:val="131C6CDE"/>
    <w:rsid w:val="132914D4"/>
    <w:rsid w:val="1332B33B"/>
    <w:rsid w:val="1332D6EA"/>
    <w:rsid w:val="133E5FB0"/>
    <w:rsid w:val="13411A08"/>
    <w:rsid w:val="134291DB"/>
    <w:rsid w:val="1343F0DF"/>
    <w:rsid w:val="134994DB"/>
    <w:rsid w:val="135091D3"/>
    <w:rsid w:val="136FCFFB"/>
    <w:rsid w:val="13723A20"/>
    <w:rsid w:val="13753CDD"/>
    <w:rsid w:val="1380EDC1"/>
    <w:rsid w:val="138A0ED0"/>
    <w:rsid w:val="139A35AA"/>
    <w:rsid w:val="13A348EA"/>
    <w:rsid w:val="13AA3E42"/>
    <w:rsid w:val="13AE3BDE"/>
    <w:rsid w:val="13BCA4E5"/>
    <w:rsid w:val="13E37251"/>
    <w:rsid w:val="13E7B35B"/>
    <w:rsid w:val="13F9DBA6"/>
    <w:rsid w:val="13FB3675"/>
    <w:rsid w:val="1408A397"/>
    <w:rsid w:val="14099A97"/>
    <w:rsid w:val="141505CA"/>
    <w:rsid w:val="141AAA00"/>
    <w:rsid w:val="142582F0"/>
    <w:rsid w:val="142B060D"/>
    <w:rsid w:val="14457E74"/>
    <w:rsid w:val="1463940B"/>
    <w:rsid w:val="1467AD47"/>
    <w:rsid w:val="1468DBC6"/>
    <w:rsid w:val="146A09A5"/>
    <w:rsid w:val="1488B2EB"/>
    <w:rsid w:val="1495A91A"/>
    <w:rsid w:val="1499D790"/>
    <w:rsid w:val="149EDF86"/>
    <w:rsid w:val="14A47097"/>
    <w:rsid w:val="14C5B8D9"/>
    <w:rsid w:val="14C790DA"/>
    <w:rsid w:val="14CDFF9D"/>
    <w:rsid w:val="14DD421F"/>
    <w:rsid w:val="14EAD3DF"/>
    <w:rsid w:val="14FA4ED4"/>
    <w:rsid w:val="1514A0D6"/>
    <w:rsid w:val="1514D171"/>
    <w:rsid w:val="15308316"/>
    <w:rsid w:val="1531EAE1"/>
    <w:rsid w:val="1535A7F0"/>
    <w:rsid w:val="1535DECB"/>
    <w:rsid w:val="1547811C"/>
    <w:rsid w:val="154ED14D"/>
    <w:rsid w:val="155AB8F1"/>
    <w:rsid w:val="1578CF68"/>
    <w:rsid w:val="159089F7"/>
    <w:rsid w:val="159C13A6"/>
    <w:rsid w:val="15B7A2CD"/>
    <w:rsid w:val="15C45115"/>
    <w:rsid w:val="15C4D162"/>
    <w:rsid w:val="15CA29C5"/>
    <w:rsid w:val="15CC636C"/>
    <w:rsid w:val="15D60B14"/>
    <w:rsid w:val="15DD5E6A"/>
    <w:rsid w:val="15E17115"/>
    <w:rsid w:val="15E9DAFB"/>
    <w:rsid w:val="16003FBB"/>
    <w:rsid w:val="16019A80"/>
    <w:rsid w:val="160482BE"/>
    <w:rsid w:val="1611B302"/>
    <w:rsid w:val="16134EF3"/>
    <w:rsid w:val="1619E520"/>
    <w:rsid w:val="16284886"/>
    <w:rsid w:val="16289087"/>
    <w:rsid w:val="16398FF4"/>
    <w:rsid w:val="16490A4A"/>
    <w:rsid w:val="164D8E69"/>
    <w:rsid w:val="164E5563"/>
    <w:rsid w:val="1650108A"/>
    <w:rsid w:val="1656CA15"/>
    <w:rsid w:val="16617325"/>
    <w:rsid w:val="16658396"/>
    <w:rsid w:val="1673C4B5"/>
    <w:rsid w:val="1675B361"/>
    <w:rsid w:val="16826DAE"/>
    <w:rsid w:val="16A31734"/>
    <w:rsid w:val="16B2A061"/>
    <w:rsid w:val="16B86F05"/>
    <w:rsid w:val="16C78C13"/>
    <w:rsid w:val="16D4E3EE"/>
    <w:rsid w:val="16D8048F"/>
    <w:rsid w:val="16EC615B"/>
    <w:rsid w:val="170294A4"/>
    <w:rsid w:val="17040894"/>
    <w:rsid w:val="17065D89"/>
    <w:rsid w:val="17119432"/>
    <w:rsid w:val="171D9A81"/>
    <w:rsid w:val="171E57D2"/>
    <w:rsid w:val="1734C518"/>
    <w:rsid w:val="1739C930"/>
    <w:rsid w:val="17460F43"/>
    <w:rsid w:val="1762A03A"/>
    <w:rsid w:val="1763769E"/>
    <w:rsid w:val="1768D588"/>
    <w:rsid w:val="177948C3"/>
    <w:rsid w:val="177C3632"/>
    <w:rsid w:val="178A2025"/>
    <w:rsid w:val="1796D9FD"/>
    <w:rsid w:val="179962BE"/>
    <w:rsid w:val="179BCC13"/>
    <w:rsid w:val="17AC1602"/>
    <w:rsid w:val="17B31FC7"/>
    <w:rsid w:val="17C52A36"/>
    <w:rsid w:val="17CB63EB"/>
    <w:rsid w:val="17CDFB90"/>
    <w:rsid w:val="17D0DF7C"/>
    <w:rsid w:val="17E98755"/>
    <w:rsid w:val="17F5A9DA"/>
    <w:rsid w:val="17FDCB5D"/>
    <w:rsid w:val="18018610"/>
    <w:rsid w:val="1808E33D"/>
    <w:rsid w:val="180A1E3F"/>
    <w:rsid w:val="180DC0CF"/>
    <w:rsid w:val="182ED80A"/>
    <w:rsid w:val="1852D71F"/>
    <w:rsid w:val="1858C51F"/>
    <w:rsid w:val="1858CDB5"/>
    <w:rsid w:val="18593F22"/>
    <w:rsid w:val="186BA8C8"/>
    <w:rsid w:val="186FF9A5"/>
    <w:rsid w:val="18760921"/>
    <w:rsid w:val="187DFEBC"/>
    <w:rsid w:val="18981FED"/>
    <w:rsid w:val="189DCA1F"/>
    <w:rsid w:val="18B03655"/>
    <w:rsid w:val="18D48502"/>
    <w:rsid w:val="18DA48DD"/>
    <w:rsid w:val="18E149E1"/>
    <w:rsid w:val="18E9309A"/>
    <w:rsid w:val="18FE546D"/>
    <w:rsid w:val="1902F8EC"/>
    <w:rsid w:val="191168D4"/>
    <w:rsid w:val="1916EFE4"/>
    <w:rsid w:val="194173DD"/>
    <w:rsid w:val="194BD648"/>
    <w:rsid w:val="19549324"/>
    <w:rsid w:val="1969764C"/>
    <w:rsid w:val="196C7D97"/>
    <w:rsid w:val="196DE5D0"/>
    <w:rsid w:val="196F1F58"/>
    <w:rsid w:val="19827660"/>
    <w:rsid w:val="19880AE6"/>
    <w:rsid w:val="19992B8E"/>
    <w:rsid w:val="199A9C04"/>
    <w:rsid w:val="199B2792"/>
    <w:rsid w:val="199E6258"/>
    <w:rsid w:val="199EB53B"/>
    <w:rsid w:val="19A6F2FE"/>
    <w:rsid w:val="19BDB02B"/>
    <w:rsid w:val="19C1C189"/>
    <w:rsid w:val="19D7A35A"/>
    <w:rsid w:val="19D9275A"/>
    <w:rsid w:val="19DD727C"/>
    <w:rsid w:val="19EAFDD3"/>
    <w:rsid w:val="19F0CCD1"/>
    <w:rsid w:val="1A083B0A"/>
    <w:rsid w:val="1A14AE43"/>
    <w:rsid w:val="1A18C652"/>
    <w:rsid w:val="1A4B38F3"/>
    <w:rsid w:val="1A5D597C"/>
    <w:rsid w:val="1A637E79"/>
    <w:rsid w:val="1A7169F2"/>
    <w:rsid w:val="1A7A139A"/>
    <w:rsid w:val="1A90D2D3"/>
    <w:rsid w:val="1A9BBB26"/>
    <w:rsid w:val="1AC15C2A"/>
    <w:rsid w:val="1ACA1692"/>
    <w:rsid w:val="1AE659B4"/>
    <w:rsid w:val="1AF8A7AB"/>
    <w:rsid w:val="1AFD3C42"/>
    <w:rsid w:val="1AFD4D40"/>
    <w:rsid w:val="1B0058CE"/>
    <w:rsid w:val="1B128B37"/>
    <w:rsid w:val="1B17F8E5"/>
    <w:rsid w:val="1B19D652"/>
    <w:rsid w:val="1B2834B9"/>
    <w:rsid w:val="1B2C882D"/>
    <w:rsid w:val="1B3FFF04"/>
    <w:rsid w:val="1B4338AD"/>
    <w:rsid w:val="1B6D540B"/>
    <w:rsid w:val="1B7FF301"/>
    <w:rsid w:val="1B90E281"/>
    <w:rsid w:val="1BA4FCB6"/>
    <w:rsid w:val="1BA90E4A"/>
    <w:rsid w:val="1BB57308"/>
    <w:rsid w:val="1BC03DA7"/>
    <w:rsid w:val="1BCC2EBF"/>
    <w:rsid w:val="1BD055EF"/>
    <w:rsid w:val="1BE3609A"/>
    <w:rsid w:val="1BEBBBC2"/>
    <w:rsid w:val="1BF0D7DA"/>
    <w:rsid w:val="1BF586FE"/>
    <w:rsid w:val="1BFFC11B"/>
    <w:rsid w:val="1C08C98D"/>
    <w:rsid w:val="1C0CE8AD"/>
    <w:rsid w:val="1C0D3A53"/>
    <w:rsid w:val="1C161C02"/>
    <w:rsid w:val="1C19720A"/>
    <w:rsid w:val="1C1C2B4D"/>
    <w:rsid w:val="1C3323FA"/>
    <w:rsid w:val="1C4E2CC7"/>
    <w:rsid w:val="1C4EF190"/>
    <w:rsid w:val="1C53A1B8"/>
    <w:rsid w:val="1C63691B"/>
    <w:rsid w:val="1C7A1D41"/>
    <w:rsid w:val="1C7B1341"/>
    <w:rsid w:val="1C7BA7B6"/>
    <w:rsid w:val="1C829773"/>
    <w:rsid w:val="1CB34449"/>
    <w:rsid w:val="1CBA743D"/>
    <w:rsid w:val="1CBC6D86"/>
    <w:rsid w:val="1CCCE71F"/>
    <w:rsid w:val="1CDA3088"/>
    <w:rsid w:val="1CFB7138"/>
    <w:rsid w:val="1D07143F"/>
    <w:rsid w:val="1D09DED4"/>
    <w:rsid w:val="1D249301"/>
    <w:rsid w:val="1D2B52CC"/>
    <w:rsid w:val="1D31D006"/>
    <w:rsid w:val="1D4676B8"/>
    <w:rsid w:val="1D573F00"/>
    <w:rsid w:val="1D5B3DF2"/>
    <w:rsid w:val="1D66EBB3"/>
    <w:rsid w:val="1D6FD981"/>
    <w:rsid w:val="1D7EF82D"/>
    <w:rsid w:val="1D8126F9"/>
    <w:rsid w:val="1D8EBA05"/>
    <w:rsid w:val="1D92411C"/>
    <w:rsid w:val="1DA6D144"/>
    <w:rsid w:val="1DBE15FF"/>
    <w:rsid w:val="1DC552D6"/>
    <w:rsid w:val="1DDEC02C"/>
    <w:rsid w:val="1DF99ADA"/>
    <w:rsid w:val="1DFB2BA7"/>
    <w:rsid w:val="1E0D5ABB"/>
    <w:rsid w:val="1E16F7B0"/>
    <w:rsid w:val="1E3467DD"/>
    <w:rsid w:val="1E4067B4"/>
    <w:rsid w:val="1E444A84"/>
    <w:rsid w:val="1E516EC0"/>
    <w:rsid w:val="1E72C766"/>
    <w:rsid w:val="1E90AA1C"/>
    <w:rsid w:val="1E97D802"/>
    <w:rsid w:val="1E9A56CB"/>
    <w:rsid w:val="1EB0B517"/>
    <w:rsid w:val="1EB3CA10"/>
    <w:rsid w:val="1EB8946F"/>
    <w:rsid w:val="1EBD9B95"/>
    <w:rsid w:val="1EC1C533"/>
    <w:rsid w:val="1ECAA887"/>
    <w:rsid w:val="1ED56882"/>
    <w:rsid w:val="1ED77E48"/>
    <w:rsid w:val="1EDFFF28"/>
    <w:rsid w:val="1EEE767E"/>
    <w:rsid w:val="1F068296"/>
    <w:rsid w:val="1F1ED125"/>
    <w:rsid w:val="1F24AF48"/>
    <w:rsid w:val="1F52349D"/>
    <w:rsid w:val="1F5663E7"/>
    <w:rsid w:val="1F7AA37B"/>
    <w:rsid w:val="1F7C8657"/>
    <w:rsid w:val="1F8F73D0"/>
    <w:rsid w:val="1FC2995F"/>
    <w:rsid w:val="1FCBD047"/>
    <w:rsid w:val="1FD3EB86"/>
    <w:rsid w:val="1FD63867"/>
    <w:rsid w:val="1FD675D0"/>
    <w:rsid w:val="1FD8CD89"/>
    <w:rsid w:val="1FDDB591"/>
    <w:rsid w:val="1FDEBAAE"/>
    <w:rsid w:val="1FE6E250"/>
    <w:rsid w:val="1FE70426"/>
    <w:rsid w:val="20029417"/>
    <w:rsid w:val="20036B2D"/>
    <w:rsid w:val="200E96C5"/>
    <w:rsid w:val="20126BD8"/>
    <w:rsid w:val="2015D19C"/>
    <w:rsid w:val="201F02A3"/>
    <w:rsid w:val="2025ABAD"/>
    <w:rsid w:val="2033067E"/>
    <w:rsid w:val="203389EC"/>
    <w:rsid w:val="2058CE9B"/>
    <w:rsid w:val="2064A1E6"/>
    <w:rsid w:val="2066DECF"/>
    <w:rsid w:val="2072FE1C"/>
    <w:rsid w:val="20810E23"/>
    <w:rsid w:val="20894674"/>
    <w:rsid w:val="2089C982"/>
    <w:rsid w:val="20929066"/>
    <w:rsid w:val="209E944F"/>
    <w:rsid w:val="20CFC14C"/>
    <w:rsid w:val="20CFC9E0"/>
    <w:rsid w:val="20D0B773"/>
    <w:rsid w:val="2103720D"/>
    <w:rsid w:val="210EC0C3"/>
    <w:rsid w:val="2125D39B"/>
    <w:rsid w:val="212BC888"/>
    <w:rsid w:val="214393BD"/>
    <w:rsid w:val="214D3D5D"/>
    <w:rsid w:val="215DB056"/>
    <w:rsid w:val="215DCFD0"/>
    <w:rsid w:val="2177DFC1"/>
    <w:rsid w:val="217B2235"/>
    <w:rsid w:val="2185BCCD"/>
    <w:rsid w:val="218AB739"/>
    <w:rsid w:val="21C5BF9F"/>
    <w:rsid w:val="21CA7F43"/>
    <w:rsid w:val="21D08BAA"/>
    <w:rsid w:val="21D5D8B2"/>
    <w:rsid w:val="21D921A4"/>
    <w:rsid w:val="21DCB252"/>
    <w:rsid w:val="21EDD69E"/>
    <w:rsid w:val="21F518DC"/>
    <w:rsid w:val="21F8E52E"/>
    <w:rsid w:val="220740C4"/>
    <w:rsid w:val="221A6F96"/>
    <w:rsid w:val="222DE77E"/>
    <w:rsid w:val="223B6DEC"/>
    <w:rsid w:val="223C68E6"/>
    <w:rsid w:val="22479FCC"/>
    <w:rsid w:val="2256E778"/>
    <w:rsid w:val="2257189B"/>
    <w:rsid w:val="22585A4C"/>
    <w:rsid w:val="226F1208"/>
    <w:rsid w:val="227334CF"/>
    <w:rsid w:val="22759106"/>
    <w:rsid w:val="227A0517"/>
    <w:rsid w:val="227B05F9"/>
    <w:rsid w:val="228C2C18"/>
    <w:rsid w:val="22B96DF5"/>
    <w:rsid w:val="22BA3D1F"/>
    <w:rsid w:val="22BDE2A2"/>
    <w:rsid w:val="22C99137"/>
    <w:rsid w:val="22D38E7E"/>
    <w:rsid w:val="22E01A26"/>
    <w:rsid w:val="22E0F4DF"/>
    <w:rsid w:val="22E92DD7"/>
    <w:rsid w:val="2306D1F3"/>
    <w:rsid w:val="23384887"/>
    <w:rsid w:val="233BB6C1"/>
    <w:rsid w:val="2343F2E0"/>
    <w:rsid w:val="234D66E4"/>
    <w:rsid w:val="237BE8A9"/>
    <w:rsid w:val="23816BF3"/>
    <w:rsid w:val="23859342"/>
    <w:rsid w:val="23980C21"/>
    <w:rsid w:val="239DEF88"/>
    <w:rsid w:val="23A975EA"/>
    <w:rsid w:val="23B0BBAE"/>
    <w:rsid w:val="23BA57F4"/>
    <w:rsid w:val="23BD252B"/>
    <w:rsid w:val="23DA384F"/>
    <w:rsid w:val="23DC7262"/>
    <w:rsid w:val="23F9171E"/>
    <w:rsid w:val="23FFFD43"/>
    <w:rsid w:val="240B3247"/>
    <w:rsid w:val="240DB103"/>
    <w:rsid w:val="241FEF60"/>
    <w:rsid w:val="24300EFC"/>
    <w:rsid w:val="243DD9CC"/>
    <w:rsid w:val="24400007"/>
    <w:rsid w:val="2441019E"/>
    <w:rsid w:val="244A706A"/>
    <w:rsid w:val="244CD085"/>
    <w:rsid w:val="245F20E7"/>
    <w:rsid w:val="246211FB"/>
    <w:rsid w:val="2466753A"/>
    <w:rsid w:val="246B048B"/>
    <w:rsid w:val="246D0FE6"/>
    <w:rsid w:val="2471E295"/>
    <w:rsid w:val="24788DE8"/>
    <w:rsid w:val="2488EF0F"/>
    <w:rsid w:val="24919958"/>
    <w:rsid w:val="2492C81F"/>
    <w:rsid w:val="249DCB74"/>
    <w:rsid w:val="24A00674"/>
    <w:rsid w:val="24A21719"/>
    <w:rsid w:val="24E9B892"/>
    <w:rsid w:val="24FB6360"/>
    <w:rsid w:val="2502A423"/>
    <w:rsid w:val="25042053"/>
    <w:rsid w:val="250799BD"/>
    <w:rsid w:val="25146AC8"/>
    <w:rsid w:val="2519CF93"/>
    <w:rsid w:val="251DE1DA"/>
    <w:rsid w:val="2529D338"/>
    <w:rsid w:val="252EDCBA"/>
    <w:rsid w:val="25313B96"/>
    <w:rsid w:val="25367A02"/>
    <w:rsid w:val="253B92E8"/>
    <w:rsid w:val="2550343D"/>
    <w:rsid w:val="2560773A"/>
    <w:rsid w:val="25645568"/>
    <w:rsid w:val="257B8EA3"/>
    <w:rsid w:val="257CDBF8"/>
    <w:rsid w:val="25844A33"/>
    <w:rsid w:val="2586FAEF"/>
    <w:rsid w:val="2594CCFF"/>
    <w:rsid w:val="259F9BD5"/>
    <w:rsid w:val="25A0B4E3"/>
    <w:rsid w:val="25A61034"/>
    <w:rsid w:val="25A6C5F8"/>
    <w:rsid w:val="25B0967B"/>
    <w:rsid w:val="25C8A849"/>
    <w:rsid w:val="25CFD3DE"/>
    <w:rsid w:val="25D1BAB0"/>
    <w:rsid w:val="25D7403E"/>
    <w:rsid w:val="25D98EBC"/>
    <w:rsid w:val="25DADFF9"/>
    <w:rsid w:val="260F3264"/>
    <w:rsid w:val="261B5C9E"/>
    <w:rsid w:val="262372F2"/>
    <w:rsid w:val="26259556"/>
    <w:rsid w:val="26276807"/>
    <w:rsid w:val="264EF6EF"/>
    <w:rsid w:val="2651034A"/>
    <w:rsid w:val="2655A443"/>
    <w:rsid w:val="267984D9"/>
    <w:rsid w:val="267D8C44"/>
    <w:rsid w:val="268EB461"/>
    <w:rsid w:val="2695FEDE"/>
    <w:rsid w:val="26AF5BD1"/>
    <w:rsid w:val="26B9B988"/>
    <w:rsid w:val="26BD77C5"/>
    <w:rsid w:val="26C04554"/>
    <w:rsid w:val="26E25509"/>
    <w:rsid w:val="26F21E2F"/>
    <w:rsid w:val="26F71E2C"/>
    <w:rsid w:val="26FCE427"/>
    <w:rsid w:val="2709B9B5"/>
    <w:rsid w:val="270A3A24"/>
    <w:rsid w:val="270B813D"/>
    <w:rsid w:val="271C90CF"/>
    <w:rsid w:val="271D74B2"/>
    <w:rsid w:val="271DAC1F"/>
    <w:rsid w:val="271E7C15"/>
    <w:rsid w:val="27244266"/>
    <w:rsid w:val="272BCB6F"/>
    <w:rsid w:val="2746A5F2"/>
    <w:rsid w:val="2747BF8E"/>
    <w:rsid w:val="274D7302"/>
    <w:rsid w:val="2755B0E0"/>
    <w:rsid w:val="27586E1E"/>
    <w:rsid w:val="276824F7"/>
    <w:rsid w:val="278F6B2A"/>
    <w:rsid w:val="27997275"/>
    <w:rsid w:val="279C9619"/>
    <w:rsid w:val="27ACADAC"/>
    <w:rsid w:val="27B594DF"/>
    <w:rsid w:val="27C22DA2"/>
    <w:rsid w:val="27CA6A55"/>
    <w:rsid w:val="27DA538F"/>
    <w:rsid w:val="27E42DD7"/>
    <w:rsid w:val="27F73D50"/>
    <w:rsid w:val="27FD79EE"/>
    <w:rsid w:val="2800B6EB"/>
    <w:rsid w:val="280CAF23"/>
    <w:rsid w:val="280E47CE"/>
    <w:rsid w:val="2811F3DD"/>
    <w:rsid w:val="28356652"/>
    <w:rsid w:val="28452B3E"/>
    <w:rsid w:val="284C2801"/>
    <w:rsid w:val="2861623E"/>
    <w:rsid w:val="28647DDB"/>
    <w:rsid w:val="28652153"/>
    <w:rsid w:val="28693EF1"/>
    <w:rsid w:val="286E6776"/>
    <w:rsid w:val="288907BA"/>
    <w:rsid w:val="28988319"/>
    <w:rsid w:val="289D95A9"/>
    <w:rsid w:val="28B19AA1"/>
    <w:rsid w:val="28B528AA"/>
    <w:rsid w:val="28B59E12"/>
    <w:rsid w:val="28B78347"/>
    <w:rsid w:val="28BD3733"/>
    <w:rsid w:val="28D294FE"/>
    <w:rsid w:val="28DF2390"/>
    <w:rsid w:val="28E9384D"/>
    <w:rsid w:val="28F4EC33"/>
    <w:rsid w:val="28FC247D"/>
    <w:rsid w:val="29067854"/>
    <w:rsid w:val="29245FEF"/>
    <w:rsid w:val="2933107C"/>
    <w:rsid w:val="2936DA6D"/>
    <w:rsid w:val="294947B7"/>
    <w:rsid w:val="294EEDB2"/>
    <w:rsid w:val="295055ED"/>
    <w:rsid w:val="2952185B"/>
    <w:rsid w:val="29652419"/>
    <w:rsid w:val="297CAF82"/>
    <w:rsid w:val="2984BF93"/>
    <w:rsid w:val="2986E533"/>
    <w:rsid w:val="299D2AAA"/>
    <w:rsid w:val="29ADF9B0"/>
    <w:rsid w:val="29BCD78C"/>
    <w:rsid w:val="29BEF46B"/>
    <w:rsid w:val="29C3E390"/>
    <w:rsid w:val="29CBAE07"/>
    <w:rsid w:val="29FBB071"/>
    <w:rsid w:val="29FE716B"/>
    <w:rsid w:val="29FFFDBE"/>
    <w:rsid w:val="2A0C328F"/>
    <w:rsid w:val="2A0E3395"/>
    <w:rsid w:val="2A0E7340"/>
    <w:rsid w:val="2A1ECE42"/>
    <w:rsid w:val="2A4A43D4"/>
    <w:rsid w:val="2A57F888"/>
    <w:rsid w:val="2A66923A"/>
    <w:rsid w:val="2A696147"/>
    <w:rsid w:val="2A6E9BD1"/>
    <w:rsid w:val="2A874F11"/>
    <w:rsid w:val="2AB4CCC4"/>
    <w:rsid w:val="2AC31E19"/>
    <w:rsid w:val="2AC74D86"/>
    <w:rsid w:val="2ACDD579"/>
    <w:rsid w:val="2AD2DAD1"/>
    <w:rsid w:val="2AD436DB"/>
    <w:rsid w:val="2AE17ABD"/>
    <w:rsid w:val="2AE8FDA0"/>
    <w:rsid w:val="2AEBECA7"/>
    <w:rsid w:val="2AF3A042"/>
    <w:rsid w:val="2B026E41"/>
    <w:rsid w:val="2B255EC1"/>
    <w:rsid w:val="2B3D9CDF"/>
    <w:rsid w:val="2B43599C"/>
    <w:rsid w:val="2B480B33"/>
    <w:rsid w:val="2B6F2231"/>
    <w:rsid w:val="2B75CC11"/>
    <w:rsid w:val="2B796EF1"/>
    <w:rsid w:val="2B7CE6CE"/>
    <w:rsid w:val="2B7E5C4F"/>
    <w:rsid w:val="2B7F33FD"/>
    <w:rsid w:val="2B81E3B8"/>
    <w:rsid w:val="2B8C1EB6"/>
    <w:rsid w:val="2B8F0D0E"/>
    <w:rsid w:val="2B8FBDD8"/>
    <w:rsid w:val="2B91631B"/>
    <w:rsid w:val="2B9A41CC"/>
    <w:rsid w:val="2B9C1E9D"/>
    <w:rsid w:val="2BA22445"/>
    <w:rsid w:val="2BA60838"/>
    <w:rsid w:val="2BA80D76"/>
    <w:rsid w:val="2BB0DED1"/>
    <w:rsid w:val="2BBDC4DE"/>
    <w:rsid w:val="2BC4027B"/>
    <w:rsid w:val="2BD5263E"/>
    <w:rsid w:val="2BD5D1E4"/>
    <w:rsid w:val="2BDBAF98"/>
    <w:rsid w:val="2BDE0D1F"/>
    <w:rsid w:val="2BE60EF8"/>
    <w:rsid w:val="2BEC7809"/>
    <w:rsid w:val="2BFB1B36"/>
    <w:rsid w:val="2C0A35C0"/>
    <w:rsid w:val="2C0D39CD"/>
    <w:rsid w:val="2C162E4D"/>
    <w:rsid w:val="2C184BBD"/>
    <w:rsid w:val="2C22BA5F"/>
    <w:rsid w:val="2C260411"/>
    <w:rsid w:val="2C3835AF"/>
    <w:rsid w:val="2C47151D"/>
    <w:rsid w:val="2C47A971"/>
    <w:rsid w:val="2C52966D"/>
    <w:rsid w:val="2C6C338C"/>
    <w:rsid w:val="2C6E7B2F"/>
    <w:rsid w:val="2C817D8E"/>
    <w:rsid w:val="2C83B155"/>
    <w:rsid w:val="2C865B8E"/>
    <w:rsid w:val="2C958EB3"/>
    <w:rsid w:val="2C9E7CCB"/>
    <w:rsid w:val="2CC09C89"/>
    <w:rsid w:val="2CC499AB"/>
    <w:rsid w:val="2CCD93CC"/>
    <w:rsid w:val="2CD9C8A8"/>
    <w:rsid w:val="2CFBD825"/>
    <w:rsid w:val="2CFF7404"/>
    <w:rsid w:val="2D04206E"/>
    <w:rsid w:val="2D09AB49"/>
    <w:rsid w:val="2D2298CA"/>
    <w:rsid w:val="2D22C0B3"/>
    <w:rsid w:val="2D242A39"/>
    <w:rsid w:val="2D2B7812"/>
    <w:rsid w:val="2D389276"/>
    <w:rsid w:val="2D496C47"/>
    <w:rsid w:val="2D5E29B9"/>
    <w:rsid w:val="2D71B0D2"/>
    <w:rsid w:val="2D876F29"/>
    <w:rsid w:val="2D8B5F38"/>
    <w:rsid w:val="2D98DAE2"/>
    <w:rsid w:val="2DAEFDBB"/>
    <w:rsid w:val="2DC86F71"/>
    <w:rsid w:val="2DD8E3F6"/>
    <w:rsid w:val="2DF22562"/>
    <w:rsid w:val="2DF4454C"/>
    <w:rsid w:val="2E16326B"/>
    <w:rsid w:val="2E2906FD"/>
    <w:rsid w:val="2E3894C1"/>
    <w:rsid w:val="2E409030"/>
    <w:rsid w:val="2E510785"/>
    <w:rsid w:val="2E6599B0"/>
    <w:rsid w:val="2E6FB68D"/>
    <w:rsid w:val="2E723868"/>
    <w:rsid w:val="2E79B01E"/>
    <w:rsid w:val="2E7E84A5"/>
    <w:rsid w:val="2E85ED6D"/>
    <w:rsid w:val="2E9A3CB8"/>
    <w:rsid w:val="2E9BA498"/>
    <w:rsid w:val="2EA05C1D"/>
    <w:rsid w:val="2EA8F7F5"/>
    <w:rsid w:val="2EBC535C"/>
    <w:rsid w:val="2EBE1D77"/>
    <w:rsid w:val="2ED09B34"/>
    <w:rsid w:val="2ED3558C"/>
    <w:rsid w:val="2ED72E21"/>
    <w:rsid w:val="2EDB057A"/>
    <w:rsid w:val="2EE132ED"/>
    <w:rsid w:val="2EFC5CEA"/>
    <w:rsid w:val="2EFFAB0E"/>
    <w:rsid w:val="2F0299E1"/>
    <w:rsid w:val="2F0E679C"/>
    <w:rsid w:val="2F0FF23A"/>
    <w:rsid w:val="2F20BADC"/>
    <w:rsid w:val="2F214F46"/>
    <w:rsid w:val="2F21C5EA"/>
    <w:rsid w:val="2F2C8304"/>
    <w:rsid w:val="2F30AFBB"/>
    <w:rsid w:val="2F39DE3F"/>
    <w:rsid w:val="2F442710"/>
    <w:rsid w:val="2F5FDC4C"/>
    <w:rsid w:val="2F6038B8"/>
    <w:rsid w:val="2F6E3ACD"/>
    <w:rsid w:val="2F71046C"/>
    <w:rsid w:val="2F9026C9"/>
    <w:rsid w:val="2F91970E"/>
    <w:rsid w:val="2F91A7D0"/>
    <w:rsid w:val="2F957FD6"/>
    <w:rsid w:val="2F9B5509"/>
    <w:rsid w:val="2FA35A02"/>
    <w:rsid w:val="2FB24B6C"/>
    <w:rsid w:val="2FB9CD31"/>
    <w:rsid w:val="2FC68E16"/>
    <w:rsid w:val="2FDDB5C9"/>
    <w:rsid w:val="2FDE415C"/>
    <w:rsid w:val="2FE78B17"/>
    <w:rsid w:val="3005687F"/>
    <w:rsid w:val="300F9BDF"/>
    <w:rsid w:val="3019F8D2"/>
    <w:rsid w:val="301D9D3A"/>
    <w:rsid w:val="301E644C"/>
    <w:rsid w:val="30233E92"/>
    <w:rsid w:val="30360D19"/>
    <w:rsid w:val="304F30E6"/>
    <w:rsid w:val="3059A4BE"/>
    <w:rsid w:val="3060CDC1"/>
    <w:rsid w:val="3067279A"/>
    <w:rsid w:val="30689D58"/>
    <w:rsid w:val="30704A16"/>
    <w:rsid w:val="307F274E"/>
    <w:rsid w:val="309CC441"/>
    <w:rsid w:val="30C63FDB"/>
    <w:rsid w:val="30C8F54C"/>
    <w:rsid w:val="30D9598A"/>
    <w:rsid w:val="30E27C09"/>
    <w:rsid w:val="30E6019C"/>
    <w:rsid w:val="30FBC732"/>
    <w:rsid w:val="30FFEEF1"/>
    <w:rsid w:val="31100404"/>
    <w:rsid w:val="3126A8C5"/>
    <w:rsid w:val="313934B3"/>
    <w:rsid w:val="3145E211"/>
    <w:rsid w:val="315F21A9"/>
    <w:rsid w:val="31664639"/>
    <w:rsid w:val="31726512"/>
    <w:rsid w:val="31753102"/>
    <w:rsid w:val="31775564"/>
    <w:rsid w:val="3178C636"/>
    <w:rsid w:val="3189D064"/>
    <w:rsid w:val="31A7574F"/>
    <w:rsid w:val="31B7C0C7"/>
    <w:rsid w:val="31C52EF7"/>
    <w:rsid w:val="31C56800"/>
    <w:rsid w:val="31D1DD7A"/>
    <w:rsid w:val="31E752BF"/>
    <w:rsid w:val="31F93FC3"/>
    <w:rsid w:val="3207E578"/>
    <w:rsid w:val="320FDE3B"/>
    <w:rsid w:val="32114F42"/>
    <w:rsid w:val="3238E17B"/>
    <w:rsid w:val="323F3191"/>
    <w:rsid w:val="3246BA03"/>
    <w:rsid w:val="3252E401"/>
    <w:rsid w:val="32614BD4"/>
    <w:rsid w:val="32639BD1"/>
    <w:rsid w:val="327B263E"/>
    <w:rsid w:val="327C6F24"/>
    <w:rsid w:val="3280630A"/>
    <w:rsid w:val="328434CB"/>
    <w:rsid w:val="32889FA5"/>
    <w:rsid w:val="329B7DCF"/>
    <w:rsid w:val="32AD71F5"/>
    <w:rsid w:val="32B43725"/>
    <w:rsid w:val="32B870A8"/>
    <w:rsid w:val="32E2B22E"/>
    <w:rsid w:val="32E8874B"/>
    <w:rsid w:val="32FBE962"/>
    <w:rsid w:val="33124291"/>
    <w:rsid w:val="331C4856"/>
    <w:rsid w:val="332EDB07"/>
    <w:rsid w:val="333970B2"/>
    <w:rsid w:val="333BB4C1"/>
    <w:rsid w:val="334552BF"/>
    <w:rsid w:val="3356CD60"/>
    <w:rsid w:val="336F7EDB"/>
    <w:rsid w:val="33744A2F"/>
    <w:rsid w:val="337D6FEC"/>
    <w:rsid w:val="337E3D61"/>
    <w:rsid w:val="33AB55F3"/>
    <w:rsid w:val="33AE01A1"/>
    <w:rsid w:val="33B14E6D"/>
    <w:rsid w:val="33B8EE5E"/>
    <w:rsid w:val="33CA84A2"/>
    <w:rsid w:val="33CDDD7C"/>
    <w:rsid w:val="33DE14E1"/>
    <w:rsid w:val="33E3B05B"/>
    <w:rsid w:val="33E9587A"/>
    <w:rsid w:val="33EBA2D0"/>
    <w:rsid w:val="33F4AA87"/>
    <w:rsid w:val="33F5A114"/>
    <w:rsid w:val="33F7D1EF"/>
    <w:rsid w:val="33F9155F"/>
    <w:rsid w:val="33FB0B70"/>
    <w:rsid w:val="34032FEC"/>
    <w:rsid w:val="34083469"/>
    <w:rsid w:val="34118631"/>
    <w:rsid w:val="34160968"/>
    <w:rsid w:val="341D352B"/>
    <w:rsid w:val="343D02B3"/>
    <w:rsid w:val="3440BA55"/>
    <w:rsid w:val="34469F04"/>
    <w:rsid w:val="34479ABC"/>
    <w:rsid w:val="34486977"/>
    <w:rsid w:val="3458BADE"/>
    <w:rsid w:val="34679033"/>
    <w:rsid w:val="346E8F7E"/>
    <w:rsid w:val="3475F16F"/>
    <w:rsid w:val="3480333A"/>
    <w:rsid w:val="3481B13B"/>
    <w:rsid w:val="3483F366"/>
    <w:rsid w:val="34BD8516"/>
    <w:rsid w:val="34BE2E9D"/>
    <w:rsid w:val="34CA7BDE"/>
    <w:rsid w:val="34D13B26"/>
    <w:rsid w:val="34D96F88"/>
    <w:rsid w:val="34E19B13"/>
    <w:rsid w:val="34E1A2EC"/>
    <w:rsid w:val="34E2B9A1"/>
    <w:rsid w:val="34EDC8FB"/>
    <w:rsid w:val="34FC3214"/>
    <w:rsid w:val="35027292"/>
    <w:rsid w:val="351567BE"/>
    <w:rsid w:val="351DC247"/>
    <w:rsid w:val="35222F3C"/>
    <w:rsid w:val="352C9F75"/>
    <w:rsid w:val="354AEE69"/>
    <w:rsid w:val="356CDC50"/>
    <w:rsid w:val="357EFF35"/>
    <w:rsid w:val="358A8552"/>
    <w:rsid w:val="359A339A"/>
    <w:rsid w:val="359B16D8"/>
    <w:rsid w:val="359EC3DC"/>
    <w:rsid w:val="35A68DED"/>
    <w:rsid w:val="35B9D201"/>
    <w:rsid w:val="35BDFF74"/>
    <w:rsid w:val="35C51955"/>
    <w:rsid w:val="35CAD603"/>
    <w:rsid w:val="35CBE8D0"/>
    <w:rsid w:val="35DC00DE"/>
    <w:rsid w:val="35F40B54"/>
    <w:rsid w:val="35F44C2D"/>
    <w:rsid w:val="3600C88E"/>
    <w:rsid w:val="36027384"/>
    <w:rsid w:val="36066926"/>
    <w:rsid w:val="3614485D"/>
    <w:rsid w:val="362CA62E"/>
    <w:rsid w:val="363A06F7"/>
    <w:rsid w:val="363FED9D"/>
    <w:rsid w:val="364095EC"/>
    <w:rsid w:val="364C3759"/>
    <w:rsid w:val="365E9C3A"/>
    <w:rsid w:val="3668BBEE"/>
    <w:rsid w:val="3673545B"/>
    <w:rsid w:val="36742CB9"/>
    <w:rsid w:val="367AF09D"/>
    <w:rsid w:val="3682E450"/>
    <w:rsid w:val="36888A34"/>
    <w:rsid w:val="368C2640"/>
    <w:rsid w:val="368C6A24"/>
    <w:rsid w:val="369F43B6"/>
    <w:rsid w:val="36A0697C"/>
    <w:rsid w:val="36A6564A"/>
    <w:rsid w:val="36B2443F"/>
    <w:rsid w:val="36C1AFDC"/>
    <w:rsid w:val="36C44E7F"/>
    <w:rsid w:val="36C58750"/>
    <w:rsid w:val="36D97E09"/>
    <w:rsid w:val="36DF9ADA"/>
    <w:rsid w:val="36E0EBA8"/>
    <w:rsid w:val="36F1A603"/>
    <w:rsid w:val="37154720"/>
    <w:rsid w:val="37253ADD"/>
    <w:rsid w:val="372F7C13"/>
    <w:rsid w:val="3748A470"/>
    <w:rsid w:val="3759496D"/>
    <w:rsid w:val="375BB6BA"/>
    <w:rsid w:val="375C792F"/>
    <w:rsid w:val="375DFC66"/>
    <w:rsid w:val="375F9973"/>
    <w:rsid w:val="377B6BAD"/>
    <w:rsid w:val="377E80CD"/>
    <w:rsid w:val="379B09CE"/>
    <w:rsid w:val="37A09A94"/>
    <w:rsid w:val="37A867BE"/>
    <w:rsid w:val="37AA2927"/>
    <w:rsid w:val="37BF5BE0"/>
    <w:rsid w:val="37D78981"/>
    <w:rsid w:val="37D78B1F"/>
    <w:rsid w:val="37DB2F45"/>
    <w:rsid w:val="37DE175E"/>
    <w:rsid w:val="37E95AB0"/>
    <w:rsid w:val="37EC15E5"/>
    <w:rsid w:val="38009C19"/>
    <w:rsid w:val="380C560B"/>
    <w:rsid w:val="382C1BCB"/>
    <w:rsid w:val="38353569"/>
    <w:rsid w:val="385CAED8"/>
    <w:rsid w:val="386E10ED"/>
    <w:rsid w:val="38997C82"/>
    <w:rsid w:val="38A0A851"/>
    <w:rsid w:val="38A26C8D"/>
    <w:rsid w:val="38A27BB7"/>
    <w:rsid w:val="38AB6D38"/>
    <w:rsid w:val="38AC87AA"/>
    <w:rsid w:val="38B29D0B"/>
    <w:rsid w:val="38BEEFE6"/>
    <w:rsid w:val="38CE11C6"/>
    <w:rsid w:val="38DB38BB"/>
    <w:rsid w:val="38DC8ACD"/>
    <w:rsid w:val="39102C96"/>
    <w:rsid w:val="391670DA"/>
    <w:rsid w:val="391E9A3A"/>
    <w:rsid w:val="39329B9F"/>
    <w:rsid w:val="3934C3A1"/>
    <w:rsid w:val="393C9573"/>
    <w:rsid w:val="39499737"/>
    <w:rsid w:val="396EB73D"/>
    <w:rsid w:val="397201DC"/>
    <w:rsid w:val="39743087"/>
    <w:rsid w:val="3975B296"/>
    <w:rsid w:val="397A733C"/>
    <w:rsid w:val="398A208C"/>
    <w:rsid w:val="398A8FF4"/>
    <w:rsid w:val="3990B37A"/>
    <w:rsid w:val="3990F639"/>
    <w:rsid w:val="399EE53D"/>
    <w:rsid w:val="39CDD818"/>
    <w:rsid w:val="39D67996"/>
    <w:rsid w:val="39E22586"/>
    <w:rsid w:val="39E8F643"/>
    <w:rsid w:val="39EB8E3B"/>
    <w:rsid w:val="39EC30FD"/>
    <w:rsid w:val="3A03885A"/>
    <w:rsid w:val="3A13DA40"/>
    <w:rsid w:val="3A1E5F8C"/>
    <w:rsid w:val="3A38A6F2"/>
    <w:rsid w:val="3A446AF4"/>
    <w:rsid w:val="3A4B50C6"/>
    <w:rsid w:val="3A4C42A2"/>
    <w:rsid w:val="3A4DD43E"/>
    <w:rsid w:val="3A4FA243"/>
    <w:rsid w:val="3A56A408"/>
    <w:rsid w:val="3A671373"/>
    <w:rsid w:val="3A7D9B3D"/>
    <w:rsid w:val="3A999C9A"/>
    <w:rsid w:val="3A9FCCE6"/>
    <w:rsid w:val="3AD324E8"/>
    <w:rsid w:val="3AEBDACC"/>
    <w:rsid w:val="3AEC5885"/>
    <w:rsid w:val="3AED5D2D"/>
    <w:rsid w:val="3B0867A9"/>
    <w:rsid w:val="3B0D30CC"/>
    <w:rsid w:val="3B10BCC7"/>
    <w:rsid w:val="3B13999A"/>
    <w:rsid w:val="3B1447BE"/>
    <w:rsid w:val="3B281D87"/>
    <w:rsid w:val="3B2D9468"/>
    <w:rsid w:val="3B324191"/>
    <w:rsid w:val="3B3A8C7A"/>
    <w:rsid w:val="3B3F8EF5"/>
    <w:rsid w:val="3B5CE824"/>
    <w:rsid w:val="3B6AB3B2"/>
    <w:rsid w:val="3B6D23CA"/>
    <w:rsid w:val="3B73BA14"/>
    <w:rsid w:val="3B78F7BE"/>
    <w:rsid w:val="3B835408"/>
    <w:rsid w:val="3B9820B4"/>
    <w:rsid w:val="3BB01245"/>
    <w:rsid w:val="3BBDCD31"/>
    <w:rsid w:val="3BD553E2"/>
    <w:rsid w:val="3BDE1D98"/>
    <w:rsid w:val="3BEF7E1A"/>
    <w:rsid w:val="3BF76FFE"/>
    <w:rsid w:val="3C1DB9B4"/>
    <w:rsid w:val="3C25E367"/>
    <w:rsid w:val="3C2970BE"/>
    <w:rsid w:val="3C510918"/>
    <w:rsid w:val="3C5199FC"/>
    <w:rsid w:val="3C65392E"/>
    <w:rsid w:val="3C6D51B1"/>
    <w:rsid w:val="3C770F9A"/>
    <w:rsid w:val="3C7D0CC2"/>
    <w:rsid w:val="3C8A8180"/>
    <w:rsid w:val="3C8C8C7F"/>
    <w:rsid w:val="3C90BFB6"/>
    <w:rsid w:val="3CA2334B"/>
    <w:rsid w:val="3CA65D48"/>
    <w:rsid w:val="3CB2E82A"/>
    <w:rsid w:val="3CB5AD7C"/>
    <w:rsid w:val="3CBF9804"/>
    <w:rsid w:val="3CE31B4C"/>
    <w:rsid w:val="3CECE0B5"/>
    <w:rsid w:val="3CF073D2"/>
    <w:rsid w:val="3CF8CEB0"/>
    <w:rsid w:val="3CFCFEB0"/>
    <w:rsid w:val="3D122317"/>
    <w:rsid w:val="3D2952C2"/>
    <w:rsid w:val="3D42B130"/>
    <w:rsid w:val="3D493539"/>
    <w:rsid w:val="3D4FE990"/>
    <w:rsid w:val="3D5384FE"/>
    <w:rsid w:val="3D6BE9A4"/>
    <w:rsid w:val="3D6E6412"/>
    <w:rsid w:val="3D778C76"/>
    <w:rsid w:val="3D836103"/>
    <w:rsid w:val="3DADA528"/>
    <w:rsid w:val="3DB8EFCB"/>
    <w:rsid w:val="3DB9B589"/>
    <w:rsid w:val="3DC0AE2F"/>
    <w:rsid w:val="3DC29D40"/>
    <w:rsid w:val="3DD01B5F"/>
    <w:rsid w:val="3DE36B22"/>
    <w:rsid w:val="3DFC79F9"/>
    <w:rsid w:val="3DFCCDE3"/>
    <w:rsid w:val="3E13F810"/>
    <w:rsid w:val="3E1F43A2"/>
    <w:rsid w:val="3E231FA6"/>
    <w:rsid w:val="3E24B09C"/>
    <w:rsid w:val="3E30BD0F"/>
    <w:rsid w:val="3E44A70C"/>
    <w:rsid w:val="3E45FE8D"/>
    <w:rsid w:val="3E571E10"/>
    <w:rsid w:val="3E5DA59D"/>
    <w:rsid w:val="3E6C24DF"/>
    <w:rsid w:val="3E764E97"/>
    <w:rsid w:val="3E882273"/>
    <w:rsid w:val="3E971E39"/>
    <w:rsid w:val="3E986CD3"/>
    <w:rsid w:val="3E991489"/>
    <w:rsid w:val="3E997598"/>
    <w:rsid w:val="3EB08EEE"/>
    <w:rsid w:val="3EB129D1"/>
    <w:rsid w:val="3EBE8BC8"/>
    <w:rsid w:val="3ED63C3A"/>
    <w:rsid w:val="3EE47554"/>
    <w:rsid w:val="3EF64816"/>
    <w:rsid w:val="3EFB0C7E"/>
    <w:rsid w:val="3F07ADDE"/>
    <w:rsid w:val="3F0FE74C"/>
    <w:rsid w:val="3F24BA6E"/>
    <w:rsid w:val="3F42CF34"/>
    <w:rsid w:val="3F726B15"/>
    <w:rsid w:val="3F737EDB"/>
    <w:rsid w:val="3F7F982B"/>
    <w:rsid w:val="3F8D9C11"/>
    <w:rsid w:val="3F9CD9F0"/>
    <w:rsid w:val="3FBCBFE6"/>
    <w:rsid w:val="3FC4057C"/>
    <w:rsid w:val="3FC47F8D"/>
    <w:rsid w:val="3FD56281"/>
    <w:rsid w:val="3FF77EA4"/>
    <w:rsid w:val="3FFD084C"/>
    <w:rsid w:val="3FFDB8D7"/>
    <w:rsid w:val="3FFF18DF"/>
    <w:rsid w:val="4004734C"/>
    <w:rsid w:val="4004E39B"/>
    <w:rsid w:val="402EA6E4"/>
    <w:rsid w:val="405A3DCE"/>
    <w:rsid w:val="407B7FD0"/>
    <w:rsid w:val="407C679D"/>
    <w:rsid w:val="407F2277"/>
    <w:rsid w:val="408120BE"/>
    <w:rsid w:val="40838368"/>
    <w:rsid w:val="40905710"/>
    <w:rsid w:val="40943049"/>
    <w:rsid w:val="409A8C61"/>
    <w:rsid w:val="409E7592"/>
    <w:rsid w:val="409F140E"/>
    <w:rsid w:val="40C365C2"/>
    <w:rsid w:val="40CACA10"/>
    <w:rsid w:val="40D796A8"/>
    <w:rsid w:val="40D84CA9"/>
    <w:rsid w:val="40E04BB3"/>
    <w:rsid w:val="40EA88D1"/>
    <w:rsid w:val="40FB7328"/>
    <w:rsid w:val="4102C383"/>
    <w:rsid w:val="41081065"/>
    <w:rsid w:val="4108FA65"/>
    <w:rsid w:val="4120E19B"/>
    <w:rsid w:val="41221180"/>
    <w:rsid w:val="413FCA62"/>
    <w:rsid w:val="41491350"/>
    <w:rsid w:val="415070ED"/>
    <w:rsid w:val="4154A7C1"/>
    <w:rsid w:val="4154CEB9"/>
    <w:rsid w:val="41611C1C"/>
    <w:rsid w:val="416D55D9"/>
    <w:rsid w:val="416FC48A"/>
    <w:rsid w:val="4172191F"/>
    <w:rsid w:val="4176FDE0"/>
    <w:rsid w:val="41981366"/>
    <w:rsid w:val="419A03E5"/>
    <w:rsid w:val="41B574CF"/>
    <w:rsid w:val="41B68C6F"/>
    <w:rsid w:val="41B69E2A"/>
    <w:rsid w:val="41C092E1"/>
    <w:rsid w:val="41C5689F"/>
    <w:rsid w:val="41CEEAF5"/>
    <w:rsid w:val="41FA4D01"/>
    <w:rsid w:val="42011952"/>
    <w:rsid w:val="420E9A3F"/>
    <w:rsid w:val="42171312"/>
    <w:rsid w:val="421E6989"/>
    <w:rsid w:val="422CC97E"/>
    <w:rsid w:val="423B1872"/>
    <w:rsid w:val="423DCD55"/>
    <w:rsid w:val="424AB7B9"/>
    <w:rsid w:val="42589F58"/>
    <w:rsid w:val="42647D70"/>
    <w:rsid w:val="426BDE00"/>
    <w:rsid w:val="42747359"/>
    <w:rsid w:val="4277E422"/>
    <w:rsid w:val="4284B81C"/>
    <w:rsid w:val="42978894"/>
    <w:rsid w:val="42A1A35C"/>
    <w:rsid w:val="42AEBCD2"/>
    <w:rsid w:val="42CE1133"/>
    <w:rsid w:val="42E0129C"/>
    <w:rsid w:val="42E08D60"/>
    <w:rsid w:val="42E1E39C"/>
    <w:rsid w:val="42E94108"/>
    <w:rsid w:val="42EA6202"/>
    <w:rsid w:val="42F313C0"/>
    <w:rsid w:val="42FB0A6B"/>
    <w:rsid w:val="42FF60A7"/>
    <w:rsid w:val="42FF77CD"/>
    <w:rsid w:val="4300481F"/>
    <w:rsid w:val="43110FDA"/>
    <w:rsid w:val="431FFCFE"/>
    <w:rsid w:val="432387E9"/>
    <w:rsid w:val="432EC42F"/>
    <w:rsid w:val="4333615B"/>
    <w:rsid w:val="433CBE00"/>
    <w:rsid w:val="4344CF1F"/>
    <w:rsid w:val="4346D61C"/>
    <w:rsid w:val="434A65E6"/>
    <w:rsid w:val="434BCBB0"/>
    <w:rsid w:val="436F5975"/>
    <w:rsid w:val="43723792"/>
    <w:rsid w:val="43792198"/>
    <w:rsid w:val="4380F2BB"/>
    <w:rsid w:val="4386F9C9"/>
    <w:rsid w:val="439AF982"/>
    <w:rsid w:val="43ABADB9"/>
    <w:rsid w:val="43B4F667"/>
    <w:rsid w:val="43BAB9FE"/>
    <w:rsid w:val="43BE1DE2"/>
    <w:rsid w:val="43C0501F"/>
    <w:rsid w:val="43D0F290"/>
    <w:rsid w:val="43D38761"/>
    <w:rsid w:val="43E68070"/>
    <w:rsid w:val="43F00B38"/>
    <w:rsid w:val="4403BE4F"/>
    <w:rsid w:val="4411D604"/>
    <w:rsid w:val="441388B3"/>
    <w:rsid w:val="4413B483"/>
    <w:rsid w:val="441E9960"/>
    <w:rsid w:val="44239565"/>
    <w:rsid w:val="44260254"/>
    <w:rsid w:val="442B4B9D"/>
    <w:rsid w:val="442C7C03"/>
    <w:rsid w:val="443310EB"/>
    <w:rsid w:val="44338CE4"/>
    <w:rsid w:val="443943FA"/>
    <w:rsid w:val="443D371D"/>
    <w:rsid w:val="444AA13C"/>
    <w:rsid w:val="444E3CBB"/>
    <w:rsid w:val="44565E17"/>
    <w:rsid w:val="4473F9F1"/>
    <w:rsid w:val="4481E7C6"/>
    <w:rsid w:val="44871088"/>
    <w:rsid w:val="449330E8"/>
    <w:rsid w:val="44979E64"/>
    <w:rsid w:val="449EE78D"/>
    <w:rsid w:val="44A47D0B"/>
    <w:rsid w:val="44B01512"/>
    <w:rsid w:val="44B8CD25"/>
    <w:rsid w:val="44B9F899"/>
    <w:rsid w:val="44BF8A7C"/>
    <w:rsid w:val="44C4E978"/>
    <w:rsid w:val="44DAC2A5"/>
    <w:rsid w:val="44DBF3DA"/>
    <w:rsid w:val="44EB2D65"/>
    <w:rsid w:val="44ED1591"/>
    <w:rsid w:val="450101ED"/>
    <w:rsid w:val="4501D858"/>
    <w:rsid w:val="4503C474"/>
    <w:rsid w:val="450C962A"/>
    <w:rsid w:val="450DBF91"/>
    <w:rsid w:val="4527B526"/>
    <w:rsid w:val="45326A50"/>
    <w:rsid w:val="45362B19"/>
    <w:rsid w:val="4537B992"/>
    <w:rsid w:val="455C3FE0"/>
    <w:rsid w:val="455F473E"/>
    <w:rsid w:val="4567EC31"/>
    <w:rsid w:val="45858EDD"/>
    <w:rsid w:val="458805E8"/>
    <w:rsid w:val="458AC584"/>
    <w:rsid w:val="45C1722B"/>
    <w:rsid w:val="45C77123"/>
    <w:rsid w:val="45CE197E"/>
    <w:rsid w:val="45E4704A"/>
    <w:rsid w:val="45F4A9E5"/>
    <w:rsid w:val="45FE1C48"/>
    <w:rsid w:val="460DF80A"/>
    <w:rsid w:val="4618AE05"/>
    <w:rsid w:val="461D9FDE"/>
    <w:rsid w:val="4620AB91"/>
    <w:rsid w:val="463CF62B"/>
    <w:rsid w:val="4661E18D"/>
    <w:rsid w:val="4669D40F"/>
    <w:rsid w:val="4675DD42"/>
    <w:rsid w:val="4676322A"/>
    <w:rsid w:val="4678F5C7"/>
    <w:rsid w:val="4684413B"/>
    <w:rsid w:val="46846A12"/>
    <w:rsid w:val="46868B95"/>
    <w:rsid w:val="46956A64"/>
    <w:rsid w:val="469F06E1"/>
    <w:rsid w:val="46B7329B"/>
    <w:rsid w:val="46B7443A"/>
    <w:rsid w:val="46BAB0EB"/>
    <w:rsid w:val="46BEF50C"/>
    <w:rsid w:val="46E7E309"/>
    <w:rsid w:val="46EE3CC9"/>
    <w:rsid w:val="47063BB4"/>
    <w:rsid w:val="4707C930"/>
    <w:rsid w:val="470955DE"/>
    <w:rsid w:val="4712E1A2"/>
    <w:rsid w:val="47136927"/>
    <w:rsid w:val="4721B866"/>
    <w:rsid w:val="47296491"/>
    <w:rsid w:val="472BBE8F"/>
    <w:rsid w:val="473B6483"/>
    <w:rsid w:val="473EE30D"/>
    <w:rsid w:val="47456558"/>
    <w:rsid w:val="47459FDD"/>
    <w:rsid w:val="474699B4"/>
    <w:rsid w:val="474AC805"/>
    <w:rsid w:val="47668DAF"/>
    <w:rsid w:val="476766CF"/>
    <w:rsid w:val="4768F817"/>
    <w:rsid w:val="4769013B"/>
    <w:rsid w:val="476A7A15"/>
    <w:rsid w:val="4771377E"/>
    <w:rsid w:val="4775E2F2"/>
    <w:rsid w:val="4776132A"/>
    <w:rsid w:val="47A255B4"/>
    <w:rsid w:val="47AA718E"/>
    <w:rsid w:val="47AAC33B"/>
    <w:rsid w:val="47B0F5BA"/>
    <w:rsid w:val="47B62E6E"/>
    <w:rsid w:val="47B836F3"/>
    <w:rsid w:val="47B9854D"/>
    <w:rsid w:val="47C5073C"/>
    <w:rsid w:val="47CBB097"/>
    <w:rsid w:val="47CFB1CF"/>
    <w:rsid w:val="47D45E22"/>
    <w:rsid w:val="47E104C2"/>
    <w:rsid w:val="47E4D428"/>
    <w:rsid w:val="47E591F8"/>
    <w:rsid w:val="47E74366"/>
    <w:rsid w:val="47EBB3D4"/>
    <w:rsid w:val="47EDF998"/>
    <w:rsid w:val="47EE5AFD"/>
    <w:rsid w:val="47EF4A17"/>
    <w:rsid w:val="481CAB1B"/>
    <w:rsid w:val="4825628B"/>
    <w:rsid w:val="482DE598"/>
    <w:rsid w:val="4836A08D"/>
    <w:rsid w:val="4843BAE1"/>
    <w:rsid w:val="48497B2D"/>
    <w:rsid w:val="485BF09E"/>
    <w:rsid w:val="48603408"/>
    <w:rsid w:val="4863C7ED"/>
    <w:rsid w:val="48724EFA"/>
    <w:rsid w:val="48857C70"/>
    <w:rsid w:val="48918F05"/>
    <w:rsid w:val="48A6F37D"/>
    <w:rsid w:val="48AB2E2B"/>
    <w:rsid w:val="48B13542"/>
    <w:rsid w:val="48C6D9C4"/>
    <w:rsid w:val="48C8A0B7"/>
    <w:rsid w:val="48CEC310"/>
    <w:rsid w:val="48DC5526"/>
    <w:rsid w:val="48E3987B"/>
    <w:rsid w:val="48FF81DE"/>
    <w:rsid w:val="49045045"/>
    <w:rsid w:val="4909D89A"/>
    <w:rsid w:val="490C597F"/>
    <w:rsid w:val="49129A50"/>
    <w:rsid w:val="4913224A"/>
    <w:rsid w:val="491A0606"/>
    <w:rsid w:val="4920D68C"/>
    <w:rsid w:val="492E2054"/>
    <w:rsid w:val="49315E7E"/>
    <w:rsid w:val="49537337"/>
    <w:rsid w:val="4956B1B5"/>
    <w:rsid w:val="49575CB1"/>
    <w:rsid w:val="495D95E4"/>
    <w:rsid w:val="49606075"/>
    <w:rsid w:val="49676A47"/>
    <w:rsid w:val="497195E6"/>
    <w:rsid w:val="49719EB6"/>
    <w:rsid w:val="4979F306"/>
    <w:rsid w:val="498686F1"/>
    <w:rsid w:val="4991B836"/>
    <w:rsid w:val="499B3384"/>
    <w:rsid w:val="49A1E96B"/>
    <w:rsid w:val="49A4D952"/>
    <w:rsid w:val="49A6BFDE"/>
    <w:rsid w:val="49A8369B"/>
    <w:rsid w:val="49A8F8C2"/>
    <w:rsid w:val="49BC739C"/>
    <w:rsid w:val="49BF56E5"/>
    <w:rsid w:val="49BF9F87"/>
    <w:rsid w:val="49C594B1"/>
    <w:rsid w:val="49CEF104"/>
    <w:rsid w:val="49E626B7"/>
    <w:rsid w:val="49E7CD41"/>
    <w:rsid w:val="49FBDBD2"/>
    <w:rsid w:val="49FF5140"/>
    <w:rsid w:val="4A03E398"/>
    <w:rsid w:val="4A113D51"/>
    <w:rsid w:val="4A22A233"/>
    <w:rsid w:val="4A22C7B8"/>
    <w:rsid w:val="4A31A7D6"/>
    <w:rsid w:val="4A3DEC9A"/>
    <w:rsid w:val="4A6FF526"/>
    <w:rsid w:val="4A77989F"/>
    <w:rsid w:val="4A7BC1C8"/>
    <w:rsid w:val="4A861C01"/>
    <w:rsid w:val="4AB39695"/>
    <w:rsid w:val="4AC186DA"/>
    <w:rsid w:val="4AC92C03"/>
    <w:rsid w:val="4AD56342"/>
    <w:rsid w:val="4AE28636"/>
    <w:rsid w:val="4AFAF85D"/>
    <w:rsid w:val="4B00F95A"/>
    <w:rsid w:val="4B128686"/>
    <w:rsid w:val="4B17C481"/>
    <w:rsid w:val="4B1F6389"/>
    <w:rsid w:val="4B2102B6"/>
    <w:rsid w:val="4B21925E"/>
    <w:rsid w:val="4B27C943"/>
    <w:rsid w:val="4B2E4A8B"/>
    <w:rsid w:val="4B43C47D"/>
    <w:rsid w:val="4B4CB1AA"/>
    <w:rsid w:val="4B668F35"/>
    <w:rsid w:val="4B8AE80C"/>
    <w:rsid w:val="4BA93AAE"/>
    <w:rsid w:val="4BBB9B93"/>
    <w:rsid w:val="4BBFF9AB"/>
    <w:rsid w:val="4BD5CE25"/>
    <w:rsid w:val="4BD68FE4"/>
    <w:rsid w:val="4BDBA0BC"/>
    <w:rsid w:val="4BE42F68"/>
    <w:rsid w:val="4BED16F9"/>
    <w:rsid w:val="4BF8BF54"/>
    <w:rsid w:val="4BFE4CA5"/>
    <w:rsid w:val="4BFF2FAB"/>
    <w:rsid w:val="4C0457FA"/>
    <w:rsid w:val="4C228B69"/>
    <w:rsid w:val="4C23C3D8"/>
    <w:rsid w:val="4C2DF0AD"/>
    <w:rsid w:val="4C342E71"/>
    <w:rsid w:val="4C6F9D85"/>
    <w:rsid w:val="4C746B96"/>
    <w:rsid w:val="4C896970"/>
    <w:rsid w:val="4C9B371A"/>
    <w:rsid w:val="4C9E1DC7"/>
    <w:rsid w:val="4CB54535"/>
    <w:rsid w:val="4CBE7F5D"/>
    <w:rsid w:val="4CC0D44B"/>
    <w:rsid w:val="4CC416AA"/>
    <w:rsid w:val="4CC841E1"/>
    <w:rsid w:val="4CCB2486"/>
    <w:rsid w:val="4CD727D7"/>
    <w:rsid w:val="4CE5B06B"/>
    <w:rsid w:val="4D00C300"/>
    <w:rsid w:val="4D0C996E"/>
    <w:rsid w:val="4D0CE7AA"/>
    <w:rsid w:val="4D14FDA4"/>
    <w:rsid w:val="4D211AB3"/>
    <w:rsid w:val="4D33C8E7"/>
    <w:rsid w:val="4D347EA2"/>
    <w:rsid w:val="4D42B7D7"/>
    <w:rsid w:val="4D5585EC"/>
    <w:rsid w:val="4D5988A7"/>
    <w:rsid w:val="4D5A41D6"/>
    <w:rsid w:val="4D5BB71B"/>
    <w:rsid w:val="4D8056CF"/>
    <w:rsid w:val="4D8A6E05"/>
    <w:rsid w:val="4DA2E70A"/>
    <w:rsid w:val="4DB65F24"/>
    <w:rsid w:val="4DBB391C"/>
    <w:rsid w:val="4DBE7FD4"/>
    <w:rsid w:val="4DBFAFB0"/>
    <w:rsid w:val="4DC7AAF3"/>
    <w:rsid w:val="4DD2FEA9"/>
    <w:rsid w:val="4DE917F0"/>
    <w:rsid w:val="4DEB52C8"/>
    <w:rsid w:val="4DF2DE00"/>
    <w:rsid w:val="4DF33DB3"/>
    <w:rsid w:val="4E119738"/>
    <w:rsid w:val="4E1CB9BB"/>
    <w:rsid w:val="4E265958"/>
    <w:rsid w:val="4E3F9ABE"/>
    <w:rsid w:val="4E63F2FB"/>
    <w:rsid w:val="4E63FBF1"/>
    <w:rsid w:val="4E716D94"/>
    <w:rsid w:val="4E74CDA7"/>
    <w:rsid w:val="4E8AD83F"/>
    <w:rsid w:val="4E908B1B"/>
    <w:rsid w:val="4E967598"/>
    <w:rsid w:val="4E9DB675"/>
    <w:rsid w:val="4EA83D96"/>
    <w:rsid w:val="4EAB7121"/>
    <w:rsid w:val="4EAE59BC"/>
    <w:rsid w:val="4EAEFA6D"/>
    <w:rsid w:val="4EB40283"/>
    <w:rsid w:val="4ED668DC"/>
    <w:rsid w:val="4EE250FB"/>
    <w:rsid w:val="4EE3C089"/>
    <w:rsid w:val="4EE663F6"/>
    <w:rsid w:val="4EF51D5A"/>
    <w:rsid w:val="4F21EE63"/>
    <w:rsid w:val="4F22C55D"/>
    <w:rsid w:val="4F265955"/>
    <w:rsid w:val="4F33CF64"/>
    <w:rsid w:val="4F3F76EB"/>
    <w:rsid w:val="4F42D41C"/>
    <w:rsid w:val="4F4B2B50"/>
    <w:rsid w:val="4F5ABC50"/>
    <w:rsid w:val="4F6A3A8A"/>
    <w:rsid w:val="4F79D844"/>
    <w:rsid w:val="4F874EDC"/>
    <w:rsid w:val="4F959AC5"/>
    <w:rsid w:val="4F97DE04"/>
    <w:rsid w:val="4FA11EE2"/>
    <w:rsid w:val="4FBE8074"/>
    <w:rsid w:val="4FBF4DB1"/>
    <w:rsid w:val="4FC3493C"/>
    <w:rsid w:val="4FC5157B"/>
    <w:rsid w:val="4FD442C3"/>
    <w:rsid w:val="4FD9D30F"/>
    <w:rsid w:val="4FE712A3"/>
    <w:rsid w:val="4FEF73C8"/>
    <w:rsid w:val="4FF6D006"/>
    <w:rsid w:val="4FFA5BFC"/>
    <w:rsid w:val="5010F9E0"/>
    <w:rsid w:val="501F5F32"/>
    <w:rsid w:val="5022A7FD"/>
    <w:rsid w:val="502621DF"/>
    <w:rsid w:val="5027A070"/>
    <w:rsid w:val="5034B420"/>
    <w:rsid w:val="50397116"/>
    <w:rsid w:val="503D8973"/>
    <w:rsid w:val="503FBC08"/>
    <w:rsid w:val="505006FA"/>
    <w:rsid w:val="505ACF62"/>
    <w:rsid w:val="505AF1D8"/>
    <w:rsid w:val="506B9EB2"/>
    <w:rsid w:val="50841107"/>
    <w:rsid w:val="508B3FF5"/>
    <w:rsid w:val="5091A8C6"/>
    <w:rsid w:val="509CC8AA"/>
    <w:rsid w:val="50CDA5FD"/>
    <w:rsid w:val="50DAE047"/>
    <w:rsid w:val="50E416F0"/>
    <w:rsid w:val="50EB3AC7"/>
    <w:rsid w:val="510656B2"/>
    <w:rsid w:val="510FFD25"/>
    <w:rsid w:val="511A4B24"/>
    <w:rsid w:val="51216D7F"/>
    <w:rsid w:val="512E0081"/>
    <w:rsid w:val="51330CC6"/>
    <w:rsid w:val="5135A5BE"/>
    <w:rsid w:val="5139D4E2"/>
    <w:rsid w:val="513BB32B"/>
    <w:rsid w:val="5145CB3C"/>
    <w:rsid w:val="515507BB"/>
    <w:rsid w:val="51558A5F"/>
    <w:rsid w:val="515F0CD3"/>
    <w:rsid w:val="5168E939"/>
    <w:rsid w:val="5169288A"/>
    <w:rsid w:val="5170AD16"/>
    <w:rsid w:val="51744EBE"/>
    <w:rsid w:val="517E5F70"/>
    <w:rsid w:val="51805516"/>
    <w:rsid w:val="51868174"/>
    <w:rsid w:val="5188B056"/>
    <w:rsid w:val="51890A22"/>
    <w:rsid w:val="519D7258"/>
    <w:rsid w:val="51B2703C"/>
    <w:rsid w:val="51B70A97"/>
    <w:rsid w:val="51BBFDA5"/>
    <w:rsid w:val="51BD7149"/>
    <w:rsid w:val="51C1DD64"/>
    <w:rsid w:val="51CF2B42"/>
    <w:rsid w:val="51D513DF"/>
    <w:rsid w:val="51D82FE2"/>
    <w:rsid w:val="51DAE8D9"/>
    <w:rsid w:val="51EACB83"/>
    <w:rsid w:val="520A53A8"/>
    <w:rsid w:val="520A8901"/>
    <w:rsid w:val="5210B0C5"/>
    <w:rsid w:val="52151A0D"/>
    <w:rsid w:val="52155432"/>
    <w:rsid w:val="52213DF5"/>
    <w:rsid w:val="522C5C55"/>
    <w:rsid w:val="5236E6A7"/>
    <w:rsid w:val="52464548"/>
    <w:rsid w:val="52499C2F"/>
    <w:rsid w:val="5249AF5D"/>
    <w:rsid w:val="524E28F8"/>
    <w:rsid w:val="524F127B"/>
    <w:rsid w:val="525A05CC"/>
    <w:rsid w:val="5261362A"/>
    <w:rsid w:val="526AEF33"/>
    <w:rsid w:val="526C9A35"/>
    <w:rsid w:val="5270EB63"/>
    <w:rsid w:val="527A9AE6"/>
    <w:rsid w:val="5281E689"/>
    <w:rsid w:val="528A5902"/>
    <w:rsid w:val="52916B3F"/>
    <w:rsid w:val="529C34B8"/>
    <w:rsid w:val="52A2158A"/>
    <w:rsid w:val="52AC2E28"/>
    <w:rsid w:val="52F54105"/>
    <w:rsid w:val="52F5DC87"/>
    <w:rsid w:val="52FA42BF"/>
    <w:rsid w:val="53048EDB"/>
    <w:rsid w:val="530832F0"/>
    <w:rsid w:val="530C0B3F"/>
    <w:rsid w:val="530E7F5E"/>
    <w:rsid w:val="531BA6A7"/>
    <w:rsid w:val="531D6882"/>
    <w:rsid w:val="532FF61F"/>
    <w:rsid w:val="5333582E"/>
    <w:rsid w:val="533FF48A"/>
    <w:rsid w:val="5344F19E"/>
    <w:rsid w:val="534DC38C"/>
    <w:rsid w:val="5358ABE4"/>
    <w:rsid w:val="535F5C98"/>
    <w:rsid w:val="5362ED1A"/>
    <w:rsid w:val="53801B00"/>
    <w:rsid w:val="538A0FCB"/>
    <w:rsid w:val="538E7BBF"/>
    <w:rsid w:val="53907600"/>
    <w:rsid w:val="53A2521B"/>
    <w:rsid w:val="53A8D18D"/>
    <w:rsid w:val="53BF7D2C"/>
    <w:rsid w:val="53C1192E"/>
    <w:rsid w:val="53C35E50"/>
    <w:rsid w:val="53D7B8D2"/>
    <w:rsid w:val="53E45F54"/>
    <w:rsid w:val="53E691B3"/>
    <w:rsid w:val="53EC8C63"/>
    <w:rsid w:val="541C4FD6"/>
    <w:rsid w:val="54263235"/>
    <w:rsid w:val="5426CA05"/>
    <w:rsid w:val="542AAB30"/>
    <w:rsid w:val="542C0709"/>
    <w:rsid w:val="5430301E"/>
    <w:rsid w:val="544D995E"/>
    <w:rsid w:val="545A0563"/>
    <w:rsid w:val="545FDB38"/>
    <w:rsid w:val="54619A2A"/>
    <w:rsid w:val="5461A1C1"/>
    <w:rsid w:val="5467EAE4"/>
    <w:rsid w:val="546A2B74"/>
    <w:rsid w:val="546D4680"/>
    <w:rsid w:val="5471DAD0"/>
    <w:rsid w:val="54723286"/>
    <w:rsid w:val="54753A43"/>
    <w:rsid w:val="547E1341"/>
    <w:rsid w:val="5483E89A"/>
    <w:rsid w:val="549AC377"/>
    <w:rsid w:val="549C8757"/>
    <w:rsid w:val="549DACAE"/>
    <w:rsid w:val="54A95482"/>
    <w:rsid w:val="54B5FF3B"/>
    <w:rsid w:val="54BE55BA"/>
    <w:rsid w:val="54CD0BEF"/>
    <w:rsid w:val="54D97BE4"/>
    <w:rsid w:val="54F4C10B"/>
    <w:rsid w:val="54F89B68"/>
    <w:rsid w:val="54FBAF46"/>
    <w:rsid w:val="55061A37"/>
    <w:rsid w:val="550C3E81"/>
    <w:rsid w:val="550D0197"/>
    <w:rsid w:val="551D9B40"/>
    <w:rsid w:val="552B75C2"/>
    <w:rsid w:val="552F86D3"/>
    <w:rsid w:val="55348E28"/>
    <w:rsid w:val="5538C50E"/>
    <w:rsid w:val="554442C3"/>
    <w:rsid w:val="5566A5CC"/>
    <w:rsid w:val="55680FB8"/>
    <w:rsid w:val="556CA15D"/>
    <w:rsid w:val="55742567"/>
    <w:rsid w:val="5589A24C"/>
    <w:rsid w:val="5591468C"/>
    <w:rsid w:val="559FF8CE"/>
    <w:rsid w:val="55A1C9B5"/>
    <w:rsid w:val="55AB0C87"/>
    <w:rsid w:val="55C5C626"/>
    <w:rsid w:val="55D9D7BE"/>
    <w:rsid w:val="560171A4"/>
    <w:rsid w:val="5601E05D"/>
    <w:rsid w:val="560A6693"/>
    <w:rsid w:val="560EAC0C"/>
    <w:rsid w:val="56133B51"/>
    <w:rsid w:val="5636F961"/>
    <w:rsid w:val="5640A66F"/>
    <w:rsid w:val="5645126A"/>
    <w:rsid w:val="5645B528"/>
    <w:rsid w:val="5648C638"/>
    <w:rsid w:val="5649DFBA"/>
    <w:rsid w:val="56507523"/>
    <w:rsid w:val="56658A93"/>
    <w:rsid w:val="56672A49"/>
    <w:rsid w:val="56746234"/>
    <w:rsid w:val="567536BA"/>
    <w:rsid w:val="567DBA43"/>
    <w:rsid w:val="56866EBA"/>
    <w:rsid w:val="56917AA6"/>
    <w:rsid w:val="56946476"/>
    <w:rsid w:val="5694FF86"/>
    <w:rsid w:val="56ABB7A2"/>
    <w:rsid w:val="56AC928A"/>
    <w:rsid w:val="56B37BB4"/>
    <w:rsid w:val="56C78823"/>
    <w:rsid w:val="56DB60B8"/>
    <w:rsid w:val="56E81536"/>
    <w:rsid w:val="56ED8B40"/>
    <w:rsid w:val="56EF405E"/>
    <w:rsid w:val="56FE2453"/>
    <w:rsid w:val="56FF4DAD"/>
    <w:rsid w:val="570AFBC5"/>
    <w:rsid w:val="571BF0FB"/>
    <w:rsid w:val="572488C9"/>
    <w:rsid w:val="572BD9DC"/>
    <w:rsid w:val="574A7F6E"/>
    <w:rsid w:val="574B44BE"/>
    <w:rsid w:val="57526E47"/>
    <w:rsid w:val="575EF276"/>
    <w:rsid w:val="576ECD20"/>
    <w:rsid w:val="5784B758"/>
    <w:rsid w:val="5798FD99"/>
    <w:rsid w:val="57A2C07F"/>
    <w:rsid w:val="57D175E7"/>
    <w:rsid w:val="57DAD7E1"/>
    <w:rsid w:val="57E1CE04"/>
    <w:rsid w:val="57FF4D47"/>
    <w:rsid w:val="5803B25C"/>
    <w:rsid w:val="5810B46B"/>
    <w:rsid w:val="58170D5F"/>
    <w:rsid w:val="58199A47"/>
    <w:rsid w:val="583074B7"/>
    <w:rsid w:val="5837A1E6"/>
    <w:rsid w:val="5850A352"/>
    <w:rsid w:val="58587571"/>
    <w:rsid w:val="585DAF72"/>
    <w:rsid w:val="5869BF7A"/>
    <w:rsid w:val="586D2F98"/>
    <w:rsid w:val="586FA8C2"/>
    <w:rsid w:val="5885F662"/>
    <w:rsid w:val="58971D68"/>
    <w:rsid w:val="58990622"/>
    <w:rsid w:val="589C0002"/>
    <w:rsid w:val="58A17126"/>
    <w:rsid w:val="58A28423"/>
    <w:rsid w:val="58AE5123"/>
    <w:rsid w:val="58B4133E"/>
    <w:rsid w:val="58B878C9"/>
    <w:rsid w:val="58B8CDA6"/>
    <w:rsid w:val="58BE1EAE"/>
    <w:rsid w:val="58BFFD86"/>
    <w:rsid w:val="58C674FC"/>
    <w:rsid w:val="58D61880"/>
    <w:rsid w:val="58E3B04F"/>
    <w:rsid w:val="58E5E77B"/>
    <w:rsid w:val="590F3C26"/>
    <w:rsid w:val="591D30EA"/>
    <w:rsid w:val="5937D9CA"/>
    <w:rsid w:val="595A6618"/>
    <w:rsid w:val="5965CDDC"/>
    <w:rsid w:val="596A93FE"/>
    <w:rsid w:val="596FF87A"/>
    <w:rsid w:val="5971A58D"/>
    <w:rsid w:val="5973E99D"/>
    <w:rsid w:val="5973F1CF"/>
    <w:rsid w:val="597CDA65"/>
    <w:rsid w:val="5980FFAA"/>
    <w:rsid w:val="5999B688"/>
    <w:rsid w:val="599BEC8B"/>
    <w:rsid w:val="59A4BC97"/>
    <w:rsid w:val="59A70B4B"/>
    <w:rsid w:val="59D522A6"/>
    <w:rsid w:val="59DD7F37"/>
    <w:rsid w:val="59E48D71"/>
    <w:rsid w:val="59F0E443"/>
    <w:rsid w:val="59FBE987"/>
    <w:rsid w:val="5A067276"/>
    <w:rsid w:val="5A0B7923"/>
    <w:rsid w:val="5A0F4C93"/>
    <w:rsid w:val="5A1AB342"/>
    <w:rsid w:val="5A21ACF1"/>
    <w:rsid w:val="5A2CCE29"/>
    <w:rsid w:val="5A329AF7"/>
    <w:rsid w:val="5A3ACFE2"/>
    <w:rsid w:val="5A3BC41B"/>
    <w:rsid w:val="5A433A6F"/>
    <w:rsid w:val="5A508805"/>
    <w:rsid w:val="5A6665A5"/>
    <w:rsid w:val="5A83B9FF"/>
    <w:rsid w:val="5A93920E"/>
    <w:rsid w:val="5AA91543"/>
    <w:rsid w:val="5AB39449"/>
    <w:rsid w:val="5AC76C91"/>
    <w:rsid w:val="5ACF1CBC"/>
    <w:rsid w:val="5AD22F97"/>
    <w:rsid w:val="5AE978BD"/>
    <w:rsid w:val="5AF32418"/>
    <w:rsid w:val="5AFC6750"/>
    <w:rsid w:val="5B0726F0"/>
    <w:rsid w:val="5B12478A"/>
    <w:rsid w:val="5B2BFB56"/>
    <w:rsid w:val="5B4329A0"/>
    <w:rsid w:val="5B526DEC"/>
    <w:rsid w:val="5B5A3FEB"/>
    <w:rsid w:val="5B6169EC"/>
    <w:rsid w:val="5B7691E6"/>
    <w:rsid w:val="5B7B2398"/>
    <w:rsid w:val="5B7D3489"/>
    <w:rsid w:val="5B9BCE6B"/>
    <w:rsid w:val="5B9D27CD"/>
    <w:rsid w:val="5B9EC5F3"/>
    <w:rsid w:val="5BAE02E6"/>
    <w:rsid w:val="5BB7AFD1"/>
    <w:rsid w:val="5BB979FF"/>
    <w:rsid w:val="5BD2B7B6"/>
    <w:rsid w:val="5BD7947C"/>
    <w:rsid w:val="5BDA119E"/>
    <w:rsid w:val="5BE05D3F"/>
    <w:rsid w:val="5BE3951D"/>
    <w:rsid w:val="5BE7DF90"/>
    <w:rsid w:val="5BEEF3D7"/>
    <w:rsid w:val="5BF3246F"/>
    <w:rsid w:val="5BFFF76F"/>
    <w:rsid w:val="5C0EE1D4"/>
    <w:rsid w:val="5C0EF2DA"/>
    <w:rsid w:val="5C10BC9F"/>
    <w:rsid w:val="5C164BB9"/>
    <w:rsid w:val="5C1FB902"/>
    <w:rsid w:val="5C200E9A"/>
    <w:rsid w:val="5C203B93"/>
    <w:rsid w:val="5C22EDE4"/>
    <w:rsid w:val="5C366610"/>
    <w:rsid w:val="5C39D851"/>
    <w:rsid w:val="5C3C9BF2"/>
    <w:rsid w:val="5C476EF1"/>
    <w:rsid w:val="5C52A257"/>
    <w:rsid w:val="5C547AE6"/>
    <w:rsid w:val="5C558971"/>
    <w:rsid w:val="5C55CC20"/>
    <w:rsid w:val="5C63B7E8"/>
    <w:rsid w:val="5C6A8F8D"/>
    <w:rsid w:val="5C6B140F"/>
    <w:rsid w:val="5C7DF40B"/>
    <w:rsid w:val="5CA2E3A9"/>
    <w:rsid w:val="5CA3ECF8"/>
    <w:rsid w:val="5CA88D32"/>
    <w:rsid w:val="5CBA3800"/>
    <w:rsid w:val="5CBFEB0A"/>
    <w:rsid w:val="5CC40DEA"/>
    <w:rsid w:val="5CCCAF55"/>
    <w:rsid w:val="5CD30AF1"/>
    <w:rsid w:val="5CE665CD"/>
    <w:rsid w:val="5CF749E1"/>
    <w:rsid w:val="5D0B60AF"/>
    <w:rsid w:val="5D1E0BBF"/>
    <w:rsid w:val="5D28CFB9"/>
    <w:rsid w:val="5D334660"/>
    <w:rsid w:val="5D363AF4"/>
    <w:rsid w:val="5D379861"/>
    <w:rsid w:val="5D47B46A"/>
    <w:rsid w:val="5D47BCA7"/>
    <w:rsid w:val="5D59A2B0"/>
    <w:rsid w:val="5D7A85FB"/>
    <w:rsid w:val="5D7C673F"/>
    <w:rsid w:val="5D8D6F29"/>
    <w:rsid w:val="5D91EE1D"/>
    <w:rsid w:val="5D971873"/>
    <w:rsid w:val="5DA6F809"/>
    <w:rsid w:val="5DA79B98"/>
    <w:rsid w:val="5DA89E8E"/>
    <w:rsid w:val="5DAF270D"/>
    <w:rsid w:val="5DB23E6D"/>
    <w:rsid w:val="5DB2E93C"/>
    <w:rsid w:val="5DB3D0DB"/>
    <w:rsid w:val="5DC7F6CA"/>
    <w:rsid w:val="5DCA1AAC"/>
    <w:rsid w:val="5DE72F61"/>
    <w:rsid w:val="5DEDC50C"/>
    <w:rsid w:val="5DF95793"/>
    <w:rsid w:val="5DFB04B5"/>
    <w:rsid w:val="5E02526A"/>
    <w:rsid w:val="5E09108C"/>
    <w:rsid w:val="5E0C7F56"/>
    <w:rsid w:val="5E116ACD"/>
    <w:rsid w:val="5E1C21AD"/>
    <w:rsid w:val="5E297F36"/>
    <w:rsid w:val="5E3D8ECC"/>
    <w:rsid w:val="5E4013B4"/>
    <w:rsid w:val="5E445D93"/>
    <w:rsid w:val="5E726CC7"/>
    <w:rsid w:val="5E7C41E1"/>
    <w:rsid w:val="5E89ADFE"/>
    <w:rsid w:val="5E8C9442"/>
    <w:rsid w:val="5EA0E714"/>
    <w:rsid w:val="5EB62B07"/>
    <w:rsid w:val="5EBCC713"/>
    <w:rsid w:val="5ED96FA6"/>
    <w:rsid w:val="5EE4A2EF"/>
    <w:rsid w:val="5EECEF64"/>
    <w:rsid w:val="5EF34422"/>
    <w:rsid w:val="5EF77BAA"/>
    <w:rsid w:val="5F1037C9"/>
    <w:rsid w:val="5F11063E"/>
    <w:rsid w:val="5F139294"/>
    <w:rsid w:val="5F34057E"/>
    <w:rsid w:val="5F340E64"/>
    <w:rsid w:val="5F42C86A"/>
    <w:rsid w:val="5F57A09E"/>
    <w:rsid w:val="5F5AF52C"/>
    <w:rsid w:val="5F678F51"/>
    <w:rsid w:val="5F83E26C"/>
    <w:rsid w:val="5F88038B"/>
    <w:rsid w:val="5F8849E2"/>
    <w:rsid w:val="5F8B7712"/>
    <w:rsid w:val="5F8CBBF9"/>
    <w:rsid w:val="5F8CE05A"/>
    <w:rsid w:val="5F9BE4A8"/>
    <w:rsid w:val="5FA4FFB4"/>
    <w:rsid w:val="5FB334DD"/>
    <w:rsid w:val="5FCB8ADF"/>
    <w:rsid w:val="5FD3913C"/>
    <w:rsid w:val="5FDB8DBA"/>
    <w:rsid w:val="5FE23A92"/>
    <w:rsid w:val="5FE347E2"/>
    <w:rsid w:val="5FE515DB"/>
    <w:rsid w:val="5FF4F3B0"/>
    <w:rsid w:val="5FFBAD87"/>
    <w:rsid w:val="6004F06F"/>
    <w:rsid w:val="600B2E0F"/>
    <w:rsid w:val="601CDF92"/>
    <w:rsid w:val="602869C4"/>
    <w:rsid w:val="6029E249"/>
    <w:rsid w:val="602C36F4"/>
    <w:rsid w:val="602D5A27"/>
    <w:rsid w:val="60321969"/>
    <w:rsid w:val="603F820C"/>
    <w:rsid w:val="60434F9D"/>
    <w:rsid w:val="604481AA"/>
    <w:rsid w:val="60495446"/>
    <w:rsid w:val="6058E7E1"/>
    <w:rsid w:val="60930CE5"/>
    <w:rsid w:val="60C06059"/>
    <w:rsid w:val="60CAF16A"/>
    <w:rsid w:val="60D984ED"/>
    <w:rsid w:val="60EB4E08"/>
    <w:rsid w:val="60FA1F98"/>
    <w:rsid w:val="6100CA64"/>
    <w:rsid w:val="61192F94"/>
    <w:rsid w:val="612A5BF9"/>
    <w:rsid w:val="613C353A"/>
    <w:rsid w:val="6144FB66"/>
    <w:rsid w:val="615522FA"/>
    <w:rsid w:val="615891AD"/>
    <w:rsid w:val="6169C207"/>
    <w:rsid w:val="6170DFC1"/>
    <w:rsid w:val="617C2473"/>
    <w:rsid w:val="6180C22A"/>
    <w:rsid w:val="6181F544"/>
    <w:rsid w:val="618E8E55"/>
    <w:rsid w:val="619B9390"/>
    <w:rsid w:val="61A002BA"/>
    <w:rsid w:val="61AD9AF1"/>
    <w:rsid w:val="61AEFAD5"/>
    <w:rsid w:val="61B7453C"/>
    <w:rsid w:val="61BC3DBD"/>
    <w:rsid w:val="61BD6ABB"/>
    <w:rsid w:val="61C4E20F"/>
    <w:rsid w:val="62060DD8"/>
    <w:rsid w:val="6216931D"/>
    <w:rsid w:val="621B9E9E"/>
    <w:rsid w:val="62213829"/>
    <w:rsid w:val="62438B1A"/>
    <w:rsid w:val="62620A5C"/>
    <w:rsid w:val="627C0321"/>
    <w:rsid w:val="628B062A"/>
    <w:rsid w:val="628D7A61"/>
    <w:rsid w:val="629600D3"/>
    <w:rsid w:val="62A0992A"/>
    <w:rsid w:val="62AC3392"/>
    <w:rsid w:val="62C10644"/>
    <w:rsid w:val="62C42BE6"/>
    <w:rsid w:val="62C83581"/>
    <w:rsid w:val="62CF59BF"/>
    <w:rsid w:val="62DDA897"/>
    <w:rsid w:val="62E18843"/>
    <w:rsid w:val="62E310DB"/>
    <w:rsid w:val="62F7D8A1"/>
    <w:rsid w:val="6308E093"/>
    <w:rsid w:val="631613E1"/>
    <w:rsid w:val="63321ECC"/>
    <w:rsid w:val="635C5535"/>
    <w:rsid w:val="6367CCAB"/>
    <w:rsid w:val="636A730E"/>
    <w:rsid w:val="63749615"/>
    <w:rsid w:val="63764DED"/>
    <w:rsid w:val="63B1A6AC"/>
    <w:rsid w:val="63BA1270"/>
    <w:rsid w:val="63BCC8F8"/>
    <w:rsid w:val="63C7E5AE"/>
    <w:rsid w:val="63E5A638"/>
    <w:rsid w:val="63E98611"/>
    <w:rsid w:val="63EC1FA9"/>
    <w:rsid w:val="63FF6560"/>
    <w:rsid w:val="64018347"/>
    <w:rsid w:val="64059A8E"/>
    <w:rsid w:val="64085B27"/>
    <w:rsid w:val="641B0912"/>
    <w:rsid w:val="641C15B0"/>
    <w:rsid w:val="6420E32A"/>
    <w:rsid w:val="6421B382"/>
    <w:rsid w:val="64333568"/>
    <w:rsid w:val="644448A5"/>
    <w:rsid w:val="6448BFC1"/>
    <w:rsid w:val="644D82F9"/>
    <w:rsid w:val="64516B7F"/>
    <w:rsid w:val="64517036"/>
    <w:rsid w:val="646B1962"/>
    <w:rsid w:val="646C082B"/>
    <w:rsid w:val="646FFD36"/>
    <w:rsid w:val="647A647B"/>
    <w:rsid w:val="647DB88F"/>
    <w:rsid w:val="647E8AA7"/>
    <w:rsid w:val="6483296B"/>
    <w:rsid w:val="64908D6C"/>
    <w:rsid w:val="64A06D36"/>
    <w:rsid w:val="64A246F1"/>
    <w:rsid w:val="64A6ADAB"/>
    <w:rsid w:val="64A747AE"/>
    <w:rsid w:val="64AF39D1"/>
    <w:rsid w:val="64B32944"/>
    <w:rsid w:val="64B3C535"/>
    <w:rsid w:val="64C35562"/>
    <w:rsid w:val="65059D49"/>
    <w:rsid w:val="6505A905"/>
    <w:rsid w:val="65074696"/>
    <w:rsid w:val="650CD199"/>
    <w:rsid w:val="650F5AFE"/>
    <w:rsid w:val="6510FAF1"/>
    <w:rsid w:val="651CA8DC"/>
    <w:rsid w:val="651DC8B0"/>
    <w:rsid w:val="6525668B"/>
    <w:rsid w:val="65264BCA"/>
    <w:rsid w:val="6533BA6D"/>
    <w:rsid w:val="6545D1C2"/>
    <w:rsid w:val="6555BFAE"/>
    <w:rsid w:val="6558F50E"/>
    <w:rsid w:val="65687293"/>
    <w:rsid w:val="656CC037"/>
    <w:rsid w:val="656E109D"/>
    <w:rsid w:val="6574BC16"/>
    <w:rsid w:val="6583AB34"/>
    <w:rsid w:val="658BB809"/>
    <w:rsid w:val="65A5A420"/>
    <w:rsid w:val="65AB4226"/>
    <w:rsid w:val="65B55F1B"/>
    <w:rsid w:val="65B69377"/>
    <w:rsid w:val="65C9D08A"/>
    <w:rsid w:val="65D544DD"/>
    <w:rsid w:val="65DD2D0E"/>
    <w:rsid w:val="65E32360"/>
    <w:rsid w:val="65EF1B7C"/>
    <w:rsid w:val="65F4BCBF"/>
    <w:rsid w:val="66092274"/>
    <w:rsid w:val="6618BB89"/>
    <w:rsid w:val="66305E7A"/>
    <w:rsid w:val="663727FC"/>
    <w:rsid w:val="663B7DB5"/>
    <w:rsid w:val="663CEE66"/>
    <w:rsid w:val="66523AC2"/>
    <w:rsid w:val="665DA4C6"/>
    <w:rsid w:val="665EA4FD"/>
    <w:rsid w:val="66614736"/>
    <w:rsid w:val="66693E40"/>
    <w:rsid w:val="66699846"/>
    <w:rsid w:val="66764C20"/>
    <w:rsid w:val="667BA6E5"/>
    <w:rsid w:val="669C2281"/>
    <w:rsid w:val="669F4D51"/>
    <w:rsid w:val="669F6D6D"/>
    <w:rsid w:val="66B135D7"/>
    <w:rsid w:val="66B186C1"/>
    <w:rsid w:val="66B8BCF2"/>
    <w:rsid w:val="66BB85BF"/>
    <w:rsid w:val="66CA04EE"/>
    <w:rsid w:val="66CB860C"/>
    <w:rsid w:val="66E1AB0A"/>
    <w:rsid w:val="66F6C616"/>
    <w:rsid w:val="66FCCEE0"/>
    <w:rsid w:val="66FDAF97"/>
    <w:rsid w:val="6707CE90"/>
    <w:rsid w:val="670EEA01"/>
    <w:rsid w:val="67275C1B"/>
    <w:rsid w:val="6729F09E"/>
    <w:rsid w:val="673FD422"/>
    <w:rsid w:val="674B5234"/>
    <w:rsid w:val="674E4107"/>
    <w:rsid w:val="675440B3"/>
    <w:rsid w:val="67546D42"/>
    <w:rsid w:val="676BBF11"/>
    <w:rsid w:val="677B4647"/>
    <w:rsid w:val="6790C61D"/>
    <w:rsid w:val="67947767"/>
    <w:rsid w:val="67957924"/>
    <w:rsid w:val="679FBBEC"/>
    <w:rsid w:val="67A2216B"/>
    <w:rsid w:val="67A82C72"/>
    <w:rsid w:val="67ABA1FE"/>
    <w:rsid w:val="67B59556"/>
    <w:rsid w:val="67BFEC19"/>
    <w:rsid w:val="67CAFAB9"/>
    <w:rsid w:val="67ED5E25"/>
    <w:rsid w:val="67ED790E"/>
    <w:rsid w:val="680663DE"/>
    <w:rsid w:val="6812587B"/>
    <w:rsid w:val="68129C33"/>
    <w:rsid w:val="6817356B"/>
    <w:rsid w:val="683E0C9B"/>
    <w:rsid w:val="6843C174"/>
    <w:rsid w:val="684958F0"/>
    <w:rsid w:val="68537031"/>
    <w:rsid w:val="685671F3"/>
    <w:rsid w:val="685BB34D"/>
    <w:rsid w:val="688A2126"/>
    <w:rsid w:val="688EF34F"/>
    <w:rsid w:val="68919670"/>
    <w:rsid w:val="689882F7"/>
    <w:rsid w:val="68AF0920"/>
    <w:rsid w:val="68AFA040"/>
    <w:rsid w:val="68B469A5"/>
    <w:rsid w:val="68B72F18"/>
    <w:rsid w:val="68C259E2"/>
    <w:rsid w:val="68D9B4DD"/>
    <w:rsid w:val="68DEC910"/>
    <w:rsid w:val="68E1C8D9"/>
    <w:rsid w:val="68F84207"/>
    <w:rsid w:val="68FAFE24"/>
    <w:rsid w:val="68FB24F5"/>
    <w:rsid w:val="68FB49D5"/>
    <w:rsid w:val="690FADCF"/>
    <w:rsid w:val="692C77C9"/>
    <w:rsid w:val="692DA485"/>
    <w:rsid w:val="6934F11F"/>
    <w:rsid w:val="695DCBAF"/>
    <w:rsid w:val="6973A637"/>
    <w:rsid w:val="697C9096"/>
    <w:rsid w:val="6998E7F8"/>
    <w:rsid w:val="69A0A19E"/>
    <w:rsid w:val="69B59724"/>
    <w:rsid w:val="69C26B14"/>
    <w:rsid w:val="69CAFB40"/>
    <w:rsid w:val="69D5BABD"/>
    <w:rsid w:val="69D71791"/>
    <w:rsid w:val="69DB1085"/>
    <w:rsid w:val="69DF067C"/>
    <w:rsid w:val="69E068EB"/>
    <w:rsid w:val="69E5E443"/>
    <w:rsid w:val="69EE29B7"/>
    <w:rsid w:val="69F21B8F"/>
    <w:rsid w:val="69F4E6C4"/>
    <w:rsid w:val="69FDB0F9"/>
    <w:rsid w:val="6A13B3EC"/>
    <w:rsid w:val="6A2C3493"/>
    <w:rsid w:val="6A44C8CE"/>
    <w:rsid w:val="6A58A0A2"/>
    <w:rsid w:val="6A5E10A1"/>
    <w:rsid w:val="6A6B4B86"/>
    <w:rsid w:val="6A854CD7"/>
    <w:rsid w:val="6A88DA9A"/>
    <w:rsid w:val="6A8ADC8F"/>
    <w:rsid w:val="6A941268"/>
    <w:rsid w:val="6A984D5C"/>
    <w:rsid w:val="6A9D8283"/>
    <w:rsid w:val="6AA835F5"/>
    <w:rsid w:val="6AAF968D"/>
    <w:rsid w:val="6AB6C03A"/>
    <w:rsid w:val="6ABD474B"/>
    <w:rsid w:val="6AC173DE"/>
    <w:rsid w:val="6AC21144"/>
    <w:rsid w:val="6AC98415"/>
    <w:rsid w:val="6ACBBD0A"/>
    <w:rsid w:val="6AD4FA82"/>
    <w:rsid w:val="6AD75CAE"/>
    <w:rsid w:val="6AE342C0"/>
    <w:rsid w:val="6AFB50D1"/>
    <w:rsid w:val="6B13748D"/>
    <w:rsid w:val="6B1B0180"/>
    <w:rsid w:val="6B2677C0"/>
    <w:rsid w:val="6B2D7FFA"/>
    <w:rsid w:val="6B30886F"/>
    <w:rsid w:val="6B344D0A"/>
    <w:rsid w:val="6B3D321D"/>
    <w:rsid w:val="6B5E3B75"/>
    <w:rsid w:val="6B6B3BDE"/>
    <w:rsid w:val="6B77E7B8"/>
    <w:rsid w:val="6B8761B1"/>
    <w:rsid w:val="6B8BD5CA"/>
    <w:rsid w:val="6BBE3337"/>
    <w:rsid w:val="6BC02EAD"/>
    <w:rsid w:val="6BC62E9F"/>
    <w:rsid w:val="6BCF9194"/>
    <w:rsid w:val="6BCFD937"/>
    <w:rsid w:val="6BD47654"/>
    <w:rsid w:val="6BD49B4D"/>
    <w:rsid w:val="6BEC0A67"/>
    <w:rsid w:val="6BF7A90F"/>
    <w:rsid w:val="6C06C5C9"/>
    <w:rsid w:val="6C09E4AB"/>
    <w:rsid w:val="6C12F9D6"/>
    <w:rsid w:val="6C1A83AA"/>
    <w:rsid w:val="6C4518CD"/>
    <w:rsid w:val="6C5D6F0D"/>
    <w:rsid w:val="6C791E0B"/>
    <w:rsid w:val="6CACB62F"/>
    <w:rsid w:val="6CB2AF96"/>
    <w:rsid w:val="6CB6F50E"/>
    <w:rsid w:val="6CB77385"/>
    <w:rsid w:val="6CC1DC9F"/>
    <w:rsid w:val="6CC40430"/>
    <w:rsid w:val="6CC4BBAD"/>
    <w:rsid w:val="6CCAEAE1"/>
    <w:rsid w:val="6CCE7241"/>
    <w:rsid w:val="6CCEDDC8"/>
    <w:rsid w:val="6CDCD0EC"/>
    <w:rsid w:val="6CDE3436"/>
    <w:rsid w:val="6CE3C977"/>
    <w:rsid w:val="6CE6F893"/>
    <w:rsid w:val="6CF83941"/>
    <w:rsid w:val="6D018505"/>
    <w:rsid w:val="6D071768"/>
    <w:rsid w:val="6D09313F"/>
    <w:rsid w:val="6D0CB2EE"/>
    <w:rsid w:val="6D1769FB"/>
    <w:rsid w:val="6D1B142F"/>
    <w:rsid w:val="6D1CC448"/>
    <w:rsid w:val="6D1E2635"/>
    <w:rsid w:val="6D29B961"/>
    <w:rsid w:val="6D2FE352"/>
    <w:rsid w:val="6D43C405"/>
    <w:rsid w:val="6D498E18"/>
    <w:rsid w:val="6D4CF928"/>
    <w:rsid w:val="6D52C189"/>
    <w:rsid w:val="6D5763CF"/>
    <w:rsid w:val="6D5F1C48"/>
    <w:rsid w:val="6D645B71"/>
    <w:rsid w:val="6D68601C"/>
    <w:rsid w:val="6D71FAFA"/>
    <w:rsid w:val="6D8910FA"/>
    <w:rsid w:val="6DA22FB2"/>
    <w:rsid w:val="6DDC534B"/>
    <w:rsid w:val="6DDD002A"/>
    <w:rsid w:val="6DEDBB1E"/>
    <w:rsid w:val="6DEFAD32"/>
    <w:rsid w:val="6DF914A0"/>
    <w:rsid w:val="6E02A568"/>
    <w:rsid w:val="6E08539E"/>
    <w:rsid w:val="6E1A8E7A"/>
    <w:rsid w:val="6E1CEA20"/>
    <w:rsid w:val="6E230D2A"/>
    <w:rsid w:val="6E25FBB4"/>
    <w:rsid w:val="6E2958ED"/>
    <w:rsid w:val="6E2C703D"/>
    <w:rsid w:val="6E337EA3"/>
    <w:rsid w:val="6E45383C"/>
    <w:rsid w:val="6E4D155B"/>
    <w:rsid w:val="6E576F64"/>
    <w:rsid w:val="6E5C1BB2"/>
    <w:rsid w:val="6E65AD08"/>
    <w:rsid w:val="6E6FEBE0"/>
    <w:rsid w:val="6E7743B5"/>
    <w:rsid w:val="6E82BFA9"/>
    <w:rsid w:val="6E8F7DC4"/>
    <w:rsid w:val="6E9425C2"/>
    <w:rsid w:val="6EA8F6FD"/>
    <w:rsid w:val="6EC38A90"/>
    <w:rsid w:val="6EC3B111"/>
    <w:rsid w:val="6EC7FB44"/>
    <w:rsid w:val="6ED0DE5F"/>
    <w:rsid w:val="6ED73936"/>
    <w:rsid w:val="6ED9C9A9"/>
    <w:rsid w:val="6EDFC3E3"/>
    <w:rsid w:val="6EEC458F"/>
    <w:rsid w:val="6EEF698E"/>
    <w:rsid w:val="6EFB4E6A"/>
    <w:rsid w:val="6F0A93F7"/>
    <w:rsid w:val="6F142753"/>
    <w:rsid w:val="6F1555D1"/>
    <w:rsid w:val="6F159685"/>
    <w:rsid w:val="6F1A3D96"/>
    <w:rsid w:val="6F32C559"/>
    <w:rsid w:val="6F49D26C"/>
    <w:rsid w:val="6F67838B"/>
    <w:rsid w:val="6F89F00D"/>
    <w:rsid w:val="6F9E4245"/>
    <w:rsid w:val="6FCDCDA5"/>
    <w:rsid w:val="6FD4B4CB"/>
    <w:rsid w:val="6FE14992"/>
    <w:rsid w:val="6FE2E6D3"/>
    <w:rsid w:val="6FE55512"/>
    <w:rsid w:val="6FF9DC5A"/>
    <w:rsid w:val="6FFDFAF4"/>
    <w:rsid w:val="70044203"/>
    <w:rsid w:val="700A5A80"/>
    <w:rsid w:val="70124E2C"/>
    <w:rsid w:val="7018B5AB"/>
    <w:rsid w:val="7020102A"/>
    <w:rsid w:val="702972BF"/>
    <w:rsid w:val="702C0614"/>
    <w:rsid w:val="703EBAC5"/>
    <w:rsid w:val="7043A0B6"/>
    <w:rsid w:val="704E70BD"/>
    <w:rsid w:val="705C209E"/>
    <w:rsid w:val="707853DF"/>
    <w:rsid w:val="7078FCBB"/>
    <w:rsid w:val="70819BD8"/>
    <w:rsid w:val="70896105"/>
    <w:rsid w:val="7092B3B8"/>
    <w:rsid w:val="709B2166"/>
    <w:rsid w:val="709E854A"/>
    <w:rsid w:val="70A097A9"/>
    <w:rsid w:val="70A5CB65"/>
    <w:rsid w:val="70AA3C08"/>
    <w:rsid w:val="70B0F63F"/>
    <w:rsid w:val="70B3A25A"/>
    <w:rsid w:val="70B44D7D"/>
    <w:rsid w:val="70B60DF7"/>
    <w:rsid w:val="70BA99C4"/>
    <w:rsid w:val="70C6F3F3"/>
    <w:rsid w:val="70D5AC74"/>
    <w:rsid w:val="70D9AE78"/>
    <w:rsid w:val="70DAD84A"/>
    <w:rsid w:val="70EA0C50"/>
    <w:rsid w:val="71083AAC"/>
    <w:rsid w:val="710CEC8A"/>
    <w:rsid w:val="7122AC51"/>
    <w:rsid w:val="712603A9"/>
    <w:rsid w:val="712F1E1E"/>
    <w:rsid w:val="7136FB71"/>
    <w:rsid w:val="714C8EA2"/>
    <w:rsid w:val="714D307C"/>
    <w:rsid w:val="715A77C1"/>
    <w:rsid w:val="7175C414"/>
    <w:rsid w:val="71955B81"/>
    <w:rsid w:val="719D1504"/>
    <w:rsid w:val="71A01264"/>
    <w:rsid w:val="71A78CA2"/>
    <w:rsid w:val="71AA33C5"/>
    <w:rsid w:val="71AB780B"/>
    <w:rsid w:val="71CC5BE3"/>
    <w:rsid w:val="71FB174E"/>
    <w:rsid w:val="71FB51D3"/>
    <w:rsid w:val="7220270E"/>
    <w:rsid w:val="72251659"/>
    <w:rsid w:val="7228D6A8"/>
    <w:rsid w:val="72429EDE"/>
    <w:rsid w:val="72582DF7"/>
    <w:rsid w:val="7265E92F"/>
    <w:rsid w:val="726A6A68"/>
    <w:rsid w:val="726E3BEA"/>
    <w:rsid w:val="726ED4EE"/>
    <w:rsid w:val="727BC178"/>
    <w:rsid w:val="7282AA0C"/>
    <w:rsid w:val="729201BF"/>
    <w:rsid w:val="7299EA4E"/>
    <w:rsid w:val="729C46CB"/>
    <w:rsid w:val="72D5EC69"/>
    <w:rsid w:val="72F1273D"/>
    <w:rsid w:val="72F6E3DF"/>
    <w:rsid w:val="72F8CFF3"/>
    <w:rsid w:val="731F398B"/>
    <w:rsid w:val="7330BA1C"/>
    <w:rsid w:val="7338046B"/>
    <w:rsid w:val="733F5AC8"/>
    <w:rsid w:val="73446B33"/>
    <w:rsid w:val="735CC11B"/>
    <w:rsid w:val="735DF452"/>
    <w:rsid w:val="73764DC3"/>
    <w:rsid w:val="73800ED1"/>
    <w:rsid w:val="738B80CF"/>
    <w:rsid w:val="738CE168"/>
    <w:rsid w:val="738F0277"/>
    <w:rsid w:val="73B63CC4"/>
    <w:rsid w:val="73B8285F"/>
    <w:rsid w:val="73BFD70E"/>
    <w:rsid w:val="73CFB7FC"/>
    <w:rsid w:val="73D10F37"/>
    <w:rsid w:val="73E78F29"/>
    <w:rsid w:val="73EBDF89"/>
    <w:rsid w:val="73EC07CC"/>
    <w:rsid w:val="73EF9842"/>
    <w:rsid w:val="740255C7"/>
    <w:rsid w:val="74056710"/>
    <w:rsid w:val="740CAAB4"/>
    <w:rsid w:val="741AB087"/>
    <w:rsid w:val="742B948D"/>
    <w:rsid w:val="7461D35D"/>
    <w:rsid w:val="7465C9D2"/>
    <w:rsid w:val="746BB179"/>
    <w:rsid w:val="74786997"/>
    <w:rsid w:val="74791520"/>
    <w:rsid w:val="7480CA44"/>
    <w:rsid w:val="7483B3A1"/>
    <w:rsid w:val="7499FB33"/>
    <w:rsid w:val="74CB49C5"/>
    <w:rsid w:val="74D8C278"/>
    <w:rsid w:val="74DD23B5"/>
    <w:rsid w:val="74ED6368"/>
    <w:rsid w:val="74FB946F"/>
    <w:rsid w:val="7500ACBD"/>
    <w:rsid w:val="75198FB3"/>
    <w:rsid w:val="7519CA38"/>
    <w:rsid w:val="751A913E"/>
    <w:rsid w:val="751B5AA5"/>
    <w:rsid w:val="751FB4FC"/>
    <w:rsid w:val="752AAEF0"/>
    <w:rsid w:val="752CB10F"/>
    <w:rsid w:val="752F53C3"/>
    <w:rsid w:val="7537E018"/>
    <w:rsid w:val="7561E4CE"/>
    <w:rsid w:val="758C649B"/>
    <w:rsid w:val="759C5446"/>
    <w:rsid w:val="75A0C7FB"/>
    <w:rsid w:val="75A2A8EE"/>
    <w:rsid w:val="75B0FF25"/>
    <w:rsid w:val="75B237A3"/>
    <w:rsid w:val="75BCE25C"/>
    <w:rsid w:val="75BFD570"/>
    <w:rsid w:val="75CFB2EE"/>
    <w:rsid w:val="75E66E28"/>
    <w:rsid w:val="75EA6CD1"/>
    <w:rsid w:val="75FFE4AD"/>
    <w:rsid w:val="7604E6B4"/>
    <w:rsid w:val="76083579"/>
    <w:rsid w:val="760F2382"/>
    <w:rsid w:val="7620E91C"/>
    <w:rsid w:val="76253394"/>
    <w:rsid w:val="76396F8A"/>
    <w:rsid w:val="763E4F67"/>
    <w:rsid w:val="765E4D04"/>
    <w:rsid w:val="7661C389"/>
    <w:rsid w:val="766DCF4C"/>
    <w:rsid w:val="766E2097"/>
    <w:rsid w:val="766EC892"/>
    <w:rsid w:val="76707A94"/>
    <w:rsid w:val="768AE41F"/>
    <w:rsid w:val="76927DAF"/>
    <w:rsid w:val="76B24A12"/>
    <w:rsid w:val="76B41011"/>
    <w:rsid w:val="76B657D3"/>
    <w:rsid w:val="76BF6662"/>
    <w:rsid w:val="76C29537"/>
    <w:rsid w:val="76C4879C"/>
    <w:rsid w:val="76C9A50B"/>
    <w:rsid w:val="76F26619"/>
    <w:rsid w:val="76F283DB"/>
    <w:rsid w:val="76F4A9EB"/>
    <w:rsid w:val="76F7747B"/>
    <w:rsid w:val="76FBE48C"/>
    <w:rsid w:val="770518EC"/>
    <w:rsid w:val="770741E5"/>
    <w:rsid w:val="7709E765"/>
    <w:rsid w:val="770A00DF"/>
    <w:rsid w:val="770B7E3E"/>
    <w:rsid w:val="7719AAEF"/>
    <w:rsid w:val="77429745"/>
    <w:rsid w:val="774ACF3F"/>
    <w:rsid w:val="774F2D16"/>
    <w:rsid w:val="775F87A8"/>
    <w:rsid w:val="7772850D"/>
    <w:rsid w:val="777C8D65"/>
    <w:rsid w:val="778B1E75"/>
    <w:rsid w:val="77A13581"/>
    <w:rsid w:val="77C3086C"/>
    <w:rsid w:val="77D64EAB"/>
    <w:rsid w:val="77D6DE8C"/>
    <w:rsid w:val="77E53E16"/>
    <w:rsid w:val="77EBF1D9"/>
    <w:rsid w:val="77F9A7B5"/>
    <w:rsid w:val="7800ACD3"/>
    <w:rsid w:val="780D95EC"/>
    <w:rsid w:val="7819930F"/>
    <w:rsid w:val="7826170B"/>
    <w:rsid w:val="782F7733"/>
    <w:rsid w:val="783A9239"/>
    <w:rsid w:val="7845864A"/>
    <w:rsid w:val="78482067"/>
    <w:rsid w:val="784A3BA9"/>
    <w:rsid w:val="786C73B3"/>
    <w:rsid w:val="78754DE0"/>
    <w:rsid w:val="7878A2C7"/>
    <w:rsid w:val="789DC531"/>
    <w:rsid w:val="78BC0824"/>
    <w:rsid w:val="78C14DD8"/>
    <w:rsid w:val="78C1F825"/>
    <w:rsid w:val="78D252AC"/>
    <w:rsid w:val="78D410CF"/>
    <w:rsid w:val="78D63801"/>
    <w:rsid w:val="78DAC02F"/>
    <w:rsid w:val="78ED5F2E"/>
    <w:rsid w:val="78F37B72"/>
    <w:rsid w:val="78F7766E"/>
    <w:rsid w:val="78F8AB5E"/>
    <w:rsid w:val="78F8D32E"/>
    <w:rsid w:val="79028D03"/>
    <w:rsid w:val="79037AE8"/>
    <w:rsid w:val="7908C853"/>
    <w:rsid w:val="79277B3B"/>
    <w:rsid w:val="792B9079"/>
    <w:rsid w:val="792D64F3"/>
    <w:rsid w:val="7937E66E"/>
    <w:rsid w:val="79413926"/>
    <w:rsid w:val="79452DED"/>
    <w:rsid w:val="7949ED0F"/>
    <w:rsid w:val="794A286F"/>
    <w:rsid w:val="795ED8CD"/>
    <w:rsid w:val="7970A9D1"/>
    <w:rsid w:val="79710CC8"/>
    <w:rsid w:val="797C25F3"/>
    <w:rsid w:val="798C9144"/>
    <w:rsid w:val="7999FA64"/>
    <w:rsid w:val="79A1838E"/>
    <w:rsid w:val="79B09B41"/>
    <w:rsid w:val="79CAED4D"/>
    <w:rsid w:val="79D3B2FC"/>
    <w:rsid w:val="79DA6910"/>
    <w:rsid w:val="79E2984F"/>
    <w:rsid w:val="79E67A7D"/>
    <w:rsid w:val="79EC69B2"/>
    <w:rsid w:val="79F703AD"/>
    <w:rsid w:val="79FF21F0"/>
    <w:rsid w:val="7A0A5554"/>
    <w:rsid w:val="7A0AC749"/>
    <w:rsid w:val="7A156FD8"/>
    <w:rsid w:val="7A18BD0D"/>
    <w:rsid w:val="7A19FC80"/>
    <w:rsid w:val="7A24D696"/>
    <w:rsid w:val="7A404B3E"/>
    <w:rsid w:val="7A4E2CAE"/>
    <w:rsid w:val="7A5A1D58"/>
    <w:rsid w:val="7A6617E3"/>
    <w:rsid w:val="7A6D8C2B"/>
    <w:rsid w:val="7A9DDB68"/>
    <w:rsid w:val="7AB33E00"/>
    <w:rsid w:val="7AD56AEE"/>
    <w:rsid w:val="7AD57909"/>
    <w:rsid w:val="7AD62732"/>
    <w:rsid w:val="7ADA4917"/>
    <w:rsid w:val="7ADC03D8"/>
    <w:rsid w:val="7AE7D2C3"/>
    <w:rsid w:val="7AEB13A0"/>
    <w:rsid w:val="7AEF3219"/>
    <w:rsid w:val="7AFD8DA0"/>
    <w:rsid w:val="7B10ECAD"/>
    <w:rsid w:val="7B15C27F"/>
    <w:rsid w:val="7B16DB43"/>
    <w:rsid w:val="7B1BAB21"/>
    <w:rsid w:val="7B219862"/>
    <w:rsid w:val="7B3630CB"/>
    <w:rsid w:val="7B467CCD"/>
    <w:rsid w:val="7B607825"/>
    <w:rsid w:val="7B661157"/>
    <w:rsid w:val="7B6C012D"/>
    <w:rsid w:val="7B76DD00"/>
    <w:rsid w:val="7B771550"/>
    <w:rsid w:val="7B790623"/>
    <w:rsid w:val="7B8270A2"/>
    <w:rsid w:val="7B9AEA38"/>
    <w:rsid w:val="7BA51E8E"/>
    <w:rsid w:val="7BC1C614"/>
    <w:rsid w:val="7BCABF1B"/>
    <w:rsid w:val="7BCD5B88"/>
    <w:rsid w:val="7BD73996"/>
    <w:rsid w:val="7BDAC9E1"/>
    <w:rsid w:val="7BDC5634"/>
    <w:rsid w:val="7BE8B2A5"/>
    <w:rsid w:val="7BF4CCFB"/>
    <w:rsid w:val="7C10E996"/>
    <w:rsid w:val="7C193298"/>
    <w:rsid w:val="7C22ECCB"/>
    <w:rsid w:val="7C26E315"/>
    <w:rsid w:val="7C27D7B9"/>
    <w:rsid w:val="7C34D88F"/>
    <w:rsid w:val="7C3AA27D"/>
    <w:rsid w:val="7C47EE41"/>
    <w:rsid w:val="7C5CEA81"/>
    <w:rsid w:val="7C5F5F31"/>
    <w:rsid w:val="7C70B575"/>
    <w:rsid w:val="7C75C0A4"/>
    <w:rsid w:val="7C9BEAFD"/>
    <w:rsid w:val="7C9F5FD3"/>
    <w:rsid w:val="7CA52C96"/>
    <w:rsid w:val="7CB01DF7"/>
    <w:rsid w:val="7CBC58B7"/>
    <w:rsid w:val="7CCDFF2F"/>
    <w:rsid w:val="7CD6649C"/>
    <w:rsid w:val="7CDB4BFB"/>
    <w:rsid w:val="7CE76BD9"/>
    <w:rsid w:val="7CE8AB71"/>
    <w:rsid w:val="7CF3D160"/>
    <w:rsid w:val="7CFDBF1F"/>
    <w:rsid w:val="7CFFB67E"/>
    <w:rsid w:val="7D09B9DC"/>
    <w:rsid w:val="7D0AEAB2"/>
    <w:rsid w:val="7D1ECF76"/>
    <w:rsid w:val="7D2BE29A"/>
    <w:rsid w:val="7D488B02"/>
    <w:rsid w:val="7D5A0230"/>
    <w:rsid w:val="7D5B7D00"/>
    <w:rsid w:val="7D689ABA"/>
    <w:rsid w:val="7D72592F"/>
    <w:rsid w:val="7D792446"/>
    <w:rsid w:val="7D856D18"/>
    <w:rsid w:val="7D8C181A"/>
    <w:rsid w:val="7DAE91FE"/>
    <w:rsid w:val="7DEE0207"/>
    <w:rsid w:val="7DFFAD39"/>
    <w:rsid w:val="7E01A7AE"/>
    <w:rsid w:val="7E0B66DE"/>
    <w:rsid w:val="7E188FA5"/>
    <w:rsid w:val="7E1DC20F"/>
    <w:rsid w:val="7E20AD04"/>
    <w:rsid w:val="7E2618E3"/>
    <w:rsid w:val="7E2E6B10"/>
    <w:rsid w:val="7E32FE83"/>
    <w:rsid w:val="7E33BEA4"/>
    <w:rsid w:val="7E40B389"/>
    <w:rsid w:val="7E6AE334"/>
    <w:rsid w:val="7E6C556D"/>
    <w:rsid w:val="7E815879"/>
    <w:rsid w:val="7E8E9F5D"/>
    <w:rsid w:val="7E90DB78"/>
    <w:rsid w:val="7E92BC31"/>
    <w:rsid w:val="7E9EDB4F"/>
    <w:rsid w:val="7EA34872"/>
    <w:rsid w:val="7EAC0867"/>
    <w:rsid w:val="7EB2758A"/>
    <w:rsid w:val="7EC661E6"/>
    <w:rsid w:val="7EC890A2"/>
    <w:rsid w:val="7ED15E7E"/>
    <w:rsid w:val="7ED3ED64"/>
    <w:rsid w:val="7EE158DA"/>
    <w:rsid w:val="7EECDE54"/>
    <w:rsid w:val="7EFB3806"/>
    <w:rsid w:val="7F0ACC3D"/>
    <w:rsid w:val="7F0EEC8D"/>
    <w:rsid w:val="7F0F5424"/>
    <w:rsid w:val="7F12DB4D"/>
    <w:rsid w:val="7F261169"/>
    <w:rsid w:val="7F2C0FFE"/>
    <w:rsid w:val="7F34D996"/>
    <w:rsid w:val="7F4C980C"/>
    <w:rsid w:val="7F6F117D"/>
    <w:rsid w:val="7F8916D2"/>
    <w:rsid w:val="7F8F4634"/>
    <w:rsid w:val="7F904809"/>
    <w:rsid w:val="7F91FC1D"/>
    <w:rsid w:val="7F94BA2A"/>
    <w:rsid w:val="7F9D0819"/>
    <w:rsid w:val="7F9E7C36"/>
    <w:rsid w:val="7FA33B07"/>
    <w:rsid w:val="7FA846F7"/>
    <w:rsid w:val="7FB46F71"/>
    <w:rsid w:val="7FB4F269"/>
    <w:rsid w:val="7FBA7461"/>
    <w:rsid w:val="7FC16D63"/>
    <w:rsid w:val="7FC4E827"/>
    <w:rsid w:val="7FCECDF4"/>
    <w:rsid w:val="7FDDD2A0"/>
    <w:rsid w:val="7FE3691E"/>
    <w:rsid w:val="7FE8DC1D"/>
    <w:rsid w:val="7FED5F1E"/>
    <w:rsid w:val="7FEEF0DA"/>
    <w:rsid w:val="7FFB3A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A5FCE"/>
  <w15:chartTrackingRefBased/>
  <w15:docId w15:val="{D0FFE845-A268-481E-B292-8F7E84D7D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F74"/>
    <w:rPr>
      <w:rFonts w:ascii="Calibri" w:eastAsia="Calibri" w:hAnsi="Calibri" w:cs="Times New Roman"/>
    </w:rPr>
  </w:style>
  <w:style w:type="paragraph" w:styleId="Heading1">
    <w:name w:val="heading 1"/>
    <w:basedOn w:val="Normal"/>
    <w:next w:val="Normal"/>
    <w:link w:val="Heading1Char"/>
    <w:uiPriority w:val="99"/>
    <w:qFormat/>
    <w:rsid w:val="003F11C3"/>
    <w:pPr>
      <w:keepNext/>
      <w:keepLines/>
      <w:numPr>
        <w:numId w:val="1"/>
      </w:numPr>
      <w:shd w:val="clear" w:color="auto" w:fill="FFFFFF" w:themeFill="background1"/>
      <w:spacing w:before="480" w:after="0"/>
      <w:outlineLvl w:val="0"/>
    </w:pPr>
    <w:rPr>
      <w:rFonts w:eastAsia="Times New Roman"/>
      <w:b/>
      <w:bCs/>
      <w:color w:val="1F497D"/>
      <w:sz w:val="36"/>
      <w:szCs w:val="28"/>
    </w:rPr>
  </w:style>
  <w:style w:type="paragraph" w:styleId="Heading2">
    <w:name w:val="heading 2"/>
    <w:basedOn w:val="Normal"/>
    <w:next w:val="Normal"/>
    <w:link w:val="Heading2Char"/>
    <w:uiPriority w:val="99"/>
    <w:qFormat/>
    <w:rsid w:val="00600F8E"/>
    <w:pPr>
      <w:keepNext/>
      <w:keepLines/>
      <w:numPr>
        <w:ilvl w:val="1"/>
        <w:numId w:val="1"/>
      </w:numPr>
      <w:spacing w:before="200" w:after="0"/>
      <w:outlineLvl w:val="1"/>
    </w:pPr>
    <w:rPr>
      <w:rFonts w:asciiTheme="minorHAnsi" w:eastAsia="Times New Roman" w:hAnsiTheme="minorHAnsi"/>
      <w:b/>
      <w:bCs/>
      <w:color w:val="1F497D"/>
      <w:sz w:val="28"/>
      <w:szCs w:val="26"/>
    </w:rPr>
  </w:style>
  <w:style w:type="paragraph" w:styleId="Heading3">
    <w:name w:val="heading 3"/>
    <w:basedOn w:val="Normal"/>
    <w:next w:val="Normal"/>
    <w:link w:val="Heading3Char"/>
    <w:uiPriority w:val="99"/>
    <w:qFormat/>
    <w:rsid w:val="00292B08"/>
    <w:pPr>
      <w:keepNext/>
      <w:keepLines/>
      <w:spacing w:before="200" w:after="0"/>
      <w:ind w:left="144" w:hanging="144"/>
      <w:outlineLvl w:val="2"/>
    </w:pPr>
    <w:rPr>
      <w:rFonts w:eastAsia="Times New Roman"/>
      <w:b/>
      <w:bCs/>
      <w:color w:val="1F497D"/>
      <w:sz w:val="24"/>
    </w:rPr>
  </w:style>
  <w:style w:type="paragraph" w:styleId="Heading4">
    <w:name w:val="heading 4"/>
    <w:basedOn w:val="Normal"/>
    <w:next w:val="Normal"/>
    <w:link w:val="Heading4Char"/>
    <w:uiPriority w:val="99"/>
    <w:qFormat/>
    <w:rsid w:val="002A2A25"/>
    <w:pPr>
      <w:keepNext/>
      <w:keepLines/>
      <w:numPr>
        <w:ilvl w:val="3"/>
        <w:numId w:val="1"/>
      </w:numPr>
      <w:spacing w:before="200" w:after="0"/>
      <w:outlineLvl w:val="3"/>
    </w:pPr>
    <w:rPr>
      <w:rFonts w:ascii="Cambria" w:eastAsia="Times New Roman" w:hAnsi="Cambria"/>
      <w:b/>
      <w:bCs/>
      <w:iCs/>
      <w:sz w:val="20"/>
      <w:u w:val="single"/>
    </w:rPr>
  </w:style>
  <w:style w:type="paragraph" w:styleId="Heading5">
    <w:name w:val="heading 5"/>
    <w:basedOn w:val="Normal"/>
    <w:next w:val="NormalIndent"/>
    <w:link w:val="Heading5Char"/>
    <w:uiPriority w:val="99"/>
    <w:qFormat/>
    <w:rsid w:val="002A2A25"/>
    <w:pPr>
      <w:keepNext/>
      <w:keepLines/>
      <w:numPr>
        <w:ilvl w:val="4"/>
        <w:numId w:val="1"/>
      </w:numPr>
      <w:spacing w:before="200" w:after="0"/>
      <w:outlineLvl w:val="4"/>
    </w:pPr>
    <w:rPr>
      <w:rFonts w:ascii="Cambria" w:eastAsia="Times New Roman" w:hAnsi="Cambria"/>
      <w:color w:val="243F60"/>
    </w:rPr>
  </w:style>
  <w:style w:type="paragraph" w:styleId="Heading7">
    <w:name w:val="heading 7"/>
    <w:basedOn w:val="Normal"/>
    <w:next w:val="Normal"/>
    <w:link w:val="Heading7Char"/>
    <w:unhideWhenUsed/>
    <w:qFormat/>
    <w:rsid w:val="002A2A2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2A2A2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2A2A2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F11C3"/>
    <w:rPr>
      <w:rFonts w:ascii="Calibri" w:eastAsia="Times New Roman" w:hAnsi="Calibri" w:cs="Times New Roman"/>
      <w:b/>
      <w:bCs/>
      <w:color w:val="1F497D"/>
      <w:sz w:val="36"/>
      <w:szCs w:val="28"/>
      <w:shd w:val="clear" w:color="auto" w:fill="FFFFFF" w:themeFill="background1"/>
    </w:rPr>
  </w:style>
  <w:style w:type="character" w:customStyle="1" w:styleId="Heading2Char">
    <w:name w:val="Heading 2 Char"/>
    <w:basedOn w:val="DefaultParagraphFont"/>
    <w:link w:val="Heading2"/>
    <w:uiPriority w:val="99"/>
    <w:rsid w:val="00600F8E"/>
    <w:rPr>
      <w:rFonts w:eastAsia="Times New Roman" w:cs="Times New Roman"/>
      <w:b/>
      <w:bCs/>
      <w:color w:val="1F497D"/>
      <w:sz w:val="28"/>
      <w:szCs w:val="26"/>
    </w:rPr>
  </w:style>
  <w:style w:type="character" w:customStyle="1" w:styleId="Heading3Char">
    <w:name w:val="Heading 3 Char"/>
    <w:basedOn w:val="DefaultParagraphFont"/>
    <w:link w:val="Heading3"/>
    <w:uiPriority w:val="99"/>
    <w:rsid w:val="00292B08"/>
    <w:rPr>
      <w:rFonts w:ascii="Calibri" w:eastAsia="Times New Roman" w:hAnsi="Calibri" w:cs="Times New Roman"/>
      <w:b/>
      <w:bCs/>
      <w:color w:val="1F497D"/>
      <w:sz w:val="24"/>
    </w:rPr>
  </w:style>
  <w:style w:type="character" w:customStyle="1" w:styleId="Heading4Char">
    <w:name w:val="Heading 4 Char"/>
    <w:basedOn w:val="DefaultParagraphFont"/>
    <w:link w:val="Heading4"/>
    <w:uiPriority w:val="99"/>
    <w:rsid w:val="002A2A25"/>
    <w:rPr>
      <w:rFonts w:ascii="Cambria" w:eastAsia="Times New Roman" w:hAnsi="Cambria" w:cs="Times New Roman"/>
      <w:b/>
      <w:bCs/>
      <w:iCs/>
      <w:sz w:val="20"/>
      <w:u w:val="single"/>
    </w:rPr>
  </w:style>
  <w:style w:type="character" w:customStyle="1" w:styleId="Heading5Char">
    <w:name w:val="Heading 5 Char"/>
    <w:basedOn w:val="DefaultParagraphFont"/>
    <w:link w:val="Heading5"/>
    <w:uiPriority w:val="99"/>
    <w:rsid w:val="002A2A25"/>
    <w:rPr>
      <w:rFonts w:ascii="Cambria" w:eastAsia="Times New Roman" w:hAnsi="Cambria" w:cs="Times New Roman"/>
      <w:color w:val="243F60"/>
    </w:rPr>
  </w:style>
  <w:style w:type="character" w:customStyle="1" w:styleId="Heading7Char">
    <w:name w:val="Heading 7 Char"/>
    <w:basedOn w:val="DefaultParagraphFont"/>
    <w:link w:val="Heading7"/>
    <w:rsid w:val="002A2A2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2A2A2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2A2A25"/>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qFormat/>
    <w:rsid w:val="002A2A25"/>
    <w:pPr>
      <w:outlineLvl w:val="9"/>
    </w:pPr>
    <w:rPr>
      <w:lang w:eastAsia="ja-JP"/>
    </w:rPr>
  </w:style>
  <w:style w:type="paragraph" w:styleId="TOC1">
    <w:name w:val="toc 1"/>
    <w:basedOn w:val="Normal"/>
    <w:next w:val="Normal"/>
    <w:autoRedefine/>
    <w:uiPriority w:val="39"/>
    <w:rsid w:val="008E1E7A"/>
    <w:pPr>
      <w:tabs>
        <w:tab w:val="right" w:leader="dot" w:pos="9350"/>
      </w:tabs>
      <w:spacing w:after="100"/>
    </w:pPr>
  </w:style>
  <w:style w:type="paragraph" w:styleId="TOC2">
    <w:name w:val="toc 2"/>
    <w:basedOn w:val="Normal"/>
    <w:next w:val="Normal"/>
    <w:autoRedefine/>
    <w:uiPriority w:val="39"/>
    <w:rsid w:val="00DD74F9"/>
    <w:pPr>
      <w:tabs>
        <w:tab w:val="right" w:leader="dot" w:pos="9350"/>
      </w:tabs>
      <w:spacing w:after="100"/>
      <w:ind w:left="220"/>
    </w:pPr>
  </w:style>
  <w:style w:type="character" w:styleId="Hyperlink">
    <w:name w:val="Hyperlink"/>
    <w:uiPriority w:val="99"/>
    <w:rsid w:val="002A2A25"/>
    <w:rPr>
      <w:rFonts w:cs="Times New Roman"/>
      <w:color w:val="0000FF"/>
      <w:u w:val="single"/>
    </w:rPr>
  </w:style>
  <w:style w:type="paragraph" w:styleId="NormalIndent">
    <w:name w:val="Normal Indent"/>
    <w:basedOn w:val="Normal"/>
    <w:uiPriority w:val="99"/>
    <w:semiHidden/>
    <w:unhideWhenUsed/>
    <w:rsid w:val="002A2A25"/>
    <w:pPr>
      <w:ind w:left="720"/>
    </w:pPr>
  </w:style>
  <w:style w:type="character" w:styleId="CommentReference">
    <w:name w:val="annotation reference"/>
    <w:basedOn w:val="DefaultParagraphFont"/>
    <w:uiPriority w:val="99"/>
    <w:semiHidden/>
    <w:unhideWhenUsed/>
    <w:rsid w:val="00D93B9A"/>
    <w:rPr>
      <w:sz w:val="16"/>
      <w:szCs w:val="16"/>
    </w:rPr>
  </w:style>
  <w:style w:type="paragraph" w:styleId="CommentText">
    <w:name w:val="annotation text"/>
    <w:basedOn w:val="Normal"/>
    <w:link w:val="CommentTextChar"/>
    <w:uiPriority w:val="99"/>
    <w:unhideWhenUsed/>
    <w:rsid w:val="00D93B9A"/>
    <w:rPr>
      <w:sz w:val="20"/>
      <w:szCs w:val="20"/>
    </w:rPr>
  </w:style>
  <w:style w:type="character" w:customStyle="1" w:styleId="CommentTextChar">
    <w:name w:val="Comment Text Char"/>
    <w:basedOn w:val="DefaultParagraphFont"/>
    <w:link w:val="CommentText"/>
    <w:uiPriority w:val="99"/>
    <w:rsid w:val="00D93B9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93B9A"/>
    <w:rPr>
      <w:b/>
      <w:bCs/>
    </w:rPr>
  </w:style>
  <w:style w:type="character" w:customStyle="1" w:styleId="CommentSubjectChar">
    <w:name w:val="Comment Subject Char"/>
    <w:basedOn w:val="CommentTextChar"/>
    <w:link w:val="CommentSubject"/>
    <w:uiPriority w:val="99"/>
    <w:semiHidden/>
    <w:rsid w:val="00D93B9A"/>
    <w:rPr>
      <w:rFonts w:ascii="Calibri" w:eastAsia="Calibri" w:hAnsi="Calibri" w:cs="Times New Roman"/>
      <w:b/>
      <w:bCs/>
      <w:sz w:val="20"/>
      <w:szCs w:val="20"/>
    </w:rPr>
  </w:style>
  <w:style w:type="table" w:styleId="TableGrid">
    <w:name w:val="Table Grid"/>
    <w:basedOn w:val="TableNormal"/>
    <w:uiPriority w:val="39"/>
    <w:rsid w:val="006465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BF1E2F"/>
    <w:pPr>
      <w:spacing w:before="100" w:beforeAutospacing="1" w:after="100" w:afterAutospacing="1"/>
    </w:pPr>
    <w:rPr>
      <w:rFonts w:ascii="Times New Roman" w:eastAsia="Times New Roman" w:hAnsi="Times New Roman"/>
      <w:sz w:val="24"/>
      <w:szCs w:val="24"/>
    </w:rPr>
  </w:style>
  <w:style w:type="paragraph" w:styleId="FootnoteText">
    <w:name w:val="footnote text"/>
    <w:basedOn w:val="Normal"/>
    <w:link w:val="FootnoteTextChar"/>
    <w:uiPriority w:val="99"/>
    <w:rsid w:val="00BF1E2F"/>
    <w:pPr>
      <w:spacing w:after="0"/>
    </w:pPr>
    <w:rPr>
      <w:sz w:val="20"/>
      <w:szCs w:val="20"/>
    </w:rPr>
  </w:style>
  <w:style w:type="character" w:customStyle="1" w:styleId="FootnoteTextChar">
    <w:name w:val="Footnote Text Char"/>
    <w:basedOn w:val="DefaultParagraphFont"/>
    <w:link w:val="FootnoteText"/>
    <w:uiPriority w:val="99"/>
    <w:rsid w:val="00BF1E2F"/>
    <w:rPr>
      <w:rFonts w:ascii="Calibri" w:eastAsia="Calibri" w:hAnsi="Calibri" w:cs="Times New Roman"/>
      <w:sz w:val="20"/>
      <w:szCs w:val="20"/>
    </w:rPr>
  </w:style>
  <w:style w:type="character" w:styleId="FootnoteReference">
    <w:name w:val="footnote reference"/>
    <w:uiPriority w:val="99"/>
    <w:rsid w:val="00BF1E2F"/>
    <w:rPr>
      <w:rFonts w:cs="Times New Roman"/>
      <w:vertAlign w:val="superscript"/>
    </w:rPr>
  </w:style>
  <w:style w:type="paragraph" w:styleId="ListBullet2">
    <w:name w:val="List Bullet 2"/>
    <w:basedOn w:val="Normal"/>
    <w:uiPriority w:val="99"/>
    <w:rsid w:val="00BF1E2F"/>
    <w:pPr>
      <w:numPr>
        <w:numId w:val="2"/>
      </w:numPr>
      <w:contextualSpacing/>
    </w:pPr>
    <w:rPr>
      <w:sz w:val="20"/>
    </w:rPr>
  </w:style>
  <w:style w:type="paragraph" w:styleId="Caption">
    <w:name w:val="caption"/>
    <w:basedOn w:val="Normal"/>
    <w:next w:val="Normal"/>
    <w:uiPriority w:val="99"/>
    <w:qFormat/>
    <w:rsid w:val="00BF1E2F"/>
    <w:rPr>
      <w:b/>
      <w:bCs/>
      <w:color w:val="4F81BD"/>
      <w:sz w:val="24"/>
      <w:szCs w:val="18"/>
    </w:rPr>
  </w:style>
  <w:style w:type="paragraph" w:styleId="ListParagraph">
    <w:name w:val="List Paragraph"/>
    <w:aliases w:val="Alpha List Paragraph,List Paragraph1"/>
    <w:basedOn w:val="Normal"/>
    <w:link w:val="ListParagraphChar"/>
    <w:uiPriority w:val="34"/>
    <w:qFormat/>
    <w:rsid w:val="00BF1E2F"/>
    <w:pPr>
      <w:ind w:left="720"/>
      <w:contextualSpacing/>
    </w:pPr>
  </w:style>
  <w:style w:type="character" w:styleId="IntenseEmphasis">
    <w:name w:val="Intense Emphasis"/>
    <w:uiPriority w:val="21"/>
    <w:qFormat/>
    <w:rsid w:val="00BF1E2F"/>
    <w:rPr>
      <w:rFonts w:asciiTheme="minorHAnsi" w:hAnsiTheme="minorHAnsi"/>
      <w:b/>
      <w:bCs/>
      <w:i/>
      <w:iCs/>
      <w:color w:val="4F81BD"/>
    </w:rPr>
  </w:style>
  <w:style w:type="table" w:customStyle="1" w:styleId="TableGrid2">
    <w:name w:val="Table Grid2"/>
    <w:basedOn w:val="TableNormal"/>
    <w:next w:val="TableGrid"/>
    <w:uiPriority w:val="59"/>
    <w:rsid w:val="002C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C51"/>
    <w:pPr>
      <w:tabs>
        <w:tab w:val="center" w:pos="4680"/>
        <w:tab w:val="right" w:pos="9360"/>
      </w:tabs>
      <w:spacing w:after="0"/>
    </w:pPr>
  </w:style>
  <w:style w:type="character" w:customStyle="1" w:styleId="HeaderChar">
    <w:name w:val="Header Char"/>
    <w:basedOn w:val="DefaultParagraphFont"/>
    <w:link w:val="Header"/>
    <w:uiPriority w:val="99"/>
    <w:rsid w:val="00CA2C51"/>
    <w:rPr>
      <w:rFonts w:ascii="Calibri" w:eastAsia="Calibri" w:hAnsi="Calibri" w:cs="Times New Roman"/>
    </w:rPr>
  </w:style>
  <w:style w:type="paragraph" w:styleId="Footer">
    <w:name w:val="footer"/>
    <w:basedOn w:val="Normal"/>
    <w:link w:val="FooterChar"/>
    <w:uiPriority w:val="99"/>
    <w:unhideWhenUsed/>
    <w:rsid w:val="00CA2C51"/>
    <w:pPr>
      <w:tabs>
        <w:tab w:val="center" w:pos="4680"/>
        <w:tab w:val="right" w:pos="9360"/>
      </w:tabs>
      <w:spacing w:after="0"/>
    </w:pPr>
  </w:style>
  <w:style w:type="character" w:customStyle="1" w:styleId="FooterChar">
    <w:name w:val="Footer Char"/>
    <w:basedOn w:val="DefaultParagraphFont"/>
    <w:link w:val="Footer"/>
    <w:uiPriority w:val="99"/>
    <w:rsid w:val="00CA2C51"/>
    <w:rPr>
      <w:rFonts w:ascii="Calibri" w:eastAsia="Calibri" w:hAnsi="Calibri" w:cs="Times New Roman"/>
    </w:rPr>
  </w:style>
  <w:style w:type="character" w:styleId="Strong">
    <w:name w:val="Strong"/>
    <w:basedOn w:val="DefaultParagraphFont"/>
    <w:uiPriority w:val="22"/>
    <w:qFormat/>
    <w:rsid w:val="00C750AE"/>
    <w:rPr>
      <w:b/>
      <w:bCs/>
    </w:rPr>
  </w:style>
  <w:style w:type="paragraph" w:styleId="TOC3">
    <w:name w:val="toc 3"/>
    <w:basedOn w:val="Normal"/>
    <w:next w:val="Normal"/>
    <w:autoRedefine/>
    <w:uiPriority w:val="39"/>
    <w:unhideWhenUsed/>
    <w:rsid w:val="00142A4B"/>
    <w:pPr>
      <w:tabs>
        <w:tab w:val="right" w:leader="dot" w:pos="9350"/>
      </w:tabs>
      <w:spacing w:after="100"/>
      <w:ind w:left="440"/>
    </w:pPr>
  </w:style>
  <w:style w:type="character" w:customStyle="1" w:styleId="normaltextrun">
    <w:name w:val="normaltextrun"/>
    <w:basedOn w:val="DefaultParagraphFont"/>
    <w:rsid w:val="00940003"/>
  </w:style>
  <w:style w:type="character" w:customStyle="1" w:styleId="eop">
    <w:name w:val="eop"/>
    <w:basedOn w:val="DefaultParagraphFont"/>
    <w:rsid w:val="00940003"/>
  </w:style>
  <w:style w:type="paragraph" w:customStyle="1" w:styleId="paragraph">
    <w:name w:val="paragraph"/>
    <w:basedOn w:val="Normal"/>
    <w:rsid w:val="00940003"/>
    <w:pPr>
      <w:spacing w:before="100" w:beforeAutospacing="1" w:after="100" w:afterAutospacing="1"/>
    </w:pPr>
    <w:rPr>
      <w:rFonts w:ascii="Times New Roman" w:eastAsia="Times New Roman" w:hAnsi="Times New Roman"/>
      <w:sz w:val="24"/>
      <w:szCs w:val="24"/>
    </w:rPr>
  </w:style>
  <w:style w:type="character" w:customStyle="1" w:styleId="scxw42376151">
    <w:name w:val="scxw42376151"/>
    <w:basedOn w:val="DefaultParagraphFont"/>
    <w:rsid w:val="00AD5AB0"/>
  </w:style>
  <w:style w:type="character" w:customStyle="1" w:styleId="findhit">
    <w:name w:val="findhit"/>
    <w:basedOn w:val="DefaultParagraphFont"/>
    <w:rsid w:val="00AD5AB0"/>
  </w:style>
  <w:style w:type="paragraph" w:styleId="Revision">
    <w:name w:val="Revision"/>
    <w:hidden/>
    <w:uiPriority w:val="99"/>
    <w:semiHidden/>
    <w:rsid w:val="002E17F4"/>
    <w:pPr>
      <w:spacing w:after="0"/>
    </w:pPr>
    <w:rPr>
      <w:rFonts w:ascii="Calibri" w:eastAsia="Calibri" w:hAnsi="Calibri" w:cs="Times New Roman"/>
    </w:rPr>
  </w:style>
  <w:style w:type="paragraph" w:styleId="Subtitle">
    <w:name w:val="Subtitle"/>
    <w:basedOn w:val="Normal"/>
    <w:next w:val="Normal"/>
    <w:link w:val="SubtitleChar"/>
    <w:uiPriority w:val="11"/>
    <w:qFormat/>
    <w:rsid w:val="008E2C9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E2C9A"/>
    <w:rPr>
      <w:rFonts w:eastAsiaTheme="minorEastAsia"/>
      <w:color w:val="5A5A5A" w:themeColor="text1" w:themeTint="A5"/>
      <w:spacing w:val="15"/>
    </w:rPr>
  </w:style>
  <w:style w:type="paragraph" w:styleId="Quote">
    <w:name w:val="Quote"/>
    <w:basedOn w:val="Normal"/>
    <w:next w:val="Normal"/>
    <w:link w:val="QuoteChar"/>
    <w:uiPriority w:val="29"/>
    <w:qFormat/>
    <w:rsid w:val="005C23A0"/>
    <w:pPr>
      <w:spacing w:before="200" w:after="160" w:line="259" w:lineRule="auto"/>
      <w:ind w:left="864" w:right="864"/>
      <w:jc w:val="center"/>
    </w:pPr>
    <w:rPr>
      <w:rFonts w:asciiTheme="minorHAnsi" w:eastAsiaTheme="minorHAnsi" w:hAnsiTheme="minorHAnsi" w:cstheme="minorBidi"/>
      <w:i/>
      <w:iCs/>
      <w:color w:val="404040" w:themeColor="text1" w:themeTint="BF"/>
      <w:sz w:val="24"/>
    </w:rPr>
  </w:style>
  <w:style w:type="character" w:customStyle="1" w:styleId="QuoteChar">
    <w:name w:val="Quote Char"/>
    <w:basedOn w:val="DefaultParagraphFont"/>
    <w:link w:val="Quote"/>
    <w:uiPriority w:val="29"/>
    <w:rsid w:val="005C23A0"/>
    <w:rPr>
      <w:i/>
      <w:iCs/>
      <w:color w:val="404040" w:themeColor="text1" w:themeTint="BF"/>
      <w:sz w:val="24"/>
    </w:rPr>
  </w:style>
  <w:style w:type="character" w:customStyle="1" w:styleId="spellingerror">
    <w:name w:val="spellingerror"/>
    <w:basedOn w:val="DefaultParagraphFont"/>
    <w:rsid w:val="00AE7ACB"/>
  </w:style>
  <w:style w:type="character" w:customStyle="1" w:styleId="contextualspellingandgrammarerror">
    <w:name w:val="contextualspellingandgrammarerror"/>
    <w:basedOn w:val="DefaultParagraphFont"/>
    <w:rsid w:val="00F00BC0"/>
  </w:style>
  <w:style w:type="character" w:customStyle="1" w:styleId="font361">
    <w:name w:val="font361"/>
    <w:basedOn w:val="DefaultParagraphFont"/>
    <w:rsid w:val="007B199C"/>
    <w:rPr>
      <w:rFonts w:ascii="Calibri" w:hAnsi="Calibri" w:cs="Calibri" w:hint="default"/>
      <w:b/>
      <w:bCs/>
      <w:i w:val="0"/>
      <w:iCs w:val="0"/>
      <w:strike w:val="0"/>
      <w:dstrike w:val="0"/>
      <w:color w:val="FF0000"/>
      <w:sz w:val="22"/>
      <w:szCs w:val="22"/>
      <w:u w:val="none"/>
      <w:effect w:val="none"/>
    </w:rPr>
  </w:style>
  <w:style w:type="table" w:customStyle="1" w:styleId="GridTable6Colorful1">
    <w:name w:val="Grid Table 6 Colorful1"/>
    <w:basedOn w:val="TableNormal"/>
    <w:uiPriority w:val="51"/>
    <w:rsid w:val="00A458D5"/>
    <w:pPr>
      <w:spacing w:after="0"/>
    </w:pPr>
    <w:rPr>
      <w:rFonts w:ascii="Calibri" w:eastAsia="Calibri" w:hAnsi="Calibri" w:cs="Times New Roman"/>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SubtleEmphasis">
    <w:name w:val="Subtle Emphasis"/>
    <w:basedOn w:val="DefaultParagraphFont"/>
    <w:uiPriority w:val="19"/>
    <w:qFormat/>
    <w:rsid w:val="009069AE"/>
    <w:rPr>
      <w:b/>
      <w:i/>
      <w:iCs/>
      <w:color w:val="1F497D"/>
    </w:rPr>
  </w:style>
  <w:style w:type="character" w:styleId="IntenseReference">
    <w:name w:val="Intense Reference"/>
    <w:basedOn w:val="DefaultParagraphFont"/>
    <w:uiPriority w:val="32"/>
    <w:qFormat/>
    <w:rsid w:val="00F902C4"/>
    <w:rPr>
      <w:b/>
      <w:bCs/>
      <w:smallCaps/>
      <w:color w:val="4472C4" w:themeColor="accent1"/>
      <w:spacing w:val="5"/>
    </w:rPr>
  </w:style>
  <w:style w:type="character" w:styleId="Emphasis">
    <w:name w:val="Emphasis"/>
    <w:basedOn w:val="DefaultParagraphFont"/>
    <w:uiPriority w:val="20"/>
    <w:qFormat/>
    <w:rsid w:val="00F902C4"/>
    <w:rPr>
      <w:i/>
      <w:iCs/>
    </w:rPr>
  </w:style>
  <w:style w:type="table" w:customStyle="1" w:styleId="TableGrid1">
    <w:name w:val="Table Grid1"/>
    <w:basedOn w:val="TableNormal"/>
    <w:next w:val="TableGrid"/>
    <w:uiPriority w:val="39"/>
    <w:rsid w:val="00FA392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FB7191"/>
    <w:pPr>
      <w:spacing w:after="0"/>
    </w:pPr>
    <w:rPr>
      <w:rFonts w:ascii="Calibri" w:eastAsia="Calibri" w:hAnsi="Calibri" w:cs="Times New Roman"/>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alloonText">
    <w:name w:val="Balloon Text"/>
    <w:basedOn w:val="Normal"/>
    <w:link w:val="BalloonTextChar"/>
    <w:uiPriority w:val="99"/>
    <w:semiHidden/>
    <w:unhideWhenUsed/>
    <w:rsid w:val="007C058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586"/>
    <w:rPr>
      <w:rFonts w:ascii="Segoe UI" w:eastAsia="Calibri" w:hAnsi="Segoe UI" w:cs="Segoe UI"/>
      <w:sz w:val="18"/>
      <w:szCs w:val="18"/>
    </w:rPr>
  </w:style>
  <w:style w:type="character" w:customStyle="1" w:styleId="ListParagraphChar">
    <w:name w:val="List Paragraph Char"/>
    <w:aliases w:val="Alpha List Paragraph Char,List Paragraph1 Char"/>
    <w:link w:val="ListParagraph"/>
    <w:uiPriority w:val="34"/>
    <w:locked/>
    <w:rsid w:val="006E3E34"/>
    <w:rPr>
      <w:rFonts w:ascii="Calibri" w:eastAsia="Calibri" w:hAnsi="Calibri" w:cs="Times New Roman"/>
    </w:rPr>
  </w:style>
  <w:style w:type="paragraph" w:customStyle="1" w:styleId="ListBullet1">
    <w:name w:val="List Bullet 1"/>
    <w:basedOn w:val="ListBullet4"/>
    <w:uiPriority w:val="99"/>
    <w:rsid w:val="000235E9"/>
    <w:pPr>
      <w:numPr>
        <w:numId w:val="8"/>
      </w:numPr>
      <w:tabs>
        <w:tab w:val="num" w:pos="360"/>
      </w:tabs>
      <w:spacing w:after="0" w:line="240" w:lineRule="auto"/>
    </w:pPr>
    <w:rPr>
      <w:rFonts w:ascii="Calibri" w:eastAsia="Calibri" w:hAnsi="Calibri" w:cs="Calibri"/>
      <w:color w:val="000000"/>
      <w:sz w:val="20"/>
      <w:szCs w:val="20"/>
    </w:rPr>
  </w:style>
  <w:style w:type="paragraph" w:styleId="ListBullet4">
    <w:name w:val="List Bullet 4"/>
    <w:basedOn w:val="Normal"/>
    <w:uiPriority w:val="99"/>
    <w:semiHidden/>
    <w:unhideWhenUsed/>
    <w:rsid w:val="000235E9"/>
    <w:pPr>
      <w:numPr>
        <w:numId w:val="7"/>
      </w:numPr>
      <w:spacing w:after="160" w:line="259" w:lineRule="auto"/>
      <w:contextualSpacing/>
    </w:pPr>
    <w:rPr>
      <w:rFonts w:asciiTheme="minorHAnsi" w:eastAsiaTheme="minorHAnsi" w:hAnsiTheme="minorHAnsi" w:cstheme="minorBidi"/>
    </w:rPr>
  </w:style>
  <w:style w:type="table" w:styleId="GridTable5Dark-Accent5">
    <w:name w:val="Grid Table 5 Dark Accent 5"/>
    <w:basedOn w:val="TableNormal"/>
    <w:uiPriority w:val="50"/>
    <w:rsid w:val="0080275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802755"/>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7Colorful-Accent1">
    <w:name w:val="Grid Table 7 Colorful Accent 1"/>
    <w:basedOn w:val="TableNormal"/>
    <w:uiPriority w:val="52"/>
    <w:rsid w:val="008059B7"/>
    <w:pPr>
      <w:spacing w:after="0"/>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5Dark-Accent1">
    <w:name w:val="Grid Table 5 Dark Accent 1"/>
    <w:basedOn w:val="TableNormal"/>
    <w:uiPriority w:val="50"/>
    <w:rsid w:val="008059B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FollowedHyperlink">
    <w:name w:val="FollowedHyperlink"/>
    <w:basedOn w:val="DefaultParagraphFont"/>
    <w:uiPriority w:val="99"/>
    <w:semiHidden/>
    <w:unhideWhenUsed/>
    <w:rsid w:val="00916F7C"/>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customStyle="1" w:styleId="Default">
    <w:name w:val="Default"/>
    <w:rsid w:val="00F809BD"/>
    <w:pPr>
      <w:autoSpaceDE w:val="0"/>
      <w:autoSpaceDN w:val="0"/>
      <w:adjustRightInd w:val="0"/>
      <w:spacing w:after="0"/>
    </w:pPr>
    <w:rPr>
      <w:rFonts w:ascii="Arial" w:hAnsi="Arial" w:cs="Arial"/>
      <w:color w:val="000000"/>
      <w:sz w:val="24"/>
      <w:szCs w:val="24"/>
    </w:rPr>
  </w:style>
  <w:style w:type="paragraph" w:customStyle="1" w:styleId="xmsolistparagraph">
    <w:name w:val="x_msolistparagraph"/>
    <w:basedOn w:val="Normal"/>
    <w:rsid w:val="0083006D"/>
    <w:pPr>
      <w:spacing w:before="100" w:beforeAutospacing="1" w:after="100" w:afterAutospacing="1"/>
    </w:pPr>
    <w:rPr>
      <w:rFonts w:eastAsiaTheme="minorHAnsi" w:cs="Calibri"/>
    </w:rPr>
  </w:style>
  <w:style w:type="character" w:styleId="UnresolvedMention">
    <w:name w:val="Unresolved Mention"/>
    <w:basedOn w:val="DefaultParagraphFont"/>
    <w:uiPriority w:val="99"/>
    <w:unhideWhenUsed/>
    <w:rsid w:val="00D872FC"/>
    <w:rPr>
      <w:color w:val="605E5C"/>
      <w:shd w:val="clear" w:color="auto" w:fill="E1DFDD"/>
    </w:rPr>
  </w:style>
  <w:style w:type="table" w:customStyle="1" w:styleId="TableGrid3">
    <w:name w:val="Table Grid3"/>
    <w:basedOn w:val="TableNormal"/>
    <w:next w:val="TableGrid"/>
    <w:uiPriority w:val="39"/>
    <w:rsid w:val="00950FFE"/>
    <w:pPr>
      <w:spacing w:after="0"/>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749B5"/>
    <w:pPr>
      <w:spacing w:after="0"/>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826FE"/>
    <w:pPr>
      <w:spacing w:after="0"/>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12FE4"/>
    <w:pPr>
      <w:spacing w:after="0"/>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5506B"/>
    <w:pPr>
      <w:spacing w:after="0"/>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C0D18"/>
    <w:pPr>
      <w:spacing w:after="0"/>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77344"/>
    <w:pPr>
      <w:spacing w:after="0"/>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534E8"/>
    <w:pPr>
      <w:spacing w:after="0"/>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22F07"/>
    <w:pPr>
      <w:spacing w:after="0"/>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14140143">
    <w:name w:val="scxw114140143"/>
    <w:basedOn w:val="DefaultParagraphFont"/>
    <w:rsid w:val="00656B4A"/>
  </w:style>
  <w:style w:type="character" w:styleId="PlaceholderText">
    <w:name w:val="Placeholder Text"/>
    <w:basedOn w:val="DefaultParagraphFont"/>
    <w:uiPriority w:val="99"/>
    <w:semiHidden/>
    <w:rsid w:val="00DB190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4805">
      <w:bodyDiv w:val="1"/>
      <w:marLeft w:val="0"/>
      <w:marRight w:val="0"/>
      <w:marTop w:val="0"/>
      <w:marBottom w:val="0"/>
      <w:divBdr>
        <w:top w:val="none" w:sz="0" w:space="0" w:color="auto"/>
        <w:left w:val="none" w:sz="0" w:space="0" w:color="auto"/>
        <w:bottom w:val="none" w:sz="0" w:space="0" w:color="auto"/>
        <w:right w:val="none" w:sz="0" w:space="0" w:color="auto"/>
      </w:divBdr>
      <w:divsChild>
        <w:div w:id="54790250">
          <w:marLeft w:val="1440"/>
          <w:marRight w:val="0"/>
          <w:marTop w:val="0"/>
          <w:marBottom w:val="0"/>
          <w:divBdr>
            <w:top w:val="none" w:sz="0" w:space="0" w:color="auto"/>
            <w:left w:val="none" w:sz="0" w:space="0" w:color="auto"/>
            <w:bottom w:val="none" w:sz="0" w:space="0" w:color="auto"/>
            <w:right w:val="none" w:sz="0" w:space="0" w:color="auto"/>
          </w:divBdr>
        </w:div>
        <w:div w:id="157965255">
          <w:marLeft w:val="1354"/>
          <w:marRight w:val="0"/>
          <w:marTop w:val="0"/>
          <w:marBottom w:val="0"/>
          <w:divBdr>
            <w:top w:val="none" w:sz="0" w:space="0" w:color="auto"/>
            <w:left w:val="none" w:sz="0" w:space="0" w:color="auto"/>
            <w:bottom w:val="none" w:sz="0" w:space="0" w:color="auto"/>
            <w:right w:val="none" w:sz="0" w:space="0" w:color="auto"/>
          </w:divBdr>
        </w:div>
        <w:div w:id="239995018">
          <w:marLeft w:val="1354"/>
          <w:marRight w:val="0"/>
          <w:marTop w:val="0"/>
          <w:marBottom w:val="0"/>
          <w:divBdr>
            <w:top w:val="none" w:sz="0" w:space="0" w:color="auto"/>
            <w:left w:val="none" w:sz="0" w:space="0" w:color="auto"/>
            <w:bottom w:val="none" w:sz="0" w:space="0" w:color="auto"/>
            <w:right w:val="none" w:sz="0" w:space="0" w:color="auto"/>
          </w:divBdr>
        </w:div>
        <w:div w:id="400636677">
          <w:marLeft w:val="1440"/>
          <w:marRight w:val="0"/>
          <w:marTop w:val="0"/>
          <w:marBottom w:val="0"/>
          <w:divBdr>
            <w:top w:val="none" w:sz="0" w:space="0" w:color="auto"/>
            <w:left w:val="none" w:sz="0" w:space="0" w:color="auto"/>
            <w:bottom w:val="none" w:sz="0" w:space="0" w:color="auto"/>
            <w:right w:val="none" w:sz="0" w:space="0" w:color="auto"/>
          </w:divBdr>
        </w:div>
        <w:div w:id="727847312">
          <w:marLeft w:val="1354"/>
          <w:marRight w:val="0"/>
          <w:marTop w:val="0"/>
          <w:marBottom w:val="0"/>
          <w:divBdr>
            <w:top w:val="none" w:sz="0" w:space="0" w:color="auto"/>
            <w:left w:val="none" w:sz="0" w:space="0" w:color="auto"/>
            <w:bottom w:val="none" w:sz="0" w:space="0" w:color="auto"/>
            <w:right w:val="none" w:sz="0" w:space="0" w:color="auto"/>
          </w:divBdr>
        </w:div>
        <w:div w:id="773791362">
          <w:marLeft w:val="1440"/>
          <w:marRight w:val="0"/>
          <w:marTop w:val="0"/>
          <w:marBottom w:val="0"/>
          <w:divBdr>
            <w:top w:val="none" w:sz="0" w:space="0" w:color="auto"/>
            <w:left w:val="none" w:sz="0" w:space="0" w:color="auto"/>
            <w:bottom w:val="none" w:sz="0" w:space="0" w:color="auto"/>
            <w:right w:val="none" w:sz="0" w:space="0" w:color="auto"/>
          </w:divBdr>
        </w:div>
        <w:div w:id="1165903085">
          <w:marLeft w:val="1440"/>
          <w:marRight w:val="0"/>
          <w:marTop w:val="0"/>
          <w:marBottom w:val="0"/>
          <w:divBdr>
            <w:top w:val="none" w:sz="0" w:space="0" w:color="auto"/>
            <w:left w:val="none" w:sz="0" w:space="0" w:color="auto"/>
            <w:bottom w:val="none" w:sz="0" w:space="0" w:color="auto"/>
            <w:right w:val="none" w:sz="0" w:space="0" w:color="auto"/>
          </w:divBdr>
        </w:div>
        <w:div w:id="1259174137">
          <w:marLeft w:val="1354"/>
          <w:marRight w:val="0"/>
          <w:marTop w:val="0"/>
          <w:marBottom w:val="0"/>
          <w:divBdr>
            <w:top w:val="none" w:sz="0" w:space="0" w:color="auto"/>
            <w:left w:val="none" w:sz="0" w:space="0" w:color="auto"/>
            <w:bottom w:val="none" w:sz="0" w:space="0" w:color="auto"/>
            <w:right w:val="none" w:sz="0" w:space="0" w:color="auto"/>
          </w:divBdr>
        </w:div>
        <w:div w:id="1511677892">
          <w:marLeft w:val="1354"/>
          <w:marRight w:val="0"/>
          <w:marTop w:val="0"/>
          <w:marBottom w:val="0"/>
          <w:divBdr>
            <w:top w:val="none" w:sz="0" w:space="0" w:color="auto"/>
            <w:left w:val="none" w:sz="0" w:space="0" w:color="auto"/>
            <w:bottom w:val="none" w:sz="0" w:space="0" w:color="auto"/>
            <w:right w:val="none" w:sz="0" w:space="0" w:color="auto"/>
          </w:divBdr>
        </w:div>
        <w:div w:id="1704670035">
          <w:marLeft w:val="1440"/>
          <w:marRight w:val="0"/>
          <w:marTop w:val="0"/>
          <w:marBottom w:val="0"/>
          <w:divBdr>
            <w:top w:val="none" w:sz="0" w:space="0" w:color="auto"/>
            <w:left w:val="none" w:sz="0" w:space="0" w:color="auto"/>
            <w:bottom w:val="none" w:sz="0" w:space="0" w:color="auto"/>
            <w:right w:val="none" w:sz="0" w:space="0" w:color="auto"/>
          </w:divBdr>
        </w:div>
      </w:divsChild>
    </w:div>
    <w:div w:id="45958791">
      <w:bodyDiv w:val="1"/>
      <w:marLeft w:val="0"/>
      <w:marRight w:val="0"/>
      <w:marTop w:val="0"/>
      <w:marBottom w:val="0"/>
      <w:divBdr>
        <w:top w:val="none" w:sz="0" w:space="0" w:color="auto"/>
        <w:left w:val="none" w:sz="0" w:space="0" w:color="auto"/>
        <w:bottom w:val="none" w:sz="0" w:space="0" w:color="auto"/>
        <w:right w:val="none" w:sz="0" w:space="0" w:color="auto"/>
      </w:divBdr>
    </w:div>
    <w:div w:id="52966414">
      <w:bodyDiv w:val="1"/>
      <w:marLeft w:val="0"/>
      <w:marRight w:val="0"/>
      <w:marTop w:val="0"/>
      <w:marBottom w:val="0"/>
      <w:divBdr>
        <w:top w:val="none" w:sz="0" w:space="0" w:color="auto"/>
        <w:left w:val="none" w:sz="0" w:space="0" w:color="auto"/>
        <w:bottom w:val="none" w:sz="0" w:space="0" w:color="auto"/>
        <w:right w:val="none" w:sz="0" w:space="0" w:color="auto"/>
      </w:divBdr>
    </w:div>
    <w:div w:id="59906478">
      <w:bodyDiv w:val="1"/>
      <w:marLeft w:val="0"/>
      <w:marRight w:val="0"/>
      <w:marTop w:val="0"/>
      <w:marBottom w:val="0"/>
      <w:divBdr>
        <w:top w:val="none" w:sz="0" w:space="0" w:color="auto"/>
        <w:left w:val="none" w:sz="0" w:space="0" w:color="auto"/>
        <w:bottom w:val="none" w:sz="0" w:space="0" w:color="auto"/>
        <w:right w:val="none" w:sz="0" w:space="0" w:color="auto"/>
      </w:divBdr>
    </w:div>
    <w:div w:id="66072548">
      <w:bodyDiv w:val="1"/>
      <w:marLeft w:val="0"/>
      <w:marRight w:val="0"/>
      <w:marTop w:val="0"/>
      <w:marBottom w:val="0"/>
      <w:divBdr>
        <w:top w:val="none" w:sz="0" w:space="0" w:color="auto"/>
        <w:left w:val="none" w:sz="0" w:space="0" w:color="auto"/>
        <w:bottom w:val="none" w:sz="0" w:space="0" w:color="auto"/>
        <w:right w:val="none" w:sz="0" w:space="0" w:color="auto"/>
      </w:divBdr>
    </w:div>
    <w:div w:id="86538880">
      <w:bodyDiv w:val="1"/>
      <w:marLeft w:val="0"/>
      <w:marRight w:val="0"/>
      <w:marTop w:val="0"/>
      <w:marBottom w:val="0"/>
      <w:divBdr>
        <w:top w:val="none" w:sz="0" w:space="0" w:color="auto"/>
        <w:left w:val="none" w:sz="0" w:space="0" w:color="auto"/>
        <w:bottom w:val="none" w:sz="0" w:space="0" w:color="auto"/>
        <w:right w:val="none" w:sz="0" w:space="0" w:color="auto"/>
      </w:divBdr>
      <w:divsChild>
        <w:div w:id="38358643">
          <w:marLeft w:val="0"/>
          <w:marRight w:val="0"/>
          <w:marTop w:val="0"/>
          <w:marBottom w:val="0"/>
          <w:divBdr>
            <w:top w:val="none" w:sz="0" w:space="0" w:color="auto"/>
            <w:left w:val="none" w:sz="0" w:space="0" w:color="auto"/>
            <w:bottom w:val="none" w:sz="0" w:space="0" w:color="auto"/>
            <w:right w:val="none" w:sz="0" w:space="0" w:color="auto"/>
          </w:divBdr>
          <w:divsChild>
            <w:div w:id="2125422452">
              <w:marLeft w:val="0"/>
              <w:marRight w:val="0"/>
              <w:marTop w:val="0"/>
              <w:marBottom w:val="0"/>
              <w:divBdr>
                <w:top w:val="none" w:sz="0" w:space="0" w:color="auto"/>
                <w:left w:val="none" w:sz="0" w:space="0" w:color="auto"/>
                <w:bottom w:val="none" w:sz="0" w:space="0" w:color="auto"/>
                <w:right w:val="none" w:sz="0" w:space="0" w:color="auto"/>
              </w:divBdr>
            </w:div>
          </w:divsChild>
        </w:div>
        <w:div w:id="127826008">
          <w:marLeft w:val="0"/>
          <w:marRight w:val="0"/>
          <w:marTop w:val="0"/>
          <w:marBottom w:val="0"/>
          <w:divBdr>
            <w:top w:val="none" w:sz="0" w:space="0" w:color="auto"/>
            <w:left w:val="none" w:sz="0" w:space="0" w:color="auto"/>
            <w:bottom w:val="none" w:sz="0" w:space="0" w:color="auto"/>
            <w:right w:val="none" w:sz="0" w:space="0" w:color="auto"/>
          </w:divBdr>
          <w:divsChild>
            <w:div w:id="1199398088">
              <w:marLeft w:val="0"/>
              <w:marRight w:val="0"/>
              <w:marTop w:val="0"/>
              <w:marBottom w:val="0"/>
              <w:divBdr>
                <w:top w:val="none" w:sz="0" w:space="0" w:color="auto"/>
                <w:left w:val="none" w:sz="0" w:space="0" w:color="auto"/>
                <w:bottom w:val="none" w:sz="0" w:space="0" w:color="auto"/>
                <w:right w:val="none" w:sz="0" w:space="0" w:color="auto"/>
              </w:divBdr>
            </w:div>
            <w:div w:id="1801459516">
              <w:marLeft w:val="0"/>
              <w:marRight w:val="0"/>
              <w:marTop w:val="0"/>
              <w:marBottom w:val="0"/>
              <w:divBdr>
                <w:top w:val="none" w:sz="0" w:space="0" w:color="auto"/>
                <w:left w:val="none" w:sz="0" w:space="0" w:color="auto"/>
                <w:bottom w:val="none" w:sz="0" w:space="0" w:color="auto"/>
                <w:right w:val="none" w:sz="0" w:space="0" w:color="auto"/>
              </w:divBdr>
            </w:div>
            <w:div w:id="1966735779">
              <w:marLeft w:val="0"/>
              <w:marRight w:val="0"/>
              <w:marTop w:val="0"/>
              <w:marBottom w:val="0"/>
              <w:divBdr>
                <w:top w:val="none" w:sz="0" w:space="0" w:color="auto"/>
                <w:left w:val="none" w:sz="0" w:space="0" w:color="auto"/>
                <w:bottom w:val="none" w:sz="0" w:space="0" w:color="auto"/>
                <w:right w:val="none" w:sz="0" w:space="0" w:color="auto"/>
              </w:divBdr>
            </w:div>
          </w:divsChild>
        </w:div>
        <w:div w:id="136073680">
          <w:marLeft w:val="0"/>
          <w:marRight w:val="0"/>
          <w:marTop w:val="0"/>
          <w:marBottom w:val="0"/>
          <w:divBdr>
            <w:top w:val="none" w:sz="0" w:space="0" w:color="auto"/>
            <w:left w:val="none" w:sz="0" w:space="0" w:color="auto"/>
            <w:bottom w:val="none" w:sz="0" w:space="0" w:color="auto"/>
            <w:right w:val="none" w:sz="0" w:space="0" w:color="auto"/>
          </w:divBdr>
          <w:divsChild>
            <w:div w:id="1182428533">
              <w:marLeft w:val="0"/>
              <w:marRight w:val="0"/>
              <w:marTop w:val="0"/>
              <w:marBottom w:val="0"/>
              <w:divBdr>
                <w:top w:val="none" w:sz="0" w:space="0" w:color="auto"/>
                <w:left w:val="none" w:sz="0" w:space="0" w:color="auto"/>
                <w:bottom w:val="none" w:sz="0" w:space="0" w:color="auto"/>
                <w:right w:val="none" w:sz="0" w:space="0" w:color="auto"/>
              </w:divBdr>
            </w:div>
            <w:div w:id="1563523514">
              <w:marLeft w:val="0"/>
              <w:marRight w:val="0"/>
              <w:marTop w:val="0"/>
              <w:marBottom w:val="0"/>
              <w:divBdr>
                <w:top w:val="none" w:sz="0" w:space="0" w:color="auto"/>
                <w:left w:val="none" w:sz="0" w:space="0" w:color="auto"/>
                <w:bottom w:val="none" w:sz="0" w:space="0" w:color="auto"/>
                <w:right w:val="none" w:sz="0" w:space="0" w:color="auto"/>
              </w:divBdr>
            </w:div>
          </w:divsChild>
        </w:div>
        <w:div w:id="246421766">
          <w:marLeft w:val="0"/>
          <w:marRight w:val="0"/>
          <w:marTop w:val="0"/>
          <w:marBottom w:val="0"/>
          <w:divBdr>
            <w:top w:val="none" w:sz="0" w:space="0" w:color="auto"/>
            <w:left w:val="none" w:sz="0" w:space="0" w:color="auto"/>
            <w:bottom w:val="none" w:sz="0" w:space="0" w:color="auto"/>
            <w:right w:val="none" w:sz="0" w:space="0" w:color="auto"/>
          </w:divBdr>
          <w:divsChild>
            <w:div w:id="599607245">
              <w:marLeft w:val="0"/>
              <w:marRight w:val="0"/>
              <w:marTop w:val="0"/>
              <w:marBottom w:val="0"/>
              <w:divBdr>
                <w:top w:val="none" w:sz="0" w:space="0" w:color="auto"/>
                <w:left w:val="none" w:sz="0" w:space="0" w:color="auto"/>
                <w:bottom w:val="none" w:sz="0" w:space="0" w:color="auto"/>
                <w:right w:val="none" w:sz="0" w:space="0" w:color="auto"/>
              </w:divBdr>
            </w:div>
            <w:div w:id="700974805">
              <w:marLeft w:val="0"/>
              <w:marRight w:val="0"/>
              <w:marTop w:val="0"/>
              <w:marBottom w:val="0"/>
              <w:divBdr>
                <w:top w:val="none" w:sz="0" w:space="0" w:color="auto"/>
                <w:left w:val="none" w:sz="0" w:space="0" w:color="auto"/>
                <w:bottom w:val="none" w:sz="0" w:space="0" w:color="auto"/>
                <w:right w:val="none" w:sz="0" w:space="0" w:color="auto"/>
              </w:divBdr>
            </w:div>
            <w:div w:id="964385481">
              <w:marLeft w:val="0"/>
              <w:marRight w:val="0"/>
              <w:marTop w:val="0"/>
              <w:marBottom w:val="0"/>
              <w:divBdr>
                <w:top w:val="none" w:sz="0" w:space="0" w:color="auto"/>
                <w:left w:val="none" w:sz="0" w:space="0" w:color="auto"/>
                <w:bottom w:val="none" w:sz="0" w:space="0" w:color="auto"/>
                <w:right w:val="none" w:sz="0" w:space="0" w:color="auto"/>
              </w:divBdr>
            </w:div>
            <w:div w:id="1775636178">
              <w:marLeft w:val="0"/>
              <w:marRight w:val="0"/>
              <w:marTop w:val="0"/>
              <w:marBottom w:val="0"/>
              <w:divBdr>
                <w:top w:val="none" w:sz="0" w:space="0" w:color="auto"/>
                <w:left w:val="none" w:sz="0" w:space="0" w:color="auto"/>
                <w:bottom w:val="none" w:sz="0" w:space="0" w:color="auto"/>
                <w:right w:val="none" w:sz="0" w:space="0" w:color="auto"/>
              </w:divBdr>
            </w:div>
          </w:divsChild>
        </w:div>
        <w:div w:id="353656871">
          <w:marLeft w:val="0"/>
          <w:marRight w:val="0"/>
          <w:marTop w:val="0"/>
          <w:marBottom w:val="0"/>
          <w:divBdr>
            <w:top w:val="none" w:sz="0" w:space="0" w:color="auto"/>
            <w:left w:val="none" w:sz="0" w:space="0" w:color="auto"/>
            <w:bottom w:val="none" w:sz="0" w:space="0" w:color="auto"/>
            <w:right w:val="none" w:sz="0" w:space="0" w:color="auto"/>
          </w:divBdr>
          <w:divsChild>
            <w:div w:id="1287346838">
              <w:marLeft w:val="0"/>
              <w:marRight w:val="0"/>
              <w:marTop w:val="0"/>
              <w:marBottom w:val="0"/>
              <w:divBdr>
                <w:top w:val="none" w:sz="0" w:space="0" w:color="auto"/>
                <w:left w:val="none" w:sz="0" w:space="0" w:color="auto"/>
                <w:bottom w:val="none" w:sz="0" w:space="0" w:color="auto"/>
                <w:right w:val="none" w:sz="0" w:space="0" w:color="auto"/>
              </w:divBdr>
            </w:div>
            <w:div w:id="1436095897">
              <w:marLeft w:val="0"/>
              <w:marRight w:val="0"/>
              <w:marTop w:val="0"/>
              <w:marBottom w:val="0"/>
              <w:divBdr>
                <w:top w:val="none" w:sz="0" w:space="0" w:color="auto"/>
                <w:left w:val="none" w:sz="0" w:space="0" w:color="auto"/>
                <w:bottom w:val="none" w:sz="0" w:space="0" w:color="auto"/>
                <w:right w:val="none" w:sz="0" w:space="0" w:color="auto"/>
              </w:divBdr>
            </w:div>
            <w:div w:id="1624340594">
              <w:marLeft w:val="0"/>
              <w:marRight w:val="0"/>
              <w:marTop w:val="0"/>
              <w:marBottom w:val="0"/>
              <w:divBdr>
                <w:top w:val="none" w:sz="0" w:space="0" w:color="auto"/>
                <w:left w:val="none" w:sz="0" w:space="0" w:color="auto"/>
                <w:bottom w:val="none" w:sz="0" w:space="0" w:color="auto"/>
                <w:right w:val="none" w:sz="0" w:space="0" w:color="auto"/>
              </w:divBdr>
            </w:div>
          </w:divsChild>
        </w:div>
        <w:div w:id="449787539">
          <w:marLeft w:val="0"/>
          <w:marRight w:val="0"/>
          <w:marTop w:val="0"/>
          <w:marBottom w:val="0"/>
          <w:divBdr>
            <w:top w:val="none" w:sz="0" w:space="0" w:color="auto"/>
            <w:left w:val="none" w:sz="0" w:space="0" w:color="auto"/>
            <w:bottom w:val="none" w:sz="0" w:space="0" w:color="auto"/>
            <w:right w:val="none" w:sz="0" w:space="0" w:color="auto"/>
          </w:divBdr>
          <w:divsChild>
            <w:div w:id="585771665">
              <w:marLeft w:val="0"/>
              <w:marRight w:val="0"/>
              <w:marTop w:val="0"/>
              <w:marBottom w:val="0"/>
              <w:divBdr>
                <w:top w:val="none" w:sz="0" w:space="0" w:color="auto"/>
                <w:left w:val="none" w:sz="0" w:space="0" w:color="auto"/>
                <w:bottom w:val="none" w:sz="0" w:space="0" w:color="auto"/>
                <w:right w:val="none" w:sz="0" w:space="0" w:color="auto"/>
              </w:divBdr>
            </w:div>
            <w:div w:id="799303933">
              <w:marLeft w:val="0"/>
              <w:marRight w:val="0"/>
              <w:marTop w:val="0"/>
              <w:marBottom w:val="0"/>
              <w:divBdr>
                <w:top w:val="none" w:sz="0" w:space="0" w:color="auto"/>
                <w:left w:val="none" w:sz="0" w:space="0" w:color="auto"/>
                <w:bottom w:val="none" w:sz="0" w:space="0" w:color="auto"/>
                <w:right w:val="none" w:sz="0" w:space="0" w:color="auto"/>
              </w:divBdr>
            </w:div>
            <w:div w:id="1169908840">
              <w:marLeft w:val="0"/>
              <w:marRight w:val="0"/>
              <w:marTop w:val="0"/>
              <w:marBottom w:val="0"/>
              <w:divBdr>
                <w:top w:val="none" w:sz="0" w:space="0" w:color="auto"/>
                <w:left w:val="none" w:sz="0" w:space="0" w:color="auto"/>
                <w:bottom w:val="none" w:sz="0" w:space="0" w:color="auto"/>
                <w:right w:val="none" w:sz="0" w:space="0" w:color="auto"/>
              </w:divBdr>
            </w:div>
            <w:div w:id="1651179972">
              <w:marLeft w:val="0"/>
              <w:marRight w:val="0"/>
              <w:marTop w:val="0"/>
              <w:marBottom w:val="0"/>
              <w:divBdr>
                <w:top w:val="none" w:sz="0" w:space="0" w:color="auto"/>
                <w:left w:val="none" w:sz="0" w:space="0" w:color="auto"/>
                <w:bottom w:val="none" w:sz="0" w:space="0" w:color="auto"/>
                <w:right w:val="none" w:sz="0" w:space="0" w:color="auto"/>
              </w:divBdr>
            </w:div>
          </w:divsChild>
        </w:div>
        <w:div w:id="593517429">
          <w:marLeft w:val="0"/>
          <w:marRight w:val="0"/>
          <w:marTop w:val="0"/>
          <w:marBottom w:val="0"/>
          <w:divBdr>
            <w:top w:val="none" w:sz="0" w:space="0" w:color="auto"/>
            <w:left w:val="none" w:sz="0" w:space="0" w:color="auto"/>
            <w:bottom w:val="none" w:sz="0" w:space="0" w:color="auto"/>
            <w:right w:val="none" w:sz="0" w:space="0" w:color="auto"/>
          </w:divBdr>
          <w:divsChild>
            <w:div w:id="600190370">
              <w:marLeft w:val="0"/>
              <w:marRight w:val="0"/>
              <w:marTop w:val="0"/>
              <w:marBottom w:val="0"/>
              <w:divBdr>
                <w:top w:val="none" w:sz="0" w:space="0" w:color="auto"/>
                <w:left w:val="none" w:sz="0" w:space="0" w:color="auto"/>
                <w:bottom w:val="none" w:sz="0" w:space="0" w:color="auto"/>
                <w:right w:val="none" w:sz="0" w:space="0" w:color="auto"/>
              </w:divBdr>
            </w:div>
          </w:divsChild>
        </w:div>
        <w:div w:id="690767900">
          <w:marLeft w:val="0"/>
          <w:marRight w:val="0"/>
          <w:marTop w:val="0"/>
          <w:marBottom w:val="0"/>
          <w:divBdr>
            <w:top w:val="none" w:sz="0" w:space="0" w:color="auto"/>
            <w:left w:val="none" w:sz="0" w:space="0" w:color="auto"/>
            <w:bottom w:val="none" w:sz="0" w:space="0" w:color="auto"/>
            <w:right w:val="none" w:sz="0" w:space="0" w:color="auto"/>
          </w:divBdr>
          <w:divsChild>
            <w:div w:id="1928534509">
              <w:marLeft w:val="0"/>
              <w:marRight w:val="0"/>
              <w:marTop w:val="0"/>
              <w:marBottom w:val="0"/>
              <w:divBdr>
                <w:top w:val="none" w:sz="0" w:space="0" w:color="auto"/>
                <w:left w:val="none" w:sz="0" w:space="0" w:color="auto"/>
                <w:bottom w:val="none" w:sz="0" w:space="0" w:color="auto"/>
                <w:right w:val="none" w:sz="0" w:space="0" w:color="auto"/>
              </w:divBdr>
            </w:div>
          </w:divsChild>
        </w:div>
        <w:div w:id="770777011">
          <w:marLeft w:val="0"/>
          <w:marRight w:val="0"/>
          <w:marTop w:val="0"/>
          <w:marBottom w:val="0"/>
          <w:divBdr>
            <w:top w:val="none" w:sz="0" w:space="0" w:color="auto"/>
            <w:left w:val="none" w:sz="0" w:space="0" w:color="auto"/>
            <w:bottom w:val="none" w:sz="0" w:space="0" w:color="auto"/>
            <w:right w:val="none" w:sz="0" w:space="0" w:color="auto"/>
          </w:divBdr>
          <w:divsChild>
            <w:div w:id="400367196">
              <w:marLeft w:val="0"/>
              <w:marRight w:val="0"/>
              <w:marTop w:val="0"/>
              <w:marBottom w:val="0"/>
              <w:divBdr>
                <w:top w:val="none" w:sz="0" w:space="0" w:color="auto"/>
                <w:left w:val="none" w:sz="0" w:space="0" w:color="auto"/>
                <w:bottom w:val="none" w:sz="0" w:space="0" w:color="auto"/>
                <w:right w:val="none" w:sz="0" w:space="0" w:color="auto"/>
              </w:divBdr>
            </w:div>
            <w:div w:id="1031033876">
              <w:marLeft w:val="0"/>
              <w:marRight w:val="0"/>
              <w:marTop w:val="0"/>
              <w:marBottom w:val="0"/>
              <w:divBdr>
                <w:top w:val="none" w:sz="0" w:space="0" w:color="auto"/>
                <w:left w:val="none" w:sz="0" w:space="0" w:color="auto"/>
                <w:bottom w:val="none" w:sz="0" w:space="0" w:color="auto"/>
                <w:right w:val="none" w:sz="0" w:space="0" w:color="auto"/>
              </w:divBdr>
            </w:div>
          </w:divsChild>
        </w:div>
        <w:div w:id="806700972">
          <w:marLeft w:val="0"/>
          <w:marRight w:val="0"/>
          <w:marTop w:val="0"/>
          <w:marBottom w:val="0"/>
          <w:divBdr>
            <w:top w:val="none" w:sz="0" w:space="0" w:color="auto"/>
            <w:left w:val="none" w:sz="0" w:space="0" w:color="auto"/>
            <w:bottom w:val="none" w:sz="0" w:space="0" w:color="auto"/>
            <w:right w:val="none" w:sz="0" w:space="0" w:color="auto"/>
          </w:divBdr>
          <w:divsChild>
            <w:div w:id="49311503">
              <w:marLeft w:val="0"/>
              <w:marRight w:val="0"/>
              <w:marTop w:val="0"/>
              <w:marBottom w:val="0"/>
              <w:divBdr>
                <w:top w:val="none" w:sz="0" w:space="0" w:color="auto"/>
                <w:left w:val="none" w:sz="0" w:space="0" w:color="auto"/>
                <w:bottom w:val="none" w:sz="0" w:space="0" w:color="auto"/>
                <w:right w:val="none" w:sz="0" w:space="0" w:color="auto"/>
              </w:divBdr>
            </w:div>
            <w:div w:id="918834331">
              <w:marLeft w:val="0"/>
              <w:marRight w:val="0"/>
              <w:marTop w:val="0"/>
              <w:marBottom w:val="0"/>
              <w:divBdr>
                <w:top w:val="none" w:sz="0" w:space="0" w:color="auto"/>
                <w:left w:val="none" w:sz="0" w:space="0" w:color="auto"/>
                <w:bottom w:val="none" w:sz="0" w:space="0" w:color="auto"/>
                <w:right w:val="none" w:sz="0" w:space="0" w:color="auto"/>
              </w:divBdr>
            </w:div>
          </w:divsChild>
        </w:div>
        <w:div w:id="870459231">
          <w:marLeft w:val="0"/>
          <w:marRight w:val="0"/>
          <w:marTop w:val="0"/>
          <w:marBottom w:val="0"/>
          <w:divBdr>
            <w:top w:val="none" w:sz="0" w:space="0" w:color="auto"/>
            <w:left w:val="none" w:sz="0" w:space="0" w:color="auto"/>
            <w:bottom w:val="none" w:sz="0" w:space="0" w:color="auto"/>
            <w:right w:val="none" w:sz="0" w:space="0" w:color="auto"/>
          </w:divBdr>
          <w:divsChild>
            <w:div w:id="366297982">
              <w:marLeft w:val="0"/>
              <w:marRight w:val="0"/>
              <w:marTop w:val="0"/>
              <w:marBottom w:val="0"/>
              <w:divBdr>
                <w:top w:val="none" w:sz="0" w:space="0" w:color="auto"/>
                <w:left w:val="none" w:sz="0" w:space="0" w:color="auto"/>
                <w:bottom w:val="none" w:sz="0" w:space="0" w:color="auto"/>
                <w:right w:val="none" w:sz="0" w:space="0" w:color="auto"/>
              </w:divBdr>
            </w:div>
            <w:div w:id="1199009734">
              <w:marLeft w:val="0"/>
              <w:marRight w:val="0"/>
              <w:marTop w:val="0"/>
              <w:marBottom w:val="0"/>
              <w:divBdr>
                <w:top w:val="none" w:sz="0" w:space="0" w:color="auto"/>
                <w:left w:val="none" w:sz="0" w:space="0" w:color="auto"/>
                <w:bottom w:val="none" w:sz="0" w:space="0" w:color="auto"/>
                <w:right w:val="none" w:sz="0" w:space="0" w:color="auto"/>
              </w:divBdr>
            </w:div>
          </w:divsChild>
        </w:div>
        <w:div w:id="946274609">
          <w:marLeft w:val="0"/>
          <w:marRight w:val="0"/>
          <w:marTop w:val="0"/>
          <w:marBottom w:val="0"/>
          <w:divBdr>
            <w:top w:val="none" w:sz="0" w:space="0" w:color="auto"/>
            <w:left w:val="none" w:sz="0" w:space="0" w:color="auto"/>
            <w:bottom w:val="none" w:sz="0" w:space="0" w:color="auto"/>
            <w:right w:val="none" w:sz="0" w:space="0" w:color="auto"/>
          </w:divBdr>
          <w:divsChild>
            <w:div w:id="60906821">
              <w:marLeft w:val="0"/>
              <w:marRight w:val="0"/>
              <w:marTop w:val="0"/>
              <w:marBottom w:val="0"/>
              <w:divBdr>
                <w:top w:val="none" w:sz="0" w:space="0" w:color="auto"/>
                <w:left w:val="none" w:sz="0" w:space="0" w:color="auto"/>
                <w:bottom w:val="none" w:sz="0" w:space="0" w:color="auto"/>
                <w:right w:val="none" w:sz="0" w:space="0" w:color="auto"/>
              </w:divBdr>
            </w:div>
          </w:divsChild>
        </w:div>
        <w:div w:id="1057166713">
          <w:marLeft w:val="0"/>
          <w:marRight w:val="0"/>
          <w:marTop w:val="0"/>
          <w:marBottom w:val="0"/>
          <w:divBdr>
            <w:top w:val="none" w:sz="0" w:space="0" w:color="auto"/>
            <w:left w:val="none" w:sz="0" w:space="0" w:color="auto"/>
            <w:bottom w:val="none" w:sz="0" w:space="0" w:color="auto"/>
            <w:right w:val="none" w:sz="0" w:space="0" w:color="auto"/>
          </w:divBdr>
          <w:divsChild>
            <w:div w:id="439956663">
              <w:marLeft w:val="0"/>
              <w:marRight w:val="0"/>
              <w:marTop w:val="0"/>
              <w:marBottom w:val="0"/>
              <w:divBdr>
                <w:top w:val="none" w:sz="0" w:space="0" w:color="auto"/>
                <w:left w:val="none" w:sz="0" w:space="0" w:color="auto"/>
                <w:bottom w:val="none" w:sz="0" w:space="0" w:color="auto"/>
                <w:right w:val="none" w:sz="0" w:space="0" w:color="auto"/>
              </w:divBdr>
            </w:div>
            <w:div w:id="775564167">
              <w:marLeft w:val="0"/>
              <w:marRight w:val="0"/>
              <w:marTop w:val="0"/>
              <w:marBottom w:val="0"/>
              <w:divBdr>
                <w:top w:val="none" w:sz="0" w:space="0" w:color="auto"/>
                <w:left w:val="none" w:sz="0" w:space="0" w:color="auto"/>
                <w:bottom w:val="none" w:sz="0" w:space="0" w:color="auto"/>
                <w:right w:val="none" w:sz="0" w:space="0" w:color="auto"/>
              </w:divBdr>
            </w:div>
            <w:div w:id="1076823409">
              <w:marLeft w:val="0"/>
              <w:marRight w:val="0"/>
              <w:marTop w:val="0"/>
              <w:marBottom w:val="0"/>
              <w:divBdr>
                <w:top w:val="none" w:sz="0" w:space="0" w:color="auto"/>
                <w:left w:val="none" w:sz="0" w:space="0" w:color="auto"/>
                <w:bottom w:val="none" w:sz="0" w:space="0" w:color="auto"/>
                <w:right w:val="none" w:sz="0" w:space="0" w:color="auto"/>
              </w:divBdr>
            </w:div>
            <w:div w:id="1456485949">
              <w:marLeft w:val="0"/>
              <w:marRight w:val="0"/>
              <w:marTop w:val="0"/>
              <w:marBottom w:val="0"/>
              <w:divBdr>
                <w:top w:val="none" w:sz="0" w:space="0" w:color="auto"/>
                <w:left w:val="none" w:sz="0" w:space="0" w:color="auto"/>
                <w:bottom w:val="none" w:sz="0" w:space="0" w:color="auto"/>
                <w:right w:val="none" w:sz="0" w:space="0" w:color="auto"/>
              </w:divBdr>
            </w:div>
            <w:div w:id="1523393323">
              <w:marLeft w:val="0"/>
              <w:marRight w:val="0"/>
              <w:marTop w:val="0"/>
              <w:marBottom w:val="0"/>
              <w:divBdr>
                <w:top w:val="none" w:sz="0" w:space="0" w:color="auto"/>
                <w:left w:val="none" w:sz="0" w:space="0" w:color="auto"/>
                <w:bottom w:val="none" w:sz="0" w:space="0" w:color="auto"/>
                <w:right w:val="none" w:sz="0" w:space="0" w:color="auto"/>
              </w:divBdr>
            </w:div>
            <w:div w:id="1783569946">
              <w:marLeft w:val="0"/>
              <w:marRight w:val="0"/>
              <w:marTop w:val="0"/>
              <w:marBottom w:val="0"/>
              <w:divBdr>
                <w:top w:val="none" w:sz="0" w:space="0" w:color="auto"/>
                <w:left w:val="none" w:sz="0" w:space="0" w:color="auto"/>
                <w:bottom w:val="none" w:sz="0" w:space="0" w:color="auto"/>
                <w:right w:val="none" w:sz="0" w:space="0" w:color="auto"/>
              </w:divBdr>
            </w:div>
            <w:div w:id="1784299425">
              <w:marLeft w:val="0"/>
              <w:marRight w:val="0"/>
              <w:marTop w:val="0"/>
              <w:marBottom w:val="0"/>
              <w:divBdr>
                <w:top w:val="none" w:sz="0" w:space="0" w:color="auto"/>
                <w:left w:val="none" w:sz="0" w:space="0" w:color="auto"/>
                <w:bottom w:val="none" w:sz="0" w:space="0" w:color="auto"/>
                <w:right w:val="none" w:sz="0" w:space="0" w:color="auto"/>
              </w:divBdr>
            </w:div>
            <w:div w:id="2062749172">
              <w:marLeft w:val="0"/>
              <w:marRight w:val="0"/>
              <w:marTop w:val="0"/>
              <w:marBottom w:val="0"/>
              <w:divBdr>
                <w:top w:val="none" w:sz="0" w:space="0" w:color="auto"/>
                <w:left w:val="none" w:sz="0" w:space="0" w:color="auto"/>
                <w:bottom w:val="none" w:sz="0" w:space="0" w:color="auto"/>
                <w:right w:val="none" w:sz="0" w:space="0" w:color="auto"/>
              </w:divBdr>
            </w:div>
          </w:divsChild>
        </w:div>
        <w:div w:id="1075005241">
          <w:marLeft w:val="0"/>
          <w:marRight w:val="0"/>
          <w:marTop w:val="0"/>
          <w:marBottom w:val="0"/>
          <w:divBdr>
            <w:top w:val="none" w:sz="0" w:space="0" w:color="auto"/>
            <w:left w:val="none" w:sz="0" w:space="0" w:color="auto"/>
            <w:bottom w:val="none" w:sz="0" w:space="0" w:color="auto"/>
            <w:right w:val="none" w:sz="0" w:space="0" w:color="auto"/>
          </w:divBdr>
          <w:divsChild>
            <w:div w:id="664824341">
              <w:marLeft w:val="0"/>
              <w:marRight w:val="0"/>
              <w:marTop w:val="0"/>
              <w:marBottom w:val="0"/>
              <w:divBdr>
                <w:top w:val="none" w:sz="0" w:space="0" w:color="auto"/>
                <w:left w:val="none" w:sz="0" w:space="0" w:color="auto"/>
                <w:bottom w:val="none" w:sz="0" w:space="0" w:color="auto"/>
                <w:right w:val="none" w:sz="0" w:space="0" w:color="auto"/>
              </w:divBdr>
            </w:div>
          </w:divsChild>
        </w:div>
        <w:div w:id="1080105977">
          <w:marLeft w:val="0"/>
          <w:marRight w:val="0"/>
          <w:marTop w:val="0"/>
          <w:marBottom w:val="0"/>
          <w:divBdr>
            <w:top w:val="none" w:sz="0" w:space="0" w:color="auto"/>
            <w:left w:val="none" w:sz="0" w:space="0" w:color="auto"/>
            <w:bottom w:val="none" w:sz="0" w:space="0" w:color="auto"/>
            <w:right w:val="none" w:sz="0" w:space="0" w:color="auto"/>
          </w:divBdr>
          <w:divsChild>
            <w:div w:id="1098645756">
              <w:marLeft w:val="0"/>
              <w:marRight w:val="0"/>
              <w:marTop w:val="0"/>
              <w:marBottom w:val="0"/>
              <w:divBdr>
                <w:top w:val="none" w:sz="0" w:space="0" w:color="auto"/>
                <w:left w:val="none" w:sz="0" w:space="0" w:color="auto"/>
                <w:bottom w:val="none" w:sz="0" w:space="0" w:color="auto"/>
                <w:right w:val="none" w:sz="0" w:space="0" w:color="auto"/>
              </w:divBdr>
            </w:div>
          </w:divsChild>
        </w:div>
        <w:div w:id="1269653022">
          <w:marLeft w:val="0"/>
          <w:marRight w:val="0"/>
          <w:marTop w:val="0"/>
          <w:marBottom w:val="0"/>
          <w:divBdr>
            <w:top w:val="none" w:sz="0" w:space="0" w:color="auto"/>
            <w:left w:val="none" w:sz="0" w:space="0" w:color="auto"/>
            <w:bottom w:val="none" w:sz="0" w:space="0" w:color="auto"/>
            <w:right w:val="none" w:sz="0" w:space="0" w:color="auto"/>
          </w:divBdr>
          <w:divsChild>
            <w:div w:id="138886190">
              <w:marLeft w:val="0"/>
              <w:marRight w:val="0"/>
              <w:marTop w:val="0"/>
              <w:marBottom w:val="0"/>
              <w:divBdr>
                <w:top w:val="none" w:sz="0" w:space="0" w:color="auto"/>
                <w:left w:val="none" w:sz="0" w:space="0" w:color="auto"/>
                <w:bottom w:val="none" w:sz="0" w:space="0" w:color="auto"/>
                <w:right w:val="none" w:sz="0" w:space="0" w:color="auto"/>
              </w:divBdr>
            </w:div>
          </w:divsChild>
        </w:div>
        <w:div w:id="1384328267">
          <w:marLeft w:val="0"/>
          <w:marRight w:val="0"/>
          <w:marTop w:val="0"/>
          <w:marBottom w:val="0"/>
          <w:divBdr>
            <w:top w:val="none" w:sz="0" w:space="0" w:color="auto"/>
            <w:left w:val="none" w:sz="0" w:space="0" w:color="auto"/>
            <w:bottom w:val="none" w:sz="0" w:space="0" w:color="auto"/>
            <w:right w:val="none" w:sz="0" w:space="0" w:color="auto"/>
          </w:divBdr>
          <w:divsChild>
            <w:div w:id="887495901">
              <w:marLeft w:val="0"/>
              <w:marRight w:val="0"/>
              <w:marTop w:val="0"/>
              <w:marBottom w:val="0"/>
              <w:divBdr>
                <w:top w:val="none" w:sz="0" w:space="0" w:color="auto"/>
                <w:left w:val="none" w:sz="0" w:space="0" w:color="auto"/>
                <w:bottom w:val="none" w:sz="0" w:space="0" w:color="auto"/>
                <w:right w:val="none" w:sz="0" w:space="0" w:color="auto"/>
              </w:divBdr>
            </w:div>
          </w:divsChild>
        </w:div>
        <w:div w:id="1613710862">
          <w:marLeft w:val="0"/>
          <w:marRight w:val="0"/>
          <w:marTop w:val="0"/>
          <w:marBottom w:val="0"/>
          <w:divBdr>
            <w:top w:val="none" w:sz="0" w:space="0" w:color="auto"/>
            <w:left w:val="none" w:sz="0" w:space="0" w:color="auto"/>
            <w:bottom w:val="none" w:sz="0" w:space="0" w:color="auto"/>
            <w:right w:val="none" w:sz="0" w:space="0" w:color="auto"/>
          </w:divBdr>
          <w:divsChild>
            <w:div w:id="1187255854">
              <w:marLeft w:val="0"/>
              <w:marRight w:val="0"/>
              <w:marTop w:val="0"/>
              <w:marBottom w:val="0"/>
              <w:divBdr>
                <w:top w:val="none" w:sz="0" w:space="0" w:color="auto"/>
                <w:left w:val="none" w:sz="0" w:space="0" w:color="auto"/>
                <w:bottom w:val="none" w:sz="0" w:space="0" w:color="auto"/>
                <w:right w:val="none" w:sz="0" w:space="0" w:color="auto"/>
              </w:divBdr>
            </w:div>
          </w:divsChild>
        </w:div>
        <w:div w:id="1839924752">
          <w:marLeft w:val="0"/>
          <w:marRight w:val="0"/>
          <w:marTop w:val="0"/>
          <w:marBottom w:val="0"/>
          <w:divBdr>
            <w:top w:val="none" w:sz="0" w:space="0" w:color="auto"/>
            <w:left w:val="none" w:sz="0" w:space="0" w:color="auto"/>
            <w:bottom w:val="none" w:sz="0" w:space="0" w:color="auto"/>
            <w:right w:val="none" w:sz="0" w:space="0" w:color="auto"/>
          </w:divBdr>
          <w:divsChild>
            <w:div w:id="349766560">
              <w:marLeft w:val="0"/>
              <w:marRight w:val="0"/>
              <w:marTop w:val="0"/>
              <w:marBottom w:val="0"/>
              <w:divBdr>
                <w:top w:val="none" w:sz="0" w:space="0" w:color="auto"/>
                <w:left w:val="none" w:sz="0" w:space="0" w:color="auto"/>
                <w:bottom w:val="none" w:sz="0" w:space="0" w:color="auto"/>
                <w:right w:val="none" w:sz="0" w:space="0" w:color="auto"/>
              </w:divBdr>
            </w:div>
            <w:div w:id="660349770">
              <w:marLeft w:val="0"/>
              <w:marRight w:val="0"/>
              <w:marTop w:val="0"/>
              <w:marBottom w:val="0"/>
              <w:divBdr>
                <w:top w:val="none" w:sz="0" w:space="0" w:color="auto"/>
                <w:left w:val="none" w:sz="0" w:space="0" w:color="auto"/>
                <w:bottom w:val="none" w:sz="0" w:space="0" w:color="auto"/>
                <w:right w:val="none" w:sz="0" w:space="0" w:color="auto"/>
              </w:divBdr>
            </w:div>
          </w:divsChild>
        </w:div>
        <w:div w:id="1983727267">
          <w:marLeft w:val="0"/>
          <w:marRight w:val="0"/>
          <w:marTop w:val="0"/>
          <w:marBottom w:val="0"/>
          <w:divBdr>
            <w:top w:val="none" w:sz="0" w:space="0" w:color="auto"/>
            <w:left w:val="none" w:sz="0" w:space="0" w:color="auto"/>
            <w:bottom w:val="none" w:sz="0" w:space="0" w:color="auto"/>
            <w:right w:val="none" w:sz="0" w:space="0" w:color="auto"/>
          </w:divBdr>
          <w:divsChild>
            <w:div w:id="72972967">
              <w:marLeft w:val="0"/>
              <w:marRight w:val="0"/>
              <w:marTop w:val="0"/>
              <w:marBottom w:val="0"/>
              <w:divBdr>
                <w:top w:val="none" w:sz="0" w:space="0" w:color="auto"/>
                <w:left w:val="none" w:sz="0" w:space="0" w:color="auto"/>
                <w:bottom w:val="none" w:sz="0" w:space="0" w:color="auto"/>
                <w:right w:val="none" w:sz="0" w:space="0" w:color="auto"/>
              </w:divBdr>
            </w:div>
            <w:div w:id="1091665157">
              <w:marLeft w:val="0"/>
              <w:marRight w:val="0"/>
              <w:marTop w:val="0"/>
              <w:marBottom w:val="0"/>
              <w:divBdr>
                <w:top w:val="none" w:sz="0" w:space="0" w:color="auto"/>
                <w:left w:val="none" w:sz="0" w:space="0" w:color="auto"/>
                <w:bottom w:val="none" w:sz="0" w:space="0" w:color="auto"/>
                <w:right w:val="none" w:sz="0" w:space="0" w:color="auto"/>
              </w:divBdr>
            </w:div>
            <w:div w:id="1163353728">
              <w:marLeft w:val="0"/>
              <w:marRight w:val="0"/>
              <w:marTop w:val="0"/>
              <w:marBottom w:val="0"/>
              <w:divBdr>
                <w:top w:val="none" w:sz="0" w:space="0" w:color="auto"/>
                <w:left w:val="none" w:sz="0" w:space="0" w:color="auto"/>
                <w:bottom w:val="none" w:sz="0" w:space="0" w:color="auto"/>
                <w:right w:val="none" w:sz="0" w:space="0" w:color="auto"/>
              </w:divBdr>
            </w:div>
            <w:div w:id="1686402616">
              <w:marLeft w:val="0"/>
              <w:marRight w:val="0"/>
              <w:marTop w:val="0"/>
              <w:marBottom w:val="0"/>
              <w:divBdr>
                <w:top w:val="none" w:sz="0" w:space="0" w:color="auto"/>
                <w:left w:val="none" w:sz="0" w:space="0" w:color="auto"/>
                <w:bottom w:val="none" w:sz="0" w:space="0" w:color="auto"/>
                <w:right w:val="none" w:sz="0" w:space="0" w:color="auto"/>
              </w:divBdr>
            </w:div>
            <w:div w:id="1743789590">
              <w:marLeft w:val="0"/>
              <w:marRight w:val="0"/>
              <w:marTop w:val="0"/>
              <w:marBottom w:val="0"/>
              <w:divBdr>
                <w:top w:val="none" w:sz="0" w:space="0" w:color="auto"/>
                <w:left w:val="none" w:sz="0" w:space="0" w:color="auto"/>
                <w:bottom w:val="none" w:sz="0" w:space="0" w:color="auto"/>
                <w:right w:val="none" w:sz="0" w:space="0" w:color="auto"/>
              </w:divBdr>
            </w:div>
            <w:div w:id="1912036255">
              <w:marLeft w:val="0"/>
              <w:marRight w:val="0"/>
              <w:marTop w:val="0"/>
              <w:marBottom w:val="0"/>
              <w:divBdr>
                <w:top w:val="none" w:sz="0" w:space="0" w:color="auto"/>
                <w:left w:val="none" w:sz="0" w:space="0" w:color="auto"/>
                <w:bottom w:val="none" w:sz="0" w:space="0" w:color="auto"/>
                <w:right w:val="none" w:sz="0" w:space="0" w:color="auto"/>
              </w:divBdr>
            </w:div>
          </w:divsChild>
        </w:div>
        <w:div w:id="2139638329">
          <w:marLeft w:val="0"/>
          <w:marRight w:val="0"/>
          <w:marTop w:val="0"/>
          <w:marBottom w:val="0"/>
          <w:divBdr>
            <w:top w:val="none" w:sz="0" w:space="0" w:color="auto"/>
            <w:left w:val="none" w:sz="0" w:space="0" w:color="auto"/>
            <w:bottom w:val="none" w:sz="0" w:space="0" w:color="auto"/>
            <w:right w:val="none" w:sz="0" w:space="0" w:color="auto"/>
          </w:divBdr>
          <w:divsChild>
            <w:div w:id="53735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7170">
      <w:bodyDiv w:val="1"/>
      <w:marLeft w:val="0"/>
      <w:marRight w:val="0"/>
      <w:marTop w:val="0"/>
      <w:marBottom w:val="0"/>
      <w:divBdr>
        <w:top w:val="none" w:sz="0" w:space="0" w:color="auto"/>
        <w:left w:val="none" w:sz="0" w:space="0" w:color="auto"/>
        <w:bottom w:val="none" w:sz="0" w:space="0" w:color="auto"/>
        <w:right w:val="none" w:sz="0" w:space="0" w:color="auto"/>
      </w:divBdr>
    </w:div>
    <w:div w:id="120153109">
      <w:bodyDiv w:val="1"/>
      <w:marLeft w:val="0"/>
      <w:marRight w:val="0"/>
      <w:marTop w:val="0"/>
      <w:marBottom w:val="0"/>
      <w:divBdr>
        <w:top w:val="none" w:sz="0" w:space="0" w:color="auto"/>
        <w:left w:val="none" w:sz="0" w:space="0" w:color="auto"/>
        <w:bottom w:val="none" w:sz="0" w:space="0" w:color="auto"/>
        <w:right w:val="none" w:sz="0" w:space="0" w:color="auto"/>
      </w:divBdr>
    </w:div>
    <w:div w:id="136799150">
      <w:bodyDiv w:val="1"/>
      <w:marLeft w:val="0"/>
      <w:marRight w:val="0"/>
      <w:marTop w:val="0"/>
      <w:marBottom w:val="0"/>
      <w:divBdr>
        <w:top w:val="none" w:sz="0" w:space="0" w:color="auto"/>
        <w:left w:val="none" w:sz="0" w:space="0" w:color="auto"/>
        <w:bottom w:val="none" w:sz="0" w:space="0" w:color="auto"/>
        <w:right w:val="none" w:sz="0" w:space="0" w:color="auto"/>
      </w:divBdr>
    </w:div>
    <w:div w:id="138618931">
      <w:bodyDiv w:val="1"/>
      <w:marLeft w:val="0"/>
      <w:marRight w:val="0"/>
      <w:marTop w:val="0"/>
      <w:marBottom w:val="0"/>
      <w:divBdr>
        <w:top w:val="none" w:sz="0" w:space="0" w:color="auto"/>
        <w:left w:val="none" w:sz="0" w:space="0" w:color="auto"/>
        <w:bottom w:val="none" w:sz="0" w:space="0" w:color="auto"/>
        <w:right w:val="none" w:sz="0" w:space="0" w:color="auto"/>
      </w:divBdr>
    </w:div>
    <w:div w:id="141389377">
      <w:bodyDiv w:val="1"/>
      <w:marLeft w:val="0"/>
      <w:marRight w:val="0"/>
      <w:marTop w:val="0"/>
      <w:marBottom w:val="0"/>
      <w:divBdr>
        <w:top w:val="none" w:sz="0" w:space="0" w:color="auto"/>
        <w:left w:val="none" w:sz="0" w:space="0" w:color="auto"/>
        <w:bottom w:val="none" w:sz="0" w:space="0" w:color="auto"/>
        <w:right w:val="none" w:sz="0" w:space="0" w:color="auto"/>
      </w:divBdr>
    </w:div>
    <w:div w:id="142088378">
      <w:bodyDiv w:val="1"/>
      <w:marLeft w:val="0"/>
      <w:marRight w:val="0"/>
      <w:marTop w:val="0"/>
      <w:marBottom w:val="0"/>
      <w:divBdr>
        <w:top w:val="none" w:sz="0" w:space="0" w:color="auto"/>
        <w:left w:val="none" w:sz="0" w:space="0" w:color="auto"/>
        <w:bottom w:val="none" w:sz="0" w:space="0" w:color="auto"/>
        <w:right w:val="none" w:sz="0" w:space="0" w:color="auto"/>
      </w:divBdr>
    </w:div>
    <w:div w:id="156001954">
      <w:bodyDiv w:val="1"/>
      <w:marLeft w:val="0"/>
      <w:marRight w:val="0"/>
      <w:marTop w:val="0"/>
      <w:marBottom w:val="0"/>
      <w:divBdr>
        <w:top w:val="none" w:sz="0" w:space="0" w:color="auto"/>
        <w:left w:val="none" w:sz="0" w:space="0" w:color="auto"/>
        <w:bottom w:val="none" w:sz="0" w:space="0" w:color="auto"/>
        <w:right w:val="none" w:sz="0" w:space="0" w:color="auto"/>
      </w:divBdr>
    </w:div>
    <w:div w:id="160127999">
      <w:bodyDiv w:val="1"/>
      <w:marLeft w:val="0"/>
      <w:marRight w:val="0"/>
      <w:marTop w:val="0"/>
      <w:marBottom w:val="0"/>
      <w:divBdr>
        <w:top w:val="none" w:sz="0" w:space="0" w:color="auto"/>
        <w:left w:val="none" w:sz="0" w:space="0" w:color="auto"/>
        <w:bottom w:val="none" w:sz="0" w:space="0" w:color="auto"/>
        <w:right w:val="none" w:sz="0" w:space="0" w:color="auto"/>
      </w:divBdr>
      <w:divsChild>
        <w:div w:id="48462752">
          <w:marLeft w:val="547"/>
          <w:marRight w:val="0"/>
          <w:marTop w:val="0"/>
          <w:marBottom w:val="120"/>
          <w:divBdr>
            <w:top w:val="none" w:sz="0" w:space="0" w:color="auto"/>
            <w:left w:val="none" w:sz="0" w:space="0" w:color="auto"/>
            <w:bottom w:val="none" w:sz="0" w:space="0" w:color="auto"/>
            <w:right w:val="none" w:sz="0" w:space="0" w:color="auto"/>
          </w:divBdr>
        </w:div>
        <w:div w:id="426459454">
          <w:marLeft w:val="547"/>
          <w:marRight w:val="0"/>
          <w:marTop w:val="0"/>
          <w:marBottom w:val="120"/>
          <w:divBdr>
            <w:top w:val="none" w:sz="0" w:space="0" w:color="auto"/>
            <w:left w:val="none" w:sz="0" w:space="0" w:color="auto"/>
            <w:bottom w:val="none" w:sz="0" w:space="0" w:color="auto"/>
            <w:right w:val="none" w:sz="0" w:space="0" w:color="auto"/>
          </w:divBdr>
        </w:div>
        <w:div w:id="472598240">
          <w:marLeft w:val="547"/>
          <w:marRight w:val="0"/>
          <w:marTop w:val="0"/>
          <w:marBottom w:val="120"/>
          <w:divBdr>
            <w:top w:val="none" w:sz="0" w:space="0" w:color="auto"/>
            <w:left w:val="none" w:sz="0" w:space="0" w:color="auto"/>
            <w:bottom w:val="none" w:sz="0" w:space="0" w:color="auto"/>
            <w:right w:val="none" w:sz="0" w:space="0" w:color="auto"/>
          </w:divBdr>
        </w:div>
        <w:div w:id="534196796">
          <w:marLeft w:val="547"/>
          <w:marRight w:val="0"/>
          <w:marTop w:val="0"/>
          <w:marBottom w:val="120"/>
          <w:divBdr>
            <w:top w:val="none" w:sz="0" w:space="0" w:color="auto"/>
            <w:left w:val="none" w:sz="0" w:space="0" w:color="auto"/>
            <w:bottom w:val="none" w:sz="0" w:space="0" w:color="auto"/>
            <w:right w:val="none" w:sz="0" w:space="0" w:color="auto"/>
          </w:divBdr>
        </w:div>
      </w:divsChild>
    </w:div>
    <w:div w:id="165757180">
      <w:bodyDiv w:val="1"/>
      <w:marLeft w:val="0"/>
      <w:marRight w:val="0"/>
      <w:marTop w:val="0"/>
      <w:marBottom w:val="0"/>
      <w:divBdr>
        <w:top w:val="none" w:sz="0" w:space="0" w:color="auto"/>
        <w:left w:val="none" w:sz="0" w:space="0" w:color="auto"/>
        <w:bottom w:val="none" w:sz="0" w:space="0" w:color="auto"/>
        <w:right w:val="none" w:sz="0" w:space="0" w:color="auto"/>
      </w:divBdr>
      <w:divsChild>
        <w:div w:id="201134062">
          <w:marLeft w:val="0"/>
          <w:marRight w:val="0"/>
          <w:marTop w:val="0"/>
          <w:marBottom w:val="0"/>
          <w:divBdr>
            <w:top w:val="none" w:sz="0" w:space="0" w:color="auto"/>
            <w:left w:val="none" w:sz="0" w:space="0" w:color="auto"/>
            <w:bottom w:val="none" w:sz="0" w:space="0" w:color="auto"/>
            <w:right w:val="none" w:sz="0" w:space="0" w:color="auto"/>
          </w:divBdr>
        </w:div>
        <w:div w:id="724256383">
          <w:marLeft w:val="0"/>
          <w:marRight w:val="0"/>
          <w:marTop w:val="0"/>
          <w:marBottom w:val="0"/>
          <w:divBdr>
            <w:top w:val="none" w:sz="0" w:space="0" w:color="auto"/>
            <w:left w:val="none" w:sz="0" w:space="0" w:color="auto"/>
            <w:bottom w:val="none" w:sz="0" w:space="0" w:color="auto"/>
            <w:right w:val="none" w:sz="0" w:space="0" w:color="auto"/>
          </w:divBdr>
        </w:div>
        <w:div w:id="913008230">
          <w:marLeft w:val="0"/>
          <w:marRight w:val="0"/>
          <w:marTop w:val="0"/>
          <w:marBottom w:val="0"/>
          <w:divBdr>
            <w:top w:val="none" w:sz="0" w:space="0" w:color="auto"/>
            <w:left w:val="none" w:sz="0" w:space="0" w:color="auto"/>
            <w:bottom w:val="none" w:sz="0" w:space="0" w:color="auto"/>
            <w:right w:val="none" w:sz="0" w:space="0" w:color="auto"/>
          </w:divBdr>
        </w:div>
        <w:div w:id="1549339715">
          <w:marLeft w:val="0"/>
          <w:marRight w:val="0"/>
          <w:marTop w:val="0"/>
          <w:marBottom w:val="0"/>
          <w:divBdr>
            <w:top w:val="none" w:sz="0" w:space="0" w:color="auto"/>
            <w:left w:val="none" w:sz="0" w:space="0" w:color="auto"/>
            <w:bottom w:val="none" w:sz="0" w:space="0" w:color="auto"/>
            <w:right w:val="none" w:sz="0" w:space="0" w:color="auto"/>
          </w:divBdr>
        </w:div>
      </w:divsChild>
    </w:div>
    <w:div w:id="178005458">
      <w:bodyDiv w:val="1"/>
      <w:marLeft w:val="0"/>
      <w:marRight w:val="0"/>
      <w:marTop w:val="0"/>
      <w:marBottom w:val="0"/>
      <w:divBdr>
        <w:top w:val="none" w:sz="0" w:space="0" w:color="auto"/>
        <w:left w:val="none" w:sz="0" w:space="0" w:color="auto"/>
        <w:bottom w:val="none" w:sz="0" w:space="0" w:color="auto"/>
        <w:right w:val="none" w:sz="0" w:space="0" w:color="auto"/>
      </w:divBdr>
      <w:divsChild>
        <w:div w:id="1903759068">
          <w:marLeft w:val="446"/>
          <w:marRight w:val="0"/>
          <w:marTop w:val="0"/>
          <w:marBottom w:val="40"/>
          <w:divBdr>
            <w:top w:val="none" w:sz="0" w:space="0" w:color="auto"/>
            <w:left w:val="none" w:sz="0" w:space="0" w:color="auto"/>
            <w:bottom w:val="none" w:sz="0" w:space="0" w:color="auto"/>
            <w:right w:val="none" w:sz="0" w:space="0" w:color="auto"/>
          </w:divBdr>
        </w:div>
      </w:divsChild>
    </w:div>
    <w:div w:id="184369621">
      <w:bodyDiv w:val="1"/>
      <w:marLeft w:val="0"/>
      <w:marRight w:val="0"/>
      <w:marTop w:val="0"/>
      <w:marBottom w:val="0"/>
      <w:divBdr>
        <w:top w:val="none" w:sz="0" w:space="0" w:color="auto"/>
        <w:left w:val="none" w:sz="0" w:space="0" w:color="auto"/>
        <w:bottom w:val="none" w:sz="0" w:space="0" w:color="auto"/>
        <w:right w:val="none" w:sz="0" w:space="0" w:color="auto"/>
      </w:divBdr>
    </w:div>
    <w:div w:id="185095164">
      <w:bodyDiv w:val="1"/>
      <w:marLeft w:val="0"/>
      <w:marRight w:val="0"/>
      <w:marTop w:val="0"/>
      <w:marBottom w:val="0"/>
      <w:divBdr>
        <w:top w:val="none" w:sz="0" w:space="0" w:color="auto"/>
        <w:left w:val="none" w:sz="0" w:space="0" w:color="auto"/>
        <w:bottom w:val="none" w:sz="0" w:space="0" w:color="auto"/>
        <w:right w:val="none" w:sz="0" w:space="0" w:color="auto"/>
      </w:divBdr>
    </w:div>
    <w:div w:id="189075675">
      <w:bodyDiv w:val="1"/>
      <w:marLeft w:val="0"/>
      <w:marRight w:val="0"/>
      <w:marTop w:val="0"/>
      <w:marBottom w:val="0"/>
      <w:divBdr>
        <w:top w:val="none" w:sz="0" w:space="0" w:color="auto"/>
        <w:left w:val="none" w:sz="0" w:space="0" w:color="auto"/>
        <w:bottom w:val="none" w:sz="0" w:space="0" w:color="auto"/>
        <w:right w:val="none" w:sz="0" w:space="0" w:color="auto"/>
      </w:divBdr>
      <w:divsChild>
        <w:div w:id="110515620">
          <w:marLeft w:val="547"/>
          <w:marRight w:val="0"/>
          <w:marTop w:val="0"/>
          <w:marBottom w:val="0"/>
          <w:divBdr>
            <w:top w:val="none" w:sz="0" w:space="0" w:color="auto"/>
            <w:left w:val="none" w:sz="0" w:space="0" w:color="auto"/>
            <w:bottom w:val="none" w:sz="0" w:space="0" w:color="auto"/>
            <w:right w:val="none" w:sz="0" w:space="0" w:color="auto"/>
          </w:divBdr>
        </w:div>
        <w:div w:id="300502916">
          <w:marLeft w:val="547"/>
          <w:marRight w:val="0"/>
          <w:marTop w:val="0"/>
          <w:marBottom w:val="0"/>
          <w:divBdr>
            <w:top w:val="none" w:sz="0" w:space="0" w:color="auto"/>
            <w:left w:val="none" w:sz="0" w:space="0" w:color="auto"/>
            <w:bottom w:val="none" w:sz="0" w:space="0" w:color="auto"/>
            <w:right w:val="none" w:sz="0" w:space="0" w:color="auto"/>
          </w:divBdr>
        </w:div>
      </w:divsChild>
    </w:div>
    <w:div w:id="204104276">
      <w:bodyDiv w:val="1"/>
      <w:marLeft w:val="0"/>
      <w:marRight w:val="0"/>
      <w:marTop w:val="0"/>
      <w:marBottom w:val="0"/>
      <w:divBdr>
        <w:top w:val="none" w:sz="0" w:space="0" w:color="auto"/>
        <w:left w:val="none" w:sz="0" w:space="0" w:color="auto"/>
        <w:bottom w:val="none" w:sz="0" w:space="0" w:color="auto"/>
        <w:right w:val="none" w:sz="0" w:space="0" w:color="auto"/>
      </w:divBdr>
      <w:divsChild>
        <w:div w:id="122888698">
          <w:marLeft w:val="0"/>
          <w:marRight w:val="0"/>
          <w:marTop w:val="0"/>
          <w:marBottom w:val="0"/>
          <w:divBdr>
            <w:top w:val="none" w:sz="0" w:space="0" w:color="auto"/>
            <w:left w:val="none" w:sz="0" w:space="0" w:color="auto"/>
            <w:bottom w:val="none" w:sz="0" w:space="0" w:color="auto"/>
            <w:right w:val="none" w:sz="0" w:space="0" w:color="auto"/>
          </w:divBdr>
        </w:div>
        <w:div w:id="425032087">
          <w:marLeft w:val="0"/>
          <w:marRight w:val="0"/>
          <w:marTop w:val="0"/>
          <w:marBottom w:val="0"/>
          <w:divBdr>
            <w:top w:val="none" w:sz="0" w:space="0" w:color="auto"/>
            <w:left w:val="none" w:sz="0" w:space="0" w:color="auto"/>
            <w:bottom w:val="none" w:sz="0" w:space="0" w:color="auto"/>
            <w:right w:val="none" w:sz="0" w:space="0" w:color="auto"/>
          </w:divBdr>
        </w:div>
        <w:div w:id="679508199">
          <w:marLeft w:val="0"/>
          <w:marRight w:val="0"/>
          <w:marTop w:val="0"/>
          <w:marBottom w:val="0"/>
          <w:divBdr>
            <w:top w:val="none" w:sz="0" w:space="0" w:color="auto"/>
            <w:left w:val="none" w:sz="0" w:space="0" w:color="auto"/>
            <w:bottom w:val="none" w:sz="0" w:space="0" w:color="auto"/>
            <w:right w:val="none" w:sz="0" w:space="0" w:color="auto"/>
          </w:divBdr>
          <w:divsChild>
            <w:div w:id="122046298">
              <w:marLeft w:val="0"/>
              <w:marRight w:val="0"/>
              <w:marTop w:val="0"/>
              <w:marBottom w:val="0"/>
              <w:divBdr>
                <w:top w:val="none" w:sz="0" w:space="0" w:color="auto"/>
                <w:left w:val="none" w:sz="0" w:space="0" w:color="auto"/>
                <w:bottom w:val="none" w:sz="0" w:space="0" w:color="auto"/>
                <w:right w:val="none" w:sz="0" w:space="0" w:color="auto"/>
              </w:divBdr>
            </w:div>
            <w:div w:id="1335454258">
              <w:marLeft w:val="0"/>
              <w:marRight w:val="0"/>
              <w:marTop w:val="0"/>
              <w:marBottom w:val="0"/>
              <w:divBdr>
                <w:top w:val="none" w:sz="0" w:space="0" w:color="auto"/>
                <w:left w:val="none" w:sz="0" w:space="0" w:color="auto"/>
                <w:bottom w:val="none" w:sz="0" w:space="0" w:color="auto"/>
                <w:right w:val="none" w:sz="0" w:space="0" w:color="auto"/>
              </w:divBdr>
            </w:div>
            <w:div w:id="1611161505">
              <w:marLeft w:val="0"/>
              <w:marRight w:val="0"/>
              <w:marTop w:val="0"/>
              <w:marBottom w:val="0"/>
              <w:divBdr>
                <w:top w:val="none" w:sz="0" w:space="0" w:color="auto"/>
                <w:left w:val="none" w:sz="0" w:space="0" w:color="auto"/>
                <w:bottom w:val="none" w:sz="0" w:space="0" w:color="auto"/>
                <w:right w:val="none" w:sz="0" w:space="0" w:color="auto"/>
              </w:divBdr>
            </w:div>
          </w:divsChild>
        </w:div>
        <w:div w:id="895240796">
          <w:marLeft w:val="0"/>
          <w:marRight w:val="0"/>
          <w:marTop w:val="0"/>
          <w:marBottom w:val="0"/>
          <w:divBdr>
            <w:top w:val="none" w:sz="0" w:space="0" w:color="auto"/>
            <w:left w:val="none" w:sz="0" w:space="0" w:color="auto"/>
            <w:bottom w:val="none" w:sz="0" w:space="0" w:color="auto"/>
            <w:right w:val="none" w:sz="0" w:space="0" w:color="auto"/>
          </w:divBdr>
        </w:div>
        <w:div w:id="1468162584">
          <w:marLeft w:val="0"/>
          <w:marRight w:val="0"/>
          <w:marTop w:val="0"/>
          <w:marBottom w:val="0"/>
          <w:divBdr>
            <w:top w:val="none" w:sz="0" w:space="0" w:color="auto"/>
            <w:left w:val="none" w:sz="0" w:space="0" w:color="auto"/>
            <w:bottom w:val="none" w:sz="0" w:space="0" w:color="auto"/>
            <w:right w:val="none" w:sz="0" w:space="0" w:color="auto"/>
          </w:divBdr>
        </w:div>
        <w:div w:id="1829666535">
          <w:marLeft w:val="0"/>
          <w:marRight w:val="0"/>
          <w:marTop w:val="0"/>
          <w:marBottom w:val="0"/>
          <w:divBdr>
            <w:top w:val="none" w:sz="0" w:space="0" w:color="auto"/>
            <w:left w:val="none" w:sz="0" w:space="0" w:color="auto"/>
            <w:bottom w:val="none" w:sz="0" w:space="0" w:color="auto"/>
            <w:right w:val="none" w:sz="0" w:space="0" w:color="auto"/>
          </w:divBdr>
        </w:div>
      </w:divsChild>
    </w:div>
    <w:div w:id="212497860">
      <w:bodyDiv w:val="1"/>
      <w:marLeft w:val="0"/>
      <w:marRight w:val="0"/>
      <w:marTop w:val="0"/>
      <w:marBottom w:val="0"/>
      <w:divBdr>
        <w:top w:val="none" w:sz="0" w:space="0" w:color="auto"/>
        <w:left w:val="none" w:sz="0" w:space="0" w:color="auto"/>
        <w:bottom w:val="none" w:sz="0" w:space="0" w:color="auto"/>
        <w:right w:val="none" w:sz="0" w:space="0" w:color="auto"/>
      </w:divBdr>
      <w:divsChild>
        <w:div w:id="12151562">
          <w:marLeft w:val="0"/>
          <w:marRight w:val="0"/>
          <w:marTop w:val="0"/>
          <w:marBottom w:val="0"/>
          <w:divBdr>
            <w:top w:val="none" w:sz="0" w:space="0" w:color="auto"/>
            <w:left w:val="none" w:sz="0" w:space="0" w:color="auto"/>
            <w:bottom w:val="none" w:sz="0" w:space="0" w:color="auto"/>
            <w:right w:val="none" w:sz="0" w:space="0" w:color="auto"/>
          </w:divBdr>
        </w:div>
      </w:divsChild>
    </w:div>
    <w:div w:id="231161182">
      <w:bodyDiv w:val="1"/>
      <w:marLeft w:val="0"/>
      <w:marRight w:val="0"/>
      <w:marTop w:val="0"/>
      <w:marBottom w:val="0"/>
      <w:divBdr>
        <w:top w:val="none" w:sz="0" w:space="0" w:color="auto"/>
        <w:left w:val="none" w:sz="0" w:space="0" w:color="auto"/>
        <w:bottom w:val="none" w:sz="0" w:space="0" w:color="auto"/>
        <w:right w:val="none" w:sz="0" w:space="0" w:color="auto"/>
      </w:divBdr>
      <w:divsChild>
        <w:div w:id="1107970617">
          <w:marLeft w:val="547"/>
          <w:marRight w:val="0"/>
          <w:marTop w:val="0"/>
          <w:marBottom w:val="0"/>
          <w:divBdr>
            <w:top w:val="none" w:sz="0" w:space="0" w:color="auto"/>
            <w:left w:val="none" w:sz="0" w:space="0" w:color="auto"/>
            <w:bottom w:val="none" w:sz="0" w:space="0" w:color="auto"/>
            <w:right w:val="none" w:sz="0" w:space="0" w:color="auto"/>
          </w:divBdr>
        </w:div>
      </w:divsChild>
    </w:div>
    <w:div w:id="234241364">
      <w:bodyDiv w:val="1"/>
      <w:marLeft w:val="0"/>
      <w:marRight w:val="0"/>
      <w:marTop w:val="0"/>
      <w:marBottom w:val="0"/>
      <w:divBdr>
        <w:top w:val="none" w:sz="0" w:space="0" w:color="auto"/>
        <w:left w:val="none" w:sz="0" w:space="0" w:color="auto"/>
        <w:bottom w:val="none" w:sz="0" w:space="0" w:color="auto"/>
        <w:right w:val="none" w:sz="0" w:space="0" w:color="auto"/>
      </w:divBdr>
    </w:div>
    <w:div w:id="239483095">
      <w:bodyDiv w:val="1"/>
      <w:marLeft w:val="0"/>
      <w:marRight w:val="0"/>
      <w:marTop w:val="0"/>
      <w:marBottom w:val="0"/>
      <w:divBdr>
        <w:top w:val="none" w:sz="0" w:space="0" w:color="auto"/>
        <w:left w:val="none" w:sz="0" w:space="0" w:color="auto"/>
        <w:bottom w:val="none" w:sz="0" w:space="0" w:color="auto"/>
        <w:right w:val="none" w:sz="0" w:space="0" w:color="auto"/>
      </w:divBdr>
    </w:div>
    <w:div w:id="239602551">
      <w:bodyDiv w:val="1"/>
      <w:marLeft w:val="0"/>
      <w:marRight w:val="0"/>
      <w:marTop w:val="0"/>
      <w:marBottom w:val="0"/>
      <w:divBdr>
        <w:top w:val="none" w:sz="0" w:space="0" w:color="auto"/>
        <w:left w:val="none" w:sz="0" w:space="0" w:color="auto"/>
        <w:bottom w:val="none" w:sz="0" w:space="0" w:color="auto"/>
        <w:right w:val="none" w:sz="0" w:space="0" w:color="auto"/>
      </w:divBdr>
    </w:div>
    <w:div w:id="274365079">
      <w:bodyDiv w:val="1"/>
      <w:marLeft w:val="0"/>
      <w:marRight w:val="0"/>
      <w:marTop w:val="0"/>
      <w:marBottom w:val="0"/>
      <w:divBdr>
        <w:top w:val="none" w:sz="0" w:space="0" w:color="auto"/>
        <w:left w:val="none" w:sz="0" w:space="0" w:color="auto"/>
        <w:bottom w:val="none" w:sz="0" w:space="0" w:color="auto"/>
        <w:right w:val="none" w:sz="0" w:space="0" w:color="auto"/>
      </w:divBdr>
    </w:div>
    <w:div w:id="280307012">
      <w:bodyDiv w:val="1"/>
      <w:marLeft w:val="0"/>
      <w:marRight w:val="0"/>
      <w:marTop w:val="0"/>
      <w:marBottom w:val="0"/>
      <w:divBdr>
        <w:top w:val="none" w:sz="0" w:space="0" w:color="auto"/>
        <w:left w:val="none" w:sz="0" w:space="0" w:color="auto"/>
        <w:bottom w:val="none" w:sz="0" w:space="0" w:color="auto"/>
        <w:right w:val="none" w:sz="0" w:space="0" w:color="auto"/>
      </w:divBdr>
      <w:divsChild>
        <w:div w:id="780877865">
          <w:marLeft w:val="446"/>
          <w:marRight w:val="0"/>
          <w:marTop w:val="0"/>
          <w:marBottom w:val="0"/>
          <w:divBdr>
            <w:top w:val="none" w:sz="0" w:space="0" w:color="auto"/>
            <w:left w:val="none" w:sz="0" w:space="0" w:color="auto"/>
            <w:bottom w:val="none" w:sz="0" w:space="0" w:color="auto"/>
            <w:right w:val="none" w:sz="0" w:space="0" w:color="auto"/>
          </w:divBdr>
        </w:div>
        <w:div w:id="899824543">
          <w:marLeft w:val="446"/>
          <w:marRight w:val="0"/>
          <w:marTop w:val="0"/>
          <w:marBottom w:val="0"/>
          <w:divBdr>
            <w:top w:val="none" w:sz="0" w:space="0" w:color="auto"/>
            <w:left w:val="none" w:sz="0" w:space="0" w:color="auto"/>
            <w:bottom w:val="none" w:sz="0" w:space="0" w:color="auto"/>
            <w:right w:val="none" w:sz="0" w:space="0" w:color="auto"/>
          </w:divBdr>
        </w:div>
        <w:div w:id="1245068979">
          <w:marLeft w:val="446"/>
          <w:marRight w:val="0"/>
          <w:marTop w:val="0"/>
          <w:marBottom w:val="0"/>
          <w:divBdr>
            <w:top w:val="none" w:sz="0" w:space="0" w:color="auto"/>
            <w:left w:val="none" w:sz="0" w:space="0" w:color="auto"/>
            <w:bottom w:val="none" w:sz="0" w:space="0" w:color="auto"/>
            <w:right w:val="none" w:sz="0" w:space="0" w:color="auto"/>
          </w:divBdr>
        </w:div>
        <w:div w:id="1991245871">
          <w:marLeft w:val="446"/>
          <w:marRight w:val="0"/>
          <w:marTop w:val="0"/>
          <w:marBottom w:val="0"/>
          <w:divBdr>
            <w:top w:val="none" w:sz="0" w:space="0" w:color="auto"/>
            <w:left w:val="none" w:sz="0" w:space="0" w:color="auto"/>
            <w:bottom w:val="none" w:sz="0" w:space="0" w:color="auto"/>
            <w:right w:val="none" w:sz="0" w:space="0" w:color="auto"/>
          </w:divBdr>
        </w:div>
      </w:divsChild>
    </w:div>
    <w:div w:id="283194501">
      <w:bodyDiv w:val="1"/>
      <w:marLeft w:val="0"/>
      <w:marRight w:val="0"/>
      <w:marTop w:val="0"/>
      <w:marBottom w:val="0"/>
      <w:divBdr>
        <w:top w:val="none" w:sz="0" w:space="0" w:color="auto"/>
        <w:left w:val="none" w:sz="0" w:space="0" w:color="auto"/>
        <w:bottom w:val="none" w:sz="0" w:space="0" w:color="auto"/>
        <w:right w:val="none" w:sz="0" w:space="0" w:color="auto"/>
      </w:divBdr>
    </w:div>
    <w:div w:id="285700759">
      <w:bodyDiv w:val="1"/>
      <w:marLeft w:val="0"/>
      <w:marRight w:val="0"/>
      <w:marTop w:val="0"/>
      <w:marBottom w:val="0"/>
      <w:divBdr>
        <w:top w:val="none" w:sz="0" w:space="0" w:color="auto"/>
        <w:left w:val="none" w:sz="0" w:space="0" w:color="auto"/>
        <w:bottom w:val="none" w:sz="0" w:space="0" w:color="auto"/>
        <w:right w:val="none" w:sz="0" w:space="0" w:color="auto"/>
      </w:divBdr>
    </w:div>
    <w:div w:id="291714637">
      <w:bodyDiv w:val="1"/>
      <w:marLeft w:val="0"/>
      <w:marRight w:val="0"/>
      <w:marTop w:val="0"/>
      <w:marBottom w:val="0"/>
      <w:divBdr>
        <w:top w:val="none" w:sz="0" w:space="0" w:color="auto"/>
        <w:left w:val="none" w:sz="0" w:space="0" w:color="auto"/>
        <w:bottom w:val="none" w:sz="0" w:space="0" w:color="auto"/>
        <w:right w:val="none" w:sz="0" w:space="0" w:color="auto"/>
      </w:divBdr>
    </w:div>
    <w:div w:id="335303961">
      <w:bodyDiv w:val="1"/>
      <w:marLeft w:val="0"/>
      <w:marRight w:val="0"/>
      <w:marTop w:val="0"/>
      <w:marBottom w:val="0"/>
      <w:divBdr>
        <w:top w:val="none" w:sz="0" w:space="0" w:color="auto"/>
        <w:left w:val="none" w:sz="0" w:space="0" w:color="auto"/>
        <w:bottom w:val="none" w:sz="0" w:space="0" w:color="auto"/>
        <w:right w:val="none" w:sz="0" w:space="0" w:color="auto"/>
      </w:divBdr>
    </w:div>
    <w:div w:id="356277859">
      <w:bodyDiv w:val="1"/>
      <w:marLeft w:val="0"/>
      <w:marRight w:val="0"/>
      <w:marTop w:val="0"/>
      <w:marBottom w:val="0"/>
      <w:divBdr>
        <w:top w:val="none" w:sz="0" w:space="0" w:color="auto"/>
        <w:left w:val="none" w:sz="0" w:space="0" w:color="auto"/>
        <w:bottom w:val="none" w:sz="0" w:space="0" w:color="auto"/>
        <w:right w:val="none" w:sz="0" w:space="0" w:color="auto"/>
      </w:divBdr>
      <w:divsChild>
        <w:div w:id="620264486">
          <w:marLeft w:val="0"/>
          <w:marRight w:val="0"/>
          <w:marTop w:val="0"/>
          <w:marBottom w:val="0"/>
          <w:divBdr>
            <w:top w:val="none" w:sz="0" w:space="0" w:color="auto"/>
            <w:left w:val="none" w:sz="0" w:space="0" w:color="auto"/>
            <w:bottom w:val="none" w:sz="0" w:space="0" w:color="auto"/>
            <w:right w:val="none" w:sz="0" w:space="0" w:color="auto"/>
          </w:divBdr>
        </w:div>
        <w:div w:id="929436830">
          <w:marLeft w:val="0"/>
          <w:marRight w:val="0"/>
          <w:marTop w:val="0"/>
          <w:marBottom w:val="0"/>
          <w:divBdr>
            <w:top w:val="none" w:sz="0" w:space="0" w:color="auto"/>
            <w:left w:val="none" w:sz="0" w:space="0" w:color="auto"/>
            <w:bottom w:val="none" w:sz="0" w:space="0" w:color="auto"/>
            <w:right w:val="none" w:sz="0" w:space="0" w:color="auto"/>
          </w:divBdr>
        </w:div>
        <w:div w:id="941688131">
          <w:marLeft w:val="0"/>
          <w:marRight w:val="0"/>
          <w:marTop w:val="0"/>
          <w:marBottom w:val="0"/>
          <w:divBdr>
            <w:top w:val="none" w:sz="0" w:space="0" w:color="auto"/>
            <w:left w:val="none" w:sz="0" w:space="0" w:color="auto"/>
            <w:bottom w:val="none" w:sz="0" w:space="0" w:color="auto"/>
            <w:right w:val="none" w:sz="0" w:space="0" w:color="auto"/>
          </w:divBdr>
        </w:div>
        <w:div w:id="1480347555">
          <w:marLeft w:val="0"/>
          <w:marRight w:val="0"/>
          <w:marTop w:val="0"/>
          <w:marBottom w:val="0"/>
          <w:divBdr>
            <w:top w:val="none" w:sz="0" w:space="0" w:color="auto"/>
            <w:left w:val="none" w:sz="0" w:space="0" w:color="auto"/>
            <w:bottom w:val="none" w:sz="0" w:space="0" w:color="auto"/>
            <w:right w:val="none" w:sz="0" w:space="0" w:color="auto"/>
          </w:divBdr>
        </w:div>
        <w:div w:id="1506624978">
          <w:marLeft w:val="0"/>
          <w:marRight w:val="0"/>
          <w:marTop w:val="0"/>
          <w:marBottom w:val="0"/>
          <w:divBdr>
            <w:top w:val="none" w:sz="0" w:space="0" w:color="auto"/>
            <w:left w:val="none" w:sz="0" w:space="0" w:color="auto"/>
            <w:bottom w:val="none" w:sz="0" w:space="0" w:color="auto"/>
            <w:right w:val="none" w:sz="0" w:space="0" w:color="auto"/>
          </w:divBdr>
        </w:div>
        <w:div w:id="1546285507">
          <w:marLeft w:val="0"/>
          <w:marRight w:val="0"/>
          <w:marTop w:val="0"/>
          <w:marBottom w:val="0"/>
          <w:divBdr>
            <w:top w:val="none" w:sz="0" w:space="0" w:color="auto"/>
            <w:left w:val="none" w:sz="0" w:space="0" w:color="auto"/>
            <w:bottom w:val="none" w:sz="0" w:space="0" w:color="auto"/>
            <w:right w:val="none" w:sz="0" w:space="0" w:color="auto"/>
          </w:divBdr>
        </w:div>
        <w:div w:id="1804811345">
          <w:marLeft w:val="0"/>
          <w:marRight w:val="0"/>
          <w:marTop w:val="0"/>
          <w:marBottom w:val="0"/>
          <w:divBdr>
            <w:top w:val="none" w:sz="0" w:space="0" w:color="auto"/>
            <w:left w:val="none" w:sz="0" w:space="0" w:color="auto"/>
            <w:bottom w:val="none" w:sz="0" w:space="0" w:color="auto"/>
            <w:right w:val="none" w:sz="0" w:space="0" w:color="auto"/>
          </w:divBdr>
        </w:div>
        <w:div w:id="1995521051">
          <w:marLeft w:val="0"/>
          <w:marRight w:val="0"/>
          <w:marTop w:val="0"/>
          <w:marBottom w:val="0"/>
          <w:divBdr>
            <w:top w:val="none" w:sz="0" w:space="0" w:color="auto"/>
            <w:left w:val="none" w:sz="0" w:space="0" w:color="auto"/>
            <w:bottom w:val="none" w:sz="0" w:space="0" w:color="auto"/>
            <w:right w:val="none" w:sz="0" w:space="0" w:color="auto"/>
          </w:divBdr>
        </w:div>
      </w:divsChild>
    </w:div>
    <w:div w:id="363138279">
      <w:bodyDiv w:val="1"/>
      <w:marLeft w:val="0"/>
      <w:marRight w:val="0"/>
      <w:marTop w:val="0"/>
      <w:marBottom w:val="0"/>
      <w:divBdr>
        <w:top w:val="none" w:sz="0" w:space="0" w:color="auto"/>
        <w:left w:val="none" w:sz="0" w:space="0" w:color="auto"/>
        <w:bottom w:val="none" w:sz="0" w:space="0" w:color="auto"/>
        <w:right w:val="none" w:sz="0" w:space="0" w:color="auto"/>
      </w:divBdr>
    </w:div>
    <w:div w:id="363798147">
      <w:bodyDiv w:val="1"/>
      <w:marLeft w:val="0"/>
      <w:marRight w:val="0"/>
      <w:marTop w:val="0"/>
      <w:marBottom w:val="0"/>
      <w:divBdr>
        <w:top w:val="none" w:sz="0" w:space="0" w:color="auto"/>
        <w:left w:val="none" w:sz="0" w:space="0" w:color="auto"/>
        <w:bottom w:val="none" w:sz="0" w:space="0" w:color="auto"/>
        <w:right w:val="none" w:sz="0" w:space="0" w:color="auto"/>
      </w:divBdr>
    </w:div>
    <w:div w:id="372921068">
      <w:bodyDiv w:val="1"/>
      <w:marLeft w:val="0"/>
      <w:marRight w:val="0"/>
      <w:marTop w:val="0"/>
      <w:marBottom w:val="0"/>
      <w:divBdr>
        <w:top w:val="none" w:sz="0" w:space="0" w:color="auto"/>
        <w:left w:val="none" w:sz="0" w:space="0" w:color="auto"/>
        <w:bottom w:val="none" w:sz="0" w:space="0" w:color="auto"/>
        <w:right w:val="none" w:sz="0" w:space="0" w:color="auto"/>
      </w:divBdr>
      <w:divsChild>
        <w:div w:id="2002539500">
          <w:marLeft w:val="0"/>
          <w:marRight w:val="0"/>
          <w:marTop w:val="0"/>
          <w:marBottom w:val="0"/>
          <w:divBdr>
            <w:top w:val="none" w:sz="0" w:space="0" w:color="auto"/>
            <w:left w:val="none" w:sz="0" w:space="0" w:color="auto"/>
            <w:bottom w:val="none" w:sz="0" w:space="0" w:color="auto"/>
            <w:right w:val="none" w:sz="0" w:space="0" w:color="auto"/>
          </w:divBdr>
        </w:div>
      </w:divsChild>
    </w:div>
    <w:div w:id="419523014">
      <w:bodyDiv w:val="1"/>
      <w:marLeft w:val="0"/>
      <w:marRight w:val="0"/>
      <w:marTop w:val="0"/>
      <w:marBottom w:val="0"/>
      <w:divBdr>
        <w:top w:val="none" w:sz="0" w:space="0" w:color="auto"/>
        <w:left w:val="none" w:sz="0" w:space="0" w:color="auto"/>
        <w:bottom w:val="none" w:sz="0" w:space="0" w:color="auto"/>
        <w:right w:val="none" w:sz="0" w:space="0" w:color="auto"/>
      </w:divBdr>
      <w:divsChild>
        <w:div w:id="1222328875">
          <w:marLeft w:val="446"/>
          <w:marRight w:val="0"/>
          <w:marTop w:val="0"/>
          <w:marBottom w:val="40"/>
          <w:divBdr>
            <w:top w:val="none" w:sz="0" w:space="0" w:color="auto"/>
            <w:left w:val="none" w:sz="0" w:space="0" w:color="auto"/>
            <w:bottom w:val="none" w:sz="0" w:space="0" w:color="auto"/>
            <w:right w:val="none" w:sz="0" w:space="0" w:color="auto"/>
          </w:divBdr>
        </w:div>
      </w:divsChild>
    </w:div>
    <w:div w:id="421462305">
      <w:bodyDiv w:val="1"/>
      <w:marLeft w:val="0"/>
      <w:marRight w:val="0"/>
      <w:marTop w:val="0"/>
      <w:marBottom w:val="0"/>
      <w:divBdr>
        <w:top w:val="none" w:sz="0" w:space="0" w:color="auto"/>
        <w:left w:val="none" w:sz="0" w:space="0" w:color="auto"/>
        <w:bottom w:val="none" w:sz="0" w:space="0" w:color="auto"/>
        <w:right w:val="none" w:sz="0" w:space="0" w:color="auto"/>
      </w:divBdr>
    </w:div>
    <w:div w:id="441612479">
      <w:bodyDiv w:val="1"/>
      <w:marLeft w:val="0"/>
      <w:marRight w:val="0"/>
      <w:marTop w:val="0"/>
      <w:marBottom w:val="0"/>
      <w:divBdr>
        <w:top w:val="none" w:sz="0" w:space="0" w:color="auto"/>
        <w:left w:val="none" w:sz="0" w:space="0" w:color="auto"/>
        <w:bottom w:val="none" w:sz="0" w:space="0" w:color="auto"/>
        <w:right w:val="none" w:sz="0" w:space="0" w:color="auto"/>
      </w:divBdr>
    </w:div>
    <w:div w:id="454105961">
      <w:bodyDiv w:val="1"/>
      <w:marLeft w:val="0"/>
      <w:marRight w:val="0"/>
      <w:marTop w:val="0"/>
      <w:marBottom w:val="0"/>
      <w:divBdr>
        <w:top w:val="none" w:sz="0" w:space="0" w:color="auto"/>
        <w:left w:val="none" w:sz="0" w:space="0" w:color="auto"/>
        <w:bottom w:val="none" w:sz="0" w:space="0" w:color="auto"/>
        <w:right w:val="none" w:sz="0" w:space="0" w:color="auto"/>
      </w:divBdr>
    </w:div>
    <w:div w:id="470025762">
      <w:bodyDiv w:val="1"/>
      <w:marLeft w:val="0"/>
      <w:marRight w:val="0"/>
      <w:marTop w:val="0"/>
      <w:marBottom w:val="0"/>
      <w:divBdr>
        <w:top w:val="none" w:sz="0" w:space="0" w:color="auto"/>
        <w:left w:val="none" w:sz="0" w:space="0" w:color="auto"/>
        <w:bottom w:val="none" w:sz="0" w:space="0" w:color="auto"/>
        <w:right w:val="none" w:sz="0" w:space="0" w:color="auto"/>
      </w:divBdr>
      <w:divsChild>
        <w:div w:id="297415301">
          <w:marLeft w:val="0"/>
          <w:marRight w:val="0"/>
          <w:marTop w:val="0"/>
          <w:marBottom w:val="0"/>
          <w:divBdr>
            <w:top w:val="none" w:sz="0" w:space="0" w:color="auto"/>
            <w:left w:val="none" w:sz="0" w:space="0" w:color="auto"/>
            <w:bottom w:val="none" w:sz="0" w:space="0" w:color="auto"/>
            <w:right w:val="none" w:sz="0" w:space="0" w:color="auto"/>
          </w:divBdr>
          <w:divsChild>
            <w:div w:id="1142037606">
              <w:marLeft w:val="0"/>
              <w:marRight w:val="0"/>
              <w:marTop w:val="0"/>
              <w:marBottom w:val="0"/>
              <w:divBdr>
                <w:top w:val="none" w:sz="0" w:space="0" w:color="auto"/>
                <w:left w:val="none" w:sz="0" w:space="0" w:color="auto"/>
                <w:bottom w:val="none" w:sz="0" w:space="0" w:color="auto"/>
                <w:right w:val="none" w:sz="0" w:space="0" w:color="auto"/>
              </w:divBdr>
            </w:div>
          </w:divsChild>
        </w:div>
        <w:div w:id="464079863">
          <w:marLeft w:val="0"/>
          <w:marRight w:val="0"/>
          <w:marTop w:val="0"/>
          <w:marBottom w:val="0"/>
          <w:divBdr>
            <w:top w:val="none" w:sz="0" w:space="0" w:color="auto"/>
            <w:left w:val="none" w:sz="0" w:space="0" w:color="auto"/>
            <w:bottom w:val="none" w:sz="0" w:space="0" w:color="auto"/>
            <w:right w:val="none" w:sz="0" w:space="0" w:color="auto"/>
          </w:divBdr>
          <w:divsChild>
            <w:div w:id="287785672">
              <w:marLeft w:val="0"/>
              <w:marRight w:val="0"/>
              <w:marTop w:val="0"/>
              <w:marBottom w:val="0"/>
              <w:divBdr>
                <w:top w:val="none" w:sz="0" w:space="0" w:color="auto"/>
                <w:left w:val="none" w:sz="0" w:space="0" w:color="auto"/>
                <w:bottom w:val="none" w:sz="0" w:space="0" w:color="auto"/>
                <w:right w:val="none" w:sz="0" w:space="0" w:color="auto"/>
              </w:divBdr>
            </w:div>
          </w:divsChild>
        </w:div>
        <w:div w:id="515929678">
          <w:marLeft w:val="0"/>
          <w:marRight w:val="0"/>
          <w:marTop w:val="0"/>
          <w:marBottom w:val="0"/>
          <w:divBdr>
            <w:top w:val="none" w:sz="0" w:space="0" w:color="auto"/>
            <w:left w:val="none" w:sz="0" w:space="0" w:color="auto"/>
            <w:bottom w:val="none" w:sz="0" w:space="0" w:color="auto"/>
            <w:right w:val="none" w:sz="0" w:space="0" w:color="auto"/>
          </w:divBdr>
          <w:divsChild>
            <w:div w:id="820855790">
              <w:marLeft w:val="0"/>
              <w:marRight w:val="0"/>
              <w:marTop w:val="0"/>
              <w:marBottom w:val="0"/>
              <w:divBdr>
                <w:top w:val="none" w:sz="0" w:space="0" w:color="auto"/>
                <w:left w:val="none" w:sz="0" w:space="0" w:color="auto"/>
                <w:bottom w:val="none" w:sz="0" w:space="0" w:color="auto"/>
                <w:right w:val="none" w:sz="0" w:space="0" w:color="auto"/>
              </w:divBdr>
            </w:div>
          </w:divsChild>
        </w:div>
        <w:div w:id="562638298">
          <w:marLeft w:val="0"/>
          <w:marRight w:val="0"/>
          <w:marTop w:val="0"/>
          <w:marBottom w:val="0"/>
          <w:divBdr>
            <w:top w:val="none" w:sz="0" w:space="0" w:color="auto"/>
            <w:left w:val="none" w:sz="0" w:space="0" w:color="auto"/>
            <w:bottom w:val="none" w:sz="0" w:space="0" w:color="auto"/>
            <w:right w:val="none" w:sz="0" w:space="0" w:color="auto"/>
          </w:divBdr>
          <w:divsChild>
            <w:div w:id="2034914381">
              <w:marLeft w:val="0"/>
              <w:marRight w:val="0"/>
              <w:marTop w:val="0"/>
              <w:marBottom w:val="0"/>
              <w:divBdr>
                <w:top w:val="none" w:sz="0" w:space="0" w:color="auto"/>
                <w:left w:val="none" w:sz="0" w:space="0" w:color="auto"/>
                <w:bottom w:val="none" w:sz="0" w:space="0" w:color="auto"/>
                <w:right w:val="none" w:sz="0" w:space="0" w:color="auto"/>
              </w:divBdr>
            </w:div>
          </w:divsChild>
        </w:div>
        <w:div w:id="685063639">
          <w:marLeft w:val="0"/>
          <w:marRight w:val="0"/>
          <w:marTop w:val="0"/>
          <w:marBottom w:val="0"/>
          <w:divBdr>
            <w:top w:val="none" w:sz="0" w:space="0" w:color="auto"/>
            <w:left w:val="none" w:sz="0" w:space="0" w:color="auto"/>
            <w:bottom w:val="none" w:sz="0" w:space="0" w:color="auto"/>
            <w:right w:val="none" w:sz="0" w:space="0" w:color="auto"/>
          </w:divBdr>
          <w:divsChild>
            <w:div w:id="681666485">
              <w:marLeft w:val="0"/>
              <w:marRight w:val="0"/>
              <w:marTop w:val="0"/>
              <w:marBottom w:val="0"/>
              <w:divBdr>
                <w:top w:val="none" w:sz="0" w:space="0" w:color="auto"/>
                <w:left w:val="none" w:sz="0" w:space="0" w:color="auto"/>
                <w:bottom w:val="none" w:sz="0" w:space="0" w:color="auto"/>
                <w:right w:val="none" w:sz="0" w:space="0" w:color="auto"/>
              </w:divBdr>
            </w:div>
          </w:divsChild>
        </w:div>
        <w:div w:id="705911689">
          <w:marLeft w:val="0"/>
          <w:marRight w:val="0"/>
          <w:marTop w:val="0"/>
          <w:marBottom w:val="0"/>
          <w:divBdr>
            <w:top w:val="none" w:sz="0" w:space="0" w:color="auto"/>
            <w:left w:val="none" w:sz="0" w:space="0" w:color="auto"/>
            <w:bottom w:val="none" w:sz="0" w:space="0" w:color="auto"/>
            <w:right w:val="none" w:sz="0" w:space="0" w:color="auto"/>
          </w:divBdr>
          <w:divsChild>
            <w:div w:id="340551501">
              <w:marLeft w:val="0"/>
              <w:marRight w:val="0"/>
              <w:marTop w:val="0"/>
              <w:marBottom w:val="0"/>
              <w:divBdr>
                <w:top w:val="none" w:sz="0" w:space="0" w:color="auto"/>
                <w:left w:val="none" w:sz="0" w:space="0" w:color="auto"/>
                <w:bottom w:val="none" w:sz="0" w:space="0" w:color="auto"/>
                <w:right w:val="none" w:sz="0" w:space="0" w:color="auto"/>
              </w:divBdr>
            </w:div>
          </w:divsChild>
        </w:div>
        <w:div w:id="709838514">
          <w:marLeft w:val="0"/>
          <w:marRight w:val="0"/>
          <w:marTop w:val="0"/>
          <w:marBottom w:val="0"/>
          <w:divBdr>
            <w:top w:val="none" w:sz="0" w:space="0" w:color="auto"/>
            <w:left w:val="none" w:sz="0" w:space="0" w:color="auto"/>
            <w:bottom w:val="none" w:sz="0" w:space="0" w:color="auto"/>
            <w:right w:val="none" w:sz="0" w:space="0" w:color="auto"/>
          </w:divBdr>
          <w:divsChild>
            <w:div w:id="93208541">
              <w:marLeft w:val="0"/>
              <w:marRight w:val="0"/>
              <w:marTop w:val="0"/>
              <w:marBottom w:val="0"/>
              <w:divBdr>
                <w:top w:val="none" w:sz="0" w:space="0" w:color="auto"/>
                <w:left w:val="none" w:sz="0" w:space="0" w:color="auto"/>
                <w:bottom w:val="none" w:sz="0" w:space="0" w:color="auto"/>
                <w:right w:val="none" w:sz="0" w:space="0" w:color="auto"/>
              </w:divBdr>
            </w:div>
          </w:divsChild>
        </w:div>
        <w:div w:id="1042091764">
          <w:marLeft w:val="0"/>
          <w:marRight w:val="0"/>
          <w:marTop w:val="0"/>
          <w:marBottom w:val="0"/>
          <w:divBdr>
            <w:top w:val="none" w:sz="0" w:space="0" w:color="auto"/>
            <w:left w:val="none" w:sz="0" w:space="0" w:color="auto"/>
            <w:bottom w:val="none" w:sz="0" w:space="0" w:color="auto"/>
            <w:right w:val="none" w:sz="0" w:space="0" w:color="auto"/>
          </w:divBdr>
          <w:divsChild>
            <w:div w:id="250243922">
              <w:marLeft w:val="0"/>
              <w:marRight w:val="0"/>
              <w:marTop w:val="0"/>
              <w:marBottom w:val="0"/>
              <w:divBdr>
                <w:top w:val="none" w:sz="0" w:space="0" w:color="auto"/>
                <w:left w:val="none" w:sz="0" w:space="0" w:color="auto"/>
                <w:bottom w:val="none" w:sz="0" w:space="0" w:color="auto"/>
                <w:right w:val="none" w:sz="0" w:space="0" w:color="auto"/>
              </w:divBdr>
            </w:div>
            <w:div w:id="1498768507">
              <w:marLeft w:val="0"/>
              <w:marRight w:val="0"/>
              <w:marTop w:val="0"/>
              <w:marBottom w:val="0"/>
              <w:divBdr>
                <w:top w:val="none" w:sz="0" w:space="0" w:color="auto"/>
                <w:left w:val="none" w:sz="0" w:space="0" w:color="auto"/>
                <w:bottom w:val="none" w:sz="0" w:space="0" w:color="auto"/>
                <w:right w:val="none" w:sz="0" w:space="0" w:color="auto"/>
              </w:divBdr>
            </w:div>
          </w:divsChild>
        </w:div>
        <w:div w:id="1065839513">
          <w:marLeft w:val="0"/>
          <w:marRight w:val="0"/>
          <w:marTop w:val="0"/>
          <w:marBottom w:val="0"/>
          <w:divBdr>
            <w:top w:val="none" w:sz="0" w:space="0" w:color="auto"/>
            <w:left w:val="none" w:sz="0" w:space="0" w:color="auto"/>
            <w:bottom w:val="none" w:sz="0" w:space="0" w:color="auto"/>
            <w:right w:val="none" w:sz="0" w:space="0" w:color="auto"/>
          </w:divBdr>
          <w:divsChild>
            <w:div w:id="1678919913">
              <w:marLeft w:val="0"/>
              <w:marRight w:val="0"/>
              <w:marTop w:val="0"/>
              <w:marBottom w:val="0"/>
              <w:divBdr>
                <w:top w:val="none" w:sz="0" w:space="0" w:color="auto"/>
                <w:left w:val="none" w:sz="0" w:space="0" w:color="auto"/>
                <w:bottom w:val="none" w:sz="0" w:space="0" w:color="auto"/>
                <w:right w:val="none" w:sz="0" w:space="0" w:color="auto"/>
              </w:divBdr>
            </w:div>
          </w:divsChild>
        </w:div>
        <w:div w:id="1220478424">
          <w:marLeft w:val="0"/>
          <w:marRight w:val="0"/>
          <w:marTop w:val="0"/>
          <w:marBottom w:val="0"/>
          <w:divBdr>
            <w:top w:val="none" w:sz="0" w:space="0" w:color="auto"/>
            <w:left w:val="none" w:sz="0" w:space="0" w:color="auto"/>
            <w:bottom w:val="none" w:sz="0" w:space="0" w:color="auto"/>
            <w:right w:val="none" w:sz="0" w:space="0" w:color="auto"/>
          </w:divBdr>
          <w:divsChild>
            <w:div w:id="23673672">
              <w:marLeft w:val="0"/>
              <w:marRight w:val="0"/>
              <w:marTop w:val="0"/>
              <w:marBottom w:val="0"/>
              <w:divBdr>
                <w:top w:val="none" w:sz="0" w:space="0" w:color="auto"/>
                <w:left w:val="none" w:sz="0" w:space="0" w:color="auto"/>
                <w:bottom w:val="none" w:sz="0" w:space="0" w:color="auto"/>
                <w:right w:val="none" w:sz="0" w:space="0" w:color="auto"/>
              </w:divBdr>
            </w:div>
          </w:divsChild>
        </w:div>
        <w:div w:id="1244147442">
          <w:marLeft w:val="0"/>
          <w:marRight w:val="0"/>
          <w:marTop w:val="0"/>
          <w:marBottom w:val="0"/>
          <w:divBdr>
            <w:top w:val="none" w:sz="0" w:space="0" w:color="auto"/>
            <w:left w:val="none" w:sz="0" w:space="0" w:color="auto"/>
            <w:bottom w:val="none" w:sz="0" w:space="0" w:color="auto"/>
            <w:right w:val="none" w:sz="0" w:space="0" w:color="auto"/>
          </w:divBdr>
          <w:divsChild>
            <w:div w:id="1828590121">
              <w:marLeft w:val="0"/>
              <w:marRight w:val="0"/>
              <w:marTop w:val="0"/>
              <w:marBottom w:val="0"/>
              <w:divBdr>
                <w:top w:val="none" w:sz="0" w:space="0" w:color="auto"/>
                <w:left w:val="none" w:sz="0" w:space="0" w:color="auto"/>
                <w:bottom w:val="none" w:sz="0" w:space="0" w:color="auto"/>
                <w:right w:val="none" w:sz="0" w:space="0" w:color="auto"/>
              </w:divBdr>
            </w:div>
          </w:divsChild>
        </w:div>
        <w:div w:id="1365980869">
          <w:marLeft w:val="0"/>
          <w:marRight w:val="0"/>
          <w:marTop w:val="0"/>
          <w:marBottom w:val="0"/>
          <w:divBdr>
            <w:top w:val="none" w:sz="0" w:space="0" w:color="auto"/>
            <w:left w:val="none" w:sz="0" w:space="0" w:color="auto"/>
            <w:bottom w:val="none" w:sz="0" w:space="0" w:color="auto"/>
            <w:right w:val="none" w:sz="0" w:space="0" w:color="auto"/>
          </w:divBdr>
          <w:divsChild>
            <w:div w:id="755178210">
              <w:marLeft w:val="0"/>
              <w:marRight w:val="0"/>
              <w:marTop w:val="0"/>
              <w:marBottom w:val="0"/>
              <w:divBdr>
                <w:top w:val="none" w:sz="0" w:space="0" w:color="auto"/>
                <w:left w:val="none" w:sz="0" w:space="0" w:color="auto"/>
                <w:bottom w:val="none" w:sz="0" w:space="0" w:color="auto"/>
                <w:right w:val="none" w:sz="0" w:space="0" w:color="auto"/>
              </w:divBdr>
            </w:div>
          </w:divsChild>
        </w:div>
        <w:div w:id="1381199926">
          <w:marLeft w:val="0"/>
          <w:marRight w:val="0"/>
          <w:marTop w:val="0"/>
          <w:marBottom w:val="0"/>
          <w:divBdr>
            <w:top w:val="none" w:sz="0" w:space="0" w:color="auto"/>
            <w:left w:val="none" w:sz="0" w:space="0" w:color="auto"/>
            <w:bottom w:val="none" w:sz="0" w:space="0" w:color="auto"/>
            <w:right w:val="none" w:sz="0" w:space="0" w:color="auto"/>
          </w:divBdr>
          <w:divsChild>
            <w:div w:id="674841673">
              <w:marLeft w:val="0"/>
              <w:marRight w:val="0"/>
              <w:marTop w:val="0"/>
              <w:marBottom w:val="0"/>
              <w:divBdr>
                <w:top w:val="none" w:sz="0" w:space="0" w:color="auto"/>
                <w:left w:val="none" w:sz="0" w:space="0" w:color="auto"/>
                <w:bottom w:val="none" w:sz="0" w:space="0" w:color="auto"/>
                <w:right w:val="none" w:sz="0" w:space="0" w:color="auto"/>
              </w:divBdr>
            </w:div>
          </w:divsChild>
        </w:div>
        <w:div w:id="1516533454">
          <w:marLeft w:val="0"/>
          <w:marRight w:val="0"/>
          <w:marTop w:val="0"/>
          <w:marBottom w:val="0"/>
          <w:divBdr>
            <w:top w:val="none" w:sz="0" w:space="0" w:color="auto"/>
            <w:left w:val="none" w:sz="0" w:space="0" w:color="auto"/>
            <w:bottom w:val="none" w:sz="0" w:space="0" w:color="auto"/>
            <w:right w:val="none" w:sz="0" w:space="0" w:color="auto"/>
          </w:divBdr>
          <w:divsChild>
            <w:div w:id="48116859">
              <w:marLeft w:val="0"/>
              <w:marRight w:val="0"/>
              <w:marTop w:val="0"/>
              <w:marBottom w:val="0"/>
              <w:divBdr>
                <w:top w:val="none" w:sz="0" w:space="0" w:color="auto"/>
                <w:left w:val="none" w:sz="0" w:space="0" w:color="auto"/>
                <w:bottom w:val="none" w:sz="0" w:space="0" w:color="auto"/>
                <w:right w:val="none" w:sz="0" w:space="0" w:color="auto"/>
              </w:divBdr>
            </w:div>
            <w:div w:id="1997956840">
              <w:marLeft w:val="0"/>
              <w:marRight w:val="0"/>
              <w:marTop w:val="0"/>
              <w:marBottom w:val="0"/>
              <w:divBdr>
                <w:top w:val="none" w:sz="0" w:space="0" w:color="auto"/>
                <w:left w:val="none" w:sz="0" w:space="0" w:color="auto"/>
                <w:bottom w:val="none" w:sz="0" w:space="0" w:color="auto"/>
                <w:right w:val="none" w:sz="0" w:space="0" w:color="auto"/>
              </w:divBdr>
            </w:div>
          </w:divsChild>
        </w:div>
        <w:div w:id="1517039516">
          <w:marLeft w:val="0"/>
          <w:marRight w:val="0"/>
          <w:marTop w:val="0"/>
          <w:marBottom w:val="0"/>
          <w:divBdr>
            <w:top w:val="none" w:sz="0" w:space="0" w:color="auto"/>
            <w:left w:val="none" w:sz="0" w:space="0" w:color="auto"/>
            <w:bottom w:val="none" w:sz="0" w:space="0" w:color="auto"/>
            <w:right w:val="none" w:sz="0" w:space="0" w:color="auto"/>
          </w:divBdr>
          <w:divsChild>
            <w:div w:id="1131706342">
              <w:marLeft w:val="0"/>
              <w:marRight w:val="0"/>
              <w:marTop w:val="0"/>
              <w:marBottom w:val="0"/>
              <w:divBdr>
                <w:top w:val="none" w:sz="0" w:space="0" w:color="auto"/>
                <w:left w:val="none" w:sz="0" w:space="0" w:color="auto"/>
                <w:bottom w:val="none" w:sz="0" w:space="0" w:color="auto"/>
                <w:right w:val="none" w:sz="0" w:space="0" w:color="auto"/>
              </w:divBdr>
            </w:div>
          </w:divsChild>
        </w:div>
        <w:div w:id="1602030040">
          <w:marLeft w:val="0"/>
          <w:marRight w:val="0"/>
          <w:marTop w:val="0"/>
          <w:marBottom w:val="0"/>
          <w:divBdr>
            <w:top w:val="none" w:sz="0" w:space="0" w:color="auto"/>
            <w:left w:val="none" w:sz="0" w:space="0" w:color="auto"/>
            <w:bottom w:val="none" w:sz="0" w:space="0" w:color="auto"/>
            <w:right w:val="none" w:sz="0" w:space="0" w:color="auto"/>
          </w:divBdr>
          <w:divsChild>
            <w:div w:id="994451544">
              <w:marLeft w:val="0"/>
              <w:marRight w:val="0"/>
              <w:marTop w:val="0"/>
              <w:marBottom w:val="0"/>
              <w:divBdr>
                <w:top w:val="none" w:sz="0" w:space="0" w:color="auto"/>
                <w:left w:val="none" w:sz="0" w:space="0" w:color="auto"/>
                <w:bottom w:val="none" w:sz="0" w:space="0" w:color="auto"/>
                <w:right w:val="none" w:sz="0" w:space="0" w:color="auto"/>
              </w:divBdr>
            </w:div>
          </w:divsChild>
        </w:div>
        <w:div w:id="1673527788">
          <w:marLeft w:val="0"/>
          <w:marRight w:val="0"/>
          <w:marTop w:val="0"/>
          <w:marBottom w:val="0"/>
          <w:divBdr>
            <w:top w:val="none" w:sz="0" w:space="0" w:color="auto"/>
            <w:left w:val="none" w:sz="0" w:space="0" w:color="auto"/>
            <w:bottom w:val="none" w:sz="0" w:space="0" w:color="auto"/>
            <w:right w:val="none" w:sz="0" w:space="0" w:color="auto"/>
          </w:divBdr>
          <w:divsChild>
            <w:div w:id="1785268714">
              <w:marLeft w:val="0"/>
              <w:marRight w:val="0"/>
              <w:marTop w:val="0"/>
              <w:marBottom w:val="0"/>
              <w:divBdr>
                <w:top w:val="none" w:sz="0" w:space="0" w:color="auto"/>
                <w:left w:val="none" w:sz="0" w:space="0" w:color="auto"/>
                <w:bottom w:val="none" w:sz="0" w:space="0" w:color="auto"/>
                <w:right w:val="none" w:sz="0" w:space="0" w:color="auto"/>
              </w:divBdr>
            </w:div>
          </w:divsChild>
        </w:div>
        <w:div w:id="1754811309">
          <w:marLeft w:val="0"/>
          <w:marRight w:val="0"/>
          <w:marTop w:val="0"/>
          <w:marBottom w:val="0"/>
          <w:divBdr>
            <w:top w:val="none" w:sz="0" w:space="0" w:color="auto"/>
            <w:left w:val="none" w:sz="0" w:space="0" w:color="auto"/>
            <w:bottom w:val="none" w:sz="0" w:space="0" w:color="auto"/>
            <w:right w:val="none" w:sz="0" w:space="0" w:color="auto"/>
          </w:divBdr>
          <w:divsChild>
            <w:div w:id="1533762245">
              <w:marLeft w:val="0"/>
              <w:marRight w:val="0"/>
              <w:marTop w:val="0"/>
              <w:marBottom w:val="0"/>
              <w:divBdr>
                <w:top w:val="none" w:sz="0" w:space="0" w:color="auto"/>
                <w:left w:val="none" w:sz="0" w:space="0" w:color="auto"/>
                <w:bottom w:val="none" w:sz="0" w:space="0" w:color="auto"/>
                <w:right w:val="none" w:sz="0" w:space="0" w:color="auto"/>
              </w:divBdr>
            </w:div>
          </w:divsChild>
        </w:div>
        <w:div w:id="1807963968">
          <w:marLeft w:val="0"/>
          <w:marRight w:val="0"/>
          <w:marTop w:val="0"/>
          <w:marBottom w:val="0"/>
          <w:divBdr>
            <w:top w:val="none" w:sz="0" w:space="0" w:color="auto"/>
            <w:left w:val="none" w:sz="0" w:space="0" w:color="auto"/>
            <w:bottom w:val="none" w:sz="0" w:space="0" w:color="auto"/>
            <w:right w:val="none" w:sz="0" w:space="0" w:color="auto"/>
          </w:divBdr>
          <w:divsChild>
            <w:div w:id="1798638485">
              <w:marLeft w:val="0"/>
              <w:marRight w:val="0"/>
              <w:marTop w:val="0"/>
              <w:marBottom w:val="0"/>
              <w:divBdr>
                <w:top w:val="none" w:sz="0" w:space="0" w:color="auto"/>
                <w:left w:val="none" w:sz="0" w:space="0" w:color="auto"/>
                <w:bottom w:val="none" w:sz="0" w:space="0" w:color="auto"/>
                <w:right w:val="none" w:sz="0" w:space="0" w:color="auto"/>
              </w:divBdr>
            </w:div>
          </w:divsChild>
        </w:div>
        <w:div w:id="1949770063">
          <w:marLeft w:val="0"/>
          <w:marRight w:val="0"/>
          <w:marTop w:val="0"/>
          <w:marBottom w:val="0"/>
          <w:divBdr>
            <w:top w:val="none" w:sz="0" w:space="0" w:color="auto"/>
            <w:left w:val="none" w:sz="0" w:space="0" w:color="auto"/>
            <w:bottom w:val="none" w:sz="0" w:space="0" w:color="auto"/>
            <w:right w:val="none" w:sz="0" w:space="0" w:color="auto"/>
          </w:divBdr>
          <w:divsChild>
            <w:div w:id="935821277">
              <w:marLeft w:val="0"/>
              <w:marRight w:val="0"/>
              <w:marTop w:val="0"/>
              <w:marBottom w:val="0"/>
              <w:divBdr>
                <w:top w:val="none" w:sz="0" w:space="0" w:color="auto"/>
                <w:left w:val="none" w:sz="0" w:space="0" w:color="auto"/>
                <w:bottom w:val="none" w:sz="0" w:space="0" w:color="auto"/>
                <w:right w:val="none" w:sz="0" w:space="0" w:color="auto"/>
              </w:divBdr>
            </w:div>
          </w:divsChild>
        </w:div>
        <w:div w:id="2058234426">
          <w:marLeft w:val="0"/>
          <w:marRight w:val="0"/>
          <w:marTop w:val="0"/>
          <w:marBottom w:val="0"/>
          <w:divBdr>
            <w:top w:val="none" w:sz="0" w:space="0" w:color="auto"/>
            <w:left w:val="none" w:sz="0" w:space="0" w:color="auto"/>
            <w:bottom w:val="none" w:sz="0" w:space="0" w:color="auto"/>
            <w:right w:val="none" w:sz="0" w:space="0" w:color="auto"/>
          </w:divBdr>
          <w:divsChild>
            <w:div w:id="69694609">
              <w:marLeft w:val="0"/>
              <w:marRight w:val="0"/>
              <w:marTop w:val="0"/>
              <w:marBottom w:val="0"/>
              <w:divBdr>
                <w:top w:val="none" w:sz="0" w:space="0" w:color="auto"/>
                <w:left w:val="none" w:sz="0" w:space="0" w:color="auto"/>
                <w:bottom w:val="none" w:sz="0" w:space="0" w:color="auto"/>
                <w:right w:val="none" w:sz="0" w:space="0" w:color="auto"/>
              </w:divBdr>
            </w:div>
          </w:divsChild>
        </w:div>
        <w:div w:id="2142263652">
          <w:marLeft w:val="0"/>
          <w:marRight w:val="0"/>
          <w:marTop w:val="0"/>
          <w:marBottom w:val="0"/>
          <w:divBdr>
            <w:top w:val="none" w:sz="0" w:space="0" w:color="auto"/>
            <w:left w:val="none" w:sz="0" w:space="0" w:color="auto"/>
            <w:bottom w:val="none" w:sz="0" w:space="0" w:color="auto"/>
            <w:right w:val="none" w:sz="0" w:space="0" w:color="auto"/>
          </w:divBdr>
          <w:divsChild>
            <w:div w:id="9348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59911">
      <w:bodyDiv w:val="1"/>
      <w:marLeft w:val="0"/>
      <w:marRight w:val="0"/>
      <w:marTop w:val="0"/>
      <w:marBottom w:val="0"/>
      <w:divBdr>
        <w:top w:val="none" w:sz="0" w:space="0" w:color="auto"/>
        <w:left w:val="none" w:sz="0" w:space="0" w:color="auto"/>
        <w:bottom w:val="none" w:sz="0" w:space="0" w:color="auto"/>
        <w:right w:val="none" w:sz="0" w:space="0" w:color="auto"/>
      </w:divBdr>
    </w:div>
    <w:div w:id="479200009">
      <w:bodyDiv w:val="1"/>
      <w:marLeft w:val="0"/>
      <w:marRight w:val="0"/>
      <w:marTop w:val="0"/>
      <w:marBottom w:val="0"/>
      <w:divBdr>
        <w:top w:val="none" w:sz="0" w:space="0" w:color="auto"/>
        <w:left w:val="none" w:sz="0" w:space="0" w:color="auto"/>
        <w:bottom w:val="none" w:sz="0" w:space="0" w:color="auto"/>
        <w:right w:val="none" w:sz="0" w:space="0" w:color="auto"/>
      </w:divBdr>
    </w:div>
    <w:div w:id="481119170">
      <w:bodyDiv w:val="1"/>
      <w:marLeft w:val="0"/>
      <w:marRight w:val="0"/>
      <w:marTop w:val="0"/>
      <w:marBottom w:val="0"/>
      <w:divBdr>
        <w:top w:val="none" w:sz="0" w:space="0" w:color="auto"/>
        <w:left w:val="none" w:sz="0" w:space="0" w:color="auto"/>
        <w:bottom w:val="none" w:sz="0" w:space="0" w:color="auto"/>
        <w:right w:val="none" w:sz="0" w:space="0" w:color="auto"/>
      </w:divBdr>
    </w:div>
    <w:div w:id="486091492">
      <w:bodyDiv w:val="1"/>
      <w:marLeft w:val="0"/>
      <w:marRight w:val="0"/>
      <w:marTop w:val="0"/>
      <w:marBottom w:val="0"/>
      <w:divBdr>
        <w:top w:val="none" w:sz="0" w:space="0" w:color="auto"/>
        <w:left w:val="none" w:sz="0" w:space="0" w:color="auto"/>
        <w:bottom w:val="none" w:sz="0" w:space="0" w:color="auto"/>
        <w:right w:val="none" w:sz="0" w:space="0" w:color="auto"/>
      </w:divBdr>
      <w:divsChild>
        <w:div w:id="210381627">
          <w:marLeft w:val="0"/>
          <w:marRight w:val="0"/>
          <w:marTop w:val="0"/>
          <w:marBottom w:val="0"/>
          <w:divBdr>
            <w:top w:val="none" w:sz="0" w:space="0" w:color="auto"/>
            <w:left w:val="none" w:sz="0" w:space="0" w:color="auto"/>
            <w:bottom w:val="none" w:sz="0" w:space="0" w:color="auto"/>
            <w:right w:val="none" w:sz="0" w:space="0" w:color="auto"/>
          </w:divBdr>
        </w:div>
      </w:divsChild>
    </w:div>
    <w:div w:id="495266579">
      <w:bodyDiv w:val="1"/>
      <w:marLeft w:val="0"/>
      <w:marRight w:val="0"/>
      <w:marTop w:val="0"/>
      <w:marBottom w:val="0"/>
      <w:divBdr>
        <w:top w:val="none" w:sz="0" w:space="0" w:color="auto"/>
        <w:left w:val="none" w:sz="0" w:space="0" w:color="auto"/>
        <w:bottom w:val="none" w:sz="0" w:space="0" w:color="auto"/>
        <w:right w:val="none" w:sz="0" w:space="0" w:color="auto"/>
      </w:divBdr>
    </w:div>
    <w:div w:id="510725564">
      <w:bodyDiv w:val="1"/>
      <w:marLeft w:val="0"/>
      <w:marRight w:val="0"/>
      <w:marTop w:val="0"/>
      <w:marBottom w:val="0"/>
      <w:divBdr>
        <w:top w:val="none" w:sz="0" w:space="0" w:color="auto"/>
        <w:left w:val="none" w:sz="0" w:space="0" w:color="auto"/>
        <w:bottom w:val="none" w:sz="0" w:space="0" w:color="auto"/>
        <w:right w:val="none" w:sz="0" w:space="0" w:color="auto"/>
      </w:divBdr>
      <w:divsChild>
        <w:div w:id="776099960">
          <w:marLeft w:val="547"/>
          <w:marRight w:val="0"/>
          <w:marTop w:val="0"/>
          <w:marBottom w:val="0"/>
          <w:divBdr>
            <w:top w:val="none" w:sz="0" w:space="0" w:color="auto"/>
            <w:left w:val="none" w:sz="0" w:space="0" w:color="auto"/>
            <w:bottom w:val="none" w:sz="0" w:space="0" w:color="auto"/>
            <w:right w:val="none" w:sz="0" w:space="0" w:color="auto"/>
          </w:divBdr>
        </w:div>
        <w:div w:id="1122001078">
          <w:marLeft w:val="547"/>
          <w:marRight w:val="0"/>
          <w:marTop w:val="0"/>
          <w:marBottom w:val="0"/>
          <w:divBdr>
            <w:top w:val="none" w:sz="0" w:space="0" w:color="auto"/>
            <w:left w:val="none" w:sz="0" w:space="0" w:color="auto"/>
            <w:bottom w:val="none" w:sz="0" w:space="0" w:color="auto"/>
            <w:right w:val="none" w:sz="0" w:space="0" w:color="auto"/>
          </w:divBdr>
        </w:div>
        <w:div w:id="1292899635">
          <w:marLeft w:val="547"/>
          <w:marRight w:val="0"/>
          <w:marTop w:val="0"/>
          <w:marBottom w:val="0"/>
          <w:divBdr>
            <w:top w:val="none" w:sz="0" w:space="0" w:color="auto"/>
            <w:left w:val="none" w:sz="0" w:space="0" w:color="auto"/>
            <w:bottom w:val="none" w:sz="0" w:space="0" w:color="auto"/>
            <w:right w:val="none" w:sz="0" w:space="0" w:color="auto"/>
          </w:divBdr>
        </w:div>
        <w:div w:id="1831871282">
          <w:marLeft w:val="547"/>
          <w:marRight w:val="0"/>
          <w:marTop w:val="0"/>
          <w:marBottom w:val="0"/>
          <w:divBdr>
            <w:top w:val="none" w:sz="0" w:space="0" w:color="auto"/>
            <w:left w:val="none" w:sz="0" w:space="0" w:color="auto"/>
            <w:bottom w:val="none" w:sz="0" w:space="0" w:color="auto"/>
            <w:right w:val="none" w:sz="0" w:space="0" w:color="auto"/>
          </w:divBdr>
        </w:div>
        <w:div w:id="2041394948">
          <w:marLeft w:val="547"/>
          <w:marRight w:val="0"/>
          <w:marTop w:val="0"/>
          <w:marBottom w:val="0"/>
          <w:divBdr>
            <w:top w:val="none" w:sz="0" w:space="0" w:color="auto"/>
            <w:left w:val="none" w:sz="0" w:space="0" w:color="auto"/>
            <w:bottom w:val="none" w:sz="0" w:space="0" w:color="auto"/>
            <w:right w:val="none" w:sz="0" w:space="0" w:color="auto"/>
          </w:divBdr>
        </w:div>
      </w:divsChild>
    </w:div>
    <w:div w:id="515928581">
      <w:bodyDiv w:val="1"/>
      <w:marLeft w:val="0"/>
      <w:marRight w:val="0"/>
      <w:marTop w:val="0"/>
      <w:marBottom w:val="0"/>
      <w:divBdr>
        <w:top w:val="none" w:sz="0" w:space="0" w:color="auto"/>
        <w:left w:val="none" w:sz="0" w:space="0" w:color="auto"/>
        <w:bottom w:val="none" w:sz="0" w:space="0" w:color="auto"/>
        <w:right w:val="none" w:sz="0" w:space="0" w:color="auto"/>
      </w:divBdr>
      <w:divsChild>
        <w:div w:id="9987542">
          <w:marLeft w:val="0"/>
          <w:marRight w:val="0"/>
          <w:marTop w:val="0"/>
          <w:marBottom w:val="0"/>
          <w:divBdr>
            <w:top w:val="none" w:sz="0" w:space="0" w:color="auto"/>
            <w:left w:val="none" w:sz="0" w:space="0" w:color="auto"/>
            <w:bottom w:val="none" w:sz="0" w:space="0" w:color="auto"/>
            <w:right w:val="none" w:sz="0" w:space="0" w:color="auto"/>
          </w:divBdr>
        </w:div>
        <w:div w:id="1461217984">
          <w:marLeft w:val="0"/>
          <w:marRight w:val="0"/>
          <w:marTop w:val="0"/>
          <w:marBottom w:val="0"/>
          <w:divBdr>
            <w:top w:val="none" w:sz="0" w:space="0" w:color="auto"/>
            <w:left w:val="none" w:sz="0" w:space="0" w:color="auto"/>
            <w:bottom w:val="none" w:sz="0" w:space="0" w:color="auto"/>
            <w:right w:val="none" w:sz="0" w:space="0" w:color="auto"/>
          </w:divBdr>
        </w:div>
        <w:div w:id="1918518291">
          <w:marLeft w:val="0"/>
          <w:marRight w:val="0"/>
          <w:marTop w:val="0"/>
          <w:marBottom w:val="0"/>
          <w:divBdr>
            <w:top w:val="none" w:sz="0" w:space="0" w:color="auto"/>
            <w:left w:val="none" w:sz="0" w:space="0" w:color="auto"/>
            <w:bottom w:val="none" w:sz="0" w:space="0" w:color="auto"/>
            <w:right w:val="none" w:sz="0" w:space="0" w:color="auto"/>
          </w:divBdr>
        </w:div>
      </w:divsChild>
    </w:div>
    <w:div w:id="516846207">
      <w:bodyDiv w:val="1"/>
      <w:marLeft w:val="0"/>
      <w:marRight w:val="0"/>
      <w:marTop w:val="0"/>
      <w:marBottom w:val="0"/>
      <w:divBdr>
        <w:top w:val="none" w:sz="0" w:space="0" w:color="auto"/>
        <w:left w:val="none" w:sz="0" w:space="0" w:color="auto"/>
        <w:bottom w:val="none" w:sz="0" w:space="0" w:color="auto"/>
        <w:right w:val="none" w:sz="0" w:space="0" w:color="auto"/>
      </w:divBdr>
    </w:div>
    <w:div w:id="516894328">
      <w:bodyDiv w:val="1"/>
      <w:marLeft w:val="0"/>
      <w:marRight w:val="0"/>
      <w:marTop w:val="0"/>
      <w:marBottom w:val="0"/>
      <w:divBdr>
        <w:top w:val="none" w:sz="0" w:space="0" w:color="auto"/>
        <w:left w:val="none" w:sz="0" w:space="0" w:color="auto"/>
        <w:bottom w:val="none" w:sz="0" w:space="0" w:color="auto"/>
        <w:right w:val="none" w:sz="0" w:space="0" w:color="auto"/>
      </w:divBdr>
    </w:div>
    <w:div w:id="521624985">
      <w:bodyDiv w:val="1"/>
      <w:marLeft w:val="0"/>
      <w:marRight w:val="0"/>
      <w:marTop w:val="0"/>
      <w:marBottom w:val="0"/>
      <w:divBdr>
        <w:top w:val="none" w:sz="0" w:space="0" w:color="auto"/>
        <w:left w:val="none" w:sz="0" w:space="0" w:color="auto"/>
        <w:bottom w:val="none" w:sz="0" w:space="0" w:color="auto"/>
        <w:right w:val="none" w:sz="0" w:space="0" w:color="auto"/>
      </w:divBdr>
    </w:div>
    <w:div w:id="528687901">
      <w:bodyDiv w:val="1"/>
      <w:marLeft w:val="0"/>
      <w:marRight w:val="0"/>
      <w:marTop w:val="0"/>
      <w:marBottom w:val="0"/>
      <w:divBdr>
        <w:top w:val="none" w:sz="0" w:space="0" w:color="auto"/>
        <w:left w:val="none" w:sz="0" w:space="0" w:color="auto"/>
        <w:bottom w:val="none" w:sz="0" w:space="0" w:color="auto"/>
        <w:right w:val="none" w:sz="0" w:space="0" w:color="auto"/>
      </w:divBdr>
    </w:div>
    <w:div w:id="535852408">
      <w:bodyDiv w:val="1"/>
      <w:marLeft w:val="0"/>
      <w:marRight w:val="0"/>
      <w:marTop w:val="0"/>
      <w:marBottom w:val="0"/>
      <w:divBdr>
        <w:top w:val="none" w:sz="0" w:space="0" w:color="auto"/>
        <w:left w:val="none" w:sz="0" w:space="0" w:color="auto"/>
        <w:bottom w:val="none" w:sz="0" w:space="0" w:color="auto"/>
        <w:right w:val="none" w:sz="0" w:space="0" w:color="auto"/>
      </w:divBdr>
    </w:div>
    <w:div w:id="540678418">
      <w:bodyDiv w:val="1"/>
      <w:marLeft w:val="0"/>
      <w:marRight w:val="0"/>
      <w:marTop w:val="0"/>
      <w:marBottom w:val="0"/>
      <w:divBdr>
        <w:top w:val="none" w:sz="0" w:space="0" w:color="auto"/>
        <w:left w:val="none" w:sz="0" w:space="0" w:color="auto"/>
        <w:bottom w:val="none" w:sz="0" w:space="0" w:color="auto"/>
        <w:right w:val="none" w:sz="0" w:space="0" w:color="auto"/>
      </w:divBdr>
    </w:div>
    <w:div w:id="541983434">
      <w:bodyDiv w:val="1"/>
      <w:marLeft w:val="0"/>
      <w:marRight w:val="0"/>
      <w:marTop w:val="0"/>
      <w:marBottom w:val="0"/>
      <w:divBdr>
        <w:top w:val="none" w:sz="0" w:space="0" w:color="auto"/>
        <w:left w:val="none" w:sz="0" w:space="0" w:color="auto"/>
        <w:bottom w:val="none" w:sz="0" w:space="0" w:color="auto"/>
        <w:right w:val="none" w:sz="0" w:space="0" w:color="auto"/>
      </w:divBdr>
    </w:div>
    <w:div w:id="550533933">
      <w:bodyDiv w:val="1"/>
      <w:marLeft w:val="0"/>
      <w:marRight w:val="0"/>
      <w:marTop w:val="0"/>
      <w:marBottom w:val="0"/>
      <w:divBdr>
        <w:top w:val="none" w:sz="0" w:space="0" w:color="auto"/>
        <w:left w:val="none" w:sz="0" w:space="0" w:color="auto"/>
        <w:bottom w:val="none" w:sz="0" w:space="0" w:color="auto"/>
        <w:right w:val="none" w:sz="0" w:space="0" w:color="auto"/>
      </w:divBdr>
    </w:div>
    <w:div w:id="551313370">
      <w:bodyDiv w:val="1"/>
      <w:marLeft w:val="0"/>
      <w:marRight w:val="0"/>
      <w:marTop w:val="0"/>
      <w:marBottom w:val="0"/>
      <w:divBdr>
        <w:top w:val="none" w:sz="0" w:space="0" w:color="auto"/>
        <w:left w:val="none" w:sz="0" w:space="0" w:color="auto"/>
        <w:bottom w:val="none" w:sz="0" w:space="0" w:color="auto"/>
        <w:right w:val="none" w:sz="0" w:space="0" w:color="auto"/>
      </w:divBdr>
    </w:div>
    <w:div w:id="559563081">
      <w:bodyDiv w:val="1"/>
      <w:marLeft w:val="0"/>
      <w:marRight w:val="0"/>
      <w:marTop w:val="0"/>
      <w:marBottom w:val="0"/>
      <w:divBdr>
        <w:top w:val="none" w:sz="0" w:space="0" w:color="auto"/>
        <w:left w:val="none" w:sz="0" w:space="0" w:color="auto"/>
        <w:bottom w:val="none" w:sz="0" w:space="0" w:color="auto"/>
        <w:right w:val="none" w:sz="0" w:space="0" w:color="auto"/>
      </w:divBdr>
      <w:divsChild>
        <w:div w:id="1969891402">
          <w:marLeft w:val="446"/>
          <w:marRight w:val="0"/>
          <w:marTop w:val="160"/>
          <w:marBottom w:val="0"/>
          <w:divBdr>
            <w:top w:val="none" w:sz="0" w:space="0" w:color="auto"/>
            <w:left w:val="none" w:sz="0" w:space="0" w:color="auto"/>
            <w:bottom w:val="none" w:sz="0" w:space="0" w:color="auto"/>
            <w:right w:val="none" w:sz="0" w:space="0" w:color="auto"/>
          </w:divBdr>
        </w:div>
      </w:divsChild>
    </w:div>
    <w:div w:id="564803186">
      <w:bodyDiv w:val="1"/>
      <w:marLeft w:val="0"/>
      <w:marRight w:val="0"/>
      <w:marTop w:val="0"/>
      <w:marBottom w:val="0"/>
      <w:divBdr>
        <w:top w:val="none" w:sz="0" w:space="0" w:color="auto"/>
        <w:left w:val="none" w:sz="0" w:space="0" w:color="auto"/>
        <w:bottom w:val="none" w:sz="0" w:space="0" w:color="auto"/>
        <w:right w:val="none" w:sz="0" w:space="0" w:color="auto"/>
      </w:divBdr>
    </w:div>
    <w:div w:id="587732524">
      <w:bodyDiv w:val="1"/>
      <w:marLeft w:val="0"/>
      <w:marRight w:val="0"/>
      <w:marTop w:val="0"/>
      <w:marBottom w:val="0"/>
      <w:divBdr>
        <w:top w:val="none" w:sz="0" w:space="0" w:color="auto"/>
        <w:left w:val="none" w:sz="0" w:space="0" w:color="auto"/>
        <w:bottom w:val="none" w:sz="0" w:space="0" w:color="auto"/>
        <w:right w:val="none" w:sz="0" w:space="0" w:color="auto"/>
      </w:divBdr>
      <w:divsChild>
        <w:div w:id="216288079">
          <w:marLeft w:val="446"/>
          <w:marRight w:val="0"/>
          <w:marTop w:val="0"/>
          <w:marBottom w:val="176"/>
          <w:divBdr>
            <w:top w:val="none" w:sz="0" w:space="0" w:color="auto"/>
            <w:left w:val="none" w:sz="0" w:space="0" w:color="auto"/>
            <w:bottom w:val="none" w:sz="0" w:space="0" w:color="auto"/>
            <w:right w:val="none" w:sz="0" w:space="0" w:color="auto"/>
          </w:divBdr>
        </w:div>
        <w:div w:id="952589663">
          <w:marLeft w:val="446"/>
          <w:marRight w:val="0"/>
          <w:marTop w:val="0"/>
          <w:marBottom w:val="235"/>
          <w:divBdr>
            <w:top w:val="none" w:sz="0" w:space="0" w:color="auto"/>
            <w:left w:val="none" w:sz="0" w:space="0" w:color="auto"/>
            <w:bottom w:val="none" w:sz="0" w:space="0" w:color="auto"/>
            <w:right w:val="none" w:sz="0" w:space="0" w:color="auto"/>
          </w:divBdr>
        </w:div>
        <w:div w:id="1173454339">
          <w:marLeft w:val="446"/>
          <w:marRight w:val="0"/>
          <w:marTop w:val="0"/>
          <w:marBottom w:val="176"/>
          <w:divBdr>
            <w:top w:val="none" w:sz="0" w:space="0" w:color="auto"/>
            <w:left w:val="none" w:sz="0" w:space="0" w:color="auto"/>
            <w:bottom w:val="none" w:sz="0" w:space="0" w:color="auto"/>
            <w:right w:val="none" w:sz="0" w:space="0" w:color="auto"/>
          </w:divBdr>
        </w:div>
        <w:div w:id="1544055273">
          <w:marLeft w:val="446"/>
          <w:marRight w:val="0"/>
          <w:marTop w:val="0"/>
          <w:marBottom w:val="235"/>
          <w:divBdr>
            <w:top w:val="none" w:sz="0" w:space="0" w:color="auto"/>
            <w:left w:val="none" w:sz="0" w:space="0" w:color="auto"/>
            <w:bottom w:val="none" w:sz="0" w:space="0" w:color="auto"/>
            <w:right w:val="none" w:sz="0" w:space="0" w:color="auto"/>
          </w:divBdr>
        </w:div>
      </w:divsChild>
    </w:div>
    <w:div w:id="593510332">
      <w:bodyDiv w:val="1"/>
      <w:marLeft w:val="0"/>
      <w:marRight w:val="0"/>
      <w:marTop w:val="0"/>
      <w:marBottom w:val="0"/>
      <w:divBdr>
        <w:top w:val="none" w:sz="0" w:space="0" w:color="auto"/>
        <w:left w:val="none" w:sz="0" w:space="0" w:color="auto"/>
        <w:bottom w:val="none" w:sz="0" w:space="0" w:color="auto"/>
        <w:right w:val="none" w:sz="0" w:space="0" w:color="auto"/>
      </w:divBdr>
    </w:div>
    <w:div w:id="607078721">
      <w:bodyDiv w:val="1"/>
      <w:marLeft w:val="0"/>
      <w:marRight w:val="0"/>
      <w:marTop w:val="0"/>
      <w:marBottom w:val="0"/>
      <w:divBdr>
        <w:top w:val="none" w:sz="0" w:space="0" w:color="auto"/>
        <w:left w:val="none" w:sz="0" w:space="0" w:color="auto"/>
        <w:bottom w:val="none" w:sz="0" w:space="0" w:color="auto"/>
        <w:right w:val="none" w:sz="0" w:space="0" w:color="auto"/>
      </w:divBdr>
    </w:div>
    <w:div w:id="624241186">
      <w:bodyDiv w:val="1"/>
      <w:marLeft w:val="0"/>
      <w:marRight w:val="0"/>
      <w:marTop w:val="0"/>
      <w:marBottom w:val="0"/>
      <w:divBdr>
        <w:top w:val="none" w:sz="0" w:space="0" w:color="auto"/>
        <w:left w:val="none" w:sz="0" w:space="0" w:color="auto"/>
        <w:bottom w:val="none" w:sz="0" w:space="0" w:color="auto"/>
        <w:right w:val="none" w:sz="0" w:space="0" w:color="auto"/>
      </w:divBdr>
      <w:divsChild>
        <w:div w:id="930964598">
          <w:marLeft w:val="446"/>
          <w:marRight w:val="0"/>
          <w:marTop w:val="0"/>
          <w:marBottom w:val="0"/>
          <w:divBdr>
            <w:top w:val="none" w:sz="0" w:space="0" w:color="auto"/>
            <w:left w:val="none" w:sz="0" w:space="0" w:color="auto"/>
            <w:bottom w:val="none" w:sz="0" w:space="0" w:color="auto"/>
            <w:right w:val="none" w:sz="0" w:space="0" w:color="auto"/>
          </w:divBdr>
        </w:div>
      </w:divsChild>
    </w:div>
    <w:div w:id="630284855">
      <w:bodyDiv w:val="1"/>
      <w:marLeft w:val="0"/>
      <w:marRight w:val="0"/>
      <w:marTop w:val="0"/>
      <w:marBottom w:val="0"/>
      <w:divBdr>
        <w:top w:val="none" w:sz="0" w:space="0" w:color="auto"/>
        <w:left w:val="none" w:sz="0" w:space="0" w:color="auto"/>
        <w:bottom w:val="none" w:sz="0" w:space="0" w:color="auto"/>
        <w:right w:val="none" w:sz="0" w:space="0" w:color="auto"/>
      </w:divBdr>
      <w:divsChild>
        <w:div w:id="644050839">
          <w:marLeft w:val="0"/>
          <w:marRight w:val="0"/>
          <w:marTop w:val="0"/>
          <w:marBottom w:val="0"/>
          <w:divBdr>
            <w:top w:val="none" w:sz="0" w:space="0" w:color="auto"/>
            <w:left w:val="none" w:sz="0" w:space="0" w:color="auto"/>
            <w:bottom w:val="none" w:sz="0" w:space="0" w:color="auto"/>
            <w:right w:val="none" w:sz="0" w:space="0" w:color="auto"/>
          </w:divBdr>
        </w:div>
      </w:divsChild>
    </w:div>
    <w:div w:id="634333943">
      <w:bodyDiv w:val="1"/>
      <w:marLeft w:val="0"/>
      <w:marRight w:val="0"/>
      <w:marTop w:val="0"/>
      <w:marBottom w:val="0"/>
      <w:divBdr>
        <w:top w:val="none" w:sz="0" w:space="0" w:color="auto"/>
        <w:left w:val="none" w:sz="0" w:space="0" w:color="auto"/>
        <w:bottom w:val="none" w:sz="0" w:space="0" w:color="auto"/>
        <w:right w:val="none" w:sz="0" w:space="0" w:color="auto"/>
      </w:divBdr>
    </w:div>
    <w:div w:id="639649065">
      <w:bodyDiv w:val="1"/>
      <w:marLeft w:val="0"/>
      <w:marRight w:val="0"/>
      <w:marTop w:val="0"/>
      <w:marBottom w:val="0"/>
      <w:divBdr>
        <w:top w:val="none" w:sz="0" w:space="0" w:color="auto"/>
        <w:left w:val="none" w:sz="0" w:space="0" w:color="auto"/>
        <w:bottom w:val="none" w:sz="0" w:space="0" w:color="auto"/>
        <w:right w:val="none" w:sz="0" w:space="0" w:color="auto"/>
      </w:divBdr>
    </w:div>
    <w:div w:id="641423792">
      <w:bodyDiv w:val="1"/>
      <w:marLeft w:val="0"/>
      <w:marRight w:val="0"/>
      <w:marTop w:val="0"/>
      <w:marBottom w:val="0"/>
      <w:divBdr>
        <w:top w:val="none" w:sz="0" w:space="0" w:color="auto"/>
        <w:left w:val="none" w:sz="0" w:space="0" w:color="auto"/>
        <w:bottom w:val="none" w:sz="0" w:space="0" w:color="auto"/>
        <w:right w:val="none" w:sz="0" w:space="0" w:color="auto"/>
      </w:divBdr>
    </w:div>
    <w:div w:id="650672310">
      <w:bodyDiv w:val="1"/>
      <w:marLeft w:val="0"/>
      <w:marRight w:val="0"/>
      <w:marTop w:val="0"/>
      <w:marBottom w:val="0"/>
      <w:divBdr>
        <w:top w:val="none" w:sz="0" w:space="0" w:color="auto"/>
        <w:left w:val="none" w:sz="0" w:space="0" w:color="auto"/>
        <w:bottom w:val="none" w:sz="0" w:space="0" w:color="auto"/>
        <w:right w:val="none" w:sz="0" w:space="0" w:color="auto"/>
      </w:divBdr>
    </w:div>
    <w:div w:id="660159151">
      <w:bodyDiv w:val="1"/>
      <w:marLeft w:val="0"/>
      <w:marRight w:val="0"/>
      <w:marTop w:val="0"/>
      <w:marBottom w:val="0"/>
      <w:divBdr>
        <w:top w:val="none" w:sz="0" w:space="0" w:color="auto"/>
        <w:left w:val="none" w:sz="0" w:space="0" w:color="auto"/>
        <w:bottom w:val="none" w:sz="0" w:space="0" w:color="auto"/>
        <w:right w:val="none" w:sz="0" w:space="0" w:color="auto"/>
      </w:divBdr>
    </w:div>
    <w:div w:id="661390613">
      <w:bodyDiv w:val="1"/>
      <w:marLeft w:val="0"/>
      <w:marRight w:val="0"/>
      <w:marTop w:val="0"/>
      <w:marBottom w:val="0"/>
      <w:divBdr>
        <w:top w:val="none" w:sz="0" w:space="0" w:color="auto"/>
        <w:left w:val="none" w:sz="0" w:space="0" w:color="auto"/>
        <w:bottom w:val="none" w:sz="0" w:space="0" w:color="auto"/>
        <w:right w:val="none" w:sz="0" w:space="0" w:color="auto"/>
      </w:divBdr>
    </w:div>
    <w:div w:id="671950588">
      <w:bodyDiv w:val="1"/>
      <w:marLeft w:val="0"/>
      <w:marRight w:val="0"/>
      <w:marTop w:val="0"/>
      <w:marBottom w:val="0"/>
      <w:divBdr>
        <w:top w:val="none" w:sz="0" w:space="0" w:color="auto"/>
        <w:left w:val="none" w:sz="0" w:space="0" w:color="auto"/>
        <w:bottom w:val="none" w:sz="0" w:space="0" w:color="auto"/>
        <w:right w:val="none" w:sz="0" w:space="0" w:color="auto"/>
      </w:divBdr>
    </w:div>
    <w:div w:id="684134937">
      <w:bodyDiv w:val="1"/>
      <w:marLeft w:val="0"/>
      <w:marRight w:val="0"/>
      <w:marTop w:val="0"/>
      <w:marBottom w:val="0"/>
      <w:divBdr>
        <w:top w:val="none" w:sz="0" w:space="0" w:color="auto"/>
        <w:left w:val="none" w:sz="0" w:space="0" w:color="auto"/>
        <w:bottom w:val="none" w:sz="0" w:space="0" w:color="auto"/>
        <w:right w:val="none" w:sz="0" w:space="0" w:color="auto"/>
      </w:divBdr>
    </w:div>
    <w:div w:id="686979640">
      <w:bodyDiv w:val="1"/>
      <w:marLeft w:val="0"/>
      <w:marRight w:val="0"/>
      <w:marTop w:val="0"/>
      <w:marBottom w:val="0"/>
      <w:divBdr>
        <w:top w:val="none" w:sz="0" w:space="0" w:color="auto"/>
        <w:left w:val="none" w:sz="0" w:space="0" w:color="auto"/>
        <w:bottom w:val="none" w:sz="0" w:space="0" w:color="auto"/>
        <w:right w:val="none" w:sz="0" w:space="0" w:color="auto"/>
      </w:divBdr>
    </w:div>
    <w:div w:id="697051424">
      <w:bodyDiv w:val="1"/>
      <w:marLeft w:val="0"/>
      <w:marRight w:val="0"/>
      <w:marTop w:val="0"/>
      <w:marBottom w:val="0"/>
      <w:divBdr>
        <w:top w:val="none" w:sz="0" w:space="0" w:color="auto"/>
        <w:left w:val="none" w:sz="0" w:space="0" w:color="auto"/>
        <w:bottom w:val="none" w:sz="0" w:space="0" w:color="auto"/>
        <w:right w:val="none" w:sz="0" w:space="0" w:color="auto"/>
      </w:divBdr>
    </w:div>
    <w:div w:id="703481427">
      <w:bodyDiv w:val="1"/>
      <w:marLeft w:val="0"/>
      <w:marRight w:val="0"/>
      <w:marTop w:val="0"/>
      <w:marBottom w:val="0"/>
      <w:divBdr>
        <w:top w:val="none" w:sz="0" w:space="0" w:color="auto"/>
        <w:left w:val="none" w:sz="0" w:space="0" w:color="auto"/>
        <w:bottom w:val="none" w:sz="0" w:space="0" w:color="auto"/>
        <w:right w:val="none" w:sz="0" w:space="0" w:color="auto"/>
      </w:divBdr>
    </w:div>
    <w:div w:id="709574226">
      <w:bodyDiv w:val="1"/>
      <w:marLeft w:val="0"/>
      <w:marRight w:val="0"/>
      <w:marTop w:val="0"/>
      <w:marBottom w:val="0"/>
      <w:divBdr>
        <w:top w:val="none" w:sz="0" w:space="0" w:color="auto"/>
        <w:left w:val="none" w:sz="0" w:space="0" w:color="auto"/>
        <w:bottom w:val="none" w:sz="0" w:space="0" w:color="auto"/>
        <w:right w:val="none" w:sz="0" w:space="0" w:color="auto"/>
      </w:divBdr>
    </w:div>
    <w:div w:id="727807626">
      <w:bodyDiv w:val="1"/>
      <w:marLeft w:val="0"/>
      <w:marRight w:val="0"/>
      <w:marTop w:val="0"/>
      <w:marBottom w:val="0"/>
      <w:divBdr>
        <w:top w:val="none" w:sz="0" w:space="0" w:color="auto"/>
        <w:left w:val="none" w:sz="0" w:space="0" w:color="auto"/>
        <w:bottom w:val="none" w:sz="0" w:space="0" w:color="auto"/>
        <w:right w:val="none" w:sz="0" w:space="0" w:color="auto"/>
      </w:divBdr>
    </w:div>
    <w:div w:id="730037194">
      <w:bodyDiv w:val="1"/>
      <w:marLeft w:val="0"/>
      <w:marRight w:val="0"/>
      <w:marTop w:val="0"/>
      <w:marBottom w:val="0"/>
      <w:divBdr>
        <w:top w:val="none" w:sz="0" w:space="0" w:color="auto"/>
        <w:left w:val="none" w:sz="0" w:space="0" w:color="auto"/>
        <w:bottom w:val="none" w:sz="0" w:space="0" w:color="auto"/>
        <w:right w:val="none" w:sz="0" w:space="0" w:color="auto"/>
      </w:divBdr>
      <w:divsChild>
        <w:div w:id="1825929635">
          <w:marLeft w:val="0"/>
          <w:marRight w:val="0"/>
          <w:marTop w:val="0"/>
          <w:marBottom w:val="0"/>
          <w:divBdr>
            <w:top w:val="none" w:sz="0" w:space="0" w:color="auto"/>
            <w:left w:val="none" w:sz="0" w:space="0" w:color="auto"/>
            <w:bottom w:val="none" w:sz="0" w:space="0" w:color="auto"/>
            <w:right w:val="none" w:sz="0" w:space="0" w:color="auto"/>
          </w:divBdr>
          <w:divsChild>
            <w:div w:id="195423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43876">
      <w:bodyDiv w:val="1"/>
      <w:marLeft w:val="0"/>
      <w:marRight w:val="0"/>
      <w:marTop w:val="0"/>
      <w:marBottom w:val="0"/>
      <w:divBdr>
        <w:top w:val="none" w:sz="0" w:space="0" w:color="auto"/>
        <w:left w:val="none" w:sz="0" w:space="0" w:color="auto"/>
        <w:bottom w:val="none" w:sz="0" w:space="0" w:color="auto"/>
        <w:right w:val="none" w:sz="0" w:space="0" w:color="auto"/>
      </w:divBdr>
    </w:div>
    <w:div w:id="756175130">
      <w:bodyDiv w:val="1"/>
      <w:marLeft w:val="0"/>
      <w:marRight w:val="0"/>
      <w:marTop w:val="0"/>
      <w:marBottom w:val="0"/>
      <w:divBdr>
        <w:top w:val="none" w:sz="0" w:space="0" w:color="auto"/>
        <w:left w:val="none" w:sz="0" w:space="0" w:color="auto"/>
        <w:bottom w:val="none" w:sz="0" w:space="0" w:color="auto"/>
        <w:right w:val="none" w:sz="0" w:space="0" w:color="auto"/>
      </w:divBdr>
    </w:div>
    <w:div w:id="767963039">
      <w:bodyDiv w:val="1"/>
      <w:marLeft w:val="0"/>
      <w:marRight w:val="0"/>
      <w:marTop w:val="0"/>
      <w:marBottom w:val="0"/>
      <w:divBdr>
        <w:top w:val="none" w:sz="0" w:space="0" w:color="auto"/>
        <w:left w:val="none" w:sz="0" w:space="0" w:color="auto"/>
        <w:bottom w:val="none" w:sz="0" w:space="0" w:color="auto"/>
        <w:right w:val="none" w:sz="0" w:space="0" w:color="auto"/>
      </w:divBdr>
    </w:div>
    <w:div w:id="769201806">
      <w:bodyDiv w:val="1"/>
      <w:marLeft w:val="0"/>
      <w:marRight w:val="0"/>
      <w:marTop w:val="0"/>
      <w:marBottom w:val="0"/>
      <w:divBdr>
        <w:top w:val="none" w:sz="0" w:space="0" w:color="auto"/>
        <w:left w:val="none" w:sz="0" w:space="0" w:color="auto"/>
        <w:bottom w:val="none" w:sz="0" w:space="0" w:color="auto"/>
        <w:right w:val="none" w:sz="0" w:space="0" w:color="auto"/>
      </w:divBdr>
    </w:div>
    <w:div w:id="781612498">
      <w:bodyDiv w:val="1"/>
      <w:marLeft w:val="0"/>
      <w:marRight w:val="0"/>
      <w:marTop w:val="0"/>
      <w:marBottom w:val="0"/>
      <w:divBdr>
        <w:top w:val="none" w:sz="0" w:space="0" w:color="auto"/>
        <w:left w:val="none" w:sz="0" w:space="0" w:color="auto"/>
        <w:bottom w:val="none" w:sz="0" w:space="0" w:color="auto"/>
        <w:right w:val="none" w:sz="0" w:space="0" w:color="auto"/>
      </w:divBdr>
    </w:div>
    <w:div w:id="783960291">
      <w:bodyDiv w:val="1"/>
      <w:marLeft w:val="0"/>
      <w:marRight w:val="0"/>
      <w:marTop w:val="0"/>
      <w:marBottom w:val="0"/>
      <w:divBdr>
        <w:top w:val="none" w:sz="0" w:space="0" w:color="auto"/>
        <w:left w:val="none" w:sz="0" w:space="0" w:color="auto"/>
        <w:bottom w:val="none" w:sz="0" w:space="0" w:color="auto"/>
        <w:right w:val="none" w:sz="0" w:space="0" w:color="auto"/>
      </w:divBdr>
    </w:div>
    <w:div w:id="785122335">
      <w:bodyDiv w:val="1"/>
      <w:marLeft w:val="0"/>
      <w:marRight w:val="0"/>
      <w:marTop w:val="0"/>
      <w:marBottom w:val="0"/>
      <w:divBdr>
        <w:top w:val="none" w:sz="0" w:space="0" w:color="auto"/>
        <w:left w:val="none" w:sz="0" w:space="0" w:color="auto"/>
        <w:bottom w:val="none" w:sz="0" w:space="0" w:color="auto"/>
        <w:right w:val="none" w:sz="0" w:space="0" w:color="auto"/>
      </w:divBdr>
      <w:divsChild>
        <w:div w:id="34744034">
          <w:marLeft w:val="0"/>
          <w:marRight w:val="0"/>
          <w:marTop w:val="0"/>
          <w:marBottom w:val="0"/>
          <w:divBdr>
            <w:top w:val="none" w:sz="0" w:space="0" w:color="auto"/>
            <w:left w:val="none" w:sz="0" w:space="0" w:color="auto"/>
            <w:bottom w:val="none" w:sz="0" w:space="0" w:color="auto"/>
            <w:right w:val="none" w:sz="0" w:space="0" w:color="auto"/>
          </w:divBdr>
          <w:divsChild>
            <w:div w:id="1007097293">
              <w:marLeft w:val="0"/>
              <w:marRight w:val="0"/>
              <w:marTop w:val="0"/>
              <w:marBottom w:val="0"/>
              <w:divBdr>
                <w:top w:val="none" w:sz="0" w:space="0" w:color="auto"/>
                <w:left w:val="none" w:sz="0" w:space="0" w:color="auto"/>
                <w:bottom w:val="none" w:sz="0" w:space="0" w:color="auto"/>
                <w:right w:val="none" w:sz="0" w:space="0" w:color="auto"/>
              </w:divBdr>
            </w:div>
            <w:div w:id="1917475309">
              <w:marLeft w:val="0"/>
              <w:marRight w:val="0"/>
              <w:marTop w:val="0"/>
              <w:marBottom w:val="0"/>
              <w:divBdr>
                <w:top w:val="none" w:sz="0" w:space="0" w:color="auto"/>
                <w:left w:val="none" w:sz="0" w:space="0" w:color="auto"/>
                <w:bottom w:val="none" w:sz="0" w:space="0" w:color="auto"/>
                <w:right w:val="none" w:sz="0" w:space="0" w:color="auto"/>
              </w:divBdr>
            </w:div>
          </w:divsChild>
        </w:div>
        <w:div w:id="62486384">
          <w:marLeft w:val="0"/>
          <w:marRight w:val="0"/>
          <w:marTop w:val="0"/>
          <w:marBottom w:val="0"/>
          <w:divBdr>
            <w:top w:val="none" w:sz="0" w:space="0" w:color="auto"/>
            <w:left w:val="none" w:sz="0" w:space="0" w:color="auto"/>
            <w:bottom w:val="none" w:sz="0" w:space="0" w:color="auto"/>
            <w:right w:val="none" w:sz="0" w:space="0" w:color="auto"/>
          </w:divBdr>
          <w:divsChild>
            <w:div w:id="324359831">
              <w:marLeft w:val="0"/>
              <w:marRight w:val="0"/>
              <w:marTop w:val="0"/>
              <w:marBottom w:val="0"/>
              <w:divBdr>
                <w:top w:val="none" w:sz="0" w:space="0" w:color="auto"/>
                <w:left w:val="none" w:sz="0" w:space="0" w:color="auto"/>
                <w:bottom w:val="none" w:sz="0" w:space="0" w:color="auto"/>
                <w:right w:val="none" w:sz="0" w:space="0" w:color="auto"/>
              </w:divBdr>
            </w:div>
            <w:div w:id="360283018">
              <w:marLeft w:val="0"/>
              <w:marRight w:val="0"/>
              <w:marTop w:val="0"/>
              <w:marBottom w:val="0"/>
              <w:divBdr>
                <w:top w:val="none" w:sz="0" w:space="0" w:color="auto"/>
                <w:left w:val="none" w:sz="0" w:space="0" w:color="auto"/>
                <w:bottom w:val="none" w:sz="0" w:space="0" w:color="auto"/>
                <w:right w:val="none" w:sz="0" w:space="0" w:color="auto"/>
              </w:divBdr>
            </w:div>
          </w:divsChild>
        </w:div>
        <w:div w:id="350837127">
          <w:marLeft w:val="0"/>
          <w:marRight w:val="0"/>
          <w:marTop w:val="0"/>
          <w:marBottom w:val="0"/>
          <w:divBdr>
            <w:top w:val="none" w:sz="0" w:space="0" w:color="auto"/>
            <w:left w:val="none" w:sz="0" w:space="0" w:color="auto"/>
            <w:bottom w:val="none" w:sz="0" w:space="0" w:color="auto"/>
            <w:right w:val="none" w:sz="0" w:space="0" w:color="auto"/>
          </w:divBdr>
          <w:divsChild>
            <w:div w:id="581912985">
              <w:marLeft w:val="0"/>
              <w:marRight w:val="0"/>
              <w:marTop w:val="0"/>
              <w:marBottom w:val="0"/>
              <w:divBdr>
                <w:top w:val="none" w:sz="0" w:space="0" w:color="auto"/>
                <w:left w:val="none" w:sz="0" w:space="0" w:color="auto"/>
                <w:bottom w:val="none" w:sz="0" w:space="0" w:color="auto"/>
                <w:right w:val="none" w:sz="0" w:space="0" w:color="auto"/>
              </w:divBdr>
            </w:div>
          </w:divsChild>
        </w:div>
        <w:div w:id="362942494">
          <w:marLeft w:val="0"/>
          <w:marRight w:val="0"/>
          <w:marTop w:val="0"/>
          <w:marBottom w:val="0"/>
          <w:divBdr>
            <w:top w:val="none" w:sz="0" w:space="0" w:color="auto"/>
            <w:left w:val="none" w:sz="0" w:space="0" w:color="auto"/>
            <w:bottom w:val="none" w:sz="0" w:space="0" w:color="auto"/>
            <w:right w:val="none" w:sz="0" w:space="0" w:color="auto"/>
          </w:divBdr>
          <w:divsChild>
            <w:div w:id="2003847213">
              <w:marLeft w:val="0"/>
              <w:marRight w:val="0"/>
              <w:marTop w:val="0"/>
              <w:marBottom w:val="0"/>
              <w:divBdr>
                <w:top w:val="none" w:sz="0" w:space="0" w:color="auto"/>
                <w:left w:val="none" w:sz="0" w:space="0" w:color="auto"/>
                <w:bottom w:val="none" w:sz="0" w:space="0" w:color="auto"/>
                <w:right w:val="none" w:sz="0" w:space="0" w:color="auto"/>
              </w:divBdr>
            </w:div>
          </w:divsChild>
        </w:div>
        <w:div w:id="383143689">
          <w:marLeft w:val="0"/>
          <w:marRight w:val="0"/>
          <w:marTop w:val="0"/>
          <w:marBottom w:val="0"/>
          <w:divBdr>
            <w:top w:val="none" w:sz="0" w:space="0" w:color="auto"/>
            <w:left w:val="none" w:sz="0" w:space="0" w:color="auto"/>
            <w:bottom w:val="none" w:sz="0" w:space="0" w:color="auto"/>
            <w:right w:val="none" w:sz="0" w:space="0" w:color="auto"/>
          </w:divBdr>
          <w:divsChild>
            <w:div w:id="1782141825">
              <w:marLeft w:val="0"/>
              <w:marRight w:val="0"/>
              <w:marTop w:val="0"/>
              <w:marBottom w:val="0"/>
              <w:divBdr>
                <w:top w:val="none" w:sz="0" w:space="0" w:color="auto"/>
                <w:left w:val="none" w:sz="0" w:space="0" w:color="auto"/>
                <w:bottom w:val="none" w:sz="0" w:space="0" w:color="auto"/>
                <w:right w:val="none" w:sz="0" w:space="0" w:color="auto"/>
              </w:divBdr>
            </w:div>
          </w:divsChild>
        </w:div>
        <w:div w:id="437336419">
          <w:marLeft w:val="0"/>
          <w:marRight w:val="0"/>
          <w:marTop w:val="0"/>
          <w:marBottom w:val="0"/>
          <w:divBdr>
            <w:top w:val="none" w:sz="0" w:space="0" w:color="auto"/>
            <w:left w:val="none" w:sz="0" w:space="0" w:color="auto"/>
            <w:bottom w:val="none" w:sz="0" w:space="0" w:color="auto"/>
            <w:right w:val="none" w:sz="0" w:space="0" w:color="auto"/>
          </w:divBdr>
          <w:divsChild>
            <w:div w:id="1122768765">
              <w:marLeft w:val="0"/>
              <w:marRight w:val="0"/>
              <w:marTop w:val="0"/>
              <w:marBottom w:val="0"/>
              <w:divBdr>
                <w:top w:val="none" w:sz="0" w:space="0" w:color="auto"/>
                <w:left w:val="none" w:sz="0" w:space="0" w:color="auto"/>
                <w:bottom w:val="none" w:sz="0" w:space="0" w:color="auto"/>
                <w:right w:val="none" w:sz="0" w:space="0" w:color="auto"/>
              </w:divBdr>
            </w:div>
          </w:divsChild>
        </w:div>
        <w:div w:id="499273741">
          <w:marLeft w:val="0"/>
          <w:marRight w:val="0"/>
          <w:marTop w:val="0"/>
          <w:marBottom w:val="0"/>
          <w:divBdr>
            <w:top w:val="none" w:sz="0" w:space="0" w:color="auto"/>
            <w:left w:val="none" w:sz="0" w:space="0" w:color="auto"/>
            <w:bottom w:val="none" w:sz="0" w:space="0" w:color="auto"/>
            <w:right w:val="none" w:sz="0" w:space="0" w:color="auto"/>
          </w:divBdr>
          <w:divsChild>
            <w:div w:id="2088768614">
              <w:marLeft w:val="0"/>
              <w:marRight w:val="0"/>
              <w:marTop w:val="0"/>
              <w:marBottom w:val="0"/>
              <w:divBdr>
                <w:top w:val="none" w:sz="0" w:space="0" w:color="auto"/>
                <w:left w:val="none" w:sz="0" w:space="0" w:color="auto"/>
                <w:bottom w:val="none" w:sz="0" w:space="0" w:color="auto"/>
                <w:right w:val="none" w:sz="0" w:space="0" w:color="auto"/>
              </w:divBdr>
            </w:div>
          </w:divsChild>
        </w:div>
        <w:div w:id="828788254">
          <w:marLeft w:val="0"/>
          <w:marRight w:val="0"/>
          <w:marTop w:val="0"/>
          <w:marBottom w:val="0"/>
          <w:divBdr>
            <w:top w:val="none" w:sz="0" w:space="0" w:color="auto"/>
            <w:left w:val="none" w:sz="0" w:space="0" w:color="auto"/>
            <w:bottom w:val="none" w:sz="0" w:space="0" w:color="auto"/>
            <w:right w:val="none" w:sz="0" w:space="0" w:color="auto"/>
          </w:divBdr>
          <w:divsChild>
            <w:div w:id="1192955589">
              <w:marLeft w:val="0"/>
              <w:marRight w:val="0"/>
              <w:marTop w:val="0"/>
              <w:marBottom w:val="0"/>
              <w:divBdr>
                <w:top w:val="none" w:sz="0" w:space="0" w:color="auto"/>
                <w:left w:val="none" w:sz="0" w:space="0" w:color="auto"/>
                <w:bottom w:val="none" w:sz="0" w:space="0" w:color="auto"/>
                <w:right w:val="none" w:sz="0" w:space="0" w:color="auto"/>
              </w:divBdr>
            </w:div>
          </w:divsChild>
        </w:div>
        <w:div w:id="942493784">
          <w:marLeft w:val="0"/>
          <w:marRight w:val="0"/>
          <w:marTop w:val="0"/>
          <w:marBottom w:val="0"/>
          <w:divBdr>
            <w:top w:val="none" w:sz="0" w:space="0" w:color="auto"/>
            <w:left w:val="none" w:sz="0" w:space="0" w:color="auto"/>
            <w:bottom w:val="none" w:sz="0" w:space="0" w:color="auto"/>
            <w:right w:val="none" w:sz="0" w:space="0" w:color="auto"/>
          </w:divBdr>
          <w:divsChild>
            <w:div w:id="574632988">
              <w:marLeft w:val="0"/>
              <w:marRight w:val="0"/>
              <w:marTop w:val="0"/>
              <w:marBottom w:val="0"/>
              <w:divBdr>
                <w:top w:val="none" w:sz="0" w:space="0" w:color="auto"/>
                <w:left w:val="none" w:sz="0" w:space="0" w:color="auto"/>
                <w:bottom w:val="none" w:sz="0" w:space="0" w:color="auto"/>
                <w:right w:val="none" w:sz="0" w:space="0" w:color="auto"/>
              </w:divBdr>
            </w:div>
          </w:divsChild>
        </w:div>
        <w:div w:id="945966831">
          <w:marLeft w:val="0"/>
          <w:marRight w:val="0"/>
          <w:marTop w:val="0"/>
          <w:marBottom w:val="0"/>
          <w:divBdr>
            <w:top w:val="none" w:sz="0" w:space="0" w:color="auto"/>
            <w:left w:val="none" w:sz="0" w:space="0" w:color="auto"/>
            <w:bottom w:val="none" w:sz="0" w:space="0" w:color="auto"/>
            <w:right w:val="none" w:sz="0" w:space="0" w:color="auto"/>
          </w:divBdr>
          <w:divsChild>
            <w:div w:id="827555774">
              <w:marLeft w:val="0"/>
              <w:marRight w:val="0"/>
              <w:marTop w:val="0"/>
              <w:marBottom w:val="0"/>
              <w:divBdr>
                <w:top w:val="none" w:sz="0" w:space="0" w:color="auto"/>
                <w:left w:val="none" w:sz="0" w:space="0" w:color="auto"/>
                <w:bottom w:val="none" w:sz="0" w:space="0" w:color="auto"/>
                <w:right w:val="none" w:sz="0" w:space="0" w:color="auto"/>
              </w:divBdr>
            </w:div>
          </w:divsChild>
        </w:div>
        <w:div w:id="1003629838">
          <w:marLeft w:val="0"/>
          <w:marRight w:val="0"/>
          <w:marTop w:val="0"/>
          <w:marBottom w:val="0"/>
          <w:divBdr>
            <w:top w:val="none" w:sz="0" w:space="0" w:color="auto"/>
            <w:left w:val="none" w:sz="0" w:space="0" w:color="auto"/>
            <w:bottom w:val="none" w:sz="0" w:space="0" w:color="auto"/>
            <w:right w:val="none" w:sz="0" w:space="0" w:color="auto"/>
          </w:divBdr>
          <w:divsChild>
            <w:div w:id="1789547894">
              <w:marLeft w:val="0"/>
              <w:marRight w:val="0"/>
              <w:marTop w:val="0"/>
              <w:marBottom w:val="0"/>
              <w:divBdr>
                <w:top w:val="none" w:sz="0" w:space="0" w:color="auto"/>
                <w:left w:val="none" w:sz="0" w:space="0" w:color="auto"/>
                <w:bottom w:val="none" w:sz="0" w:space="0" w:color="auto"/>
                <w:right w:val="none" w:sz="0" w:space="0" w:color="auto"/>
              </w:divBdr>
            </w:div>
          </w:divsChild>
        </w:div>
        <w:div w:id="1075663858">
          <w:marLeft w:val="0"/>
          <w:marRight w:val="0"/>
          <w:marTop w:val="0"/>
          <w:marBottom w:val="0"/>
          <w:divBdr>
            <w:top w:val="none" w:sz="0" w:space="0" w:color="auto"/>
            <w:left w:val="none" w:sz="0" w:space="0" w:color="auto"/>
            <w:bottom w:val="none" w:sz="0" w:space="0" w:color="auto"/>
            <w:right w:val="none" w:sz="0" w:space="0" w:color="auto"/>
          </w:divBdr>
          <w:divsChild>
            <w:div w:id="580676210">
              <w:marLeft w:val="0"/>
              <w:marRight w:val="0"/>
              <w:marTop w:val="0"/>
              <w:marBottom w:val="0"/>
              <w:divBdr>
                <w:top w:val="none" w:sz="0" w:space="0" w:color="auto"/>
                <w:left w:val="none" w:sz="0" w:space="0" w:color="auto"/>
                <w:bottom w:val="none" w:sz="0" w:space="0" w:color="auto"/>
                <w:right w:val="none" w:sz="0" w:space="0" w:color="auto"/>
              </w:divBdr>
            </w:div>
          </w:divsChild>
        </w:div>
        <w:div w:id="1118064291">
          <w:marLeft w:val="0"/>
          <w:marRight w:val="0"/>
          <w:marTop w:val="0"/>
          <w:marBottom w:val="0"/>
          <w:divBdr>
            <w:top w:val="none" w:sz="0" w:space="0" w:color="auto"/>
            <w:left w:val="none" w:sz="0" w:space="0" w:color="auto"/>
            <w:bottom w:val="none" w:sz="0" w:space="0" w:color="auto"/>
            <w:right w:val="none" w:sz="0" w:space="0" w:color="auto"/>
          </w:divBdr>
          <w:divsChild>
            <w:div w:id="1215237152">
              <w:marLeft w:val="0"/>
              <w:marRight w:val="0"/>
              <w:marTop w:val="0"/>
              <w:marBottom w:val="0"/>
              <w:divBdr>
                <w:top w:val="none" w:sz="0" w:space="0" w:color="auto"/>
                <w:left w:val="none" w:sz="0" w:space="0" w:color="auto"/>
                <w:bottom w:val="none" w:sz="0" w:space="0" w:color="auto"/>
                <w:right w:val="none" w:sz="0" w:space="0" w:color="auto"/>
              </w:divBdr>
            </w:div>
          </w:divsChild>
        </w:div>
        <w:div w:id="1203205173">
          <w:marLeft w:val="0"/>
          <w:marRight w:val="0"/>
          <w:marTop w:val="0"/>
          <w:marBottom w:val="0"/>
          <w:divBdr>
            <w:top w:val="none" w:sz="0" w:space="0" w:color="auto"/>
            <w:left w:val="none" w:sz="0" w:space="0" w:color="auto"/>
            <w:bottom w:val="none" w:sz="0" w:space="0" w:color="auto"/>
            <w:right w:val="none" w:sz="0" w:space="0" w:color="auto"/>
          </w:divBdr>
          <w:divsChild>
            <w:div w:id="1289508435">
              <w:marLeft w:val="0"/>
              <w:marRight w:val="0"/>
              <w:marTop w:val="0"/>
              <w:marBottom w:val="0"/>
              <w:divBdr>
                <w:top w:val="none" w:sz="0" w:space="0" w:color="auto"/>
                <w:left w:val="none" w:sz="0" w:space="0" w:color="auto"/>
                <w:bottom w:val="none" w:sz="0" w:space="0" w:color="auto"/>
                <w:right w:val="none" w:sz="0" w:space="0" w:color="auto"/>
              </w:divBdr>
            </w:div>
          </w:divsChild>
        </w:div>
        <w:div w:id="1590121653">
          <w:marLeft w:val="0"/>
          <w:marRight w:val="0"/>
          <w:marTop w:val="0"/>
          <w:marBottom w:val="0"/>
          <w:divBdr>
            <w:top w:val="none" w:sz="0" w:space="0" w:color="auto"/>
            <w:left w:val="none" w:sz="0" w:space="0" w:color="auto"/>
            <w:bottom w:val="none" w:sz="0" w:space="0" w:color="auto"/>
            <w:right w:val="none" w:sz="0" w:space="0" w:color="auto"/>
          </w:divBdr>
          <w:divsChild>
            <w:div w:id="258947375">
              <w:marLeft w:val="0"/>
              <w:marRight w:val="0"/>
              <w:marTop w:val="0"/>
              <w:marBottom w:val="0"/>
              <w:divBdr>
                <w:top w:val="none" w:sz="0" w:space="0" w:color="auto"/>
                <w:left w:val="none" w:sz="0" w:space="0" w:color="auto"/>
                <w:bottom w:val="none" w:sz="0" w:space="0" w:color="auto"/>
                <w:right w:val="none" w:sz="0" w:space="0" w:color="auto"/>
              </w:divBdr>
            </w:div>
          </w:divsChild>
        </w:div>
        <w:div w:id="1670477813">
          <w:marLeft w:val="0"/>
          <w:marRight w:val="0"/>
          <w:marTop w:val="0"/>
          <w:marBottom w:val="0"/>
          <w:divBdr>
            <w:top w:val="none" w:sz="0" w:space="0" w:color="auto"/>
            <w:left w:val="none" w:sz="0" w:space="0" w:color="auto"/>
            <w:bottom w:val="none" w:sz="0" w:space="0" w:color="auto"/>
            <w:right w:val="none" w:sz="0" w:space="0" w:color="auto"/>
          </w:divBdr>
          <w:divsChild>
            <w:div w:id="2104034016">
              <w:marLeft w:val="0"/>
              <w:marRight w:val="0"/>
              <w:marTop w:val="0"/>
              <w:marBottom w:val="0"/>
              <w:divBdr>
                <w:top w:val="none" w:sz="0" w:space="0" w:color="auto"/>
                <w:left w:val="none" w:sz="0" w:space="0" w:color="auto"/>
                <w:bottom w:val="none" w:sz="0" w:space="0" w:color="auto"/>
                <w:right w:val="none" w:sz="0" w:space="0" w:color="auto"/>
              </w:divBdr>
            </w:div>
          </w:divsChild>
        </w:div>
        <w:div w:id="1859808315">
          <w:marLeft w:val="0"/>
          <w:marRight w:val="0"/>
          <w:marTop w:val="0"/>
          <w:marBottom w:val="0"/>
          <w:divBdr>
            <w:top w:val="none" w:sz="0" w:space="0" w:color="auto"/>
            <w:left w:val="none" w:sz="0" w:space="0" w:color="auto"/>
            <w:bottom w:val="none" w:sz="0" w:space="0" w:color="auto"/>
            <w:right w:val="none" w:sz="0" w:space="0" w:color="auto"/>
          </w:divBdr>
          <w:divsChild>
            <w:div w:id="1655059562">
              <w:marLeft w:val="0"/>
              <w:marRight w:val="0"/>
              <w:marTop w:val="0"/>
              <w:marBottom w:val="0"/>
              <w:divBdr>
                <w:top w:val="none" w:sz="0" w:space="0" w:color="auto"/>
                <w:left w:val="none" w:sz="0" w:space="0" w:color="auto"/>
                <w:bottom w:val="none" w:sz="0" w:space="0" w:color="auto"/>
                <w:right w:val="none" w:sz="0" w:space="0" w:color="auto"/>
              </w:divBdr>
            </w:div>
          </w:divsChild>
        </w:div>
        <w:div w:id="2009167579">
          <w:marLeft w:val="0"/>
          <w:marRight w:val="0"/>
          <w:marTop w:val="0"/>
          <w:marBottom w:val="0"/>
          <w:divBdr>
            <w:top w:val="none" w:sz="0" w:space="0" w:color="auto"/>
            <w:left w:val="none" w:sz="0" w:space="0" w:color="auto"/>
            <w:bottom w:val="none" w:sz="0" w:space="0" w:color="auto"/>
            <w:right w:val="none" w:sz="0" w:space="0" w:color="auto"/>
          </w:divBdr>
          <w:divsChild>
            <w:div w:id="887958504">
              <w:marLeft w:val="0"/>
              <w:marRight w:val="0"/>
              <w:marTop w:val="0"/>
              <w:marBottom w:val="0"/>
              <w:divBdr>
                <w:top w:val="none" w:sz="0" w:space="0" w:color="auto"/>
                <w:left w:val="none" w:sz="0" w:space="0" w:color="auto"/>
                <w:bottom w:val="none" w:sz="0" w:space="0" w:color="auto"/>
                <w:right w:val="none" w:sz="0" w:space="0" w:color="auto"/>
              </w:divBdr>
            </w:div>
          </w:divsChild>
        </w:div>
        <w:div w:id="2032998166">
          <w:marLeft w:val="0"/>
          <w:marRight w:val="0"/>
          <w:marTop w:val="0"/>
          <w:marBottom w:val="0"/>
          <w:divBdr>
            <w:top w:val="none" w:sz="0" w:space="0" w:color="auto"/>
            <w:left w:val="none" w:sz="0" w:space="0" w:color="auto"/>
            <w:bottom w:val="none" w:sz="0" w:space="0" w:color="auto"/>
            <w:right w:val="none" w:sz="0" w:space="0" w:color="auto"/>
          </w:divBdr>
          <w:divsChild>
            <w:div w:id="281111826">
              <w:marLeft w:val="0"/>
              <w:marRight w:val="0"/>
              <w:marTop w:val="0"/>
              <w:marBottom w:val="0"/>
              <w:divBdr>
                <w:top w:val="none" w:sz="0" w:space="0" w:color="auto"/>
                <w:left w:val="none" w:sz="0" w:space="0" w:color="auto"/>
                <w:bottom w:val="none" w:sz="0" w:space="0" w:color="auto"/>
                <w:right w:val="none" w:sz="0" w:space="0" w:color="auto"/>
              </w:divBdr>
            </w:div>
          </w:divsChild>
        </w:div>
        <w:div w:id="2070303858">
          <w:marLeft w:val="0"/>
          <w:marRight w:val="0"/>
          <w:marTop w:val="0"/>
          <w:marBottom w:val="0"/>
          <w:divBdr>
            <w:top w:val="none" w:sz="0" w:space="0" w:color="auto"/>
            <w:left w:val="none" w:sz="0" w:space="0" w:color="auto"/>
            <w:bottom w:val="none" w:sz="0" w:space="0" w:color="auto"/>
            <w:right w:val="none" w:sz="0" w:space="0" w:color="auto"/>
          </w:divBdr>
          <w:divsChild>
            <w:div w:id="1262107125">
              <w:marLeft w:val="0"/>
              <w:marRight w:val="0"/>
              <w:marTop w:val="0"/>
              <w:marBottom w:val="0"/>
              <w:divBdr>
                <w:top w:val="none" w:sz="0" w:space="0" w:color="auto"/>
                <w:left w:val="none" w:sz="0" w:space="0" w:color="auto"/>
                <w:bottom w:val="none" w:sz="0" w:space="0" w:color="auto"/>
                <w:right w:val="none" w:sz="0" w:space="0" w:color="auto"/>
              </w:divBdr>
            </w:div>
          </w:divsChild>
        </w:div>
        <w:div w:id="2083064159">
          <w:marLeft w:val="0"/>
          <w:marRight w:val="0"/>
          <w:marTop w:val="0"/>
          <w:marBottom w:val="0"/>
          <w:divBdr>
            <w:top w:val="none" w:sz="0" w:space="0" w:color="auto"/>
            <w:left w:val="none" w:sz="0" w:space="0" w:color="auto"/>
            <w:bottom w:val="none" w:sz="0" w:space="0" w:color="auto"/>
            <w:right w:val="none" w:sz="0" w:space="0" w:color="auto"/>
          </w:divBdr>
          <w:divsChild>
            <w:div w:id="1359507083">
              <w:marLeft w:val="0"/>
              <w:marRight w:val="0"/>
              <w:marTop w:val="0"/>
              <w:marBottom w:val="0"/>
              <w:divBdr>
                <w:top w:val="none" w:sz="0" w:space="0" w:color="auto"/>
                <w:left w:val="none" w:sz="0" w:space="0" w:color="auto"/>
                <w:bottom w:val="none" w:sz="0" w:space="0" w:color="auto"/>
                <w:right w:val="none" w:sz="0" w:space="0" w:color="auto"/>
              </w:divBdr>
            </w:div>
          </w:divsChild>
        </w:div>
        <w:div w:id="2141535443">
          <w:marLeft w:val="0"/>
          <w:marRight w:val="0"/>
          <w:marTop w:val="0"/>
          <w:marBottom w:val="0"/>
          <w:divBdr>
            <w:top w:val="none" w:sz="0" w:space="0" w:color="auto"/>
            <w:left w:val="none" w:sz="0" w:space="0" w:color="auto"/>
            <w:bottom w:val="none" w:sz="0" w:space="0" w:color="auto"/>
            <w:right w:val="none" w:sz="0" w:space="0" w:color="auto"/>
          </w:divBdr>
          <w:divsChild>
            <w:div w:id="5661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544632">
      <w:bodyDiv w:val="1"/>
      <w:marLeft w:val="0"/>
      <w:marRight w:val="0"/>
      <w:marTop w:val="0"/>
      <w:marBottom w:val="0"/>
      <w:divBdr>
        <w:top w:val="none" w:sz="0" w:space="0" w:color="auto"/>
        <w:left w:val="none" w:sz="0" w:space="0" w:color="auto"/>
        <w:bottom w:val="none" w:sz="0" w:space="0" w:color="auto"/>
        <w:right w:val="none" w:sz="0" w:space="0" w:color="auto"/>
      </w:divBdr>
      <w:divsChild>
        <w:div w:id="240220903">
          <w:marLeft w:val="389"/>
          <w:marRight w:val="0"/>
          <w:marTop w:val="0"/>
          <w:marBottom w:val="40"/>
          <w:divBdr>
            <w:top w:val="none" w:sz="0" w:space="0" w:color="auto"/>
            <w:left w:val="none" w:sz="0" w:space="0" w:color="auto"/>
            <w:bottom w:val="none" w:sz="0" w:space="0" w:color="auto"/>
            <w:right w:val="none" w:sz="0" w:space="0" w:color="auto"/>
          </w:divBdr>
        </w:div>
      </w:divsChild>
    </w:div>
    <w:div w:id="794758795">
      <w:bodyDiv w:val="1"/>
      <w:marLeft w:val="0"/>
      <w:marRight w:val="0"/>
      <w:marTop w:val="0"/>
      <w:marBottom w:val="0"/>
      <w:divBdr>
        <w:top w:val="none" w:sz="0" w:space="0" w:color="auto"/>
        <w:left w:val="none" w:sz="0" w:space="0" w:color="auto"/>
        <w:bottom w:val="none" w:sz="0" w:space="0" w:color="auto"/>
        <w:right w:val="none" w:sz="0" w:space="0" w:color="auto"/>
      </w:divBdr>
    </w:div>
    <w:div w:id="797919166">
      <w:bodyDiv w:val="1"/>
      <w:marLeft w:val="0"/>
      <w:marRight w:val="0"/>
      <w:marTop w:val="0"/>
      <w:marBottom w:val="0"/>
      <w:divBdr>
        <w:top w:val="none" w:sz="0" w:space="0" w:color="auto"/>
        <w:left w:val="none" w:sz="0" w:space="0" w:color="auto"/>
        <w:bottom w:val="none" w:sz="0" w:space="0" w:color="auto"/>
        <w:right w:val="none" w:sz="0" w:space="0" w:color="auto"/>
      </w:divBdr>
      <w:divsChild>
        <w:div w:id="1060982615">
          <w:marLeft w:val="0"/>
          <w:marRight w:val="0"/>
          <w:marTop w:val="0"/>
          <w:marBottom w:val="0"/>
          <w:divBdr>
            <w:top w:val="none" w:sz="0" w:space="0" w:color="auto"/>
            <w:left w:val="none" w:sz="0" w:space="0" w:color="auto"/>
            <w:bottom w:val="none" w:sz="0" w:space="0" w:color="auto"/>
            <w:right w:val="none" w:sz="0" w:space="0" w:color="auto"/>
          </w:divBdr>
          <w:divsChild>
            <w:div w:id="1920940828">
              <w:marLeft w:val="0"/>
              <w:marRight w:val="0"/>
              <w:marTop w:val="0"/>
              <w:marBottom w:val="0"/>
              <w:divBdr>
                <w:top w:val="none" w:sz="0" w:space="0" w:color="auto"/>
                <w:left w:val="none" w:sz="0" w:space="0" w:color="auto"/>
                <w:bottom w:val="none" w:sz="0" w:space="0" w:color="auto"/>
                <w:right w:val="none" w:sz="0" w:space="0" w:color="auto"/>
              </w:divBdr>
            </w:div>
          </w:divsChild>
        </w:div>
        <w:div w:id="1651247061">
          <w:marLeft w:val="0"/>
          <w:marRight w:val="0"/>
          <w:marTop w:val="0"/>
          <w:marBottom w:val="0"/>
          <w:divBdr>
            <w:top w:val="none" w:sz="0" w:space="0" w:color="auto"/>
            <w:left w:val="none" w:sz="0" w:space="0" w:color="auto"/>
            <w:bottom w:val="none" w:sz="0" w:space="0" w:color="auto"/>
            <w:right w:val="none" w:sz="0" w:space="0" w:color="auto"/>
          </w:divBdr>
          <w:divsChild>
            <w:div w:id="51052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9579">
      <w:bodyDiv w:val="1"/>
      <w:marLeft w:val="0"/>
      <w:marRight w:val="0"/>
      <w:marTop w:val="0"/>
      <w:marBottom w:val="0"/>
      <w:divBdr>
        <w:top w:val="none" w:sz="0" w:space="0" w:color="auto"/>
        <w:left w:val="none" w:sz="0" w:space="0" w:color="auto"/>
        <w:bottom w:val="none" w:sz="0" w:space="0" w:color="auto"/>
        <w:right w:val="none" w:sz="0" w:space="0" w:color="auto"/>
      </w:divBdr>
      <w:divsChild>
        <w:div w:id="391004385">
          <w:marLeft w:val="0"/>
          <w:marRight w:val="0"/>
          <w:marTop w:val="0"/>
          <w:marBottom w:val="0"/>
          <w:divBdr>
            <w:top w:val="none" w:sz="0" w:space="0" w:color="auto"/>
            <w:left w:val="none" w:sz="0" w:space="0" w:color="auto"/>
            <w:bottom w:val="none" w:sz="0" w:space="0" w:color="auto"/>
            <w:right w:val="none" w:sz="0" w:space="0" w:color="auto"/>
          </w:divBdr>
          <w:divsChild>
            <w:div w:id="1012143260">
              <w:marLeft w:val="0"/>
              <w:marRight w:val="0"/>
              <w:marTop w:val="0"/>
              <w:marBottom w:val="0"/>
              <w:divBdr>
                <w:top w:val="none" w:sz="0" w:space="0" w:color="auto"/>
                <w:left w:val="none" w:sz="0" w:space="0" w:color="auto"/>
                <w:bottom w:val="none" w:sz="0" w:space="0" w:color="auto"/>
                <w:right w:val="none" w:sz="0" w:space="0" w:color="auto"/>
              </w:divBdr>
            </w:div>
          </w:divsChild>
        </w:div>
        <w:div w:id="959190109">
          <w:marLeft w:val="0"/>
          <w:marRight w:val="0"/>
          <w:marTop w:val="0"/>
          <w:marBottom w:val="0"/>
          <w:divBdr>
            <w:top w:val="none" w:sz="0" w:space="0" w:color="auto"/>
            <w:left w:val="none" w:sz="0" w:space="0" w:color="auto"/>
            <w:bottom w:val="none" w:sz="0" w:space="0" w:color="auto"/>
            <w:right w:val="none" w:sz="0" w:space="0" w:color="auto"/>
          </w:divBdr>
          <w:divsChild>
            <w:div w:id="181721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62547">
      <w:bodyDiv w:val="1"/>
      <w:marLeft w:val="0"/>
      <w:marRight w:val="0"/>
      <w:marTop w:val="0"/>
      <w:marBottom w:val="0"/>
      <w:divBdr>
        <w:top w:val="none" w:sz="0" w:space="0" w:color="auto"/>
        <w:left w:val="none" w:sz="0" w:space="0" w:color="auto"/>
        <w:bottom w:val="none" w:sz="0" w:space="0" w:color="auto"/>
        <w:right w:val="none" w:sz="0" w:space="0" w:color="auto"/>
      </w:divBdr>
    </w:div>
    <w:div w:id="805703590">
      <w:bodyDiv w:val="1"/>
      <w:marLeft w:val="0"/>
      <w:marRight w:val="0"/>
      <w:marTop w:val="0"/>
      <w:marBottom w:val="0"/>
      <w:divBdr>
        <w:top w:val="none" w:sz="0" w:space="0" w:color="auto"/>
        <w:left w:val="none" w:sz="0" w:space="0" w:color="auto"/>
        <w:bottom w:val="none" w:sz="0" w:space="0" w:color="auto"/>
        <w:right w:val="none" w:sz="0" w:space="0" w:color="auto"/>
      </w:divBdr>
      <w:divsChild>
        <w:div w:id="1664316725">
          <w:marLeft w:val="389"/>
          <w:marRight w:val="0"/>
          <w:marTop w:val="0"/>
          <w:marBottom w:val="40"/>
          <w:divBdr>
            <w:top w:val="none" w:sz="0" w:space="0" w:color="auto"/>
            <w:left w:val="none" w:sz="0" w:space="0" w:color="auto"/>
            <w:bottom w:val="none" w:sz="0" w:space="0" w:color="auto"/>
            <w:right w:val="none" w:sz="0" w:space="0" w:color="auto"/>
          </w:divBdr>
        </w:div>
      </w:divsChild>
    </w:div>
    <w:div w:id="809175637">
      <w:bodyDiv w:val="1"/>
      <w:marLeft w:val="0"/>
      <w:marRight w:val="0"/>
      <w:marTop w:val="0"/>
      <w:marBottom w:val="0"/>
      <w:divBdr>
        <w:top w:val="none" w:sz="0" w:space="0" w:color="auto"/>
        <w:left w:val="none" w:sz="0" w:space="0" w:color="auto"/>
        <w:bottom w:val="none" w:sz="0" w:space="0" w:color="auto"/>
        <w:right w:val="none" w:sz="0" w:space="0" w:color="auto"/>
      </w:divBdr>
    </w:div>
    <w:div w:id="810287494">
      <w:bodyDiv w:val="1"/>
      <w:marLeft w:val="0"/>
      <w:marRight w:val="0"/>
      <w:marTop w:val="0"/>
      <w:marBottom w:val="0"/>
      <w:divBdr>
        <w:top w:val="none" w:sz="0" w:space="0" w:color="auto"/>
        <w:left w:val="none" w:sz="0" w:space="0" w:color="auto"/>
        <w:bottom w:val="none" w:sz="0" w:space="0" w:color="auto"/>
        <w:right w:val="none" w:sz="0" w:space="0" w:color="auto"/>
      </w:divBdr>
      <w:divsChild>
        <w:div w:id="845902119">
          <w:marLeft w:val="0"/>
          <w:marRight w:val="0"/>
          <w:marTop w:val="0"/>
          <w:marBottom w:val="0"/>
          <w:divBdr>
            <w:top w:val="none" w:sz="0" w:space="0" w:color="auto"/>
            <w:left w:val="none" w:sz="0" w:space="0" w:color="auto"/>
            <w:bottom w:val="none" w:sz="0" w:space="0" w:color="auto"/>
            <w:right w:val="none" w:sz="0" w:space="0" w:color="auto"/>
          </w:divBdr>
          <w:divsChild>
            <w:div w:id="993415388">
              <w:marLeft w:val="0"/>
              <w:marRight w:val="0"/>
              <w:marTop w:val="0"/>
              <w:marBottom w:val="0"/>
              <w:divBdr>
                <w:top w:val="none" w:sz="0" w:space="0" w:color="auto"/>
                <w:left w:val="none" w:sz="0" w:space="0" w:color="auto"/>
                <w:bottom w:val="none" w:sz="0" w:space="0" w:color="auto"/>
                <w:right w:val="none" w:sz="0" w:space="0" w:color="auto"/>
              </w:divBdr>
            </w:div>
          </w:divsChild>
        </w:div>
        <w:div w:id="1101411577">
          <w:marLeft w:val="0"/>
          <w:marRight w:val="0"/>
          <w:marTop w:val="0"/>
          <w:marBottom w:val="0"/>
          <w:divBdr>
            <w:top w:val="none" w:sz="0" w:space="0" w:color="auto"/>
            <w:left w:val="none" w:sz="0" w:space="0" w:color="auto"/>
            <w:bottom w:val="none" w:sz="0" w:space="0" w:color="auto"/>
            <w:right w:val="none" w:sz="0" w:space="0" w:color="auto"/>
          </w:divBdr>
          <w:divsChild>
            <w:div w:id="529612082">
              <w:marLeft w:val="0"/>
              <w:marRight w:val="0"/>
              <w:marTop w:val="0"/>
              <w:marBottom w:val="0"/>
              <w:divBdr>
                <w:top w:val="none" w:sz="0" w:space="0" w:color="auto"/>
                <w:left w:val="none" w:sz="0" w:space="0" w:color="auto"/>
                <w:bottom w:val="none" w:sz="0" w:space="0" w:color="auto"/>
                <w:right w:val="none" w:sz="0" w:space="0" w:color="auto"/>
              </w:divBdr>
            </w:div>
          </w:divsChild>
        </w:div>
        <w:div w:id="2000647441">
          <w:marLeft w:val="0"/>
          <w:marRight w:val="0"/>
          <w:marTop w:val="0"/>
          <w:marBottom w:val="0"/>
          <w:divBdr>
            <w:top w:val="none" w:sz="0" w:space="0" w:color="auto"/>
            <w:left w:val="none" w:sz="0" w:space="0" w:color="auto"/>
            <w:bottom w:val="none" w:sz="0" w:space="0" w:color="auto"/>
            <w:right w:val="none" w:sz="0" w:space="0" w:color="auto"/>
          </w:divBdr>
          <w:divsChild>
            <w:div w:id="140367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07227">
      <w:bodyDiv w:val="1"/>
      <w:marLeft w:val="0"/>
      <w:marRight w:val="0"/>
      <w:marTop w:val="0"/>
      <w:marBottom w:val="0"/>
      <w:divBdr>
        <w:top w:val="none" w:sz="0" w:space="0" w:color="auto"/>
        <w:left w:val="none" w:sz="0" w:space="0" w:color="auto"/>
        <w:bottom w:val="none" w:sz="0" w:space="0" w:color="auto"/>
        <w:right w:val="none" w:sz="0" w:space="0" w:color="auto"/>
      </w:divBdr>
    </w:div>
    <w:div w:id="837695784">
      <w:bodyDiv w:val="1"/>
      <w:marLeft w:val="0"/>
      <w:marRight w:val="0"/>
      <w:marTop w:val="0"/>
      <w:marBottom w:val="0"/>
      <w:divBdr>
        <w:top w:val="none" w:sz="0" w:space="0" w:color="auto"/>
        <w:left w:val="none" w:sz="0" w:space="0" w:color="auto"/>
        <w:bottom w:val="none" w:sz="0" w:space="0" w:color="auto"/>
        <w:right w:val="none" w:sz="0" w:space="0" w:color="auto"/>
      </w:divBdr>
      <w:divsChild>
        <w:div w:id="1093666060">
          <w:marLeft w:val="547"/>
          <w:marRight w:val="0"/>
          <w:marTop w:val="0"/>
          <w:marBottom w:val="0"/>
          <w:divBdr>
            <w:top w:val="none" w:sz="0" w:space="0" w:color="auto"/>
            <w:left w:val="none" w:sz="0" w:space="0" w:color="auto"/>
            <w:bottom w:val="none" w:sz="0" w:space="0" w:color="auto"/>
            <w:right w:val="none" w:sz="0" w:space="0" w:color="auto"/>
          </w:divBdr>
        </w:div>
        <w:div w:id="2112313129">
          <w:marLeft w:val="547"/>
          <w:marRight w:val="0"/>
          <w:marTop w:val="0"/>
          <w:marBottom w:val="0"/>
          <w:divBdr>
            <w:top w:val="none" w:sz="0" w:space="0" w:color="auto"/>
            <w:left w:val="none" w:sz="0" w:space="0" w:color="auto"/>
            <w:bottom w:val="none" w:sz="0" w:space="0" w:color="auto"/>
            <w:right w:val="none" w:sz="0" w:space="0" w:color="auto"/>
          </w:divBdr>
        </w:div>
      </w:divsChild>
    </w:div>
    <w:div w:id="841093700">
      <w:bodyDiv w:val="1"/>
      <w:marLeft w:val="0"/>
      <w:marRight w:val="0"/>
      <w:marTop w:val="0"/>
      <w:marBottom w:val="0"/>
      <w:divBdr>
        <w:top w:val="none" w:sz="0" w:space="0" w:color="auto"/>
        <w:left w:val="none" w:sz="0" w:space="0" w:color="auto"/>
        <w:bottom w:val="none" w:sz="0" w:space="0" w:color="auto"/>
        <w:right w:val="none" w:sz="0" w:space="0" w:color="auto"/>
      </w:divBdr>
    </w:div>
    <w:div w:id="858469940">
      <w:bodyDiv w:val="1"/>
      <w:marLeft w:val="0"/>
      <w:marRight w:val="0"/>
      <w:marTop w:val="0"/>
      <w:marBottom w:val="0"/>
      <w:divBdr>
        <w:top w:val="none" w:sz="0" w:space="0" w:color="auto"/>
        <w:left w:val="none" w:sz="0" w:space="0" w:color="auto"/>
        <w:bottom w:val="none" w:sz="0" w:space="0" w:color="auto"/>
        <w:right w:val="none" w:sz="0" w:space="0" w:color="auto"/>
      </w:divBdr>
    </w:div>
    <w:div w:id="867059116">
      <w:bodyDiv w:val="1"/>
      <w:marLeft w:val="0"/>
      <w:marRight w:val="0"/>
      <w:marTop w:val="0"/>
      <w:marBottom w:val="0"/>
      <w:divBdr>
        <w:top w:val="none" w:sz="0" w:space="0" w:color="auto"/>
        <w:left w:val="none" w:sz="0" w:space="0" w:color="auto"/>
        <w:bottom w:val="none" w:sz="0" w:space="0" w:color="auto"/>
        <w:right w:val="none" w:sz="0" w:space="0" w:color="auto"/>
      </w:divBdr>
    </w:div>
    <w:div w:id="893466306">
      <w:bodyDiv w:val="1"/>
      <w:marLeft w:val="0"/>
      <w:marRight w:val="0"/>
      <w:marTop w:val="0"/>
      <w:marBottom w:val="0"/>
      <w:divBdr>
        <w:top w:val="none" w:sz="0" w:space="0" w:color="auto"/>
        <w:left w:val="none" w:sz="0" w:space="0" w:color="auto"/>
        <w:bottom w:val="none" w:sz="0" w:space="0" w:color="auto"/>
        <w:right w:val="none" w:sz="0" w:space="0" w:color="auto"/>
      </w:divBdr>
      <w:divsChild>
        <w:div w:id="130442498">
          <w:marLeft w:val="1166"/>
          <w:marRight w:val="0"/>
          <w:marTop w:val="0"/>
          <w:marBottom w:val="0"/>
          <w:divBdr>
            <w:top w:val="none" w:sz="0" w:space="0" w:color="auto"/>
            <w:left w:val="none" w:sz="0" w:space="0" w:color="auto"/>
            <w:bottom w:val="none" w:sz="0" w:space="0" w:color="auto"/>
            <w:right w:val="none" w:sz="0" w:space="0" w:color="auto"/>
          </w:divBdr>
        </w:div>
        <w:div w:id="344945315">
          <w:marLeft w:val="446"/>
          <w:marRight w:val="0"/>
          <w:marTop w:val="0"/>
          <w:marBottom w:val="0"/>
          <w:divBdr>
            <w:top w:val="none" w:sz="0" w:space="0" w:color="auto"/>
            <w:left w:val="none" w:sz="0" w:space="0" w:color="auto"/>
            <w:bottom w:val="none" w:sz="0" w:space="0" w:color="auto"/>
            <w:right w:val="none" w:sz="0" w:space="0" w:color="auto"/>
          </w:divBdr>
        </w:div>
        <w:div w:id="992292987">
          <w:marLeft w:val="446"/>
          <w:marRight w:val="0"/>
          <w:marTop w:val="0"/>
          <w:marBottom w:val="0"/>
          <w:divBdr>
            <w:top w:val="none" w:sz="0" w:space="0" w:color="auto"/>
            <w:left w:val="none" w:sz="0" w:space="0" w:color="auto"/>
            <w:bottom w:val="none" w:sz="0" w:space="0" w:color="auto"/>
            <w:right w:val="none" w:sz="0" w:space="0" w:color="auto"/>
          </w:divBdr>
        </w:div>
        <w:div w:id="1176574207">
          <w:marLeft w:val="1166"/>
          <w:marRight w:val="0"/>
          <w:marTop w:val="0"/>
          <w:marBottom w:val="0"/>
          <w:divBdr>
            <w:top w:val="none" w:sz="0" w:space="0" w:color="auto"/>
            <w:left w:val="none" w:sz="0" w:space="0" w:color="auto"/>
            <w:bottom w:val="none" w:sz="0" w:space="0" w:color="auto"/>
            <w:right w:val="none" w:sz="0" w:space="0" w:color="auto"/>
          </w:divBdr>
        </w:div>
        <w:div w:id="1475676224">
          <w:marLeft w:val="1166"/>
          <w:marRight w:val="0"/>
          <w:marTop w:val="0"/>
          <w:marBottom w:val="0"/>
          <w:divBdr>
            <w:top w:val="none" w:sz="0" w:space="0" w:color="auto"/>
            <w:left w:val="none" w:sz="0" w:space="0" w:color="auto"/>
            <w:bottom w:val="none" w:sz="0" w:space="0" w:color="auto"/>
            <w:right w:val="none" w:sz="0" w:space="0" w:color="auto"/>
          </w:divBdr>
        </w:div>
        <w:div w:id="1529487116">
          <w:marLeft w:val="1166"/>
          <w:marRight w:val="0"/>
          <w:marTop w:val="0"/>
          <w:marBottom w:val="0"/>
          <w:divBdr>
            <w:top w:val="none" w:sz="0" w:space="0" w:color="auto"/>
            <w:left w:val="none" w:sz="0" w:space="0" w:color="auto"/>
            <w:bottom w:val="none" w:sz="0" w:space="0" w:color="auto"/>
            <w:right w:val="none" w:sz="0" w:space="0" w:color="auto"/>
          </w:divBdr>
        </w:div>
        <w:div w:id="2012102183">
          <w:marLeft w:val="1166"/>
          <w:marRight w:val="0"/>
          <w:marTop w:val="0"/>
          <w:marBottom w:val="0"/>
          <w:divBdr>
            <w:top w:val="none" w:sz="0" w:space="0" w:color="auto"/>
            <w:left w:val="none" w:sz="0" w:space="0" w:color="auto"/>
            <w:bottom w:val="none" w:sz="0" w:space="0" w:color="auto"/>
            <w:right w:val="none" w:sz="0" w:space="0" w:color="auto"/>
          </w:divBdr>
        </w:div>
        <w:div w:id="2089837986">
          <w:marLeft w:val="1166"/>
          <w:marRight w:val="0"/>
          <w:marTop w:val="0"/>
          <w:marBottom w:val="0"/>
          <w:divBdr>
            <w:top w:val="none" w:sz="0" w:space="0" w:color="auto"/>
            <w:left w:val="none" w:sz="0" w:space="0" w:color="auto"/>
            <w:bottom w:val="none" w:sz="0" w:space="0" w:color="auto"/>
            <w:right w:val="none" w:sz="0" w:space="0" w:color="auto"/>
          </w:divBdr>
        </w:div>
      </w:divsChild>
    </w:div>
    <w:div w:id="893807859">
      <w:bodyDiv w:val="1"/>
      <w:marLeft w:val="0"/>
      <w:marRight w:val="0"/>
      <w:marTop w:val="0"/>
      <w:marBottom w:val="0"/>
      <w:divBdr>
        <w:top w:val="none" w:sz="0" w:space="0" w:color="auto"/>
        <w:left w:val="none" w:sz="0" w:space="0" w:color="auto"/>
        <w:bottom w:val="none" w:sz="0" w:space="0" w:color="auto"/>
        <w:right w:val="none" w:sz="0" w:space="0" w:color="auto"/>
      </w:divBdr>
    </w:div>
    <w:div w:id="897089021">
      <w:bodyDiv w:val="1"/>
      <w:marLeft w:val="0"/>
      <w:marRight w:val="0"/>
      <w:marTop w:val="0"/>
      <w:marBottom w:val="0"/>
      <w:divBdr>
        <w:top w:val="none" w:sz="0" w:space="0" w:color="auto"/>
        <w:left w:val="none" w:sz="0" w:space="0" w:color="auto"/>
        <w:bottom w:val="none" w:sz="0" w:space="0" w:color="auto"/>
        <w:right w:val="none" w:sz="0" w:space="0" w:color="auto"/>
      </w:divBdr>
      <w:divsChild>
        <w:div w:id="97677301">
          <w:marLeft w:val="446"/>
          <w:marRight w:val="0"/>
          <w:marTop w:val="0"/>
          <w:marBottom w:val="0"/>
          <w:divBdr>
            <w:top w:val="none" w:sz="0" w:space="0" w:color="auto"/>
            <w:left w:val="none" w:sz="0" w:space="0" w:color="auto"/>
            <w:bottom w:val="none" w:sz="0" w:space="0" w:color="auto"/>
            <w:right w:val="none" w:sz="0" w:space="0" w:color="auto"/>
          </w:divBdr>
        </w:div>
        <w:div w:id="1862932616">
          <w:marLeft w:val="446"/>
          <w:marRight w:val="0"/>
          <w:marTop w:val="0"/>
          <w:marBottom w:val="0"/>
          <w:divBdr>
            <w:top w:val="none" w:sz="0" w:space="0" w:color="auto"/>
            <w:left w:val="none" w:sz="0" w:space="0" w:color="auto"/>
            <w:bottom w:val="none" w:sz="0" w:space="0" w:color="auto"/>
            <w:right w:val="none" w:sz="0" w:space="0" w:color="auto"/>
          </w:divBdr>
        </w:div>
        <w:div w:id="2051831624">
          <w:marLeft w:val="446"/>
          <w:marRight w:val="0"/>
          <w:marTop w:val="0"/>
          <w:marBottom w:val="0"/>
          <w:divBdr>
            <w:top w:val="none" w:sz="0" w:space="0" w:color="auto"/>
            <w:left w:val="none" w:sz="0" w:space="0" w:color="auto"/>
            <w:bottom w:val="none" w:sz="0" w:space="0" w:color="auto"/>
            <w:right w:val="none" w:sz="0" w:space="0" w:color="auto"/>
          </w:divBdr>
        </w:div>
      </w:divsChild>
    </w:div>
    <w:div w:id="899635704">
      <w:bodyDiv w:val="1"/>
      <w:marLeft w:val="0"/>
      <w:marRight w:val="0"/>
      <w:marTop w:val="0"/>
      <w:marBottom w:val="0"/>
      <w:divBdr>
        <w:top w:val="none" w:sz="0" w:space="0" w:color="auto"/>
        <w:left w:val="none" w:sz="0" w:space="0" w:color="auto"/>
        <w:bottom w:val="none" w:sz="0" w:space="0" w:color="auto"/>
        <w:right w:val="none" w:sz="0" w:space="0" w:color="auto"/>
      </w:divBdr>
    </w:div>
    <w:div w:id="918251994">
      <w:bodyDiv w:val="1"/>
      <w:marLeft w:val="0"/>
      <w:marRight w:val="0"/>
      <w:marTop w:val="0"/>
      <w:marBottom w:val="0"/>
      <w:divBdr>
        <w:top w:val="none" w:sz="0" w:space="0" w:color="auto"/>
        <w:left w:val="none" w:sz="0" w:space="0" w:color="auto"/>
        <w:bottom w:val="none" w:sz="0" w:space="0" w:color="auto"/>
        <w:right w:val="none" w:sz="0" w:space="0" w:color="auto"/>
      </w:divBdr>
    </w:div>
    <w:div w:id="920412560">
      <w:bodyDiv w:val="1"/>
      <w:marLeft w:val="0"/>
      <w:marRight w:val="0"/>
      <w:marTop w:val="0"/>
      <w:marBottom w:val="0"/>
      <w:divBdr>
        <w:top w:val="none" w:sz="0" w:space="0" w:color="auto"/>
        <w:left w:val="none" w:sz="0" w:space="0" w:color="auto"/>
        <w:bottom w:val="none" w:sz="0" w:space="0" w:color="auto"/>
        <w:right w:val="none" w:sz="0" w:space="0" w:color="auto"/>
      </w:divBdr>
    </w:div>
    <w:div w:id="941494357">
      <w:bodyDiv w:val="1"/>
      <w:marLeft w:val="0"/>
      <w:marRight w:val="0"/>
      <w:marTop w:val="0"/>
      <w:marBottom w:val="0"/>
      <w:divBdr>
        <w:top w:val="none" w:sz="0" w:space="0" w:color="auto"/>
        <w:left w:val="none" w:sz="0" w:space="0" w:color="auto"/>
        <w:bottom w:val="none" w:sz="0" w:space="0" w:color="auto"/>
        <w:right w:val="none" w:sz="0" w:space="0" w:color="auto"/>
      </w:divBdr>
      <w:divsChild>
        <w:div w:id="45489731">
          <w:marLeft w:val="0"/>
          <w:marRight w:val="0"/>
          <w:marTop w:val="0"/>
          <w:marBottom w:val="0"/>
          <w:divBdr>
            <w:top w:val="none" w:sz="0" w:space="0" w:color="auto"/>
            <w:left w:val="none" w:sz="0" w:space="0" w:color="auto"/>
            <w:bottom w:val="none" w:sz="0" w:space="0" w:color="auto"/>
            <w:right w:val="none" w:sz="0" w:space="0" w:color="auto"/>
          </w:divBdr>
        </w:div>
        <w:div w:id="217473970">
          <w:marLeft w:val="0"/>
          <w:marRight w:val="0"/>
          <w:marTop w:val="0"/>
          <w:marBottom w:val="0"/>
          <w:divBdr>
            <w:top w:val="none" w:sz="0" w:space="0" w:color="auto"/>
            <w:left w:val="none" w:sz="0" w:space="0" w:color="auto"/>
            <w:bottom w:val="none" w:sz="0" w:space="0" w:color="auto"/>
            <w:right w:val="none" w:sz="0" w:space="0" w:color="auto"/>
          </w:divBdr>
        </w:div>
        <w:div w:id="307369164">
          <w:marLeft w:val="0"/>
          <w:marRight w:val="0"/>
          <w:marTop w:val="0"/>
          <w:marBottom w:val="0"/>
          <w:divBdr>
            <w:top w:val="none" w:sz="0" w:space="0" w:color="auto"/>
            <w:left w:val="none" w:sz="0" w:space="0" w:color="auto"/>
            <w:bottom w:val="none" w:sz="0" w:space="0" w:color="auto"/>
            <w:right w:val="none" w:sz="0" w:space="0" w:color="auto"/>
          </w:divBdr>
        </w:div>
        <w:div w:id="524826191">
          <w:marLeft w:val="0"/>
          <w:marRight w:val="0"/>
          <w:marTop w:val="0"/>
          <w:marBottom w:val="0"/>
          <w:divBdr>
            <w:top w:val="none" w:sz="0" w:space="0" w:color="auto"/>
            <w:left w:val="none" w:sz="0" w:space="0" w:color="auto"/>
            <w:bottom w:val="none" w:sz="0" w:space="0" w:color="auto"/>
            <w:right w:val="none" w:sz="0" w:space="0" w:color="auto"/>
          </w:divBdr>
        </w:div>
        <w:div w:id="863907793">
          <w:marLeft w:val="0"/>
          <w:marRight w:val="0"/>
          <w:marTop w:val="0"/>
          <w:marBottom w:val="0"/>
          <w:divBdr>
            <w:top w:val="none" w:sz="0" w:space="0" w:color="auto"/>
            <w:left w:val="none" w:sz="0" w:space="0" w:color="auto"/>
            <w:bottom w:val="none" w:sz="0" w:space="0" w:color="auto"/>
            <w:right w:val="none" w:sz="0" w:space="0" w:color="auto"/>
          </w:divBdr>
        </w:div>
        <w:div w:id="1700469536">
          <w:marLeft w:val="0"/>
          <w:marRight w:val="0"/>
          <w:marTop w:val="0"/>
          <w:marBottom w:val="0"/>
          <w:divBdr>
            <w:top w:val="none" w:sz="0" w:space="0" w:color="auto"/>
            <w:left w:val="none" w:sz="0" w:space="0" w:color="auto"/>
            <w:bottom w:val="none" w:sz="0" w:space="0" w:color="auto"/>
            <w:right w:val="none" w:sz="0" w:space="0" w:color="auto"/>
          </w:divBdr>
        </w:div>
        <w:div w:id="2042122983">
          <w:marLeft w:val="0"/>
          <w:marRight w:val="0"/>
          <w:marTop w:val="0"/>
          <w:marBottom w:val="0"/>
          <w:divBdr>
            <w:top w:val="none" w:sz="0" w:space="0" w:color="auto"/>
            <w:left w:val="none" w:sz="0" w:space="0" w:color="auto"/>
            <w:bottom w:val="none" w:sz="0" w:space="0" w:color="auto"/>
            <w:right w:val="none" w:sz="0" w:space="0" w:color="auto"/>
          </w:divBdr>
        </w:div>
        <w:div w:id="2096903045">
          <w:marLeft w:val="0"/>
          <w:marRight w:val="0"/>
          <w:marTop w:val="0"/>
          <w:marBottom w:val="0"/>
          <w:divBdr>
            <w:top w:val="none" w:sz="0" w:space="0" w:color="auto"/>
            <w:left w:val="none" w:sz="0" w:space="0" w:color="auto"/>
            <w:bottom w:val="none" w:sz="0" w:space="0" w:color="auto"/>
            <w:right w:val="none" w:sz="0" w:space="0" w:color="auto"/>
          </w:divBdr>
        </w:div>
        <w:div w:id="2114550913">
          <w:marLeft w:val="0"/>
          <w:marRight w:val="0"/>
          <w:marTop w:val="0"/>
          <w:marBottom w:val="0"/>
          <w:divBdr>
            <w:top w:val="none" w:sz="0" w:space="0" w:color="auto"/>
            <w:left w:val="none" w:sz="0" w:space="0" w:color="auto"/>
            <w:bottom w:val="none" w:sz="0" w:space="0" w:color="auto"/>
            <w:right w:val="none" w:sz="0" w:space="0" w:color="auto"/>
          </w:divBdr>
        </w:div>
      </w:divsChild>
    </w:div>
    <w:div w:id="947807920">
      <w:bodyDiv w:val="1"/>
      <w:marLeft w:val="0"/>
      <w:marRight w:val="0"/>
      <w:marTop w:val="0"/>
      <w:marBottom w:val="0"/>
      <w:divBdr>
        <w:top w:val="none" w:sz="0" w:space="0" w:color="auto"/>
        <w:left w:val="none" w:sz="0" w:space="0" w:color="auto"/>
        <w:bottom w:val="none" w:sz="0" w:space="0" w:color="auto"/>
        <w:right w:val="none" w:sz="0" w:space="0" w:color="auto"/>
      </w:divBdr>
      <w:divsChild>
        <w:div w:id="399180978">
          <w:marLeft w:val="446"/>
          <w:marRight w:val="0"/>
          <w:marTop w:val="0"/>
          <w:marBottom w:val="0"/>
          <w:divBdr>
            <w:top w:val="none" w:sz="0" w:space="0" w:color="auto"/>
            <w:left w:val="none" w:sz="0" w:space="0" w:color="auto"/>
            <w:bottom w:val="none" w:sz="0" w:space="0" w:color="auto"/>
            <w:right w:val="none" w:sz="0" w:space="0" w:color="auto"/>
          </w:divBdr>
        </w:div>
        <w:div w:id="1704552391">
          <w:marLeft w:val="446"/>
          <w:marRight w:val="0"/>
          <w:marTop w:val="0"/>
          <w:marBottom w:val="0"/>
          <w:divBdr>
            <w:top w:val="none" w:sz="0" w:space="0" w:color="auto"/>
            <w:left w:val="none" w:sz="0" w:space="0" w:color="auto"/>
            <w:bottom w:val="none" w:sz="0" w:space="0" w:color="auto"/>
            <w:right w:val="none" w:sz="0" w:space="0" w:color="auto"/>
          </w:divBdr>
        </w:div>
        <w:div w:id="1724015751">
          <w:marLeft w:val="446"/>
          <w:marRight w:val="0"/>
          <w:marTop w:val="0"/>
          <w:marBottom w:val="0"/>
          <w:divBdr>
            <w:top w:val="none" w:sz="0" w:space="0" w:color="auto"/>
            <w:left w:val="none" w:sz="0" w:space="0" w:color="auto"/>
            <w:bottom w:val="none" w:sz="0" w:space="0" w:color="auto"/>
            <w:right w:val="none" w:sz="0" w:space="0" w:color="auto"/>
          </w:divBdr>
        </w:div>
      </w:divsChild>
    </w:div>
    <w:div w:id="979724723">
      <w:bodyDiv w:val="1"/>
      <w:marLeft w:val="0"/>
      <w:marRight w:val="0"/>
      <w:marTop w:val="0"/>
      <w:marBottom w:val="0"/>
      <w:divBdr>
        <w:top w:val="none" w:sz="0" w:space="0" w:color="auto"/>
        <w:left w:val="none" w:sz="0" w:space="0" w:color="auto"/>
        <w:bottom w:val="none" w:sz="0" w:space="0" w:color="auto"/>
        <w:right w:val="none" w:sz="0" w:space="0" w:color="auto"/>
      </w:divBdr>
    </w:div>
    <w:div w:id="994256915">
      <w:bodyDiv w:val="1"/>
      <w:marLeft w:val="0"/>
      <w:marRight w:val="0"/>
      <w:marTop w:val="0"/>
      <w:marBottom w:val="0"/>
      <w:divBdr>
        <w:top w:val="none" w:sz="0" w:space="0" w:color="auto"/>
        <w:left w:val="none" w:sz="0" w:space="0" w:color="auto"/>
        <w:bottom w:val="none" w:sz="0" w:space="0" w:color="auto"/>
        <w:right w:val="none" w:sz="0" w:space="0" w:color="auto"/>
      </w:divBdr>
      <w:divsChild>
        <w:div w:id="354114051">
          <w:marLeft w:val="446"/>
          <w:marRight w:val="0"/>
          <w:marTop w:val="0"/>
          <w:marBottom w:val="0"/>
          <w:divBdr>
            <w:top w:val="none" w:sz="0" w:space="0" w:color="auto"/>
            <w:left w:val="none" w:sz="0" w:space="0" w:color="auto"/>
            <w:bottom w:val="none" w:sz="0" w:space="0" w:color="auto"/>
            <w:right w:val="none" w:sz="0" w:space="0" w:color="auto"/>
          </w:divBdr>
        </w:div>
        <w:div w:id="396712633">
          <w:marLeft w:val="446"/>
          <w:marRight w:val="0"/>
          <w:marTop w:val="0"/>
          <w:marBottom w:val="0"/>
          <w:divBdr>
            <w:top w:val="none" w:sz="0" w:space="0" w:color="auto"/>
            <w:left w:val="none" w:sz="0" w:space="0" w:color="auto"/>
            <w:bottom w:val="none" w:sz="0" w:space="0" w:color="auto"/>
            <w:right w:val="none" w:sz="0" w:space="0" w:color="auto"/>
          </w:divBdr>
        </w:div>
        <w:div w:id="516309956">
          <w:marLeft w:val="446"/>
          <w:marRight w:val="0"/>
          <w:marTop w:val="0"/>
          <w:marBottom w:val="0"/>
          <w:divBdr>
            <w:top w:val="none" w:sz="0" w:space="0" w:color="auto"/>
            <w:left w:val="none" w:sz="0" w:space="0" w:color="auto"/>
            <w:bottom w:val="none" w:sz="0" w:space="0" w:color="auto"/>
            <w:right w:val="none" w:sz="0" w:space="0" w:color="auto"/>
          </w:divBdr>
        </w:div>
        <w:div w:id="1260912665">
          <w:marLeft w:val="446"/>
          <w:marRight w:val="0"/>
          <w:marTop w:val="0"/>
          <w:marBottom w:val="0"/>
          <w:divBdr>
            <w:top w:val="none" w:sz="0" w:space="0" w:color="auto"/>
            <w:left w:val="none" w:sz="0" w:space="0" w:color="auto"/>
            <w:bottom w:val="none" w:sz="0" w:space="0" w:color="auto"/>
            <w:right w:val="none" w:sz="0" w:space="0" w:color="auto"/>
          </w:divBdr>
        </w:div>
        <w:div w:id="1444110925">
          <w:marLeft w:val="446"/>
          <w:marRight w:val="0"/>
          <w:marTop w:val="0"/>
          <w:marBottom w:val="0"/>
          <w:divBdr>
            <w:top w:val="none" w:sz="0" w:space="0" w:color="auto"/>
            <w:left w:val="none" w:sz="0" w:space="0" w:color="auto"/>
            <w:bottom w:val="none" w:sz="0" w:space="0" w:color="auto"/>
            <w:right w:val="none" w:sz="0" w:space="0" w:color="auto"/>
          </w:divBdr>
        </w:div>
      </w:divsChild>
    </w:div>
    <w:div w:id="1043947549">
      <w:bodyDiv w:val="1"/>
      <w:marLeft w:val="0"/>
      <w:marRight w:val="0"/>
      <w:marTop w:val="0"/>
      <w:marBottom w:val="0"/>
      <w:divBdr>
        <w:top w:val="none" w:sz="0" w:space="0" w:color="auto"/>
        <w:left w:val="none" w:sz="0" w:space="0" w:color="auto"/>
        <w:bottom w:val="none" w:sz="0" w:space="0" w:color="auto"/>
        <w:right w:val="none" w:sz="0" w:space="0" w:color="auto"/>
      </w:divBdr>
    </w:div>
    <w:div w:id="1049188971">
      <w:bodyDiv w:val="1"/>
      <w:marLeft w:val="0"/>
      <w:marRight w:val="0"/>
      <w:marTop w:val="0"/>
      <w:marBottom w:val="0"/>
      <w:divBdr>
        <w:top w:val="none" w:sz="0" w:space="0" w:color="auto"/>
        <w:left w:val="none" w:sz="0" w:space="0" w:color="auto"/>
        <w:bottom w:val="none" w:sz="0" w:space="0" w:color="auto"/>
        <w:right w:val="none" w:sz="0" w:space="0" w:color="auto"/>
      </w:divBdr>
      <w:divsChild>
        <w:div w:id="1089886659">
          <w:marLeft w:val="446"/>
          <w:marRight w:val="0"/>
          <w:marTop w:val="0"/>
          <w:marBottom w:val="0"/>
          <w:divBdr>
            <w:top w:val="none" w:sz="0" w:space="0" w:color="auto"/>
            <w:left w:val="none" w:sz="0" w:space="0" w:color="auto"/>
            <w:bottom w:val="none" w:sz="0" w:space="0" w:color="auto"/>
            <w:right w:val="none" w:sz="0" w:space="0" w:color="auto"/>
          </w:divBdr>
        </w:div>
      </w:divsChild>
    </w:div>
    <w:div w:id="1050106430">
      <w:bodyDiv w:val="1"/>
      <w:marLeft w:val="0"/>
      <w:marRight w:val="0"/>
      <w:marTop w:val="0"/>
      <w:marBottom w:val="0"/>
      <w:divBdr>
        <w:top w:val="none" w:sz="0" w:space="0" w:color="auto"/>
        <w:left w:val="none" w:sz="0" w:space="0" w:color="auto"/>
        <w:bottom w:val="none" w:sz="0" w:space="0" w:color="auto"/>
        <w:right w:val="none" w:sz="0" w:space="0" w:color="auto"/>
      </w:divBdr>
      <w:divsChild>
        <w:div w:id="902956684">
          <w:marLeft w:val="446"/>
          <w:marRight w:val="0"/>
          <w:marTop w:val="160"/>
          <w:marBottom w:val="0"/>
          <w:divBdr>
            <w:top w:val="none" w:sz="0" w:space="0" w:color="auto"/>
            <w:left w:val="none" w:sz="0" w:space="0" w:color="auto"/>
            <w:bottom w:val="none" w:sz="0" w:space="0" w:color="auto"/>
            <w:right w:val="none" w:sz="0" w:space="0" w:color="auto"/>
          </w:divBdr>
        </w:div>
        <w:div w:id="1420440222">
          <w:marLeft w:val="446"/>
          <w:marRight w:val="0"/>
          <w:marTop w:val="160"/>
          <w:marBottom w:val="0"/>
          <w:divBdr>
            <w:top w:val="none" w:sz="0" w:space="0" w:color="auto"/>
            <w:left w:val="none" w:sz="0" w:space="0" w:color="auto"/>
            <w:bottom w:val="none" w:sz="0" w:space="0" w:color="auto"/>
            <w:right w:val="none" w:sz="0" w:space="0" w:color="auto"/>
          </w:divBdr>
        </w:div>
        <w:div w:id="1603881993">
          <w:marLeft w:val="446"/>
          <w:marRight w:val="0"/>
          <w:marTop w:val="160"/>
          <w:marBottom w:val="0"/>
          <w:divBdr>
            <w:top w:val="none" w:sz="0" w:space="0" w:color="auto"/>
            <w:left w:val="none" w:sz="0" w:space="0" w:color="auto"/>
            <w:bottom w:val="none" w:sz="0" w:space="0" w:color="auto"/>
            <w:right w:val="none" w:sz="0" w:space="0" w:color="auto"/>
          </w:divBdr>
        </w:div>
        <w:div w:id="1626472727">
          <w:marLeft w:val="446"/>
          <w:marRight w:val="0"/>
          <w:marTop w:val="0"/>
          <w:marBottom w:val="0"/>
          <w:divBdr>
            <w:top w:val="none" w:sz="0" w:space="0" w:color="auto"/>
            <w:left w:val="none" w:sz="0" w:space="0" w:color="auto"/>
            <w:bottom w:val="none" w:sz="0" w:space="0" w:color="auto"/>
            <w:right w:val="none" w:sz="0" w:space="0" w:color="auto"/>
          </w:divBdr>
        </w:div>
        <w:div w:id="1682582380">
          <w:marLeft w:val="446"/>
          <w:marRight w:val="0"/>
          <w:marTop w:val="160"/>
          <w:marBottom w:val="0"/>
          <w:divBdr>
            <w:top w:val="none" w:sz="0" w:space="0" w:color="auto"/>
            <w:left w:val="none" w:sz="0" w:space="0" w:color="auto"/>
            <w:bottom w:val="none" w:sz="0" w:space="0" w:color="auto"/>
            <w:right w:val="none" w:sz="0" w:space="0" w:color="auto"/>
          </w:divBdr>
        </w:div>
      </w:divsChild>
    </w:div>
    <w:div w:id="1053114324">
      <w:bodyDiv w:val="1"/>
      <w:marLeft w:val="0"/>
      <w:marRight w:val="0"/>
      <w:marTop w:val="0"/>
      <w:marBottom w:val="0"/>
      <w:divBdr>
        <w:top w:val="none" w:sz="0" w:space="0" w:color="auto"/>
        <w:left w:val="none" w:sz="0" w:space="0" w:color="auto"/>
        <w:bottom w:val="none" w:sz="0" w:space="0" w:color="auto"/>
        <w:right w:val="none" w:sz="0" w:space="0" w:color="auto"/>
      </w:divBdr>
    </w:div>
    <w:div w:id="1056467082">
      <w:bodyDiv w:val="1"/>
      <w:marLeft w:val="0"/>
      <w:marRight w:val="0"/>
      <w:marTop w:val="0"/>
      <w:marBottom w:val="0"/>
      <w:divBdr>
        <w:top w:val="none" w:sz="0" w:space="0" w:color="auto"/>
        <w:left w:val="none" w:sz="0" w:space="0" w:color="auto"/>
        <w:bottom w:val="none" w:sz="0" w:space="0" w:color="auto"/>
        <w:right w:val="none" w:sz="0" w:space="0" w:color="auto"/>
      </w:divBdr>
    </w:div>
    <w:div w:id="1063941175">
      <w:bodyDiv w:val="1"/>
      <w:marLeft w:val="0"/>
      <w:marRight w:val="0"/>
      <w:marTop w:val="0"/>
      <w:marBottom w:val="0"/>
      <w:divBdr>
        <w:top w:val="none" w:sz="0" w:space="0" w:color="auto"/>
        <w:left w:val="none" w:sz="0" w:space="0" w:color="auto"/>
        <w:bottom w:val="none" w:sz="0" w:space="0" w:color="auto"/>
        <w:right w:val="none" w:sz="0" w:space="0" w:color="auto"/>
      </w:divBdr>
    </w:div>
    <w:div w:id="1070033651">
      <w:bodyDiv w:val="1"/>
      <w:marLeft w:val="0"/>
      <w:marRight w:val="0"/>
      <w:marTop w:val="0"/>
      <w:marBottom w:val="0"/>
      <w:divBdr>
        <w:top w:val="none" w:sz="0" w:space="0" w:color="auto"/>
        <w:left w:val="none" w:sz="0" w:space="0" w:color="auto"/>
        <w:bottom w:val="none" w:sz="0" w:space="0" w:color="auto"/>
        <w:right w:val="none" w:sz="0" w:space="0" w:color="auto"/>
      </w:divBdr>
      <w:divsChild>
        <w:div w:id="605357394">
          <w:marLeft w:val="446"/>
          <w:marRight w:val="0"/>
          <w:marTop w:val="0"/>
          <w:marBottom w:val="0"/>
          <w:divBdr>
            <w:top w:val="none" w:sz="0" w:space="0" w:color="auto"/>
            <w:left w:val="none" w:sz="0" w:space="0" w:color="auto"/>
            <w:bottom w:val="none" w:sz="0" w:space="0" w:color="auto"/>
            <w:right w:val="none" w:sz="0" w:space="0" w:color="auto"/>
          </w:divBdr>
        </w:div>
        <w:div w:id="1372220435">
          <w:marLeft w:val="446"/>
          <w:marRight w:val="0"/>
          <w:marTop w:val="0"/>
          <w:marBottom w:val="0"/>
          <w:divBdr>
            <w:top w:val="none" w:sz="0" w:space="0" w:color="auto"/>
            <w:left w:val="none" w:sz="0" w:space="0" w:color="auto"/>
            <w:bottom w:val="none" w:sz="0" w:space="0" w:color="auto"/>
            <w:right w:val="none" w:sz="0" w:space="0" w:color="auto"/>
          </w:divBdr>
        </w:div>
      </w:divsChild>
    </w:div>
    <w:div w:id="1076052746">
      <w:bodyDiv w:val="1"/>
      <w:marLeft w:val="0"/>
      <w:marRight w:val="0"/>
      <w:marTop w:val="0"/>
      <w:marBottom w:val="0"/>
      <w:divBdr>
        <w:top w:val="none" w:sz="0" w:space="0" w:color="auto"/>
        <w:left w:val="none" w:sz="0" w:space="0" w:color="auto"/>
        <w:bottom w:val="none" w:sz="0" w:space="0" w:color="auto"/>
        <w:right w:val="none" w:sz="0" w:space="0" w:color="auto"/>
      </w:divBdr>
      <w:divsChild>
        <w:div w:id="1019047720">
          <w:marLeft w:val="0"/>
          <w:marRight w:val="0"/>
          <w:marTop w:val="0"/>
          <w:marBottom w:val="0"/>
          <w:divBdr>
            <w:top w:val="none" w:sz="0" w:space="0" w:color="auto"/>
            <w:left w:val="none" w:sz="0" w:space="0" w:color="auto"/>
            <w:bottom w:val="none" w:sz="0" w:space="0" w:color="auto"/>
            <w:right w:val="none" w:sz="0" w:space="0" w:color="auto"/>
          </w:divBdr>
          <w:divsChild>
            <w:div w:id="288360386">
              <w:marLeft w:val="0"/>
              <w:marRight w:val="0"/>
              <w:marTop w:val="0"/>
              <w:marBottom w:val="0"/>
              <w:divBdr>
                <w:top w:val="none" w:sz="0" w:space="0" w:color="auto"/>
                <w:left w:val="none" w:sz="0" w:space="0" w:color="auto"/>
                <w:bottom w:val="none" w:sz="0" w:space="0" w:color="auto"/>
                <w:right w:val="none" w:sz="0" w:space="0" w:color="auto"/>
              </w:divBdr>
            </w:div>
            <w:div w:id="353575517">
              <w:marLeft w:val="0"/>
              <w:marRight w:val="0"/>
              <w:marTop w:val="0"/>
              <w:marBottom w:val="0"/>
              <w:divBdr>
                <w:top w:val="none" w:sz="0" w:space="0" w:color="auto"/>
                <w:left w:val="none" w:sz="0" w:space="0" w:color="auto"/>
                <w:bottom w:val="none" w:sz="0" w:space="0" w:color="auto"/>
                <w:right w:val="none" w:sz="0" w:space="0" w:color="auto"/>
              </w:divBdr>
            </w:div>
            <w:div w:id="608515888">
              <w:marLeft w:val="0"/>
              <w:marRight w:val="0"/>
              <w:marTop w:val="0"/>
              <w:marBottom w:val="0"/>
              <w:divBdr>
                <w:top w:val="none" w:sz="0" w:space="0" w:color="auto"/>
                <w:left w:val="none" w:sz="0" w:space="0" w:color="auto"/>
                <w:bottom w:val="none" w:sz="0" w:space="0" w:color="auto"/>
                <w:right w:val="none" w:sz="0" w:space="0" w:color="auto"/>
              </w:divBdr>
            </w:div>
            <w:div w:id="885873160">
              <w:marLeft w:val="0"/>
              <w:marRight w:val="0"/>
              <w:marTop w:val="0"/>
              <w:marBottom w:val="0"/>
              <w:divBdr>
                <w:top w:val="none" w:sz="0" w:space="0" w:color="auto"/>
                <w:left w:val="none" w:sz="0" w:space="0" w:color="auto"/>
                <w:bottom w:val="none" w:sz="0" w:space="0" w:color="auto"/>
                <w:right w:val="none" w:sz="0" w:space="0" w:color="auto"/>
              </w:divBdr>
            </w:div>
            <w:div w:id="1665890585">
              <w:marLeft w:val="0"/>
              <w:marRight w:val="0"/>
              <w:marTop w:val="0"/>
              <w:marBottom w:val="0"/>
              <w:divBdr>
                <w:top w:val="none" w:sz="0" w:space="0" w:color="auto"/>
                <w:left w:val="none" w:sz="0" w:space="0" w:color="auto"/>
                <w:bottom w:val="none" w:sz="0" w:space="0" w:color="auto"/>
                <w:right w:val="none" w:sz="0" w:space="0" w:color="auto"/>
              </w:divBdr>
            </w:div>
          </w:divsChild>
        </w:div>
        <w:div w:id="1836070534">
          <w:marLeft w:val="0"/>
          <w:marRight w:val="0"/>
          <w:marTop w:val="0"/>
          <w:marBottom w:val="0"/>
          <w:divBdr>
            <w:top w:val="none" w:sz="0" w:space="0" w:color="auto"/>
            <w:left w:val="none" w:sz="0" w:space="0" w:color="auto"/>
            <w:bottom w:val="none" w:sz="0" w:space="0" w:color="auto"/>
            <w:right w:val="none" w:sz="0" w:space="0" w:color="auto"/>
          </w:divBdr>
        </w:div>
      </w:divsChild>
    </w:div>
    <w:div w:id="1100419124">
      <w:bodyDiv w:val="1"/>
      <w:marLeft w:val="0"/>
      <w:marRight w:val="0"/>
      <w:marTop w:val="0"/>
      <w:marBottom w:val="0"/>
      <w:divBdr>
        <w:top w:val="none" w:sz="0" w:space="0" w:color="auto"/>
        <w:left w:val="none" w:sz="0" w:space="0" w:color="auto"/>
        <w:bottom w:val="none" w:sz="0" w:space="0" w:color="auto"/>
        <w:right w:val="none" w:sz="0" w:space="0" w:color="auto"/>
      </w:divBdr>
    </w:div>
    <w:div w:id="1103695537">
      <w:bodyDiv w:val="1"/>
      <w:marLeft w:val="0"/>
      <w:marRight w:val="0"/>
      <w:marTop w:val="0"/>
      <w:marBottom w:val="0"/>
      <w:divBdr>
        <w:top w:val="none" w:sz="0" w:space="0" w:color="auto"/>
        <w:left w:val="none" w:sz="0" w:space="0" w:color="auto"/>
        <w:bottom w:val="none" w:sz="0" w:space="0" w:color="auto"/>
        <w:right w:val="none" w:sz="0" w:space="0" w:color="auto"/>
      </w:divBdr>
    </w:div>
    <w:div w:id="1107313234">
      <w:bodyDiv w:val="1"/>
      <w:marLeft w:val="0"/>
      <w:marRight w:val="0"/>
      <w:marTop w:val="0"/>
      <w:marBottom w:val="0"/>
      <w:divBdr>
        <w:top w:val="none" w:sz="0" w:space="0" w:color="auto"/>
        <w:left w:val="none" w:sz="0" w:space="0" w:color="auto"/>
        <w:bottom w:val="none" w:sz="0" w:space="0" w:color="auto"/>
        <w:right w:val="none" w:sz="0" w:space="0" w:color="auto"/>
      </w:divBdr>
      <w:divsChild>
        <w:div w:id="273758130">
          <w:marLeft w:val="0"/>
          <w:marRight w:val="0"/>
          <w:marTop w:val="0"/>
          <w:marBottom w:val="0"/>
          <w:divBdr>
            <w:top w:val="none" w:sz="0" w:space="0" w:color="auto"/>
            <w:left w:val="none" w:sz="0" w:space="0" w:color="auto"/>
            <w:bottom w:val="none" w:sz="0" w:space="0" w:color="auto"/>
            <w:right w:val="none" w:sz="0" w:space="0" w:color="auto"/>
          </w:divBdr>
        </w:div>
        <w:div w:id="392001365">
          <w:marLeft w:val="0"/>
          <w:marRight w:val="0"/>
          <w:marTop w:val="0"/>
          <w:marBottom w:val="0"/>
          <w:divBdr>
            <w:top w:val="none" w:sz="0" w:space="0" w:color="auto"/>
            <w:left w:val="none" w:sz="0" w:space="0" w:color="auto"/>
            <w:bottom w:val="none" w:sz="0" w:space="0" w:color="auto"/>
            <w:right w:val="none" w:sz="0" w:space="0" w:color="auto"/>
          </w:divBdr>
        </w:div>
        <w:div w:id="613828339">
          <w:marLeft w:val="0"/>
          <w:marRight w:val="0"/>
          <w:marTop w:val="0"/>
          <w:marBottom w:val="0"/>
          <w:divBdr>
            <w:top w:val="none" w:sz="0" w:space="0" w:color="auto"/>
            <w:left w:val="none" w:sz="0" w:space="0" w:color="auto"/>
            <w:bottom w:val="none" w:sz="0" w:space="0" w:color="auto"/>
            <w:right w:val="none" w:sz="0" w:space="0" w:color="auto"/>
          </w:divBdr>
        </w:div>
        <w:div w:id="800686028">
          <w:marLeft w:val="0"/>
          <w:marRight w:val="0"/>
          <w:marTop w:val="0"/>
          <w:marBottom w:val="0"/>
          <w:divBdr>
            <w:top w:val="none" w:sz="0" w:space="0" w:color="auto"/>
            <w:left w:val="none" w:sz="0" w:space="0" w:color="auto"/>
            <w:bottom w:val="none" w:sz="0" w:space="0" w:color="auto"/>
            <w:right w:val="none" w:sz="0" w:space="0" w:color="auto"/>
          </w:divBdr>
        </w:div>
        <w:div w:id="1035159312">
          <w:marLeft w:val="0"/>
          <w:marRight w:val="0"/>
          <w:marTop w:val="0"/>
          <w:marBottom w:val="0"/>
          <w:divBdr>
            <w:top w:val="none" w:sz="0" w:space="0" w:color="auto"/>
            <w:left w:val="none" w:sz="0" w:space="0" w:color="auto"/>
            <w:bottom w:val="none" w:sz="0" w:space="0" w:color="auto"/>
            <w:right w:val="none" w:sz="0" w:space="0" w:color="auto"/>
          </w:divBdr>
        </w:div>
        <w:div w:id="1117137467">
          <w:marLeft w:val="0"/>
          <w:marRight w:val="0"/>
          <w:marTop w:val="0"/>
          <w:marBottom w:val="0"/>
          <w:divBdr>
            <w:top w:val="none" w:sz="0" w:space="0" w:color="auto"/>
            <w:left w:val="none" w:sz="0" w:space="0" w:color="auto"/>
            <w:bottom w:val="none" w:sz="0" w:space="0" w:color="auto"/>
            <w:right w:val="none" w:sz="0" w:space="0" w:color="auto"/>
          </w:divBdr>
        </w:div>
        <w:div w:id="1150638789">
          <w:marLeft w:val="0"/>
          <w:marRight w:val="0"/>
          <w:marTop w:val="0"/>
          <w:marBottom w:val="0"/>
          <w:divBdr>
            <w:top w:val="none" w:sz="0" w:space="0" w:color="auto"/>
            <w:left w:val="none" w:sz="0" w:space="0" w:color="auto"/>
            <w:bottom w:val="none" w:sz="0" w:space="0" w:color="auto"/>
            <w:right w:val="none" w:sz="0" w:space="0" w:color="auto"/>
          </w:divBdr>
        </w:div>
        <w:div w:id="1341003271">
          <w:marLeft w:val="0"/>
          <w:marRight w:val="0"/>
          <w:marTop w:val="0"/>
          <w:marBottom w:val="0"/>
          <w:divBdr>
            <w:top w:val="none" w:sz="0" w:space="0" w:color="auto"/>
            <w:left w:val="none" w:sz="0" w:space="0" w:color="auto"/>
            <w:bottom w:val="none" w:sz="0" w:space="0" w:color="auto"/>
            <w:right w:val="none" w:sz="0" w:space="0" w:color="auto"/>
          </w:divBdr>
        </w:div>
        <w:div w:id="1536651794">
          <w:marLeft w:val="0"/>
          <w:marRight w:val="0"/>
          <w:marTop w:val="0"/>
          <w:marBottom w:val="0"/>
          <w:divBdr>
            <w:top w:val="none" w:sz="0" w:space="0" w:color="auto"/>
            <w:left w:val="none" w:sz="0" w:space="0" w:color="auto"/>
            <w:bottom w:val="none" w:sz="0" w:space="0" w:color="auto"/>
            <w:right w:val="none" w:sz="0" w:space="0" w:color="auto"/>
          </w:divBdr>
        </w:div>
      </w:divsChild>
    </w:div>
    <w:div w:id="1109007889">
      <w:bodyDiv w:val="1"/>
      <w:marLeft w:val="0"/>
      <w:marRight w:val="0"/>
      <w:marTop w:val="0"/>
      <w:marBottom w:val="0"/>
      <w:divBdr>
        <w:top w:val="none" w:sz="0" w:space="0" w:color="auto"/>
        <w:left w:val="none" w:sz="0" w:space="0" w:color="auto"/>
        <w:bottom w:val="none" w:sz="0" w:space="0" w:color="auto"/>
        <w:right w:val="none" w:sz="0" w:space="0" w:color="auto"/>
      </w:divBdr>
      <w:divsChild>
        <w:div w:id="1081292807">
          <w:marLeft w:val="0"/>
          <w:marRight w:val="0"/>
          <w:marTop w:val="0"/>
          <w:marBottom w:val="0"/>
          <w:divBdr>
            <w:top w:val="none" w:sz="0" w:space="0" w:color="auto"/>
            <w:left w:val="none" w:sz="0" w:space="0" w:color="auto"/>
            <w:bottom w:val="none" w:sz="0" w:space="0" w:color="auto"/>
            <w:right w:val="none" w:sz="0" w:space="0" w:color="auto"/>
          </w:divBdr>
        </w:div>
        <w:div w:id="1833566883">
          <w:marLeft w:val="0"/>
          <w:marRight w:val="0"/>
          <w:marTop w:val="0"/>
          <w:marBottom w:val="0"/>
          <w:divBdr>
            <w:top w:val="none" w:sz="0" w:space="0" w:color="auto"/>
            <w:left w:val="none" w:sz="0" w:space="0" w:color="auto"/>
            <w:bottom w:val="none" w:sz="0" w:space="0" w:color="auto"/>
            <w:right w:val="none" w:sz="0" w:space="0" w:color="auto"/>
          </w:divBdr>
        </w:div>
      </w:divsChild>
    </w:div>
    <w:div w:id="1124928061">
      <w:bodyDiv w:val="1"/>
      <w:marLeft w:val="0"/>
      <w:marRight w:val="0"/>
      <w:marTop w:val="0"/>
      <w:marBottom w:val="0"/>
      <w:divBdr>
        <w:top w:val="none" w:sz="0" w:space="0" w:color="auto"/>
        <w:left w:val="none" w:sz="0" w:space="0" w:color="auto"/>
        <w:bottom w:val="none" w:sz="0" w:space="0" w:color="auto"/>
        <w:right w:val="none" w:sz="0" w:space="0" w:color="auto"/>
      </w:divBdr>
    </w:div>
    <w:div w:id="1142503704">
      <w:bodyDiv w:val="1"/>
      <w:marLeft w:val="0"/>
      <w:marRight w:val="0"/>
      <w:marTop w:val="0"/>
      <w:marBottom w:val="0"/>
      <w:divBdr>
        <w:top w:val="none" w:sz="0" w:space="0" w:color="auto"/>
        <w:left w:val="none" w:sz="0" w:space="0" w:color="auto"/>
        <w:bottom w:val="none" w:sz="0" w:space="0" w:color="auto"/>
        <w:right w:val="none" w:sz="0" w:space="0" w:color="auto"/>
      </w:divBdr>
    </w:div>
    <w:div w:id="1170145342">
      <w:bodyDiv w:val="1"/>
      <w:marLeft w:val="0"/>
      <w:marRight w:val="0"/>
      <w:marTop w:val="0"/>
      <w:marBottom w:val="0"/>
      <w:divBdr>
        <w:top w:val="none" w:sz="0" w:space="0" w:color="auto"/>
        <w:left w:val="none" w:sz="0" w:space="0" w:color="auto"/>
        <w:bottom w:val="none" w:sz="0" w:space="0" w:color="auto"/>
        <w:right w:val="none" w:sz="0" w:space="0" w:color="auto"/>
      </w:divBdr>
    </w:div>
    <w:div w:id="1177303340">
      <w:bodyDiv w:val="1"/>
      <w:marLeft w:val="0"/>
      <w:marRight w:val="0"/>
      <w:marTop w:val="0"/>
      <w:marBottom w:val="0"/>
      <w:divBdr>
        <w:top w:val="none" w:sz="0" w:space="0" w:color="auto"/>
        <w:left w:val="none" w:sz="0" w:space="0" w:color="auto"/>
        <w:bottom w:val="none" w:sz="0" w:space="0" w:color="auto"/>
        <w:right w:val="none" w:sz="0" w:space="0" w:color="auto"/>
      </w:divBdr>
    </w:div>
    <w:div w:id="1188719006">
      <w:bodyDiv w:val="1"/>
      <w:marLeft w:val="0"/>
      <w:marRight w:val="0"/>
      <w:marTop w:val="0"/>
      <w:marBottom w:val="0"/>
      <w:divBdr>
        <w:top w:val="none" w:sz="0" w:space="0" w:color="auto"/>
        <w:left w:val="none" w:sz="0" w:space="0" w:color="auto"/>
        <w:bottom w:val="none" w:sz="0" w:space="0" w:color="auto"/>
        <w:right w:val="none" w:sz="0" w:space="0" w:color="auto"/>
      </w:divBdr>
    </w:div>
    <w:div w:id="1207912115">
      <w:bodyDiv w:val="1"/>
      <w:marLeft w:val="0"/>
      <w:marRight w:val="0"/>
      <w:marTop w:val="0"/>
      <w:marBottom w:val="0"/>
      <w:divBdr>
        <w:top w:val="none" w:sz="0" w:space="0" w:color="auto"/>
        <w:left w:val="none" w:sz="0" w:space="0" w:color="auto"/>
        <w:bottom w:val="none" w:sz="0" w:space="0" w:color="auto"/>
        <w:right w:val="none" w:sz="0" w:space="0" w:color="auto"/>
      </w:divBdr>
    </w:div>
    <w:div w:id="1222473858">
      <w:bodyDiv w:val="1"/>
      <w:marLeft w:val="0"/>
      <w:marRight w:val="0"/>
      <w:marTop w:val="0"/>
      <w:marBottom w:val="0"/>
      <w:divBdr>
        <w:top w:val="none" w:sz="0" w:space="0" w:color="auto"/>
        <w:left w:val="none" w:sz="0" w:space="0" w:color="auto"/>
        <w:bottom w:val="none" w:sz="0" w:space="0" w:color="auto"/>
        <w:right w:val="none" w:sz="0" w:space="0" w:color="auto"/>
      </w:divBdr>
    </w:div>
    <w:div w:id="1227645322">
      <w:bodyDiv w:val="1"/>
      <w:marLeft w:val="0"/>
      <w:marRight w:val="0"/>
      <w:marTop w:val="0"/>
      <w:marBottom w:val="0"/>
      <w:divBdr>
        <w:top w:val="none" w:sz="0" w:space="0" w:color="auto"/>
        <w:left w:val="none" w:sz="0" w:space="0" w:color="auto"/>
        <w:bottom w:val="none" w:sz="0" w:space="0" w:color="auto"/>
        <w:right w:val="none" w:sz="0" w:space="0" w:color="auto"/>
      </w:divBdr>
    </w:div>
    <w:div w:id="1247111581">
      <w:bodyDiv w:val="1"/>
      <w:marLeft w:val="0"/>
      <w:marRight w:val="0"/>
      <w:marTop w:val="0"/>
      <w:marBottom w:val="0"/>
      <w:divBdr>
        <w:top w:val="none" w:sz="0" w:space="0" w:color="auto"/>
        <w:left w:val="none" w:sz="0" w:space="0" w:color="auto"/>
        <w:bottom w:val="none" w:sz="0" w:space="0" w:color="auto"/>
        <w:right w:val="none" w:sz="0" w:space="0" w:color="auto"/>
      </w:divBdr>
    </w:div>
    <w:div w:id="1249995424">
      <w:bodyDiv w:val="1"/>
      <w:marLeft w:val="0"/>
      <w:marRight w:val="0"/>
      <w:marTop w:val="0"/>
      <w:marBottom w:val="0"/>
      <w:divBdr>
        <w:top w:val="none" w:sz="0" w:space="0" w:color="auto"/>
        <w:left w:val="none" w:sz="0" w:space="0" w:color="auto"/>
        <w:bottom w:val="none" w:sz="0" w:space="0" w:color="auto"/>
        <w:right w:val="none" w:sz="0" w:space="0" w:color="auto"/>
      </w:divBdr>
    </w:div>
    <w:div w:id="1267886000">
      <w:bodyDiv w:val="1"/>
      <w:marLeft w:val="0"/>
      <w:marRight w:val="0"/>
      <w:marTop w:val="0"/>
      <w:marBottom w:val="0"/>
      <w:divBdr>
        <w:top w:val="none" w:sz="0" w:space="0" w:color="auto"/>
        <w:left w:val="none" w:sz="0" w:space="0" w:color="auto"/>
        <w:bottom w:val="none" w:sz="0" w:space="0" w:color="auto"/>
        <w:right w:val="none" w:sz="0" w:space="0" w:color="auto"/>
      </w:divBdr>
      <w:divsChild>
        <w:div w:id="236136888">
          <w:marLeft w:val="0"/>
          <w:marRight w:val="0"/>
          <w:marTop w:val="0"/>
          <w:marBottom w:val="0"/>
          <w:divBdr>
            <w:top w:val="none" w:sz="0" w:space="0" w:color="auto"/>
            <w:left w:val="none" w:sz="0" w:space="0" w:color="auto"/>
            <w:bottom w:val="none" w:sz="0" w:space="0" w:color="auto"/>
            <w:right w:val="none" w:sz="0" w:space="0" w:color="auto"/>
          </w:divBdr>
        </w:div>
        <w:div w:id="364403469">
          <w:marLeft w:val="0"/>
          <w:marRight w:val="0"/>
          <w:marTop w:val="0"/>
          <w:marBottom w:val="0"/>
          <w:divBdr>
            <w:top w:val="none" w:sz="0" w:space="0" w:color="auto"/>
            <w:left w:val="none" w:sz="0" w:space="0" w:color="auto"/>
            <w:bottom w:val="none" w:sz="0" w:space="0" w:color="auto"/>
            <w:right w:val="none" w:sz="0" w:space="0" w:color="auto"/>
          </w:divBdr>
        </w:div>
        <w:div w:id="432094172">
          <w:marLeft w:val="0"/>
          <w:marRight w:val="0"/>
          <w:marTop w:val="0"/>
          <w:marBottom w:val="0"/>
          <w:divBdr>
            <w:top w:val="none" w:sz="0" w:space="0" w:color="auto"/>
            <w:left w:val="none" w:sz="0" w:space="0" w:color="auto"/>
            <w:bottom w:val="none" w:sz="0" w:space="0" w:color="auto"/>
            <w:right w:val="none" w:sz="0" w:space="0" w:color="auto"/>
          </w:divBdr>
        </w:div>
        <w:div w:id="746145522">
          <w:marLeft w:val="0"/>
          <w:marRight w:val="0"/>
          <w:marTop w:val="0"/>
          <w:marBottom w:val="0"/>
          <w:divBdr>
            <w:top w:val="none" w:sz="0" w:space="0" w:color="auto"/>
            <w:left w:val="none" w:sz="0" w:space="0" w:color="auto"/>
            <w:bottom w:val="none" w:sz="0" w:space="0" w:color="auto"/>
            <w:right w:val="none" w:sz="0" w:space="0" w:color="auto"/>
          </w:divBdr>
        </w:div>
        <w:div w:id="864559797">
          <w:marLeft w:val="0"/>
          <w:marRight w:val="0"/>
          <w:marTop w:val="0"/>
          <w:marBottom w:val="0"/>
          <w:divBdr>
            <w:top w:val="none" w:sz="0" w:space="0" w:color="auto"/>
            <w:left w:val="none" w:sz="0" w:space="0" w:color="auto"/>
            <w:bottom w:val="none" w:sz="0" w:space="0" w:color="auto"/>
            <w:right w:val="none" w:sz="0" w:space="0" w:color="auto"/>
          </w:divBdr>
        </w:div>
        <w:div w:id="1156917104">
          <w:marLeft w:val="0"/>
          <w:marRight w:val="0"/>
          <w:marTop w:val="0"/>
          <w:marBottom w:val="0"/>
          <w:divBdr>
            <w:top w:val="none" w:sz="0" w:space="0" w:color="auto"/>
            <w:left w:val="none" w:sz="0" w:space="0" w:color="auto"/>
            <w:bottom w:val="none" w:sz="0" w:space="0" w:color="auto"/>
            <w:right w:val="none" w:sz="0" w:space="0" w:color="auto"/>
          </w:divBdr>
        </w:div>
        <w:div w:id="1225725602">
          <w:marLeft w:val="0"/>
          <w:marRight w:val="0"/>
          <w:marTop w:val="0"/>
          <w:marBottom w:val="0"/>
          <w:divBdr>
            <w:top w:val="none" w:sz="0" w:space="0" w:color="auto"/>
            <w:left w:val="none" w:sz="0" w:space="0" w:color="auto"/>
            <w:bottom w:val="none" w:sz="0" w:space="0" w:color="auto"/>
            <w:right w:val="none" w:sz="0" w:space="0" w:color="auto"/>
          </w:divBdr>
        </w:div>
        <w:div w:id="1314871371">
          <w:marLeft w:val="0"/>
          <w:marRight w:val="0"/>
          <w:marTop w:val="0"/>
          <w:marBottom w:val="0"/>
          <w:divBdr>
            <w:top w:val="none" w:sz="0" w:space="0" w:color="auto"/>
            <w:left w:val="none" w:sz="0" w:space="0" w:color="auto"/>
            <w:bottom w:val="none" w:sz="0" w:space="0" w:color="auto"/>
            <w:right w:val="none" w:sz="0" w:space="0" w:color="auto"/>
          </w:divBdr>
        </w:div>
        <w:div w:id="1342471039">
          <w:marLeft w:val="0"/>
          <w:marRight w:val="0"/>
          <w:marTop w:val="0"/>
          <w:marBottom w:val="0"/>
          <w:divBdr>
            <w:top w:val="none" w:sz="0" w:space="0" w:color="auto"/>
            <w:left w:val="none" w:sz="0" w:space="0" w:color="auto"/>
            <w:bottom w:val="none" w:sz="0" w:space="0" w:color="auto"/>
            <w:right w:val="none" w:sz="0" w:space="0" w:color="auto"/>
          </w:divBdr>
        </w:div>
        <w:div w:id="1722174219">
          <w:marLeft w:val="0"/>
          <w:marRight w:val="0"/>
          <w:marTop w:val="0"/>
          <w:marBottom w:val="0"/>
          <w:divBdr>
            <w:top w:val="none" w:sz="0" w:space="0" w:color="auto"/>
            <w:left w:val="none" w:sz="0" w:space="0" w:color="auto"/>
            <w:bottom w:val="none" w:sz="0" w:space="0" w:color="auto"/>
            <w:right w:val="none" w:sz="0" w:space="0" w:color="auto"/>
          </w:divBdr>
        </w:div>
        <w:div w:id="1936160424">
          <w:marLeft w:val="0"/>
          <w:marRight w:val="0"/>
          <w:marTop w:val="0"/>
          <w:marBottom w:val="0"/>
          <w:divBdr>
            <w:top w:val="none" w:sz="0" w:space="0" w:color="auto"/>
            <w:left w:val="none" w:sz="0" w:space="0" w:color="auto"/>
            <w:bottom w:val="none" w:sz="0" w:space="0" w:color="auto"/>
            <w:right w:val="none" w:sz="0" w:space="0" w:color="auto"/>
          </w:divBdr>
        </w:div>
        <w:div w:id="1962804706">
          <w:marLeft w:val="0"/>
          <w:marRight w:val="0"/>
          <w:marTop w:val="0"/>
          <w:marBottom w:val="0"/>
          <w:divBdr>
            <w:top w:val="none" w:sz="0" w:space="0" w:color="auto"/>
            <w:left w:val="none" w:sz="0" w:space="0" w:color="auto"/>
            <w:bottom w:val="none" w:sz="0" w:space="0" w:color="auto"/>
            <w:right w:val="none" w:sz="0" w:space="0" w:color="auto"/>
          </w:divBdr>
        </w:div>
        <w:div w:id="2104104253">
          <w:marLeft w:val="0"/>
          <w:marRight w:val="0"/>
          <w:marTop w:val="0"/>
          <w:marBottom w:val="0"/>
          <w:divBdr>
            <w:top w:val="none" w:sz="0" w:space="0" w:color="auto"/>
            <w:left w:val="none" w:sz="0" w:space="0" w:color="auto"/>
            <w:bottom w:val="none" w:sz="0" w:space="0" w:color="auto"/>
            <w:right w:val="none" w:sz="0" w:space="0" w:color="auto"/>
          </w:divBdr>
        </w:div>
      </w:divsChild>
    </w:div>
    <w:div w:id="1269004645">
      <w:bodyDiv w:val="1"/>
      <w:marLeft w:val="0"/>
      <w:marRight w:val="0"/>
      <w:marTop w:val="0"/>
      <w:marBottom w:val="0"/>
      <w:divBdr>
        <w:top w:val="none" w:sz="0" w:space="0" w:color="auto"/>
        <w:left w:val="none" w:sz="0" w:space="0" w:color="auto"/>
        <w:bottom w:val="none" w:sz="0" w:space="0" w:color="auto"/>
        <w:right w:val="none" w:sz="0" w:space="0" w:color="auto"/>
      </w:divBdr>
    </w:div>
    <w:div w:id="1279096678">
      <w:bodyDiv w:val="1"/>
      <w:marLeft w:val="0"/>
      <w:marRight w:val="0"/>
      <w:marTop w:val="0"/>
      <w:marBottom w:val="0"/>
      <w:divBdr>
        <w:top w:val="none" w:sz="0" w:space="0" w:color="auto"/>
        <w:left w:val="none" w:sz="0" w:space="0" w:color="auto"/>
        <w:bottom w:val="none" w:sz="0" w:space="0" w:color="auto"/>
        <w:right w:val="none" w:sz="0" w:space="0" w:color="auto"/>
      </w:divBdr>
      <w:divsChild>
        <w:div w:id="1260986078">
          <w:marLeft w:val="0"/>
          <w:marRight w:val="0"/>
          <w:marTop w:val="0"/>
          <w:marBottom w:val="0"/>
          <w:divBdr>
            <w:top w:val="none" w:sz="0" w:space="0" w:color="auto"/>
            <w:left w:val="none" w:sz="0" w:space="0" w:color="auto"/>
            <w:bottom w:val="none" w:sz="0" w:space="0" w:color="auto"/>
            <w:right w:val="none" w:sz="0" w:space="0" w:color="auto"/>
          </w:divBdr>
        </w:div>
      </w:divsChild>
    </w:div>
    <w:div w:id="1295020070">
      <w:bodyDiv w:val="1"/>
      <w:marLeft w:val="0"/>
      <w:marRight w:val="0"/>
      <w:marTop w:val="0"/>
      <w:marBottom w:val="0"/>
      <w:divBdr>
        <w:top w:val="none" w:sz="0" w:space="0" w:color="auto"/>
        <w:left w:val="none" w:sz="0" w:space="0" w:color="auto"/>
        <w:bottom w:val="none" w:sz="0" w:space="0" w:color="auto"/>
        <w:right w:val="none" w:sz="0" w:space="0" w:color="auto"/>
      </w:divBdr>
    </w:div>
    <w:div w:id="1297682147">
      <w:bodyDiv w:val="1"/>
      <w:marLeft w:val="0"/>
      <w:marRight w:val="0"/>
      <w:marTop w:val="0"/>
      <w:marBottom w:val="0"/>
      <w:divBdr>
        <w:top w:val="none" w:sz="0" w:space="0" w:color="auto"/>
        <w:left w:val="none" w:sz="0" w:space="0" w:color="auto"/>
        <w:bottom w:val="none" w:sz="0" w:space="0" w:color="auto"/>
        <w:right w:val="none" w:sz="0" w:space="0" w:color="auto"/>
      </w:divBdr>
    </w:div>
    <w:div w:id="1301154050">
      <w:bodyDiv w:val="1"/>
      <w:marLeft w:val="0"/>
      <w:marRight w:val="0"/>
      <w:marTop w:val="0"/>
      <w:marBottom w:val="0"/>
      <w:divBdr>
        <w:top w:val="none" w:sz="0" w:space="0" w:color="auto"/>
        <w:left w:val="none" w:sz="0" w:space="0" w:color="auto"/>
        <w:bottom w:val="none" w:sz="0" w:space="0" w:color="auto"/>
        <w:right w:val="none" w:sz="0" w:space="0" w:color="auto"/>
      </w:divBdr>
    </w:div>
    <w:div w:id="1301499801">
      <w:bodyDiv w:val="1"/>
      <w:marLeft w:val="0"/>
      <w:marRight w:val="0"/>
      <w:marTop w:val="0"/>
      <w:marBottom w:val="0"/>
      <w:divBdr>
        <w:top w:val="none" w:sz="0" w:space="0" w:color="auto"/>
        <w:left w:val="none" w:sz="0" w:space="0" w:color="auto"/>
        <w:bottom w:val="none" w:sz="0" w:space="0" w:color="auto"/>
        <w:right w:val="none" w:sz="0" w:space="0" w:color="auto"/>
      </w:divBdr>
    </w:div>
    <w:div w:id="1301500070">
      <w:bodyDiv w:val="1"/>
      <w:marLeft w:val="0"/>
      <w:marRight w:val="0"/>
      <w:marTop w:val="0"/>
      <w:marBottom w:val="0"/>
      <w:divBdr>
        <w:top w:val="none" w:sz="0" w:space="0" w:color="auto"/>
        <w:left w:val="none" w:sz="0" w:space="0" w:color="auto"/>
        <w:bottom w:val="none" w:sz="0" w:space="0" w:color="auto"/>
        <w:right w:val="none" w:sz="0" w:space="0" w:color="auto"/>
      </w:divBdr>
    </w:div>
    <w:div w:id="1320305240">
      <w:bodyDiv w:val="1"/>
      <w:marLeft w:val="0"/>
      <w:marRight w:val="0"/>
      <w:marTop w:val="0"/>
      <w:marBottom w:val="0"/>
      <w:divBdr>
        <w:top w:val="none" w:sz="0" w:space="0" w:color="auto"/>
        <w:left w:val="none" w:sz="0" w:space="0" w:color="auto"/>
        <w:bottom w:val="none" w:sz="0" w:space="0" w:color="auto"/>
        <w:right w:val="none" w:sz="0" w:space="0" w:color="auto"/>
      </w:divBdr>
    </w:div>
    <w:div w:id="1321882572">
      <w:bodyDiv w:val="1"/>
      <w:marLeft w:val="0"/>
      <w:marRight w:val="0"/>
      <w:marTop w:val="0"/>
      <w:marBottom w:val="0"/>
      <w:divBdr>
        <w:top w:val="none" w:sz="0" w:space="0" w:color="auto"/>
        <w:left w:val="none" w:sz="0" w:space="0" w:color="auto"/>
        <w:bottom w:val="none" w:sz="0" w:space="0" w:color="auto"/>
        <w:right w:val="none" w:sz="0" w:space="0" w:color="auto"/>
      </w:divBdr>
    </w:div>
    <w:div w:id="1329597337">
      <w:bodyDiv w:val="1"/>
      <w:marLeft w:val="0"/>
      <w:marRight w:val="0"/>
      <w:marTop w:val="0"/>
      <w:marBottom w:val="0"/>
      <w:divBdr>
        <w:top w:val="none" w:sz="0" w:space="0" w:color="auto"/>
        <w:left w:val="none" w:sz="0" w:space="0" w:color="auto"/>
        <w:bottom w:val="none" w:sz="0" w:space="0" w:color="auto"/>
        <w:right w:val="none" w:sz="0" w:space="0" w:color="auto"/>
      </w:divBdr>
    </w:div>
    <w:div w:id="1346663885">
      <w:bodyDiv w:val="1"/>
      <w:marLeft w:val="0"/>
      <w:marRight w:val="0"/>
      <w:marTop w:val="0"/>
      <w:marBottom w:val="0"/>
      <w:divBdr>
        <w:top w:val="none" w:sz="0" w:space="0" w:color="auto"/>
        <w:left w:val="none" w:sz="0" w:space="0" w:color="auto"/>
        <w:bottom w:val="none" w:sz="0" w:space="0" w:color="auto"/>
        <w:right w:val="none" w:sz="0" w:space="0" w:color="auto"/>
      </w:divBdr>
      <w:divsChild>
        <w:div w:id="150608468">
          <w:marLeft w:val="547"/>
          <w:marRight w:val="0"/>
          <w:marTop w:val="0"/>
          <w:marBottom w:val="0"/>
          <w:divBdr>
            <w:top w:val="none" w:sz="0" w:space="0" w:color="auto"/>
            <w:left w:val="none" w:sz="0" w:space="0" w:color="auto"/>
            <w:bottom w:val="none" w:sz="0" w:space="0" w:color="auto"/>
            <w:right w:val="none" w:sz="0" w:space="0" w:color="auto"/>
          </w:divBdr>
        </w:div>
        <w:div w:id="481318232">
          <w:marLeft w:val="547"/>
          <w:marRight w:val="0"/>
          <w:marTop w:val="0"/>
          <w:marBottom w:val="0"/>
          <w:divBdr>
            <w:top w:val="none" w:sz="0" w:space="0" w:color="auto"/>
            <w:left w:val="none" w:sz="0" w:space="0" w:color="auto"/>
            <w:bottom w:val="none" w:sz="0" w:space="0" w:color="auto"/>
            <w:right w:val="none" w:sz="0" w:space="0" w:color="auto"/>
          </w:divBdr>
        </w:div>
        <w:div w:id="1783066287">
          <w:marLeft w:val="547"/>
          <w:marRight w:val="0"/>
          <w:marTop w:val="0"/>
          <w:marBottom w:val="0"/>
          <w:divBdr>
            <w:top w:val="none" w:sz="0" w:space="0" w:color="auto"/>
            <w:left w:val="none" w:sz="0" w:space="0" w:color="auto"/>
            <w:bottom w:val="none" w:sz="0" w:space="0" w:color="auto"/>
            <w:right w:val="none" w:sz="0" w:space="0" w:color="auto"/>
          </w:divBdr>
        </w:div>
      </w:divsChild>
    </w:div>
    <w:div w:id="1350060406">
      <w:bodyDiv w:val="1"/>
      <w:marLeft w:val="0"/>
      <w:marRight w:val="0"/>
      <w:marTop w:val="0"/>
      <w:marBottom w:val="0"/>
      <w:divBdr>
        <w:top w:val="none" w:sz="0" w:space="0" w:color="auto"/>
        <w:left w:val="none" w:sz="0" w:space="0" w:color="auto"/>
        <w:bottom w:val="none" w:sz="0" w:space="0" w:color="auto"/>
        <w:right w:val="none" w:sz="0" w:space="0" w:color="auto"/>
      </w:divBdr>
      <w:divsChild>
        <w:div w:id="865799416">
          <w:marLeft w:val="389"/>
          <w:marRight w:val="0"/>
          <w:marTop w:val="0"/>
          <w:marBottom w:val="40"/>
          <w:divBdr>
            <w:top w:val="none" w:sz="0" w:space="0" w:color="auto"/>
            <w:left w:val="none" w:sz="0" w:space="0" w:color="auto"/>
            <w:bottom w:val="none" w:sz="0" w:space="0" w:color="auto"/>
            <w:right w:val="none" w:sz="0" w:space="0" w:color="auto"/>
          </w:divBdr>
        </w:div>
        <w:div w:id="1121262283">
          <w:marLeft w:val="1109"/>
          <w:marRight w:val="0"/>
          <w:marTop w:val="0"/>
          <w:marBottom w:val="40"/>
          <w:divBdr>
            <w:top w:val="none" w:sz="0" w:space="0" w:color="auto"/>
            <w:left w:val="none" w:sz="0" w:space="0" w:color="auto"/>
            <w:bottom w:val="none" w:sz="0" w:space="0" w:color="auto"/>
            <w:right w:val="none" w:sz="0" w:space="0" w:color="auto"/>
          </w:divBdr>
        </w:div>
        <w:div w:id="2095861187">
          <w:marLeft w:val="389"/>
          <w:marRight w:val="0"/>
          <w:marTop w:val="0"/>
          <w:marBottom w:val="40"/>
          <w:divBdr>
            <w:top w:val="none" w:sz="0" w:space="0" w:color="auto"/>
            <w:left w:val="none" w:sz="0" w:space="0" w:color="auto"/>
            <w:bottom w:val="none" w:sz="0" w:space="0" w:color="auto"/>
            <w:right w:val="none" w:sz="0" w:space="0" w:color="auto"/>
          </w:divBdr>
        </w:div>
      </w:divsChild>
    </w:div>
    <w:div w:id="1350330447">
      <w:bodyDiv w:val="1"/>
      <w:marLeft w:val="0"/>
      <w:marRight w:val="0"/>
      <w:marTop w:val="0"/>
      <w:marBottom w:val="0"/>
      <w:divBdr>
        <w:top w:val="none" w:sz="0" w:space="0" w:color="auto"/>
        <w:left w:val="none" w:sz="0" w:space="0" w:color="auto"/>
        <w:bottom w:val="none" w:sz="0" w:space="0" w:color="auto"/>
        <w:right w:val="none" w:sz="0" w:space="0" w:color="auto"/>
      </w:divBdr>
    </w:div>
    <w:div w:id="1376738223">
      <w:bodyDiv w:val="1"/>
      <w:marLeft w:val="0"/>
      <w:marRight w:val="0"/>
      <w:marTop w:val="0"/>
      <w:marBottom w:val="0"/>
      <w:divBdr>
        <w:top w:val="none" w:sz="0" w:space="0" w:color="auto"/>
        <w:left w:val="none" w:sz="0" w:space="0" w:color="auto"/>
        <w:bottom w:val="none" w:sz="0" w:space="0" w:color="auto"/>
        <w:right w:val="none" w:sz="0" w:space="0" w:color="auto"/>
      </w:divBdr>
    </w:div>
    <w:div w:id="1398043704">
      <w:bodyDiv w:val="1"/>
      <w:marLeft w:val="0"/>
      <w:marRight w:val="0"/>
      <w:marTop w:val="0"/>
      <w:marBottom w:val="0"/>
      <w:divBdr>
        <w:top w:val="none" w:sz="0" w:space="0" w:color="auto"/>
        <w:left w:val="none" w:sz="0" w:space="0" w:color="auto"/>
        <w:bottom w:val="none" w:sz="0" w:space="0" w:color="auto"/>
        <w:right w:val="none" w:sz="0" w:space="0" w:color="auto"/>
      </w:divBdr>
    </w:div>
    <w:div w:id="1403331481">
      <w:bodyDiv w:val="1"/>
      <w:marLeft w:val="0"/>
      <w:marRight w:val="0"/>
      <w:marTop w:val="0"/>
      <w:marBottom w:val="0"/>
      <w:divBdr>
        <w:top w:val="none" w:sz="0" w:space="0" w:color="auto"/>
        <w:left w:val="none" w:sz="0" w:space="0" w:color="auto"/>
        <w:bottom w:val="none" w:sz="0" w:space="0" w:color="auto"/>
        <w:right w:val="none" w:sz="0" w:space="0" w:color="auto"/>
      </w:divBdr>
    </w:div>
    <w:div w:id="1404448315">
      <w:bodyDiv w:val="1"/>
      <w:marLeft w:val="0"/>
      <w:marRight w:val="0"/>
      <w:marTop w:val="0"/>
      <w:marBottom w:val="0"/>
      <w:divBdr>
        <w:top w:val="none" w:sz="0" w:space="0" w:color="auto"/>
        <w:left w:val="none" w:sz="0" w:space="0" w:color="auto"/>
        <w:bottom w:val="none" w:sz="0" w:space="0" w:color="auto"/>
        <w:right w:val="none" w:sz="0" w:space="0" w:color="auto"/>
      </w:divBdr>
    </w:div>
    <w:div w:id="1411074116">
      <w:bodyDiv w:val="1"/>
      <w:marLeft w:val="0"/>
      <w:marRight w:val="0"/>
      <w:marTop w:val="0"/>
      <w:marBottom w:val="0"/>
      <w:divBdr>
        <w:top w:val="none" w:sz="0" w:space="0" w:color="auto"/>
        <w:left w:val="none" w:sz="0" w:space="0" w:color="auto"/>
        <w:bottom w:val="none" w:sz="0" w:space="0" w:color="auto"/>
        <w:right w:val="none" w:sz="0" w:space="0" w:color="auto"/>
      </w:divBdr>
      <w:divsChild>
        <w:div w:id="1166555012">
          <w:marLeft w:val="0"/>
          <w:marRight w:val="0"/>
          <w:marTop w:val="0"/>
          <w:marBottom w:val="0"/>
          <w:divBdr>
            <w:top w:val="none" w:sz="0" w:space="0" w:color="auto"/>
            <w:left w:val="none" w:sz="0" w:space="0" w:color="auto"/>
            <w:bottom w:val="none" w:sz="0" w:space="0" w:color="auto"/>
            <w:right w:val="none" w:sz="0" w:space="0" w:color="auto"/>
          </w:divBdr>
        </w:div>
        <w:div w:id="1448505444">
          <w:marLeft w:val="0"/>
          <w:marRight w:val="0"/>
          <w:marTop w:val="0"/>
          <w:marBottom w:val="0"/>
          <w:divBdr>
            <w:top w:val="none" w:sz="0" w:space="0" w:color="auto"/>
            <w:left w:val="none" w:sz="0" w:space="0" w:color="auto"/>
            <w:bottom w:val="none" w:sz="0" w:space="0" w:color="auto"/>
            <w:right w:val="none" w:sz="0" w:space="0" w:color="auto"/>
          </w:divBdr>
        </w:div>
      </w:divsChild>
    </w:div>
    <w:div w:id="1418747640">
      <w:bodyDiv w:val="1"/>
      <w:marLeft w:val="0"/>
      <w:marRight w:val="0"/>
      <w:marTop w:val="0"/>
      <w:marBottom w:val="0"/>
      <w:divBdr>
        <w:top w:val="none" w:sz="0" w:space="0" w:color="auto"/>
        <w:left w:val="none" w:sz="0" w:space="0" w:color="auto"/>
        <w:bottom w:val="none" w:sz="0" w:space="0" w:color="auto"/>
        <w:right w:val="none" w:sz="0" w:space="0" w:color="auto"/>
      </w:divBdr>
      <w:divsChild>
        <w:div w:id="416945284">
          <w:marLeft w:val="446"/>
          <w:marRight w:val="0"/>
          <w:marTop w:val="0"/>
          <w:marBottom w:val="0"/>
          <w:divBdr>
            <w:top w:val="none" w:sz="0" w:space="0" w:color="auto"/>
            <w:left w:val="none" w:sz="0" w:space="0" w:color="auto"/>
            <w:bottom w:val="none" w:sz="0" w:space="0" w:color="auto"/>
            <w:right w:val="none" w:sz="0" w:space="0" w:color="auto"/>
          </w:divBdr>
        </w:div>
        <w:div w:id="481388389">
          <w:marLeft w:val="446"/>
          <w:marRight w:val="0"/>
          <w:marTop w:val="0"/>
          <w:marBottom w:val="0"/>
          <w:divBdr>
            <w:top w:val="none" w:sz="0" w:space="0" w:color="auto"/>
            <w:left w:val="none" w:sz="0" w:space="0" w:color="auto"/>
            <w:bottom w:val="none" w:sz="0" w:space="0" w:color="auto"/>
            <w:right w:val="none" w:sz="0" w:space="0" w:color="auto"/>
          </w:divBdr>
        </w:div>
        <w:div w:id="589896828">
          <w:marLeft w:val="446"/>
          <w:marRight w:val="0"/>
          <w:marTop w:val="0"/>
          <w:marBottom w:val="0"/>
          <w:divBdr>
            <w:top w:val="none" w:sz="0" w:space="0" w:color="auto"/>
            <w:left w:val="none" w:sz="0" w:space="0" w:color="auto"/>
            <w:bottom w:val="none" w:sz="0" w:space="0" w:color="auto"/>
            <w:right w:val="none" w:sz="0" w:space="0" w:color="auto"/>
          </w:divBdr>
        </w:div>
        <w:div w:id="1877158706">
          <w:marLeft w:val="446"/>
          <w:marRight w:val="0"/>
          <w:marTop w:val="0"/>
          <w:marBottom w:val="0"/>
          <w:divBdr>
            <w:top w:val="none" w:sz="0" w:space="0" w:color="auto"/>
            <w:left w:val="none" w:sz="0" w:space="0" w:color="auto"/>
            <w:bottom w:val="none" w:sz="0" w:space="0" w:color="auto"/>
            <w:right w:val="none" w:sz="0" w:space="0" w:color="auto"/>
          </w:divBdr>
        </w:div>
      </w:divsChild>
    </w:div>
    <w:div w:id="1438523681">
      <w:bodyDiv w:val="1"/>
      <w:marLeft w:val="0"/>
      <w:marRight w:val="0"/>
      <w:marTop w:val="0"/>
      <w:marBottom w:val="0"/>
      <w:divBdr>
        <w:top w:val="none" w:sz="0" w:space="0" w:color="auto"/>
        <w:left w:val="none" w:sz="0" w:space="0" w:color="auto"/>
        <w:bottom w:val="none" w:sz="0" w:space="0" w:color="auto"/>
        <w:right w:val="none" w:sz="0" w:space="0" w:color="auto"/>
      </w:divBdr>
    </w:div>
    <w:div w:id="1462191457">
      <w:bodyDiv w:val="1"/>
      <w:marLeft w:val="0"/>
      <w:marRight w:val="0"/>
      <w:marTop w:val="0"/>
      <w:marBottom w:val="0"/>
      <w:divBdr>
        <w:top w:val="none" w:sz="0" w:space="0" w:color="auto"/>
        <w:left w:val="none" w:sz="0" w:space="0" w:color="auto"/>
        <w:bottom w:val="none" w:sz="0" w:space="0" w:color="auto"/>
        <w:right w:val="none" w:sz="0" w:space="0" w:color="auto"/>
      </w:divBdr>
      <w:divsChild>
        <w:div w:id="1121992991">
          <w:marLeft w:val="446"/>
          <w:marRight w:val="0"/>
          <w:marTop w:val="160"/>
          <w:marBottom w:val="0"/>
          <w:divBdr>
            <w:top w:val="none" w:sz="0" w:space="0" w:color="auto"/>
            <w:left w:val="none" w:sz="0" w:space="0" w:color="auto"/>
            <w:bottom w:val="none" w:sz="0" w:space="0" w:color="auto"/>
            <w:right w:val="none" w:sz="0" w:space="0" w:color="auto"/>
          </w:divBdr>
        </w:div>
      </w:divsChild>
    </w:div>
    <w:div w:id="1462575567">
      <w:bodyDiv w:val="1"/>
      <w:marLeft w:val="0"/>
      <w:marRight w:val="0"/>
      <w:marTop w:val="0"/>
      <w:marBottom w:val="0"/>
      <w:divBdr>
        <w:top w:val="none" w:sz="0" w:space="0" w:color="auto"/>
        <w:left w:val="none" w:sz="0" w:space="0" w:color="auto"/>
        <w:bottom w:val="none" w:sz="0" w:space="0" w:color="auto"/>
        <w:right w:val="none" w:sz="0" w:space="0" w:color="auto"/>
      </w:divBdr>
    </w:div>
    <w:div w:id="1465006718">
      <w:bodyDiv w:val="1"/>
      <w:marLeft w:val="0"/>
      <w:marRight w:val="0"/>
      <w:marTop w:val="0"/>
      <w:marBottom w:val="0"/>
      <w:divBdr>
        <w:top w:val="none" w:sz="0" w:space="0" w:color="auto"/>
        <w:left w:val="none" w:sz="0" w:space="0" w:color="auto"/>
        <w:bottom w:val="none" w:sz="0" w:space="0" w:color="auto"/>
        <w:right w:val="none" w:sz="0" w:space="0" w:color="auto"/>
      </w:divBdr>
    </w:div>
    <w:div w:id="1472290441">
      <w:bodyDiv w:val="1"/>
      <w:marLeft w:val="0"/>
      <w:marRight w:val="0"/>
      <w:marTop w:val="0"/>
      <w:marBottom w:val="0"/>
      <w:divBdr>
        <w:top w:val="none" w:sz="0" w:space="0" w:color="auto"/>
        <w:left w:val="none" w:sz="0" w:space="0" w:color="auto"/>
        <w:bottom w:val="none" w:sz="0" w:space="0" w:color="auto"/>
        <w:right w:val="none" w:sz="0" w:space="0" w:color="auto"/>
      </w:divBdr>
    </w:div>
    <w:div w:id="1481536305">
      <w:bodyDiv w:val="1"/>
      <w:marLeft w:val="0"/>
      <w:marRight w:val="0"/>
      <w:marTop w:val="0"/>
      <w:marBottom w:val="0"/>
      <w:divBdr>
        <w:top w:val="none" w:sz="0" w:space="0" w:color="auto"/>
        <w:left w:val="none" w:sz="0" w:space="0" w:color="auto"/>
        <w:bottom w:val="none" w:sz="0" w:space="0" w:color="auto"/>
        <w:right w:val="none" w:sz="0" w:space="0" w:color="auto"/>
      </w:divBdr>
    </w:div>
    <w:div w:id="1493064824">
      <w:bodyDiv w:val="1"/>
      <w:marLeft w:val="0"/>
      <w:marRight w:val="0"/>
      <w:marTop w:val="0"/>
      <w:marBottom w:val="0"/>
      <w:divBdr>
        <w:top w:val="none" w:sz="0" w:space="0" w:color="auto"/>
        <w:left w:val="none" w:sz="0" w:space="0" w:color="auto"/>
        <w:bottom w:val="none" w:sz="0" w:space="0" w:color="auto"/>
        <w:right w:val="none" w:sz="0" w:space="0" w:color="auto"/>
      </w:divBdr>
      <w:divsChild>
        <w:div w:id="264577732">
          <w:marLeft w:val="446"/>
          <w:marRight w:val="0"/>
          <w:marTop w:val="0"/>
          <w:marBottom w:val="0"/>
          <w:divBdr>
            <w:top w:val="none" w:sz="0" w:space="0" w:color="auto"/>
            <w:left w:val="none" w:sz="0" w:space="0" w:color="auto"/>
            <w:bottom w:val="none" w:sz="0" w:space="0" w:color="auto"/>
            <w:right w:val="none" w:sz="0" w:space="0" w:color="auto"/>
          </w:divBdr>
        </w:div>
        <w:div w:id="390731420">
          <w:marLeft w:val="446"/>
          <w:marRight w:val="0"/>
          <w:marTop w:val="0"/>
          <w:marBottom w:val="0"/>
          <w:divBdr>
            <w:top w:val="none" w:sz="0" w:space="0" w:color="auto"/>
            <w:left w:val="none" w:sz="0" w:space="0" w:color="auto"/>
            <w:bottom w:val="none" w:sz="0" w:space="0" w:color="auto"/>
            <w:right w:val="none" w:sz="0" w:space="0" w:color="auto"/>
          </w:divBdr>
        </w:div>
        <w:div w:id="2046632878">
          <w:marLeft w:val="446"/>
          <w:marRight w:val="0"/>
          <w:marTop w:val="0"/>
          <w:marBottom w:val="0"/>
          <w:divBdr>
            <w:top w:val="none" w:sz="0" w:space="0" w:color="auto"/>
            <w:left w:val="none" w:sz="0" w:space="0" w:color="auto"/>
            <w:bottom w:val="none" w:sz="0" w:space="0" w:color="auto"/>
            <w:right w:val="none" w:sz="0" w:space="0" w:color="auto"/>
          </w:divBdr>
        </w:div>
      </w:divsChild>
    </w:div>
    <w:div w:id="1494877681">
      <w:bodyDiv w:val="1"/>
      <w:marLeft w:val="0"/>
      <w:marRight w:val="0"/>
      <w:marTop w:val="0"/>
      <w:marBottom w:val="0"/>
      <w:divBdr>
        <w:top w:val="none" w:sz="0" w:space="0" w:color="auto"/>
        <w:left w:val="none" w:sz="0" w:space="0" w:color="auto"/>
        <w:bottom w:val="none" w:sz="0" w:space="0" w:color="auto"/>
        <w:right w:val="none" w:sz="0" w:space="0" w:color="auto"/>
      </w:divBdr>
      <w:divsChild>
        <w:div w:id="171335228">
          <w:marLeft w:val="0"/>
          <w:marRight w:val="0"/>
          <w:marTop w:val="0"/>
          <w:marBottom w:val="0"/>
          <w:divBdr>
            <w:top w:val="none" w:sz="0" w:space="0" w:color="auto"/>
            <w:left w:val="none" w:sz="0" w:space="0" w:color="auto"/>
            <w:bottom w:val="none" w:sz="0" w:space="0" w:color="auto"/>
            <w:right w:val="none" w:sz="0" w:space="0" w:color="auto"/>
          </w:divBdr>
        </w:div>
        <w:div w:id="255866064">
          <w:marLeft w:val="0"/>
          <w:marRight w:val="0"/>
          <w:marTop w:val="0"/>
          <w:marBottom w:val="0"/>
          <w:divBdr>
            <w:top w:val="none" w:sz="0" w:space="0" w:color="auto"/>
            <w:left w:val="none" w:sz="0" w:space="0" w:color="auto"/>
            <w:bottom w:val="none" w:sz="0" w:space="0" w:color="auto"/>
            <w:right w:val="none" w:sz="0" w:space="0" w:color="auto"/>
          </w:divBdr>
        </w:div>
        <w:div w:id="386532054">
          <w:marLeft w:val="0"/>
          <w:marRight w:val="0"/>
          <w:marTop w:val="0"/>
          <w:marBottom w:val="0"/>
          <w:divBdr>
            <w:top w:val="none" w:sz="0" w:space="0" w:color="auto"/>
            <w:left w:val="none" w:sz="0" w:space="0" w:color="auto"/>
            <w:bottom w:val="none" w:sz="0" w:space="0" w:color="auto"/>
            <w:right w:val="none" w:sz="0" w:space="0" w:color="auto"/>
          </w:divBdr>
        </w:div>
        <w:div w:id="567882705">
          <w:marLeft w:val="0"/>
          <w:marRight w:val="0"/>
          <w:marTop w:val="0"/>
          <w:marBottom w:val="0"/>
          <w:divBdr>
            <w:top w:val="none" w:sz="0" w:space="0" w:color="auto"/>
            <w:left w:val="none" w:sz="0" w:space="0" w:color="auto"/>
            <w:bottom w:val="none" w:sz="0" w:space="0" w:color="auto"/>
            <w:right w:val="none" w:sz="0" w:space="0" w:color="auto"/>
          </w:divBdr>
        </w:div>
        <w:div w:id="588587972">
          <w:marLeft w:val="0"/>
          <w:marRight w:val="0"/>
          <w:marTop w:val="0"/>
          <w:marBottom w:val="0"/>
          <w:divBdr>
            <w:top w:val="none" w:sz="0" w:space="0" w:color="auto"/>
            <w:left w:val="none" w:sz="0" w:space="0" w:color="auto"/>
            <w:bottom w:val="none" w:sz="0" w:space="0" w:color="auto"/>
            <w:right w:val="none" w:sz="0" w:space="0" w:color="auto"/>
          </w:divBdr>
        </w:div>
        <w:div w:id="1125080090">
          <w:marLeft w:val="0"/>
          <w:marRight w:val="0"/>
          <w:marTop w:val="0"/>
          <w:marBottom w:val="0"/>
          <w:divBdr>
            <w:top w:val="none" w:sz="0" w:space="0" w:color="auto"/>
            <w:left w:val="none" w:sz="0" w:space="0" w:color="auto"/>
            <w:bottom w:val="none" w:sz="0" w:space="0" w:color="auto"/>
            <w:right w:val="none" w:sz="0" w:space="0" w:color="auto"/>
          </w:divBdr>
        </w:div>
        <w:div w:id="1708751459">
          <w:marLeft w:val="0"/>
          <w:marRight w:val="0"/>
          <w:marTop w:val="0"/>
          <w:marBottom w:val="0"/>
          <w:divBdr>
            <w:top w:val="none" w:sz="0" w:space="0" w:color="auto"/>
            <w:left w:val="none" w:sz="0" w:space="0" w:color="auto"/>
            <w:bottom w:val="none" w:sz="0" w:space="0" w:color="auto"/>
            <w:right w:val="none" w:sz="0" w:space="0" w:color="auto"/>
          </w:divBdr>
        </w:div>
        <w:div w:id="1796750940">
          <w:marLeft w:val="0"/>
          <w:marRight w:val="0"/>
          <w:marTop w:val="0"/>
          <w:marBottom w:val="0"/>
          <w:divBdr>
            <w:top w:val="none" w:sz="0" w:space="0" w:color="auto"/>
            <w:left w:val="none" w:sz="0" w:space="0" w:color="auto"/>
            <w:bottom w:val="none" w:sz="0" w:space="0" w:color="auto"/>
            <w:right w:val="none" w:sz="0" w:space="0" w:color="auto"/>
          </w:divBdr>
        </w:div>
      </w:divsChild>
    </w:div>
    <w:div w:id="1503231218">
      <w:bodyDiv w:val="1"/>
      <w:marLeft w:val="0"/>
      <w:marRight w:val="0"/>
      <w:marTop w:val="0"/>
      <w:marBottom w:val="0"/>
      <w:divBdr>
        <w:top w:val="none" w:sz="0" w:space="0" w:color="auto"/>
        <w:left w:val="none" w:sz="0" w:space="0" w:color="auto"/>
        <w:bottom w:val="none" w:sz="0" w:space="0" w:color="auto"/>
        <w:right w:val="none" w:sz="0" w:space="0" w:color="auto"/>
      </w:divBdr>
    </w:div>
    <w:div w:id="1505781506">
      <w:bodyDiv w:val="1"/>
      <w:marLeft w:val="0"/>
      <w:marRight w:val="0"/>
      <w:marTop w:val="0"/>
      <w:marBottom w:val="0"/>
      <w:divBdr>
        <w:top w:val="none" w:sz="0" w:space="0" w:color="auto"/>
        <w:left w:val="none" w:sz="0" w:space="0" w:color="auto"/>
        <w:bottom w:val="none" w:sz="0" w:space="0" w:color="auto"/>
        <w:right w:val="none" w:sz="0" w:space="0" w:color="auto"/>
      </w:divBdr>
    </w:div>
    <w:div w:id="1529099601">
      <w:bodyDiv w:val="1"/>
      <w:marLeft w:val="0"/>
      <w:marRight w:val="0"/>
      <w:marTop w:val="0"/>
      <w:marBottom w:val="0"/>
      <w:divBdr>
        <w:top w:val="none" w:sz="0" w:space="0" w:color="auto"/>
        <w:left w:val="none" w:sz="0" w:space="0" w:color="auto"/>
        <w:bottom w:val="none" w:sz="0" w:space="0" w:color="auto"/>
        <w:right w:val="none" w:sz="0" w:space="0" w:color="auto"/>
      </w:divBdr>
    </w:div>
    <w:div w:id="1531916795">
      <w:bodyDiv w:val="1"/>
      <w:marLeft w:val="0"/>
      <w:marRight w:val="0"/>
      <w:marTop w:val="0"/>
      <w:marBottom w:val="0"/>
      <w:divBdr>
        <w:top w:val="none" w:sz="0" w:space="0" w:color="auto"/>
        <w:left w:val="none" w:sz="0" w:space="0" w:color="auto"/>
        <w:bottom w:val="none" w:sz="0" w:space="0" w:color="auto"/>
        <w:right w:val="none" w:sz="0" w:space="0" w:color="auto"/>
      </w:divBdr>
    </w:div>
    <w:div w:id="1534996773">
      <w:bodyDiv w:val="1"/>
      <w:marLeft w:val="0"/>
      <w:marRight w:val="0"/>
      <w:marTop w:val="0"/>
      <w:marBottom w:val="0"/>
      <w:divBdr>
        <w:top w:val="none" w:sz="0" w:space="0" w:color="auto"/>
        <w:left w:val="none" w:sz="0" w:space="0" w:color="auto"/>
        <w:bottom w:val="none" w:sz="0" w:space="0" w:color="auto"/>
        <w:right w:val="none" w:sz="0" w:space="0" w:color="auto"/>
      </w:divBdr>
    </w:div>
    <w:div w:id="1541436822">
      <w:bodyDiv w:val="1"/>
      <w:marLeft w:val="0"/>
      <w:marRight w:val="0"/>
      <w:marTop w:val="0"/>
      <w:marBottom w:val="0"/>
      <w:divBdr>
        <w:top w:val="none" w:sz="0" w:space="0" w:color="auto"/>
        <w:left w:val="none" w:sz="0" w:space="0" w:color="auto"/>
        <w:bottom w:val="none" w:sz="0" w:space="0" w:color="auto"/>
        <w:right w:val="none" w:sz="0" w:space="0" w:color="auto"/>
      </w:divBdr>
    </w:div>
    <w:div w:id="1549494451">
      <w:bodyDiv w:val="1"/>
      <w:marLeft w:val="0"/>
      <w:marRight w:val="0"/>
      <w:marTop w:val="0"/>
      <w:marBottom w:val="0"/>
      <w:divBdr>
        <w:top w:val="none" w:sz="0" w:space="0" w:color="auto"/>
        <w:left w:val="none" w:sz="0" w:space="0" w:color="auto"/>
        <w:bottom w:val="none" w:sz="0" w:space="0" w:color="auto"/>
        <w:right w:val="none" w:sz="0" w:space="0" w:color="auto"/>
      </w:divBdr>
    </w:div>
    <w:div w:id="1552958994">
      <w:bodyDiv w:val="1"/>
      <w:marLeft w:val="0"/>
      <w:marRight w:val="0"/>
      <w:marTop w:val="0"/>
      <w:marBottom w:val="0"/>
      <w:divBdr>
        <w:top w:val="none" w:sz="0" w:space="0" w:color="auto"/>
        <w:left w:val="none" w:sz="0" w:space="0" w:color="auto"/>
        <w:bottom w:val="none" w:sz="0" w:space="0" w:color="auto"/>
        <w:right w:val="none" w:sz="0" w:space="0" w:color="auto"/>
      </w:divBdr>
    </w:div>
    <w:div w:id="1560051274">
      <w:bodyDiv w:val="1"/>
      <w:marLeft w:val="0"/>
      <w:marRight w:val="0"/>
      <w:marTop w:val="0"/>
      <w:marBottom w:val="0"/>
      <w:divBdr>
        <w:top w:val="none" w:sz="0" w:space="0" w:color="auto"/>
        <w:left w:val="none" w:sz="0" w:space="0" w:color="auto"/>
        <w:bottom w:val="none" w:sz="0" w:space="0" w:color="auto"/>
        <w:right w:val="none" w:sz="0" w:space="0" w:color="auto"/>
      </w:divBdr>
    </w:div>
    <w:div w:id="1567179299">
      <w:bodyDiv w:val="1"/>
      <w:marLeft w:val="0"/>
      <w:marRight w:val="0"/>
      <w:marTop w:val="0"/>
      <w:marBottom w:val="0"/>
      <w:divBdr>
        <w:top w:val="none" w:sz="0" w:space="0" w:color="auto"/>
        <w:left w:val="none" w:sz="0" w:space="0" w:color="auto"/>
        <w:bottom w:val="none" w:sz="0" w:space="0" w:color="auto"/>
        <w:right w:val="none" w:sz="0" w:space="0" w:color="auto"/>
      </w:divBdr>
    </w:div>
    <w:div w:id="1567297831">
      <w:bodyDiv w:val="1"/>
      <w:marLeft w:val="0"/>
      <w:marRight w:val="0"/>
      <w:marTop w:val="0"/>
      <w:marBottom w:val="0"/>
      <w:divBdr>
        <w:top w:val="none" w:sz="0" w:space="0" w:color="auto"/>
        <w:left w:val="none" w:sz="0" w:space="0" w:color="auto"/>
        <w:bottom w:val="none" w:sz="0" w:space="0" w:color="auto"/>
        <w:right w:val="none" w:sz="0" w:space="0" w:color="auto"/>
      </w:divBdr>
      <w:divsChild>
        <w:div w:id="288627505">
          <w:marLeft w:val="0"/>
          <w:marRight w:val="0"/>
          <w:marTop w:val="0"/>
          <w:marBottom w:val="0"/>
          <w:divBdr>
            <w:top w:val="none" w:sz="0" w:space="0" w:color="auto"/>
            <w:left w:val="none" w:sz="0" w:space="0" w:color="auto"/>
            <w:bottom w:val="none" w:sz="0" w:space="0" w:color="auto"/>
            <w:right w:val="none" w:sz="0" w:space="0" w:color="auto"/>
          </w:divBdr>
        </w:div>
        <w:div w:id="1082069763">
          <w:marLeft w:val="0"/>
          <w:marRight w:val="0"/>
          <w:marTop w:val="0"/>
          <w:marBottom w:val="0"/>
          <w:divBdr>
            <w:top w:val="none" w:sz="0" w:space="0" w:color="auto"/>
            <w:left w:val="none" w:sz="0" w:space="0" w:color="auto"/>
            <w:bottom w:val="none" w:sz="0" w:space="0" w:color="auto"/>
            <w:right w:val="none" w:sz="0" w:space="0" w:color="auto"/>
          </w:divBdr>
        </w:div>
      </w:divsChild>
    </w:div>
    <w:div w:id="1572539821">
      <w:bodyDiv w:val="1"/>
      <w:marLeft w:val="0"/>
      <w:marRight w:val="0"/>
      <w:marTop w:val="0"/>
      <w:marBottom w:val="0"/>
      <w:divBdr>
        <w:top w:val="none" w:sz="0" w:space="0" w:color="auto"/>
        <w:left w:val="none" w:sz="0" w:space="0" w:color="auto"/>
        <w:bottom w:val="none" w:sz="0" w:space="0" w:color="auto"/>
        <w:right w:val="none" w:sz="0" w:space="0" w:color="auto"/>
      </w:divBdr>
    </w:div>
    <w:div w:id="1586959133">
      <w:bodyDiv w:val="1"/>
      <w:marLeft w:val="0"/>
      <w:marRight w:val="0"/>
      <w:marTop w:val="0"/>
      <w:marBottom w:val="0"/>
      <w:divBdr>
        <w:top w:val="none" w:sz="0" w:space="0" w:color="auto"/>
        <w:left w:val="none" w:sz="0" w:space="0" w:color="auto"/>
        <w:bottom w:val="none" w:sz="0" w:space="0" w:color="auto"/>
        <w:right w:val="none" w:sz="0" w:space="0" w:color="auto"/>
      </w:divBdr>
    </w:div>
    <w:div w:id="1595364110">
      <w:bodyDiv w:val="1"/>
      <w:marLeft w:val="0"/>
      <w:marRight w:val="0"/>
      <w:marTop w:val="0"/>
      <w:marBottom w:val="0"/>
      <w:divBdr>
        <w:top w:val="none" w:sz="0" w:space="0" w:color="auto"/>
        <w:left w:val="none" w:sz="0" w:space="0" w:color="auto"/>
        <w:bottom w:val="none" w:sz="0" w:space="0" w:color="auto"/>
        <w:right w:val="none" w:sz="0" w:space="0" w:color="auto"/>
      </w:divBdr>
    </w:div>
    <w:div w:id="1606569705">
      <w:bodyDiv w:val="1"/>
      <w:marLeft w:val="0"/>
      <w:marRight w:val="0"/>
      <w:marTop w:val="0"/>
      <w:marBottom w:val="0"/>
      <w:divBdr>
        <w:top w:val="none" w:sz="0" w:space="0" w:color="auto"/>
        <w:left w:val="none" w:sz="0" w:space="0" w:color="auto"/>
        <w:bottom w:val="none" w:sz="0" w:space="0" w:color="auto"/>
        <w:right w:val="none" w:sz="0" w:space="0" w:color="auto"/>
      </w:divBdr>
    </w:div>
    <w:div w:id="1617905977">
      <w:bodyDiv w:val="1"/>
      <w:marLeft w:val="0"/>
      <w:marRight w:val="0"/>
      <w:marTop w:val="0"/>
      <w:marBottom w:val="0"/>
      <w:divBdr>
        <w:top w:val="none" w:sz="0" w:space="0" w:color="auto"/>
        <w:left w:val="none" w:sz="0" w:space="0" w:color="auto"/>
        <w:bottom w:val="none" w:sz="0" w:space="0" w:color="auto"/>
        <w:right w:val="none" w:sz="0" w:space="0" w:color="auto"/>
      </w:divBdr>
    </w:div>
    <w:div w:id="1629318365">
      <w:bodyDiv w:val="1"/>
      <w:marLeft w:val="0"/>
      <w:marRight w:val="0"/>
      <w:marTop w:val="0"/>
      <w:marBottom w:val="0"/>
      <w:divBdr>
        <w:top w:val="none" w:sz="0" w:space="0" w:color="auto"/>
        <w:left w:val="none" w:sz="0" w:space="0" w:color="auto"/>
        <w:bottom w:val="none" w:sz="0" w:space="0" w:color="auto"/>
        <w:right w:val="none" w:sz="0" w:space="0" w:color="auto"/>
      </w:divBdr>
    </w:div>
    <w:div w:id="1632127516">
      <w:bodyDiv w:val="1"/>
      <w:marLeft w:val="0"/>
      <w:marRight w:val="0"/>
      <w:marTop w:val="0"/>
      <w:marBottom w:val="0"/>
      <w:divBdr>
        <w:top w:val="none" w:sz="0" w:space="0" w:color="auto"/>
        <w:left w:val="none" w:sz="0" w:space="0" w:color="auto"/>
        <w:bottom w:val="none" w:sz="0" w:space="0" w:color="auto"/>
        <w:right w:val="none" w:sz="0" w:space="0" w:color="auto"/>
      </w:divBdr>
    </w:div>
    <w:div w:id="1634822794">
      <w:bodyDiv w:val="1"/>
      <w:marLeft w:val="0"/>
      <w:marRight w:val="0"/>
      <w:marTop w:val="0"/>
      <w:marBottom w:val="0"/>
      <w:divBdr>
        <w:top w:val="none" w:sz="0" w:space="0" w:color="auto"/>
        <w:left w:val="none" w:sz="0" w:space="0" w:color="auto"/>
        <w:bottom w:val="none" w:sz="0" w:space="0" w:color="auto"/>
        <w:right w:val="none" w:sz="0" w:space="0" w:color="auto"/>
      </w:divBdr>
    </w:div>
    <w:div w:id="1635673691">
      <w:bodyDiv w:val="1"/>
      <w:marLeft w:val="0"/>
      <w:marRight w:val="0"/>
      <w:marTop w:val="0"/>
      <w:marBottom w:val="0"/>
      <w:divBdr>
        <w:top w:val="none" w:sz="0" w:space="0" w:color="auto"/>
        <w:left w:val="none" w:sz="0" w:space="0" w:color="auto"/>
        <w:bottom w:val="none" w:sz="0" w:space="0" w:color="auto"/>
        <w:right w:val="none" w:sz="0" w:space="0" w:color="auto"/>
      </w:divBdr>
    </w:div>
    <w:div w:id="1637295789">
      <w:bodyDiv w:val="1"/>
      <w:marLeft w:val="0"/>
      <w:marRight w:val="0"/>
      <w:marTop w:val="0"/>
      <w:marBottom w:val="0"/>
      <w:divBdr>
        <w:top w:val="none" w:sz="0" w:space="0" w:color="auto"/>
        <w:left w:val="none" w:sz="0" w:space="0" w:color="auto"/>
        <w:bottom w:val="none" w:sz="0" w:space="0" w:color="auto"/>
        <w:right w:val="none" w:sz="0" w:space="0" w:color="auto"/>
      </w:divBdr>
      <w:divsChild>
        <w:div w:id="2063208458">
          <w:marLeft w:val="1282"/>
          <w:marRight w:val="0"/>
          <w:marTop w:val="0"/>
          <w:marBottom w:val="120"/>
          <w:divBdr>
            <w:top w:val="none" w:sz="0" w:space="0" w:color="auto"/>
            <w:left w:val="none" w:sz="0" w:space="0" w:color="auto"/>
            <w:bottom w:val="none" w:sz="0" w:space="0" w:color="auto"/>
            <w:right w:val="none" w:sz="0" w:space="0" w:color="auto"/>
          </w:divBdr>
        </w:div>
      </w:divsChild>
    </w:div>
    <w:div w:id="1641836754">
      <w:bodyDiv w:val="1"/>
      <w:marLeft w:val="0"/>
      <w:marRight w:val="0"/>
      <w:marTop w:val="0"/>
      <w:marBottom w:val="0"/>
      <w:divBdr>
        <w:top w:val="none" w:sz="0" w:space="0" w:color="auto"/>
        <w:left w:val="none" w:sz="0" w:space="0" w:color="auto"/>
        <w:bottom w:val="none" w:sz="0" w:space="0" w:color="auto"/>
        <w:right w:val="none" w:sz="0" w:space="0" w:color="auto"/>
      </w:divBdr>
    </w:div>
    <w:div w:id="1644849729">
      <w:bodyDiv w:val="1"/>
      <w:marLeft w:val="0"/>
      <w:marRight w:val="0"/>
      <w:marTop w:val="0"/>
      <w:marBottom w:val="0"/>
      <w:divBdr>
        <w:top w:val="none" w:sz="0" w:space="0" w:color="auto"/>
        <w:left w:val="none" w:sz="0" w:space="0" w:color="auto"/>
        <w:bottom w:val="none" w:sz="0" w:space="0" w:color="auto"/>
        <w:right w:val="none" w:sz="0" w:space="0" w:color="auto"/>
      </w:divBdr>
    </w:div>
    <w:div w:id="1653829298">
      <w:bodyDiv w:val="1"/>
      <w:marLeft w:val="0"/>
      <w:marRight w:val="0"/>
      <w:marTop w:val="0"/>
      <w:marBottom w:val="0"/>
      <w:divBdr>
        <w:top w:val="none" w:sz="0" w:space="0" w:color="auto"/>
        <w:left w:val="none" w:sz="0" w:space="0" w:color="auto"/>
        <w:bottom w:val="none" w:sz="0" w:space="0" w:color="auto"/>
        <w:right w:val="none" w:sz="0" w:space="0" w:color="auto"/>
      </w:divBdr>
      <w:divsChild>
        <w:div w:id="1210723029">
          <w:marLeft w:val="0"/>
          <w:marRight w:val="0"/>
          <w:marTop w:val="0"/>
          <w:marBottom w:val="0"/>
          <w:divBdr>
            <w:top w:val="none" w:sz="0" w:space="0" w:color="auto"/>
            <w:left w:val="none" w:sz="0" w:space="0" w:color="auto"/>
            <w:bottom w:val="none" w:sz="0" w:space="0" w:color="auto"/>
            <w:right w:val="none" w:sz="0" w:space="0" w:color="auto"/>
          </w:divBdr>
          <w:divsChild>
            <w:div w:id="367337145">
              <w:marLeft w:val="0"/>
              <w:marRight w:val="0"/>
              <w:marTop w:val="0"/>
              <w:marBottom w:val="0"/>
              <w:divBdr>
                <w:top w:val="none" w:sz="0" w:space="0" w:color="auto"/>
                <w:left w:val="none" w:sz="0" w:space="0" w:color="auto"/>
                <w:bottom w:val="none" w:sz="0" w:space="0" w:color="auto"/>
                <w:right w:val="none" w:sz="0" w:space="0" w:color="auto"/>
              </w:divBdr>
            </w:div>
            <w:div w:id="831337593">
              <w:marLeft w:val="0"/>
              <w:marRight w:val="0"/>
              <w:marTop w:val="0"/>
              <w:marBottom w:val="0"/>
              <w:divBdr>
                <w:top w:val="none" w:sz="0" w:space="0" w:color="auto"/>
                <w:left w:val="none" w:sz="0" w:space="0" w:color="auto"/>
                <w:bottom w:val="none" w:sz="0" w:space="0" w:color="auto"/>
                <w:right w:val="none" w:sz="0" w:space="0" w:color="auto"/>
              </w:divBdr>
            </w:div>
            <w:div w:id="859126770">
              <w:marLeft w:val="0"/>
              <w:marRight w:val="0"/>
              <w:marTop w:val="0"/>
              <w:marBottom w:val="0"/>
              <w:divBdr>
                <w:top w:val="none" w:sz="0" w:space="0" w:color="auto"/>
                <w:left w:val="none" w:sz="0" w:space="0" w:color="auto"/>
                <w:bottom w:val="none" w:sz="0" w:space="0" w:color="auto"/>
                <w:right w:val="none" w:sz="0" w:space="0" w:color="auto"/>
              </w:divBdr>
            </w:div>
          </w:divsChild>
        </w:div>
        <w:div w:id="1422801713">
          <w:marLeft w:val="0"/>
          <w:marRight w:val="0"/>
          <w:marTop w:val="0"/>
          <w:marBottom w:val="0"/>
          <w:divBdr>
            <w:top w:val="none" w:sz="0" w:space="0" w:color="auto"/>
            <w:left w:val="none" w:sz="0" w:space="0" w:color="auto"/>
            <w:bottom w:val="none" w:sz="0" w:space="0" w:color="auto"/>
            <w:right w:val="none" w:sz="0" w:space="0" w:color="auto"/>
          </w:divBdr>
          <w:divsChild>
            <w:div w:id="211616781">
              <w:marLeft w:val="0"/>
              <w:marRight w:val="0"/>
              <w:marTop w:val="0"/>
              <w:marBottom w:val="0"/>
              <w:divBdr>
                <w:top w:val="none" w:sz="0" w:space="0" w:color="auto"/>
                <w:left w:val="none" w:sz="0" w:space="0" w:color="auto"/>
                <w:bottom w:val="none" w:sz="0" w:space="0" w:color="auto"/>
                <w:right w:val="none" w:sz="0" w:space="0" w:color="auto"/>
              </w:divBdr>
            </w:div>
            <w:div w:id="200477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301">
      <w:bodyDiv w:val="1"/>
      <w:marLeft w:val="0"/>
      <w:marRight w:val="0"/>
      <w:marTop w:val="0"/>
      <w:marBottom w:val="0"/>
      <w:divBdr>
        <w:top w:val="none" w:sz="0" w:space="0" w:color="auto"/>
        <w:left w:val="none" w:sz="0" w:space="0" w:color="auto"/>
        <w:bottom w:val="none" w:sz="0" w:space="0" w:color="auto"/>
        <w:right w:val="none" w:sz="0" w:space="0" w:color="auto"/>
      </w:divBdr>
    </w:div>
    <w:div w:id="1674185085">
      <w:bodyDiv w:val="1"/>
      <w:marLeft w:val="0"/>
      <w:marRight w:val="0"/>
      <w:marTop w:val="0"/>
      <w:marBottom w:val="0"/>
      <w:divBdr>
        <w:top w:val="none" w:sz="0" w:space="0" w:color="auto"/>
        <w:left w:val="none" w:sz="0" w:space="0" w:color="auto"/>
        <w:bottom w:val="none" w:sz="0" w:space="0" w:color="auto"/>
        <w:right w:val="none" w:sz="0" w:space="0" w:color="auto"/>
      </w:divBdr>
    </w:div>
    <w:div w:id="1704479216">
      <w:bodyDiv w:val="1"/>
      <w:marLeft w:val="0"/>
      <w:marRight w:val="0"/>
      <w:marTop w:val="0"/>
      <w:marBottom w:val="0"/>
      <w:divBdr>
        <w:top w:val="none" w:sz="0" w:space="0" w:color="auto"/>
        <w:left w:val="none" w:sz="0" w:space="0" w:color="auto"/>
        <w:bottom w:val="none" w:sz="0" w:space="0" w:color="auto"/>
        <w:right w:val="none" w:sz="0" w:space="0" w:color="auto"/>
      </w:divBdr>
      <w:divsChild>
        <w:div w:id="631977980">
          <w:marLeft w:val="763"/>
          <w:marRight w:val="0"/>
          <w:marTop w:val="0"/>
          <w:marBottom w:val="0"/>
          <w:divBdr>
            <w:top w:val="none" w:sz="0" w:space="0" w:color="auto"/>
            <w:left w:val="none" w:sz="0" w:space="0" w:color="auto"/>
            <w:bottom w:val="none" w:sz="0" w:space="0" w:color="auto"/>
            <w:right w:val="none" w:sz="0" w:space="0" w:color="auto"/>
          </w:divBdr>
        </w:div>
        <w:div w:id="1610046623">
          <w:marLeft w:val="763"/>
          <w:marRight w:val="0"/>
          <w:marTop w:val="0"/>
          <w:marBottom w:val="0"/>
          <w:divBdr>
            <w:top w:val="none" w:sz="0" w:space="0" w:color="auto"/>
            <w:left w:val="none" w:sz="0" w:space="0" w:color="auto"/>
            <w:bottom w:val="none" w:sz="0" w:space="0" w:color="auto"/>
            <w:right w:val="none" w:sz="0" w:space="0" w:color="auto"/>
          </w:divBdr>
        </w:div>
      </w:divsChild>
    </w:div>
    <w:div w:id="1722441355">
      <w:bodyDiv w:val="1"/>
      <w:marLeft w:val="0"/>
      <w:marRight w:val="0"/>
      <w:marTop w:val="0"/>
      <w:marBottom w:val="0"/>
      <w:divBdr>
        <w:top w:val="none" w:sz="0" w:space="0" w:color="auto"/>
        <w:left w:val="none" w:sz="0" w:space="0" w:color="auto"/>
        <w:bottom w:val="none" w:sz="0" w:space="0" w:color="auto"/>
        <w:right w:val="none" w:sz="0" w:space="0" w:color="auto"/>
      </w:divBdr>
      <w:divsChild>
        <w:div w:id="347491264">
          <w:marLeft w:val="0"/>
          <w:marRight w:val="0"/>
          <w:marTop w:val="0"/>
          <w:marBottom w:val="0"/>
          <w:divBdr>
            <w:top w:val="none" w:sz="0" w:space="0" w:color="auto"/>
            <w:left w:val="none" w:sz="0" w:space="0" w:color="auto"/>
            <w:bottom w:val="none" w:sz="0" w:space="0" w:color="auto"/>
            <w:right w:val="none" w:sz="0" w:space="0" w:color="auto"/>
          </w:divBdr>
          <w:divsChild>
            <w:div w:id="267852508">
              <w:marLeft w:val="0"/>
              <w:marRight w:val="0"/>
              <w:marTop w:val="0"/>
              <w:marBottom w:val="0"/>
              <w:divBdr>
                <w:top w:val="none" w:sz="0" w:space="0" w:color="auto"/>
                <w:left w:val="none" w:sz="0" w:space="0" w:color="auto"/>
                <w:bottom w:val="none" w:sz="0" w:space="0" w:color="auto"/>
                <w:right w:val="none" w:sz="0" w:space="0" w:color="auto"/>
              </w:divBdr>
            </w:div>
          </w:divsChild>
        </w:div>
        <w:div w:id="1320499745">
          <w:marLeft w:val="0"/>
          <w:marRight w:val="0"/>
          <w:marTop w:val="0"/>
          <w:marBottom w:val="0"/>
          <w:divBdr>
            <w:top w:val="none" w:sz="0" w:space="0" w:color="auto"/>
            <w:left w:val="none" w:sz="0" w:space="0" w:color="auto"/>
            <w:bottom w:val="none" w:sz="0" w:space="0" w:color="auto"/>
            <w:right w:val="none" w:sz="0" w:space="0" w:color="auto"/>
          </w:divBdr>
          <w:divsChild>
            <w:div w:id="17553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563018">
      <w:bodyDiv w:val="1"/>
      <w:marLeft w:val="0"/>
      <w:marRight w:val="0"/>
      <w:marTop w:val="0"/>
      <w:marBottom w:val="0"/>
      <w:divBdr>
        <w:top w:val="none" w:sz="0" w:space="0" w:color="auto"/>
        <w:left w:val="none" w:sz="0" w:space="0" w:color="auto"/>
        <w:bottom w:val="none" w:sz="0" w:space="0" w:color="auto"/>
        <w:right w:val="none" w:sz="0" w:space="0" w:color="auto"/>
      </w:divBdr>
      <w:divsChild>
        <w:div w:id="1378162746">
          <w:marLeft w:val="446"/>
          <w:marRight w:val="0"/>
          <w:marTop w:val="0"/>
          <w:marBottom w:val="0"/>
          <w:divBdr>
            <w:top w:val="none" w:sz="0" w:space="0" w:color="auto"/>
            <w:left w:val="none" w:sz="0" w:space="0" w:color="auto"/>
            <w:bottom w:val="none" w:sz="0" w:space="0" w:color="auto"/>
            <w:right w:val="none" w:sz="0" w:space="0" w:color="auto"/>
          </w:divBdr>
        </w:div>
      </w:divsChild>
    </w:div>
    <w:div w:id="1732926758">
      <w:bodyDiv w:val="1"/>
      <w:marLeft w:val="0"/>
      <w:marRight w:val="0"/>
      <w:marTop w:val="0"/>
      <w:marBottom w:val="0"/>
      <w:divBdr>
        <w:top w:val="none" w:sz="0" w:space="0" w:color="auto"/>
        <w:left w:val="none" w:sz="0" w:space="0" w:color="auto"/>
        <w:bottom w:val="none" w:sz="0" w:space="0" w:color="auto"/>
        <w:right w:val="none" w:sz="0" w:space="0" w:color="auto"/>
      </w:divBdr>
    </w:div>
    <w:div w:id="1736930827">
      <w:bodyDiv w:val="1"/>
      <w:marLeft w:val="0"/>
      <w:marRight w:val="0"/>
      <w:marTop w:val="0"/>
      <w:marBottom w:val="0"/>
      <w:divBdr>
        <w:top w:val="none" w:sz="0" w:space="0" w:color="auto"/>
        <w:left w:val="none" w:sz="0" w:space="0" w:color="auto"/>
        <w:bottom w:val="none" w:sz="0" w:space="0" w:color="auto"/>
        <w:right w:val="none" w:sz="0" w:space="0" w:color="auto"/>
      </w:divBdr>
    </w:div>
    <w:div w:id="1750151495">
      <w:bodyDiv w:val="1"/>
      <w:marLeft w:val="0"/>
      <w:marRight w:val="0"/>
      <w:marTop w:val="0"/>
      <w:marBottom w:val="0"/>
      <w:divBdr>
        <w:top w:val="none" w:sz="0" w:space="0" w:color="auto"/>
        <w:left w:val="none" w:sz="0" w:space="0" w:color="auto"/>
        <w:bottom w:val="none" w:sz="0" w:space="0" w:color="auto"/>
        <w:right w:val="none" w:sz="0" w:space="0" w:color="auto"/>
      </w:divBdr>
    </w:div>
    <w:div w:id="1765029132">
      <w:bodyDiv w:val="1"/>
      <w:marLeft w:val="0"/>
      <w:marRight w:val="0"/>
      <w:marTop w:val="0"/>
      <w:marBottom w:val="0"/>
      <w:divBdr>
        <w:top w:val="none" w:sz="0" w:space="0" w:color="auto"/>
        <w:left w:val="none" w:sz="0" w:space="0" w:color="auto"/>
        <w:bottom w:val="none" w:sz="0" w:space="0" w:color="auto"/>
        <w:right w:val="none" w:sz="0" w:space="0" w:color="auto"/>
      </w:divBdr>
    </w:div>
    <w:div w:id="1795706307">
      <w:bodyDiv w:val="1"/>
      <w:marLeft w:val="0"/>
      <w:marRight w:val="0"/>
      <w:marTop w:val="0"/>
      <w:marBottom w:val="0"/>
      <w:divBdr>
        <w:top w:val="none" w:sz="0" w:space="0" w:color="auto"/>
        <w:left w:val="none" w:sz="0" w:space="0" w:color="auto"/>
        <w:bottom w:val="none" w:sz="0" w:space="0" w:color="auto"/>
        <w:right w:val="none" w:sz="0" w:space="0" w:color="auto"/>
      </w:divBdr>
    </w:div>
    <w:div w:id="1811484110">
      <w:bodyDiv w:val="1"/>
      <w:marLeft w:val="0"/>
      <w:marRight w:val="0"/>
      <w:marTop w:val="0"/>
      <w:marBottom w:val="0"/>
      <w:divBdr>
        <w:top w:val="none" w:sz="0" w:space="0" w:color="auto"/>
        <w:left w:val="none" w:sz="0" w:space="0" w:color="auto"/>
        <w:bottom w:val="none" w:sz="0" w:space="0" w:color="auto"/>
        <w:right w:val="none" w:sz="0" w:space="0" w:color="auto"/>
      </w:divBdr>
      <w:divsChild>
        <w:div w:id="326250743">
          <w:marLeft w:val="1166"/>
          <w:marRight w:val="0"/>
          <w:marTop w:val="0"/>
          <w:marBottom w:val="0"/>
          <w:divBdr>
            <w:top w:val="none" w:sz="0" w:space="0" w:color="auto"/>
            <w:left w:val="none" w:sz="0" w:space="0" w:color="auto"/>
            <w:bottom w:val="none" w:sz="0" w:space="0" w:color="auto"/>
            <w:right w:val="none" w:sz="0" w:space="0" w:color="auto"/>
          </w:divBdr>
        </w:div>
        <w:div w:id="348145095">
          <w:marLeft w:val="1166"/>
          <w:marRight w:val="0"/>
          <w:marTop w:val="0"/>
          <w:marBottom w:val="0"/>
          <w:divBdr>
            <w:top w:val="none" w:sz="0" w:space="0" w:color="auto"/>
            <w:left w:val="none" w:sz="0" w:space="0" w:color="auto"/>
            <w:bottom w:val="none" w:sz="0" w:space="0" w:color="auto"/>
            <w:right w:val="none" w:sz="0" w:space="0" w:color="auto"/>
          </w:divBdr>
        </w:div>
        <w:div w:id="1006589489">
          <w:marLeft w:val="446"/>
          <w:marRight w:val="0"/>
          <w:marTop w:val="0"/>
          <w:marBottom w:val="0"/>
          <w:divBdr>
            <w:top w:val="none" w:sz="0" w:space="0" w:color="auto"/>
            <w:left w:val="none" w:sz="0" w:space="0" w:color="auto"/>
            <w:bottom w:val="none" w:sz="0" w:space="0" w:color="auto"/>
            <w:right w:val="none" w:sz="0" w:space="0" w:color="auto"/>
          </w:divBdr>
        </w:div>
        <w:div w:id="1135829887">
          <w:marLeft w:val="446"/>
          <w:marRight w:val="0"/>
          <w:marTop w:val="0"/>
          <w:marBottom w:val="0"/>
          <w:divBdr>
            <w:top w:val="none" w:sz="0" w:space="0" w:color="auto"/>
            <w:left w:val="none" w:sz="0" w:space="0" w:color="auto"/>
            <w:bottom w:val="none" w:sz="0" w:space="0" w:color="auto"/>
            <w:right w:val="none" w:sz="0" w:space="0" w:color="auto"/>
          </w:divBdr>
        </w:div>
        <w:div w:id="1194883848">
          <w:marLeft w:val="446"/>
          <w:marRight w:val="0"/>
          <w:marTop w:val="0"/>
          <w:marBottom w:val="0"/>
          <w:divBdr>
            <w:top w:val="none" w:sz="0" w:space="0" w:color="auto"/>
            <w:left w:val="none" w:sz="0" w:space="0" w:color="auto"/>
            <w:bottom w:val="none" w:sz="0" w:space="0" w:color="auto"/>
            <w:right w:val="none" w:sz="0" w:space="0" w:color="auto"/>
          </w:divBdr>
        </w:div>
        <w:div w:id="1368985874">
          <w:marLeft w:val="1166"/>
          <w:marRight w:val="0"/>
          <w:marTop w:val="0"/>
          <w:marBottom w:val="0"/>
          <w:divBdr>
            <w:top w:val="none" w:sz="0" w:space="0" w:color="auto"/>
            <w:left w:val="none" w:sz="0" w:space="0" w:color="auto"/>
            <w:bottom w:val="none" w:sz="0" w:space="0" w:color="auto"/>
            <w:right w:val="none" w:sz="0" w:space="0" w:color="auto"/>
          </w:divBdr>
        </w:div>
        <w:div w:id="1422991644">
          <w:marLeft w:val="446"/>
          <w:marRight w:val="0"/>
          <w:marTop w:val="0"/>
          <w:marBottom w:val="0"/>
          <w:divBdr>
            <w:top w:val="none" w:sz="0" w:space="0" w:color="auto"/>
            <w:left w:val="none" w:sz="0" w:space="0" w:color="auto"/>
            <w:bottom w:val="none" w:sz="0" w:space="0" w:color="auto"/>
            <w:right w:val="none" w:sz="0" w:space="0" w:color="auto"/>
          </w:divBdr>
        </w:div>
        <w:div w:id="1937713304">
          <w:marLeft w:val="446"/>
          <w:marRight w:val="0"/>
          <w:marTop w:val="0"/>
          <w:marBottom w:val="0"/>
          <w:divBdr>
            <w:top w:val="none" w:sz="0" w:space="0" w:color="auto"/>
            <w:left w:val="none" w:sz="0" w:space="0" w:color="auto"/>
            <w:bottom w:val="none" w:sz="0" w:space="0" w:color="auto"/>
            <w:right w:val="none" w:sz="0" w:space="0" w:color="auto"/>
          </w:divBdr>
        </w:div>
        <w:div w:id="2034307128">
          <w:marLeft w:val="1166"/>
          <w:marRight w:val="0"/>
          <w:marTop w:val="0"/>
          <w:marBottom w:val="0"/>
          <w:divBdr>
            <w:top w:val="none" w:sz="0" w:space="0" w:color="auto"/>
            <w:left w:val="none" w:sz="0" w:space="0" w:color="auto"/>
            <w:bottom w:val="none" w:sz="0" w:space="0" w:color="auto"/>
            <w:right w:val="none" w:sz="0" w:space="0" w:color="auto"/>
          </w:divBdr>
        </w:div>
      </w:divsChild>
    </w:div>
    <w:div w:id="1823737186">
      <w:bodyDiv w:val="1"/>
      <w:marLeft w:val="0"/>
      <w:marRight w:val="0"/>
      <w:marTop w:val="0"/>
      <w:marBottom w:val="0"/>
      <w:divBdr>
        <w:top w:val="none" w:sz="0" w:space="0" w:color="auto"/>
        <w:left w:val="none" w:sz="0" w:space="0" w:color="auto"/>
        <w:bottom w:val="none" w:sz="0" w:space="0" w:color="auto"/>
        <w:right w:val="none" w:sz="0" w:space="0" w:color="auto"/>
      </w:divBdr>
    </w:div>
    <w:div w:id="1829128798">
      <w:bodyDiv w:val="1"/>
      <w:marLeft w:val="0"/>
      <w:marRight w:val="0"/>
      <w:marTop w:val="0"/>
      <w:marBottom w:val="0"/>
      <w:divBdr>
        <w:top w:val="none" w:sz="0" w:space="0" w:color="auto"/>
        <w:left w:val="none" w:sz="0" w:space="0" w:color="auto"/>
        <w:bottom w:val="none" w:sz="0" w:space="0" w:color="auto"/>
        <w:right w:val="none" w:sz="0" w:space="0" w:color="auto"/>
      </w:divBdr>
      <w:divsChild>
        <w:div w:id="17314523">
          <w:marLeft w:val="0"/>
          <w:marRight w:val="0"/>
          <w:marTop w:val="0"/>
          <w:marBottom w:val="0"/>
          <w:divBdr>
            <w:top w:val="none" w:sz="0" w:space="0" w:color="auto"/>
            <w:left w:val="none" w:sz="0" w:space="0" w:color="auto"/>
            <w:bottom w:val="none" w:sz="0" w:space="0" w:color="auto"/>
            <w:right w:val="none" w:sz="0" w:space="0" w:color="auto"/>
          </w:divBdr>
          <w:divsChild>
            <w:div w:id="672731858">
              <w:marLeft w:val="0"/>
              <w:marRight w:val="0"/>
              <w:marTop w:val="0"/>
              <w:marBottom w:val="0"/>
              <w:divBdr>
                <w:top w:val="none" w:sz="0" w:space="0" w:color="auto"/>
                <w:left w:val="none" w:sz="0" w:space="0" w:color="auto"/>
                <w:bottom w:val="none" w:sz="0" w:space="0" w:color="auto"/>
                <w:right w:val="none" w:sz="0" w:space="0" w:color="auto"/>
              </w:divBdr>
            </w:div>
          </w:divsChild>
        </w:div>
        <w:div w:id="42757610">
          <w:marLeft w:val="0"/>
          <w:marRight w:val="0"/>
          <w:marTop w:val="0"/>
          <w:marBottom w:val="0"/>
          <w:divBdr>
            <w:top w:val="none" w:sz="0" w:space="0" w:color="auto"/>
            <w:left w:val="none" w:sz="0" w:space="0" w:color="auto"/>
            <w:bottom w:val="none" w:sz="0" w:space="0" w:color="auto"/>
            <w:right w:val="none" w:sz="0" w:space="0" w:color="auto"/>
          </w:divBdr>
          <w:divsChild>
            <w:div w:id="225848446">
              <w:marLeft w:val="0"/>
              <w:marRight w:val="0"/>
              <w:marTop w:val="0"/>
              <w:marBottom w:val="0"/>
              <w:divBdr>
                <w:top w:val="none" w:sz="0" w:space="0" w:color="auto"/>
                <w:left w:val="none" w:sz="0" w:space="0" w:color="auto"/>
                <w:bottom w:val="none" w:sz="0" w:space="0" w:color="auto"/>
                <w:right w:val="none" w:sz="0" w:space="0" w:color="auto"/>
              </w:divBdr>
            </w:div>
          </w:divsChild>
        </w:div>
        <w:div w:id="55861819">
          <w:marLeft w:val="0"/>
          <w:marRight w:val="0"/>
          <w:marTop w:val="0"/>
          <w:marBottom w:val="0"/>
          <w:divBdr>
            <w:top w:val="none" w:sz="0" w:space="0" w:color="auto"/>
            <w:left w:val="none" w:sz="0" w:space="0" w:color="auto"/>
            <w:bottom w:val="none" w:sz="0" w:space="0" w:color="auto"/>
            <w:right w:val="none" w:sz="0" w:space="0" w:color="auto"/>
          </w:divBdr>
          <w:divsChild>
            <w:div w:id="247738865">
              <w:marLeft w:val="0"/>
              <w:marRight w:val="0"/>
              <w:marTop w:val="0"/>
              <w:marBottom w:val="0"/>
              <w:divBdr>
                <w:top w:val="none" w:sz="0" w:space="0" w:color="auto"/>
                <w:left w:val="none" w:sz="0" w:space="0" w:color="auto"/>
                <w:bottom w:val="none" w:sz="0" w:space="0" w:color="auto"/>
                <w:right w:val="none" w:sz="0" w:space="0" w:color="auto"/>
              </w:divBdr>
            </w:div>
          </w:divsChild>
        </w:div>
        <w:div w:id="180971831">
          <w:marLeft w:val="0"/>
          <w:marRight w:val="0"/>
          <w:marTop w:val="0"/>
          <w:marBottom w:val="0"/>
          <w:divBdr>
            <w:top w:val="none" w:sz="0" w:space="0" w:color="auto"/>
            <w:left w:val="none" w:sz="0" w:space="0" w:color="auto"/>
            <w:bottom w:val="none" w:sz="0" w:space="0" w:color="auto"/>
            <w:right w:val="none" w:sz="0" w:space="0" w:color="auto"/>
          </w:divBdr>
          <w:divsChild>
            <w:div w:id="1800880676">
              <w:marLeft w:val="0"/>
              <w:marRight w:val="0"/>
              <w:marTop w:val="0"/>
              <w:marBottom w:val="0"/>
              <w:divBdr>
                <w:top w:val="none" w:sz="0" w:space="0" w:color="auto"/>
                <w:left w:val="none" w:sz="0" w:space="0" w:color="auto"/>
                <w:bottom w:val="none" w:sz="0" w:space="0" w:color="auto"/>
                <w:right w:val="none" w:sz="0" w:space="0" w:color="auto"/>
              </w:divBdr>
            </w:div>
          </w:divsChild>
        </w:div>
        <w:div w:id="186145734">
          <w:marLeft w:val="0"/>
          <w:marRight w:val="0"/>
          <w:marTop w:val="0"/>
          <w:marBottom w:val="0"/>
          <w:divBdr>
            <w:top w:val="none" w:sz="0" w:space="0" w:color="auto"/>
            <w:left w:val="none" w:sz="0" w:space="0" w:color="auto"/>
            <w:bottom w:val="none" w:sz="0" w:space="0" w:color="auto"/>
            <w:right w:val="none" w:sz="0" w:space="0" w:color="auto"/>
          </w:divBdr>
          <w:divsChild>
            <w:div w:id="1310747609">
              <w:marLeft w:val="0"/>
              <w:marRight w:val="0"/>
              <w:marTop w:val="0"/>
              <w:marBottom w:val="0"/>
              <w:divBdr>
                <w:top w:val="none" w:sz="0" w:space="0" w:color="auto"/>
                <w:left w:val="none" w:sz="0" w:space="0" w:color="auto"/>
                <w:bottom w:val="none" w:sz="0" w:space="0" w:color="auto"/>
                <w:right w:val="none" w:sz="0" w:space="0" w:color="auto"/>
              </w:divBdr>
            </w:div>
          </w:divsChild>
        </w:div>
        <w:div w:id="224730117">
          <w:marLeft w:val="0"/>
          <w:marRight w:val="0"/>
          <w:marTop w:val="0"/>
          <w:marBottom w:val="0"/>
          <w:divBdr>
            <w:top w:val="none" w:sz="0" w:space="0" w:color="auto"/>
            <w:left w:val="none" w:sz="0" w:space="0" w:color="auto"/>
            <w:bottom w:val="none" w:sz="0" w:space="0" w:color="auto"/>
            <w:right w:val="none" w:sz="0" w:space="0" w:color="auto"/>
          </w:divBdr>
          <w:divsChild>
            <w:div w:id="80758856">
              <w:marLeft w:val="0"/>
              <w:marRight w:val="0"/>
              <w:marTop w:val="0"/>
              <w:marBottom w:val="0"/>
              <w:divBdr>
                <w:top w:val="none" w:sz="0" w:space="0" w:color="auto"/>
                <w:left w:val="none" w:sz="0" w:space="0" w:color="auto"/>
                <w:bottom w:val="none" w:sz="0" w:space="0" w:color="auto"/>
                <w:right w:val="none" w:sz="0" w:space="0" w:color="auto"/>
              </w:divBdr>
            </w:div>
          </w:divsChild>
        </w:div>
        <w:div w:id="266429705">
          <w:marLeft w:val="0"/>
          <w:marRight w:val="0"/>
          <w:marTop w:val="0"/>
          <w:marBottom w:val="0"/>
          <w:divBdr>
            <w:top w:val="none" w:sz="0" w:space="0" w:color="auto"/>
            <w:left w:val="none" w:sz="0" w:space="0" w:color="auto"/>
            <w:bottom w:val="none" w:sz="0" w:space="0" w:color="auto"/>
            <w:right w:val="none" w:sz="0" w:space="0" w:color="auto"/>
          </w:divBdr>
          <w:divsChild>
            <w:div w:id="1867715943">
              <w:marLeft w:val="0"/>
              <w:marRight w:val="0"/>
              <w:marTop w:val="0"/>
              <w:marBottom w:val="0"/>
              <w:divBdr>
                <w:top w:val="none" w:sz="0" w:space="0" w:color="auto"/>
                <w:left w:val="none" w:sz="0" w:space="0" w:color="auto"/>
                <w:bottom w:val="none" w:sz="0" w:space="0" w:color="auto"/>
                <w:right w:val="none" w:sz="0" w:space="0" w:color="auto"/>
              </w:divBdr>
            </w:div>
          </w:divsChild>
        </w:div>
        <w:div w:id="303050435">
          <w:marLeft w:val="0"/>
          <w:marRight w:val="0"/>
          <w:marTop w:val="0"/>
          <w:marBottom w:val="0"/>
          <w:divBdr>
            <w:top w:val="none" w:sz="0" w:space="0" w:color="auto"/>
            <w:left w:val="none" w:sz="0" w:space="0" w:color="auto"/>
            <w:bottom w:val="none" w:sz="0" w:space="0" w:color="auto"/>
            <w:right w:val="none" w:sz="0" w:space="0" w:color="auto"/>
          </w:divBdr>
          <w:divsChild>
            <w:div w:id="1648047351">
              <w:marLeft w:val="0"/>
              <w:marRight w:val="0"/>
              <w:marTop w:val="0"/>
              <w:marBottom w:val="0"/>
              <w:divBdr>
                <w:top w:val="none" w:sz="0" w:space="0" w:color="auto"/>
                <w:left w:val="none" w:sz="0" w:space="0" w:color="auto"/>
                <w:bottom w:val="none" w:sz="0" w:space="0" w:color="auto"/>
                <w:right w:val="none" w:sz="0" w:space="0" w:color="auto"/>
              </w:divBdr>
            </w:div>
          </w:divsChild>
        </w:div>
        <w:div w:id="393625240">
          <w:marLeft w:val="0"/>
          <w:marRight w:val="0"/>
          <w:marTop w:val="0"/>
          <w:marBottom w:val="0"/>
          <w:divBdr>
            <w:top w:val="none" w:sz="0" w:space="0" w:color="auto"/>
            <w:left w:val="none" w:sz="0" w:space="0" w:color="auto"/>
            <w:bottom w:val="none" w:sz="0" w:space="0" w:color="auto"/>
            <w:right w:val="none" w:sz="0" w:space="0" w:color="auto"/>
          </w:divBdr>
          <w:divsChild>
            <w:div w:id="2051495752">
              <w:marLeft w:val="0"/>
              <w:marRight w:val="0"/>
              <w:marTop w:val="0"/>
              <w:marBottom w:val="0"/>
              <w:divBdr>
                <w:top w:val="none" w:sz="0" w:space="0" w:color="auto"/>
                <w:left w:val="none" w:sz="0" w:space="0" w:color="auto"/>
                <w:bottom w:val="none" w:sz="0" w:space="0" w:color="auto"/>
                <w:right w:val="none" w:sz="0" w:space="0" w:color="auto"/>
              </w:divBdr>
            </w:div>
          </w:divsChild>
        </w:div>
        <w:div w:id="521089936">
          <w:marLeft w:val="0"/>
          <w:marRight w:val="0"/>
          <w:marTop w:val="0"/>
          <w:marBottom w:val="0"/>
          <w:divBdr>
            <w:top w:val="none" w:sz="0" w:space="0" w:color="auto"/>
            <w:left w:val="none" w:sz="0" w:space="0" w:color="auto"/>
            <w:bottom w:val="none" w:sz="0" w:space="0" w:color="auto"/>
            <w:right w:val="none" w:sz="0" w:space="0" w:color="auto"/>
          </w:divBdr>
          <w:divsChild>
            <w:div w:id="891232162">
              <w:marLeft w:val="0"/>
              <w:marRight w:val="0"/>
              <w:marTop w:val="0"/>
              <w:marBottom w:val="0"/>
              <w:divBdr>
                <w:top w:val="none" w:sz="0" w:space="0" w:color="auto"/>
                <w:left w:val="none" w:sz="0" w:space="0" w:color="auto"/>
                <w:bottom w:val="none" w:sz="0" w:space="0" w:color="auto"/>
                <w:right w:val="none" w:sz="0" w:space="0" w:color="auto"/>
              </w:divBdr>
            </w:div>
          </w:divsChild>
        </w:div>
        <w:div w:id="708144809">
          <w:marLeft w:val="0"/>
          <w:marRight w:val="0"/>
          <w:marTop w:val="0"/>
          <w:marBottom w:val="0"/>
          <w:divBdr>
            <w:top w:val="none" w:sz="0" w:space="0" w:color="auto"/>
            <w:left w:val="none" w:sz="0" w:space="0" w:color="auto"/>
            <w:bottom w:val="none" w:sz="0" w:space="0" w:color="auto"/>
            <w:right w:val="none" w:sz="0" w:space="0" w:color="auto"/>
          </w:divBdr>
          <w:divsChild>
            <w:div w:id="2001881344">
              <w:marLeft w:val="0"/>
              <w:marRight w:val="0"/>
              <w:marTop w:val="0"/>
              <w:marBottom w:val="0"/>
              <w:divBdr>
                <w:top w:val="none" w:sz="0" w:space="0" w:color="auto"/>
                <w:left w:val="none" w:sz="0" w:space="0" w:color="auto"/>
                <w:bottom w:val="none" w:sz="0" w:space="0" w:color="auto"/>
                <w:right w:val="none" w:sz="0" w:space="0" w:color="auto"/>
              </w:divBdr>
            </w:div>
          </w:divsChild>
        </w:div>
        <w:div w:id="733087848">
          <w:marLeft w:val="0"/>
          <w:marRight w:val="0"/>
          <w:marTop w:val="0"/>
          <w:marBottom w:val="0"/>
          <w:divBdr>
            <w:top w:val="none" w:sz="0" w:space="0" w:color="auto"/>
            <w:left w:val="none" w:sz="0" w:space="0" w:color="auto"/>
            <w:bottom w:val="none" w:sz="0" w:space="0" w:color="auto"/>
            <w:right w:val="none" w:sz="0" w:space="0" w:color="auto"/>
          </w:divBdr>
          <w:divsChild>
            <w:div w:id="1168441462">
              <w:marLeft w:val="0"/>
              <w:marRight w:val="0"/>
              <w:marTop w:val="0"/>
              <w:marBottom w:val="0"/>
              <w:divBdr>
                <w:top w:val="none" w:sz="0" w:space="0" w:color="auto"/>
                <w:left w:val="none" w:sz="0" w:space="0" w:color="auto"/>
                <w:bottom w:val="none" w:sz="0" w:space="0" w:color="auto"/>
                <w:right w:val="none" w:sz="0" w:space="0" w:color="auto"/>
              </w:divBdr>
            </w:div>
          </w:divsChild>
        </w:div>
        <w:div w:id="820577952">
          <w:marLeft w:val="0"/>
          <w:marRight w:val="0"/>
          <w:marTop w:val="0"/>
          <w:marBottom w:val="0"/>
          <w:divBdr>
            <w:top w:val="none" w:sz="0" w:space="0" w:color="auto"/>
            <w:left w:val="none" w:sz="0" w:space="0" w:color="auto"/>
            <w:bottom w:val="none" w:sz="0" w:space="0" w:color="auto"/>
            <w:right w:val="none" w:sz="0" w:space="0" w:color="auto"/>
          </w:divBdr>
          <w:divsChild>
            <w:div w:id="853615256">
              <w:marLeft w:val="0"/>
              <w:marRight w:val="0"/>
              <w:marTop w:val="0"/>
              <w:marBottom w:val="0"/>
              <w:divBdr>
                <w:top w:val="none" w:sz="0" w:space="0" w:color="auto"/>
                <w:left w:val="none" w:sz="0" w:space="0" w:color="auto"/>
                <w:bottom w:val="none" w:sz="0" w:space="0" w:color="auto"/>
                <w:right w:val="none" w:sz="0" w:space="0" w:color="auto"/>
              </w:divBdr>
            </w:div>
          </w:divsChild>
        </w:div>
        <w:div w:id="855079390">
          <w:marLeft w:val="0"/>
          <w:marRight w:val="0"/>
          <w:marTop w:val="0"/>
          <w:marBottom w:val="0"/>
          <w:divBdr>
            <w:top w:val="none" w:sz="0" w:space="0" w:color="auto"/>
            <w:left w:val="none" w:sz="0" w:space="0" w:color="auto"/>
            <w:bottom w:val="none" w:sz="0" w:space="0" w:color="auto"/>
            <w:right w:val="none" w:sz="0" w:space="0" w:color="auto"/>
          </w:divBdr>
          <w:divsChild>
            <w:div w:id="2072925375">
              <w:marLeft w:val="0"/>
              <w:marRight w:val="0"/>
              <w:marTop w:val="0"/>
              <w:marBottom w:val="0"/>
              <w:divBdr>
                <w:top w:val="none" w:sz="0" w:space="0" w:color="auto"/>
                <w:left w:val="none" w:sz="0" w:space="0" w:color="auto"/>
                <w:bottom w:val="none" w:sz="0" w:space="0" w:color="auto"/>
                <w:right w:val="none" w:sz="0" w:space="0" w:color="auto"/>
              </w:divBdr>
            </w:div>
          </w:divsChild>
        </w:div>
        <w:div w:id="911547264">
          <w:marLeft w:val="0"/>
          <w:marRight w:val="0"/>
          <w:marTop w:val="0"/>
          <w:marBottom w:val="0"/>
          <w:divBdr>
            <w:top w:val="none" w:sz="0" w:space="0" w:color="auto"/>
            <w:left w:val="none" w:sz="0" w:space="0" w:color="auto"/>
            <w:bottom w:val="none" w:sz="0" w:space="0" w:color="auto"/>
            <w:right w:val="none" w:sz="0" w:space="0" w:color="auto"/>
          </w:divBdr>
          <w:divsChild>
            <w:div w:id="209848772">
              <w:marLeft w:val="0"/>
              <w:marRight w:val="0"/>
              <w:marTop w:val="0"/>
              <w:marBottom w:val="0"/>
              <w:divBdr>
                <w:top w:val="none" w:sz="0" w:space="0" w:color="auto"/>
                <w:left w:val="none" w:sz="0" w:space="0" w:color="auto"/>
                <w:bottom w:val="none" w:sz="0" w:space="0" w:color="auto"/>
                <w:right w:val="none" w:sz="0" w:space="0" w:color="auto"/>
              </w:divBdr>
            </w:div>
          </w:divsChild>
        </w:div>
        <w:div w:id="1024283912">
          <w:marLeft w:val="0"/>
          <w:marRight w:val="0"/>
          <w:marTop w:val="0"/>
          <w:marBottom w:val="0"/>
          <w:divBdr>
            <w:top w:val="none" w:sz="0" w:space="0" w:color="auto"/>
            <w:left w:val="none" w:sz="0" w:space="0" w:color="auto"/>
            <w:bottom w:val="none" w:sz="0" w:space="0" w:color="auto"/>
            <w:right w:val="none" w:sz="0" w:space="0" w:color="auto"/>
          </w:divBdr>
          <w:divsChild>
            <w:div w:id="724917726">
              <w:marLeft w:val="0"/>
              <w:marRight w:val="0"/>
              <w:marTop w:val="0"/>
              <w:marBottom w:val="0"/>
              <w:divBdr>
                <w:top w:val="none" w:sz="0" w:space="0" w:color="auto"/>
                <w:left w:val="none" w:sz="0" w:space="0" w:color="auto"/>
                <w:bottom w:val="none" w:sz="0" w:space="0" w:color="auto"/>
                <w:right w:val="none" w:sz="0" w:space="0" w:color="auto"/>
              </w:divBdr>
            </w:div>
          </w:divsChild>
        </w:div>
        <w:div w:id="1033503889">
          <w:marLeft w:val="0"/>
          <w:marRight w:val="0"/>
          <w:marTop w:val="0"/>
          <w:marBottom w:val="0"/>
          <w:divBdr>
            <w:top w:val="none" w:sz="0" w:space="0" w:color="auto"/>
            <w:left w:val="none" w:sz="0" w:space="0" w:color="auto"/>
            <w:bottom w:val="none" w:sz="0" w:space="0" w:color="auto"/>
            <w:right w:val="none" w:sz="0" w:space="0" w:color="auto"/>
          </w:divBdr>
          <w:divsChild>
            <w:div w:id="991132475">
              <w:marLeft w:val="0"/>
              <w:marRight w:val="0"/>
              <w:marTop w:val="0"/>
              <w:marBottom w:val="0"/>
              <w:divBdr>
                <w:top w:val="none" w:sz="0" w:space="0" w:color="auto"/>
                <w:left w:val="none" w:sz="0" w:space="0" w:color="auto"/>
                <w:bottom w:val="none" w:sz="0" w:space="0" w:color="auto"/>
                <w:right w:val="none" w:sz="0" w:space="0" w:color="auto"/>
              </w:divBdr>
            </w:div>
          </w:divsChild>
        </w:div>
        <w:div w:id="1229225447">
          <w:marLeft w:val="0"/>
          <w:marRight w:val="0"/>
          <w:marTop w:val="0"/>
          <w:marBottom w:val="0"/>
          <w:divBdr>
            <w:top w:val="none" w:sz="0" w:space="0" w:color="auto"/>
            <w:left w:val="none" w:sz="0" w:space="0" w:color="auto"/>
            <w:bottom w:val="none" w:sz="0" w:space="0" w:color="auto"/>
            <w:right w:val="none" w:sz="0" w:space="0" w:color="auto"/>
          </w:divBdr>
          <w:divsChild>
            <w:div w:id="10954069">
              <w:marLeft w:val="0"/>
              <w:marRight w:val="0"/>
              <w:marTop w:val="0"/>
              <w:marBottom w:val="0"/>
              <w:divBdr>
                <w:top w:val="none" w:sz="0" w:space="0" w:color="auto"/>
                <w:left w:val="none" w:sz="0" w:space="0" w:color="auto"/>
                <w:bottom w:val="none" w:sz="0" w:space="0" w:color="auto"/>
                <w:right w:val="none" w:sz="0" w:space="0" w:color="auto"/>
              </w:divBdr>
            </w:div>
          </w:divsChild>
        </w:div>
        <w:div w:id="1250115494">
          <w:marLeft w:val="0"/>
          <w:marRight w:val="0"/>
          <w:marTop w:val="0"/>
          <w:marBottom w:val="0"/>
          <w:divBdr>
            <w:top w:val="none" w:sz="0" w:space="0" w:color="auto"/>
            <w:left w:val="none" w:sz="0" w:space="0" w:color="auto"/>
            <w:bottom w:val="none" w:sz="0" w:space="0" w:color="auto"/>
            <w:right w:val="none" w:sz="0" w:space="0" w:color="auto"/>
          </w:divBdr>
          <w:divsChild>
            <w:div w:id="1635064322">
              <w:marLeft w:val="0"/>
              <w:marRight w:val="0"/>
              <w:marTop w:val="0"/>
              <w:marBottom w:val="0"/>
              <w:divBdr>
                <w:top w:val="none" w:sz="0" w:space="0" w:color="auto"/>
                <w:left w:val="none" w:sz="0" w:space="0" w:color="auto"/>
                <w:bottom w:val="none" w:sz="0" w:space="0" w:color="auto"/>
                <w:right w:val="none" w:sz="0" w:space="0" w:color="auto"/>
              </w:divBdr>
            </w:div>
          </w:divsChild>
        </w:div>
        <w:div w:id="1265308911">
          <w:marLeft w:val="0"/>
          <w:marRight w:val="0"/>
          <w:marTop w:val="0"/>
          <w:marBottom w:val="0"/>
          <w:divBdr>
            <w:top w:val="none" w:sz="0" w:space="0" w:color="auto"/>
            <w:left w:val="none" w:sz="0" w:space="0" w:color="auto"/>
            <w:bottom w:val="none" w:sz="0" w:space="0" w:color="auto"/>
            <w:right w:val="none" w:sz="0" w:space="0" w:color="auto"/>
          </w:divBdr>
          <w:divsChild>
            <w:div w:id="415176437">
              <w:marLeft w:val="0"/>
              <w:marRight w:val="0"/>
              <w:marTop w:val="0"/>
              <w:marBottom w:val="0"/>
              <w:divBdr>
                <w:top w:val="none" w:sz="0" w:space="0" w:color="auto"/>
                <w:left w:val="none" w:sz="0" w:space="0" w:color="auto"/>
                <w:bottom w:val="none" w:sz="0" w:space="0" w:color="auto"/>
                <w:right w:val="none" w:sz="0" w:space="0" w:color="auto"/>
              </w:divBdr>
            </w:div>
          </w:divsChild>
        </w:div>
        <w:div w:id="1374229826">
          <w:marLeft w:val="0"/>
          <w:marRight w:val="0"/>
          <w:marTop w:val="0"/>
          <w:marBottom w:val="0"/>
          <w:divBdr>
            <w:top w:val="none" w:sz="0" w:space="0" w:color="auto"/>
            <w:left w:val="none" w:sz="0" w:space="0" w:color="auto"/>
            <w:bottom w:val="none" w:sz="0" w:space="0" w:color="auto"/>
            <w:right w:val="none" w:sz="0" w:space="0" w:color="auto"/>
          </w:divBdr>
          <w:divsChild>
            <w:div w:id="593247061">
              <w:marLeft w:val="0"/>
              <w:marRight w:val="0"/>
              <w:marTop w:val="0"/>
              <w:marBottom w:val="0"/>
              <w:divBdr>
                <w:top w:val="none" w:sz="0" w:space="0" w:color="auto"/>
                <w:left w:val="none" w:sz="0" w:space="0" w:color="auto"/>
                <w:bottom w:val="none" w:sz="0" w:space="0" w:color="auto"/>
                <w:right w:val="none" w:sz="0" w:space="0" w:color="auto"/>
              </w:divBdr>
            </w:div>
          </w:divsChild>
        </w:div>
        <w:div w:id="1377121021">
          <w:marLeft w:val="0"/>
          <w:marRight w:val="0"/>
          <w:marTop w:val="0"/>
          <w:marBottom w:val="0"/>
          <w:divBdr>
            <w:top w:val="none" w:sz="0" w:space="0" w:color="auto"/>
            <w:left w:val="none" w:sz="0" w:space="0" w:color="auto"/>
            <w:bottom w:val="none" w:sz="0" w:space="0" w:color="auto"/>
            <w:right w:val="none" w:sz="0" w:space="0" w:color="auto"/>
          </w:divBdr>
          <w:divsChild>
            <w:div w:id="766656358">
              <w:marLeft w:val="0"/>
              <w:marRight w:val="0"/>
              <w:marTop w:val="0"/>
              <w:marBottom w:val="0"/>
              <w:divBdr>
                <w:top w:val="none" w:sz="0" w:space="0" w:color="auto"/>
                <w:left w:val="none" w:sz="0" w:space="0" w:color="auto"/>
                <w:bottom w:val="none" w:sz="0" w:space="0" w:color="auto"/>
                <w:right w:val="none" w:sz="0" w:space="0" w:color="auto"/>
              </w:divBdr>
            </w:div>
          </w:divsChild>
        </w:div>
        <w:div w:id="1399355748">
          <w:marLeft w:val="0"/>
          <w:marRight w:val="0"/>
          <w:marTop w:val="0"/>
          <w:marBottom w:val="0"/>
          <w:divBdr>
            <w:top w:val="none" w:sz="0" w:space="0" w:color="auto"/>
            <w:left w:val="none" w:sz="0" w:space="0" w:color="auto"/>
            <w:bottom w:val="none" w:sz="0" w:space="0" w:color="auto"/>
            <w:right w:val="none" w:sz="0" w:space="0" w:color="auto"/>
          </w:divBdr>
          <w:divsChild>
            <w:div w:id="1687320213">
              <w:marLeft w:val="0"/>
              <w:marRight w:val="0"/>
              <w:marTop w:val="0"/>
              <w:marBottom w:val="0"/>
              <w:divBdr>
                <w:top w:val="none" w:sz="0" w:space="0" w:color="auto"/>
                <w:left w:val="none" w:sz="0" w:space="0" w:color="auto"/>
                <w:bottom w:val="none" w:sz="0" w:space="0" w:color="auto"/>
                <w:right w:val="none" w:sz="0" w:space="0" w:color="auto"/>
              </w:divBdr>
            </w:div>
          </w:divsChild>
        </w:div>
        <w:div w:id="1589466028">
          <w:marLeft w:val="0"/>
          <w:marRight w:val="0"/>
          <w:marTop w:val="0"/>
          <w:marBottom w:val="0"/>
          <w:divBdr>
            <w:top w:val="none" w:sz="0" w:space="0" w:color="auto"/>
            <w:left w:val="none" w:sz="0" w:space="0" w:color="auto"/>
            <w:bottom w:val="none" w:sz="0" w:space="0" w:color="auto"/>
            <w:right w:val="none" w:sz="0" w:space="0" w:color="auto"/>
          </w:divBdr>
          <w:divsChild>
            <w:div w:id="479424876">
              <w:marLeft w:val="0"/>
              <w:marRight w:val="0"/>
              <w:marTop w:val="0"/>
              <w:marBottom w:val="0"/>
              <w:divBdr>
                <w:top w:val="none" w:sz="0" w:space="0" w:color="auto"/>
                <w:left w:val="none" w:sz="0" w:space="0" w:color="auto"/>
                <w:bottom w:val="none" w:sz="0" w:space="0" w:color="auto"/>
                <w:right w:val="none" w:sz="0" w:space="0" w:color="auto"/>
              </w:divBdr>
            </w:div>
          </w:divsChild>
        </w:div>
        <w:div w:id="1593858999">
          <w:marLeft w:val="0"/>
          <w:marRight w:val="0"/>
          <w:marTop w:val="0"/>
          <w:marBottom w:val="0"/>
          <w:divBdr>
            <w:top w:val="none" w:sz="0" w:space="0" w:color="auto"/>
            <w:left w:val="none" w:sz="0" w:space="0" w:color="auto"/>
            <w:bottom w:val="none" w:sz="0" w:space="0" w:color="auto"/>
            <w:right w:val="none" w:sz="0" w:space="0" w:color="auto"/>
          </w:divBdr>
          <w:divsChild>
            <w:div w:id="151800723">
              <w:marLeft w:val="0"/>
              <w:marRight w:val="0"/>
              <w:marTop w:val="0"/>
              <w:marBottom w:val="0"/>
              <w:divBdr>
                <w:top w:val="none" w:sz="0" w:space="0" w:color="auto"/>
                <w:left w:val="none" w:sz="0" w:space="0" w:color="auto"/>
                <w:bottom w:val="none" w:sz="0" w:space="0" w:color="auto"/>
                <w:right w:val="none" w:sz="0" w:space="0" w:color="auto"/>
              </w:divBdr>
            </w:div>
          </w:divsChild>
        </w:div>
        <w:div w:id="1719553419">
          <w:marLeft w:val="0"/>
          <w:marRight w:val="0"/>
          <w:marTop w:val="0"/>
          <w:marBottom w:val="0"/>
          <w:divBdr>
            <w:top w:val="none" w:sz="0" w:space="0" w:color="auto"/>
            <w:left w:val="none" w:sz="0" w:space="0" w:color="auto"/>
            <w:bottom w:val="none" w:sz="0" w:space="0" w:color="auto"/>
            <w:right w:val="none" w:sz="0" w:space="0" w:color="auto"/>
          </w:divBdr>
          <w:divsChild>
            <w:div w:id="184640395">
              <w:marLeft w:val="0"/>
              <w:marRight w:val="0"/>
              <w:marTop w:val="0"/>
              <w:marBottom w:val="0"/>
              <w:divBdr>
                <w:top w:val="none" w:sz="0" w:space="0" w:color="auto"/>
                <w:left w:val="none" w:sz="0" w:space="0" w:color="auto"/>
                <w:bottom w:val="none" w:sz="0" w:space="0" w:color="auto"/>
                <w:right w:val="none" w:sz="0" w:space="0" w:color="auto"/>
              </w:divBdr>
            </w:div>
          </w:divsChild>
        </w:div>
        <w:div w:id="1733196007">
          <w:marLeft w:val="0"/>
          <w:marRight w:val="0"/>
          <w:marTop w:val="0"/>
          <w:marBottom w:val="0"/>
          <w:divBdr>
            <w:top w:val="none" w:sz="0" w:space="0" w:color="auto"/>
            <w:left w:val="none" w:sz="0" w:space="0" w:color="auto"/>
            <w:bottom w:val="none" w:sz="0" w:space="0" w:color="auto"/>
            <w:right w:val="none" w:sz="0" w:space="0" w:color="auto"/>
          </w:divBdr>
          <w:divsChild>
            <w:div w:id="467742035">
              <w:marLeft w:val="0"/>
              <w:marRight w:val="0"/>
              <w:marTop w:val="0"/>
              <w:marBottom w:val="0"/>
              <w:divBdr>
                <w:top w:val="none" w:sz="0" w:space="0" w:color="auto"/>
                <w:left w:val="none" w:sz="0" w:space="0" w:color="auto"/>
                <w:bottom w:val="none" w:sz="0" w:space="0" w:color="auto"/>
                <w:right w:val="none" w:sz="0" w:space="0" w:color="auto"/>
              </w:divBdr>
            </w:div>
          </w:divsChild>
        </w:div>
        <w:div w:id="1882596670">
          <w:marLeft w:val="0"/>
          <w:marRight w:val="0"/>
          <w:marTop w:val="0"/>
          <w:marBottom w:val="0"/>
          <w:divBdr>
            <w:top w:val="none" w:sz="0" w:space="0" w:color="auto"/>
            <w:left w:val="none" w:sz="0" w:space="0" w:color="auto"/>
            <w:bottom w:val="none" w:sz="0" w:space="0" w:color="auto"/>
            <w:right w:val="none" w:sz="0" w:space="0" w:color="auto"/>
          </w:divBdr>
          <w:divsChild>
            <w:div w:id="191457213">
              <w:marLeft w:val="0"/>
              <w:marRight w:val="0"/>
              <w:marTop w:val="0"/>
              <w:marBottom w:val="0"/>
              <w:divBdr>
                <w:top w:val="none" w:sz="0" w:space="0" w:color="auto"/>
                <w:left w:val="none" w:sz="0" w:space="0" w:color="auto"/>
                <w:bottom w:val="none" w:sz="0" w:space="0" w:color="auto"/>
                <w:right w:val="none" w:sz="0" w:space="0" w:color="auto"/>
              </w:divBdr>
            </w:div>
          </w:divsChild>
        </w:div>
        <w:div w:id="1934777592">
          <w:marLeft w:val="0"/>
          <w:marRight w:val="0"/>
          <w:marTop w:val="0"/>
          <w:marBottom w:val="0"/>
          <w:divBdr>
            <w:top w:val="none" w:sz="0" w:space="0" w:color="auto"/>
            <w:left w:val="none" w:sz="0" w:space="0" w:color="auto"/>
            <w:bottom w:val="none" w:sz="0" w:space="0" w:color="auto"/>
            <w:right w:val="none" w:sz="0" w:space="0" w:color="auto"/>
          </w:divBdr>
          <w:divsChild>
            <w:div w:id="1580797082">
              <w:marLeft w:val="0"/>
              <w:marRight w:val="0"/>
              <w:marTop w:val="0"/>
              <w:marBottom w:val="0"/>
              <w:divBdr>
                <w:top w:val="none" w:sz="0" w:space="0" w:color="auto"/>
                <w:left w:val="none" w:sz="0" w:space="0" w:color="auto"/>
                <w:bottom w:val="none" w:sz="0" w:space="0" w:color="auto"/>
                <w:right w:val="none" w:sz="0" w:space="0" w:color="auto"/>
              </w:divBdr>
            </w:div>
          </w:divsChild>
        </w:div>
        <w:div w:id="2026591612">
          <w:marLeft w:val="0"/>
          <w:marRight w:val="0"/>
          <w:marTop w:val="0"/>
          <w:marBottom w:val="0"/>
          <w:divBdr>
            <w:top w:val="none" w:sz="0" w:space="0" w:color="auto"/>
            <w:left w:val="none" w:sz="0" w:space="0" w:color="auto"/>
            <w:bottom w:val="none" w:sz="0" w:space="0" w:color="auto"/>
            <w:right w:val="none" w:sz="0" w:space="0" w:color="auto"/>
          </w:divBdr>
          <w:divsChild>
            <w:div w:id="549651289">
              <w:marLeft w:val="0"/>
              <w:marRight w:val="0"/>
              <w:marTop w:val="0"/>
              <w:marBottom w:val="0"/>
              <w:divBdr>
                <w:top w:val="none" w:sz="0" w:space="0" w:color="auto"/>
                <w:left w:val="none" w:sz="0" w:space="0" w:color="auto"/>
                <w:bottom w:val="none" w:sz="0" w:space="0" w:color="auto"/>
                <w:right w:val="none" w:sz="0" w:space="0" w:color="auto"/>
              </w:divBdr>
            </w:div>
          </w:divsChild>
        </w:div>
        <w:div w:id="2066222615">
          <w:marLeft w:val="0"/>
          <w:marRight w:val="0"/>
          <w:marTop w:val="0"/>
          <w:marBottom w:val="0"/>
          <w:divBdr>
            <w:top w:val="none" w:sz="0" w:space="0" w:color="auto"/>
            <w:left w:val="none" w:sz="0" w:space="0" w:color="auto"/>
            <w:bottom w:val="none" w:sz="0" w:space="0" w:color="auto"/>
            <w:right w:val="none" w:sz="0" w:space="0" w:color="auto"/>
          </w:divBdr>
          <w:divsChild>
            <w:div w:id="1485318436">
              <w:marLeft w:val="0"/>
              <w:marRight w:val="0"/>
              <w:marTop w:val="0"/>
              <w:marBottom w:val="0"/>
              <w:divBdr>
                <w:top w:val="none" w:sz="0" w:space="0" w:color="auto"/>
                <w:left w:val="none" w:sz="0" w:space="0" w:color="auto"/>
                <w:bottom w:val="none" w:sz="0" w:space="0" w:color="auto"/>
                <w:right w:val="none" w:sz="0" w:space="0" w:color="auto"/>
              </w:divBdr>
            </w:div>
            <w:div w:id="1902986011">
              <w:marLeft w:val="0"/>
              <w:marRight w:val="0"/>
              <w:marTop w:val="0"/>
              <w:marBottom w:val="0"/>
              <w:divBdr>
                <w:top w:val="none" w:sz="0" w:space="0" w:color="auto"/>
                <w:left w:val="none" w:sz="0" w:space="0" w:color="auto"/>
                <w:bottom w:val="none" w:sz="0" w:space="0" w:color="auto"/>
                <w:right w:val="none" w:sz="0" w:space="0" w:color="auto"/>
              </w:divBdr>
            </w:div>
          </w:divsChild>
        </w:div>
        <w:div w:id="2120756726">
          <w:marLeft w:val="0"/>
          <w:marRight w:val="0"/>
          <w:marTop w:val="0"/>
          <w:marBottom w:val="0"/>
          <w:divBdr>
            <w:top w:val="none" w:sz="0" w:space="0" w:color="auto"/>
            <w:left w:val="none" w:sz="0" w:space="0" w:color="auto"/>
            <w:bottom w:val="none" w:sz="0" w:space="0" w:color="auto"/>
            <w:right w:val="none" w:sz="0" w:space="0" w:color="auto"/>
          </w:divBdr>
          <w:divsChild>
            <w:div w:id="2011372205">
              <w:marLeft w:val="0"/>
              <w:marRight w:val="0"/>
              <w:marTop w:val="0"/>
              <w:marBottom w:val="0"/>
              <w:divBdr>
                <w:top w:val="none" w:sz="0" w:space="0" w:color="auto"/>
                <w:left w:val="none" w:sz="0" w:space="0" w:color="auto"/>
                <w:bottom w:val="none" w:sz="0" w:space="0" w:color="auto"/>
                <w:right w:val="none" w:sz="0" w:space="0" w:color="auto"/>
              </w:divBdr>
            </w:div>
          </w:divsChild>
        </w:div>
        <w:div w:id="2121491384">
          <w:marLeft w:val="0"/>
          <w:marRight w:val="0"/>
          <w:marTop w:val="0"/>
          <w:marBottom w:val="0"/>
          <w:divBdr>
            <w:top w:val="none" w:sz="0" w:space="0" w:color="auto"/>
            <w:left w:val="none" w:sz="0" w:space="0" w:color="auto"/>
            <w:bottom w:val="none" w:sz="0" w:space="0" w:color="auto"/>
            <w:right w:val="none" w:sz="0" w:space="0" w:color="auto"/>
          </w:divBdr>
          <w:divsChild>
            <w:div w:id="1979412244">
              <w:marLeft w:val="0"/>
              <w:marRight w:val="0"/>
              <w:marTop w:val="0"/>
              <w:marBottom w:val="0"/>
              <w:divBdr>
                <w:top w:val="none" w:sz="0" w:space="0" w:color="auto"/>
                <w:left w:val="none" w:sz="0" w:space="0" w:color="auto"/>
                <w:bottom w:val="none" w:sz="0" w:space="0" w:color="auto"/>
                <w:right w:val="none" w:sz="0" w:space="0" w:color="auto"/>
              </w:divBdr>
            </w:div>
          </w:divsChild>
        </w:div>
        <w:div w:id="2127263623">
          <w:marLeft w:val="0"/>
          <w:marRight w:val="0"/>
          <w:marTop w:val="0"/>
          <w:marBottom w:val="0"/>
          <w:divBdr>
            <w:top w:val="none" w:sz="0" w:space="0" w:color="auto"/>
            <w:left w:val="none" w:sz="0" w:space="0" w:color="auto"/>
            <w:bottom w:val="none" w:sz="0" w:space="0" w:color="auto"/>
            <w:right w:val="none" w:sz="0" w:space="0" w:color="auto"/>
          </w:divBdr>
          <w:divsChild>
            <w:div w:id="753009701">
              <w:marLeft w:val="0"/>
              <w:marRight w:val="0"/>
              <w:marTop w:val="0"/>
              <w:marBottom w:val="0"/>
              <w:divBdr>
                <w:top w:val="none" w:sz="0" w:space="0" w:color="auto"/>
                <w:left w:val="none" w:sz="0" w:space="0" w:color="auto"/>
                <w:bottom w:val="none" w:sz="0" w:space="0" w:color="auto"/>
                <w:right w:val="none" w:sz="0" w:space="0" w:color="auto"/>
              </w:divBdr>
            </w:div>
          </w:divsChild>
        </w:div>
        <w:div w:id="2133744657">
          <w:marLeft w:val="0"/>
          <w:marRight w:val="0"/>
          <w:marTop w:val="0"/>
          <w:marBottom w:val="0"/>
          <w:divBdr>
            <w:top w:val="none" w:sz="0" w:space="0" w:color="auto"/>
            <w:left w:val="none" w:sz="0" w:space="0" w:color="auto"/>
            <w:bottom w:val="none" w:sz="0" w:space="0" w:color="auto"/>
            <w:right w:val="none" w:sz="0" w:space="0" w:color="auto"/>
          </w:divBdr>
          <w:divsChild>
            <w:div w:id="357051085">
              <w:marLeft w:val="0"/>
              <w:marRight w:val="0"/>
              <w:marTop w:val="0"/>
              <w:marBottom w:val="0"/>
              <w:divBdr>
                <w:top w:val="none" w:sz="0" w:space="0" w:color="auto"/>
                <w:left w:val="none" w:sz="0" w:space="0" w:color="auto"/>
                <w:bottom w:val="none" w:sz="0" w:space="0" w:color="auto"/>
                <w:right w:val="none" w:sz="0" w:space="0" w:color="auto"/>
              </w:divBdr>
            </w:div>
          </w:divsChild>
        </w:div>
        <w:div w:id="2139057639">
          <w:marLeft w:val="0"/>
          <w:marRight w:val="0"/>
          <w:marTop w:val="0"/>
          <w:marBottom w:val="0"/>
          <w:divBdr>
            <w:top w:val="none" w:sz="0" w:space="0" w:color="auto"/>
            <w:left w:val="none" w:sz="0" w:space="0" w:color="auto"/>
            <w:bottom w:val="none" w:sz="0" w:space="0" w:color="auto"/>
            <w:right w:val="none" w:sz="0" w:space="0" w:color="auto"/>
          </w:divBdr>
          <w:divsChild>
            <w:div w:id="20259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76617">
      <w:bodyDiv w:val="1"/>
      <w:marLeft w:val="0"/>
      <w:marRight w:val="0"/>
      <w:marTop w:val="0"/>
      <w:marBottom w:val="0"/>
      <w:divBdr>
        <w:top w:val="none" w:sz="0" w:space="0" w:color="auto"/>
        <w:left w:val="none" w:sz="0" w:space="0" w:color="auto"/>
        <w:bottom w:val="none" w:sz="0" w:space="0" w:color="auto"/>
        <w:right w:val="none" w:sz="0" w:space="0" w:color="auto"/>
      </w:divBdr>
      <w:divsChild>
        <w:div w:id="254943157">
          <w:marLeft w:val="0"/>
          <w:marRight w:val="0"/>
          <w:marTop w:val="0"/>
          <w:marBottom w:val="0"/>
          <w:divBdr>
            <w:top w:val="none" w:sz="0" w:space="0" w:color="auto"/>
            <w:left w:val="none" w:sz="0" w:space="0" w:color="auto"/>
            <w:bottom w:val="none" w:sz="0" w:space="0" w:color="auto"/>
            <w:right w:val="none" w:sz="0" w:space="0" w:color="auto"/>
          </w:divBdr>
        </w:div>
        <w:div w:id="1575699771">
          <w:marLeft w:val="0"/>
          <w:marRight w:val="0"/>
          <w:marTop w:val="0"/>
          <w:marBottom w:val="0"/>
          <w:divBdr>
            <w:top w:val="none" w:sz="0" w:space="0" w:color="auto"/>
            <w:left w:val="none" w:sz="0" w:space="0" w:color="auto"/>
            <w:bottom w:val="none" w:sz="0" w:space="0" w:color="auto"/>
            <w:right w:val="none" w:sz="0" w:space="0" w:color="auto"/>
          </w:divBdr>
        </w:div>
        <w:div w:id="1701587383">
          <w:marLeft w:val="0"/>
          <w:marRight w:val="0"/>
          <w:marTop w:val="0"/>
          <w:marBottom w:val="0"/>
          <w:divBdr>
            <w:top w:val="none" w:sz="0" w:space="0" w:color="auto"/>
            <w:left w:val="none" w:sz="0" w:space="0" w:color="auto"/>
            <w:bottom w:val="none" w:sz="0" w:space="0" w:color="auto"/>
            <w:right w:val="none" w:sz="0" w:space="0" w:color="auto"/>
          </w:divBdr>
        </w:div>
      </w:divsChild>
    </w:div>
    <w:div w:id="1841117100">
      <w:bodyDiv w:val="1"/>
      <w:marLeft w:val="0"/>
      <w:marRight w:val="0"/>
      <w:marTop w:val="0"/>
      <w:marBottom w:val="0"/>
      <w:divBdr>
        <w:top w:val="none" w:sz="0" w:space="0" w:color="auto"/>
        <w:left w:val="none" w:sz="0" w:space="0" w:color="auto"/>
        <w:bottom w:val="none" w:sz="0" w:space="0" w:color="auto"/>
        <w:right w:val="none" w:sz="0" w:space="0" w:color="auto"/>
      </w:divBdr>
    </w:div>
    <w:div w:id="1859344621">
      <w:bodyDiv w:val="1"/>
      <w:marLeft w:val="0"/>
      <w:marRight w:val="0"/>
      <w:marTop w:val="0"/>
      <w:marBottom w:val="0"/>
      <w:divBdr>
        <w:top w:val="none" w:sz="0" w:space="0" w:color="auto"/>
        <w:left w:val="none" w:sz="0" w:space="0" w:color="auto"/>
        <w:bottom w:val="none" w:sz="0" w:space="0" w:color="auto"/>
        <w:right w:val="none" w:sz="0" w:space="0" w:color="auto"/>
      </w:divBdr>
    </w:div>
    <w:div w:id="1862742359">
      <w:bodyDiv w:val="1"/>
      <w:marLeft w:val="0"/>
      <w:marRight w:val="0"/>
      <w:marTop w:val="0"/>
      <w:marBottom w:val="0"/>
      <w:divBdr>
        <w:top w:val="none" w:sz="0" w:space="0" w:color="auto"/>
        <w:left w:val="none" w:sz="0" w:space="0" w:color="auto"/>
        <w:bottom w:val="none" w:sz="0" w:space="0" w:color="auto"/>
        <w:right w:val="none" w:sz="0" w:space="0" w:color="auto"/>
      </w:divBdr>
    </w:div>
    <w:div w:id="1879245666">
      <w:bodyDiv w:val="1"/>
      <w:marLeft w:val="0"/>
      <w:marRight w:val="0"/>
      <w:marTop w:val="0"/>
      <w:marBottom w:val="0"/>
      <w:divBdr>
        <w:top w:val="none" w:sz="0" w:space="0" w:color="auto"/>
        <w:left w:val="none" w:sz="0" w:space="0" w:color="auto"/>
        <w:bottom w:val="none" w:sz="0" w:space="0" w:color="auto"/>
        <w:right w:val="none" w:sz="0" w:space="0" w:color="auto"/>
      </w:divBdr>
      <w:divsChild>
        <w:div w:id="716315349">
          <w:marLeft w:val="0"/>
          <w:marRight w:val="0"/>
          <w:marTop w:val="0"/>
          <w:marBottom w:val="0"/>
          <w:divBdr>
            <w:top w:val="none" w:sz="0" w:space="0" w:color="auto"/>
            <w:left w:val="none" w:sz="0" w:space="0" w:color="auto"/>
            <w:bottom w:val="none" w:sz="0" w:space="0" w:color="auto"/>
            <w:right w:val="none" w:sz="0" w:space="0" w:color="auto"/>
          </w:divBdr>
        </w:div>
      </w:divsChild>
    </w:div>
    <w:div w:id="1881431989">
      <w:bodyDiv w:val="1"/>
      <w:marLeft w:val="0"/>
      <w:marRight w:val="0"/>
      <w:marTop w:val="0"/>
      <w:marBottom w:val="0"/>
      <w:divBdr>
        <w:top w:val="none" w:sz="0" w:space="0" w:color="auto"/>
        <w:left w:val="none" w:sz="0" w:space="0" w:color="auto"/>
        <w:bottom w:val="none" w:sz="0" w:space="0" w:color="auto"/>
        <w:right w:val="none" w:sz="0" w:space="0" w:color="auto"/>
      </w:divBdr>
    </w:div>
    <w:div w:id="1889367597">
      <w:bodyDiv w:val="1"/>
      <w:marLeft w:val="0"/>
      <w:marRight w:val="0"/>
      <w:marTop w:val="0"/>
      <w:marBottom w:val="0"/>
      <w:divBdr>
        <w:top w:val="none" w:sz="0" w:space="0" w:color="auto"/>
        <w:left w:val="none" w:sz="0" w:space="0" w:color="auto"/>
        <w:bottom w:val="none" w:sz="0" w:space="0" w:color="auto"/>
        <w:right w:val="none" w:sz="0" w:space="0" w:color="auto"/>
      </w:divBdr>
    </w:div>
    <w:div w:id="1893694264">
      <w:bodyDiv w:val="1"/>
      <w:marLeft w:val="0"/>
      <w:marRight w:val="0"/>
      <w:marTop w:val="0"/>
      <w:marBottom w:val="0"/>
      <w:divBdr>
        <w:top w:val="none" w:sz="0" w:space="0" w:color="auto"/>
        <w:left w:val="none" w:sz="0" w:space="0" w:color="auto"/>
        <w:bottom w:val="none" w:sz="0" w:space="0" w:color="auto"/>
        <w:right w:val="none" w:sz="0" w:space="0" w:color="auto"/>
      </w:divBdr>
    </w:div>
    <w:div w:id="1894847302">
      <w:bodyDiv w:val="1"/>
      <w:marLeft w:val="0"/>
      <w:marRight w:val="0"/>
      <w:marTop w:val="0"/>
      <w:marBottom w:val="0"/>
      <w:divBdr>
        <w:top w:val="none" w:sz="0" w:space="0" w:color="auto"/>
        <w:left w:val="none" w:sz="0" w:space="0" w:color="auto"/>
        <w:bottom w:val="none" w:sz="0" w:space="0" w:color="auto"/>
        <w:right w:val="none" w:sz="0" w:space="0" w:color="auto"/>
      </w:divBdr>
      <w:divsChild>
        <w:div w:id="1014301552">
          <w:marLeft w:val="446"/>
          <w:marRight w:val="0"/>
          <w:marTop w:val="0"/>
          <w:marBottom w:val="0"/>
          <w:divBdr>
            <w:top w:val="none" w:sz="0" w:space="0" w:color="auto"/>
            <w:left w:val="none" w:sz="0" w:space="0" w:color="auto"/>
            <w:bottom w:val="none" w:sz="0" w:space="0" w:color="auto"/>
            <w:right w:val="none" w:sz="0" w:space="0" w:color="auto"/>
          </w:divBdr>
        </w:div>
        <w:div w:id="1205362646">
          <w:marLeft w:val="446"/>
          <w:marRight w:val="0"/>
          <w:marTop w:val="0"/>
          <w:marBottom w:val="0"/>
          <w:divBdr>
            <w:top w:val="none" w:sz="0" w:space="0" w:color="auto"/>
            <w:left w:val="none" w:sz="0" w:space="0" w:color="auto"/>
            <w:bottom w:val="none" w:sz="0" w:space="0" w:color="auto"/>
            <w:right w:val="none" w:sz="0" w:space="0" w:color="auto"/>
          </w:divBdr>
        </w:div>
        <w:div w:id="1873886148">
          <w:marLeft w:val="446"/>
          <w:marRight w:val="0"/>
          <w:marTop w:val="0"/>
          <w:marBottom w:val="0"/>
          <w:divBdr>
            <w:top w:val="none" w:sz="0" w:space="0" w:color="auto"/>
            <w:left w:val="none" w:sz="0" w:space="0" w:color="auto"/>
            <w:bottom w:val="none" w:sz="0" w:space="0" w:color="auto"/>
            <w:right w:val="none" w:sz="0" w:space="0" w:color="auto"/>
          </w:divBdr>
        </w:div>
      </w:divsChild>
    </w:div>
    <w:div w:id="1899321021">
      <w:bodyDiv w:val="1"/>
      <w:marLeft w:val="0"/>
      <w:marRight w:val="0"/>
      <w:marTop w:val="0"/>
      <w:marBottom w:val="0"/>
      <w:divBdr>
        <w:top w:val="none" w:sz="0" w:space="0" w:color="auto"/>
        <w:left w:val="none" w:sz="0" w:space="0" w:color="auto"/>
        <w:bottom w:val="none" w:sz="0" w:space="0" w:color="auto"/>
        <w:right w:val="none" w:sz="0" w:space="0" w:color="auto"/>
      </w:divBdr>
      <w:divsChild>
        <w:div w:id="34158929">
          <w:marLeft w:val="0"/>
          <w:marRight w:val="0"/>
          <w:marTop w:val="0"/>
          <w:marBottom w:val="0"/>
          <w:divBdr>
            <w:top w:val="none" w:sz="0" w:space="0" w:color="auto"/>
            <w:left w:val="none" w:sz="0" w:space="0" w:color="auto"/>
            <w:bottom w:val="none" w:sz="0" w:space="0" w:color="auto"/>
            <w:right w:val="none" w:sz="0" w:space="0" w:color="auto"/>
          </w:divBdr>
          <w:divsChild>
            <w:div w:id="222524940">
              <w:marLeft w:val="0"/>
              <w:marRight w:val="0"/>
              <w:marTop w:val="0"/>
              <w:marBottom w:val="0"/>
              <w:divBdr>
                <w:top w:val="none" w:sz="0" w:space="0" w:color="auto"/>
                <w:left w:val="none" w:sz="0" w:space="0" w:color="auto"/>
                <w:bottom w:val="none" w:sz="0" w:space="0" w:color="auto"/>
                <w:right w:val="none" w:sz="0" w:space="0" w:color="auto"/>
              </w:divBdr>
            </w:div>
            <w:div w:id="339897089">
              <w:marLeft w:val="0"/>
              <w:marRight w:val="0"/>
              <w:marTop w:val="0"/>
              <w:marBottom w:val="0"/>
              <w:divBdr>
                <w:top w:val="none" w:sz="0" w:space="0" w:color="auto"/>
                <w:left w:val="none" w:sz="0" w:space="0" w:color="auto"/>
                <w:bottom w:val="none" w:sz="0" w:space="0" w:color="auto"/>
                <w:right w:val="none" w:sz="0" w:space="0" w:color="auto"/>
              </w:divBdr>
            </w:div>
            <w:div w:id="694772597">
              <w:marLeft w:val="0"/>
              <w:marRight w:val="0"/>
              <w:marTop w:val="0"/>
              <w:marBottom w:val="0"/>
              <w:divBdr>
                <w:top w:val="none" w:sz="0" w:space="0" w:color="auto"/>
                <w:left w:val="none" w:sz="0" w:space="0" w:color="auto"/>
                <w:bottom w:val="none" w:sz="0" w:space="0" w:color="auto"/>
                <w:right w:val="none" w:sz="0" w:space="0" w:color="auto"/>
              </w:divBdr>
            </w:div>
            <w:div w:id="781074328">
              <w:marLeft w:val="0"/>
              <w:marRight w:val="0"/>
              <w:marTop w:val="0"/>
              <w:marBottom w:val="0"/>
              <w:divBdr>
                <w:top w:val="none" w:sz="0" w:space="0" w:color="auto"/>
                <w:left w:val="none" w:sz="0" w:space="0" w:color="auto"/>
                <w:bottom w:val="none" w:sz="0" w:space="0" w:color="auto"/>
                <w:right w:val="none" w:sz="0" w:space="0" w:color="auto"/>
              </w:divBdr>
            </w:div>
            <w:div w:id="1005982898">
              <w:marLeft w:val="0"/>
              <w:marRight w:val="0"/>
              <w:marTop w:val="0"/>
              <w:marBottom w:val="0"/>
              <w:divBdr>
                <w:top w:val="none" w:sz="0" w:space="0" w:color="auto"/>
                <w:left w:val="none" w:sz="0" w:space="0" w:color="auto"/>
                <w:bottom w:val="none" w:sz="0" w:space="0" w:color="auto"/>
                <w:right w:val="none" w:sz="0" w:space="0" w:color="auto"/>
              </w:divBdr>
            </w:div>
            <w:div w:id="1379745593">
              <w:marLeft w:val="0"/>
              <w:marRight w:val="0"/>
              <w:marTop w:val="0"/>
              <w:marBottom w:val="0"/>
              <w:divBdr>
                <w:top w:val="none" w:sz="0" w:space="0" w:color="auto"/>
                <w:left w:val="none" w:sz="0" w:space="0" w:color="auto"/>
                <w:bottom w:val="none" w:sz="0" w:space="0" w:color="auto"/>
                <w:right w:val="none" w:sz="0" w:space="0" w:color="auto"/>
              </w:divBdr>
            </w:div>
            <w:div w:id="1681615420">
              <w:marLeft w:val="0"/>
              <w:marRight w:val="0"/>
              <w:marTop w:val="0"/>
              <w:marBottom w:val="0"/>
              <w:divBdr>
                <w:top w:val="none" w:sz="0" w:space="0" w:color="auto"/>
                <w:left w:val="none" w:sz="0" w:space="0" w:color="auto"/>
                <w:bottom w:val="none" w:sz="0" w:space="0" w:color="auto"/>
                <w:right w:val="none" w:sz="0" w:space="0" w:color="auto"/>
              </w:divBdr>
            </w:div>
            <w:div w:id="2062555607">
              <w:marLeft w:val="0"/>
              <w:marRight w:val="0"/>
              <w:marTop w:val="0"/>
              <w:marBottom w:val="0"/>
              <w:divBdr>
                <w:top w:val="none" w:sz="0" w:space="0" w:color="auto"/>
                <w:left w:val="none" w:sz="0" w:space="0" w:color="auto"/>
                <w:bottom w:val="none" w:sz="0" w:space="0" w:color="auto"/>
                <w:right w:val="none" w:sz="0" w:space="0" w:color="auto"/>
              </w:divBdr>
            </w:div>
          </w:divsChild>
        </w:div>
        <w:div w:id="100758590">
          <w:marLeft w:val="0"/>
          <w:marRight w:val="0"/>
          <w:marTop w:val="0"/>
          <w:marBottom w:val="0"/>
          <w:divBdr>
            <w:top w:val="none" w:sz="0" w:space="0" w:color="auto"/>
            <w:left w:val="none" w:sz="0" w:space="0" w:color="auto"/>
            <w:bottom w:val="none" w:sz="0" w:space="0" w:color="auto"/>
            <w:right w:val="none" w:sz="0" w:space="0" w:color="auto"/>
          </w:divBdr>
          <w:divsChild>
            <w:div w:id="508954690">
              <w:marLeft w:val="0"/>
              <w:marRight w:val="0"/>
              <w:marTop w:val="0"/>
              <w:marBottom w:val="0"/>
              <w:divBdr>
                <w:top w:val="none" w:sz="0" w:space="0" w:color="auto"/>
                <w:left w:val="none" w:sz="0" w:space="0" w:color="auto"/>
                <w:bottom w:val="none" w:sz="0" w:space="0" w:color="auto"/>
                <w:right w:val="none" w:sz="0" w:space="0" w:color="auto"/>
              </w:divBdr>
            </w:div>
            <w:div w:id="1332684656">
              <w:marLeft w:val="0"/>
              <w:marRight w:val="0"/>
              <w:marTop w:val="0"/>
              <w:marBottom w:val="0"/>
              <w:divBdr>
                <w:top w:val="none" w:sz="0" w:space="0" w:color="auto"/>
                <w:left w:val="none" w:sz="0" w:space="0" w:color="auto"/>
                <w:bottom w:val="none" w:sz="0" w:space="0" w:color="auto"/>
                <w:right w:val="none" w:sz="0" w:space="0" w:color="auto"/>
              </w:divBdr>
            </w:div>
          </w:divsChild>
        </w:div>
        <w:div w:id="202791155">
          <w:marLeft w:val="0"/>
          <w:marRight w:val="0"/>
          <w:marTop w:val="0"/>
          <w:marBottom w:val="0"/>
          <w:divBdr>
            <w:top w:val="none" w:sz="0" w:space="0" w:color="auto"/>
            <w:left w:val="none" w:sz="0" w:space="0" w:color="auto"/>
            <w:bottom w:val="none" w:sz="0" w:space="0" w:color="auto"/>
            <w:right w:val="none" w:sz="0" w:space="0" w:color="auto"/>
          </w:divBdr>
          <w:divsChild>
            <w:div w:id="1192958231">
              <w:marLeft w:val="0"/>
              <w:marRight w:val="0"/>
              <w:marTop w:val="0"/>
              <w:marBottom w:val="0"/>
              <w:divBdr>
                <w:top w:val="none" w:sz="0" w:space="0" w:color="auto"/>
                <w:left w:val="none" w:sz="0" w:space="0" w:color="auto"/>
                <w:bottom w:val="none" w:sz="0" w:space="0" w:color="auto"/>
                <w:right w:val="none" w:sz="0" w:space="0" w:color="auto"/>
              </w:divBdr>
            </w:div>
          </w:divsChild>
        </w:div>
        <w:div w:id="260993484">
          <w:marLeft w:val="0"/>
          <w:marRight w:val="0"/>
          <w:marTop w:val="0"/>
          <w:marBottom w:val="0"/>
          <w:divBdr>
            <w:top w:val="none" w:sz="0" w:space="0" w:color="auto"/>
            <w:left w:val="none" w:sz="0" w:space="0" w:color="auto"/>
            <w:bottom w:val="none" w:sz="0" w:space="0" w:color="auto"/>
            <w:right w:val="none" w:sz="0" w:space="0" w:color="auto"/>
          </w:divBdr>
          <w:divsChild>
            <w:div w:id="669874408">
              <w:marLeft w:val="0"/>
              <w:marRight w:val="0"/>
              <w:marTop w:val="0"/>
              <w:marBottom w:val="0"/>
              <w:divBdr>
                <w:top w:val="none" w:sz="0" w:space="0" w:color="auto"/>
                <w:left w:val="none" w:sz="0" w:space="0" w:color="auto"/>
                <w:bottom w:val="none" w:sz="0" w:space="0" w:color="auto"/>
                <w:right w:val="none" w:sz="0" w:space="0" w:color="auto"/>
              </w:divBdr>
            </w:div>
            <w:div w:id="711537438">
              <w:marLeft w:val="0"/>
              <w:marRight w:val="0"/>
              <w:marTop w:val="0"/>
              <w:marBottom w:val="0"/>
              <w:divBdr>
                <w:top w:val="none" w:sz="0" w:space="0" w:color="auto"/>
                <w:left w:val="none" w:sz="0" w:space="0" w:color="auto"/>
                <w:bottom w:val="none" w:sz="0" w:space="0" w:color="auto"/>
                <w:right w:val="none" w:sz="0" w:space="0" w:color="auto"/>
              </w:divBdr>
            </w:div>
          </w:divsChild>
        </w:div>
        <w:div w:id="443110274">
          <w:marLeft w:val="0"/>
          <w:marRight w:val="0"/>
          <w:marTop w:val="0"/>
          <w:marBottom w:val="0"/>
          <w:divBdr>
            <w:top w:val="none" w:sz="0" w:space="0" w:color="auto"/>
            <w:left w:val="none" w:sz="0" w:space="0" w:color="auto"/>
            <w:bottom w:val="none" w:sz="0" w:space="0" w:color="auto"/>
            <w:right w:val="none" w:sz="0" w:space="0" w:color="auto"/>
          </w:divBdr>
          <w:divsChild>
            <w:div w:id="548617211">
              <w:marLeft w:val="0"/>
              <w:marRight w:val="0"/>
              <w:marTop w:val="0"/>
              <w:marBottom w:val="0"/>
              <w:divBdr>
                <w:top w:val="none" w:sz="0" w:space="0" w:color="auto"/>
                <w:left w:val="none" w:sz="0" w:space="0" w:color="auto"/>
                <w:bottom w:val="none" w:sz="0" w:space="0" w:color="auto"/>
                <w:right w:val="none" w:sz="0" w:space="0" w:color="auto"/>
              </w:divBdr>
            </w:div>
          </w:divsChild>
        </w:div>
        <w:div w:id="476149951">
          <w:marLeft w:val="0"/>
          <w:marRight w:val="0"/>
          <w:marTop w:val="0"/>
          <w:marBottom w:val="0"/>
          <w:divBdr>
            <w:top w:val="none" w:sz="0" w:space="0" w:color="auto"/>
            <w:left w:val="none" w:sz="0" w:space="0" w:color="auto"/>
            <w:bottom w:val="none" w:sz="0" w:space="0" w:color="auto"/>
            <w:right w:val="none" w:sz="0" w:space="0" w:color="auto"/>
          </w:divBdr>
          <w:divsChild>
            <w:div w:id="71317953">
              <w:marLeft w:val="0"/>
              <w:marRight w:val="0"/>
              <w:marTop w:val="0"/>
              <w:marBottom w:val="0"/>
              <w:divBdr>
                <w:top w:val="none" w:sz="0" w:space="0" w:color="auto"/>
                <w:left w:val="none" w:sz="0" w:space="0" w:color="auto"/>
                <w:bottom w:val="none" w:sz="0" w:space="0" w:color="auto"/>
                <w:right w:val="none" w:sz="0" w:space="0" w:color="auto"/>
              </w:divBdr>
            </w:div>
            <w:div w:id="653722388">
              <w:marLeft w:val="0"/>
              <w:marRight w:val="0"/>
              <w:marTop w:val="0"/>
              <w:marBottom w:val="0"/>
              <w:divBdr>
                <w:top w:val="none" w:sz="0" w:space="0" w:color="auto"/>
                <w:left w:val="none" w:sz="0" w:space="0" w:color="auto"/>
                <w:bottom w:val="none" w:sz="0" w:space="0" w:color="auto"/>
                <w:right w:val="none" w:sz="0" w:space="0" w:color="auto"/>
              </w:divBdr>
            </w:div>
            <w:div w:id="701901064">
              <w:marLeft w:val="0"/>
              <w:marRight w:val="0"/>
              <w:marTop w:val="0"/>
              <w:marBottom w:val="0"/>
              <w:divBdr>
                <w:top w:val="none" w:sz="0" w:space="0" w:color="auto"/>
                <w:left w:val="none" w:sz="0" w:space="0" w:color="auto"/>
                <w:bottom w:val="none" w:sz="0" w:space="0" w:color="auto"/>
                <w:right w:val="none" w:sz="0" w:space="0" w:color="auto"/>
              </w:divBdr>
            </w:div>
            <w:div w:id="772898779">
              <w:marLeft w:val="0"/>
              <w:marRight w:val="0"/>
              <w:marTop w:val="0"/>
              <w:marBottom w:val="0"/>
              <w:divBdr>
                <w:top w:val="none" w:sz="0" w:space="0" w:color="auto"/>
                <w:left w:val="none" w:sz="0" w:space="0" w:color="auto"/>
                <w:bottom w:val="none" w:sz="0" w:space="0" w:color="auto"/>
                <w:right w:val="none" w:sz="0" w:space="0" w:color="auto"/>
              </w:divBdr>
            </w:div>
          </w:divsChild>
        </w:div>
        <w:div w:id="538860410">
          <w:marLeft w:val="0"/>
          <w:marRight w:val="0"/>
          <w:marTop w:val="0"/>
          <w:marBottom w:val="0"/>
          <w:divBdr>
            <w:top w:val="none" w:sz="0" w:space="0" w:color="auto"/>
            <w:left w:val="none" w:sz="0" w:space="0" w:color="auto"/>
            <w:bottom w:val="none" w:sz="0" w:space="0" w:color="auto"/>
            <w:right w:val="none" w:sz="0" w:space="0" w:color="auto"/>
          </w:divBdr>
          <w:divsChild>
            <w:div w:id="1798526711">
              <w:marLeft w:val="0"/>
              <w:marRight w:val="0"/>
              <w:marTop w:val="0"/>
              <w:marBottom w:val="0"/>
              <w:divBdr>
                <w:top w:val="none" w:sz="0" w:space="0" w:color="auto"/>
                <w:left w:val="none" w:sz="0" w:space="0" w:color="auto"/>
                <w:bottom w:val="none" w:sz="0" w:space="0" w:color="auto"/>
                <w:right w:val="none" w:sz="0" w:space="0" w:color="auto"/>
              </w:divBdr>
            </w:div>
            <w:div w:id="1906329079">
              <w:marLeft w:val="0"/>
              <w:marRight w:val="0"/>
              <w:marTop w:val="0"/>
              <w:marBottom w:val="0"/>
              <w:divBdr>
                <w:top w:val="none" w:sz="0" w:space="0" w:color="auto"/>
                <w:left w:val="none" w:sz="0" w:space="0" w:color="auto"/>
                <w:bottom w:val="none" w:sz="0" w:space="0" w:color="auto"/>
                <w:right w:val="none" w:sz="0" w:space="0" w:color="auto"/>
              </w:divBdr>
            </w:div>
          </w:divsChild>
        </w:div>
        <w:div w:id="544026763">
          <w:marLeft w:val="0"/>
          <w:marRight w:val="0"/>
          <w:marTop w:val="0"/>
          <w:marBottom w:val="0"/>
          <w:divBdr>
            <w:top w:val="none" w:sz="0" w:space="0" w:color="auto"/>
            <w:left w:val="none" w:sz="0" w:space="0" w:color="auto"/>
            <w:bottom w:val="none" w:sz="0" w:space="0" w:color="auto"/>
            <w:right w:val="none" w:sz="0" w:space="0" w:color="auto"/>
          </w:divBdr>
          <w:divsChild>
            <w:div w:id="1328246002">
              <w:marLeft w:val="0"/>
              <w:marRight w:val="0"/>
              <w:marTop w:val="0"/>
              <w:marBottom w:val="0"/>
              <w:divBdr>
                <w:top w:val="none" w:sz="0" w:space="0" w:color="auto"/>
                <w:left w:val="none" w:sz="0" w:space="0" w:color="auto"/>
                <w:bottom w:val="none" w:sz="0" w:space="0" w:color="auto"/>
                <w:right w:val="none" w:sz="0" w:space="0" w:color="auto"/>
              </w:divBdr>
            </w:div>
          </w:divsChild>
        </w:div>
        <w:div w:id="568926418">
          <w:marLeft w:val="0"/>
          <w:marRight w:val="0"/>
          <w:marTop w:val="0"/>
          <w:marBottom w:val="0"/>
          <w:divBdr>
            <w:top w:val="none" w:sz="0" w:space="0" w:color="auto"/>
            <w:left w:val="none" w:sz="0" w:space="0" w:color="auto"/>
            <w:bottom w:val="none" w:sz="0" w:space="0" w:color="auto"/>
            <w:right w:val="none" w:sz="0" w:space="0" w:color="auto"/>
          </w:divBdr>
          <w:divsChild>
            <w:div w:id="93212638">
              <w:marLeft w:val="0"/>
              <w:marRight w:val="0"/>
              <w:marTop w:val="0"/>
              <w:marBottom w:val="0"/>
              <w:divBdr>
                <w:top w:val="none" w:sz="0" w:space="0" w:color="auto"/>
                <w:left w:val="none" w:sz="0" w:space="0" w:color="auto"/>
                <w:bottom w:val="none" w:sz="0" w:space="0" w:color="auto"/>
                <w:right w:val="none" w:sz="0" w:space="0" w:color="auto"/>
              </w:divBdr>
            </w:div>
          </w:divsChild>
        </w:div>
        <w:div w:id="806240008">
          <w:marLeft w:val="0"/>
          <w:marRight w:val="0"/>
          <w:marTop w:val="0"/>
          <w:marBottom w:val="0"/>
          <w:divBdr>
            <w:top w:val="none" w:sz="0" w:space="0" w:color="auto"/>
            <w:left w:val="none" w:sz="0" w:space="0" w:color="auto"/>
            <w:bottom w:val="none" w:sz="0" w:space="0" w:color="auto"/>
            <w:right w:val="none" w:sz="0" w:space="0" w:color="auto"/>
          </w:divBdr>
          <w:divsChild>
            <w:div w:id="892499337">
              <w:marLeft w:val="0"/>
              <w:marRight w:val="0"/>
              <w:marTop w:val="0"/>
              <w:marBottom w:val="0"/>
              <w:divBdr>
                <w:top w:val="none" w:sz="0" w:space="0" w:color="auto"/>
                <w:left w:val="none" w:sz="0" w:space="0" w:color="auto"/>
                <w:bottom w:val="none" w:sz="0" w:space="0" w:color="auto"/>
                <w:right w:val="none" w:sz="0" w:space="0" w:color="auto"/>
              </w:divBdr>
            </w:div>
            <w:div w:id="1556626584">
              <w:marLeft w:val="0"/>
              <w:marRight w:val="0"/>
              <w:marTop w:val="0"/>
              <w:marBottom w:val="0"/>
              <w:divBdr>
                <w:top w:val="none" w:sz="0" w:space="0" w:color="auto"/>
                <w:left w:val="none" w:sz="0" w:space="0" w:color="auto"/>
                <w:bottom w:val="none" w:sz="0" w:space="0" w:color="auto"/>
                <w:right w:val="none" w:sz="0" w:space="0" w:color="auto"/>
              </w:divBdr>
            </w:div>
          </w:divsChild>
        </w:div>
        <w:div w:id="839734881">
          <w:marLeft w:val="0"/>
          <w:marRight w:val="0"/>
          <w:marTop w:val="0"/>
          <w:marBottom w:val="0"/>
          <w:divBdr>
            <w:top w:val="none" w:sz="0" w:space="0" w:color="auto"/>
            <w:left w:val="none" w:sz="0" w:space="0" w:color="auto"/>
            <w:bottom w:val="none" w:sz="0" w:space="0" w:color="auto"/>
            <w:right w:val="none" w:sz="0" w:space="0" w:color="auto"/>
          </w:divBdr>
          <w:divsChild>
            <w:div w:id="1117681118">
              <w:marLeft w:val="0"/>
              <w:marRight w:val="0"/>
              <w:marTop w:val="0"/>
              <w:marBottom w:val="0"/>
              <w:divBdr>
                <w:top w:val="none" w:sz="0" w:space="0" w:color="auto"/>
                <w:left w:val="none" w:sz="0" w:space="0" w:color="auto"/>
                <w:bottom w:val="none" w:sz="0" w:space="0" w:color="auto"/>
                <w:right w:val="none" w:sz="0" w:space="0" w:color="auto"/>
              </w:divBdr>
            </w:div>
            <w:div w:id="2072540042">
              <w:marLeft w:val="0"/>
              <w:marRight w:val="0"/>
              <w:marTop w:val="0"/>
              <w:marBottom w:val="0"/>
              <w:divBdr>
                <w:top w:val="none" w:sz="0" w:space="0" w:color="auto"/>
                <w:left w:val="none" w:sz="0" w:space="0" w:color="auto"/>
                <w:bottom w:val="none" w:sz="0" w:space="0" w:color="auto"/>
                <w:right w:val="none" w:sz="0" w:space="0" w:color="auto"/>
              </w:divBdr>
            </w:div>
          </w:divsChild>
        </w:div>
        <w:div w:id="1195004382">
          <w:marLeft w:val="0"/>
          <w:marRight w:val="0"/>
          <w:marTop w:val="0"/>
          <w:marBottom w:val="0"/>
          <w:divBdr>
            <w:top w:val="none" w:sz="0" w:space="0" w:color="auto"/>
            <w:left w:val="none" w:sz="0" w:space="0" w:color="auto"/>
            <w:bottom w:val="none" w:sz="0" w:space="0" w:color="auto"/>
            <w:right w:val="none" w:sz="0" w:space="0" w:color="auto"/>
          </w:divBdr>
          <w:divsChild>
            <w:div w:id="2141220553">
              <w:marLeft w:val="0"/>
              <w:marRight w:val="0"/>
              <w:marTop w:val="0"/>
              <w:marBottom w:val="0"/>
              <w:divBdr>
                <w:top w:val="none" w:sz="0" w:space="0" w:color="auto"/>
                <w:left w:val="none" w:sz="0" w:space="0" w:color="auto"/>
                <w:bottom w:val="none" w:sz="0" w:space="0" w:color="auto"/>
                <w:right w:val="none" w:sz="0" w:space="0" w:color="auto"/>
              </w:divBdr>
            </w:div>
          </w:divsChild>
        </w:div>
        <w:div w:id="1339389472">
          <w:marLeft w:val="0"/>
          <w:marRight w:val="0"/>
          <w:marTop w:val="0"/>
          <w:marBottom w:val="0"/>
          <w:divBdr>
            <w:top w:val="none" w:sz="0" w:space="0" w:color="auto"/>
            <w:left w:val="none" w:sz="0" w:space="0" w:color="auto"/>
            <w:bottom w:val="none" w:sz="0" w:space="0" w:color="auto"/>
            <w:right w:val="none" w:sz="0" w:space="0" w:color="auto"/>
          </w:divBdr>
          <w:divsChild>
            <w:div w:id="120611446">
              <w:marLeft w:val="0"/>
              <w:marRight w:val="0"/>
              <w:marTop w:val="0"/>
              <w:marBottom w:val="0"/>
              <w:divBdr>
                <w:top w:val="none" w:sz="0" w:space="0" w:color="auto"/>
                <w:left w:val="none" w:sz="0" w:space="0" w:color="auto"/>
                <w:bottom w:val="none" w:sz="0" w:space="0" w:color="auto"/>
                <w:right w:val="none" w:sz="0" w:space="0" w:color="auto"/>
              </w:divBdr>
            </w:div>
            <w:div w:id="187453905">
              <w:marLeft w:val="0"/>
              <w:marRight w:val="0"/>
              <w:marTop w:val="0"/>
              <w:marBottom w:val="0"/>
              <w:divBdr>
                <w:top w:val="none" w:sz="0" w:space="0" w:color="auto"/>
                <w:left w:val="none" w:sz="0" w:space="0" w:color="auto"/>
                <w:bottom w:val="none" w:sz="0" w:space="0" w:color="auto"/>
                <w:right w:val="none" w:sz="0" w:space="0" w:color="auto"/>
              </w:divBdr>
            </w:div>
            <w:div w:id="1203513774">
              <w:marLeft w:val="0"/>
              <w:marRight w:val="0"/>
              <w:marTop w:val="0"/>
              <w:marBottom w:val="0"/>
              <w:divBdr>
                <w:top w:val="none" w:sz="0" w:space="0" w:color="auto"/>
                <w:left w:val="none" w:sz="0" w:space="0" w:color="auto"/>
                <w:bottom w:val="none" w:sz="0" w:space="0" w:color="auto"/>
                <w:right w:val="none" w:sz="0" w:space="0" w:color="auto"/>
              </w:divBdr>
            </w:div>
            <w:div w:id="1556815954">
              <w:marLeft w:val="0"/>
              <w:marRight w:val="0"/>
              <w:marTop w:val="0"/>
              <w:marBottom w:val="0"/>
              <w:divBdr>
                <w:top w:val="none" w:sz="0" w:space="0" w:color="auto"/>
                <w:left w:val="none" w:sz="0" w:space="0" w:color="auto"/>
                <w:bottom w:val="none" w:sz="0" w:space="0" w:color="auto"/>
                <w:right w:val="none" w:sz="0" w:space="0" w:color="auto"/>
              </w:divBdr>
            </w:div>
            <w:div w:id="1650791083">
              <w:marLeft w:val="0"/>
              <w:marRight w:val="0"/>
              <w:marTop w:val="0"/>
              <w:marBottom w:val="0"/>
              <w:divBdr>
                <w:top w:val="none" w:sz="0" w:space="0" w:color="auto"/>
                <w:left w:val="none" w:sz="0" w:space="0" w:color="auto"/>
                <w:bottom w:val="none" w:sz="0" w:space="0" w:color="auto"/>
                <w:right w:val="none" w:sz="0" w:space="0" w:color="auto"/>
              </w:divBdr>
            </w:div>
            <w:div w:id="1866627483">
              <w:marLeft w:val="0"/>
              <w:marRight w:val="0"/>
              <w:marTop w:val="0"/>
              <w:marBottom w:val="0"/>
              <w:divBdr>
                <w:top w:val="none" w:sz="0" w:space="0" w:color="auto"/>
                <w:left w:val="none" w:sz="0" w:space="0" w:color="auto"/>
                <w:bottom w:val="none" w:sz="0" w:space="0" w:color="auto"/>
                <w:right w:val="none" w:sz="0" w:space="0" w:color="auto"/>
              </w:divBdr>
            </w:div>
          </w:divsChild>
        </w:div>
        <w:div w:id="1383019133">
          <w:marLeft w:val="0"/>
          <w:marRight w:val="0"/>
          <w:marTop w:val="0"/>
          <w:marBottom w:val="0"/>
          <w:divBdr>
            <w:top w:val="none" w:sz="0" w:space="0" w:color="auto"/>
            <w:left w:val="none" w:sz="0" w:space="0" w:color="auto"/>
            <w:bottom w:val="none" w:sz="0" w:space="0" w:color="auto"/>
            <w:right w:val="none" w:sz="0" w:space="0" w:color="auto"/>
          </w:divBdr>
          <w:divsChild>
            <w:div w:id="849567266">
              <w:marLeft w:val="0"/>
              <w:marRight w:val="0"/>
              <w:marTop w:val="0"/>
              <w:marBottom w:val="0"/>
              <w:divBdr>
                <w:top w:val="none" w:sz="0" w:space="0" w:color="auto"/>
                <w:left w:val="none" w:sz="0" w:space="0" w:color="auto"/>
                <w:bottom w:val="none" w:sz="0" w:space="0" w:color="auto"/>
                <w:right w:val="none" w:sz="0" w:space="0" w:color="auto"/>
              </w:divBdr>
            </w:div>
          </w:divsChild>
        </w:div>
        <w:div w:id="1506245868">
          <w:marLeft w:val="0"/>
          <w:marRight w:val="0"/>
          <w:marTop w:val="0"/>
          <w:marBottom w:val="0"/>
          <w:divBdr>
            <w:top w:val="none" w:sz="0" w:space="0" w:color="auto"/>
            <w:left w:val="none" w:sz="0" w:space="0" w:color="auto"/>
            <w:bottom w:val="none" w:sz="0" w:space="0" w:color="auto"/>
            <w:right w:val="none" w:sz="0" w:space="0" w:color="auto"/>
          </w:divBdr>
          <w:divsChild>
            <w:div w:id="870529087">
              <w:marLeft w:val="0"/>
              <w:marRight w:val="0"/>
              <w:marTop w:val="0"/>
              <w:marBottom w:val="0"/>
              <w:divBdr>
                <w:top w:val="none" w:sz="0" w:space="0" w:color="auto"/>
                <w:left w:val="none" w:sz="0" w:space="0" w:color="auto"/>
                <w:bottom w:val="none" w:sz="0" w:space="0" w:color="auto"/>
                <w:right w:val="none" w:sz="0" w:space="0" w:color="auto"/>
              </w:divBdr>
            </w:div>
          </w:divsChild>
        </w:div>
        <w:div w:id="1600330671">
          <w:marLeft w:val="0"/>
          <w:marRight w:val="0"/>
          <w:marTop w:val="0"/>
          <w:marBottom w:val="0"/>
          <w:divBdr>
            <w:top w:val="none" w:sz="0" w:space="0" w:color="auto"/>
            <w:left w:val="none" w:sz="0" w:space="0" w:color="auto"/>
            <w:bottom w:val="none" w:sz="0" w:space="0" w:color="auto"/>
            <w:right w:val="none" w:sz="0" w:space="0" w:color="auto"/>
          </w:divBdr>
          <w:divsChild>
            <w:div w:id="943075594">
              <w:marLeft w:val="0"/>
              <w:marRight w:val="0"/>
              <w:marTop w:val="0"/>
              <w:marBottom w:val="0"/>
              <w:divBdr>
                <w:top w:val="none" w:sz="0" w:space="0" w:color="auto"/>
                <w:left w:val="none" w:sz="0" w:space="0" w:color="auto"/>
                <w:bottom w:val="none" w:sz="0" w:space="0" w:color="auto"/>
                <w:right w:val="none" w:sz="0" w:space="0" w:color="auto"/>
              </w:divBdr>
            </w:div>
          </w:divsChild>
        </w:div>
        <w:div w:id="1609237724">
          <w:marLeft w:val="0"/>
          <w:marRight w:val="0"/>
          <w:marTop w:val="0"/>
          <w:marBottom w:val="0"/>
          <w:divBdr>
            <w:top w:val="none" w:sz="0" w:space="0" w:color="auto"/>
            <w:left w:val="none" w:sz="0" w:space="0" w:color="auto"/>
            <w:bottom w:val="none" w:sz="0" w:space="0" w:color="auto"/>
            <w:right w:val="none" w:sz="0" w:space="0" w:color="auto"/>
          </w:divBdr>
          <w:divsChild>
            <w:div w:id="510460527">
              <w:marLeft w:val="0"/>
              <w:marRight w:val="0"/>
              <w:marTop w:val="0"/>
              <w:marBottom w:val="0"/>
              <w:divBdr>
                <w:top w:val="none" w:sz="0" w:space="0" w:color="auto"/>
                <w:left w:val="none" w:sz="0" w:space="0" w:color="auto"/>
                <w:bottom w:val="none" w:sz="0" w:space="0" w:color="auto"/>
                <w:right w:val="none" w:sz="0" w:space="0" w:color="auto"/>
              </w:divBdr>
            </w:div>
          </w:divsChild>
        </w:div>
        <w:div w:id="1860580842">
          <w:marLeft w:val="0"/>
          <w:marRight w:val="0"/>
          <w:marTop w:val="0"/>
          <w:marBottom w:val="0"/>
          <w:divBdr>
            <w:top w:val="none" w:sz="0" w:space="0" w:color="auto"/>
            <w:left w:val="none" w:sz="0" w:space="0" w:color="auto"/>
            <w:bottom w:val="none" w:sz="0" w:space="0" w:color="auto"/>
            <w:right w:val="none" w:sz="0" w:space="0" w:color="auto"/>
          </w:divBdr>
          <w:divsChild>
            <w:div w:id="576592887">
              <w:marLeft w:val="0"/>
              <w:marRight w:val="0"/>
              <w:marTop w:val="0"/>
              <w:marBottom w:val="0"/>
              <w:divBdr>
                <w:top w:val="none" w:sz="0" w:space="0" w:color="auto"/>
                <w:left w:val="none" w:sz="0" w:space="0" w:color="auto"/>
                <w:bottom w:val="none" w:sz="0" w:space="0" w:color="auto"/>
                <w:right w:val="none" w:sz="0" w:space="0" w:color="auto"/>
              </w:divBdr>
            </w:div>
            <w:div w:id="1522627222">
              <w:marLeft w:val="0"/>
              <w:marRight w:val="0"/>
              <w:marTop w:val="0"/>
              <w:marBottom w:val="0"/>
              <w:divBdr>
                <w:top w:val="none" w:sz="0" w:space="0" w:color="auto"/>
                <w:left w:val="none" w:sz="0" w:space="0" w:color="auto"/>
                <w:bottom w:val="none" w:sz="0" w:space="0" w:color="auto"/>
                <w:right w:val="none" w:sz="0" w:space="0" w:color="auto"/>
              </w:divBdr>
            </w:div>
            <w:div w:id="2125341951">
              <w:marLeft w:val="0"/>
              <w:marRight w:val="0"/>
              <w:marTop w:val="0"/>
              <w:marBottom w:val="0"/>
              <w:divBdr>
                <w:top w:val="none" w:sz="0" w:space="0" w:color="auto"/>
                <w:left w:val="none" w:sz="0" w:space="0" w:color="auto"/>
                <w:bottom w:val="none" w:sz="0" w:space="0" w:color="auto"/>
                <w:right w:val="none" w:sz="0" w:space="0" w:color="auto"/>
              </w:divBdr>
            </w:div>
          </w:divsChild>
        </w:div>
        <w:div w:id="1900087616">
          <w:marLeft w:val="0"/>
          <w:marRight w:val="0"/>
          <w:marTop w:val="0"/>
          <w:marBottom w:val="0"/>
          <w:divBdr>
            <w:top w:val="none" w:sz="0" w:space="0" w:color="auto"/>
            <w:left w:val="none" w:sz="0" w:space="0" w:color="auto"/>
            <w:bottom w:val="none" w:sz="0" w:space="0" w:color="auto"/>
            <w:right w:val="none" w:sz="0" w:space="0" w:color="auto"/>
          </w:divBdr>
          <w:divsChild>
            <w:div w:id="896018071">
              <w:marLeft w:val="0"/>
              <w:marRight w:val="0"/>
              <w:marTop w:val="0"/>
              <w:marBottom w:val="0"/>
              <w:divBdr>
                <w:top w:val="none" w:sz="0" w:space="0" w:color="auto"/>
                <w:left w:val="none" w:sz="0" w:space="0" w:color="auto"/>
                <w:bottom w:val="none" w:sz="0" w:space="0" w:color="auto"/>
                <w:right w:val="none" w:sz="0" w:space="0" w:color="auto"/>
              </w:divBdr>
            </w:div>
            <w:div w:id="1138719350">
              <w:marLeft w:val="0"/>
              <w:marRight w:val="0"/>
              <w:marTop w:val="0"/>
              <w:marBottom w:val="0"/>
              <w:divBdr>
                <w:top w:val="none" w:sz="0" w:space="0" w:color="auto"/>
                <w:left w:val="none" w:sz="0" w:space="0" w:color="auto"/>
                <w:bottom w:val="none" w:sz="0" w:space="0" w:color="auto"/>
                <w:right w:val="none" w:sz="0" w:space="0" w:color="auto"/>
              </w:divBdr>
            </w:div>
            <w:div w:id="1714307653">
              <w:marLeft w:val="0"/>
              <w:marRight w:val="0"/>
              <w:marTop w:val="0"/>
              <w:marBottom w:val="0"/>
              <w:divBdr>
                <w:top w:val="none" w:sz="0" w:space="0" w:color="auto"/>
                <w:left w:val="none" w:sz="0" w:space="0" w:color="auto"/>
                <w:bottom w:val="none" w:sz="0" w:space="0" w:color="auto"/>
                <w:right w:val="none" w:sz="0" w:space="0" w:color="auto"/>
              </w:divBdr>
            </w:div>
            <w:div w:id="1988513443">
              <w:marLeft w:val="0"/>
              <w:marRight w:val="0"/>
              <w:marTop w:val="0"/>
              <w:marBottom w:val="0"/>
              <w:divBdr>
                <w:top w:val="none" w:sz="0" w:space="0" w:color="auto"/>
                <w:left w:val="none" w:sz="0" w:space="0" w:color="auto"/>
                <w:bottom w:val="none" w:sz="0" w:space="0" w:color="auto"/>
                <w:right w:val="none" w:sz="0" w:space="0" w:color="auto"/>
              </w:divBdr>
            </w:div>
          </w:divsChild>
        </w:div>
        <w:div w:id="1914048451">
          <w:marLeft w:val="0"/>
          <w:marRight w:val="0"/>
          <w:marTop w:val="0"/>
          <w:marBottom w:val="0"/>
          <w:divBdr>
            <w:top w:val="none" w:sz="0" w:space="0" w:color="auto"/>
            <w:left w:val="none" w:sz="0" w:space="0" w:color="auto"/>
            <w:bottom w:val="none" w:sz="0" w:space="0" w:color="auto"/>
            <w:right w:val="none" w:sz="0" w:space="0" w:color="auto"/>
          </w:divBdr>
          <w:divsChild>
            <w:div w:id="475535551">
              <w:marLeft w:val="0"/>
              <w:marRight w:val="0"/>
              <w:marTop w:val="0"/>
              <w:marBottom w:val="0"/>
              <w:divBdr>
                <w:top w:val="none" w:sz="0" w:space="0" w:color="auto"/>
                <w:left w:val="none" w:sz="0" w:space="0" w:color="auto"/>
                <w:bottom w:val="none" w:sz="0" w:space="0" w:color="auto"/>
                <w:right w:val="none" w:sz="0" w:space="0" w:color="auto"/>
              </w:divBdr>
            </w:div>
          </w:divsChild>
        </w:div>
        <w:div w:id="2124690052">
          <w:marLeft w:val="0"/>
          <w:marRight w:val="0"/>
          <w:marTop w:val="0"/>
          <w:marBottom w:val="0"/>
          <w:divBdr>
            <w:top w:val="none" w:sz="0" w:space="0" w:color="auto"/>
            <w:left w:val="none" w:sz="0" w:space="0" w:color="auto"/>
            <w:bottom w:val="none" w:sz="0" w:space="0" w:color="auto"/>
            <w:right w:val="none" w:sz="0" w:space="0" w:color="auto"/>
          </w:divBdr>
          <w:divsChild>
            <w:div w:id="26488099">
              <w:marLeft w:val="0"/>
              <w:marRight w:val="0"/>
              <w:marTop w:val="0"/>
              <w:marBottom w:val="0"/>
              <w:divBdr>
                <w:top w:val="none" w:sz="0" w:space="0" w:color="auto"/>
                <w:left w:val="none" w:sz="0" w:space="0" w:color="auto"/>
                <w:bottom w:val="none" w:sz="0" w:space="0" w:color="auto"/>
                <w:right w:val="none" w:sz="0" w:space="0" w:color="auto"/>
              </w:divBdr>
            </w:div>
            <w:div w:id="664357543">
              <w:marLeft w:val="0"/>
              <w:marRight w:val="0"/>
              <w:marTop w:val="0"/>
              <w:marBottom w:val="0"/>
              <w:divBdr>
                <w:top w:val="none" w:sz="0" w:space="0" w:color="auto"/>
                <w:left w:val="none" w:sz="0" w:space="0" w:color="auto"/>
                <w:bottom w:val="none" w:sz="0" w:space="0" w:color="auto"/>
                <w:right w:val="none" w:sz="0" w:space="0" w:color="auto"/>
              </w:divBdr>
            </w:div>
            <w:div w:id="135295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8011">
      <w:bodyDiv w:val="1"/>
      <w:marLeft w:val="0"/>
      <w:marRight w:val="0"/>
      <w:marTop w:val="0"/>
      <w:marBottom w:val="0"/>
      <w:divBdr>
        <w:top w:val="none" w:sz="0" w:space="0" w:color="auto"/>
        <w:left w:val="none" w:sz="0" w:space="0" w:color="auto"/>
        <w:bottom w:val="none" w:sz="0" w:space="0" w:color="auto"/>
        <w:right w:val="none" w:sz="0" w:space="0" w:color="auto"/>
      </w:divBdr>
    </w:div>
    <w:div w:id="1922834124">
      <w:bodyDiv w:val="1"/>
      <w:marLeft w:val="0"/>
      <w:marRight w:val="0"/>
      <w:marTop w:val="0"/>
      <w:marBottom w:val="0"/>
      <w:divBdr>
        <w:top w:val="none" w:sz="0" w:space="0" w:color="auto"/>
        <w:left w:val="none" w:sz="0" w:space="0" w:color="auto"/>
        <w:bottom w:val="none" w:sz="0" w:space="0" w:color="auto"/>
        <w:right w:val="none" w:sz="0" w:space="0" w:color="auto"/>
      </w:divBdr>
    </w:div>
    <w:div w:id="1927179458">
      <w:bodyDiv w:val="1"/>
      <w:marLeft w:val="0"/>
      <w:marRight w:val="0"/>
      <w:marTop w:val="0"/>
      <w:marBottom w:val="0"/>
      <w:divBdr>
        <w:top w:val="none" w:sz="0" w:space="0" w:color="auto"/>
        <w:left w:val="none" w:sz="0" w:space="0" w:color="auto"/>
        <w:bottom w:val="none" w:sz="0" w:space="0" w:color="auto"/>
        <w:right w:val="none" w:sz="0" w:space="0" w:color="auto"/>
      </w:divBdr>
    </w:div>
    <w:div w:id="1964263285">
      <w:bodyDiv w:val="1"/>
      <w:marLeft w:val="0"/>
      <w:marRight w:val="0"/>
      <w:marTop w:val="0"/>
      <w:marBottom w:val="0"/>
      <w:divBdr>
        <w:top w:val="none" w:sz="0" w:space="0" w:color="auto"/>
        <w:left w:val="none" w:sz="0" w:space="0" w:color="auto"/>
        <w:bottom w:val="none" w:sz="0" w:space="0" w:color="auto"/>
        <w:right w:val="none" w:sz="0" w:space="0" w:color="auto"/>
      </w:divBdr>
    </w:div>
    <w:div w:id="1970353722">
      <w:bodyDiv w:val="1"/>
      <w:marLeft w:val="0"/>
      <w:marRight w:val="0"/>
      <w:marTop w:val="0"/>
      <w:marBottom w:val="0"/>
      <w:divBdr>
        <w:top w:val="none" w:sz="0" w:space="0" w:color="auto"/>
        <w:left w:val="none" w:sz="0" w:space="0" w:color="auto"/>
        <w:bottom w:val="none" w:sz="0" w:space="0" w:color="auto"/>
        <w:right w:val="none" w:sz="0" w:space="0" w:color="auto"/>
      </w:divBdr>
    </w:div>
    <w:div w:id="1974629484">
      <w:bodyDiv w:val="1"/>
      <w:marLeft w:val="0"/>
      <w:marRight w:val="0"/>
      <w:marTop w:val="0"/>
      <w:marBottom w:val="0"/>
      <w:divBdr>
        <w:top w:val="none" w:sz="0" w:space="0" w:color="auto"/>
        <w:left w:val="none" w:sz="0" w:space="0" w:color="auto"/>
        <w:bottom w:val="none" w:sz="0" w:space="0" w:color="auto"/>
        <w:right w:val="none" w:sz="0" w:space="0" w:color="auto"/>
      </w:divBdr>
    </w:div>
    <w:div w:id="2009408893">
      <w:bodyDiv w:val="1"/>
      <w:marLeft w:val="0"/>
      <w:marRight w:val="0"/>
      <w:marTop w:val="0"/>
      <w:marBottom w:val="0"/>
      <w:divBdr>
        <w:top w:val="none" w:sz="0" w:space="0" w:color="auto"/>
        <w:left w:val="none" w:sz="0" w:space="0" w:color="auto"/>
        <w:bottom w:val="none" w:sz="0" w:space="0" w:color="auto"/>
        <w:right w:val="none" w:sz="0" w:space="0" w:color="auto"/>
      </w:divBdr>
    </w:div>
    <w:div w:id="2011175624">
      <w:bodyDiv w:val="1"/>
      <w:marLeft w:val="0"/>
      <w:marRight w:val="0"/>
      <w:marTop w:val="0"/>
      <w:marBottom w:val="0"/>
      <w:divBdr>
        <w:top w:val="none" w:sz="0" w:space="0" w:color="auto"/>
        <w:left w:val="none" w:sz="0" w:space="0" w:color="auto"/>
        <w:bottom w:val="none" w:sz="0" w:space="0" w:color="auto"/>
        <w:right w:val="none" w:sz="0" w:space="0" w:color="auto"/>
      </w:divBdr>
    </w:div>
    <w:div w:id="2039506872">
      <w:bodyDiv w:val="1"/>
      <w:marLeft w:val="0"/>
      <w:marRight w:val="0"/>
      <w:marTop w:val="0"/>
      <w:marBottom w:val="0"/>
      <w:divBdr>
        <w:top w:val="none" w:sz="0" w:space="0" w:color="auto"/>
        <w:left w:val="none" w:sz="0" w:space="0" w:color="auto"/>
        <w:bottom w:val="none" w:sz="0" w:space="0" w:color="auto"/>
        <w:right w:val="none" w:sz="0" w:space="0" w:color="auto"/>
      </w:divBdr>
    </w:div>
    <w:div w:id="2047826468">
      <w:bodyDiv w:val="1"/>
      <w:marLeft w:val="0"/>
      <w:marRight w:val="0"/>
      <w:marTop w:val="0"/>
      <w:marBottom w:val="0"/>
      <w:divBdr>
        <w:top w:val="none" w:sz="0" w:space="0" w:color="auto"/>
        <w:left w:val="none" w:sz="0" w:space="0" w:color="auto"/>
        <w:bottom w:val="none" w:sz="0" w:space="0" w:color="auto"/>
        <w:right w:val="none" w:sz="0" w:space="0" w:color="auto"/>
      </w:divBdr>
    </w:div>
    <w:div w:id="2049404605">
      <w:bodyDiv w:val="1"/>
      <w:marLeft w:val="0"/>
      <w:marRight w:val="0"/>
      <w:marTop w:val="0"/>
      <w:marBottom w:val="0"/>
      <w:divBdr>
        <w:top w:val="none" w:sz="0" w:space="0" w:color="auto"/>
        <w:left w:val="none" w:sz="0" w:space="0" w:color="auto"/>
        <w:bottom w:val="none" w:sz="0" w:space="0" w:color="auto"/>
        <w:right w:val="none" w:sz="0" w:space="0" w:color="auto"/>
      </w:divBdr>
      <w:divsChild>
        <w:div w:id="196815917">
          <w:marLeft w:val="0"/>
          <w:marRight w:val="0"/>
          <w:marTop w:val="0"/>
          <w:marBottom w:val="0"/>
          <w:divBdr>
            <w:top w:val="none" w:sz="0" w:space="0" w:color="auto"/>
            <w:left w:val="none" w:sz="0" w:space="0" w:color="auto"/>
            <w:bottom w:val="none" w:sz="0" w:space="0" w:color="auto"/>
            <w:right w:val="none" w:sz="0" w:space="0" w:color="auto"/>
          </w:divBdr>
        </w:div>
        <w:div w:id="1115248599">
          <w:marLeft w:val="0"/>
          <w:marRight w:val="0"/>
          <w:marTop w:val="0"/>
          <w:marBottom w:val="0"/>
          <w:divBdr>
            <w:top w:val="none" w:sz="0" w:space="0" w:color="auto"/>
            <w:left w:val="none" w:sz="0" w:space="0" w:color="auto"/>
            <w:bottom w:val="none" w:sz="0" w:space="0" w:color="auto"/>
            <w:right w:val="none" w:sz="0" w:space="0" w:color="auto"/>
          </w:divBdr>
        </w:div>
        <w:div w:id="1404989206">
          <w:marLeft w:val="0"/>
          <w:marRight w:val="0"/>
          <w:marTop w:val="0"/>
          <w:marBottom w:val="0"/>
          <w:divBdr>
            <w:top w:val="none" w:sz="0" w:space="0" w:color="auto"/>
            <w:left w:val="none" w:sz="0" w:space="0" w:color="auto"/>
            <w:bottom w:val="none" w:sz="0" w:space="0" w:color="auto"/>
            <w:right w:val="none" w:sz="0" w:space="0" w:color="auto"/>
          </w:divBdr>
        </w:div>
      </w:divsChild>
    </w:div>
    <w:div w:id="2070614186">
      <w:bodyDiv w:val="1"/>
      <w:marLeft w:val="0"/>
      <w:marRight w:val="0"/>
      <w:marTop w:val="0"/>
      <w:marBottom w:val="0"/>
      <w:divBdr>
        <w:top w:val="none" w:sz="0" w:space="0" w:color="auto"/>
        <w:left w:val="none" w:sz="0" w:space="0" w:color="auto"/>
        <w:bottom w:val="none" w:sz="0" w:space="0" w:color="auto"/>
        <w:right w:val="none" w:sz="0" w:space="0" w:color="auto"/>
      </w:divBdr>
    </w:div>
    <w:div w:id="2071032152">
      <w:bodyDiv w:val="1"/>
      <w:marLeft w:val="0"/>
      <w:marRight w:val="0"/>
      <w:marTop w:val="0"/>
      <w:marBottom w:val="0"/>
      <w:divBdr>
        <w:top w:val="none" w:sz="0" w:space="0" w:color="auto"/>
        <w:left w:val="none" w:sz="0" w:space="0" w:color="auto"/>
        <w:bottom w:val="none" w:sz="0" w:space="0" w:color="auto"/>
        <w:right w:val="none" w:sz="0" w:space="0" w:color="auto"/>
      </w:divBdr>
      <w:divsChild>
        <w:div w:id="378017879">
          <w:marLeft w:val="720"/>
          <w:marRight w:val="0"/>
          <w:marTop w:val="0"/>
          <w:marBottom w:val="235"/>
          <w:divBdr>
            <w:top w:val="none" w:sz="0" w:space="0" w:color="auto"/>
            <w:left w:val="none" w:sz="0" w:space="0" w:color="auto"/>
            <w:bottom w:val="none" w:sz="0" w:space="0" w:color="auto"/>
            <w:right w:val="none" w:sz="0" w:space="0" w:color="auto"/>
          </w:divBdr>
        </w:div>
        <w:div w:id="1580629030">
          <w:marLeft w:val="720"/>
          <w:marRight w:val="0"/>
          <w:marTop w:val="0"/>
          <w:marBottom w:val="235"/>
          <w:divBdr>
            <w:top w:val="none" w:sz="0" w:space="0" w:color="auto"/>
            <w:left w:val="none" w:sz="0" w:space="0" w:color="auto"/>
            <w:bottom w:val="none" w:sz="0" w:space="0" w:color="auto"/>
            <w:right w:val="none" w:sz="0" w:space="0" w:color="auto"/>
          </w:divBdr>
        </w:div>
        <w:div w:id="2113668172">
          <w:marLeft w:val="720"/>
          <w:marRight w:val="0"/>
          <w:marTop w:val="0"/>
          <w:marBottom w:val="235"/>
          <w:divBdr>
            <w:top w:val="none" w:sz="0" w:space="0" w:color="auto"/>
            <w:left w:val="none" w:sz="0" w:space="0" w:color="auto"/>
            <w:bottom w:val="none" w:sz="0" w:space="0" w:color="auto"/>
            <w:right w:val="none" w:sz="0" w:space="0" w:color="auto"/>
          </w:divBdr>
        </w:div>
      </w:divsChild>
    </w:div>
    <w:div w:id="2079284805">
      <w:bodyDiv w:val="1"/>
      <w:marLeft w:val="0"/>
      <w:marRight w:val="0"/>
      <w:marTop w:val="0"/>
      <w:marBottom w:val="0"/>
      <w:divBdr>
        <w:top w:val="none" w:sz="0" w:space="0" w:color="auto"/>
        <w:left w:val="none" w:sz="0" w:space="0" w:color="auto"/>
        <w:bottom w:val="none" w:sz="0" w:space="0" w:color="auto"/>
        <w:right w:val="none" w:sz="0" w:space="0" w:color="auto"/>
      </w:divBdr>
      <w:divsChild>
        <w:div w:id="158274649">
          <w:marLeft w:val="446"/>
          <w:marRight w:val="0"/>
          <w:marTop w:val="0"/>
          <w:marBottom w:val="0"/>
          <w:divBdr>
            <w:top w:val="none" w:sz="0" w:space="0" w:color="auto"/>
            <w:left w:val="none" w:sz="0" w:space="0" w:color="auto"/>
            <w:bottom w:val="none" w:sz="0" w:space="0" w:color="auto"/>
            <w:right w:val="none" w:sz="0" w:space="0" w:color="auto"/>
          </w:divBdr>
        </w:div>
        <w:div w:id="1733037430">
          <w:marLeft w:val="446"/>
          <w:marRight w:val="0"/>
          <w:marTop w:val="0"/>
          <w:marBottom w:val="0"/>
          <w:divBdr>
            <w:top w:val="none" w:sz="0" w:space="0" w:color="auto"/>
            <w:left w:val="none" w:sz="0" w:space="0" w:color="auto"/>
            <w:bottom w:val="none" w:sz="0" w:space="0" w:color="auto"/>
            <w:right w:val="none" w:sz="0" w:space="0" w:color="auto"/>
          </w:divBdr>
        </w:div>
        <w:div w:id="2014380098">
          <w:marLeft w:val="446"/>
          <w:marRight w:val="0"/>
          <w:marTop w:val="0"/>
          <w:marBottom w:val="0"/>
          <w:divBdr>
            <w:top w:val="none" w:sz="0" w:space="0" w:color="auto"/>
            <w:left w:val="none" w:sz="0" w:space="0" w:color="auto"/>
            <w:bottom w:val="none" w:sz="0" w:space="0" w:color="auto"/>
            <w:right w:val="none" w:sz="0" w:space="0" w:color="auto"/>
          </w:divBdr>
        </w:div>
      </w:divsChild>
    </w:div>
    <w:div w:id="2083402113">
      <w:bodyDiv w:val="1"/>
      <w:marLeft w:val="0"/>
      <w:marRight w:val="0"/>
      <w:marTop w:val="0"/>
      <w:marBottom w:val="0"/>
      <w:divBdr>
        <w:top w:val="none" w:sz="0" w:space="0" w:color="auto"/>
        <w:left w:val="none" w:sz="0" w:space="0" w:color="auto"/>
        <w:bottom w:val="none" w:sz="0" w:space="0" w:color="auto"/>
        <w:right w:val="none" w:sz="0" w:space="0" w:color="auto"/>
      </w:divBdr>
    </w:div>
    <w:div w:id="2091148940">
      <w:bodyDiv w:val="1"/>
      <w:marLeft w:val="0"/>
      <w:marRight w:val="0"/>
      <w:marTop w:val="0"/>
      <w:marBottom w:val="0"/>
      <w:divBdr>
        <w:top w:val="none" w:sz="0" w:space="0" w:color="auto"/>
        <w:left w:val="none" w:sz="0" w:space="0" w:color="auto"/>
        <w:bottom w:val="none" w:sz="0" w:space="0" w:color="auto"/>
        <w:right w:val="none" w:sz="0" w:space="0" w:color="auto"/>
      </w:divBdr>
      <w:divsChild>
        <w:div w:id="1437794954">
          <w:marLeft w:val="0"/>
          <w:marRight w:val="0"/>
          <w:marTop w:val="0"/>
          <w:marBottom w:val="0"/>
          <w:divBdr>
            <w:top w:val="none" w:sz="0" w:space="0" w:color="auto"/>
            <w:left w:val="none" w:sz="0" w:space="0" w:color="auto"/>
            <w:bottom w:val="none" w:sz="0" w:space="0" w:color="auto"/>
            <w:right w:val="none" w:sz="0" w:space="0" w:color="auto"/>
          </w:divBdr>
        </w:div>
      </w:divsChild>
    </w:div>
    <w:div w:id="2095281846">
      <w:bodyDiv w:val="1"/>
      <w:marLeft w:val="0"/>
      <w:marRight w:val="0"/>
      <w:marTop w:val="0"/>
      <w:marBottom w:val="0"/>
      <w:divBdr>
        <w:top w:val="none" w:sz="0" w:space="0" w:color="auto"/>
        <w:left w:val="none" w:sz="0" w:space="0" w:color="auto"/>
        <w:bottom w:val="none" w:sz="0" w:space="0" w:color="auto"/>
        <w:right w:val="none" w:sz="0" w:space="0" w:color="auto"/>
      </w:divBdr>
    </w:div>
    <w:div w:id="2111925206">
      <w:bodyDiv w:val="1"/>
      <w:marLeft w:val="0"/>
      <w:marRight w:val="0"/>
      <w:marTop w:val="0"/>
      <w:marBottom w:val="0"/>
      <w:divBdr>
        <w:top w:val="none" w:sz="0" w:space="0" w:color="auto"/>
        <w:left w:val="none" w:sz="0" w:space="0" w:color="auto"/>
        <w:bottom w:val="none" w:sz="0" w:space="0" w:color="auto"/>
        <w:right w:val="none" w:sz="0" w:space="0" w:color="auto"/>
      </w:divBdr>
    </w:div>
    <w:div w:id="2114861768">
      <w:bodyDiv w:val="1"/>
      <w:marLeft w:val="0"/>
      <w:marRight w:val="0"/>
      <w:marTop w:val="0"/>
      <w:marBottom w:val="0"/>
      <w:divBdr>
        <w:top w:val="none" w:sz="0" w:space="0" w:color="auto"/>
        <w:left w:val="none" w:sz="0" w:space="0" w:color="auto"/>
        <w:bottom w:val="none" w:sz="0" w:space="0" w:color="auto"/>
        <w:right w:val="none" w:sz="0" w:space="0" w:color="auto"/>
      </w:divBdr>
    </w:div>
    <w:div w:id="2126776106">
      <w:bodyDiv w:val="1"/>
      <w:marLeft w:val="0"/>
      <w:marRight w:val="0"/>
      <w:marTop w:val="0"/>
      <w:marBottom w:val="0"/>
      <w:divBdr>
        <w:top w:val="none" w:sz="0" w:space="0" w:color="auto"/>
        <w:left w:val="none" w:sz="0" w:space="0" w:color="auto"/>
        <w:bottom w:val="none" w:sz="0" w:space="0" w:color="auto"/>
        <w:right w:val="none" w:sz="0" w:space="0" w:color="auto"/>
      </w:divBdr>
    </w:div>
    <w:div w:id="2143843405">
      <w:bodyDiv w:val="1"/>
      <w:marLeft w:val="0"/>
      <w:marRight w:val="0"/>
      <w:marTop w:val="0"/>
      <w:marBottom w:val="0"/>
      <w:divBdr>
        <w:top w:val="none" w:sz="0" w:space="0" w:color="auto"/>
        <w:left w:val="none" w:sz="0" w:space="0" w:color="auto"/>
        <w:bottom w:val="none" w:sz="0" w:space="0" w:color="auto"/>
        <w:right w:val="none" w:sz="0" w:space="0" w:color="auto"/>
      </w:divBdr>
      <w:divsChild>
        <w:div w:id="925959919">
          <w:marLeft w:val="389"/>
          <w:marRight w:val="0"/>
          <w:marTop w:val="0"/>
          <w:marBottom w:val="40"/>
          <w:divBdr>
            <w:top w:val="none" w:sz="0" w:space="0" w:color="auto"/>
            <w:left w:val="none" w:sz="0" w:space="0" w:color="auto"/>
            <w:bottom w:val="none" w:sz="0" w:space="0" w:color="auto"/>
            <w:right w:val="none" w:sz="0" w:space="0" w:color="auto"/>
          </w:divBdr>
        </w:div>
        <w:div w:id="1702585614">
          <w:marLeft w:val="389"/>
          <w:marRight w:val="0"/>
          <w:marTop w:val="0"/>
          <w:marBottom w:val="40"/>
          <w:divBdr>
            <w:top w:val="none" w:sz="0" w:space="0" w:color="auto"/>
            <w:left w:val="none" w:sz="0" w:space="0" w:color="auto"/>
            <w:bottom w:val="none" w:sz="0" w:space="0" w:color="auto"/>
            <w:right w:val="none" w:sz="0" w:space="0" w:color="auto"/>
          </w:divBdr>
        </w:div>
        <w:div w:id="2130126717">
          <w:marLeft w:val="1109"/>
          <w:marRight w:val="0"/>
          <w:marTop w:val="0"/>
          <w:marBottom w:val="40"/>
          <w:divBdr>
            <w:top w:val="none" w:sz="0" w:space="0" w:color="auto"/>
            <w:left w:val="none" w:sz="0" w:space="0" w:color="auto"/>
            <w:bottom w:val="none" w:sz="0" w:space="0" w:color="auto"/>
            <w:right w:val="none" w:sz="0" w:space="0" w:color="auto"/>
          </w:divBdr>
        </w:div>
      </w:divsChild>
    </w:div>
    <w:div w:id="214646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masshealth-quality-reports-and-resourc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mass.gov/info-details/masshealth-quality-reports-and-resourc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gov/files/document/mmpqualitywithholdtechnicalnotesdy2-12.pdf" TargetMode="External"/><Relationship Id="rId22" Type="http://schemas.openxmlformats.org/officeDocument/2006/relationships/header" Target="header5.xml"/></Relationships>
</file>

<file path=word/documenttasks/documenttasks1.xml><?xml version="1.0" encoding="utf-8"?>
<t:Tasks xmlns:t="http://schemas.microsoft.com/office/tasks/2019/documenttasks" xmlns:oel="http://schemas.microsoft.com/office/2019/extlst">
  <t:Task id="{4F8C16ED-043F-40DB-923E-C7A9D9BB6F74}">
    <t:Anchor>
      <t:Comment id="1423626345"/>
    </t:Anchor>
    <t:History>
      <t:Event id="{2B7E867B-C157-4097-BB6D-8F7EA3137E90}" time="2025-02-06T17:08:07.412Z">
        <t:Attribution userId="S::Shannon.Fox@mass.gov::cd9eae28-5b1b-43c7-886e-6411201cb114" userProvider="AD" userName="Fox, Shannon (EHS)"/>
        <t:Anchor>
          <t:Comment id="1068898540"/>
        </t:Anchor>
        <t:Create/>
      </t:Event>
      <t:Event id="{7825D404-05F9-42D9-A434-B58574B5DE50}" time="2025-02-06T17:08:07.412Z">
        <t:Attribution userId="S::Shannon.Fox@mass.gov::cd9eae28-5b1b-43c7-886e-6411201cb114" userProvider="AD" userName="Fox, Shannon (EHS)"/>
        <t:Anchor>
          <t:Comment id="1068898540"/>
        </t:Anchor>
        <t:Assign userId="S::linda.shaughnessy@mass.gov::2f959296-f2b5-4e71-bf4b-bf7917d8362c" userProvider="AD" userName="Shaughnessy, Linda (EHS)"/>
      </t:Event>
      <t:Event id="{A93E2DB7-5CB1-471E-AF93-EB2FEDFD05B1}" time="2025-02-06T17:08:07.412Z">
        <t:Attribution userId="S::Shannon.Fox@mass.gov::cd9eae28-5b1b-43c7-886e-6411201cb114" userProvider="AD" userName="Fox, Shannon (EHS)"/>
        <t:Anchor>
          <t:Comment id="1068898540"/>
        </t:Anchor>
        <t:SetTitle title="@Shaughnessy, Linda (EHS) "/>
      </t:Event>
      <t:Event id="{5EE2A56B-6990-4993-99FA-3C2AFF33441E}" time="2025-02-11T14:56:13.178Z">
        <t:Attribution userId="S::Shannon.Fox@mass.gov::cd9eae28-5b1b-43c7-886e-6411201cb114" userProvider="AD" userName="Fox, Shannon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398BABB7ECD4DA58FAB1146B988AB" ma:contentTypeVersion="6" ma:contentTypeDescription="Create a new document." ma:contentTypeScope="" ma:versionID="010645553268e90162d0de9732836209">
  <xsd:schema xmlns:xsd="http://www.w3.org/2001/XMLSchema" xmlns:xs="http://www.w3.org/2001/XMLSchema" xmlns:p="http://schemas.microsoft.com/office/2006/metadata/properties" xmlns:ns2="dc253d0a-de02-4a17-beb3-b87f5fcb8721" xmlns:ns3="64ca7199-6fa3-4778-825f-3784da6dcb36" targetNamespace="http://schemas.microsoft.com/office/2006/metadata/properties" ma:root="true" ma:fieldsID="fb7c9a9b6b0a270b39834535d5da60fc" ns2:_="" ns3:_="">
    <xsd:import namespace="dc253d0a-de02-4a17-beb3-b87f5fcb8721"/>
    <xsd:import namespace="64ca7199-6fa3-4778-825f-3784da6dcb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53d0a-de02-4a17-beb3-b87f5fcb8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ca7199-6fa3-4778-825f-3784da6dcb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4ca7199-6fa3-4778-825f-3784da6dcb36">
      <UserInfo>
        <DisplayName>Jona, Vered (EHS)</DisplayName>
        <AccountId>26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2F2B5-1F50-442D-B969-07CB685BB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53d0a-de02-4a17-beb3-b87f5fcb8721"/>
    <ds:schemaRef ds:uri="64ca7199-6fa3-4778-825f-3784da6dc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45B518-CED5-4024-8BD2-B210597A2F8B}">
  <ds:schemaRefs>
    <ds:schemaRef ds:uri="http://schemas.microsoft.com/sharepoint/v3/contenttype/forms"/>
  </ds:schemaRefs>
</ds:datastoreItem>
</file>

<file path=customXml/itemProps3.xml><?xml version="1.0" encoding="utf-8"?>
<ds:datastoreItem xmlns:ds="http://schemas.openxmlformats.org/officeDocument/2006/customXml" ds:itemID="{202AF32D-185A-4D2D-94B2-A7635BB8AD62}">
  <ds:schemaRefs>
    <ds:schemaRef ds:uri="http://schemas.microsoft.com/office/2006/metadata/properties"/>
    <ds:schemaRef ds:uri="http://schemas.microsoft.com/office/infopath/2007/PartnerControls"/>
    <ds:schemaRef ds:uri="64ca7199-6fa3-4778-825f-3784da6dcb36"/>
  </ds:schemaRefs>
</ds:datastoreItem>
</file>

<file path=customXml/itemProps4.xml><?xml version="1.0" encoding="utf-8"?>
<ds:datastoreItem xmlns:ds="http://schemas.openxmlformats.org/officeDocument/2006/customXml" ds:itemID="{38B6A18D-59FB-4DFB-AABF-6506150B1E58}">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53</Pages>
  <Words>17207</Words>
  <Characters>98086</Characters>
  <Application>Microsoft Office Word</Application>
  <DocSecurity>4</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115063</CharactersWithSpaces>
  <SharedDoc>false</SharedDoc>
  <HLinks>
    <vt:vector size="138" baseType="variant">
      <vt:variant>
        <vt:i4>4128824</vt:i4>
      </vt:variant>
      <vt:variant>
        <vt:i4>249</vt:i4>
      </vt:variant>
      <vt:variant>
        <vt:i4>0</vt:i4>
      </vt:variant>
      <vt:variant>
        <vt:i4>5</vt:i4>
      </vt:variant>
      <vt:variant>
        <vt:lpwstr>https://www.mass.gov/info-details/masshealth-quality-reports-and-resources</vt:lpwstr>
      </vt:variant>
      <vt:variant>
        <vt:lpwstr/>
      </vt:variant>
      <vt:variant>
        <vt:i4>4521998</vt:i4>
      </vt:variant>
      <vt:variant>
        <vt:i4>120</vt:i4>
      </vt:variant>
      <vt:variant>
        <vt:i4>0</vt:i4>
      </vt:variant>
      <vt:variant>
        <vt:i4>5</vt:i4>
      </vt:variant>
      <vt:variant>
        <vt:lpwstr>https://www.cms.gov/files/document/mmpqualitywithholdtechnicalnotesdy2-12.pdf</vt:lpwstr>
      </vt:variant>
      <vt:variant>
        <vt:lpwstr/>
      </vt:variant>
      <vt:variant>
        <vt:i4>4128824</vt:i4>
      </vt:variant>
      <vt:variant>
        <vt:i4>117</vt:i4>
      </vt:variant>
      <vt:variant>
        <vt:i4>0</vt:i4>
      </vt:variant>
      <vt:variant>
        <vt:i4>5</vt:i4>
      </vt:variant>
      <vt:variant>
        <vt:lpwstr>https://www.mass.gov/info-details/masshealth-quality-reports-and-resources</vt:lpwstr>
      </vt:variant>
      <vt:variant>
        <vt:lpwstr/>
      </vt:variant>
      <vt:variant>
        <vt:i4>1966142</vt:i4>
      </vt:variant>
      <vt:variant>
        <vt:i4>110</vt:i4>
      </vt:variant>
      <vt:variant>
        <vt:i4>0</vt:i4>
      </vt:variant>
      <vt:variant>
        <vt:i4>5</vt:i4>
      </vt:variant>
      <vt:variant>
        <vt:lpwstr/>
      </vt:variant>
      <vt:variant>
        <vt:lpwstr>_Toc190163926</vt:lpwstr>
      </vt:variant>
      <vt:variant>
        <vt:i4>1966142</vt:i4>
      </vt:variant>
      <vt:variant>
        <vt:i4>104</vt:i4>
      </vt:variant>
      <vt:variant>
        <vt:i4>0</vt:i4>
      </vt:variant>
      <vt:variant>
        <vt:i4>5</vt:i4>
      </vt:variant>
      <vt:variant>
        <vt:lpwstr/>
      </vt:variant>
      <vt:variant>
        <vt:lpwstr>_Toc190163925</vt:lpwstr>
      </vt:variant>
      <vt:variant>
        <vt:i4>1966142</vt:i4>
      </vt:variant>
      <vt:variant>
        <vt:i4>98</vt:i4>
      </vt:variant>
      <vt:variant>
        <vt:i4>0</vt:i4>
      </vt:variant>
      <vt:variant>
        <vt:i4>5</vt:i4>
      </vt:variant>
      <vt:variant>
        <vt:lpwstr/>
      </vt:variant>
      <vt:variant>
        <vt:lpwstr>_Toc190163924</vt:lpwstr>
      </vt:variant>
      <vt:variant>
        <vt:i4>1966142</vt:i4>
      </vt:variant>
      <vt:variant>
        <vt:i4>92</vt:i4>
      </vt:variant>
      <vt:variant>
        <vt:i4>0</vt:i4>
      </vt:variant>
      <vt:variant>
        <vt:i4>5</vt:i4>
      </vt:variant>
      <vt:variant>
        <vt:lpwstr/>
      </vt:variant>
      <vt:variant>
        <vt:lpwstr>_Toc190163923</vt:lpwstr>
      </vt:variant>
      <vt:variant>
        <vt:i4>1966142</vt:i4>
      </vt:variant>
      <vt:variant>
        <vt:i4>86</vt:i4>
      </vt:variant>
      <vt:variant>
        <vt:i4>0</vt:i4>
      </vt:variant>
      <vt:variant>
        <vt:i4>5</vt:i4>
      </vt:variant>
      <vt:variant>
        <vt:lpwstr/>
      </vt:variant>
      <vt:variant>
        <vt:lpwstr>_Toc190163922</vt:lpwstr>
      </vt:variant>
      <vt:variant>
        <vt:i4>1966142</vt:i4>
      </vt:variant>
      <vt:variant>
        <vt:i4>80</vt:i4>
      </vt:variant>
      <vt:variant>
        <vt:i4>0</vt:i4>
      </vt:variant>
      <vt:variant>
        <vt:i4>5</vt:i4>
      </vt:variant>
      <vt:variant>
        <vt:lpwstr/>
      </vt:variant>
      <vt:variant>
        <vt:lpwstr>_Toc190163921</vt:lpwstr>
      </vt:variant>
      <vt:variant>
        <vt:i4>1966142</vt:i4>
      </vt:variant>
      <vt:variant>
        <vt:i4>74</vt:i4>
      </vt:variant>
      <vt:variant>
        <vt:i4>0</vt:i4>
      </vt:variant>
      <vt:variant>
        <vt:i4>5</vt:i4>
      </vt:variant>
      <vt:variant>
        <vt:lpwstr/>
      </vt:variant>
      <vt:variant>
        <vt:lpwstr>_Toc190163920</vt:lpwstr>
      </vt:variant>
      <vt:variant>
        <vt:i4>1900606</vt:i4>
      </vt:variant>
      <vt:variant>
        <vt:i4>68</vt:i4>
      </vt:variant>
      <vt:variant>
        <vt:i4>0</vt:i4>
      </vt:variant>
      <vt:variant>
        <vt:i4>5</vt:i4>
      </vt:variant>
      <vt:variant>
        <vt:lpwstr/>
      </vt:variant>
      <vt:variant>
        <vt:lpwstr>_Toc190163919</vt:lpwstr>
      </vt:variant>
      <vt:variant>
        <vt:i4>1900606</vt:i4>
      </vt:variant>
      <vt:variant>
        <vt:i4>62</vt:i4>
      </vt:variant>
      <vt:variant>
        <vt:i4>0</vt:i4>
      </vt:variant>
      <vt:variant>
        <vt:i4>5</vt:i4>
      </vt:variant>
      <vt:variant>
        <vt:lpwstr/>
      </vt:variant>
      <vt:variant>
        <vt:lpwstr>_Toc190163918</vt:lpwstr>
      </vt:variant>
      <vt:variant>
        <vt:i4>1900606</vt:i4>
      </vt:variant>
      <vt:variant>
        <vt:i4>56</vt:i4>
      </vt:variant>
      <vt:variant>
        <vt:i4>0</vt:i4>
      </vt:variant>
      <vt:variant>
        <vt:i4>5</vt:i4>
      </vt:variant>
      <vt:variant>
        <vt:lpwstr/>
      </vt:variant>
      <vt:variant>
        <vt:lpwstr>_Toc190163917</vt:lpwstr>
      </vt:variant>
      <vt:variant>
        <vt:i4>1900606</vt:i4>
      </vt:variant>
      <vt:variant>
        <vt:i4>50</vt:i4>
      </vt:variant>
      <vt:variant>
        <vt:i4>0</vt:i4>
      </vt:variant>
      <vt:variant>
        <vt:i4>5</vt:i4>
      </vt:variant>
      <vt:variant>
        <vt:lpwstr/>
      </vt:variant>
      <vt:variant>
        <vt:lpwstr>_Toc190163916</vt:lpwstr>
      </vt:variant>
      <vt:variant>
        <vt:i4>1900606</vt:i4>
      </vt:variant>
      <vt:variant>
        <vt:i4>44</vt:i4>
      </vt:variant>
      <vt:variant>
        <vt:i4>0</vt:i4>
      </vt:variant>
      <vt:variant>
        <vt:i4>5</vt:i4>
      </vt:variant>
      <vt:variant>
        <vt:lpwstr/>
      </vt:variant>
      <vt:variant>
        <vt:lpwstr>_Toc190163915</vt:lpwstr>
      </vt:variant>
      <vt:variant>
        <vt:i4>1900606</vt:i4>
      </vt:variant>
      <vt:variant>
        <vt:i4>38</vt:i4>
      </vt:variant>
      <vt:variant>
        <vt:i4>0</vt:i4>
      </vt:variant>
      <vt:variant>
        <vt:i4>5</vt:i4>
      </vt:variant>
      <vt:variant>
        <vt:lpwstr/>
      </vt:variant>
      <vt:variant>
        <vt:lpwstr>_Toc190163914</vt:lpwstr>
      </vt:variant>
      <vt:variant>
        <vt:i4>1900606</vt:i4>
      </vt:variant>
      <vt:variant>
        <vt:i4>32</vt:i4>
      </vt:variant>
      <vt:variant>
        <vt:i4>0</vt:i4>
      </vt:variant>
      <vt:variant>
        <vt:i4>5</vt:i4>
      </vt:variant>
      <vt:variant>
        <vt:lpwstr/>
      </vt:variant>
      <vt:variant>
        <vt:lpwstr>_Toc190163913</vt:lpwstr>
      </vt:variant>
      <vt:variant>
        <vt:i4>1900606</vt:i4>
      </vt:variant>
      <vt:variant>
        <vt:i4>26</vt:i4>
      </vt:variant>
      <vt:variant>
        <vt:i4>0</vt:i4>
      </vt:variant>
      <vt:variant>
        <vt:i4>5</vt:i4>
      </vt:variant>
      <vt:variant>
        <vt:lpwstr/>
      </vt:variant>
      <vt:variant>
        <vt:lpwstr>_Toc190163912</vt:lpwstr>
      </vt:variant>
      <vt:variant>
        <vt:i4>1900606</vt:i4>
      </vt:variant>
      <vt:variant>
        <vt:i4>20</vt:i4>
      </vt:variant>
      <vt:variant>
        <vt:i4>0</vt:i4>
      </vt:variant>
      <vt:variant>
        <vt:i4>5</vt:i4>
      </vt:variant>
      <vt:variant>
        <vt:lpwstr/>
      </vt:variant>
      <vt:variant>
        <vt:lpwstr>_Toc190163911</vt:lpwstr>
      </vt:variant>
      <vt:variant>
        <vt:i4>1900606</vt:i4>
      </vt:variant>
      <vt:variant>
        <vt:i4>14</vt:i4>
      </vt:variant>
      <vt:variant>
        <vt:i4>0</vt:i4>
      </vt:variant>
      <vt:variant>
        <vt:i4>5</vt:i4>
      </vt:variant>
      <vt:variant>
        <vt:lpwstr/>
      </vt:variant>
      <vt:variant>
        <vt:lpwstr>_Toc190163910</vt:lpwstr>
      </vt:variant>
      <vt:variant>
        <vt:i4>1835070</vt:i4>
      </vt:variant>
      <vt:variant>
        <vt:i4>8</vt:i4>
      </vt:variant>
      <vt:variant>
        <vt:i4>0</vt:i4>
      </vt:variant>
      <vt:variant>
        <vt:i4>5</vt:i4>
      </vt:variant>
      <vt:variant>
        <vt:lpwstr/>
      </vt:variant>
      <vt:variant>
        <vt:lpwstr>_Toc190163909</vt:lpwstr>
      </vt:variant>
      <vt:variant>
        <vt:i4>1835070</vt:i4>
      </vt:variant>
      <vt:variant>
        <vt:i4>2</vt:i4>
      </vt:variant>
      <vt:variant>
        <vt:i4>0</vt:i4>
      </vt:variant>
      <vt:variant>
        <vt:i4>5</vt:i4>
      </vt:variant>
      <vt:variant>
        <vt:lpwstr/>
      </vt:variant>
      <vt:variant>
        <vt:lpwstr>_Toc190163908</vt:lpwstr>
      </vt:variant>
      <vt:variant>
        <vt:i4>3211351</vt:i4>
      </vt:variant>
      <vt:variant>
        <vt:i4>0</vt:i4>
      </vt:variant>
      <vt:variant>
        <vt:i4>0</vt:i4>
      </vt:variant>
      <vt:variant>
        <vt:i4>5</vt:i4>
      </vt:variant>
      <vt:variant>
        <vt:lpwstr>mailto:Shannon.Fox@mass.gov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Heaely, Ann (EHS)</dc:creator>
  <cp:keywords/>
  <dc:description/>
  <cp:lastModifiedBy>Leblanc, Donna M (EHS)</cp:lastModifiedBy>
  <cp:revision>2</cp:revision>
  <cp:lastPrinted>2023-10-20T05:15:00Z</cp:lastPrinted>
  <dcterms:created xsi:type="dcterms:W3CDTF">2025-04-18T12:48:00Z</dcterms:created>
  <dcterms:modified xsi:type="dcterms:W3CDTF">2025-04-18T12:48:00Z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0x010100A0C398BABB7ECD4DA58FAB1146B988AB</vt:lpwstr>
  </property>
  <property fmtid="{D5CDD505-2E9C-101B-9397-08002B2CF9AE}" pid="3" name="Order">
    <vt:r8>221800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GrammarlyDocumentId">
    <vt:lpwstr>18cee02902edb093da828f1845cdf0bfbe2490a09cc24be9b6fe57ad0892ec32</vt:lpwstr>
  </property>
</Properties>
</file>