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E7C6" w14:textId="0FBE41A3" w:rsidR="00AE6D85" w:rsidRDefault="2EC52200" w:rsidP="2177D66D">
      <w:pPr>
        <w:rPr>
          <w:rFonts w:ascii="Arial" w:hAnsi="Arial" w:cs="Arial"/>
          <w:b/>
          <w:bCs/>
          <w:i/>
          <w:iCs/>
          <w:sz w:val="20"/>
        </w:rPr>
      </w:pPr>
      <w:r w:rsidRPr="17B867EB">
        <w:rPr>
          <w:rFonts w:ascii="Arial" w:hAnsi="Arial" w:cs="Arial"/>
          <w:b/>
          <w:bCs/>
          <w:i/>
          <w:iCs/>
          <w:sz w:val="20"/>
        </w:rPr>
        <w:t>Massachusetts Department of Public Health, Bureau of Infectious Disease and Laboratory Sciences</w:t>
      </w:r>
    </w:p>
    <w:p w14:paraId="094B7F75" w14:textId="19BB4EB3" w:rsidR="00AE6D85" w:rsidRDefault="2EC52200" w:rsidP="2D062200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 w:rsidRPr="2D062200">
        <w:rPr>
          <w:rFonts w:ascii="Arial" w:hAnsi="Arial" w:cs="Arial"/>
          <w:b/>
          <w:bCs/>
          <w:i/>
          <w:iCs/>
          <w:sz w:val="20"/>
        </w:rPr>
        <w:t xml:space="preserve">Summary Tuberculosis </w:t>
      </w:r>
      <w:r w:rsidR="1434AEFE" w:rsidRPr="2D062200">
        <w:rPr>
          <w:rFonts w:ascii="Arial" w:hAnsi="Arial" w:cs="Arial"/>
          <w:b/>
          <w:bCs/>
          <w:i/>
          <w:iCs/>
          <w:sz w:val="20"/>
        </w:rPr>
        <w:t xml:space="preserve">Disease </w:t>
      </w:r>
      <w:r w:rsidRPr="2D062200">
        <w:rPr>
          <w:rFonts w:ascii="Arial" w:hAnsi="Arial" w:cs="Arial"/>
          <w:b/>
          <w:bCs/>
          <w:i/>
          <w:iCs/>
          <w:sz w:val="20"/>
        </w:rPr>
        <w:t xml:space="preserve">Statistics for the Year </w:t>
      </w:r>
      <w:r w:rsidR="001F41B2" w:rsidRPr="2D062200">
        <w:rPr>
          <w:rFonts w:ascii="Arial" w:hAnsi="Arial" w:cs="Arial"/>
          <w:b/>
          <w:bCs/>
          <w:i/>
          <w:iCs/>
          <w:sz w:val="20"/>
        </w:rPr>
        <w:t>2025</w:t>
      </w:r>
    </w:p>
    <w:p w14:paraId="2442B891" w14:textId="77777777" w:rsidR="00AE6D85" w:rsidRDefault="00AE6D85">
      <w:pPr>
        <w:sectPr w:rsidR="00AE6D85" w:rsidSect="00651F80">
          <w:footerReference w:type="default" r:id="rId11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14:paraId="40F28861" w14:textId="4BE1D4E7" w:rsidR="00AE6D85" w:rsidRDefault="2EC52200" w:rsidP="43A04A6D">
      <w:pPr>
        <w:pStyle w:val="Heading3"/>
        <w:tabs>
          <w:tab w:val="left" w:pos="7110"/>
        </w:tabs>
        <w:rPr>
          <w:rFonts w:ascii="Arial" w:hAnsi="Arial" w:cs="Arial"/>
        </w:rPr>
      </w:pPr>
      <w:r w:rsidRPr="192D2995">
        <w:rPr>
          <w:rFonts w:ascii="Arial" w:hAnsi="Arial" w:cs="Arial"/>
        </w:rPr>
        <w:t>Tuberculosis</w:t>
      </w:r>
      <w:r w:rsidR="09897DE2" w:rsidRPr="192D2995">
        <w:rPr>
          <w:rFonts w:ascii="Arial" w:hAnsi="Arial" w:cs="Arial"/>
        </w:rPr>
        <w:t xml:space="preserve"> Disease</w:t>
      </w:r>
      <w:r w:rsidRPr="192D2995">
        <w:rPr>
          <w:rFonts w:ascii="Arial" w:hAnsi="Arial" w:cs="Arial"/>
        </w:rPr>
        <w:t xml:space="preserve"> - Massachusetts</w:t>
      </w:r>
    </w:p>
    <w:p w14:paraId="3E3C1237" w14:textId="77777777" w:rsidR="00023B24" w:rsidRPr="00023B24" w:rsidRDefault="2BC5E72C" w:rsidP="00023B24">
      <w:pPr>
        <w:rPr>
          <w:rFonts w:ascii="Arial" w:hAnsi="Arial" w:cs="Arial"/>
          <w:sz w:val="20"/>
        </w:rPr>
      </w:pPr>
      <w:r w:rsidRPr="00023B24">
        <w:rPr>
          <w:rFonts w:ascii="Arial" w:hAnsi="Arial" w:cs="Arial"/>
          <w:sz w:val="20"/>
        </w:rPr>
        <w:t xml:space="preserve">In </w:t>
      </w:r>
      <w:r w:rsidR="001F41B2" w:rsidRPr="00023B24">
        <w:rPr>
          <w:rFonts w:ascii="Arial" w:hAnsi="Arial" w:cs="Arial"/>
          <w:sz w:val="20"/>
        </w:rPr>
        <w:t>2025</w:t>
      </w:r>
      <w:r w:rsidRPr="00023B24">
        <w:rPr>
          <w:rFonts w:ascii="Arial" w:hAnsi="Arial" w:cs="Arial"/>
          <w:sz w:val="20"/>
        </w:rPr>
        <w:t>, 25</w:t>
      </w:r>
      <w:r w:rsidR="00CE1E6C" w:rsidRPr="00023B24">
        <w:rPr>
          <w:rFonts w:ascii="Arial" w:hAnsi="Arial" w:cs="Arial"/>
          <w:sz w:val="20"/>
        </w:rPr>
        <w:t>2</w:t>
      </w:r>
      <w:r w:rsidRPr="00023B24">
        <w:rPr>
          <w:rFonts w:ascii="Arial" w:hAnsi="Arial" w:cs="Arial"/>
          <w:sz w:val="20"/>
        </w:rPr>
        <w:t xml:space="preserve"> residents of Massachusetts were diagnosed with tuberculosis (TB) disease (incidence rate 3.</w:t>
      </w:r>
      <w:r w:rsidR="001F41B2" w:rsidRPr="00023B24">
        <w:rPr>
          <w:rFonts w:ascii="Arial" w:hAnsi="Arial" w:cs="Arial"/>
          <w:sz w:val="20"/>
        </w:rPr>
        <w:t>5</w:t>
      </w:r>
      <w:r w:rsidRPr="00023B24">
        <w:rPr>
          <w:rFonts w:ascii="Arial" w:hAnsi="Arial" w:cs="Arial"/>
          <w:sz w:val="20"/>
        </w:rPr>
        <w:t xml:space="preserve"> per 100,000 residents</w:t>
      </w:r>
      <w:r w:rsidRPr="00023B24">
        <w:rPr>
          <w:rFonts w:ascii="Arial" w:hAnsi="Arial" w:cs="Arial"/>
          <w:sz w:val="20"/>
          <w:vertAlign w:val="superscript"/>
        </w:rPr>
        <w:t>1</w:t>
      </w:r>
      <w:r w:rsidRPr="00023B24">
        <w:rPr>
          <w:rFonts w:ascii="Arial" w:hAnsi="Arial" w:cs="Arial"/>
          <w:sz w:val="20"/>
        </w:rPr>
        <w:t xml:space="preserve">). This represents a </w:t>
      </w:r>
      <w:r w:rsidR="63422FF5" w:rsidRPr="00023B24">
        <w:rPr>
          <w:rFonts w:ascii="Arial" w:hAnsi="Arial" w:cs="Arial"/>
          <w:sz w:val="20"/>
        </w:rPr>
        <w:t>0.8</w:t>
      </w:r>
      <w:r w:rsidRPr="00023B24">
        <w:rPr>
          <w:rFonts w:ascii="Arial" w:hAnsi="Arial" w:cs="Arial"/>
          <w:sz w:val="20"/>
        </w:rPr>
        <w:t xml:space="preserve">% </w:t>
      </w:r>
      <w:r w:rsidR="185E185F" w:rsidRPr="00023B24">
        <w:rPr>
          <w:rFonts w:ascii="Arial" w:hAnsi="Arial" w:cs="Arial"/>
          <w:sz w:val="20"/>
        </w:rPr>
        <w:t>decrease</w:t>
      </w:r>
      <w:r w:rsidRPr="00023B24">
        <w:rPr>
          <w:rFonts w:ascii="Arial" w:hAnsi="Arial" w:cs="Arial"/>
          <w:sz w:val="20"/>
        </w:rPr>
        <w:t xml:space="preserve"> </w:t>
      </w:r>
      <w:r w:rsidR="7DBF409E" w:rsidRPr="00023B24">
        <w:rPr>
          <w:rFonts w:ascii="Arial" w:hAnsi="Arial" w:cs="Arial"/>
          <w:sz w:val="20"/>
        </w:rPr>
        <w:t>from</w:t>
      </w:r>
      <w:r w:rsidRPr="00023B24">
        <w:rPr>
          <w:rFonts w:ascii="Arial" w:hAnsi="Arial" w:cs="Arial"/>
          <w:sz w:val="20"/>
        </w:rPr>
        <w:t xml:space="preserve"> 202</w:t>
      </w:r>
      <w:r w:rsidR="185E185F" w:rsidRPr="00023B24">
        <w:rPr>
          <w:rFonts w:ascii="Arial" w:hAnsi="Arial" w:cs="Arial"/>
          <w:sz w:val="20"/>
        </w:rPr>
        <w:t>4</w:t>
      </w:r>
      <w:r w:rsidRPr="00023B24">
        <w:rPr>
          <w:rFonts w:ascii="Arial" w:hAnsi="Arial" w:cs="Arial"/>
          <w:sz w:val="20"/>
        </w:rPr>
        <w:t>. This number does not include Massachusetts residents diagnosed with latent tuberculosis infection (LTBI)</w:t>
      </w:r>
      <w:r w:rsidRPr="00023B24">
        <w:rPr>
          <w:rFonts w:ascii="Arial" w:hAnsi="Arial" w:cs="Arial"/>
          <w:sz w:val="20"/>
          <w:vertAlign w:val="superscript"/>
        </w:rPr>
        <w:t>2.</w:t>
      </w:r>
      <w:r w:rsidRPr="00023B24">
        <w:rPr>
          <w:rFonts w:ascii="Arial" w:hAnsi="Arial" w:cs="Arial"/>
          <w:sz w:val="20"/>
        </w:rPr>
        <w:t xml:space="preserve"> The </w:t>
      </w:r>
      <w:r w:rsidR="001F41B2" w:rsidRPr="00023B24">
        <w:rPr>
          <w:rFonts w:ascii="Arial" w:hAnsi="Arial" w:cs="Arial"/>
          <w:sz w:val="20"/>
        </w:rPr>
        <w:t>2025</w:t>
      </w:r>
      <w:r w:rsidRPr="00023B24">
        <w:rPr>
          <w:rFonts w:ascii="Arial" w:hAnsi="Arial" w:cs="Arial"/>
          <w:sz w:val="20"/>
        </w:rPr>
        <w:t xml:space="preserve"> national TB disease </w:t>
      </w:r>
      <w:r w:rsidR="43933D72" w:rsidRPr="00023B24">
        <w:rPr>
          <w:rFonts w:ascii="Arial" w:hAnsi="Arial" w:cs="Arial"/>
          <w:sz w:val="20"/>
        </w:rPr>
        <w:t xml:space="preserve">incidence </w:t>
      </w:r>
      <w:r w:rsidRPr="00023B24">
        <w:rPr>
          <w:rFonts w:ascii="Arial" w:hAnsi="Arial" w:cs="Arial"/>
          <w:sz w:val="20"/>
        </w:rPr>
        <w:t xml:space="preserve">rate is </w:t>
      </w:r>
      <w:r w:rsidR="6C56F924" w:rsidRPr="00023B24">
        <w:rPr>
          <w:rFonts w:ascii="Arial" w:hAnsi="Arial" w:cs="Arial"/>
          <w:sz w:val="20"/>
        </w:rPr>
        <w:t xml:space="preserve">3.0 </w:t>
      </w:r>
      <w:r w:rsidRPr="00023B24">
        <w:rPr>
          <w:rFonts w:ascii="Arial" w:hAnsi="Arial" w:cs="Arial"/>
          <w:sz w:val="20"/>
        </w:rPr>
        <w:t>per 100,000 residents</w:t>
      </w:r>
      <w:r w:rsidRPr="00023B24">
        <w:rPr>
          <w:rFonts w:ascii="Arial" w:hAnsi="Arial" w:cs="Arial"/>
          <w:sz w:val="20"/>
          <w:vertAlign w:val="superscript"/>
        </w:rPr>
        <w:t>3</w:t>
      </w:r>
      <w:r w:rsidRPr="00023B24">
        <w:rPr>
          <w:rFonts w:ascii="Arial" w:hAnsi="Arial" w:cs="Arial"/>
          <w:sz w:val="20"/>
        </w:rPr>
        <w:t xml:space="preserve">. </w:t>
      </w:r>
      <w:r w:rsidR="4B21FC1D" w:rsidRPr="00023B24">
        <w:rPr>
          <w:rFonts w:ascii="Arial" w:hAnsi="Arial" w:cs="Arial"/>
          <w:sz w:val="20"/>
        </w:rPr>
        <w:t>This year is the first time since</w:t>
      </w:r>
      <w:r w:rsidR="7B9132C9" w:rsidRPr="00023B24">
        <w:rPr>
          <w:rFonts w:ascii="Arial" w:hAnsi="Arial" w:cs="Arial"/>
          <w:sz w:val="20"/>
        </w:rPr>
        <w:t xml:space="preserve"> 2020 that there was a decrease in the incidence rate</w:t>
      </w:r>
      <w:r w:rsidR="48FFCB8E" w:rsidRPr="00023B24">
        <w:rPr>
          <w:rFonts w:ascii="Arial" w:hAnsi="Arial" w:cs="Arial"/>
          <w:sz w:val="20"/>
        </w:rPr>
        <w:t xml:space="preserve"> from the previous year, both in Massachusetts and nationally. </w:t>
      </w:r>
      <w:r w:rsidR="007910E8" w:rsidRPr="00023B24">
        <w:rPr>
          <w:rFonts w:ascii="Arial" w:hAnsi="Arial" w:cs="Arial"/>
          <w:sz w:val="20"/>
        </w:rPr>
        <w:t xml:space="preserve">It is too early to tell if this decline will continue, as well as to determine </w:t>
      </w:r>
      <w:r w:rsidR="2B083555" w:rsidRPr="00023B24">
        <w:rPr>
          <w:rFonts w:ascii="Arial" w:hAnsi="Arial" w:cs="Arial"/>
          <w:sz w:val="20"/>
        </w:rPr>
        <w:t>the</w:t>
      </w:r>
      <w:r w:rsidR="007910E8" w:rsidRPr="00023B24">
        <w:rPr>
          <w:rFonts w:ascii="Arial" w:hAnsi="Arial" w:cs="Arial"/>
          <w:sz w:val="20"/>
        </w:rPr>
        <w:t xml:space="preserve"> potential cause</w:t>
      </w:r>
      <w:r w:rsidR="32B328EF" w:rsidRPr="00023B24">
        <w:rPr>
          <w:rFonts w:ascii="Arial" w:hAnsi="Arial" w:cs="Arial"/>
          <w:sz w:val="20"/>
        </w:rPr>
        <w:t>(s)</w:t>
      </w:r>
      <w:r w:rsidR="007910E8" w:rsidRPr="00023B24">
        <w:rPr>
          <w:rFonts w:ascii="Arial" w:hAnsi="Arial" w:cs="Arial"/>
          <w:sz w:val="20"/>
        </w:rPr>
        <w:t>.</w:t>
      </w:r>
      <w:r w:rsidR="00023B24" w:rsidRPr="00023B24">
        <w:rPr>
          <w:rFonts w:ascii="Arial" w:hAnsi="Arial" w:cs="Arial"/>
          <w:sz w:val="20"/>
        </w:rPr>
        <w:t xml:space="preserve"> </w:t>
      </w:r>
      <w:r w:rsidR="00023B24" w:rsidRPr="00023B24">
        <w:rPr>
          <w:rFonts w:ascii="Arial" w:hAnsi="Arial" w:cs="Arial"/>
          <w:sz w:val="20"/>
        </w:rPr>
        <w:t>Hispanic (95% CI 6.8 to 17.9) residents.</w:t>
      </w:r>
    </w:p>
    <w:p w14:paraId="21939BFA" w14:textId="77777777" w:rsidR="00023B24" w:rsidRPr="00B35EA8" w:rsidRDefault="00023B24" w:rsidP="00023B24">
      <w:pPr>
        <w:rPr>
          <w:rFonts w:ascii="Arial" w:hAnsi="Arial" w:cs="Arial"/>
          <w:sz w:val="8"/>
          <w:szCs w:val="8"/>
        </w:rPr>
      </w:pPr>
      <w:r w:rsidRPr="192D2995">
        <w:rPr>
          <w:rFonts w:ascii="Arial" w:hAnsi="Arial" w:cs="Arial"/>
          <w:sz w:val="8"/>
          <w:szCs w:val="8"/>
        </w:rPr>
        <w:t xml:space="preserve"> </w:t>
      </w:r>
    </w:p>
    <w:p w14:paraId="77467CD0" w14:textId="2AEACD2D" w:rsidR="00AE6D85" w:rsidRPr="007910E8" w:rsidRDefault="2EC52200" w:rsidP="007910E8">
      <w:pPr>
        <w:pStyle w:val="CommentText"/>
        <w:rPr>
          <w:rFonts w:ascii="Arial" w:hAnsi="Arial" w:cs="Arial"/>
          <w:b/>
          <w:bCs/>
        </w:rPr>
      </w:pPr>
      <w:r w:rsidRPr="007910E8">
        <w:rPr>
          <w:rFonts w:ascii="Arial" w:hAnsi="Arial" w:cs="Arial"/>
          <w:b/>
          <w:bCs/>
        </w:rPr>
        <w:t xml:space="preserve">Race/Ethnicity </w:t>
      </w:r>
    </w:p>
    <w:p w14:paraId="0362904D" w14:textId="608DA821" w:rsidR="009B7994" w:rsidRDefault="4C87E118" w:rsidP="009B7994">
      <w:pPr>
        <w:rPr>
          <w:rFonts w:ascii="Arial" w:hAnsi="Arial" w:cs="Arial"/>
          <w:sz w:val="20"/>
        </w:rPr>
      </w:pPr>
      <w:r w:rsidRPr="001D7045">
        <w:rPr>
          <w:rFonts w:ascii="Arial" w:hAnsi="Arial" w:cs="Arial"/>
          <w:sz w:val="20"/>
        </w:rPr>
        <w:t>R</w:t>
      </w:r>
      <w:r w:rsidR="2EC52200" w:rsidRPr="001D7045">
        <w:rPr>
          <w:rFonts w:ascii="Arial" w:hAnsi="Arial" w:cs="Arial"/>
          <w:sz w:val="20"/>
        </w:rPr>
        <w:t>acial</w:t>
      </w:r>
      <w:r w:rsidR="5E5DD713" w:rsidRPr="001D7045">
        <w:rPr>
          <w:rFonts w:ascii="Arial" w:hAnsi="Arial" w:cs="Arial"/>
          <w:sz w:val="20"/>
        </w:rPr>
        <w:t xml:space="preserve"> and </w:t>
      </w:r>
      <w:r w:rsidR="2EC52200" w:rsidRPr="001D7045">
        <w:rPr>
          <w:rFonts w:ascii="Arial" w:hAnsi="Arial" w:cs="Arial"/>
          <w:sz w:val="20"/>
        </w:rPr>
        <w:t>ethnic minorit</w:t>
      </w:r>
      <w:r w:rsidR="5E5DD713" w:rsidRPr="001D7045">
        <w:rPr>
          <w:rFonts w:ascii="Arial" w:hAnsi="Arial" w:cs="Arial"/>
          <w:sz w:val="20"/>
        </w:rPr>
        <w:t>y groups</w:t>
      </w:r>
      <w:r w:rsidR="2EC52200" w:rsidRPr="001D7045">
        <w:rPr>
          <w:rFonts w:ascii="Arial" w:hAnsi="Arial" w:cs="Arial"/>
          <w:sz w:val="20"/>
        </w:rPr>
        <w:t xml:space="preserve"> are disproportionately affected by TB; </w:t>
      </w:r>
      <w:r w:rsidR="57EAB103" w:rsidRPr="001D7045">
        <w:rPr>
          <w:rFonts w:ascii="Arial" w:hAnsi="Arial" w:cs="Arial"/>
          <w:sz w:val="20"/>
        </w:rPr>
        <w:t>90</w:t>
      </w:r>
      <w:r w:rsidR="2EC52200" w:rsidRPr="001D7045">
        <w:rPr>
          <w:rFonts w:ascii="Arial" w:hAnsi="Arial" w:cs="Arial"/>
          <w:sz w:val="20"/>
        </w:rPr>
        <w:t xml:space="preserve">% of TB disease in </w:t>
      </w:r>
      <w:r w:rsidR="001F41B2" w:rsidRPr="001D7045">
        <w:rPr>
          <w:rFonts w:ascii="Arial" w:hAnsi="Arial" w:cs="Arial"/>
          <w:sz w:val="20"/>
        </w:rPr>
        <w:t>2025</w:t>
      </w:r>
      <w:r w:rsidR="2EC52200" w:rsidRPr="001D7045">
        <w:rPr>
          <w:rFonts w:ascii="Arial" w:hAnsi="Arial" w:cs="Arial"/>
          <w:sz w:val="20"/>
        </w:rPr>
        <w:t xml:space="preserve"> was diagnosed in members of minority groups. The TB case rate per 100,000 residents in </w:t>
      </w:r>
      <w:r w:rsidR="001F41B2" w:rsidRPr="001D7045">
        <w:rPr>
          <w:rFonts w:ascii="Arial" w:hAnsi="Arial" w:cs="Arial"/>
          <w:sz w:val="20"/>
        </w:rPr>
        <w:t>2025</w:t>
      </w:r>
      <w:r w:rsidR="6C0D972F" w:rsidRPr="001D7045">
        <w:rPr>
          <w:rFonts w:ascii="Arial" w:hAnsi="Arial" w:cs="Arial"/>
          <w:sz w:val="20"/>
        </w:rPr>
        <w:t xml:space="preserve"> </w:t>
      </w:r>
      <w:r w:rsidR="2EC52200" w:rsidRPr="001D7045">
        <w:rPr>
          <w:rFonts w:ascii="Arial" w:hAnsi="Arial" w:cs="Arial"/>
          <w:sz w:val="20"/>
        </w:rPr>
        <w:t xml:space="preserve">was </w:t>
      </w:r>
      <w:r w:rsidR="537A9866" w:rsidRPr="001D7045">
        <w:rPr>
          <w:rFonts w:ascii="Arial" w:hAnsi="Arial" w:cs="Arial"/>
          <w:sz w:val="20"/>
        </w:rPr>
        <w:t>1</w:t>
      </w:r>
      <w:r w:rsidR="00291704" w:rsidRPr="001D7045">
        <w:rPr>
          <w:rFonts w:ascii="Arial" w:hAnsi="Arial" w:cs="Arial"/>
          <w:sz w:val="20"/>
        </w:rPr>
        <w:t>4.3</w:t>
      </w:r>
      <w:r w:rsidR="2EC52200" w:rsidRPr="001D7045">
        <w:rPr>
          <w:rFonts w:ascii="Arial" w:hAnsi="Arial" w:cs="Arial"/>
          <w:sz w:val="20"/>
        </w:rPr>
        <w:t xml:space="preserve"> among Asian non-Hispanic residents, </w:t>
      </w:r>
      <w:r w:rsidR="7A03E9B6" w:rsidRPr="001D7045">
        <w:rPr>
          <w:rFonts w:ascii="Arial" w:hAnsi="Arial" w:cs="Arial"/>
          <w:sz w:val="20"/>
        </w:rPr>
        <w:t>1</w:t>
      </w:r>
      <w:r w:rsidR="00291704" w:rsidRPr="001D7045">
        <w:rPr>
          <w:rFonts w:ascii="Arial" w:hAnsi="Arial" w:cs="Arial"/>
          <w:sz w:val="20"/>
        </w:rPr>
        <w:t>5.9</w:t>
      </w:r>
      <w:r w:rsidR="2EC52200" w:rsidRPr="001D7045">
        <w:rPr>
          <w:rFonts w:ascii="Arial" w:hAnsi="Arial" w:cs="Arial"/>
          <w:sz w:val="20"/>
        </w:rPr>
        <w:t xml:space="preserve"> among </w:t>
      </w:r>
      <w:r w:rsidR="727E4341" w:rsidRPr="001D7045">
        <w:rPr>
          <w:rFonts w:ascii="Arial" w:hAnsi="Arial" w:cs="Arial"/>
          <w:sz w:val="20"/>
        </w:rPr>
        <w:t>B</w:t>
      </w:r>
      <w:r w:rsidR="2EC52200" w:rsidRPr="001D7045">
        <w:rPr>
          <w:rFonts w:ascii="Arial" w:hAnsi="Arial" w:cs="Arial"/>
          <w:sz w:val="20"/>
        </w:rPr>
        <w:t xml:space="preserve">lack non-Hispanic residents, and </w:t>
      </w:r>
      <w:r w:rsidR="00291704" w:rsidRPr="001D7045">
        <w:rPr>
          <w:rFonts w:ascii="Arial" w:hAnsi="Arial" w:cs="Arial"/>
          <w:sz w:val="20"/>
        </w:rPr>
        <w:t>5.4</w:t>
      </w:r>
      <w:r w:rsidR="2EC52200" w:rsidRPr="001D7045">
        <w:rPr>
          <w:rFonts w:ascii="Arial" w:hAnsi="Arial" w:cs="Arial"/>
          <w:sz w:val="20"/>
        </w:rPr>
        <w:t xml:space="preserve"> among Hispanic residents; compared with</w:t>
      </w:r>
      <w:r w:rsidR="347416A9" w:rsidRPr="001D7045">
        <w:rPr>
          <w:rFonts w:ascii="Arial" w:hAnsi="Arial" w:cs="Arial"/>
          <w:sz w:val="20"/>
        </w:rPr>
        <w:t xml:space="preserve"> </w:t>
      </w:r>
      <w:r w:rsidR="645DF841" w:rsidRPr="001D7045">
        <w:rPr>
          <w:rFonts w:ascii="Arial" w:hAnsi="Arial" w:cs="Arial"/>
          <w:sz w:val="20"/>
        </w:rPr>
        <w:t>0.</w:t>
      </w:r>
      <w:r w:rsidR="00291704" w:rsidRPr="001D7045">
        <w:rPr>
          <w:rFonts w:ascii="Arial" w:hAnsi="Arial" w:cs="Arial"/>
          <w:sz w:val="20"/>
        </w:rPr>
        <w:t>49</w:t>
      </w:r>
      <w:r w:rsidR="2EC52200" w:rsidRPr="001D7045">
        <w:rPr>
          <w:rFonts w:ascii="Arial" w:hAnsi="Arial" w:cs="Arial"/>
          <w:sz w:val="20"/>
        </w:rPr>
        <w:t xml:space="preserve"> among </w:t>
      </w:r>
      <w:r w:rsidR="00055CDE">
        <w:rPr>
          <w:rFonts w:ascii="Arial" w:hAnsi="Arial" w:cs="Arial"/>
          <w:sz w:val="20"/>
        </w:rPr>
        <w:t>W</w:t>
      </w:r>
      <w:r w:rsidR="2EC52200" w:rsidRPr="001D7045">
        <w:rPr>
          <w:rFonts w:ascii="Arial" w:hAnsi="Arial" w:cs="Arial"/>
          <w:sz w:val="20"/>
        </w:rPr>
        <w:t xml:space="preserve">hite non-Hispanic residents. Compared with </w:t>
      </w:r>
      <w:r w:rsidR="00055CDE">
        <w:rPr>
          <w:rFonts w:ascii="Arial" w:hAnsi="Arial" w:cs="Arial"/>
          <w:sz w:val="20"/>
        </w:rPr>
        <w:t>W</w:t>
      </w:r>
      <w:r w:rsidR="2EC52200" w:rsidRPr="001D7045">
        <w:rPr>
          <w:rFonts w:ascii="Arial" w:hAnsi="Arial" w:cs="Arial"/>
          <w:sz w:val="20"/>
        </w:rPr>
        <w:t xml:space="preserve">hite residents, the relative risk for being diagnosed with TB in </w:t>
      </w:r>
      <w:r w:rsidR="001F41B2" w:rsidRPr="001D7045">
        <w:rPr>
          <w:rFonts w:ascii="Arial" w:hAnsi="Arial" w:cs="Arial"/>
          <w:sz w:val="20"/>
        </w:rPr>
        <w:t>2025</w:t>
      </w:r>
      <w:r w:rsidR="2EC52200" w:rsidRPr="001D7045">
        <w:rPr>
          <w:rFonts w:ascii="Arial" w:hAnsi="Arial" w:cs="Arial"/>
          <w:sz w:val="20"/>
        </w:rPr>
        <w:t xml:space="preserve"> was approximately </w:t>
      </w:r>
      <w:r w:rsidR="5740D18E" w:rsidRPr="001D7045">
        <w:rPr>
          <w:rFonts w:ascii="Arial" w:hAnsi="Arial" w:cs="Arial"/>
          <w:sz w:val="20"/>
        </w:rPr>
        <w:t>29.8</w:t>
      </w:r>
      <w:r w:rsidR="3EE2E7A9" w:rsidRPr="001D7045">
        <w:rPr>
          <w:rFonts w:ascii="Arial" w:hAnsi="Arial" w:cs="Arial"/>
          <w:sz w:val="20"/>
        </w:rPr>
        <w:t xml:space="preserve"> </w:t>
      </w:r>
      <w:r w:rsidR="2EC52200" w:rsidRPr="001D7045">
        <w:rPr>
          <w:rFonts w:ascii="Arial" w:hAnsi="Arial" w:cs="Arial"/>
          <w:sz w:val="20"/>
        </w:rPr>
        <w:t xml:space="preserve">times higher among Asian (95% CI </w:t>
      </w:r>
      <w:r w:rsidR="001D7045" w:rsidRPr="001D7045">
        <w:rPr>
          <w:rFonts w:ascii="Arial" w:hAnsi="Arial" w:cs="Arial"/>
          <w:sz w:val="20"/>
        </w:rPr>
        <w:t>18.5</w:t>
      </w:r>
      <w:r w:rsidR="7B910C30" w:rsidRPr="001D7045">
        <w:rPr>
          <w:rFonts w:ascii="Arial" w:hAnsi="Arial" w:cs="Arial"/>
          <w:sz w:val="20"/>
        </w:rPr>
        <w:t> to </w:t>
      </w:r>
      <w:r w:rsidR="001D7045" w:rsidRPr="001D7045">
        <w:rPr>
          <w:rFonts w:ascii="Arial" w:hAnsi="Arial" w:cs="Arial"/>
          <w:sz w:val="20"/>
        </w:rPr>
        <w:t>46.0</w:t>
      </w:r>
      <w:r w:rsidR="0947003E" w:rsidRPr="001D7045">
        <w:rPr>
          <w:rFonts w:ascii="Arial" w:hAnsi="Arial" w:cs="Arial"/>
          <w:sz w:val="20"/>
        </w:rPr>
        <w:t>)</w:t>
      </w:r>
      <w:r w:rsidR="2EC52200" w:rsidRPr="001D7045">
        <w:rPr>
          <w:rFonts w:ascii="Arial" w:hAnsi="Arial" w:cs="Arial"/>
          <w:sz w:val="20"/>
        </w:rPr>
        <w:t xml:space="preserve">, </w:t>
      </w:r>
      <w:r w:rsidR="09C839D3" w:rsidRPr="001D7045">
        <w:rPr>
          <w:rFonts w:ascii="Arial" w:hAnsi="Arial" w:cs="Arial"/>
          <w:sz w:val="20"/>
        </w:rPr>
        <w:t>34.</w:t>
      </w:r>
      <w:r w:rsidR="77AC5A05" w:rsidRPr="001D7045">
        <w:rPr>
          <w:rFonts w:ascii="Arial" w:hAnsi="Arial" w:cs="Arial"/>
          <w:sz w:val="20"/>
        </w:rPr>
        <w:t>6</w:t>
      </w:r>
      <w:r w:rsidR="2EC52200" w:rsidRPr="001D7045">
        <w:rPr>
          <w:rFonts w:ascii="Arial" w:hAnsi="Arial" w:cs="Arial"/>
          <w:sz w:val="20"/>
        </w:rPr>
        <w:t xml:space="preserve"> times higher among </w:t>
      </w:r>
      <w:r w:rsidR="5770E311" w:rsidRPr="001D7045">
        <w:rPr>
          <w:rFonts w:ascii="Arial" w:hAnsi="Arial" w:cs="Arial"/>
          <w:sz w:val="20"/>
        </w:rPr>
        <w:t>B</w:t>
      </w:r>
      <w:r w:rsidR="2EC52200" w:rsidRPr="001D7045">
        <w:rPr>
          <w:rFonts w:ascii="Arial" w:hAnsi="Arial" w:cs="Arial"/>
          <w:sz w:val="20"/>
        </w:rPr>
        <w:t xml:space="preserve">lack (95% CI </w:t>
      </w:r>
      <w:r w:rsidR="001D7045" w:rsidRPr="001D7045">
        <w:rPr>
          <w:rFonts w:ascii="Arial" w:hAnsi="Arial" w:cs="Arial"/>
          <w:sz w:val="20"/>
        </w:rPr>
        <w:t>20.6 to 50.8</w:t>
      </w:r>
      <w:r w:rsidR="2EC52200" w:rsidRPr="001D7045">
        <w:rPr>
          <w:rFonts w:ascii="Arial" w:hAnsi="Arial" w:cs="Arial"/>
          <w:sz w:val="20"/>
        </w:rPr>
        <w:t xml:space="preserve">), and </w:t>
      </w:r>
      <w:r w:rsidR="0ED3271A" w:rsidRPr="001D7045">
        <w:rPr>
          <w:rFonts w:ascii="Arial" w:hAnsi="Arial" w:cs="Arial"/>
          <w:sz w:val="20"/>
        </w:rPr>
        <w:t>11.6</w:t>
      </w:r>
      <w:r w:rsidR="0765022F" w:rsidRPr="001D7045">
        <w:rPr>
          <w:rFonts w:ascii="Arial" w:hAnsi="Arial" w:cs="Arial"/>
          <w:sz w:val="20"/>
        </w:rPr>
        <w:t xml:space="preserve"> </w:t>
      </w:r>
      <w:r w:rsidR="2EC52200" w:rsidRPr="001D7045">
        <w:rPr>
          <w:rFonts w:ascii="Arial" w:hAnsi="Arial" w:cs="Arial"/>
          <w:sz w:val="20"/>
        </w:rPr>
        <w:t xml:space="preserve">times higher among Hispanic (95% CI </w:t>
      </w:r>
      <w:r w:rsidR="001D7045" w:rsidRPr="001D7045">
        <w:rPr>
          <w:rFonts w:ascii="Arial" w:hAnsi="Arial" w:cs="Arial"/>
          <w:sz w:val="20"/>
        </w:rPr>
        <w:t>6.8</w:t>
      </w:r>
      <w:r w:rsidR="347416A9" w:rsidRPr="001D7045">
        <w:rPr>
          <w:rFonts w:ascii="Arial" w:hAnsi="Arial" w:cs="Arial"/>
          <w:sz w:val="20"/>
        </w:rPr>
        <w:t xml:space="preserve"> to </w:t>
      </w:r>
      <w:r w:rsidR="001D7045" w:rsidRPr="001D7045">
        <w:rPr>
          <w:rFonts w:ascii="Arial" w:hAnsi="Arial" w:cs="Arial"/>
          <w:sz w:val="20"/>
        </w:rPr>
        <w:t>17.9</w:t>
      </w:r>
      <w:r w:rsidR="2EC52200" w:rsidRPr="001D7045">
        <w:rPr>
          <w:rFonts w:ascii="Arial" w:hAnsi="Arial" w:cs="Arial"/>
          <w:sz w:val="20"/>
        </w:rPr>
        <w:t>) residents.</w:t>
      </w:r>
    </w:p>
    <w:p w14:paraId="17E91E9B" w14:textId="71E7A9B3" w:rsidR="00B35EA8" w:rsidRPr="00B35EA8" w:rsidRDefault="1F9A6A87" w:rsidP="009B7994">
      <w:pPr>
        <w:rPr>
          <w:rFonts w:ascii="Arial" w:hAnsi="Arial" w:cs="Arial"/>
          <w:sz w:val="8"/>
          <w:szCs w:val="8"/>
        </w:rPr>
      </w:pPr>
      <w:r w:rsidRPr="192D2995">
        <w:rPr>
          <w:rFonts w:ascii="Arial" w:hAnsi="Arial" w:cs="Arial"/>
          <w:sz w:val="8"/>
          <w:szCs w:val="8"/>
        </w:rPr>
        <w:t xml:space="preserve"> </w:t>
      </w:r>
    </w:p>
    <w:p w14:paraId="5386BA4E" w14:textId="6B18C65B" w:rsidR="00AE6D85" w:rsidRPr="00A876E0" w:rsidRDefault="4AECC1D1" w:rsidP="192D2995">
      <w:pPr>
        <w:pStyle w:val="Heading3"/>
        <w:rPr>
          <w:rFonts w:ascii="Arial" w:hAnsi="Arial" w:cs="Arial"/>
        </w:rPr>
      </w:pPr>
      <w:r w:rsidRPr="55EF87F4">
        <w:rPr>
          <w:rFonts w:ascii="Arial" w:hAnsi="Arial" w:cs="Arial"/>
        </w:rPr>
        <w:t xml:space="preserve">Groups </w:t>
      </w:r>
      <w:r w:rsidR="005E6DA8" w:rsidRPr="55EF87F4">
        <w:rPr>
          <w:rFonts w:ascii="Arial" w:hAnsi="Arial" w:cs="Arial"/>
        </w:rPr>
        <w:t>W</w:t>
      </w:r>
      <w:r w:rsidRPr="55EF87F4">
        <w:rPr>
          <w:rFonts w:ascii="Arial" w:hAnsi="Arial" w:cs="Arial"/>
        </w:rPr>
        <w:t xml:space="preserve">ith </w:t>
      </w:r>
      <w:r w:rsidR="005E6DA8" w:rsidRPr="55EF87F4">
        <w:rPr>
          <w:rFonts w:ascii="Arial" w:hAnsi="Arial" w:cs="Arial"/>
        </w:rPr>
        <w:t>E</w:t>
      </w:r>
      <w:r w:rsidRPr="55EF87F4">
        <w:rPr>
          <w:rFonts w:ascii="Arial" w:hAnsi="Arial" w:cs="Arial"/>
        </w:rPr>
        <w:t xml:space="preserve">levated </w:t>
      </w:r>
      <w:r w:rsidR="005E6DA8" w:rsidRPr="55EF87F4">
        <w:rPr>
          <w:rFonts w:ascii="Arial" w:hAnsi="Arial" w:cs="Arial"/>
        </w:rPr>
        <w:t>R</w:t>
      </w:r>
      <w:r w:rsidRPr="55EF87F4">
        <w:rPr>
          <w:rFonts w:ascii="Arial" w:hAnsi="Arial" w:cs="Arial"/>
        </w:rPr>
        <w:t>isk</w:t>
      </w:r>
      <w:r w:rsidR="003C0E58" w:rsidRPr="55EF87F4">
        <w:rPr>
          <w:rFonts w:ascii="Arial" w:hAnsi="Arial" w:cs="Arial"/>
        </w:rPr>
        <w:t xml:space="preserve"> </w:t>
      </w:r>
      <w:r w:rsidR="005E6DA8" w:rsidRPr="55EF87F4">
        <w:rPr>
          <w:rFonts w:ascii="Arial" w:hAnsi="Arial" w:cs="Arial"/>
        </w:rPr>
        <w:t>F</w:t>
      </w:r>
      <w:r w:rsidR="003C0E58" w:rsidRPr="55EF87F4">
        <w:rPr>
          <w:rFonts w:ascii="Arial" w:hAnsi="Arial" w:cs="Arial"/>
        </w:rPr>
        <w:t>or TB</w:t>
      </w:r>
      <w:r w:rsidRPr="55EF87F4">
        <w:rPr>
          <w:rFonts w:ascii="Arial" w:hAnsi="Arial" w:cs="Arial"/>
        </w:rPr>
        <w:t xml:space="preserve"> </w:t>
      </w:r>
    </w:p>
    <w:p w14:paraId="056BB793" w14:textId="6B070C09" w:rsidR="009B7994" w:rsidRDefault="370646AC" w:rsidP="009B7994">
      <w:pPr>
        <w:pStyle w:val="BodyText2"/>
        <w:rPr>
          <w:rFonts w:ascii="Arial" w:hAnsi="Arial" w:cs="Arial"/>
        </w:rPr>
      </w:pPr>
      <w:r w:rsidRPr="2177D66D">
        <w:rPr>
          <w:rFonts w:ascii="Arial" w:hAnsi="Arial" w:cs="Arial"/>
        </w:rPr>
        <w:t xml:space="preserve">There are several populations identified </w:t>
      </w:r>
      <w:r w:rsidR="17F7EC17" w:rsidRPr="2177D66D">
        <w:rPr>
          <w:rFonts w:ascii="Arial" w:hAnsi="Arial" w:cs="Arial"/>
        </w:rPr>
        <w:t>as being</w:t>
      </w:r>
      <w:r w:rsidR="00B86BFC">
        <w:rPr>
          <w:rFonts w:ascii="Arial" w:hAnsi="Arial" w:cs="Arial"/>
        </w:rPr>
        <w:t xml:space="preserve"> </w:t>
      </w:r>
      <w:r w:rsidRPr="2177D66D">
        <w:rPr>
          <w:rFonts w:ascii="Arial" w:hAnsi="Arial" w:cs="Arial"/>
        </w:rPr>
        <w:t>at higher risk for TB disease. This includes individuals born outside the United States, accounting for 225 cases (89%) among Massachusetts residents</w:t>
      </w:r>
      <w:r w:rsidR="28EE6EE0" w:rsidRPr="2177D66D">
        <w:rPr>
          <w:rFonts w:ascii="Arial" w:hAnsi="Arial" w:cs="Arial"/>
        </w:rPr>
        <w:t xml:space="preserve">, with </w:t>
      </w:r>
      <w:r w:rsidR="4D6DA54C" w:rsidRPr="2177D66D">
        <w:rPr>
          <w:rFonts w:ascii="Arial" w:hAnsi="Arial" w:cs="Arial"/>
        </w:rPr>
        <w:t>136 (54%) cases in persons born in one of five countries:</w:t>
      </w:r>
      <w:r w:rsidRPr="2177D66D">
        <w:rPr>
          <w:rFonts w:ascii="Arial" w:hAnsi="Arial" w:cs="Arial"/>
        </w:rPr>
        <w:t xml:space="preserve"> Haiti (59, 23%), Vietnam (26, 10%), India (20, 8%), Dominican Republic (16, 6%), and China (15, 6%).</w:t>
      </w:r>
      <w:r w:rsidR="28FF0349" w:rsidRPr="2177D66D">
        <w:rPr>
          <w:rFonts w:ascii="Arial" w:hAnsi="Arial" w:cs="Arial"/>
        </w:rPr>
        <w:t xml:space="preserve"> </w:t>
      </w:r>
      <w:r w:rsidR="4CA6DC46" w:rsidRPr="2177D66D">
        <w:rPr>
          <w:rFonts w:ascii="Arial" w:hAnsi="Arial" w:cs="Arial"/>
        </w:rPr>
        <w:t>The remaining</w:t>
      </w:r>
      <w:r w:rsidR="5120DF3F" w:rsidRPr="2177D66D">
        <w:rPr>
          <w:rFonts w:ascii="Arial" w:hAnsi="Arial" w:cs="Arial"/>
        </w:rPr>
        <w:t xml:space="preserve"> 89 </w:t>
      </w:r>
      <w:r w:rsidR="3646D20A" w:rsidRPr="2177D66D">
        <w:rPr>
          <w:rFonts w:ascii="Arial" w:hAnsi="Arial" w:cs="Arial"/>
        </w:rPr>
        <w:t xml:space="preserve">(35%) </w:t>
      </w:r>
      <w:r w:rsidR="5120DF3F" w:rsidRPr="2177D66D">
        <w:rPr>
          <w:rFonts w:ascii="Arial" w:hAnsi="Arial" w:cs="Arial"/>
        </w:rPr>
        <w:t>cases were born in</w:t>
      </w:r>
      <w:r w:rsidR="3F3751D3" w:rsidRPr="2177D66D">
        <w:rPr>
          <w:rFonts w:ascii="Arial" w:hAnsi="Arial" w:cs="Arial"/>
        </w:rPr>
        <w:t xml:space="preserve"> one of</w:t>
      </w:r>
      <w:r w:rsidR="5120DF3F" w:rsidRPr="2177D66D">
        <w:rPr>
          <w:rFonts w:ascii="Arial" w:hAnsi="Arial" w:cs="Arial"/>
        </w:rPr>
        <w:t xml:space="preserve"> 32</w:t>
      </w:r>
      <w:r w:rsidR="1025D296" w:rsidRPr="2177D66D">
        <w:rPr>
          <w:rFonts w:ascii="Arial" w:hAnsi="Arial" w:cs="Arial"/>
        </w:rPr>
        <w:t xml:space="preserve"> additional countries outside the U.S.</w:t>
      </w:r>
      <w:r w:rsidRPr="2177D66D">
        <w:rPr>
          <w:rFonts w:ascii="Arial" w:hAnsi="Arial" w:cs="Arial"/>
        </w:rPr>
        <w:t xml:space="preserve"> Other groups </w:t>
      </w:r>
      <w:r w:rsidR="003801D5" w:rsidRPr="2177D66D">
        <w:rPr>
          <w:rFonts w:ascii="Arial" w:hAnsi="Arial" w:cs="Arial"/>
        </w:rPr>
        <w:t xml:space="preserve">with elevated risk for TB </w:t>
      </w:r>
      <w:r w:rsidRPr="2177D66D">
        <w:rPr>
          <w:rFonts w:ascii="Arial" w:hAnsi="Arial" w:cs="Arial"/>
        </w:rPr>
        <w:t xml:space="preserve">include children under 15 years of age, those who are incarcerated, individuals experiencing homelessness, and individuals co-infected with HIV. Individuals that are known contacts to previous Massachusetts cases </w:t>
      </w:r>
      <w:r w:rsidR="26CC384D" w:rsidRPr="2177D66D">
        <w:rPr>
          <w:rFonts w:ascii="Arial" w:hAnsi="Arial" w:cs="Arial"/>
        </w:rPr>
        <w:t xml:space="preserve">are also at </w:t>
      </w:r>
      <w:r w:rsidRPr="2177D66D">
        <w:rPr>
          <w:rFonts w:ascii="Arial" w:hAnsi="Arial" w:cs="Arial"/>
        </w:rPr>
        <w:t>high</w:t>
      </w:r>
      <w:r w:rsidR="7A690D38" w:rsidRPr="2177D66D">
        <w:rPr>
          <w:rFonts w:ascii="Arial" w:hAnsi="Arial" w:cs="Arial"/>
        </w:rPr>
        <w:t xml:space="preserve">er </w:t>
      </w:r>
      <w:r w:rsidRPr="2177D66D">
        <w:rPr>
          <w:rFonts w:ascii="Arial" w:hAnsi="Arial" w:cs="Arial"/>
        </w:rPr>
        <w:t>risk. For detailed statistics and further information, please refer to the table provided.</w:t>
      </w:r>
    </w:p>
    <w:p w14:paraId="190E74C9" w14:textId="32777AF7" w:rsidR="00AE6D85" w:rsidRPr="0066665D" w:rsidRDefault="4AE5FB82" w:rsidP="009B7994">
      <w:pPr>
        <w:pStyle w:val="BodyText2"/>
        <w:rPr>
          <w:rFonts w:ascii="Arial" w:hAnsi="Arial" w:cs="Arial"/>
          <w:sz w:val="8"/>
          <w:szCs w:val="8"/>
        </w:rPr>
      </w:pPr>
      <w:r w:rsidRPr="2D062200">
        <w:rPr>
          <w:rFonts w:ascii="Arial" w:hAnsi="Arial" w:cs="Arial"/>
          <w:sz w:val="8"/>
          <w:szCs w:val="8"/>
        </w:rPr>
        <w:t xml:space="preserve"> </w:t>
      </w:r>
    </w:p>
    <w:p w14:paraId="6E8E5DF8" w14:textId="5AD64820" w:rsidR="00AE6D85" w:rsidRPr="0066665D" w:rsidRDefault="4AE5FB82" w:rsidP="00257A08">
      <w:pPr>
        <w:pStyle w:val="BodyText2"/>
        <w:rPr>
          <w:rFonts w:ascii="Arial" w:hAnsi="Arial" w:cs="Arial"/>
          <w:bCs/>
        </w:rPr>
      </w:pPr>
      <w:r w:rsidRPr="2D062200">
        <w:rPr>
          <w:rFonts w:ascii="Arial" w:hAnsi="Arial" w:cs="Arial"/>
          <w:b/>
          <w:bCs/>
        </w:rPr>
        <w:t>D</w:t>
      </w:r>
      <w:r w:rsidR="2EC52200" w:rsidRPr="2D062200">
        <w:rPr>
          <w:rFonts w:ascii="Arial" w:hAnsi="Arial" w:cs="Arial"/>
          <w:b/>
          <w:bCs/>
        </w:rPr>
        <w:t>rug Resistance</w:t>
      </w:r>
    </w:p>
    <w:p w14:paraId="66B7F82A" w14:textId="136F8D25" w:rsidR="00AE6D85" w:rsidRDefault="2EC52200" w:rsidP="2177D66D">
      <w:pPr>
        <w:rPr>
          <w:rFonts w:ascii="Arial" w:hAnsi="Arial" w:cs="Arial"/>
          <w:sz w:val="20"/>
        </w:rPr>
      </w:pPr>
      <w:r w:rsidRPr="17B867EB">
        <w:rPr>
          <w:rFonts w:ascii="Arial" w:hAnsi="Arial" w:cs="Arial"/>
          <w:sz w:val="20"/>
        </w:rPr>
        <w:t xml:space="preserve">In </w:t>
      </w:r>
      <w:r w:rsidR="001F41B2" w:rsidRPr="17B867EB">
        <w:rPr>
          <w:rFonts w:ascii="Arial" w:hAnsi="Arial" w:cs="Arial"/>
          <w:sz w:val="20"/>
        </w:rPr>
        <w:t>2025</w:t>
      </w:r>
      <w:r w:rsidRPr="17B867EB">
        <w:rPr>
          <w:rFonts w:ascii="Arial" w:hAnsi="Arial" w:cs="Arial"/>
          <w:sz w:val="20"/>
        </w:rPr>
        <w:t xml:space="preserve">, </w:t>
      </w:r>
      <w:r w:rsidR="00451ACB" w:rsidRPr="17B867EB">
        <w:rPr>
          <w:rFonts w:ascii="Arial" w:hAnsi="Arial" w:cs="Arial"/>
          <w:sz w:val="20"/>
        </w:rPr>
        <w:t>176</w:t>
      </w:r>
      <w:r w:rsidR="7943662E" w:rsidRPr="17B867EB">
        <w:rPr>
          <w:rFonts w:ascii="Arial" w:hAnsi="Arial" w:cs="Arial"/>
          <w:sz w:val="20"/>
        </w:rPr>
        <w:t xml:space="preserve"> </w:t>
      </w:r>
      <w:r w:rsidR="163D6467" w:rsidRPr="17B867EB">
        <w:rPr>
          <w:rFonts w:ascii="Arial" w:hAnsi="Arial" w:cs="Arial"/>
          <w:sz w:val="20"/>
        </w:rPr>
        <w:t>(</w:t>
      </w:r>
      <w:r w:rsidR="00451ACB" w:rsidRPr="17B867EB">
        <w:rPr>
          <w:rFonts w:ascii="Arial" w:hAnsi="Arial" w:cs="Arial"/>
          <w:sz w:val="20"/>
        </w:rPr>
        <w:t>7</w:t>
      </w:r>
      <w:r w:rsidR="4ABDA401" w:rsidRPr="17B867EB">
        <w:rPr>
          <w:rFonts w:ascii="Arial" w:hAnsi="Arial" w:cs="Arial"/>
          <w:sz w:val="20"/>
        </w:rPr>
        <w:t>0</w:t>
      </w:r>
      <w:r w:rsidR="163D6467" w:rsidRPr="17B867EB">
        <w:rPr>
          <w:rFonts w:ascii="Arial" w:hAnsi="Arial" w:cs="Arial"/>
          <w:sz w:val="20"/>
        </w:rPr>
        <w:t>%)</w:t>
      </w:r>
      <w:r w:rsidRPr="17B867EB">
        <w:rPr>
          <w:rFonts w:ascii="Arial" w:hAnsi="Arial" w:cs="Arial"/>
          <w:sz w:val="20"/>
        </w:rPr>
        <w:t xml:space="preserve"> of the </w:t>
      </w:r>
      <w:r w:rsidR="163D6467" w:rsidRPr="17B867EB">
        <w:rPr>
          <w:rFonts w:ascii="Arial" w:hAnsi="Arial" w:cs="Arial"/>
          <w:sz w:val="20"/>
        </w:rPr>
        <w:t>2</w:t>
      </w:r>
      <w:r w:rsidR="1D892CB5" w:rsidRPr="17B867EB">
        <w:rPr>
          <w:rFonts w:ascii="Arial" w:hAnsi="Arial" w:cs="Arial"/>
          <w:sz w:val="20"/>
        </w:rPr>
        <w:t>5</w:t>
      </w:r>
      <w:r w:rsidR="00451ACB" w:rsidRPr="17B867EB">
        <w:rPr>
          <w:rFonts w:ascii="Arial" w:hAnsi="Arial" w:cs="Arial"/>
          <w:sz w:val="20"/>
        </w:rPr>
        <w:t>2</w:t>
      </w:r>
      <w:r w:rsidRPr="17B867EB">
        <w:rPr>
          <w:rFonts w:ascii="Arial" w:hAnsi="Arial" w:cs="Arial"/>
          <w:sz w:val="20"/>
        </w:rPr>
        <w:t xml:space="preserve"> TB </w:t>
      </w:r>
      <w:r w:rsidR="09890853" w:rsidRPr="17B867EB">
        <w:rPr>
          <w:rFonts w:ascii="Arial" w:hAnsi="Arial" w:cs="Arial"/>
          <w:sz w:val="20"/>
        </w:rPr>
        <w:t>disea</w:t>
      </w:r>
      <w:r w:rsidR="4CA59373" w:rsidRPr="17B867EB">
        <w:rPr>
          <w:rFonts w:ascii="Arial" w:hAnsi="Arial" w:cs="Arial"/>
          <w:sz w:val="20"/>
        </w:rPr>
        <w:t>s</w:t>
      </w:r>
      <w:r w:rsidR="09890853" w:rsidRPr="17B867EB">
        <w:rPr>
          <w:rFonts w:ascii="Arial" w:hAnsi="Arial" w:cs="Arial"/>
          <w:sz w:val="20"/>
        </w:rPr>
        <w:t xml:space="preserve">e </w:t>
      </w:r>
      <w:r w:rsidRPr="17B867EB">
        <w:rPr>
          <w:rFonts w:ascii="Arial" w:hAnsi="Arial" w:cs="Arial"/>
          <w:sz w:val="20"/>
        </w:rPr>
        <w:t xml:space="preserve">cases </w:t>
      </w:r>
      <w:r w:rsidR="7D800BA2" w:rsidRPr="17B867EB">
        <w:rPr>
          <w:rFonts w:ascii="Arial" w:hAnsi="Arial" w:cs="Arial"/>
          <w:sz w:val="20"/>
        </w:rPr>
        <w:t xml:space="preserve">had a </w:t>
      </w:r>
      <w:r w:rsidRPr="17B867EB">
        <w:rPr>
          <w:rFonts w:ascii="Arial" w:hAnsi="Arial" w:cs="Arial"/>
          <w:sz w:val="20"/>
        </w:rPr>
        <w:t xml:space="preserve">positive culture for </w:t>
      </w:r>
      <w:r w:rsidRPr="17B867EB">
        <w:rPr>
          <w:rFonts w:ascii="Arial" w:hAnsi="Arial" w:cs="Arial"/>
          <w:i/>
          <w:iCs/>
          <w:sz w:val="20"/>
        </w:rPr>
        <w:t xml:space="preserve">Mycobacterium tuberculosis </w:t>
      </w:r>
      <w:r w:rsidRPr="17B867EB">
        <w:rPr>
          <w:rFonts w:ascii="Arial" w:hAnsi="Arial" w:cs="Arial"/>
          <w:sz w:val="20"/>
        </w:rPr>
        <w:t xml:space="preserve">and isolates </w:t>
      </w:r>
      <w:r w:rsidR="2CFE72D9" w:rsidRPr="17B867EB">
        <w:rPr>
          <w:rFonts w:ascii="Arial" w:hAnsi="Arial" w:cs="Arial"/>
          <w:sz w:val="20"/>
        </w:rPr>
        <w:t xml:space="preserve">that </w:t>
      </w:r>
      <w:r w:rsidR="0A400FF5" w:rsidRPr="17B867EB">
        <w:rPr>
          <w:rFonts w:ascii="Arial" w:hAnsi="Arial" w:cs="Arial"/>
          <w:sz w:val="20"/>
        </w:rPr>
        <w:t xml:space="preserve">were </w:t>
      </w:r>
      <w:r w:rsidRPr="17B867EB">
        <w:rPr>
          <w:rFonts w:ascii="Arial" w:hAnsi="Arial" w:cs="Arial"/>
          <w:sz w:val="20"/>
        </w:rPr>
        <w:t xml:space="preserve">available for drug susceptibility testing. Resistance testing was successfully completed on </w:t>
      </w:r>
      <w:r w:rsidR="0480A4BC" w:rsidRPr="17B867EB">
        <w:rPr>
          <w:rFonts w:ascii="Arial" w:hAnsi="Arial" w:cs="Arial"/>
          <w:sz w:val="20"/>
        </w:rPr>
        <w:t>1</w:t>
      </w:r>
      <w:r w:rsidR="00451ACB" w:rsidRPr="17B867EB">
        <w:rPr>
          <w:rFonts w:ascii="Arial" w:hAnsi="Arial" w:cs="Arial"/>
          <w:sz w:val="20"/>
        </w:rPr>
        <w:t>7</w:t>
      </w:r>
      <w:r w:rsidR="0480A4BC" w:rsidRPr="17B867EB">
        <w:rPr>
          <w:rFonts w:ascii="Arial" w:hAnsi="Arial" w:cs="Arial"/>
          <w:sz w:val="20"/>
        </w:rPr>
        <w:t>4</w:t>
      </w:r>
      <w:r w:rsidR="67560EE2" w:rsidRPr="17B867EB">
        <w:rPr>
          <w:rFonts w:ascii="Arial" w:hAnsi="Arial" w:cs="Arial"/>
          <w:sz w:val="20"/>
        </w:rPr>
        <w:t xml:space="preserve"> </w:t>
      </w:r>
      <w:r w:rsidRPr="17B867EB">
        <w:rPr>
          <w:rFonts w:ascii="Arial" w:hAnsi="Arial" w:cs="Arial"/>
          <w:sz w:val="20"/>
        </w:rPr>
        <w:t>(</w:t>
      </w:r>
      <w:r w:rsidR="2A226A7E" w:rsidRPr="17B867EB">
        <w:rPr>
          <w:rFonts w:ascii="Arial" w:hAnsi="Arial" w:cs="Arial"/>
          <w:sz w:val="20"/>
        </w:rPr>
        <w:t>9</w:t>
      </w:r>
      <w:r w:rsidR="00451ACB" w:rsidRPr="17B867EB">
        <w:rPr>
          <w:rFonts w:ascii="Arial" w:hAnsi="Arial" w:cs="Arial"/>
          <w:sz w:val="20"/>
        </w:rPr>
        <w:t>9</w:t>
      </w:r>
      <w:r w:rsidRPr="17B867EB">
        <w:rPr>
          <w:rFonts w:ascii="Arial" w:hAnsi="Arial" w:cs="Arial"/>
          <w:sz w:val="20"/>
        </w:rPr>
        <w:t>%) of the</w:t>
      </w:r>
      <w:r w:rsidR="68015056" w:rsidRPr="17B867EB">
        <w:rPr>
          <w:rFonts w:ascii="Arial" w:hAnsi="Arial" w:cs="Arial"/>
          <w:sz w:val="20"/>
        </w:rPr>
        <w:t xml:space="preserve"> cultured</w:t>
      </w:r>
      <w:r w:rsidRPr="17B867EB">
        <w:rPr>
          <w:rFonts w:ascii="Arial" w:hAnsi="Arial" w:cs="Arial"/>
          <w:sz w:val="20"/>
        </w:rPr>
        <w:t xml:space="preserve"> isolates.</w:t>
      </w:r>
    </w:p>
    <w:p w14:paraId="21936695" w14:textId="20898028" w:rsidR="2D062200" w:rsidRDefault="2EC52200" w:rsidP="2D062200">
      <w:pPr>
        <w:pStyle w:val="BodyText2"/>
        <w:rPr>
          <w:rFonts w:ascii="Arial" w:hAnsi="Arial" w:cs="Arial"/>
        </w:rPr>
      </w:pPr>
      <w:r w:rsidRPr="2D062200">
        <w:rPr>
          <w:rFonts w:ascii="Arial" w:hAnsi="Arial" w:cs="Arial"/>
        </w:rPr>
        <w:t xml:space="preserve">Resistance to one or more anti-TB drugs was detected in </w:t>
      </w:r>
      <w:r w:rsidR="00451ACB" w:rsidRPr="2D062200">
        <w:rPr>
          <w:rFonts w:ascii="Arial" w:hAnsi="Arial" w:cs="Arial"/>
        </w:rPr>
        <w:t>23</w:t>
      </w:r>
      <w:r w:rsidR="589247FC" w:rsidRPr="2D062200">
        <w:rPr>
          <w:rFonts w:ascii="Arial" w:hAnsi="Arial" w:cs="Arial"/>
        </w:rPr>
        <w:t xml:space="preserve"> </w:t>
      </w:r>
      <w:r w:rsidRPr="2D062200">
        <w:rPr>
          <w:rFonts w:ascii="Arial" w:hAnsi="Arial" w:cs="Arial"/>
        </w:rPr>
        <w:t>(</w:t>
      </w:r>
      <w:r w:rsidR="00451ACB" w:rsidRPr="2D062200">
        <w:rPr>
          <w:rFonts w:ascii="Arial" w:hAnsi="Arial" w:cs="Arial"/>
        </w:rPr>
        <w:t>13</w:t>
      </w:r>
      <w:r w:rsidRPr="2D062200">
        <w:rPr>
          <w:rFonts w:ascii="Arial" w:hAnsi="Arial" w:cs="Arial"/>
        </w:rPr>
        <w:t>%) of the</w:t>
      </w:r>
      <w:r w:rsidR="3387AE14" w:rsidRPr="2D062200">
        <w:rPr>
          <w:rFonts w:ascii="Arial" w:hAnsi="Arial" w:cs="Arial"/>
        </w:rPr>
        <w:t xml:space="preserve"> </w:t>
      </w:r>
      <w:r w:rsidRPr="2D062200">
        <w:rPr>
          <w:rFonts w:ascii="Arial" w:hAnsi="Arial" w:cs="Arial"/>
        </w:rPr>
        <w:t>isolates. Resistance to isoniazid (INH), either alone or in combination with other agents, was seen in</w:t>
      </w:r>
      <w:r w:rsidR="008920D8" w:rsidRPr="2D062200">
        <w:rPr>
          <w:rFonts w:ascii="Arial" w:hAnsi="Arial" w:cs="Arial"/>
        </w:rPr>
        <w:t xml:space="preserve"> </w:t>
      </w:r>
      <w:r w:rsidR="00451ACB" w:rsidRPr="2D062200">
        <w:rPr>
          <w:rFonts w:ascii="Arial" w:hAnsi="Arial" w:cs="Arial"/>
        </w:rPr>
        <w:t>16</w:t>
      </w:r>
      <w:r w:rsidR="589247FC" w:rsidRPr="2D062200">
        <w:rPr>
          <w:rFonts w:ascii="Arial" w:hAnsi="Arial" w:cs="Arial"/>
        </w:rPr>
        <w:t xml:space="preserve"> </w:t>
      </w:r>
      <w:r w:rsidR="008920D8" w:rsidRPr="2D062200">
        <w:rPr>
          <w:rFonts w:ascii="Arial" w:hAnsi="Arial" w:cs="Arial"/>
        </w:rPr>
        <w:t>(</w:t>
      </w:r>
      <w:r w:rsidR="00451ACB" w:rsidRPr="2D062200">
        <w:rPr>
          <w:rFonts w:ascii="Arial" w:hAnsi="Arial" w:cs="Arial"/>
        </w:rPr>
        <w:t>9</w:t>
      </w:r>
      <w:r w:rsidR="3387AE14" w:rsidRPr="2D062200">
        <w:rPr>
          <w:rFonts w:ascii="Arial" w:hAnsi="Arial" w:cs="Arial"/>
        </w:rPr>
        <w:t>%</w:t>
      </w:r>
      <w:r w:rsidR="008920D8" w:rsidRPr="2D062200">
        <w:rPr>
          <w:rFonts w:ascii="Arial" w:hAnsi="Arial" w:cs="Arial"/>
        </w:rPr>
        <w:t>) isolates</w:t>
      </w:r>
      <w:r w:rsidRPr="2D062200">
        <w:rPr>
          <w:rFonts w:ascii="Arial" w:hAnsi="Arial" w:cs="Arial"/>
        </w:rPr>
        <w:t xml:space="preserve">. </w:t>
      </w:r>
      <w:r w:rsidR="00451ACB" w:rsidRPr="2D062200">
        <w:rPr>
          <w:rFonts w:ascii="Arial" w:hAnsi="Arial" w:cs="Arial"/>
        </w:rPr>
        <w:t>One</w:t>
      </w:r>
      <w:r w:rsidR="7D7F43CD" w:rsidRPr="2D062200">
        <w:rPr>
          <w:rFonts w:ascii="Arial" w:hAnsi="Arial" w:cs="Arial"/>
        </w:rPr>
        <w:t xml:space="preserve"> </w:t>
      </w:r>
      <w:proofErr w:type="gramStart"/>
      <w:r w:rsidR="44C9E2CD" w:rsidRPr="2D062200">
        <w:rPr>
          <w:rFonts w:ascii="Arial" w:hAnsi="Arial" w:cs="Arial"/>
        </w:rPr>
        <w:t>isolate</w:t>
      </w:r>
      <w:proofErr w:type="gramEnd"/>
      <w:r w:rsidR="44C9E2CD" w:rsidRPr="2D062200">
        <w:rPr>
          <w:rFonts w:ascii="Arial" w:hAnsi="Arial" w:cs="Arial"/>
        </w:rPr>
        <w:t xml:space="preserve"> </w:t>
      </w:r>
      <w:r w:rsidR="00BA2790">
        <w:rPr>
          <w:rFonts w:ascii="Arial" w:hAnsi="Arial" w:cs="Arial"/>
        </w:rPr>
        <w:t xml:space="preserve">(0.4%) </w:t>
      </w:r>
      <w:r w:rsidR="008920D8" w:rsidRPr="2D062200">
        <w:rPr>
          <w:rFonts w:ascii="Arial" w:hAnsi="Arial" w:cs="Arial"/>
        </w:rPr>
        <w:t>w</w:t>
      </w:r>
      <w:r w:rsidR="00451ACB" w:rsidRPr="2D062200">
        <w:rPr>
          <w:rFonts w:ascii="Arial" w:hAnsi="Arial" w:cs="Arial"/>
        </w:rPr>
        <w:t>as</w:t>
      </w:r>
      <w:r w:rsidR="008920D8" w:rsidRPr="2D062200">
        <w:rPr>
          <w:rFonts w:ascii="Arial" w:hAnsi="Arial" w:cs="Arial"/>
        </w:rPr>
        <w:t xml:space="preserve"> </w:t>
      </w:r>
      <w:r w:rsidR="4396BAEC" w:rsidRPr="2D062200">
        <w:rPr>
          <w:rFonts w:ascii="Arial" w:hAnsi="Arial" w:cs="Arial"/>
        </w:rPr>
        <w:t xml:space="preserve">also identified </w:t>
      </w:r>
      <w:r w:rsidR="00DA7909" w:rsidRPr="00DA7909">
        <w:rPr>
          <w:rFonts w:ascii="Arial" w:hAnsi="Arial" w:cs="Arial"/>
        </w:rPr>
        <w:t>as resistant to both isoniazid and</w:t>
      </w:r>
      <w:r w:rsidR="00DA7909">
        <w:rPr>
          <w:rFonts w:ascii="Arial" w:hAnsi="Arial" w:cs="Arial"/>
        </w:rPr>
        <w:t xml:space="preserve"> rifampin, </w:t>
      </w:r>
      <w:r w:rsidR="00DA7909" w:rsidRPr="00DA7909">
        <w:rPr>
          <w:rFonts w:ascii="Arial" w:hAnsi="Arial" w:cs="Arial"/>
        </w:rPr>
        <w:t>representing multidrug-resistant TB (MDR-TB). MDR-TB in Massachusetts is carefully monitored and remains a priority of the TB program. </w:t>
      </w:r>
    </w:p>
    <w:p w14:paraId="2EEE80F4" w14:textId="1AA0EDF9" w:rsidR="2D062200" w:rsidRDefault="2D062200" w:rsidP="2D062200">
      <w:pPr>
        <w:pStyle w:val="BodyText2"/>
        <w:rPr>
          <w:rFonts w:ascii="Arial" w:hAnsi="Arial" w:cs="Arial"/>
        </w:rPr>
      </w:pPr>
    </w:p>
    <w:p w14:paraId="3E8B7053" w14:textId="77777777" w:rsidR="00B86BFC" w:rsidRDefault="00B86BFC" w:rsidP="2D062200">
      <w:pPr>
        <w:pStyle w:val="BodyText2"/>
        <w:rPr>
          <w:rFonts w:ascii="Arial" w:hAnsi="Arial" w:cs="Arial"/>
        </w:rPr>
      </w:pPr>
    </w:p>
    <w:p w14:paraId="52B9678E" w14:textId="77777777" w:rsidR="00B86BFC" w:rsidRDefault="00B86BFC" w:rsidP="2D062200">
      <w:pPr>
        <w:pStyle w:val="BodyText2"/>
        <w:rPr>
          <w:rFonts w:ascii="Arial" w:hAnsi="Arial" w:cs="Arial"/>
        </w:rPr>
      </w:pPr>
    </w:p>
    <w:p w14:paraId="5C3B4D11" w14:textId="77777777" w:rsidR="00023B24" w:rsidRDefault="00023B24" w:rsidP="2D062200">
      <w:pPr>
        <w:pStyle w:val="BodyText2"/>
        <w:rPr>
          <w:rFonts w:ascii="Arial" w:hAnsi="Arial" w:cs="Arial"/>
        </w:rPr>
      </w:pPr>
    </w:p>
    <w:p w14:paraId="628B2BD1" w14:textId="77777777" w:rsidR="00023B24" w:rsidRDefault="00023B24" w:rsidP="2D062200">
      <w:pPr>
        <w:pStyle w:val="BodyText2"/>
        <w:rPr>
          <w:rFonts w:ascii="Arial" w:hAnsi="Arial" w:cs="Arial"/>
        </w:rPr>
      </w:pPr>
    </w:p>
    <w:p w14:paraId="3633D5B1" w14:textId="77777777" w:rsidR="00B86BFC" w:rsidRDefault="00B86BFC" w:rsidP="2D062200">
      <w:pPr>
        <w:pStyle w:val="BodyText2"/>
        <w:rPr>
          <w:rFonts w:ascii="Arial" w:hAnsi="Arial" w:cs="Arial"/>
        </w:rPr>
      </w:pPr>
    </w:p>
    <w:p w14:paraId="53179367" w14:textId="4C2D1CCD" w:rsidR="00D749CB" w:rsidRPr="00D749CB" w:rsidRDefault="00B56BF1" w:rsidP="00C61A3D">
      <w:pPr>
        <w:pStyle w:val="BodyText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Demographics of Persons with</w:t>
      </w:r>
      <w:r w:rsidR="084972F7" w:rsidRPr="192D2995">
        <w:rPr>
          <w:rFonts w:ascii="Arial" w:hAnsi="Arial" w:cs="Arial"/>
          <w:b/>
          <w:bCs/>
        </w:rPr>
        <w:t xml:space="preserve"> TB </w:t>
      </w:r>
      <w:r w:rsidR="04F43737" w:rsidRPr="192D2995">
        <w:rPr>
          <w:rFonts w:ascii="Arial" w:hAnsi="Arial" w:cs="Arial"/>
          <w:b/>
          <w:bCs/>
        </w:rPr>
        <w:t>Disease</w:t>
      </w:r>
      <w:r w:rsidR="084972F7" w:rsidRPr="192D2995">
        <w:rPr>
          <w:rFonts w:ascii="Arial" w:hAnsi="Arial" w:cs="Arial"/>
          <w:b/>
          <w:bCs/>
        </w:rPr>
        <w:t xml:space="preserve">, </w:t>
      </w:r>
      <w:r w:rsidR="001F41B2">
        <w:rPr>
          <w:rFonts w:ascii="Arial" w:hAnsi="Arial" w:cs="Arial"/>
          <w:b/>
          <w:bCs/>
        </w:rPr>
        <w:t>2025</w:t>
      </w:r>
      <w:r w:rsidR="070A14B6" w:rsidRPr="192D2995">
        <w:rPr>
          <w:rFonts w:ascii="Arial" w:hAnsi="Arial" w:cs="Arial"/>
          <w:b/>
          <w:bCs/>
        </w:rPr>
        <w:t xml:space="preserve"> </w:t>
      </w:r>
      <w:r w:rsidR="7FF8CA16" w:rsidRPr="192D2995">
        <w:rPr>
          <w:rFonts w:ascii="Arial" w:hAnsi="Arial" w:cs="Arial"/>
          <w:b/>
          <w:bCs/>
        </w:rPr>
        <w:t>(</w:t>
      </w:r>
      <w:r w:rsidR="084972F7" w:rsidRPr="192D2995">
        <w:rPr>
          <w:rFonts w:ascii="Arial" w:hAnsi="Arial" w:cs="Arial"/>
          <w:b/>
          <w:bCs/>
        </w:rPr>
        <w:t>N=</w:t>
      </w:r>
      <w:r w:rsidR="00F26D08" w:rsidRPr="192D2995">
        <w:rPr>
          <w:rFonts w:ascii="Arial" w:hAnsi="Arial" w:cs="Arial"/>
          <w:b/>
          <w:bCs/>
        </w:rPr>
        <w:t>2</w:t>
      </w:r>
      <w:r w:rsidR="5E9D6D04" w:rsidRPr="192D2995">
        <w:rPr>
          <w:rFonts w:ascii="Arial" w:hAnsi="Arial" w:cs="Arial"/>
          <w:b/>
          <w:bCs/>
        </w:rPr>
        <w:t>5</w:t>
      </w:r>
      <w:r w:rsidR="00CE1E6C">
        <w:rPr>
          <w:rFonts w:ascii="Arial" w:hAnsi="Arial" w:cs="Arial"/>
          <w:b/>
          <w:bCs/>
        </w:rPr>
        <w:t>2</w:t>
      </w:r>
      <w:r w:rsidR="7FF8CA16" w:rsidRPr="192D2995">
        <w:rPr>
          <w:rFonts w:ascii="Arial" w:hAnsi="Arial" w:cs="Arial"/>
          <w:b/>
          <w:bCs/>
        </w:rPr>
        <w:t>)</w:t>
      </w:r>
    </w:p>
    <w:tbl>
      <w:tblPr>
        <w:tblStyle w:val="TableGrid"/>
        <w:tblW w:w="4045" w:type="dxa"/>
        <w:tblLook w:val="04A0" w:firstRow="1" w:lastRow="0" w:firstColumn="1" w:lastColumn="0" w:noHBand="0" w:noVBand="1"/>
      </w:tblPr>
      <w:tblGrid>
        <w:gridCol w:w="2605"/>
        <w:gridCol w:w="1440"/>
      </w:tblGrid>
      <w:tr w:rsidR="00451ACB" w14:paraId="628C90C3" w14:textId="77777777" w:rsidTr="00984C4D">
        <w:tc>
          <w:tcPr>
            <w:tcW w:w="2605" w:type="dxa"/>
          </w:tcPr>
          <w:p w14:paraId="7E0D8E47" w14:textId="5F9FE87B" w:rsidR="00D749CB" w:rsidRPr="00984C4D" w:rsidRDefault="00B56BF1" w:rsidP="192D299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Reported Sex/Gender</w:t>
            </w:r>
          </w:p>
        </w:tc>
        <w:tc>
          <w:tcPr>
            <w:tcW w:w="1440" w:type="dxa"/>
          </w:tcPr>
          <w:p w14:paraId="69184143" w14:textId="48089246" w:rsidR="00D749CB" w:rsidRPr="00984C4D" w:rsidRDefault="00984C4D" w:rsidP="192D299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="084972F7" w:rsidRPr="00984C4D">
              <w:rPr>
                <w:rFonts w:ascii="Arial" w:hAnsi="Arial" w:cs="Arial"/>
                <w:b/>
                <w:bCs/>
                <w:sz w:val="20"/>
              </w:rPr>
              <w:t xml:space="preserve"> (%)</w:t>
            </w:r>
          </w:p>
        </w:tc>
      </w:tr>
      <w:tr w:rsidR="00451ACB" w14:paraId="56C2DBAC" w14:textId="77777777" w:rsidTr="00984C4D">
        <w:tc>
          <w:tcPr>
            <w:tcW w:w="2605" w:type="dxa"/>
          </w:tcPr>
          <w:p w14:paraId="459A787C" w14:textId="736E93A6" w:rsidR="00D749CB" w:rsidRPr="00D749CB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440" w:type="dxa"/>
          </w:tcPr>
          <w:p w14:paraId="520CF940" w14:textId="65BED431" w:rsidR="00D749CB" w:rsidRPr="00D749CB" w:rsidRDefault="001F41B2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CE1E6C">
              <w:rPr>
                <w:rFonts w:ascii="Arial" w:hAnsi="Arial" w:cs="Arial"/>
                <w:sz w:val="20"/>
              </w:rPr>
              <w:t>5</w:t>
            </w:r>
            <w:r w:rsidR="620ADBD6" w:rsidRPr="192D2995">
              <w:rPr>
                <w:rFonts w:ascii="Arial" w:hAnsi="Arial" w:cs="Arial"/>
                <w:sz w:val="20"/>
              </w:rPr>
              <w:t xml:space="preserve"> </w:t>
            </w:r>
            <w:r w:rsidR="084972F7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62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3A4325DE" w14:textId="77777777" w:rsidTr="00984C4D">
        <w:tc>
          <w:tcPr>
            <w:tcW w:w="2605" w:type="dxa"/>
          </w:tcPr>
          <w:p w14:paraId="0C724402" w14:textId="3A5CF43A" w:rsidR="00D749CB" w:rsidRPr="00D749CB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440" w:type="dxa"/>
          </w:tcPr>
          <w:p w14:paraId="16A7B122" w14:textId="625EA325" w:rsidR="00D749CB" w:rsidRPr="00D749CB" w:rsidRDefault="001F41B2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CE1E6C">
              <w:rPr>
                <w:rFonts w:ascii="Arial" w:hAnsi="Arial" w:cs="Arial"/>
                <w:sz w:val="20"/>
              </w:rPr>
              <w:t>7</w:t>
            </w:r>
            <w:r w:rsidR="084972F7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38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097CDB07" w14:textId="77777777" w:rsidTr="00984C4D">
        <w:tc>
          <w:tcPr>
            <w:tcW w:w="2605" w:type="dxa"/>
            <w:vAlign w:val="center"/>
          </w:tcPr>
          <w:p w14:paraId="3D10782F" w14:textId="0C054F12" w:rsidR="00D749CB" w:rsidRPr="000D319E" w:rsidRDefault="084972F7" w:rsidP="192D2995">
            <w:pPr>
              <w:pStyle w:val="Heading3"/>
              <w:rPr>
                <w:rFonts w:ascii="Arial" w:hAnsi="Arial" w:cs="Arial"/>
              </w:rPr>
            </w:pPr>
            <w:r w:rsidRPr="192D2995">
              <w:rPr>
                <w:rFonts w:ascii="Arial" w:hAnsi="Arial" w:cs="Arial"/>
              </w:rPr>
              <w:t>Race</w:t>
            </w:r>
            <w:r w:rsidR="20109D81" w:rsidRPr="192D2995">
              <w:rPr>
                <w:rFonts w:ascii="Arial" w:hAnsi="Arial" w:cs="Arial"/>
              </w:rPr>
              <w:t>/E</w:t>
            </w:r>
            <w:r w:rsidRPr="192D2995">
              <w:rPr>
                <w:rFonts w:ascii="Arial" w:hAnsi="Arial" w:cs="Arial"/>
              </w:rPr>
              <w:t xml:space="preserve">thnicity </w:t>
            </w:r>
          </w:p>
        </w:tc>
        <w:tc>
          <w:tcPr>
            <w:tcW w:w="1440" w:type="dxa"/>
          </w:tcPr>
          <w:p w14:paraId="3BDF884E" w14:textId="77777777" w:rsidR="00D749CB" w:rsidRPr="000D319E" w:rsidRDefault="00D749CB" w:rsidP="00984C4D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51ACB" w14:paraId="5ECB4FD3" w14:textId="77777777" w:rsidTr="00984C4D">
        <w:tc>
          <w:tcPr>
            <w:tcW w:w="2605" w:type="dxa"/>
          </w:tcPr>
          <w:p w14:paraId="15EB41FC" w14:textId="523752AA" w:rsidR="00D749CB" w:rsidRPr="000D319E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White, non-Hispanic</w:t>
            </w:r>
          </w:p>
        </w:tc>
        <w:tc>
          <w:tcPr>
            <w:tcW w:w="1440" w:type="dxa"/>
          </w:tcPr>
          <w:p w14:paraId="7D4F1AFD" w14:textId="65C4ECAB" w:rsidR="00D749CB" w:rsidRPr="000D319E" w:rsidRDefault="001F41B2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E1E6C">
              <w:rPr>
                <w:rFonts w:ascii="Arial" w:hAnsi="Arial" w:cs="Arial"/>
                <w:sz w:val="20"/>
              </w:rPr>
              <w:t>4</w:t>
            </w:r>
            <w:r w:rsidR="43C96033" w:rsidRPr="192D2995">
              <w:rPr>
                <w:rFonts w:ascii="Arial" w:hAnsi="Arial" w:cs="Arial"/>
                <w:sz w:val="20"/>
              </w:rPr>
              <w:t xml:space="preserve"> </w:t>
            </w:r>
            <w:r w:rsidR="084972F7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10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2966B8CE" w14:textId="77777777" w:rsidTr="00984C4D">
        <w:tc>
          <w:tcPr>
            <w:tcW w:w="2605" w:type="dxa"/>
          </w:tcPr>
          <w:p w14:paraId="38C22B7E" w14:textId="45C4F739" w:rsidR="00D749CB" w:rsidRPr="000D319E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Black, non-Hispanic</w:t>
            </w:r>
          </w:p>
        </w:tc>
        <w:tc>
          <w:tcPr>
            <w:tcW w:w="1440" w:type="dxa"/>
          </w:tcPr>
          <w:p w14:paraId="0C0B5273" w14:textId="11C73B3B" w:rsidR="00D749CB" w:rsidRPr="000D319E" w:rsidRDefault="001F41B2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  <w:r w:rsidR="084972F7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35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036BAF4C" w14:textId="77777777" w:rsidTr="00984C4D">
        <w:tc>
          <w:tcPr>
            <w:tcW w:w="2605" w:type="dxa"/>
          </w:tcPr>
          <w:p w14:paraId="5507F642" w14:textId="098F3E3B" w:rsidR="00D749CB" w:rsidRPr="000D319E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Hispanic</w:t>
            </w:r>
          </w:p>
        </w:tc>
        <w:tc>
          <w:tcPr>
            <w:tcW w:w="1440" w:type="dxa"/>
          </w:tcPr>
          <w:p w14:paraId="2D7F3046" w14:textId="09E8AA18" w:rsidR="00D749CB" w:rsidRPr="000D319E" w:rsidRDefault="001F41B2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  <w:r w:rsidR="084972F7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21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1689503B" w14:textId="77777777" w:rsidTr="00984C4D">
        <w:tc>
          <w:tcPr>
            <w:tcW w:w="2605" w:type="dxa"/>
          </w:tcPr>
          <w:p w14:paraId="1BAA497F" w14:textId="6E0DBBC9" w:rsidR="00D749CB" w:rsidRPr="000D319E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Asian, non-Hispanic</w:t>
            </w:r>
          </w:p>
        </w:tc>
        <w:tc>
          <w:tcPr>
            <w:tcW w:w="1440" w:type="dxa"/>
          </w:tcPr>
          <w:p w14:paraId="6ED25810" w14:textId="79F83E5F" w:rsidR="00D749CB" w:rsidRPr="000D319E" w:rsidRDefault="001F41B2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</w:t>
            </w:r>
            <w:r w:rsidR="43C96033" w:rsidRPr="192D2995">
              <w:rPr>
                <w:rFonts w:ascii="Arial" w:hAnsi="Arial" w:cs="Arial"/>
                <w:sz w:val="20"/>
              </w:rPr>
              <w:t xml:space="preserve"> </w:t>
            </w:r>
            <w:r w:rsidR="084972F7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33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60789984" w14:textId="77777777" w:rsidTr="00984C4D">
        <w:tc>
          <w:tcPr>
            <w:tcW w:w="2605" w:type="dxa"/>
          </w:tcPr>
          <w:p w14:paraId="061EA301" w14:textId="6B40A4B1" w:rsidR="00FC2EA0" w:rsidRPr="000D319E" w:rsidRDefault="6D1F0378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Other</w:t>
            </w:r>
            <w:r w:rsidR="5DA6F3E2" w:rsidRPr="192D2995">
              <w:rPr>
                <w:rFonts w:ascii="Arial" w:hAnsi="Arial" w:cs="Arial"/>
                <w:sz w:val="20"/>
              </w:rPr>
              <w:t>, non-Hispanic</w:t>
            </w:r>
          </w:p>
        </w:tc>
        <w:tc>
          <w:tcPr>
            <w:tcW w:w="1440" w:type="dxa"/>
          </w:tcPr>
          <w:p w14:paraId="606010FD" w14:textId="0E735397" w:rsidR="00FC2EA0" w:rsidRPr="000D319E" w:rsidRDefault="00CE1E6C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6D1F0378" w:rsidRPr="192D2995">
              <w:rPr>
                <w:rFonts w:ascii="Arial" w:hAnsi="Arial" w:cs="Arial"/>
                <w:sz w:val="20"/>
              </w:rPr>
              <w:t xml:space="preserve"> (</w:t>
            </w:r>
            <w:r w:rsidR="001F41B2">
              <w:rPr>
                <w:rFonts w:ascii="Arial" w:hAnsi="Arial" w:cs="Arial"/>
                <w:sz w:val="20"/>
              </w:rPr>
              <w:t>1</w:t>
            </w:r>
            <w:r w:rsidR="6D1F0378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03750E70" w14:textId="77777777" w:rsidTr="00984C4D">
        <w:tc>
          <w:tcPr>
            <w:tcW w:w="2605" w:type="dxa"/>
          </w:tcPr>
          <w:p w14:paraId="34FDD459" w14:textId="55201D77" w:rsidR="00D749CB" w:rsidRPr="00D749CB" w:rsidRDefault="084972F7" w:rsidP="192D2995">
            <w:pPr>
              <w:rPr>
                <w:rFonts w:ascii="Arial" w:hAnsi="Arial" w:cs="Arial"/>
                <w:b/>
                <w:bCs/>
                <w:sz w:val="20"/>
              </w:rPr>
            </w:pPr>
            <w:r w:rsidRPr="192D2995">
              <w:rPr>
                <w:rFonts w:ascii="Arial" w:hAnsi="Arial" w:cs="Arial"/>
                <w:b/>
                <w:bCs/>
                <w:sz w:val="20"/>
              </w:rPr>
              <w:t>Origin of Birth</w:t>
            </w:r>
          </w:p>
        </w:tc>
        <w:tc>
          <w:tcPr>
            <w:tcW w:w="1440" w:type="dxa"/>
          </w:tcPr>
          <w:p w14:paraId="08C833BA" w14:textId="77777777" w:rsidR="00D749CB" w:rsidRPr="00D749CB" w:rsidRDefault="00D749CB" w:rsidP="00984C4D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51ACB" w14:paraId="7A235F9D" w14:textId="77777777" w:rsidTr="00984C4D">
        <w:tc>
          <w:tcPr>
            <w:tcW w:w="2605" w:type="dxa"/>
          </w:tcPr>
          <w:p w14:paraId="6C7F8E67" w14:textId="2C47398A" w:rsidR="00D749CB" w:rsidRPr="00D749CB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U.S.-born</w:t>
            </w:r>
          </w:p>
        </w:tc>
        <w:tc>
          <w:tcPr>
            <w:tcW w:w="1440" w:type="dxa"/>
          </w:tcPr>
          <w:p w14:paraId="7487004C" w14:textId="14DFC1DD" w:rsidR="00D749CB" w:rsidRPr="00D749CB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="084972F7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11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485AA161" w14:textId="77777777" w:rsidTr="00984C4D">
        <w:tc>
          <w:tcPr>
            <w:tcW w:w="2605" w:type="dxa"/>
          </w:tcPr>
          <w:p w14:paraId="18E06D12" w14:textId="35C229FF" w:rsidR="00D749CB" w:rsidRPr="00D749CB" w:rsidRDefault="084972F7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440" w:type="dxa"/>
          </w:tcPr>
          <w:p w14:paraId="74C518F0" w14:textId="74BC65F2" w:rsidR="00D749CB" w:rsidRPr="00D749CB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225</w:t>
            </w:r>
            <w:r w:rsidR="084972F7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89</w:t>
            </w:r>
            <w:r w:rsidR="084972F7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07C3B965" w14:textId="77777777" w:rsidTr="00984C4D">
        <w:tc>
          <w:tcPr>
            <w:tcW w:w="2605" w:type="dxa"/>
          </w:tcPr>
          <w:p w14:paraId="0A8AE55B" w14:textId="68551D57" w:rsidR="00D749CB" w:rsidRPr="00A70E19" w:rsidRDefault="084972F7" w:rsidP="192D2995">
            <w:pPr>
              <w:rPr>
                <w:rFonts w:ascii="Arial" w:hAnsi="Arial" w:cs="Arial"/>
                <w:b/>
                <w:bCs/>
                <w:sz w:val="20"/>
              </w:rPr>
            </w:pPr>
            <w:r w:rsidRPr="192D2995">
              <w:rPr>
                <w:rFonts w:ascii="Arial" w:hAnsi="Arial" w:cs="Arial"/>
                <w:b/>
                <w:bCs/>
                <w:sz w:val="20"/>
              </w:rPr>
              <w:t>Age</w:t>
            </w:r>
            <w:r w:rsidR="3832D65A" w:rsidRPr="192D2995">
              <w:rPr>
                <w:rFonts w:ascii="Arial" w:hAnsi="Arial" w:cs="Arial"/>
                <w:b/>
                <w:bCs/>
                <w:sz w:val="20"/>
              </w:rPr>
              <w:t xml:space="preserve"> (years)</w:t>
            </w:r>
          </w:p>
        </w:tc>
        <w:tc>
          <w:tcPr>
            <w:tcW w:w="1440" w:type="dxa"/>
          </w:tcPr>
          <w:p w14:paraId="0D8D7B66" w14:textId="77777777" w:rsidR="00D749CB" w:rsidRDefault="00D749CB" w:rsidP="00984C4D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51ACB" w14:paraId="5A1EC6C8" w14:textId="77777777" w:rsidTr="00984C4D">
        <w:tc>
          <w:tcPr>
            <w:tcW w:w="2605" w:type="dxa"/>
          </w:tcPr>
          <w:p w14:paraId="23EA05AA" w14:textId="50B5DD2D" w:rsidR="00D749CB" w:rsidRDefault="3832D65A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&lt;5</w:t>
            </w:r>
          </w:p>
        </w:tc>
        <w:tc>
          <w:tcPr>
            <w:tcW w:w="1440" w:type="dxa"/>
          </w:tcPr>
          <w:p w14:paraId="63E81948" w14:textId="49F6496B" w:rsidR="00D749CB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</w:t>
            </w:r>
            <w:r w:rsidR="6007824A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</w:t>
            </w:r>
            <w:r w:rsidR="3832D65A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4A27488F" w14:textId="77777777" w:rsidTr="00984C4D">
        <w:tc>
          <w:tcPr>
            <w:tcW w:w="2605" w:type="dxa"/>
          </w:tcPr>
          <w:p w14:paraId="3BE06F99" w14:textId="4635A3C9" w:rsidR="00D749CB" w:rsidRDefault="3832D65A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5-14</w:t>
            </w:r>
          </w:p>
        </w:tc>
        <w:tc>
          <w:tcPr>
            <w:tcW w:w="1440" w:type="dxa"/>
          </w:tcPr>
          <w:p w14:paraId="2C2608AB" w14:textId="26B08F7A" w:rsidR="00D749CB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70A14B6" w:rsidRPr="192D2995">
              <w:rPr>
                <w:rFonts w:ascii="Arial" w:hAnsi="Arial" w:cs="Arial"/>
                <w:sz w:val="20"/>
              </w:rPr>
              <w:t xml:space="preserve"> </w:t>
            </w:r>
            <w:r w:rsidR="3832D65A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2</w:t>
            </w:r>
            <w:r w:rsidR="3832D65A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1B8E9469" w14:textId="77777777" w:rsidTr="00984C4D">
        <w:tc>
          <w:tcPr>
            <w:tcW w:w="2605" w:type="dxa"/>
          </w:tcPr>
          <w:p w14:paraId="752E20AA" w14:textId="06AAD19D" w:rsidR="00D749CB" w:rsidRDefault="3832D65A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15-19</w:t>
            </w:r>
          </w:p>
        </w:tc>
        <w:tc>
          <w:tcPr>
            <w:tcW w:w="1440" w:type="dxa"/>
          </w:tcPr>
          <w:p w14:paraId="05A81086" w14:textId="7B7A076A" w:rsidR="00D749CB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70A14B6" w:rsidRPr="192D2995">
              <w:rPr>
                <w:rFonts w:ascii="Arial" w:hAnsi="Arial" w:cs="Arial"/>
                <w:sz w:val="20"/>
              </w:rPr>
              <w:t xml:space="preserve"> </w:t>
            </w:r>
            <w:r w:rsidR="3832D65A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3</w:t>
            </w:r>
            <w:r w:rsidR="3832D65A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617A93DD" w14:textId="77777777" w:rsidTr="00984C4D">
        <w:tc>
          <w:tcPr>
            <w:tcW w:w="2605" w:type="dxa"/>
          </w:tcPr>
          <w:p w14:paraId="6654B5E3" w14:textId="67B18636" w:rsidR="00D749CB" w:rsidRDefault="3832D65A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20-24</w:t>
            </w:r>
          </w:p>
        </w:tc>
        <w:tc>
          <w:tcPr>
            <w:tcW w:w="1440" w:type="dxa"/>
          </w:tcPr>
          <w:p w14:paraId="5AD2BBC6" w14:textId="60655372" w:rsidR="00D749CB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6D1F0378" w:rsidRPr="192D2995">
              <w:rPr>
                <w:rFonts w:ascii="Arial" w:hAnsi="Arial" w:cs="Arial"/>
                <w:sz w:val="20"/>
              </w:rPr>
              <w:t xml:space="preserve"> </w:t>
            </w:r>
            <w:r w:rsidR="3832D65A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7</w:t>
            </w:r>
            <w:r w:rsidR="3832D65A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0C5CCF89" w14:textId="77777777" w:rsidTr="00984C4D">
        <w:tc>
          <w:tcPr>
            <w:tcW w:w="2605" w:type="dxa"/>
          </w:tcPr>
          <w:p w14:paraId="7E3FCAEA" w14:textId="5F238CF8" w:rsidR="00D749CB" w:rsidRDefault="3832D65A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25-44</w:t>
            </w:r>
          </w:p>
        </w:tc>
        <w:tc>
          <w:tcPr>
            <w:tcW w:w="1440" w:type="dxa"/>
          </w:tcPr>
          <w:p w14:paraId="705873BB" w14:textId="0A31DF6A" w:rsidR="00D749CB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E1E6C">
              <w:rPr>
                <w:rFonts w:ascii="Arial" w:hAnsi="Arial" w:cs="Arial"/>
                <w:sz w:val="20"/>
              </w:rPr>
              <w:t>02</w:t>
            </w:r>
            <w:r w:rsidR="3832D65A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41</w:t>
            </w:r>
            <w:r w:rsidR="3832D65A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065B3596" w14:textId="77777777" w:rsidTr="00984C4D">
        <w:tc>
          <w:tcPr>
            <w:tcW w:w="2605" w:type="dxa"/>
          </w:tcPr>
          <w:p w14:paraId="131CDD16" w14:textId="1733C258" w:rsidR="00A70E19" w:rsidRDefault="3832D65A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45-64</w:t>
            </w:r>
          </w:p>
        </w:tc>
        <w:tc>
          <w:tcPr>
            <w:tcW w:w="1440" w:type="dxa"/>
          </w:tcPr>
          <w:p w14:paraId="555A5AD3" w14:textId="5AB0FFB6" w:rsidR="00A70E19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</w:t>
            </w:r>
            <w:r w:rsidR="3832D65A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24</w:t>
            </w:r>
            <w:r w:rsidR="3832D65A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451ACB" w14:paraId="42EC7459" w14:textId="77777777" w:rsidTr="00984C4D">
        <w:tc>
          <w:tcPr>
            <w:tcW w:w="2605" w:type="dxa"/>
          </w:tcPr>
          <w:p w14:paraId="3F23EAA7" w14:textId="16B6CF84" w:rsidR="00A70E19" w:rsidRDefault="3832D65A" w:rsidP="00055CDE">
            <w:pPr>
              <w:ind w:left="60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65+</w:t>
            </w:r>
          </w:p>
        </w:tc>
        <w:tc>
          <w:tcPr>
            <w:tcW w:w="1440" w:type="dxa"/>
          </w:tcPr>
          <w:p w14:paraId="5FEDDAB6" w14:textId="0FC520BD" w:rsidR="00A70E19" w:rsidRDefault="0031369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</w:t>
            </w:r>
            <w:r w:rsidR="3832D65A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22</w:t>
            </w:r>
            <w:r w:rsidR="3832D65A" w:rsidRPr="192D2995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54BFEF03" w14:textId="51770337" w:rsidR="00F439DD" w:rsidRDefault="3832D65A" w:rsidP="192D2995">
      <w:pPr>
        <w:rPr>
          <w:rFonts w:ascii="Arial" w:hAnsi="Arial" w:cs="Arial"/>
          <w:b/>
          <w:bCs/>
          <w:sz w:val="20"/>
        </w:rPr>
      </w:pPr>
      <w:r w:rsidRPr="192D2995">
        <w:rPr>
          <w:rFonts w:ascii="Arial" w:hAnsi="Arial" w:cs="Arial"/>
          <w:b/>
          <w:bCs/>
          <w:sz w:val="20"/>
        </w:rPr>
        <w:t>Clinical Presentation</w:t>
      </w:r>
    </w:p>
    <w:p w14:paraId="5DC33A95" w14:textId="60AFDC81" w:rsidR="006429BC" w:rsidRDefault="0B202094" w:rsidP="192D2995">
      <w:pPr>
        <w:rPr>
          <w:rFonts w:ascii="Arial" w:hAnsi="Arial" w:cs="Arial"/>
          <w:b/>
          <w:bCs/>
          <w:sz w:val="20"/>
        </w:rPr>
      </w:pPr>
      <w:r w:rsidRPr="192D2995">
        <w:rPr>
          <w:rFonts w:ascii="Arial" w:hAnsi="Arial" w:cs="Arial"/>
          <w:b/>
          <w:bCs/>
          <w:sz w:val="20"/>
        </w:rPr>
        <w:t>Primary site of disease</w:t>
      </w:r>
    </w:p>
    <w:tbl>
      <w:tblPr>
        <w:tblStyle w:val="TableGrid"/>
        <w:tblW w:w="4045" w:type="dxa"/>
        <w:tblLook w:val="04A0" w:firstRow="1" w:lastRow="0" w:firstColumn="1" w:lastColumn="0" w:noHBand="0" w:noVBand="1"/>
      </w:tblPr>
      <w:tblGrid>
        <w:gridCol w:w="2605"/>
        <w:gridCol w:w="1440"/>
      </w:tblGrid>
      <w:tr w:rsidR="00357126" w14:paraId="7E26D86F" w14:textId="77777777" w:rsidTr="00984C4D">
        <w:tc>
          <w:tcPr>
            <w:tcW w:w="2605" w:type="dxa"/>
          </w:tcPr>
          <w:p w14:paraId="10BC240C" w14:textId="1FE23305" w:rsidR="00357126" w:rsidRPr="00D749CB" w:rsidRDefault="3470B56B" w:rsidP="192D2995">
            <w:pPr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Pulmonary</w:t>
            </w:r>
          </w:p>
        </w:tc>
        <w:tc>
          <w:tcPr>
            <w:tcW w:w="1440" w:type="dxa"/>
          </w:tcPr>
          <w:p w14:paraId="1CBF9E41" w14:textId="43280C68" w:rsidR="00357126" w:rsidRPr="00D749CB" w:rsidRDefault="3470B56B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 xml:space="preserve"> </w:t>
            </w:r>
            <w:r w:rsidR="00313694">
              <w:rPr>
                <w:rFonts w:ascii="Arial" w:hAnsi="Arial" w:cs="Arial"/>
                <w:sz w:val="20"/>
              </w:rPr>
              <w:t>14</w:t>
            </w:r>
            <w:r w:rsidR="00291704">
              <w:rPr>
                <w:rFonts w:ascii="Arial" w:hAnsi="Arial" w:cs="Arial"/>
                <w:sz w:val="20"/>
              </w:rPr>
              <w:t>0</w:t>
            </w:r>
            <w:r w:rsidRPr="192D2995">
              <w:rPr>
                <w:rFonts w:ascii="Arial" w:hAnsi="Arial" w:cs="Arial"/>
                <w:sz w:val="20"/>
              </w:rPr>
              <w:t>(</w:t>
            </w:r>
            <w:r w:rsidR="00313694">
              <w:rPr>
                <w:rFonts w:ascii="Arial" w:hAnsi="Arial" w:cs="Arial"/>
                <w:sz w:val="20"/>
              </w:rPr>
              <w:t>56</w:t>
            </w:r>
            <w:r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3C4C0AB3" w14:textId="77777777" w:rsidTr="00984C4D">
        <w:tc>
          <w:tcPr>
            <w:tcW w:w="2605" w:type="dxa"/>
          </w:tcPr>
          <w:p w14:paraId="334A1CB3" w14:textId="718CB20D" w:rsidR="00357126" w:rsidRPr="00D749CB" w:rsidRDefault="3470B56B" w:rsidP="192D2995">
            <w:pPr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Extra-pulmonary</w:t>
            </w:r>
          </w:p>
        </w:tc>
        <w:tc>
          <w:tcPr>
            <w:tcW w:w="1440" w:type="dxa"/>
          </w:tcPr>
          <w:p w14:paraId="3D3BDAF7" w14:textId="59AD4D56" w:rsidR="00357126" w:rsidRPr="00D749CB" w:rsidRDefault="3470B56B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 xml:space="preserve"> </w:t>
            </w:r>
            <w:r w:rsidR="00313694">
              <w:rPr>
                <w:rFonts w:ascii="Arial" w:hAnsi="Arial" w:cs="Arial"/>
                <w:sz w:val="20"/>
              </w:rPr>
              <w:t>7</w:t>
            </w:r>
            <w:r w:rsidR="00291704">
              <w:rPr>
                <w:rFonts w:ascii="Arial" w:hAnsi="Arial" w:cs="Arial"/>
                <w:sz w:val="20"/>
              </w:rPr>
              <w:t>8</w:t>
            </w:r>
            <w:r w:rsidR="00313694">
              <w:rPr>
                <w:rFonts w:ascii="Arial" w:hAnsi="Arial" w:cs="Arial"/>
                <w:sz w:val="20"/>
              </w:rPr>
              <w:t xml:space="preserve"> </w:t>
            </w:r>
            <w:r w:rsidRPr="192D2995">
              <w:rPr>
                <w:rFonts w:ascii="Arial" w:hAnsi="Arial" w:cs="Arial"/>
                <w:sz w:val="20"/>
              </w:rPr>
              <w:t>(</w:t>
            </w:r>
            <w:r w:rsidR="00291704">
              <w:rPr>
                <w:rFonts w:ascii="Arial" w:hAnsi="Arial" w:cs="Arial"/>
                <w:sz w:val="20"/>
              </w:rPr>
              <w:t>31</w:t>
            </w:r>
            <w:r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46C93C46" w14:textId="77777777" w:rsidTr="00984C4D">
        <w:tc>
          <w:tcPr>
            <w:tcW w:w="2605" w:type="dxa"/>
            <w:vAlign w:val="center"/>
          </w:tcPr>
          <w:p w14:paraId="4C434E1E" w14:textId="51CBBC69" w:rsidR="00357126" w:rsidRPr="00357126" w:rsidRDefault="3470B56B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192D2995">
              <w:rPr>
                <w:rFonts w:ascii="Arial" w:hAnsi="Arial" w:cs="Arial"/>
                <w:b w:val="0"/>
              </w:rPr>
              <w:t xml:space="preserve">Both </w:t>
            </w:r>
          </w:p>
        </w:tc>
        <w:tc>
          <w:tcPr>
            <w:tcW w:w="1440" w:type="dxa"/>
          </w:tcPr>
          <w:p w14:paraId="4D18AD9D" w14:textId="7D9072E4" w:rsidR="00357126" w:rsidRPr="00D749CB" w:rsidRDefault="3470B56B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 xml:space="preserve"> </w:t>
            </w:r>
            <w:r w:rsidR="00313694">
              <w:rPr>
                <w:rFonts w:ascii="Arial" w:hAnsi="Arial" w:cs="Arial"/>
                <w:sz w:val="20"/>
              </w:rPr>
              <w:t>3</w:t>
            </w:r>
            <w:r w:rsidR="00291704">
              <w:rPr>
                <w:rFonts w:ascii="Arial" w:hAnsi="Arial" w:cs="Arial"/>
                <w:sz w:val="20"/>
              </w:rPr>
              <w:t>4</w:t>
            </w:r>
            <w:r w:rsidR="00313694">
              <w:rPr>
                <w:rFonts w:ascii="Arial" w:hAnsi="Arial" w:cs="Arial"/>
                <w:sz w:val="20"/>
              </w:rPr>
              <w:t xml:space="preserve"> </w:t>
            </w:r>
            <w:r w:rsidRPr="192D2995">
              <w:rPr>
                <w:rFonts w:ascii="Arial" w:hAnsi="Arial" w:cs="Arial"/>
                <w:sz w:val="20"/>
              </w:rPr>
              <w:t>(</w:t>
            </w:r>
            <w:r w:rsidR="00313694">
              <w:rPr>
                <w:rFonts w:ascii="Arial" w:hAnsi="Arial" w:cs="Arial"/>
                <w:sz w:val="20"/>
              </w:rPr>
              <w:t>1</w:t>
            </w:r>
            <w:r w:rsidR="00291704">
              <w:rPr>
                <w:rFonts w:ascii="Arial" w:hAnsi="Arial" w:cs="Arial"/>
                <w:sz w:val="20"/>
              </w:rPr>
              <w:t>3</w:t>
            </w:r>
            <w:r w:rsidRPr="192D2995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5AE5A29" w14:textId="62240866" w:rsidR="00357126" w:rsidRDefault="0B202094" w:rsidP="192D2995">
      <w:pPr>
        <w:rPr>
          <w:rFonts w:ascii="Arial" w:hAnsi="Arial" w:cs="Arial"/>
          <w:b/>
          <w:bCs/>
          <w:sz w:val="20"/>
        </w:rPr>
      </w:pPr>
      <w:r w:rsidRPr="192D2995">
        <w:rPr>
          <w:rFonts w:ascii="Arial" w:hAnsi="Arial" w:cs="Arial"/>
          <w:b/>
          <w:bCs/>
          <w:sz w:val="20"/>
        </w:rPr>
        <w:t>Chest radiography</w:t>
      </w:r>
    </w:p>
    <w:tbl>
      <w:tblPr>
        <w:tblStyle w:val="TableGrid"/>
        <w:tblW w:w="4045" w:type="dxa"/>
        <w:tblLook w:val="04A0" w:firstRow="1" w:lastRow="0" w:firstColumn="1" w:lastColumn="0" w:noHBand="0" w:noVBand="1"/>
      </w:tblPr>
      <w:tblGrid>
        <w:gridCol w:w="2605"/>
        <w:gridCol w:w="1440"/>
      </w:tblGrid>
      <w:tr w:rsidR="006429BC" w14:paraId="7FAB1A57" w14:textId="77777777" w:rsidTr="00984C4D">
        <w:tc>
          <w:tcPr>
            <w:tcW w:w="2605" w:type="dxa"/>
          </w:tcPr>
          <w:p w14:paraId="053CC29B" w14:textId="190D2BC8" w:rsidR="006429BC" w:rsidRPr="00B5606C" w:rsidRDefault="0B202094" w:rsidP="192D2995">
            <w:pPr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>Cavitary disease only</w:t>
            </w:r>
          </w:p>
        </w:tc>
        <w:tc>
          <w:tcPr>
            <w:tcW w:w="1440" w:type="dxa"/>
          </w:tcPr>
          <w:p w14:paraId="07025608" w14:textId="290B7C91" w:rsidR="006429BC" w:rsidRPr="00B5606C" w:rsidRDefault="00D664FF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>62</w:t>
            </w:r>
            <w:r w:rsidR="745BA045" w:rsidRPr="00B5606C">
              <w:rPr>
                <w:rFonts w:ascii="Arial" w:hAnsi="Arial" w:cs="Arial"/>
                <w:sz w:val="20"/>
              </w:rPr>
              <w:t xml:space="preserve"> </w:t>
            </w:r>
            <w:r w:rsidR="55545ADF" w:rsidRPr="00B5606C">
              <w:rPr>
                <w:rFonts w:ascii="Arial" w:hAnsi="Arial" w:cs="Arial"/>
                <w:sz w:val="20"/>
              </w:rPr>
              <w:t>(</w:t>
            </w:r>
            <w:r w:rsidR="004B3BB6" w:rsidRPr="00B5606C">
              <w:rPr>
                <w:rFonts w:ascii="Arial" w:hAnsi="Arial" w:cs="Arial"/>
                <w:sz w:val="20"/>
              </w:rPr>
              <w:t>2</w:t>
            </w:r>
            <w:r w:rsidRPr="00B5606C">
              <w:rPr>
                <w:rFonts w:ascii="Arial" w:hAnsi="Arial" w:cs="Arial"/>
                <w:sz w:val="20"/>
              </w:rPr>
              <w:t>5</w:t>
            </w:r>
            <w:r w:rsidR="638031E3" w:rsidRPr="00B5606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63C58657" w14:textId="77777777" w:rsidTr="00984C4D">
        <w:tc>
          <w:tcPr>
            <w:tcW w:w="2605" w:type="dxa"/>
          </w:tcPr>
          <w:p w14:paraId="621E669A" w14:textId="094F4098" w:rsidR="006429BC" w:rsidRPr="00B5606C" w:rsidRDefault="0B202094" w:rsidP="192D2995">
            <w:pPr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>Miliary disease only</w:t>
            </w:r>
          </w:p>
        </w:tc>
        <w:tc>
          <w:tcPr>
            <w:tcW w:w="1440" w:type="dxa"/>
          </w:tcPr>
          <w:p w14:paraId="43530A78" w14:textId="257F8B30" w:rsidR="006429BC" w:rsidRPr="00B5606C" w:rsidRDefault="0048178A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>1</w:t>
            </w:r>
            <w:r w:rsidR="00D664FF" w:rsidRPr="00B5606C">
              <w:rPr>
                <w:rFonts w:ascii="Arial" w:hAnsi="Arial" w:cs="Arial"/>
                <w:sz w:val="20"/>
              </w:rPr>
              <w:t>4</w:t>
            </w:r>
            <w:r w:rsidR="08AFEF45" w:rsidRPr="00B5606C">
              <w:rPr>
                <w:rFonts w:ascii="Arial" w:hAnsi="Arial" w:cs="Arial"/>
                <w:sz w:val="20"/>
              </w:rPr>
              <w:t xml:space="preserve"> (</w:t>
            </w:r>
            <w:r w:rsidR="00D664FF" w:rsidRPr="00B5606C">
              <w:rPr>
                <w:rFonts w:ascii="Arial" w:hAnsi="Arial" w:cs="Arial"/>
                <w:sz w:val="20"/>
              </w:rPr>
              <w:t>6</w:t>
            </w:r>
            <w:r w:rsidR="08AFEF45" w:rsidRPr="00B5606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326A11E" w14:textId="77777777" w:rsidTr="00984C4D">
        <w:tc>
          <w:tcPr>
            <w:tcW w:w="2605" w:type="dxa"/>
            <w:vAlign w:val="center"/>
          </w:tcPr>
          <w:p w14:paraId="2BBFB543" w14:textId="5CBD6DE5" w:rsidR="006429BC" w:rsidRPr="00B5606C" w:rsidRDefault="0B202094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B5606C">
              <w:rPr>
                <w:rFonts w:ascii="Arial" w:hAnsi="Arial" w:cs="Arial"/>
                <w:b w:val="0"/>
              </w:rPr>
              <w:t>Cavitary and miliary</w:t>
            </w:r>
          </w:p>
        </w:tc>
        <w:tc>
          <w:tcPr>
            <w:tcW w:w="1440" w:type="dxa"/>
          </w:tcPr>
          <w:p w14:paraId="74999644" w14:textId="1C95378A" w:rsidR="006429BC" w:rsidRPr="00B5606C" w:rsidRDefault="00CA6223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>4</w:t>
            </w:r>
            <w:r w:rsidR="004B3BB6" w:rsidRPr="00B5606C">
              <w:rPr>
                <w:rFonts w:ascii="Arial" w:hAnsi="Arial" w:cs="Arial"/>
                <w:sz w:val="20"/>
              </w:rPr>
              <w:t xml:space="preserve"> </w:t>
            </w:r>
            <w:r w:rsidR="5A029FB9" w:rsidRPr="00B5606C">
              <w:rPr>
                <w:rFonts w:ascii="Arial" w:hAnsi="Arial" w:cs="Arial"/>
                <w:sz w:val="20"/>
              </w:rPr>
              <w:t>(</w:t>
            </w:r>
            <w:r w:rsidRPr="00B5606C">
              <w:rPr>
                <w:rFonts w:ascii="Arial" w:hAnsi="Arial" w:cs="Arial"/>
                <w:sz w:val="20"/>
              </w:rPr>
              <w:t>2</w:t>
            </w:r>
            <w:r w:rsidR="5A029FB9" w:rsidRPr="00B5606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38625649" w14:textId="77777777" w:rsidTr="00984C4D">
        <w:tc>
          <w:tcPr>
            <w:tcW w:w="2605" w:type="dxa"/>
            <w:vAlign w:val="center"/>
          </w:tcPr>
          <w:p w14:paraId="2FE8597E" w14:textId="32F7D3D1" w:rsidR="006429BC" w:rsidRPr="00B5606C" w:rsidRDefault="0B202094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B5606C">
              <w:rPr>
                <w:rFonts w:ascii="Arial" w:hAnsi="Arial" w:cs="Arial"/>
                <w:b w:val="0"/>
              </w:rPr>
              <w:t>Non-cavitary disease only</w:t>
            </w:r>
          </w:p>
        </w:tc>
        <w:tc>
          <w:tcPr>
            <w:tcW w:w="1440" w:type="dxa"/>
          </w:tcPr>
          <w:p w14:paraId="7FBE08BE" w14:textId="0CEBA6D9" w:rsidR="006429BC" w:rsidRPr="00B5606C" w:rsidRDefault="0048178A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>1</w:t>
            </w:r>
            <w:r w:rsidR="00984C4D" w:rsidRPr="00B5606C">
              <w:rPr>
                <w:rFonts w:ascii="Arial" w:hAnsi="Arial" w:cs="Arial"/>
                <w:sz w:val="20"/>
              </w:rPr>
              <w:t>31</w:t>
            </w:r>
            <w:r w:rsidR="00CA6223" w:rsidRPr="00B5606C">
              <w:rPr>
                <w:rFonts w:ascii="Arial" w:hAnsi="Arial" w:cs="Arial"/>
                <w:sz w:val="20"/>
              </w:rPr>
              <w:t xml:space="preserve"> </w:t>
            </w:r>
            <w:r w:rsidR="75278951" w:rsidRPr="00B5606C">
              <w:rPr>
                <w:rFonts w:ascii="Arial" w:hAnsi="Arial" w:cs="Arial"/>
                <w:sz w:val="20"/>
              </w:rPr>
              <w:t>(</w:t>
            </w:r>
            <w:r w:rsidR="00984C4D" w:rsidRPr="00B5606C">
              <w:rPr>
                <w:rFonts w:ascii="Arial" w:hAnsi="Arial" w:cs="Arial"/>
                <w:sz w:val="20"/>
              </w:rPr>
              <w:t>5</w:t>
            </w:r>
            <w:r w:rsidRPr="00B5606C">
              <w:rPr>
                <w:rFonts w:ascii="Arial" w:hAnsi="Arial" w:cs="Arial"/>
                <w:sz w:val="20"/>
              </w:rPr>
              <w:t>2</w:t>
            </w:r>
            <w:r w:rsidR="75278951" w:rsidRPr="00B5606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913EBA" w14:textId="77777777" w:rsidTr="00984C4D">
        <w:tc>
          <w:tcPr>
            <w:tcW w:w="2605" w:type="dxa"/>
            <w:vAlign w:val="center"/>
          </w:tcPr>
          <w:p w14:paraId="339D1E05" w14:textId="21C0B924" w:rsidR="006429BC" w:rsidRPr="00B5606C" w:rsidRDefault="0B202094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B5606C">
              <w:rPr>
                <w:rFonts w:ascii="Arial" w:hAnsi="Arial" w:cs="Arial"/>
                <w:b w:val="0"/>
              </w:rPr>
              <w:t>Normal</w:t>
            </w:r>
          </w:p>
        </w:tc>
        <w:tc>
          <w:tcPr>
            <w:tcW w:w="1440" w:type="dxa"/>
          </w:tcPr>
          <w:p w14:paraId="2D958161" w14:textId="04C876DE" w:rsidR="006429BC" w:rsidRPr="00B5606C" w:rsidRDefault="0048178A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 xml:space="preserve">30 </w:t>
            </w:r>
            <w:r w:rsidR="75278951" w:rsidRPr="00B5606C">
              <w:rPr>
                <w:rFonts w:ascii="Arial" w:hAnsi="Arial" w:cs="Arial"/>
                <w:sz w:val="20"/>
              </w:rPr>
              <w:t>(</w:t>
            </w:r>
            <w:r w:rsidRPr="00B5606C">
              <w:rPr>
                <w:rFonts w:ascii="Arial" w:hAnsi="Arial" w:cs="Arial"/>
                <w:sz w:val="20"/>
              </w:rPr>
              <w:t>12</w:t>
            </w:r>
            <w:r w:rsidR="75278951" w:rsidRPr="00B5606C">
              <w:rPr>
                <w:rFonts w:ascii="Arial" w:hAnsi="Arial" w:cs="Arial"/>
                <w:sz w:val="20"/>
              </w:rPr>
              <w:t>%)</w:t>
            </w:r>
          </w:p>
        </w:tc>
      </w:tr>
      <w:tr w:rsidR="00B71F09" w14:paraId="061EC607" w14:textId="77777777" w:rsidTr="00984C4D">
        <w:tc>
          <w:tcPr>
            <w:tcW w:w="2605" w:type="dxa"/>
            <w:vAlign w:val="center"/>
          </w:tcPr>
          <w:p w14:paraId="36BC3FE9" w14:textId="13B50282" w:rsidR="00B71F09" w:rsidRPr="00B5606C" w:rsidRDefault="16957DB3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00B5606C">
              <w:rPr>
                <w:rFonts w:ascii="Arial" w:hAnsi="Arial" w:cs="Arial"/>
                <w:b w:val="0"/>
              </w:rPr>
              <w:t>Not done</w:t>
            </w:r>
          </w:p>
        </w:tc>
        <w:tc>
          <w:tcPr>
            <w:tcW w:w="1440" w:type="dxa"/>
          </w:tcPr>
          <w:p w14:paraId="6EEC9BB8" w14:textId="3C79C704" w:rsidR="00B71F09" w:rsidRPr="00B5606C" w:rsidRDefault="00984C4D" w:rsidP="00984C4D">
            <w:pPr>
              <w:jc w:val="right"/>
              <w:rPr>
                <w:rFonts w:ascii="Arial" w:hAnsi="Arial" w:cs="Arial"/>
                <w:sz w:val="20"/>
              </w:rPr>
            </w:pPr>
            <w:r w:rsidRPr="00B5606C">
              <w:rPr>
                <w:rFonts w:ascii="Arial" w:hAnsi="Arial" w:cs="Arial"/>
                <w:sz w:val="20"/>
              </w:rPr>
              <w:t>11</w:t>
            </w:r>
            <w:r w:rsidR="0B20DD30" w:rsidRPr="00B5606C">
              <w:rPr>
                <w:rFonts w:ascii="Arial" w:hAnsi="Arial" w:cs="Arial"/>
                <w:sz w:val="20"/>
              </w:rPr>
              <w:t xml:space="preserve"> </w:t>
            </w:r>
            <w:r w:rsidR="75278951" w:rsidRPr="00B5606C">
              <w:rPr>
                <w:rFonts w:ascii="Arial" w:hAnsi="Arial" w:cs="Arial"/>
                <w:sz w:val="20"/>
              </w:rPr>
              <w:t>(</w:t>
            </w:r>
            <w:r w:rsidRPr="00B5606C">
              <w:rPr>
                <w:rFonts w:ascii="Arial" w:hAnsi="Arial" w:cs="Arial"/>
                <w:sz w:val="20"/>
              </w:rPr>
              <w:t>4</w:t>
            </w:r>
            <w:r w:rsidR="5A84C2E8" w:rsidRPr="00B5606C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70A3D7C" w14:textId="4DFD807C" w:rsidR="006429BC" w:rsidRDefault="0B202094" w:rsidP="192D2995">
      <w:pPr>
        <w:rPr>
          <w:rFonts w:ascii="Arial" w:hAnsi="Arial" w:cs="Arial"/>
          <w:b/>
          <w:bCs/>
          <w:sz w:val="20"/>
        </w:rPr>
      </w:pPr>
      <w:r w:rsidRPr="192D2995">
        <w:rPr>
          <w:rFonts w:ascii="Arial" w:hAnsi="Arial" w:cs="Arial"/>
          <w:b/>
          <w:bCs/>
          <w:sz w:val="20"/>
        </w:rPr>
        <w:t>Groups</w:t>
      </w:r>
      <w:r w:rsidR="00781F8F">
        <w:rPr>
          <w:rFonts w:ascii="Arial" w:hAnsi="Arial" w:cs="Arial"/>
          <w:b/>
          <w:bCs/>
          <w:sz w:val="20"/>
        </w:rPr>
        <w:t xml:space="preserve"> With Elevated Risk for TB</w:t>
      </w:r>
      <w:r w:rsidR="006429BC" w:rsidRPr="192D2995">
        <w:rPr>
          <w:rStyle w:val="FootnoteReference"/>
          <w:rFonts w:ascii="Arial" w:hAnsi="Arial" w:cs="Arial"/>
          <w:b/>
          <w:bCs/>
          <w:sz w:val="20"/>
        </w:rPr>
        <w:footnoteReference w:id="2"/>
      </w:r>
      <w:r w:rsidRPr="192D2995">
        <w:rPr>
          <w:rFonts w:ascii="Arial" w:hAnsi="Arial" w:cs="Arial"/>
          <w:b/>
          <w:bCs/>
          <w:sz w:val="20"/>
        </w:rPr>
        <w:t xml:space="preserve"> </w:t>
      </w:r>
    </w:p>
    <w:tbl>
      <w:tblPr>
        <w:tblStyle w:val="TableGrid"/>
        <w:tblW w:w="4045" w:type="dxa"/>
        <w:tblLook w:val="04A0" w:firstRow="1" w:lastRow="0" w:firstColumn="1" w:lastColumn="0" w:noHBand="0" w:noVBand="1"/>
      </w:tblPr>
      <w:tblGrid>
        <w:gridCol w:w="2605"/>
        <w:gridCol w:w="1440"/>
      </w:tblGrid>
      <w:tr w:rsidR="006429BC" w14:paraId="5F99B69C" w14:textId="77777777" w:rsidTr="00984C4D">
        <w:tc>
          <w:tcPr>
            <w:tcW w:w="2605" w:type="dxa"/>
          </w:tcPr>
          <w:p w14:paraId="144F04EB" w14:textId="0EE04E92" w:rsidR="006429BC" w:rsidRPr="00D749CB" w:rsidRDefault="0B202094" w:rsidP="192D2995">
            <w:pPr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440" w:type="dxa"/>
          </w:tcPr>
          <w:p w14:paraId="367C74CD" w14:textId="2DD38F24" w:rsidR="006429BC" w:rsidRPr="00D749CB" w:rsidRDefault="00291704" w:rsidP="192D29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225</w:t>
            </w:r>
            <w:r w:rsidR="420944C6" w:rsidRPr="192D2995">
              <w:rPr>
                <w:rFonts w:ascii="Arial" w:hAnsi="Arial" w:cs="Arial"/>
                <w:sz w:val="20"/>
              </w:rPr>
              <w:t xml:space="preserve"> </w:t>
            </w:r>
            <w:r w:rsidR="0B202094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89</w:t>
            </w:r>
            <w:r w:rsidR="0B202094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BD8BF9" w14:textId="77777777" w:rsidTr="00984C4D">
        <w:tc>
          <w:tcPr>
            <w:tcW w:w="2605" w:type="dxa"/>
          </w:tcPr>
          <w:p w14:paraId="26FF6C38" w14:textId="72AC97DE" w:rsidR="006429BC" w:rsidRPr="00D749CB" w:rsidRDefault="0B202094" w:rsidP="192D2995">
            <w:pPr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Children &lt;15 yrs o</w:t>
            </w:r>
            <w:r w:rsidR="686CBB98" w:rsidRPr="192D2995">
              <w:rPr>
                <w:rFonts w:ascii="Arial" w:hAnsi="Arial" w:cs="Arial"/>
                <w:sz w:val="20"/>
              </w:rPr>
              <w:t>ld</w:t>
            </w:r>
          </w:p>
        </w:tc>
        <w:tc>
          <w:tcPr>
            <w:tcW w:w="1440" w:type="dxa"/>
          </w:tcPr>
          <w:p w14:paraId="2FE76940" w14:textId="00AD6D53" w:rsidR="006429BC" w:rsidRPr="00D749CB" w:rsidRDefault="00291704" w:rsidP="192D29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4674D62D" w:rsidRPr="192D2995">
              <w:rPr>
                <w:rFonts w:ascii="Arial" w:hAnsi="Arial" w:cs="Arial"/>
                <w:sz w:val="20"/>
              </w:rPr>
              <w:t xml:space="preserve"> </w:t>
            </w:r>
            <w:r w:rsidR="0B202094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2</w:t>
            </w:r>
            <w:r w:rsidR="0B202094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9D9D6AD" w14:textId="77777777" w:rsidTr="00984C4D">
        <w:tc>
          <w:tcPr>
            <w:tcW w:w="2605" w:type="dxa"/>
            <w:vAlign w:val="center"/>
          </w:tcPr>
          <w:p w14:paraId="11AFB37D" w14:textId="00D1A391" w:rsidR="006429BC" w:rsidRPr="00357126" w:rsidRDefault="0B202094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192D2995">
              <w:rPr>
                <w:rFonts w:ascii="Arial" w:hAnsi="Arial" w:cs="Arial"/>
                <w:b w:val="0"/>
              </w:rPr>
              <w:t>Incarcerat</w:t>
            </w:r>
            <w:r w:rsidR="3427221C" w:rsidRPr="192D2995">
              <w:rPr>
                <w:rFonts w:ascii="Arial" w:hAnsi="Arial" w:cs="Arial"/>
                <w:b w:val="0"/>
              </w:rPr>
              <w:t>ion</w:t>
            </w:r>
          </w:p>
        </w:tc>
        <w:tc>
          <w:tcPr>
            <w:tcW w:w="1440" w:type="dxa"/>
          </w:tcPr>
          <w:p w14:paraId="1C8588B2" w14:textId="4949DBB7" w:rsidR="006429BC" w:rsidRPr="00D749CB" w:rsidRDefault="00291704" w:rsidP="192D29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AE6C5FD" w:rsidRPr="192D2995">
              <w:rPr>
                <w:rFonts w:ascii="Arial" w:hAnsi="Arial" w:cs="Arial"/>
                <w:sz w:val="20"/>
              </w:rPr>
              <w:t xml:space="preserve"> </w:t>
            </w:r>
            <w:r w:rsidR="0B202094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0.4</w:t>
            </w:r>
            <w:r w:rsidR="0B202094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114B0BA5" w14:textId="77777777" w:rsidTr="00984C4D">
        <w:tc>
          <w:tcPr>
            <w:tcW w:w="2605" w:type="dxa"/>
            <w:vAlign w:val="center"/>
          </w:tcPr>
          <w:p w14:paraId="450D85A9" w14:textId="62D2A47B" w:rsidR="006429BC" w:rsidRDefault="0B202094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192D2995">
              <w:rPr>
                <w:rFonts w:ascii="Arial" w:hAnsi="Arial" w:cs="Arial"/>
                <w:b w:val="0"/>
              </w:rPr>
              <w:t>Homeless</w:t>
            </w:r>
            <w:r w:rsidR="3427221C" w:rsidRPr="192D2995">
              <w:rPr>
                <w:rFonts w:ascii="Arial" w:hAnsi="Arial" w:cs="Arial"/>
                <w:b w:val="0"/>
              </w:rPr>
              <w:t>ness</w:t>
            </w:r>
          </w:p>
        </w:tc>
        <w:tc>
          <w:tcPr>
            <w:tcW w:w="1440" w:type="dxa"/>
          </w:tcPr>
          <w:p w14:paraId="32CD83EE" w14:textId="63270C24" w:rsidR="006429BC" w:rsidRDefault="00291704" w:rsidP="192D29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786B8212" w:rsidRPr="009B62F1">
              <w:rPr>
                <w:rFonts w:ascii="Arial" w:hAnsi="Arial" w:cs="Arial"/>
                <w:sz w:val="20"/>
              </w:rPr>
              <w:t xml:space="preserve"> </w:t>
            </w:r>
            <w:r w:rsidR="0B202094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8</w:t>
            </w:r>
            <w:r w:rsidR="0B202094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52271BA" w14:textId="77777777" w:rsidTr="00984C4D">
        <w:tc>
          <w:tcPr>
            <w:tcW w:w="2605" w:type="dxa"/>
            <w:vAlign w:val="center"/>
          </w:tcPr>
          <w:p w14:paraId="070A65AD" w14:textId="46A53EA9" w:rsidR="006429BC" w:rsidRDefault="2D2E0D22" w:rsidP="00F439DD">
            <w:pPr>
              <w:pStyle w:val="Heading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Substance use</w:t>
            </w:r>
            <w:r w:rsidR="00556AEF">
              <w:rPr>
                <w:rStyle w:val="FootnoteReference"/>
                <w:rFonts w:ascii="Arial" w:hAnsi="Arial" w:cs="Arial"/>
                <w:b w:val="0"/>
              </w:rPr>
              <w:footnoteReference w:id="3"/>
            </w:r>
          </w:p>
        </w:tc>
        <w:tc>
          <w:tcPr>
            <w:tcW w:w="1440" w:type="dxa"/>
          </w:tcPr>
          <w:p w14:paraId="34EB622F" w14:textId="397078CD" w:rsidR="006429BC" w:rsidRDefault="00291704" w:rsidP="192D29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B202094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9</w:t>
            </w:r>
            <w:r w:rsidR="0B202094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7167627B" w14:textId="77777777" w:rsidTr="00984C4D">
        <w:tc>
          <w:tcPr>
            <w:tcW w:w="2605" w:type="dxa"/>
            <w:vAlign w:val="center"/>
          </w:tcPr>
          <w:p w14:paraId="5571BF71" w14:textId="63234A5D" w:rsidR="006429BC" w:rsidRDefault="2D2E0D22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192D2995">
              <w:rPr>
                <w:rFonts w:ascii="Arial" w:hAnsi="Arial" w:cs="Arial"/>
                <w:b w:val="0"/>
              </w:rPr>
              <w:t>HIV co-infection</w:t>
            </w:r>
          </w:p>
        </w:tc>
        <w:tc>
          <w:tcPr>
            <w:tcW w:w="1440" w:type="dxa"/>
          </w:tcPr>
          <w:p w14:paraId="07CA27D9" w14:textId="213F5A28" w:rsidR="006429BC" w:rsidRDefault="00291704" w:rsidP="192D29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51ACB">
              <w:rPr>
                <w:rFonts w:ascii="Arial" w:hAnsi="Arial" w:cs="Arial"/>
                <w:sz w:val="20"/>
              </w:rPr>
              <w:t>11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B202094" w:rsidRPr="192D2995">
              <w:rPr>
                <w:rFonts w:ascii="Arial" w:hAnsi="Arial" w:cs="Arial"/>
                <w:sz w:val="20"/>
              </w:rPr>
              <w:t>(</w:t>
            </w:r>
            <w:r w:rsidR="00451ACB">
              <w:rPr>
                <w:rFonts w:ascii="Arial" w:hAnsi="Arial" w:cs="Arial"/>
                <w:sz w:val="20"/>
              </w:rPr>
              <w:t>4</w:t>
            </w:r>
            <w:r w:rsidR="0B202094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556AEF" w14:paraId="191CEAA9" w14:textId="77777777" w:rsidTr="00984C4D">
        <w:tc>
          <w:tcPr>
            <w:tcW w:w="2605" w:type="dxa"/>
            <w:vAlign w:val="center"/>
          </w:tcPr>
          <w:p w14:paraId="4893CFE8" w14:textId="22C97F63" w:rsidR="00556AEF" w:rsidRDefault="2D2E0D22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192D2995">
              <w:rPr>
                <w:rFonts w:ascii="Arial" w:hAnsi="Arial" w:cs="Arial"/>
                <w:b w:val="0"/>
              </w:rPr>
              <w:t>Contact to previous MA case</w:t>
            </w:r>
          </w:p>
        </w:tc>
        <w:tc>
          <w:tcPr>
            <w:tcW w:w="1440" w:type="dxa"/>
          </w:tcPr>
          <w:p w14:paraId="699BCD39" w14:textId="181841AA" w:rsidR="00556AEF" w:rsidRDefault="00291704" w:rsidP="192D29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2D2E0D22" w:rsidRPr="192D299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6</w:t>
            </w:r>
            <w:r w:rsidR="2D2E0D22" w:rsidRPr="192D2995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743BEBCC" w14:textId="09E7D2B9" w:rsidR="006429BC" w:rsidRPr="00FC2EA0" w:rsidRDefault="006429BC">
      <w:pPr>
        <w:rPr>
          <w:rFonts w:ascii="Arial" w:hAnsi="Arial" w:cs="Arial"/>
          <w:b/>
          <w:bCs/>
          <w:sz w:val="12"/>
          <w:szCs w:val="12"/>
        </w:rPr>
      </w:pPr>
    </w:p>
    <w:p w14:paraId="1D8BC2D3" w14:textId="12F94DB3" w:rsidR="00556AEF" w:rsidRDefault="2D2E0D22" w:rsidP="17B867EB">
      <w:pPr>
        <w:rPr>
          <w:rFonts w:ascii="Arial" w:hAnsi="Arial" w:cs="Arial"/>
          <w:sz w:val="20"/>
        </w:rPr>
      </w:pPr>
      <w:r w:rsidRPr="17B867EB">
        <w:rPr>
          <w:rFonts w:ascii="Arial" w:hAnsi="Arial" w:cs="Arial"/>
          <w:b/>
          <w:bCs/>
          <w:sz w:val="20"/>
        </w:rPr>
        <w:t xml:space="preserve">Drug </w:t>
      </w:r>
      <w:r w:rsidR="7FF8CA16" w:rsidRPr="17B867EB">
        <w:rPr>
          <w:rFonts w:ascii="Arial" w:hAnsi="Arial" w:cs="Arial"/>
          <w:b/>
          <w:bCs/>
          <w:sz w:val="20"/>
        </w:rPr>
        <w:t>R</w:t>
      </w:r>
      <w:r w:rsidRPr="17B867EB">
        <w:rPr>
          <w:rFonts w:ascii="Arial" w:hAnsi="Arial" w:cs="Arial"/>
          <w:b/>
          <w:bCs/>
          <w:sz w:val="20"/>
        </w:rPr>
        <w:t>esistance</w:t>
      </w:r>
      <w:r w:rsidR="7FF8CA16" w:rsidRPr="17B867EB">
        <w:rPr>
          <w:rFonts w:ascii="Arial" w:hAnsi="Arial" w:cs="Arial"/>
          <w:b/>
          <w:bCs/>
          <w:sz w:val="20"/>
        </w:rPr>
        <w:t xml:space="preserve"> </w:t>
      </w:r>
      <w:r w:rsidR="7FF8CA16" w:rsidRPr="17B867EB">
        <w:rPr>
          <w:rFonts w:ascii="Arial" w:hAnsi="Arial" w:cs="Arial"/>
          <w:sz w:val="20"/>
        </w:rPr>
        <w:t xml:space="preserve">Culture confirmed cases with drug susceptibility results </w:t>
      </w:r>
      <w:r w:rsidR="7FF8CA16" w:rsidRPr="17B867EB">
        <w:rPr>
          <w:rFonts w:ascii="Arial" w:hAnsi="Arial" w:cs="Arial"/>
          <w:b/>
          <w:bCs/>
          <w:sz w:val="20"/>
        </w:rPr>
        <w:t>(N=</w:t>
      </w:r>
      <w:r w:rsidR="7BC2CBDF" w:rsidRPr="17B867EB">
        <w:rPr>
          <w:rFonts w:ascii="Arial" w:hAnsi="Arial" w:cs="Arial"/>
          <w:b/>
          <w:bCs/>
          <w:sz w:val="20"/>
        </w:rPr>
        <w:t>174</w:t>
      </w:r>
      <w:r w:rsidR="7FF8CA16" w:rsidRPr="17B867EB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4045" w:type="dxa"/>
        <w:tblLook w:val="04A0" w:firstRow="1" w:lastRow="0" w:firstColumn="1" w:lastColumn="0" w:noHBand="0" w:noVBand="1"/>
      </w:tblPr>
      <w:tblGrid>
        <w:gridCol w:w="2605"/>
        <w:gridCol w:w="1440"/>
      </w:tblGrid>
      <w:tr w:rsidR="00C61A3D" w:rsidRPr="00D2329A" w14:paraId="26B4EB71" w14:textId="77777777" w:rsidTr="00984C4D">
        <w:tc>
          <w:tcPr>
            <w:tcW w:w="2605" w:type="dxa"/>
          </w:tcPr>
          <w:p w14:paraId="064A2A7D" w14:textId="22541754" w:rsidR="00C61A3D" w:rsidRPr="0066665D" w:rsidRDefault="7FF8CA16" w:rsidP="192D2995">
            <w:pPr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 xml:space="preserve">Resistance to </w:t>
            </w:r>
            <w:r w:rsidRPr="192D2995">
              <w:rPr>
                <w:rFonts w:ascii="Arial" w:hAnsi="Arial" w:cs="Arial"/>
                <w:sz w:val="20"/>
                <w:u w:val="single"/>
              </w:rPr>
              <w:t>&gt;</w:t>
            </w:r>
            <w:r w:rsidRPr="192D2995">
              <w:rPr>
                <w:rFonts w:ascii="Arial" w:hAnsi="Arial" w:cs="Arial"/>
                <w:sz w:val="20"/>
              </w:rPr>
              <w:t>1 drug</w:t>
            </w:r>
          </w:p>
        </w:tc>
        <w:tc>
          <w:tcPr>
            <w:tcW w:w="1440" w:type="dxa"/>
          </w:tcPr>
          <w:p w14:paraId="664CADD0" w14:textId="422F2B87" w:rsidR="00C61A3D" w:rsidRPr="0066665D" w:rsidRDefault="0029170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 </w:t>
            </w:r>
            <w:r w:rsidR="001F41B2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9</w:t>
            </w:r>
            <w:r w:rsidR="008920D8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:rsidRPr="00D2329A" w14:paraId="46398EE5" w14:textId="77777777" w:rsidTr="00984C4D">
        <w:tc>
          <w:tcPr>
            <w:tcW w:w="2605" w:type="dxa"/>
          </w:tcPr>
          <w:p w14:paraId="05B91097" w14:textId="25AB616B" w:rsidR="00C61A3D" w:rsidRPr="0066665D" w:rsidRDefault="7FF8CA16" w:rsidP="192D2995">
            <w:pPr>
              <w:rPr>
                <w:rFonts w:ascii="Arial" w:hAnsi="Arial" w:cs="Arial"/>
                <w:sz w:val="20"/>
              </w:rPr>
            </w:pPr>
            <w:r w:rsidRPr="192D2995">
              <w:rPr>
                <w:rFonts w:ascii="Arial" w:hAnsi="Arial" w:cs="Arial"/>
                <w:sz w:val="20"/>
              </w:rPr>
              <w:t>Resistance to INH</w:t>
            </w:r>
          </w:p>
        </w:tc>
        <w:tc>
          <w:tcPr>
            <w:tcW w:w="1440" w:type="dxa"/>
          </w:tcPr>
          <w:p w14:paraId="27BE2FB9" w14:textId="14C0C416" w:rsidR="00C61A3D" w:rsidRPr="0066665D" w:rsidRDefault="0029170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675A881E" w:rsidRPr="192D2995">
              <w:rPr>
                <w:rFonts w:ascii="Arial" w:hAnsi="Arial" w:cs="Arial"/>
                <w:sz w:val="20"/>
              </w:rPr>
              <w:t xml:space="preserve"> </w:t>
            </w:r>
            <w:r w:rsidR="008920D8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6</w:t>
            </w:r>
            <w:r w:rsidR="008920D8" w:rsidRPr="192D2995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:rsidRPr="00D2329A" w14:paraId="2FCE0B2E" w14:textId="77777777" w:rsidTr="00984C4D">
        <w:tc>
          <w:tcPr>
            <w:tcW w:w="2605" w:type="dxa"/>
            <w:vAlign w:val="center"/>
          </w:tcPr>
          <w:p w14:paraId="292BB3FF" w14:textId="3C7C1C07" w:rsidR="00C61A3D" w:rsidRPr="0066665D" w:rsidRDefault="686CBB98" w:rsidP="00F439DD">
            <w:pPr>
              <w:pStyle w:val="Heading3"/>
              <w:rPr>
                <w:rFonts w:ascii="Arial" w:hAnsi="Arial" w:cs="Arial"/>
                <w:b w:val="0"/>
              </w:rPr>
            </w:pPr>
            <w:r w:rsidRPr="192D2995">
              <w:rPr>
                <w:rFonts w:ascii="Arial" w:hAnsi="Arial" w:cs="Arial"/>
                <w:b w:val="0"/>
              </w:rPr>
              <w:t>Resistance to INH and RIF (MDR-TB)</w:t>
            </w:r>
            <w:r w:rsidR="7FF8CA16" w:rsidRPr="192D2995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440" w:type="dxa"/>
          </w:tcPr>
          <w:p w14:paraId="0CA4F816" w14:textId="2E628623" w:rsidR="00C61A3D" w:rsidRPr="0066665D" w:rsidRDefault="00291704" w:rsidP="00984C4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</w:t>
            </w:r>
            <w:r w:rsidR="45B2EBD5" w:rsidRPr="192D2995">
              <w:rPr>
                <w:rFonts w:ascii="Arial" w:hAnsi="Arial" w:cs="Arial"/>
                <w:sz w:val="20"/>
              </w:rPr>
              <w:t xml:space="preserve"> </w:t>
            </w:r>
            <w:r w:rsidR="008920D8" w:rsidRPr="192D299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0.4</w:t>
            </w:r>
            <w:r w:rsidR="008920D8" w:rsidRPr="192D2995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8334890" w14:textId="77777777" w:rsidR="00055CDE" w:rsidRDefault="00D141FD" w:rsidP="00055CDE">
      <w:pPr>
        <w:pStyle w:val="FootnoteText"/>
        <w:rPr>
          <w:rFonts w:ascii="Arial" w:hAnsi="Arial" w:cs="Arial"/>
          <w:bCs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6429BC">
        <w:rPr>
          <w:rFonts w:ascii="Arial" w:hAnsi="Arial" w:cs="Arial"/>
          <w:bCs/>
          <w:sz w:val="14"/>
          <w:szCs w:val="14"/>
        </w:rPr>
        <w:t>Not mutually exclusive groups</w:t>
      </w:r>
    </w:p>
    <w:p w14:paraId="6DD74525" w14:textId="0630E5B4" w:rsidR="00E763A1" w:rsidRDefault="00D141FD" w:rsidP="000F7446">
      <w:pPr>
        <w:pStyle w:val="FootnoteText"/>
        <w:rPr>
          <w:rFonts w:ascii="Arial" w:hAnsi="Arial" w:cs="Arial"/>
          <w:sz w:val="14"/>
          <w:szCs w:val="14"/>
        </w:rPr>
      </w:pPr>
      <w:r>
        <w:rPr>
          <w:rStyle w:val="FootnoteReference"/>
        </w:rPr>
        <w:t>2</w:t>
      </w:r>
      <w:r>
        <w:t xml:space="preserve"> </w:t>
      </w:r>
      <w:r w:rsidRPr="431E2D4E">
        <w:rPr>
          <w:rFonts w:ascii="Arial" w:hAnsi="Arial" w:cs="Arial"/>
          <w:sz w:val="14"/>
          <w:szCs w:val="14"/>
        </w:rPr>
        <w:t>Alcohol, injection and non-injection drug use</w:t>
      </w:r>
    </w:p>
    <w:sectPr w:rsidR="00E763A1" w:rsidSect="00984C4D">
      <w:type w:val="continuous"/>
      <w:pgSz w:w="12240" w:h="15840" w:code="1"/>
      <w:pgMar w:top="720" w:right="720" w:bottom="432" w:left="720" w:header="720" w:footer="1008" w:gutter="0"/>
      <w:cols w:num="2" w:space="288" w:equalWidth="0">
        <w:col w:w="6480" w:space="288"/>
        <w:col w:w="40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4FF" w14:textId="77777777" w:rsidR="004D139A" w:rsidRDefault="004D139A" w:rsidP="00AE6D85">
      <w:r>
        <w:separator/>
      </w:r>
    </w:p>
  </w:endnote>
  <w:endnote w:type="continuationSeparator" w:id="0">
    <w:p w14:paraId="6E137205" w14:textId="77777777" w:rsidR="004D139A" w:rsidRDefault="004D139A" w:rsidP="00AE6D85">
      <w:r>
        <w:continuationSeparator/>
      </w:r>
    </w:p>
  </w:endnote>
  <w:endnote w:type="continuationNotice" w:id="1">
    <w:p w14:paraId="4CECF6BD" w14:textId="77777777" w:rsidR="004D139A" w:rsidRDefault="004D1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92A2" w14:textId="20DF9E49" w:rsidR="00055CDE" w:rsidRPr="00055CDE" w:rsidRDefault="009C092C" w:rsidP="00055CDE">
    <w:pPr>
      <w:pStyle w:val="FootnoteText"/>
      <w:rPr>
        <w:rFonts w:ascii="Arial" w:hAnsi="Arial" w:cs="Arial"/>
        <w:sz w:val="14"/>
        <w:szCs w:val="14"/>
      </w:rPr>
    </w:pPr>
    <w:r>
      <w:rPr>
        <w:rStyle w:val="FootnoteReference"/>
      </w:rPr>
      <w:footnoteRef/>
    </w:r>
    <w:r w:rsidR="00055CDE" w:rsidRPr="00055CDE">
      <w:rPr>
        <w:rFonts w:ascii="Times New Roman" w:hAnsi="Times New Roman"/>
        <w:szCs w:val="24"/>
      </w:rPr>
      <w:t xml:space="preserve"> </w:t>
    </w:r>
    <w:r w:rsidR="00055CDE" w:rsidRPr="00055CDE">
      <w:rPr>
        <w:rFonts w:ascii="Arial" w:hAnsi="Arial" w:cs="Arial"/>
        <w:sz w:val="14"/>
        <w:szCs w:val="14"/>
      </w:rPr>
      <w:t xml:space="preserve">Rates for this report were generated using the UMass Donahue Institute V2024 Population Projections, details for which can be found at </w:t>
    </w:r>
    <w:hyperlink r:id="rId1" w:tgtFrame="_blank" w:tooltip="https://donahue.umass.edu/business-groups/economic-public-policy-research/massachusetts-population-estimates-program" w:history="1">
      <w:r w:rsidR="00055CDE" w:rsidRPr="00055CDE">
        <w:rPr>
          <w:rStyle w:val="Hyperlink"/>
          <w:rFonts w:ascii="Arial" w:hAnsi="Arial" w:cs="Arial"/>
          <w:sz w:val="14"/>
          <w:szCs w:val="14"/>
        </w:rPr>
        <w:t>https://donahue.umass.edu/business-groups/economic-public-policy-research/massachusetts-population-…</w:t>
      </w:r>
    </w:hyperlink>
    <w:r w:rsidR="00055CDE" w:rsidRPr="00055CDE">
      <w:rPr>
        <w:rFonts w:ascii="Arial" w:hAnsi="Arial" w:cs="Arial"/>
        <w:sz w:val="14"/>
        <w:szCs w:val="14"/>
      </w:rPr>
      <w:t> </w:t>
    </w:r>
  </w:p>
  <w:p w14:paraId="2BBA2599" w14:textId="01267923" w:rsidR="00055CDE" w:rsidRPr="00055CDE" w:rsidDel="00D701C3" w:rsidRDefault="2D062200" w:rsidP="00055CDE">
    <w:pPr>
      <w:pStyle w:val="FootnoteText"/>
      <w:rPr>
        <w:rFonts w:ascii="Arial" w:hAnsi="Arial" w:cs="Arial"/>
        <w:sz w:val="14"/>
        <w:szCs w:val="14"/>
      </w:rPr>
    </w:pPr>
    <w:r w:rsidRPr="2D062200">
      <w:rPr>
        <w:rFonts w:ascii="Arial" w:hAnsi="Arial" w:cs="Arial"/>
        <w:sz w:val="14"/>
        <w:szCs w:val="14"/>
      </w:rPr>
      <w:t>These estimates aim to provide the most accurate and inclusive measure of populations within the state based on all available information.   </w:t>
    </w:r>
  </w:p>
  <w:p w14:paraId="6568DAFB" w14:textId="14687F75" w:rsidR="009C092C" w:rsidRDefault="009C092C" w:rsidP="009C092C">
    <w:pPr>
      <w:pStyle w:val="FootnoteText"/>
      <w:rPr>
        <w:rFonts w:ascii="Arial" w:hAnsi="Arial" w:cs="Arial"/>
        <w:sz w:val="14"/>
        <w:szCs w:val="14"/>
      </w:rPr>
    </w:pPr>
    <w:r>
      <w:rPr>
        <w:rStyle w:val="FootnoteReference"/>
      </w:rPr>
      <w:t>2</w:t>
    </w:r>
    <w:r>
      <w:rPr>
        <w:rFonts w:ascii="Arial" w:hAnsi="Arial" w:cs="Arial"/>
        <w:sz w:val="14"/>
        <w:szCs w:val="14"/>
      </w:rPr>
      <w:t xml:space="preserve">Persons with LTBI have a TB infection as shown by a positive TB skin test or blood test but are not currently sick or infectious to others. </w:t>
    </w:r>
  </w:p>
  <w:p w14:paraId="0BAFDBEC" w14:textId="4573279F" w:rsidR="009C092C" w:rsidRPr="009C092C" w:rsidRDefault="2D062200" w:rsidP="009C092C">
    <w:pPr>
      <w:pStyle w:val="FootnoteText"/>
      <w:rPr>
        <w:rFonts w:ascii="Arial" w:hAnsi="Arial" w:cs="Arial"/>
        <w:sz w:val="14"/>
        <w:szCs w:val="14"/>
      </w:rPr>
    </w:pPr>
    <w:r w:rsidRPr="2D062200">
      <w:rPr>
        <w:rStyle w:val="FootnoteReference"/>
      </w:rPr>
      <w:t>3</w:t>
    </w:r>
    <w:r w:rsidRPr="2D062200">
      <w:rPr>
        <w:rStyle w:val="Hyperlink"/>
        <w:rFonts w:ascii="Arial" w:hAnsi="Arial" w:cs="Arial"/>
        <w:i/>
        <w:iCs/>
        <w:color w:val="auto"/>
        <w:sz w:val="14"/>
        <w:szCs w:val="14"/>
        <w:u w:val="none"/>
      </w:rPr>
      <w:t>Provisional 2025 tuberculosis data, United States</w:t>
    </w:r>
    <w:r w:rsidRPr="2D062200">
      <w:rPr>
        <w:rStyle w:val="Hyperlink"/>
        <w:rFonts w:ascii="Arial" w:hAnsi="Arial" w:cs="Arial"/>
        <w:color w:val="auto"/>
        <w:sz w:val="14"/>
        <w:szCs w:val="14"/>
        <w:u w:val="none"/>
      </w:rPr>
      <w:t xml:space="preserve">. (2026, March 23). Tuberculosis Data. </w:t>
    </w:r>
    <w:hyperlink r:id="rId2" w:history="1">
      <w:r w:rsidRPr="2D062200">
        <w:rPr>
          <w:rStyle w:val="Hyperlink"/>
          <w:rFonts w:ascii="Arial" w:hAnsi="Arial" w:cs="Arial"/>
          <w:sz w:val="14"/>
          <w:szCs w:val="14"/>
        </w:rPr>
        <w:t>https://www.cdc.gov/tb-data/aboutprovisionaldata/2025-provisional-data.html</w:t>
      </w:r>
    </w:hyperlink>
    <w:r w:rsidRPr="2D062200">
      <w:rPr>
        <w:rStyle w:val="Hyperlink"/>
        <w:rFonts w:ascii="Arial" w:hAnsi="Arial" w:cs="Arial"/>
        <w:color w:val="auto"/>
        <w:sz w:val="14"/>
        <w:szCs w:val="14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C143" w14:textId="77777777" w:rsidR="004D139A" w:rsidRDefault="004D139A" w:rsidP="00AE6D85">
      <w:r>
        <w:separator/>
      </w:r>
    </w:p>
  </w:footnote>
  <w:footnote w:type="continuationSeparator" w:id="0">
    <w:p w14:paraId="47D3674C" w14:textId="77777777" w:rsidR="004D139A" w:rsidRDefault="004D139A" w:rsidP="00AE6D85">
      <w:r>
        <w:continuationSeparator/>
      </w:r>
    </w:p>
  </w:footnote>
  <w:footnote w:type="continuationNotice" w:id="1">
    <w:p w14:paraId="600EF245" w14:textId="77777777" w:rsidR="004D139A" w:rsidRDefault="004D139A"/>
  </w:footnote>
  <w:footnote w:id="2">
    <w:p w14:paraId="0F8CCCE4" w14:textId="72E862EA" w:rsidR="00183565" w:rsidRDefault="00183565">
      <w:pPr>
        <w:pStyle w:val="FootnoteText"/>
      </w:pPr>
    </w:p>
  </w:footnote>
  <w:footnote w:id="3">
    <w:p w14:paraId="4C61C2D1" w14:textId="489E8086" w:rsidR="00556AEF" w:rsidRPr="00556AEF" w:rsidRDefault="00556AEF">
      <w:pPr>
        <w:pStyle w:val="FootnoteText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228"/>
    <w:multiLevelType w:val="hybridMultilevel"/>
    <w:tmpl w:val="B5E48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5"/>
    <w:rsid w:val="0000097D"/>
    <w:rsid w:val="00001B5A"/>
    <w:rsid w:val="00001BBF"/>
    <w:rsid w:val="00004CA8"/>
    <w:rsid w:val="00006236"/>
    <w:rsid w:val="00010623"/>
    <w:rsid w:val="00010E47"/>
    <w:rsid w:val="00011999"/>
    <w:rsid w:val="00011F9B"/>
    <w:rsid w:val="00012557"/>
    <w:rsid w:val="00016BEE"/>
    <w:rsid w:val="00017087"/>
    <w:rsid w:val="000224C7"/>
    <w:rsid w:val="0002324D"/>
    <w:rsid w:val="00023B24"/>
    <w:rsid w:val="00034B9A"/>
    <w:rsid w:val="00035032"/>
    <w:rsid w:val="000356F2"/>
    <w:rsid w:val="000357E3"/>
    <w:rsid w:val="00044535"/>
    <w:rsid w:val="00047884"/>
    <w:rsid w:val="00054E1D"/>
    <w:rsid w:val="000550F5"/>
    <w:rsid w:val="00055CDE"/>
    <w:rsid w:val="00060720"/>
    <w:rsid w:val="00061528"/>
    <w:rsid w:val="0006339D"/>
    <w:rsid w:val="00064EAD"/>
    <w:rsid w:val="00071FD3"/>
    <w:rsid w:val="000734C4"/>
    <w:rsid w:val="000774FE"/>
    <w:rsid w:val="00082EB6"/>
    <w:rsid w:val="00083163"/>
    <w:rsid w:val="00086446"/>
    <w:rsid w:val="000944F5"/>
    <w:rsid w:val="000953B5"/>
    <w:rsid w:val="00095887"/>
    <w:rsid w:val="000A5FC0"/>
    <w:rsid w:val="000A6E6E"/>
    <w:rsid w:val="000A7BD1"/>
    <w:rsid w:val="000B007B"/>
    <w:rsid w:val="000B28B2"/>
    <w:rsid w:val="000B2D2A"/>
    <w:rsid w:val="000B3763"/>
    <w:rsid w:val="000B4CF5"/>
    <w:rsid w:val="000C3805"/>
    <w:rsid w:val="000C3F36"/>
    <w:rsid w:val="000C487C"/>
    <w:rsid w:val="000C4DA5"/>
    <w:rsid w:val="000D13E2"/>
    <w:rsid w:val="000D319E"/>
    <w:rsid w:val="000D5A1B"/>
    <w:rsid w:val="000E31F5"/>
    <w:rsid w:val="000E5538"/>
    <w:rsid w:val="000F0F8E"/>
    <w:rsid w:val="000F289D"/>
    <w:rsid w:val="000F2AC7"/>
    <w:rsid w:val="000F4ECD"/>
    <w:rsid w:val="000F7446"/>
    <w:rsid w:val="00100181"/>
    <w:rsid w:val="00101259"/>
    <w:rsid w:val="001102B0"/>
    <w:rsid w:val="00110EA6"/>
    <w:rsid w:val="001126F8"/>
    <w:rsid w:val="00113D83"/>
    <w:rsid w:val="00121C95"/>
    <w:rsid w:val="001229CA"/>
    <w:rsid w:val="00124126"/>
    <w:rsid w:val="00126846"/>
    <w:rsid w:val="00127AA5"/>
    <w:rsid w:val="00140CC2"/>
    <w:rsid w:val="001453EC"/>
    <w:rsid w:val="00146152"/>
    <w:rsid w:val="00147345"/>
    <w:rsid w:val="00150BAC"/>
    <w:rsid w:val="0015457E"/>
    <w:rsid w:val="00161470"/>
    <w:rsid w:val="00162A0F"/>
    <w:rsid w:val="00163434"/>
    <w:rsid w:val="00164753"/>
    <w:rsid w:val="00165AB2"/>
    <w:rsid w:val="00172CC7"/>
    <w:rsid w:val="00172DB8"/>
    <w:rsid w:val="00173580"/>
    <w:rsid w:val="0018102B"/>
    <w:rsid w:val="001820E5"/>
    <w:rsid w:val="0018210F"/>
    <w:rsid w:val="00183565"/>
    <w:rsid w:val="00192704"/>
    <w:rsid w:val="00192B6A"/>
    <w:rsid w:val="0019459B"/>
    <w:rsid w:val="00195124"/>
    <w:rsid w:val="0019601A"/>
    <w:rsid w:val="0019630B"/>
    <w:rsid w:val="001B2461"/>
    <w:rsid w:val="001B6ED3"/>
    <w:rsid w:val="001C4260"/>
    <w:rsid w:val="001C5331"/>
    <w:rsid w:val="001C54CE"/>
    <w:rsid w:val="001C58C0"/>
    <w:rsid w:val="001C633A"/>
    <w:rsid w:val="001C7697"/>
    <w:rsid w:val="001C7C46"/>
    <w:rsid w:val="001C7EEF"/>
    <w:rsid w:val="001D3A8E"/>
    <w:rsid w:val="001D7045"/>
    <w:rsid w:val="001E3C55"/>
    <w:rsid w:val="001E3EBB"/>
    <w:rsid w:val="001F1AEE"/>
    <w:rsid w:val="001F2D6A"/>
    <w:rsid w:val="001F41B2"/>
    <w:rsid w:val="001F45D8"/>
    <w:rsid w:val="00202CE1"/>
    <w:rsid w:val="00203749"/>
    <w:rsid w:val="00203C99"/>
    <w:rsid w:val="00222A9A"/>
    <w:rsid w:val="002274E1"/>
    <w:rsid w:val="00231A2F"/>
    <w:rsid w:val="00233331"/>
    <w:rsid w:val="00234922"/>
    <w:rsid w:val="002374EC"/>
    <w:rsid w:val="00245022"/>
    <w:rsid w:val="00245952"/>
    <w:rsid w:val="00245ABB"/>
    <w:rsid w:val="00250085"/>
    <w:rsid w:val="00251B19"/>
    <w:rsid w:val="00251BCD"/>
    <w:rsid w:val="00252B6D"/>
    <w:rsid w:val="00256B99"/>
    <w:rsid w:val="0025770A"/>
    <w:rsid w:val="00257A08"/>
    <w:rsid w:val="00266391"/>
    <w:rsid w:val="00266D17"/>
    <w:rsid w:val="00274042"/>
    <w:rsid w:val="00275079"/>
    <w:rsid w:val="00276EDD"/>
    <w:rsid w:val="00281117"/>
    <w:rsid w:val="00291704"/>
    <w:rsid w:val="00295BBE"/>
    <w:rsid w:val="0029767F"/>
    <w:rsid w:val="002A144D"/>
    <w:rsid w:val="002A3633"/>
    <w:rsid w:val="002A3D18"/>
    <w:rsid w:val="002A4213"/>
    <w:rsid w:val="002A46BC"/>
    <w:rsid w:val="002A665F"/>
    <w:rsid w:val="002B3852"/>
    <w:rsid w:val="002B5D2A"/>
    <w:rsid w:val="002B606D"/>
    <w:rsid w:val="002C7A60"/>
    <w:rsid w:val="002D638F"/>
    <w:rsid w:val="002D6831"/>
    <w:rsid w:val="002D7233"/>
    <w:rsid w:val="002D77F8"/>
    <w:rsid w:val="002D7E68"/>
    <w:rsid w:val="002E0869"/>
    <w:rsid w:val="002E19CE"/>
    <w:rsid w:val="002E3394"/>
    <w:rsid w:val="002E339A"/>
    <w:rsid w:val="002E35A8"/>
    <w:rsid w:val="002F000B"/>
    <w:rsid w:val="002F36C7"/>
    <w:rsid w:val="002F4055"/>
    <w:rsid w:val="003028A6"/>
    <w:rsid w:val="003049A2"/>
    <w:rsid w:val="003053E1"/>
    <w:rsid w:val="00307BC9"/>
    <w:rsid w:val="00307DE1"/>
    <w:rsid w:val="003100C1"/>
    <w:rsid w:val="00312129"/>
    <w:rsid w:val="00313694"/>
    <w:rsid w:val="00313E1B"/>
    <w:rsid w:val="00314596"/>
    <w:rsid w:val="00320920"/>
    <w:rsid w:val="00322BCE"/>
    <w:rsid w:val="00323231"/>
    <w:rsid w:val="00323BB3"/>
    <w:rsid w:val="003347B0"/>
    <w:rsid w:val="00334894"/>
    <w:rsid w:val="00337BEF"/>
    <w:rsid w:val="00352EA5"/>
    <w:rsid w:val="003541FD"/>
    <w:rsid w:val="003559DB"/>
    <w:rsid w:val="00357126"/>
    <w:rsid w:val="00357E6C"/>
    <w:rsid w:val="0036EC97"/>
    <w:rsid w:val="003706BA"/>
    <w:rsid w:val="003801D5"/>
    <w:rsid w:val="003915D4"/>
    <w:rsid w:val="00392DAD"/>
    <w:rsid w:val="0039648B"/>
    <w:rsid w:val="00397709"/>
    <w:rsid w:val="00397A41"/>
    <w:rsid w:val="00397F62"/>
    <w:rsid w:val="003A4A13"/>
    <w:rsid w:val="003A5353"/>
    <w:rsid w:val="003B0B26"/>
    <w:rsid w:val="003B2DF8"/>
    <w:rsid w:val="003B3590"/>
    <w:rsid w:val="003B7FEA"/>
    <w:rsid w:val="003C0E58"/>
    <w:rsid w:val="003C4430"/>
    <w:rsid w:val="003D10C6"/>
    <w:rsid w:val="003D27E4"/>
    <w:rsid w:val="003D73AA"/>
    <w:rsid w:val="003E4C0E"/>
    <w:rsid w:val="003F3654"/>
    <w:rsid w:val="003F7E77"/>
    <w:rsid w:val="00400996"/>
    <w:rsid w:val="00402247"/>
    <w:rsid w:val="0040349C"/>
    <w:rsid w:val="004035F4"/>
    <w:rsid w:val="00404B4B"/>
    <w:rsid w:val="00410E9C"/>
    <w:rsid w:val="00411991"/>
    <w:rsid w:val="00411995"/>
    <w:rsid w:val="00411ACE"/>
    <w:rsid w:val="004121D0"/>
    <w:rsid w:val="0041287B"/>
    <w:rsid w:val="004167B7"/>
    <w:rsid w:val="00423487"/>
    <w:rsid w:val="00423AB6"/>
    <w:rsid w:val="004252BB"/>
    <w:rsid w:val="00433853"/>
    <w:rsid w:val="00437483"/>
    <w:rsid w:val="004420A9"/>
    <w:rsid w:val="00442498"/>
    <w:rsid w:val="00443645"/>
    <w:rsid w:val="00451ACB"/>
    <w:rsid w:val="00455AC2"/>
    <w:rsid w:val="00455B6C"/>
    <w:rsid w:val="00457171"/>
    <w:rsid w:val="00463961"/>
    <w:rsid w:val="00470B42"/>
    <w:rsid w:val="0047246E"/>
    <w:rsid w:val="0048178A"/>
    <w:rsid w:val="00482BDC"/>
    <w:rsid w:val="00486740"/>
    <w:rsid w:val="00491001"/>
    <w:rsid w:val="004947E9"/>
    <w:rsid w:val="004A14A9"/>
    <w:rsid w:val="004A320B"/>
    <w:rsid w:val="004B0911"/>
    <w:rsid w:val="004B1BF7"/>
    <w:rsid w:val="004B3BB6"/>
    <w:rsid w:val="004B64B8"/>
    <w:rsid w:val="004C2A3B"/>
    <w:rsid w:val="004C41CC"/>
    <w:rsid w:val="004C4415"/>
    <w:rsid w:val="004C5137"/>
    <w:rsid w:val="004D139A"/>
    <w:rsid w:val="004D157C"/>
    <w:rsid w:val="004D433C"/>
    <w:rsid w:val="004F6CF9"/>
    <w:rsid w:val="00503352"/>
    <w:rsid w:val="00520B5D"/>
    <w:rsid w:val="00522E1A"/>
    <w:rsid w:val="00526AC0"/>
    <w:rsid w:val="00527329"/>
    <w:rsid w:val="005322C8"/>
    <w:rsid w:val="0053326F"/>
    <w:rsid w:val="00535287"/>
    <w:rsid w:val="005401E5"/>
    <w:rsid w:val="00543F60"/>
    <w:rsid w:val="00544067"/>
    <w:rsid w:val="005515F0"/>
    <w:rsid w:val="00556AEF"/>
    <w:rsid w:val="00556AF2"/>
    <w:rsid w:val="00562C33"/>
    <w:rsid w:val="00566CE0"/>
    <w:rsid w:val="00567131"/>
    <w:rsid w:val="00570ABD"/>
    <w:rsid w:val="00574F53"/>
    <w:rsid w:val="00575FC5"/>
    <w:rsid w:val="0057699A"/>
    <w:rsid w:val="00576AA4"/>
    <w:rsid w:val="00581F00"/>
    <w:rsid w:val="00582819"/>
    <w:rsid w:val="0058386F"/>
    <w:rsid w:val="0058771B"/>
    <w:rsid w:val="00592AC7"/>
    <w:rsid w:val="00592F1E"/>
    <w:rsid w:val="005A3665"/>
    <w:rsid w:val="005B015F"/>
    <w:rsid w:val="005B05ED"/>
    <w:rsid w:val="005B2E68"/>
    <w:rsid w:val="005B391A"/>
    <w:rsid w:val="005C014F"/>
    <w:rsid w:val="005C116F"/>
    <w:rsid w:val="005C15EF"/>
    <w:rsid w:val="005C2DC0"/>
    <w:rsid w:val="005C3458"/>
    <w:rsid w:val="005C67F0"/>
    <w:rsid w:val="005C7845"/>
    <w:rsid w:val="005D13A7"/>
    <w:rsid w:val="005D2207"/>
    <w:rsid w:val="005D2C94"/>
    <w:rsid w:val="005D50B7"/>
    <w:rsid w:val="005E218A"/>
    <w:rsid w:val="005E255F"/>
    <w:rsid w:val="005E3295"/>
    <w:rsid w:val="005E6DA8"/>
    <w:rsid w:val="005F0661"/>
    <w:rsid w:val="005F4786"/>
    <w:rsid w:val="005F4BBA"/>
    <w:rsid w:val="005F637A"/>
    <w:rsid w:val="005F6B6E"/>
    <w:rsid w:val="0060547A"/>
    <w:rsid w:val="00606804"/>
    <w:rsid w:val="00607FF5"/>
    <w:rsid w:val="00612F0D"/>
    <w:rsid w:val="00617C5A"/>
    <w:rsid w:val="0062570F"/>
    <w:rsid w:val="00625B63"/>
    <w:rsid w:val="00626B5E"/>
    <w:rsid w:val="00630D99"/>
    <w:rsid w:val="00635907"/>
    <w:rsid w:val="00640D8B"/>
    <w:rsid w:val="006429BC"/>
    <w:rsid w:val="006436F3"/>
    <w:rsid w:val="00643FA7"/>
    <w:rsid w:val="00646F38"/>
    <w:rsid w:val="00647C6C"/>
    <w:rsid w:val="00651F80"/>
    <w:rsid w:val="0065255A"/>
    <w:rsid w:val="006573DC"/>
    <w:rsid w:val="0066172E"/>
    <w:rsid w:val="0066243F"/>
    <w:rsid w:val="00665299"/>
    <w:rsid w:val="0066665D"/>
    <w:rsid w:val="00671903"/>
    <w:rsid w:val="006744D6"/>
    <w:rsid w:val="00675592"/>
    <w:rsid w:val="006757D1"/>
    <w:rsid w:val="006933C1"/>
    <w:rsid w:val="00696C63"/>
    <w:rsid w:val="00697FBD"/>
    <w:rsid w:val="006A073C"/>
    <w:rsid w:val="006A1451"/>
    <w:rsid w:val="006B0011"/>
    <w:rsid w:val="006B4226"/>
    <w:rsid w:val="006C0046"/>
    <w:rsid w:val="006C4040"/>
    <w:rsid w:val="006C4A48"/>
    <w:rsid w:val="006C6FB5"/>
    <w:rsid w:val="006D2E1C"/>
    <w:rsid w:val="006D45A3"/>
    <w:rsid w:val="006D72E2"/>
    <w:rsid w:val="006E29D1"/>
    <w:rsid w:val="006E3C6C"/>
    <w:rsid w:val="006F0B08"/>
    <w:rsid w:val="00704DC8"/>
    <w:rsid w:val="00706988"/>
    <w:rsid w:val="00712137"/>
    <w:rsid w:val="0071255F"/>
    <w:rsid w:val="0071405D"/>
    <w:rsid w:val="007255D2"/>
    <w:rsid w:val="007321C1"/>
    <w:rsid w:val="0073377C"/>
    <w:rsid w:val="00734DAA"/>
    <w:rsid w:val="00736E93"/>
    <w:rsid w:val="007406AA"/>
    <w:rsid w:val="007441F0"/>
    <w:rsid w:val="00745085"/>
    <w:rsid w:val="007466B1"/>
    <w:rsid w:val="007469FA"/>
    <w:rsid w:val="00755900"/>
    <w:rsid w:val="00757E3E"/>
    <w:rsid w:val="00761DCF"/>
    <w:rsid w:val="00766113"/>
    <w:rsid w:val="00771610"/>
    <w:rsid w:val="00772710"/>
    <w:rsid w:val="0077303C"/>
    <w:rsid w:val="0078084A"/>
    <w:rsid w:val="00780A1E"/>
    <w:rsid w:val="00781F8F"/>
    <w:rsid w:val="00782799"/>
    <w:rsid w:val="007910E8"/>
    <w:rsid w:val="007930B5"/>
    <w:rsid w:val="00793B17"/>
    <w:rsid w:val="00793C7D"/>
    <w:rsid w:val="007A20AE"/>
    <w:rsid w:val="007A47F3"/>
    <w:rsid w:val="007A507C"/>
    <w:rsid w:val="007A5737"/>
    <w:rsid w:val="007B172F"/>
    <w:rsid w:val="007B3BD3"/>
    <w:rsid w:val="007B52E4"/>
    <w:rsid w:val="007C60CB"/>
    <w:rsid w:val="007C69D4"/>
    <w:rsid w:val="007D1572"/>
    <w:rsid w:val="007D4C76"/>
    <w:rsid w:val="007D6C67"/>
    <w:rsid w:val="007E0AAA"/>
    <w:rsid w:val="007E254D"/>
    <w:rsid w:val="007E6190"/>
    <w:rsid w:val="007F2CA9"/>
    <w:rsid w:val="00801E6D"/>
    <w:rsid w:val="008040B9"/>
    <w:rsid w:val="00805F46"/>
    <w:rsid w:val="00814A4C"/>
    <w:rsid w:val="00830BC5"/>
    <w:rsid w:val="0083259D"/>
    <w:rsid w:val="00832B9B"/>
    <w:rsid w:val="00833069"/>
    <w:rsid w:val="00834C05"/>
    <w:rsid w:val="008372DB"/>
    <w:rsid w:val="00840BA6"/>
    <w:rsid w:val="00843372"/>
    <w:rsid w:val="00843ADA"/>
    <w:rsid w:val="00847EA1"/>
    <w:rsid w:val="00851EB9"/>
    <w:rsid w:val="008532EE"/>
    <w:rsid w:val="00855A65"/>
    <w:rsid w:val="00863BDF"/>
    <w:rsid w:val="00864B67"/>
    <w:rsid w:val="00864BE1"/>
    <w:rsid w:val="00872BE8"/>
    <w:rsid w:val="0087587E"/>
    <w:rsid w:val="00882796"/>
    <w:rsid w:val="00883D58"/>
    <w:rsid w:val="008845BB"/>
    <w:rsid w:val="00884FCA"/>
    <w:rsid w:val="00885897"/>
    <w:rsid w:val="00887051"/>
    <w:rsid w:val="008920D8"/>
    <w:rsid w:val="00893B00"/>
    <w:rsid w:val="008950C8"/>
    <w:rsid w:val="00895D3F"/>
    <w:rsid w:val="008A190C"/>
    <w:rsid w:val="008A1AA7"/>
    <w:rsid w:val="008C0820"/>
    <w:rsid w:val="008C0DB8"/>
    <w:rsid w:val="008C2BDD"/>
    <w:rsid w:val="008D2C83"/>
    <w:rsid w:val="008D464C"/>
    <w:rsid w:val="008D5160"/>
    <w:rsid w:val="008D72D9"/>
    <w:rsid w:val="008D7B91"/>
    <w:rsid w:val="008E1D63"/>
    <w:rsid w:val="008E344A"/>
    <w:rsid w:val="008E48B1"/>
    <w:rsid w:val="008E71E4"/>
    <w:rsid w:val="008F12DB"/>
    <w:rsid w:val="0090077B"/>
    <w:rsid w:val="009144EC"/>
    <w:rsid w:val="009225CA"/>
    <w:rsid w:val="00945175"/>
    <w:rsid w:val="009613C0"/>
    <w:rsid w:val="009638E7"/>
    <w:rsid w:val="00966242"/>
    <w:rsid w:val="00973742"/>
    <w:rsid w:val="00976B83"/>
    <w:rsid w:val="00982564"/>
    <w:rsid w:val="00984BB2"/>
    <w:rsid w:val="00984C4D"/>
    <w:rsid w:val="00985042"/>
    <w:rsid w:val="00986AEF"/>
    <w:rsid w:val="0098755F"/>
    <w:rsid w:val="00991DD7"/>
    <w:rsid w:val="009927C6"/>
    <w:rsid w:val="00997291"/>
    <w:rsid w:val="009A33B4"/>
    <w:rsid w:val="009A4F43"/>
    <w:rsid w:val="009A6D3C"/>
    <w:rsid w:val="009B483E"/>
    <w:rsid w:val="009B4EE2"/>
    <w:rsid w:val="009B6246"/>
    <w:rsid w:val="009B62F1"/>
    <w:rsid w:val="009B6E60"/>
    <w:rsid w:val="009B7994"/>
    <w:rsid w:val="009C092C"/>
    <w:rsid w:val="009C09A9"/>
    <w:rsid w:val="009C4591"/>
    <w:rsid w:val="009C7108"/>
    <w:rsid w:val="009D43F2"/>
    <w:rsid w:val="009E1937"/>
    <w:rsid w:val="009E327B"/>
    <w:rsid w:val="009F1010"/>
    <w:rsid w:val="009F47E3"/>
    <w:rsid w:val="009F538F"/>
    <w:rsid w:val="00A02C8C"/>
    <w:rsid w:val="00A072EC"/>
    <w:rsid w:val="00A10A9B"/>
    <w:rsid w:val="00A12DB7"/>
    <w:rsid w:val="00A1702A"/>
    <w:rsid w:val="00A20A07"/>
    <w:rsid w:val="00A27624"/>
    <w:rsid w:val="00A27DCF"/>
    <w:rsid w:val="00A309F3"/>
    <w:rsid w:val="00A31542"/>
    <w:rsid w:val="00A355D4"/>
    <w:rsid w:val="00A36C02"/>
    <w:rsid w:val="00A41538"/>
    <w:rsid w:val="00A43771"/>
    <w:rsid w:val="00A46D36"/>
    <w:rsid w:val="00A47750"/>
    <w:rsid w:val="00A513BC"/>
    <w:rsid w:val="00A54EBF"/>
    <w:rsid w:val="00A57265"/>
    <w:rsid w:val="00A57464"/>
    <w:rsid w:val="00A643E4"/>
    <w:rsid w:val="00A66A2E"/>
    <w:rsid w:val="00A70E19"/>
    <w:rsid w:val="00A71D0A"/>
    <w:rsid w:val="00A7333F"/>
    <w:rsid w:val="00A776EB"/>
    <w:rsid w:val="00A861DD"/>
    <w:rsid w:val="00A96592"/>
    <w:rsid w:val="00A966D3"/>
    <w:rsid w:val="00AA7490"/>
    <w:rsid w:val="00AA764A"/>
    <w:rsid w:val="00AA7F93"/>
    <w:rsid w:val="00AB445E"/>
    <w:rsid w:val="00AC0229"/>
    <w:rsid w:val="00AC0CAC"/>
    <w:rsid w:val="00AC1002"/>
    <w:rsid w:val="00AC2908"/>
    <w:rsid w:val="00AC4136"/>
    <w:rsid w:val="00AC430E"/>
    <w:rsid w:val="00AD0384"/>
    <w:rsid w:val="00AD2BAF"/>
    <w:rsid w:val="00AD61A0"/>
    <w:rsid w:val="00AE632E"/>
    <w:rsid w:val="00AE6D85"/>
    <w:rsid w:val="00AE7C2C"/>
    <w:rsid w:val="00AF036F"/>
    <w:rsid w:val="00AF1378"/>
    <w:rsid w:val="00AF1AA2"/>
    <w:rsid w:val="00AF261F"/>
    <w:rsid w:val="00AF2E8F"/>
    <w:rsid w:val="00AF3208"/>
    <w:rsid w:val="00AF3599"/>
    <w:rsid w:val="00AF6BE0"/>
    <w:rsid w:val="00AF6F6B"/>
    <w:rsid w:val="00B00BB1"/>
    <w:rsid w:val="00B04564"/>
    <w:rsid w:val="00B072F2"/>
    <w:rsid w:val="00B07CF7"/>
    <w:rsid w:val="00B139D4"/>
    <w:rsid w:val="00B165A0"/>
    <w:rsid w:val="00B17D7B"/>
    <w:rsid w:val="00B20EE7"/>
    <w:rsid w:val="00B21C7E"/>
    <w:rsid w:val="00B22200"/>
    <w:rsid w:val="00B24DF3"/>
    <w:rsid w:val="00B27398"/>
    <w:rsid w:val="00B302CC"/>
    <w:rsid w:val="00B3563D"/>
    <w:rsid w:val="00B35EA8"/>
    <w:rsid w:val="00B40DC1"/>
    <w:rsid w:val="00B43E12"/>
    <w:rsid w:val="00B444C5"/>
    <w:rsid w:val="00B445AF"/>
    <w:rsid w:val="00B44D83"/>
    <w:rsid w:val="00B50797"/>
    <w:rsid w:val="00B54C16"/>
    <w:rsid w:val="00B55152"/>
    <w:rsid w:val="00B5606C"/>
    <w:rsid w:val="00B56BF1"/>
    <w:rsid w:val="00B71B2F"/>
    <w:rsid w:val="00B71F09"/>
    <w:rsid w:val="00B72606"/>
    <w:rsid w:val="00B75BB1"/>
    <w:rsid w:val="00B76236"/>
    <w:rsid w:val="00B77AC7"/>
    <w:rsid w:val="00B84FB9"/>
    <w:rsid w:val="00B86BFC"/>
    <w:rsid w:val="00B92B21"/>
    <w:rsid w:val="00B96275"/>
    <w:rsid w:val="00B96834"/>
    <w:rsid w:val="00BA2790"/>
    <w:rsid w:val="00BB27B0"/>
    <w:rsid w:val="00BB3575"/>
    <w:rsid w:val="00BB47DA"/>
    <w:rsid w:val="00BB4EC0"/>
    <w:rsid w:val="00BC1BFB"/>
    <w:rsid w:val="00BC402B"/>
    <w:rsid w:val="00BC4D47"/>
    <w:rsid w:val="00BD11DB"/>
    <w:rsid w:val="00BD1BCD"/>
    <w:rsid w:val="00BD5A8A"/>
    <w:rsid w:val="00BD5BF3"/>
    <w:rsid w:val="00BD6B86"/>
    <w:rsid w:val="00BD7179"/>
    <w:rsid w:val="00BE3573"/>
    <w:rsid w:val="00BE50EA"/>
    <w:rsid w:val="00BF0288"/>
    <w:rsid w:val="00BF150C"/>
    <w:rsid w:val="00BF20D4"/>
    <w:rsid w:val="00C04502"/>
    <w:rsid w:val="00C10BCF"/>
    <w:rsid w:val="00C1261B"/>
    <w:rsid w:val="00C12BF4"/>
    <w:rsid w:val="00C20C02"/>
    <w:rsid w:val="00C24FB6"/>
    <w:rsid w:val="00C24FF2"/>
    <w:rsid w:val="00C25251"/>
    <w:rsid w:val="00C312F2"/>
    <w:rsid w:val="00C313B9"/>
    <w:rsid w:val="00C32DE9"/>
    <w:rsid w:val="00C347B3"/>
    <w:rsid w:val="00C43470"/>
    <w:rsid w:val="00C452F4"/>
    <w:rsid w:val="00C474A6"/>
    <w:rsid w:val="00C515A0"/>
    <w:rsid w:val="00C6001C"/>
    <w:rsid w:val="00C60022"/>
    <w:rsid w:val="00C61A3D"/>
    <w:rsid w:val="00C6250D"/>
    <w:rsid w:val="00C63168"/>
    <w:rsid w:val="00C73DE3"/>
    <w:rsid w:val="00C77359"/>
    <w:rsid w:val="00C83A9B"/>
    <w:rsid w:val="00C85469"/>
    <w:rsid w:val="00C90E66"/>
    <w:rsid w:val="00C9157D"/>
    <w:rsid w:val="00C937FE"/>
    <w:rsid w:val="00C93D89"/>
    <w:rsid w:val="00C94922"/>
    <w:rsid w:val="00C95DB0"/>
    <w:rsid w:val="00C961D7"/>
    <w:rsid w:val="00C97246"/>
    <w:rsid w:val="00CA09BA"/>
    <w:rsid w:val="00CA3B14"/>
    <w:rsid w:val="00CA5140"/>
    <w:rsid w:val="00CA5795"/>
    <w:rsid w:val="00CA6223"/>
    <w:rsid w:val="00CD095D"/>
    <w:rsid w:val="00CD559A"/>
    <w:rsid w:val="00CE0877"/>
    <w:rsid w:val="00CE1E6C"/>
    <w:rsid w:val="00CE4C4E"/>
    <w:rsid w:val="00CF40E4"/>
    <w:rsid w:val="00CF6FBC"/>
    <w:rsid w:val="00D01F8A"/>
    <w:rsid w:val="00D02DCC"/>
    <w:rsid w:val="00D036DD"/>
    <w:rsid w:val="00D141FD"/>
    <w:rsid w:val="00D146D1"/>
    <w:rsid w:val="00D16E91"/>
    <w:rsid w:val="00D2329A"/>
    <w:rsid w:val="00D237CD"/>
    <w:rsid w:val="00D25CF5"/>
    <w:rsid w:val="00D305EA"/>
    <w:rsid w:val="00D31C3D"/>
    <w:rsid w:val="00D35ED9"/>
    <w:rsid w:val="00D37229"/>
    <w:rsid w:val="00D41B63"/>
    <w:rsid w:val="00D44C65"/>
    <w:rsid w:val="00D51AA5"/>
    <w:rsid w:val="00D525D1"/>
    <w:rsid w:val="00D57D70"/>
    <w:rsid w:val="00D618B3"/>
    <w:rsid w:val="00D62600"/>
    <w:rsid w:val="00D664FF"/>
    <w:rsid w:val="00D701C3"/>
    <w:rsid w:val="00D74633"/>
    <w:rsid w:val="00D749CB"/>
    <w:rsid w:val="00D77D79"/>
    <w:rsid w:val="00D77E77"/>
    <w:rsid w:val="00D81340"/>
    <w:rsid w:val="00D86740"/>
    <w:rsid w:val="00D904C2"/>
    <w:rsid w:val="00D90A09"/>
    <w:rsid w:val="00D9174B"/>
    <w:rsid w:val="00D921E9"/>
    <w:rsid w:val="00D9288A"/>
    <w:rsid w:val="00DA2D57"/>
    <w:rsid w:val="00DA4407"/>
    <w:rsid w:val="00DA7466"/>
    <w:rsid w:val="00DA780D"/>
    <w:rsid w:val="00DA7909"/>
    <w:rsid w:val="00DB76EC"/>
    <w:rsid w:val="00DC393E"/>
    <w:rsid w:val="00DC60DA"/>
    <w:rsid w:val="00DC63B8"/>
    <w:rsid w:val="00DC71A8"/>
    <w:rsid w:val="00DD328A"/>
    <w:rsid w:val="00DE217F"/>
    <w:rsid w:val="00E13052"/>
    <w:rsid w:val="00E1364D"/>
    <w:rsid w:val="00E14B9B"/>
    <w:rsid w:val="00E14ED1"/>
    <w:rsid w:val="00E17AEF"/>
    <w:rsid w:val="00E20E66"/>
    <w:rsid w:val="00E21E70"/>
    <w:rsid w:val="00E22F92"/>
    <w:rsid w:val="00E35FE2"/>
    <w:rsid w:val="00E43377"/>
    <w:rsid w:val="00E4566C"/>
    <w:rsid w:val="00E468F6"/>
    <w:rsid w:val="00E46DAD"/>
    <w:rsid w:val="00E46F80"/>
    <w:rsid w:val="00E50FF2"/>
    <w:rsid w:val="00E5181F"/>
    <w:rsid w:val="00E518AD"/>
    <w:rsid w:val="00E53479"/>
    <w:rsid w:val="00E54FC2"/>
    <w:rsid w:val="00E57029"/>
    <w:rsid w:val="00E6217E"/>
    <w:rsid w:val="00E6241C"/>
    <w:rsid w:val="00E6548B"/>
    <w:rsid w:val="00E70902"/>
    <w:rsid w:val="00E75336"/>
    <w:rsid w:val="00E763A1"/>
    <w:rsid w:val="00E80591"/>
    <w:rsid w:val="00E80C8C"/>
    <w:rsid w:val="00E83E20"/>
    <w:rsid w:val="00E87863"/>
    <w:rsid w:val="00E87AEC"/>
    <w:rsid w:val="00E87E8D"/>
    <w:rsid w:val="00E92428"/>
    <w:rsid w:val="00E935E4"/>
    <w:rsid w:val="00E94058"/>
    <w:rsid w:val="00EA303D"/>
    <w:rsid w:val="00EA44EB"/>
    <w:rsid w:val="00EA5497"/>
    <w:rsid w:val="00EA6FB9"/>
    <w:rsid w:val="00EB2F6F"/>
    <w:rsid w:val="00EB4B3D"/>
    <w:rsid w:val="00EC25BF"/>
    <w:rsid w:val="00EC6200"/>
    <w:rsid w:val="00ED06A1"/>
    <w:rsid w:val="00ED21B3"/>
    <w:rsid w:val="00EE0674"/>
    <w:rsid w:val="00EE06D7"/>
    <w:rsid w:val="00EE0964"/>
    <w:rsid w:val="00EE4114"/>
    <w:rsid w:val="00EE6DE5"/>
    <w:rsid w:val="00EF2507"/>
    <w:rsid w:val="00EF2B9B"/>
    <w:rsid w:val="00EF3F6E"/>
    <w:rsid w:val="00F07953"/>
    <w:rsid w:val="00F1420C"/>
    <w:rsid w:val="00F177C1"/>
    <w:rsid w:val="00F258DD"/>
    <w:rsid w:val="00F26D08"/>
    <w:rsid w:val="00F31FA0"/>
    <w:rsid w:val="00F33E6E"/>
    <w:rsid w:val="00F37607"/>
    <w:rsid w:val="00F411FB"/>
    <w:rsid w:val="00F439DD"/>
    <w:rsid w:val="00F5528D"/>
    <w:rsid w:val="00F55FBB"/>
    <w:rsid w:val="00F61779"/>
    <w:rsid w:val="00F73F20"/>
    <w:rsid w:val="00F74DAF"/>
    <w:rsid w:val="00F7535A"/>
    <w:rsid w:val="00F8703E"/>
    <w:rsid w:val="00F90971"/>
    <w:rsid w:val="00F9362F"/>
    <w:rsid w:val="00FA1A00"/>
    <w:rsid w:val="00FA3B66"/>
    <w:rsid w:val="00FB09A3"/>
    <w:rsid w:val="00FB32E6"/>
    <w:rsid w:val="00FB6C05"/>
    <w:rsid w:val="00FC2EA0"/>
    <w:rsid w:val="00FC50E9"/>
    <w:rsid w:val="00FC565E"/>
    <w:rsid w:val="00FC707A"/>
    <w:rsid w:val="00FD1738"/>
    <w:rsid w:val="00FD53D9"/>
    <w:rsid w:val="00FE170A"/>
    <w:rsid w:val="00FE3B67"/>
    <w:rsid w:val="00FE5A11"/>
    <w:rsid w:val="00FE6FF1"/>
    <w:rsid w:val="00FF5D34"/>
    <w:rsid w:val="014050F8"/>
    <w:rsid w:val="0142D896"/>
    <w:rsid w:val="01987FF6"/>
    <w:rsid w:val="01D50EDF"/>
    <w:rsid w:val="020BC268"/>
    <w:rsid w:val="0222641D"/>
    <w:rsid w:val="02432351"/>
    <w:rsid w:val="03952BB9"/>
    <w:rsid w:val="03BB43C6"/>
    <w:rsid w:val="03C34AEA"/>
    <w:rsid w:val="03EEB3F6"/>
    <w:rsid w:val="03F4F036"/>
    <w:rsid w:val="040AB527"/>
    <w:rsid w:val="043F6BBB"/>
    <w:rsid w:val="0473FF8C"/>
    <w:rsid w:val="0480A4BC"/>
    <w:rsid w:val="048F92B7"/>
    <w:rsid w:val="04A904EC"/>
    <w:rsid w:val="04F43737"/>
    <w:rsid w:val="05A13A37"/>
    <w:rsid w:val="070A14B6"/>
    <w:rsid w:val="073F0B02"/>
    <w:rsid w:val="0765022F"/>
    <w:rsid w:val="0795874C"/>
    <w:rsid w:val="07FC02A2"/>
    <w:rsid w:val="0820A15D"/>
    <w:rsid w:val="084972F7"/>
    <w:rsid w:val="0859B1B6"/>
    <w:rsid w:val="08AFEF45"/>
    <w:rsid w:val="08CE3C5A"/>
    <w:rsid w:val="0947003E"/>
    <w:rsid w:val="09749DA1"/>
    <w:rsid w:val="09890853"/>
    <w:rsid w:val="09897DE2"/>
    <w:rsid w:val="09985B6C"/>
    <w:rsid w:val="09A6E80E"/>
    <w:rsid w:val="09C839D3"/>
    <w:rsid w:val="0A400FF5"/>
    <w:rsid w:val="0A87AB0A"/>
    <w:rsid w:val="0A8CD6C5"/>
    <w:rsid w:val="0AC2C1B7"/>
    <w:rsid w:val="0AE6C5FD"/>
    <w:rsid w:val="0B15B2B3"/>
    <w:rsid w:val="0B202094"/>
    <w:rsid w:val="0B20DD30"/>
    <w:rsid w:val="0BB41A6D"/>
    <w:rsid w:val="0BCBE4F6"/>
    <w:rsid w:val="0BDC1E49"/>
    <w:rsid w:val="0BFDE4D5"/>
    <w:rsid w:val="0C34BF70"/>
    <w:rsid w:val="0C40E8B3"/>
    <w:rsid w:val="0CEC5982"/>
    <w:rsid w:val="0DAA9A2B"/>
    <w:rsid w:val="0DE01FCF"/>
    <w:rsid w:val="0DE24399"/>
    <w:rsid w:val="0E27176D"/>
    <w:rsid w:val="0E2C6DC3"/>
    <w:rsid w:val="0E64BF73"/>
    <w:rsid w:val="0ECA37DA"/>
    <w:rsid w:val="0ED3271A"/>
    <w:rsid w:val="0F12A149"/>
    <w:rsid w:val="0FDD17EC"/>
    <w:rsid w:val="1025D296"/>
    <w:rsid w:val="10DB329B"/>
    <w:rsid w:val="11197DA0"/>
    <w:rsid w:val="115DDE00"/>
    <w:rsid w:val="1201C7AD"/>
    <w:rsid w:val="12213B28"/>
    <w:rsid w:val="124353AC"/>
    <w:rsid w:val="12FE212A"/>
    <w:rsid w:val="13F74215"/>
    <w:rsid w:val="142AC436"/>
    <w:rsid w:val="1434AEFE"/>
    <w:rsid w:val="14AA748C"/>
    <w:rsid w:val="158602E6"/>
    <w:rsid w:val="15A516CB"/>
    <w:rsid w:val="15B1C82D"/>
    <w:rsid w:val="16034A70"/>
    <w:rsid w:val="1639DB91"/>
    <w:rsid w:val="163D6467"/>
    <w:rsid w:val="163D93AB"/>
    <w:rsid w:val="164924EC"/>
    <w:rsid w:val="16957DB3"/>
    <w:rsid w:val="16CAC172"/>
    <w:rsid w:val="16F53FB0"/>
    <w:rsid w:val="17B867EB"/>
    <w:rsid w:val="17BEF38C"/>
    <w:rsid w:val="17F7EC17"/>
    <w:rsid w:val="181331F2"/>
    <w:rsid w:val="185E185F"/>
    <w:rsid w:val="18A3D4D7"/>
    <w:rsid w:val="18F3D329"/>
    <w:rsid w:val="192D2995"/>
    <w:rsid w:val="1946249F"/>
    <w:rsid w:val="19AD4638"/>
    <w:rsid w:val="1B9D359C"/>
    <w:rsid w:val="1BEC3A67"/>
    <w:rsid w:val="1CBFF37A"/>
    <w:rsid w:val="1D80F45E"/>
    <w:rsid w:val="1D892CB5"/>
    <w:rsid w:val="1D8BD531"/>
    <w:rsid w:val="1E324C80"/>
    <w:rsid w:val="1EC762C9"/>
    <w:rsid w:val="1F63EFC8"/>
    <w:rsid w:val="1F8DA4DE"/>
    <w:rsid w:val="1F9A6A87"/>
    <w:rsid w:val="1F9D4FA9"/>
    <w:rsid w:val="20109D81"/>
    <w:rsid w:val="20C9BF99"/>
    <w:rsid w:val="211EE415"/>
    <w:rsid w:val="2129E7A2"/>
    <w:rsid w:val="2153EB55"/>
    <w:rsid w:val="2162EBEA"/>
    <w:rsid w:val="2177D66D"/>
    <w:rsid w:val="2247E525"/>
    <w:rsid w:val="23537E46"/>
    <w:rsid w:val="23C44052"/>
    <w:rsid w:val="23E0DCE7"/>
    <w:rsid w:val="241B43FC"/>
    <w:rsid w:val="2471E41C"/>
    <w:rsid w:val="248866E6"/>
    <w:rsid w:val="248E675D"/>
    <w:rsid w:val="2497807C"/>
    <w:rsid w:val="24C6D320"/>
    <w:rsid w:val="25018B71"/>
    <w:rsid w:val="2576A2D3"/>
    <w:rsid w:val="25C80CE1"/>
    <w:rsid w:val="26CC384D"/>
    <w:rsid w:val="26E4ED7B"/>
    <w:rsid w:val="2704904A"/>
    <w:rsid w:val="27245CED"/>
    <w:rsid w:val="272FE189"/>
    <w:rsid w:val="274D7CD0"/>
    <w:rsid w:val="28EE6EE0"/>
    <w:rsid w:val="28FF0349"/>
    <w:rsid w:val="29173747"/>
    <w:rsid w:val="29CF3DEB"/>
    <w:rsid w:val="2A226A7E"/>
    <w:rsid w:val="2A6AA043"/>
    <w:rsid w:val="2ABABBA2"/>
    <w:rsid w:val="2B083555"/>
    <w:rsid w:val="2B7A4D96"/>
    <w:rsid w:val="2BC5E72C"/>
    <w:rsid w:val="2C0B292C"/>
    <w:rsid w:val="2C15CC72"/>
    <w:rsid w:val="2C404A89"/>
    <w:rsid w:val="2CFE72D9"/>
    <w:rsid w:val="2D062200"/>
    <w:rsid w:val="2D097798"/>
    <w:rsid w:val="2D26D66A"/>
    <w:rsid w:val="2D2E0D22"/>
    <w:rsid w:val="2D71A26D"/>
    <w:rsid w:val="2E033652"/>
    <w:rsid w:val="2E367B94"/>
    <w:rsid w:val="2E8EF8E7"/>
    <w:rsid w:val="2EA39DF9"/>
    <w:rsid w:val="2EC52200"/>
    <w:rsid w:val="2F2B1616"/>
    <w:rsid w:val="2F2C0A8A"/>
    <w:rsid w:val="2F3FC66A"/>
    <w:rsid w:val="3013DEBA"/>
    <w:rsid w:val="30D8FB74"/>
    <w:rsid w:val="31345022"/>
    <w:rsid w:val="313EC7E9"/>
    <w:rsid w:val="31CB9C71"/>
    <w:rsid w:val="31CD017F"/>
    <w:rsid w:val="3239B669"/>
    <w:rsid w:val="326FE4C9"/>
    <w:rsid w:val="32A628DE"/>
    <w:rsid w:val="32B328EF"/>
    <w:rsid w:val="335504B7"/>
    <w:rsid w:val="3387AE14"/>
    <w:rsid w:val="338874E2"/>
    <w:rsid w:val="33C2924F"/>
    <w:rsid w:val="340B4C59"/>
    <w:rsid w:val="3427221C"/>
    <w:rsid w:val="3470B56B"/>
    <w:rsid w:val="347416A9"/>
    <w:rsid w:val="34AF3A68"/>
    <w:rsid w:val="34EC7701"/>
    <w:rsid w:val="3646D20A"/>
    <w:rsid w:val="36F504AD"/>
    <w:rsid w:val="36FCFBAD"/>
    <w:rsid w:val="370646AC"/>
    <w:rsid w:val="3708DC89"/>
    <w:rsid w:val="372004B3"/>
    <w:rsid w:val="377E205E"/>
    <w:rsid w:val="3826DEC0"/>
    <w:rsid w:val="3832D65A"/>
    <w:rsid w:val="38B74873"/>
    <w:rsid w:val="38B94A16"/>
    <w:rsid w:val="393ED8F7"/>
    <w:rsid w:val="39C070CF"/>
    <w:rsid w:val="39F72A78"/>
    <w:rsid w:val="39FB59A1"/>
    <w:rsid w:val="3A145129"/>
    <w:rsid w:val="3A9C3E37"/>
    <w:rsid w:val="3A9CDCCA"/>
    <w:rsid w:val="3AA37C0F"/>
    <w:rsid w:val="3B475348"/>
    <w:rsid w:val="3B67569E"/>
    <w:rsid w:val="3C2FA423"/>
    <w:rsid w:val="3C38DB3C"/>
    <w:rsid w:val="3C48400E"/>
    <w:rsid w:val="3CD266D7"/>
    <w:rsid w:val="3D151B3B"/>
    <w:rsid w:val="3D31ECAE"/>
    <w:rsid w:val="3DA1201E"/>
    <w:rsid w:val="3EE2E7A9"/>
    <w:rsid w:val="3F3751D3"/>
    <w:rsid w:val="3F6FF728"/>
    <w:rsid w:val="3FD72CC7"/>
    <w:rsid w:val="3FDE753A"/>
    <w:rsid w:val="3FE1B9BD"/>
    <w:rsid w:val="3FFE2404"/>
    <w:rsid w:val="40750449"/>
    <w:rsid w:val="40B39582"/>
    <w:rsid w:val="41444A4C"/>
    <w:rsid w:val="420944C6"/>
    <w:rsid w:val="424A15EC"/>
    <w:rsid w:val="431D5D2B"/>
    <w:rsid w:val="431E2D4E"/>
    <w:rsid w:val="43293003"/>
    <w:rsid w:val="43933D72"/>
    <w:rsid w:val="4396BAEC"/>
    <w:rsid w:val="43A04A6D"/>
    <w:rsid w:val="43C96033"/>
    <w:rsid w:val="43CAD669"/>
    <w:rsid w:val="44B883E2"/>
    <w:rsid w:val="44C9E2CD"/>
    <w:rsid w:val="4528FA56"/>
    <w:rsid w:val="4558B118"/>
    <w:rsid w:val="45A25240"/>
    <w:rsid w:val="45B2EBD5"/>
    <w:rsid w:val="4674D62D"/>
    <w:rsid w:val="474F6E5E"/>
    <w:rsid w:val="47B2AE9B"/>
    <w:rsid w:val="47BD7C7D"/>
    <w:rsid w:val="4847C889"/>
    <w:rsid w:val="485A53BB"/>
    <w:rsid w:val="48FFCB8E"/>
    <w:rsid w:val="490FBC8E"/>
    <w:rsid w:val="491B5BF5"/>
    <w:rsid w:val="491F6415"/>
    <w:rsid w:val="49A0FE11"/>
    <w:rsid w:val="49B97CB1"/>
    <w:rsid w:val="49D8AF87"/>
    <w:rsid w:val="49F85941"/>
    <w:rsid w:val="4ABDA401"/>
    <w:rsid w:val="4AE5FB82"/>
    <w:rsid w:val="4AECC1D1"/>
    <w:rsid w:val="4B21FC1D"/>
    <w:rsid w:val="4B537681"/>
    <w:rsid w:val="4B66301C"/>
    <w:rsid w:val="4C1FB10E"/>
    <w:rsid w:val="4C65F5B7"/>
    <w:rsid w:val="4C87E118"/>
    <w:rsid w:val="4CA59373"/>
    <w:rsid w:val="4CA6DC46"/>
    <w:rsid w:val="4D6BF23E"/>
    <w:rsid w:val="4D6DA54C"/>
    <w:rsid w:val="4D96F375"/>
    <w:rsid w:val="4DAD6E43"/>
    <w:rsid w:val="4DFA6D6A"/>
    <w:rsid w:val="4E7D445B"/>
    <w:rsid w:val="4E82E4A0"/>
    <w:rsid w:val="4EC6D85E"/>
    <w:rsid w:val="4EDA4A5F"/>
    <w:rsid w:val="4F225580"/>
    <w:rsid w:val="5072418B"/>
    <w:rsid w:val="50755880"/>
    <w:rsid w:val="50DFA4F8"/>
    <w:rsid w:val="5120DF3F"/>
    <w:rsid w:val="5155E5CF"/>
    <w:rsid w:val="51C9E476"/>
    <w:rsid w:val="51D3B7C2"/>
    <w:rsid w:val="527B582C"/>
    <w:rsid w:val="5287C293"/>
    <w:rsid w:val="537A9866"/>
    <w:rsid w:val="53C08450"/>
    <w:rsid w:val="53DF782C"/>
    <w:rsid w:val="53E63467"/>
    <w:rsid w:val="54178A76"/>
    <w:rsid w:val="54D58610"/>
    <w:rsid w:val="552C8920"/>
    <w:rsid w:val="55545ADF"/>
    <w:rsid w:val="5591391C"/>
    <w:rsid w:val="55BE0601"/>
    <w:rsid w:val="55EF87F4"/>
    <w:rsid w:val="564DB2ED"/>
    <w:rsid w:val="56DBEC24"/>
    <w:rsid w:val="57027E48"/>
    <w:rsid w:val="57156D93"/>
    <w:rsid w:val="5740D18E"/>
    <w:rsid w:val="5770E311"/>
    <w:rsid w:val="57B48CDA"/>
    <w:rsid w:val="57EAB103"/>
    <w:rsid w:val="58454B73"/>
    <w:rsid w:val="584ED5F6"/>
    <w:rsid w:val="58637B27"/>
    <w:rsid w:val="589247FC"/>
    <w:rsid w:val="5894242A"/>
    <w:rsid w:val="5940D806"/>
    <w:rsid w:val="596A4E34"/>
    <w:rsid w:val="59700324"/>
    <w:rsid w:val="5A029FB9"/>
    <w:rsid w:val="5A84C2E8"/>
    <w:rsid w:val="5AB6C439"/>
    <w:rsid w:val="5B3C2199"/>
    <w:rsid w:val="5B625C1E"/>
    <w:rsid w:val="5BF909A4"/>
    <w:rsid w:val="5C8321E0"/>
    <w:rsid w:val="5CD22863"/>
    <w:rsid w:val="5CD755FB"/>
    <w:rsid w:val="5D611162"/>
    <w:rsid w:val="5D68A34B"/>
    <w:rsid w:val="5DA6F3E2"/>
    <w:rsid w:val="5E104B0A"/>
    <w:rsid w:val="5E2AD731"/>
    <w:rsid w:val="5E32CF62"/>
    <w:rsid w:val="5E5DD713"/>
    <w:rsid w:val="5E9D6D04"/>
    <w:rsid w:val="5EBDF412"/>
    <w:rsid w:val="5EE53886"/>
    <w:rsid w:val="5F233C48"/>
    <w:rsid w:val="5F2B1E05"/>
    <w:rsid w:val="5F6CB714"/>
    <w:rsid w:val="6007824A"/>
    <w:rsid w:val="603A9D04"/>
    <w:rsid w:val="60E7B2E0"/>
    <w:rsid w:val="610120E1"/>
    <w:rsid w:val="613AE96B"/>
    <w:rsid w:val="61680445"/>
    <w:rsid w:val="620ADBD6"/>
    <w:rsid w:val="62FB1773"/>
    <w:rsid w:val="63422FF5"/>
    <w:rsid w:val="638031E3"/>
    <w:rsid w:val="6385BA33"/>
    <w:rsid w:val="639CDA68"/>
    <w:rsid w:val="63C7A4AE"/>
    <w:rsid w:val="6429F74C"/>
    <w:rsid w:val="645DF841"/>
    <w:rsid w:val="6479A3FD"/>
    <w:rsid w:val="649A9F7C"/>
    <w:rsid w:val="6622682E"/>
    <w:rsid w:val="66CA66FC"/>
    <w:rsid w:val="67560EE2"/>
    <w:rsid w:val="675A881E"/>
    <w:rsid w:val="67724AA8"/>
    <w:rsid w:val="67E9F989"/>
    <w:rsid w:val="68015056"/>
    <w:rsid w:val="686CBB98"/>
    <w:rsid w:val="68F71733"/>
    <w:rsid w:val="697666B5"/>
    <w:rsid w:val="69B36C87"/>
    <w:rsid w:val="69B5926A"/>
    <w:rsid w:val="69C24B98"/>
    <w:rsid w:val="69FA9103"/>
    <w:rsid w:val="6A10B9D1"/>
    <w:rsid w:val="6A4D556D"/>
    <w:rsid w:val="6A5372D5"/>
    <w:rsid w:val="6A5EB16D"/>
    <w:rsid w:val="6B7BBE73"/>
    <w:rsid w:val="6C0D972F"/>
    <w:rsid w:val="6C21C029"/>
    <w:rsid w:val="6C4933B0"/>
    <w:rsid w:val="6C56F924"/>
    <w:rsid w:val="6C8BCCBF"/>
    <w:rsid w:val="6CC6285C"/>
    <w:rsid w:val="6CE34CE5"/>
    <w:rsid w:val="6CF3D2B3"/>
    <w:rsid w:val="6D1F0378"/>
    <w:rsid w:val="6DB795C3"/>
    <w:rsid w:val="6E050320"/>
    <w:rsid w:val="6E7C4DAB"/>
    <w:rsid w:val="6EFA7FCD"/>
    <w:rsid w:val="6F118F40"/>
    <w:rsid w:val="6F44E8AD"/>
    <w:rsid w:val="701C7264"/>
    <w:rsid w:val="70375BE8"/>
    <w:rsid w:val="70652D8D"/>
    <w:rsid w:val="70A20573"/>
    <w:rsid w:val="70E99D10"/>
    <w:rsid w:val="70FEADAD"/>
    <w:rsid w:val="712D57A7"/>
    <w:rsid w:val="723C985B"/>
    <w:rsid w:val="72628282"/>
    <w:rsid w:val="727E4341"/>
    <w:rsid w:val="730C62DD"/>
    <w:rsid w:val="7311B3EF"/>
    <w:rsid w:val="73638691"/>
    <w:rsid w:val="73FB50F8"/>
    <w:rsid w:val="740E46DB"/>
    <w:rsid w:val="741E15A7"/>
    <w:rsid w:val="74284F17"/>
    <w:rsid w:val="743B1D38"/>
    <w:rsid w:val="745BA045"/>
    <w:rsid w:val="75278951"/>
    <w:rsid w:val="75CA0AF1"/>
    <w:rsid w:val="75DD166D"/>
    <w:rsid w:val="766B6B42"/>
    <w:rsid w:val="77AC5A05"/>
    <w:rsid w:val="77C157D1"/>
    <w:rsid w:val="77DC36EA"/>
    <w:rsid w:val="786B8212"/>
    <w:rsid w:val="78737ECF"/>
    <w:rsid w:val="78A40606"/>
    <w:rsid w:val="7943662E"/>
    <w:rsid w:val="79872E17"/>
    <w:rsid w:val="79B88BCB"/>
    <w:rsid w:val="79CA06AF"/>
    <w:rsid w:val="7A03E9B6"/>
    <w:rsid w:val="7A3B1A37"/>
    <w:rsid w:val="7A541278"/>
    <w:rsid w:val="7A56F653"/>
    <w:rsid w:val="7A5AC9D3"/>
    <w:rsid w:val="7A690D38"/>
    <w:rsid w:val="7A90AEF8"/>
    <w:rsid w:val="7B555F20"/>
    <w:rsid w:val="7B910C30"/>
    <w:rsid w:val="7B9132C9"/>
    <w:rsid w:val="7BC2CBDF"/>
    <w:rsid w:val="7D3D849D"/>
    <w:rsid w:val="7D4E53B9"/>
    <w:rsid w:val="7D544623"/>
    <w:rsid w:val="7D6CFEDE"/>
    <w:rsid w:val="7D7F43CD"/>
    <w:rsid w:val="7D800BA2"/>
    <w:rsid w:val="7DBF409E"/>
    <w:rsid w:val="7DFF1C13"/>
    <w:rsid w:val="7E18A7AA"/>
    <w:rsid w:val="7E6393A6"/>
    <w:rsid w:val="7F14F8A3"/>
    <w:rsid w:val="7F7116BE"/>
    <w:rsid w:val="7F967FF9"/>
    <w:rsid w:val="7FB4C70C"/>
    <w:rsid w:val="7FF8CA16"/>
    <w:rsid w:val="7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90BCE"/>
  <w15:docId w15:val="{E3AFA158-3F55-4739-AE99-9B26D430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85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E6D85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6D85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AE6D8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E6D8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D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6D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6D85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D85"/>
    <w:rPr>
      <w:vertAlign w:val="superscript"/>
    </w:rPr>
  </w:style>
  <w:style w:type="paragraph" w:styleId="BodyText2">
    <w:name w:val="Body Text 2"/>
    <w:basedOn w:val="Normal"/>
    <w:link w:val="BodyText2Char"/>
    <w:rsid w:val="00AE6D85"/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AE6D8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6D85"/>
    <w:pPr>
      <w:widowControl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39"/>
    <w:rsid w:val="00D7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F3"/>
    <w:rPr>
      <w:rFonts w:ascii="Courier" w:eastAsia="Times New Roman" w:hAnsi="Courier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0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451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3C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5F0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1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5F0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F6B6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4B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BBA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4BBA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c.gov/tb-data/aboutprovisionaldata/2025-provisional-data.html" TargetMode="External"/><Relationship Id="rId1" Type="http://schemas.openxmlformats.org/officeDocument/2006/relationships/hyperlink" Target="https://donahue.umass.edu/business-groups/economic-public-policy-research/massachusetts-population-estimates-progra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0AF8BD2-2952-4829-895C-205A866B89C2}">
    <t:Anchor>
      <t:Comment id="2120685362"/>
    </t:Anchor>
    <t:History>
      <t:Event id="{5DC41FF4-9288-4851-9733-BD8950444791}" time="2026-03-23T18:10:36.419Z">
        <t:Attribution userId="S::Falah.Hashem2@mass.gov::df60c0c8-95d0-4297-b072-e190ef387cc8" userProvider="AD" userName="Hashem, Falah (DPH)"/>
        <t:Anchor>
          <t:Comment id="2120685362"/>
        </t:Anchor>
        <t:Create/>
      </t:Event>
      <t:Event id="{89512BE6-9FAC-4ECD-9CFE-5C7E13EA237D}" time="2026-03-23T18:10:36.419Z">
        <t:Attribution userId="S::Falah.Hashem2@mass.gov::df60c0c8-95d0-4297-b072-e190ef387cc8" userProvider="AD" userName="Hashem, Falah (DPH)"/>
        <t:Anchor>
          <t:Comment id="2120685362"/>
        </t:Anchor>
        <t:Assign userId="S::Ryan.J.Burke@mass.gov::f8f617ce-8aac-4f1d-9569-308852187d77" userProvider="AD" userName="Burke, Ryan J. (DPH)"/>
      </t:Event>
      <t:Event id="{DA2C3F93-1CA7-4406-9A03-FFB369AE8D06}" time="2026-03-23T18:10:36.419Z">
        <t:Attribution userId="S::Falah.Hashem2@mass.gov::df60c0c8-95d0-4297-b072-e190ef387cc8" userProvider="AD" userName="Hashem, Falah (DPH)"/>
        <t:Anchor>
          <t:Comment id="2120685362"/>
        </t:Anchor>
        <t:SetTitle title="@Burke, Ryan J. (DPH) Building on our previous discussions about the terminology we should use, do you think we should replace this with &quot;Individuals/Groups with elevated risk for TB&quot;?"/>
      </t:Event>
      <t:Event id="{EBBC99CA-7B75-49FE-A63F-4C52A1BAC5C7}" time="2026-03-23T20:40:41.848Z">
        <t:Attribution userId="S::ryan.j.burke@mass.gov::f8f617ce-8aac-4f1d-9569-308852187d77" userProvider="AD" userName="Burke, Ryan J. (DPH)"/>
        <t:Progress percentComplete="100"/>
      </t:Event>
    </t:History>
  </t:Task>
  <t:Task id="{C4706D63-2360-4580-BAA4-0310EC7CF225}">
    <t:Anchor>
      <t:Comment id="1505520350"/>
    </t:Anchor>
    <t:History>
      <t:Event id="{FA0E1658-0E8A-46C8-9A68-95F9A5EF342C}" time="2026-03-23T17:46:08.273Z">
        <t:Attribution userId="S::Falah.Hashem2@mass.gov::df60c0c8-95d0-4297-b072-e190ef387cc8" userProvider="AD" userName="Hashem, Falah (DPH)"/>
        <t:Anchor>
          <t:Comment id="1505520350"/>
        </t:Anchor>
        <t:Create/>
      </t:Event>
      <t:Event id="{28B560CC-059F-43E3-9366-5553C077B56C}" time="2026-03-23T17:46:08.273Z">
        <t:Attribution userId="S::Falah.Hashem2@mass.gov::df60c0c8-95d0-4297-b072-e190ef387cc8" userProvider="AD" userName="Hashem, Falah (DPH)"/>
        <t:Anchor>
          <t:Comment id="1505520350"/>
        </t:Anchor>
        <t:Assign userId="S::Ryan.J.Burke@mass.gov::f8f617ce-8aac-4f1d-9569-308852187d77" userProvider="AD" userName="Burke, Ryan J. (DPH)"/>
      </t:Event>
      <t:Event id="{974F3865-A797-4DEC-B323-DC52FA302BF4}" time="2026-03-23T17:46:08.273Z">
        <t:Attribution userId="S::Falah.Hashem2@mass.gov::df60c0c8-95d0-4297-b072-e190ef387cc8" userProvider="AD" userName="Hashem, Falah (DPH)"/>
        <t:Anchor>
          <t:Comment id="1505520350"/>
        </t:Anchor>
        <t:SetTitle title="@Burke, Ryan J. (DPH) is this 194 or 176? If these are different, we may want to clarify that in endnote/footnote, or in the narrative."/>
      </t:Event>
      <t:Event id="{30068B96-3B28-455E-85E2-CE891031C89D}" time="2026-03-23T17:55:04.113Z">
        <t:Attribution userId="S::ryan.j.burke@mass.gov::f8f617ce-8aac-4f1d-9569-308852187d77" userProvider="AD" userName="Burke, Ryan J. (DP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FBD61EF9C642AA4622CA6DB768FE" ma:contentTypeVersion="2" ma:contentTypeDescription="Create a new document." ma:contentTypeScope="" ma:versionID="cf8d8cc8d26b8cf757cacb811905fddc">
  <xsd:schema xmlns:xsd="http://www.w3.org/2001/XMLSchema" xmlns:xs="http://www.w3.org/2001/XMLSchema" xmlns:p="http://schemas.microsoft.com/office/2006/metadata/properties" xmlns:ns2="dcba3501-0dec-4586-930d-1feaeb7d0adb" targetNamespace="http://schemas.microsoft.com/office/2006/metadata/properties" ma:root="true" ma:fieldsID="ab1ef514e9e02427d407b1f83b396bac" ns2:_="">
    <xsd:import namespace="dcba3501-0dec-4586-930d-1feaeb7d0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3501-0dec-4586-930d-1feaeb7d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9B7C9-F5DB-4B34-AD72-0FB9AD0BC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E9C95-0F08-4178-83A5-9D5D9A4DB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63D31-5A1E-2E4D-8E69-43199CAAD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532EC-D720-4054-B4F0-F9A947E0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3501-0dec-4586-930d-1feaeb7d0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Company>EOHHS</Company>
  <LinksUpToDate>false</LinksUpToDate>
  <CharactersWithSpaces>4265</CharactersWithSpaces>
  <SharedDoc>false</SharedDoc>
  <HLinks>
    <vt:vector size="12" baseType="variant">
      <vt:variant>
        <vt:i4>6881382</vt:i4>
      </vt:variant>
      <vt:variant>
        <vt:i4>3</vt:i4>
      </vt:variant>
      <vt:variant>
        <vt:i4>0</vt:i4>
      </vt:variant>
      <vt:variant>
        <vt:i4>5</vt:i4>
      </vt:variant>
      <vt:variant>
        <vt:lpwstr>https://www.cdc.gov/tb-data/aboutprovisionaldata/2025-provisional-data.html</vt:lpwstr>
      </vt:variant>
      <vt:variant>
        <vt:lpwstr/>
      </vt:variant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https://donahue.umass.edu/business-groups/economic-public-policy-research/massachusetts-population-estimates-program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Tuberculosis Disease Statistics for the Year 2023</dc:title>
  <dc:subject>Massachusetts; Tuberculosis;</dc:subject>
  <dc:creator>Cochran, Jennifer (DPH)</dc:creator>
  <cp:keywords>Massachusetts, Tuberculosis;data</cp:keywords>
  <dc:description/>
  <cp:lastModifiedBy>Burke, Ryan J. (DPH)</cp:lastModifiedBy>
  <cp:revision>3</cp:revision>
  <cp:lastPrinted>2022-03-09T06:04:00Z</cp:lastPrinted>
  <dcterms:created xsi:type="dcterms:W3CDTF">2026-04-06T19:53:00Z</dcterms:created>
  <dcterms:modified xsi:type="dcterms:W3CDTF">2026-04-06T19:54:00Z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0x010100AF2DFBD61EF9C642AA4622CA6DB768FE</vt:lpwstr>
  </property>
</Properties>
</file>