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E9E4" w14:textId="77777777" w:rsidR="00CE59AE" w:rsidRPr="00503F21" w:rsidRDefault="00CE59AE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3AB39E0E" w14:textId="77777777" w:rsidR="00070F45" w:rsidRPr="00503F21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 w:rsidRPr="00503F21">
        <w:rPr>
          <w:rFonts w:ascii="Arial" w:hAnsi="Arial"/>
          <w:sz w:val="36"/>
        </w:rPr>
        <w:t>The Commonwealth of Massachusetts</w:t>
      </w:r>
    </w:p>
    <w:p w14:paraId="17C34AD7" w14:textId="77777777" w:rsidR="00070F45" w:rsidRPr="00503F21" w:rsidRDefault="00070F45" w:rsidP="00070F45">
      <w:pPr>
        <w:pStyle w:val="ExecOffice"/>
        <w:framePr w:w="6926" w:wrap="notBeside" w:vAnchor="page" w:x="2334" w:y="181"/>
      </w:pPr>
      <w:r w:rsidRPr="00503F21">
        <w:t>Executive Office of Health and Human Services</w:t>
      </w:r>
    </w:p>
    <w:p w14:paraId="3A1AE615" w14:textId="77777777" w:rsidR="00070F45" w:rsidRPr="00503F21" w:rsidRDefault="00070F45" w:rsidP="00070F45">
      <w:pPr>
        <w:pStyle w:val="ExecOffice"/>
        <w:framePr w:w="6926" w:wrap="notBeside" w:vAnchor="page" w:x="2334" w:y="181"/>
      </w:pPr>
      <w:r w:rsidRPr="00503F21">
        <w:t>Department of Public Health</w:t>
      </w:r>
    </w:p>
    <w:p w14:paraId="34F99483" w14:textId="77777777" w:rsidR="00070F45" w:rsidRPr="00503F21" w:rsidRDefault="00070F45" w:rsidP="00070F45">
      <w:pPr>
        <w:pStyle w:val="ExecOffice"/>
        <w:framePr w:w="6926" w:wrap="notBeside" w:vAnchor="page" w:x="2334" w:y="181"/>
      </w:pPr>
      <w:r w:rsidRPr="00503F21">
        <w:t>Bureau of Health Professions Licensure</w:t>
      </w:r>
    </w:p>
    <w:p w14:paraId="65C33A1B" w14:textId="77777777" w:rsidR="00070F45" w:rsidRPr="00503F21" w:rsidRDefault="0093441D" w:rsidP="00070F45">
      <w:pPr>
        <w:pStyle w:val="ExecOffice"/>
        <w:framePr w:w="6926" w:wrap="notBeside" w:vAnchor="page" w:x="2334" w:y="181"/>
      </w:pPr>
      <w:r w:rsidRPr="00503F21">
        <w:t>250 Washington Street, Boston, MA 02108-4619</w:t>
      </w:r>
    </w:p>
    <w:p w14:paraId="0D9919D1" w14:textId="77777777" w:rsidR="0093441D" w:rsidRPr="00503F21" w:rsidRDefault="0093441D" w:rsidP="00070F45">
      <w:pPr>
        <w:pStyle w:val="ExecOffice"/>
        <w:framePr w:w="6926" w:wrap="notBeside" w:vAnchor="page" w:x="2334" w:y="181"/>
      </w:pPr>
    </w:p>
    <w:p w14:paraId="45803201" w14:textId="77777777" w:rsidR="00070F45" w:rsidRPr="00503F21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 w:rsidRPr="00503F21">
        <w:rPr>
          <w:rFonts w:ascii="Arial" w:hAnsi="Arial" w:cs="Arial"/>
          <w:sz w:val="18"/>
          <w:szCs w:val="18"/>
        </w:rPr>
        <w:t>Tel: 617-973-0</w:t>
      </w:r>
      <w:r w:rsidR="00354739">
        <w:rPr>
          <w:rFonts w:ascii="Arial" w:hAnsi="Arial" w:cs="Arial"/>
          <w:sz w:val="18"/>
          <w:szCs w:val="18"/>
        </w:rPr>
        <w:t>960</w:t>
      </w:r>
    </w:p>
    <w:p w14:paraId="620B2A5A" w14:textId="77777777"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10" w:history="1">
        <w:r w:rsidRPr="00503F21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61649E4D" w14:textId="77777777" w:rsidR="006E46B7" w:rsidRPr="00503F21" w:rsidRDefault="006E46B7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</w:p>
    <w:p w14:paraId="6C19E77B" w14:textId="77777777" w:rsidR="00714203" w:rsidRPr="00503F21" w:rsidRDefault="00714203" w:rsidP="001C7E9B">
      <w:pPr>
        <w:pStyle w:val="ExecOffice"/>
        <w:framePr w:w="6926" w:wrap="notBeside" w:vAnchor="page" w:x="2334" w:y="181"/>
      </w:pPr>
    </w:p>
    <w:p w14:paraId="38D24F06" w14:textId="67E957EE" w:rsidR="00BA4055" w:rsidRPr="00503F21" w:rsidRDefault="007B5634" w:rsidP="00CE59AE">
      <w:pPr>
        <w:framePr w:w="1927" w:hSpace="180" w:wrap="auto" w:vAnchor="text" w:hAnchor="page" w:x="451" w:y="-584"/>
        <w:rPr>
          <w:rFonts w:ascii="LinePrinter" w:hAnsi="LinePrinter"/>
        </w:rPr>
      </w:pPr>
      <w:r w:rsidRPr="00503F21">
        <w:rPr>
          <w:rFonts w:ascii="LinePrinter" w:hAnsi="LinePrinter"/>
          <w:noProof/>
        </w:rPr>
        <w:drawing>
          <wp:inline distT="0" distB="0" distL="0" distR="0" wp14:anchorId="7C73D9F8" wp14:editId="2AA71BFC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E5E09" w14:textId="77777777" w:rsidR="00C437A1" w:rsidRDefault="0002678F" w:rsidP="006B2528">
      <w:pPr>
        <w:spacing w:line="120" w:lineRule="auto"/>
        <w:ind w:left="1440" w:firstLine="720"/>
        <w:jc w:val="both"/>
        <w:rPr>
          <w:rFonts w:ascii="Sans Serif Collection" w:hAnsi="Sans Serif Collection" w:cs="Sans Serif Collection"/>
          <w:b/>
          <w:bCs/>
          <w:sz w:val="32"/>
          <w:szCs w:val="32"/>
        </w:rPr>
      </w:pPr>
      <w:r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Board of Registration in Pharmacy</w:t>
      </w:r>
    </w:p>
    <w:p w14:paraId="48DA7CB3" w14:textId="77777777" w:rsidR="006B2528" w:rsidRPr="00DC3D58" w:rsidRDefault="006B2528" w:rsidP="006B2528">
      <w:pPr>
        <w:spacing w:line="120" w:lineRule="auto"/>
        <w:ind w:left="1440" w:firstLine="720"/>
        <w:jc w:val="both"/>
        <w:rPr>
          <w:rFonts w:ascii="Sans Serif Collection" w:hAnsi="Sans Serif Collection" w:cs="Sans Serif Collection"/>
          <w:b/>
          <w:bCs/>
          <w:sz w:val="32"/>
          <w:szCs w:val="32"/>
        </w:rPr>
      </w:pPr>
    </w:p>
    <w:p w14:paraId="00EEBB91" w14:textId="4D0EC929" w:rsidR="00503F21" w:rsidRDefault="00503F21" w:rsidP="006B2528">
      <w:pPr>
        <w:spacing w:line="120" w:lineRule="auto"/>
        <w:jc w:val="center"/>
        <w:rPr>
          <w:rFonts w:ascii="Sans Serif Collection" w:hAnsi="Sans Serif Collection" w:cs="Sans Serif Collection"/>
          <w:b/>
          <w:bCs/>
          <w:sz w:val="32"/>
          <w:szCs w:val="32"/>
        </w:rPr>
      </w:pPr>
      <w:r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Policy 20</w:t>
      </w:r>
      <w:r w:rsidR="004B4056"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26-</w:t>
      </w:r>
      <w:r w:rsidR="00290D45"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01</w:t>
      </w:r>
      <w:r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:</w:t>
      </w:r>
      <w:r w:rsidR="00FC108D" w:rsidRPr="00DC3D58">
        <w:rPr>
          <w:rFonts w:ascii="Sans Serif Collection" w:hAnsi="Sans Serif Collection" w:cs="Sans Serif Collection"/>
          <w:b/>
          <w:bCs/>
          <w:sz w:val="32"/>
          <w:szCs w:val="32"/>
        </w:rPr>
        <w:t xml:space="preserve"> </w:t>
      </w:r>
      <w:r w:rsidRPr="00DC3D58">
        <w:rPr>
          <w:rFonts w:ascii="Sans Serif Collection" w:hAnsi="Sans Serif Collection" w:cs="Sans Serif Collection"/>
          <w:b/>
          <w:bCs/>
          <w:sz w:val="32"/>
          <w:szCs w:val="32"/>
        </w:rPr>
        <w:t xml:space="preserve">Loss </w:t>
      </w:r>
      <w:r w:rsidR="0021089B" w:rsidRPr="00DC3D58">
        <w:rPr>
          <w:rFonts w:ascii="Sans Serif Collection" w:hAnsi="Sans Serif Collection" w:cs="Sans Serif Collection"/>
          <w:b/>
          <w:bCs/>
          <w:sz w:val="32"/>
          <w:szCs w:val="32"/>
        </w:rPr>
        <w:t xml:space="preserve">or Theft </w:t>
      </w:r>
      <w:r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of Controlled Substance</w:t>
      </w:r>
      <w:r w:rsidR="00883759" w:rsidRPr="00DC3D58">
        <w:rPr>
          <w:rFonts w:ascii="Sans Serif Collection" w:hAnsi="Sans Serif Collection" w:cs="Sans Serif Collection"/>
          <w:b/>
          <w:bCs/>
          <w:sz w:val="32"/>
          <w:szCs w:val="32"/>
        </w:rPr>
        <w:t>s</w:t>
      </w:r>
    </w:p>
    <w:p w14:paraId="619E69AA" w14:textId="77777777" w:rsidR="006B2528" w:rsidRPr="00DC3D58" w:rsidRDefault="006B2528" w:rsidP="006B2528">
      <w:pPr>
        <w:spacing w:line="120" w:lineRule="auto"/>
        <w:jc w:val="center"/>
        <w:rPr>
          <w:rFonts w:ascii="Sans Serif Collection" w:hAnsi="Sans Serif Collection" w:cs="Sans Serif Collection"/>
          <w:b/>
          <w:bCs/>
          <w:sz w:val="32"/>
          <w:szCs w:val="32"/>
        </w:rPr>
      </w:pPr>
    </w:p>
    <w:p w14:paraId="15487D3F" w14:textId="77777777" w:rsidR="002E4A2A" w:rsidRPr="0066085C" w:rsidRDefault="002E4A2A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sz w:val="28"/>
          <w:szCs w:val="28"/>
        </w:rPr>
        <w:t>I. Purpose</w:t>
      </w:r>
      <w:r w:rsidR="004B080D"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 </w:t>
      </w:r>
    </w:p>
    <w:p w14:paraId="18F99AB4" w14:textId="77777777" w:rsidR="007A5EE7" w:rsidRPr="0066085C" w:rsidRDefault="007A5EE7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</w:p>
    <w:p w14:paraId="3AB0A370" w14:textId="77777777" w:rsidR="002E4A2A" w:rsidRPr="0066085C" w:rsidRDefault="00BC6E0B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sz w:val="28"/>
          <w:szCs w:val="28"/>
        </w:rPr>
      </w:pPr>
      <w:r w:rsidRPr="0066085C">
        <w:rPr>
          <w:rFonts w:ascii="Sans Serif Collection" w:hAnsi="Sans Serif Collection" w:cs="Sans Serif Collection"/>
          <w:sz w:val="28"/>
          <w:szCs w:val="28"/>
        </w:rPr>
        <w:t xml:space="preserve">In accordance with </w:t>
      </w:r>
      <w:hyperlink r:id="rId12" w:history="1">
        <w:r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247 CMR 7.0</w:t>
        </w:r>
        <w:r w:rsidR="00367C13"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4(2)(g)</w:t>
        </w:r>
      </w:hyperlink>
      <w:r w:rsidRPr="0066085C">
        <w:rPr>
          <w:rFonts w:ascii="Sans Serif Collection" w:hAnsi="Sans Serif Collection" w:cs="Sans Serif Collection"/>
          <w:sz w:val="28"/>
          <w:szCs w:val="28"/>
        </w:rPr>
        <w:t xml:space="preserve"> and </w:t>
      </w:r>
      <w:hyperlink r:id="rId13" w:history="1">
        <w:r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20.0</w:t>
        </w:r>
        <w:r w:rsidR="00367C13"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3(7)</w:t>
        </w:r>
      </w:hyperlink>
      <w:r w:rsidRPr="0066085C">
        <w:rPr>
          <w:rFonts w:ascii="Sans Serif Collection" w:hAnsi="Sans Serif Collection" w:cs="Sans Serif Collection"/>
          <w:sz w:val="28"/>
          <w:szCs w:val="28"/>
        </w:rPr>
        <w:t>,</w:t>
      </w:r>
      <w:r w:rsidR="007C0D44" w:rsidRPr="0066085C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Pr="0066085C">
        <w:rPr>
          <w:rFonts w:ascii="Sans Serif Collection" w:hAnsi="Sans Serif Collection" w:cs="Sans Serif Collection"/>
          <w:sz w:val="28"/>
          <w:szCs w:val="28"/>
        </w:rPr>
        <w:t>t</w:t>
      </w:r>
      <w:r w:rsidR="002E4A2A" w:rsidRPr="0066085C">
        <w:rPr>
          <w:rFonts w:ascii="Sans Serif Collection" w:hAnsi="Sans Serif Collection" w:cs="Sans Serif Collection"/>
          <w:sz w:val="28"/>
          <w:szCs w:val="28"/>
        </w:rPr>
        <w:t xml:space="preserve">his policy sets forth the procedures for </w:t>
      </w:r>
      <w:r w:rsidR="00A32588" w:rsidRPr="0066085C">
        <w:rPr>
          <w:rFonts w:ascii="Sans Serif Collection" w:hAnsi="Sans Serif Collection" w:cs="Sans Serif Collection"/>
          <w:sz w:val="28"/>
          <w:szCs w:val="28"/>
        </w:rPr>
        <w:t xml:space="preserve">resident </w:t>
      </w:r>
      <w:r w:rsidR="00883759" w:rsidRPr="0066085C">
        <w:rPr>
          <w:rFonts w:ascii="Sans Serif Collection" w:hAnsi="Sans Serif Collection" w:cs="Sans Serif Collection"/>
          <w:sz w:val="28"/>
          <w:szCs w:val="28"/>
        </w:rPr>
        <w:t xml:space="preserve">Board-licensed pharmacies and wholesalers to </w:t>
      </w:r>
      <w:r w:rsidR="002E4A2A" w:rsidRPr="0066085C">
        <w:rPr>
          <w:rFonts w:ascii="Sans Serif Collection" w:hAnsi="Sans Serif Collection" w:cs="Sans Serif Collection"/>
          <w:sz w:val="28"/>
          <w:szCs w:val="28"/>
        </w:rPr>
        <w:t>report</w:t>
      </w:r>
      <w:r w:rsidR="005E196F" w:rsidRPr="0066085C">
        <w:rPr>
          <w:rFonts w:ascii="Sans Serif Collection" w:hAnsi="Sans Serif Collection" w:cs="Sans Serif Collection"/>
          <w:sz w:val="28"/>
          <w:szCs w:val="28"/>
        </w:rPr>
        <w:t xml:space="preserve"> </w:t>
      </w:r>
      <w:bookmarkStart w:id="0" w:name="_Hlk92464577"/>
      <w:r w:rsidR="005E196F" w:rsidRPr="0066085C">
        <w:rPr>
          <w:rFonts w:ascii="Sans Serif Collection" w:hAnsi="Sans Serif Collection" w:cs="Sans Serif Collection"/>
          <w:sz w:val="28"/>
          <w:szCs w:val="28"/>
        </w:rPr>
        <w:t>confirmed</w:t>
      </w:r>
      <w:bookmarkEnd w:id="0"/>
      <w:r w:rsidR="005E196F" w:rsidRPr="0066085C">
        <w:rPr>
          <w:rFonts w:ascii="Sans Serif Collection" w:hAnsi="Sans Serif Collection" w:cs="Sans Serif Collection"/>
          <w:sz w:val="28"/>
          <w:szCs w:val="28"/>
        </w:rPr>
        <w:t xml:space="preserve"> losses and thefts of </w:t>
      </w:r>
      <w:hyperlink r:id="rId14" w:history="1">
        <w:r w:rsidR="005E196F"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controlled substances</w:t>
        </w:r>
      </w:hyperlink>
      <w:r w:rsidR="002E4A2A" w:rsidRPr="0066085C">
        <w:rPr>
          <w:rFonts w:ascii="Sans Serif Collection" w:hAnsi="Sans Serif Collection" w:cs="Sans Serif Collection"/>
          <w:sz w:val="28"/>
          <w:szCs w:val="28"/>
        </w:rPr>
        <w:t xml:space="preserve"> to the Board of Registration in Pharmacy (Board). </w:t>
      </w:r>
    </w:p>
    <w:p w14:paraId="257AD46F" w14:textId="77777777" w:rsidR="006B2528" w:rsidRPr="0066085C" w:rsidRDefault="006B2528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74346A82" w14:textId="77777777" w:rsidR="002E4A2A" w:rsidRPr="0066085C" w:rsidRDefault="002E4A2A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sz w:val="28"/>
          <w:szCs w:val="28"/>
        </w:rPr>
        <w:t>II. Reporting Requirements</w:t>
      </w:r>
    </w:p>
    <w:p w14:paraId="19E6E24F" w14:textId="77777777" w:rsidR="007A5EE7" w:rsidRPr="0066085C" w:rsidRDefault="007A5EE7" w:rsidP="006B2528">
      <w:pPr>
        <w:tabs>
          <w:tab w:val="left" w:pos="540"/>
        </w:tabs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</w:p>
    <w:p w14:paraId="00CEE1B2" w14:textId="7FD93586" w:rsidR="00D84449" w:rsidRDefault="000566B3" w:rsidP="006B2528">
      <w:pPr>
        <w:spacing w:line="120" w:lineRule="auto"/>
        <w:jc w:val="both"/>
        <w:rPr>
          <w:rFonts w:ascii="Sans Serif Collection" w:hAnsi="Sans Serif Collection" w:cs="Sans Serif Collection"/>
          <w:sz w:val="28"/>
          <w:szCs w:val="28"/>
        </w:rPr>
      </w:pPr>
      <w:r w:rsidRPr="000566B3">
        <w:rPr>
          <w:rFonts w:ascii="Sans Serif Collection" w:hAnsi="Sans Serif Collection" w:cs="Sans Serif Collection"/>
          <w:sz w:val="28"/>
          <w:szCs w:val="28"/>
        </w:rPr>
        <w:t xml:space="preserve">Within 7 calendar days of a controlled substance loss or theft as outlined below, the pharmacy or wholesaler must submit to the Board the </w:t>
      </w:r>
      <w:hyperlink r:id="rId15" w:history="1">
        <w:r w:rsidRPr="00245CD5">
          <w:rPr>
            <w:rStyle w:val="Hyperlink"/>
            <w:rFonts w:ascii="Sans Serif Collection" w:hAnsi="Sans Serif Collection" w:cs="Sans Serif Collection"/>
            <w:i/>
            <w:iCs/>
            <w:sz w:val="28"/>
            <w:szCs w:val="28"/>
          </w:rPr>
          <w:t>Pharmacy Loss of Controlled S</w:t>
        </w:r>
        <w:r w:rsidRPr="00245CD5">
          <w:rPr>
            <w:rStyle w:val="Hyperlink"/>
            <w:rFonts w:ascii="Sans Serif Collection" w:hAnsi="Sans Serif Collection" w:cs="Sans Serif Collection"/>
            <w:i/>
            <w:iCs/>
            <w:sz w:val="28"/>
            <w:szCs w:val="28"/>
          </w:rPr>
          <w:t>u</w:t>
        </w:r>
        <w:r w:rsidRPr="00245CD5">
          <w:rPr>
            <w:rStyle w:val="Hyperlink"/>
            <w:rFonts w:ascii="Sans Serif Collection" w:hAnsi="Sans Serif Collection" w:cs="Sans Serif Collection"/>
            <w:i/>
            <w:iCs/>
            <w:sz w:val="28"/>
            <w:szCs w:val="28"/>
          </w:rPr>
          <w:t>bstances Report (RLCS)</w:t>
        </w:r>
      </w:hyperlink>
      <w:r w:rsidRPr="000566B3">
        <w:rPr>
          <w:rFonts w:ascii="Sans Serif Collection" w:hAnsi="Sans Serif Collection" w:cs="Sans Serif Collection"/>
          <w:sz w:val="28"/>
          <w:szCs w:val="28"/>
        </w:rPr>
        <w:t xml:space="preserve"> and DEA Form 106 (if applicable). The pharmacy or wholesaler must also comply with any other reporting requirements of the DEA, state, and local police.</w:t>
      </w:r>
    </w:p>
    <w:p w14:paraId="34DF3DAC" w14:textId="77777777" w:rsidR="000566B3" w:rsidRPr="0066085C" w:rsidRDefault="000566B3" w:rsidP="006B2528">
      <w:pPr>
        <w:spacing w:line="120" w:lineRule="auto"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1BB51F3E" w14:textId="797505A7" w:rsidR="002E4A2A" w:rsidRPr="0066085C" w:rsidRDefault="00C024F9" w:rsidP="006B2528">
      <w:pPr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Pharmacies </w:t>
      </w:r>
      <w:r w:rsidR="00752804"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and wholesalers </w:t>
      </w:r>
      <w:r w:rsidRPr="0066085C">
        <w:rPr>
          <w:rFonts w:ascii="Sans Serif Collection" w:hAnsi="Sans Serif Collection" w:cs="Sans Serif Collection"/>
          <w:b/>
          <w:sz w:val="28"/>
          <w:szCs w:val="28"/>
        </w:rPr>
        <w:t>must report the following types</w:t>
      </w:r>
      <w:r w:rsidR="00383F73"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 of confirmed losses</w:t>
      </w:r>
      <w:r w:rsidR="002E4A2A"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:  </w:t>
      </w:r>
    </w:p>
    <w:p w14:paraId="0E7C3C22" w14:textId="77777777" w:rsidR="005A3BA0" w:rsidRPr="0066085C" w:rsidRDefault="005A3BA0" w:rsidP="006B2528">
      <w:pPr>
        <w:spacing w:line="120" w:lineRule="auto"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4F1BA294" w14:textId="77777777" w:rsidR="002E4A2A" w:rsidRPr="0066085C" w:rsidRDefault="002E4A2A" w:rsidP="006B2528">
      <w:pPr>
        <w:numPr>
          <w:ilvl w:val="0"/>
          <w:numId w:val="14"/>
        </w:num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All losses</w:t>
      </w:r>
      <w:r w:rsidRPr="0066085C">
        <w:rPr>
          <w:rFonts w:ascii="Sans Serif Collection" w:hAnsi="Sans Serif Collection" w:cs="Sans Serif Collection"/>
          <w:sz w:val="28"/>
          <w:szCs w:val="28"/>
        </w:rPr>
        <w:t xml:space="preserve"> related to </w:t>
      </w:r>
      <w:r w:rsidR="001511BB" w:rsidRPr="0066085C">
        <w:rPr>
          <w:rFonts w:ascii="Sans Serif Collection" w:hAnsi="Sans Serif Collection" w:cs="Sans Serif Collection"/>
          <w:sz w:val="28"/>
          <w:szCs w:val="28"/>
        </w:rPr>
        <w:t xml:space="preserve">theft, </w:t>
      </w:r>
      <w:r w:rsidRPr="0066085C">
        <w:rPr>
          <w:rFonts w:ascii="Sans Serif Collection" w:hAnsi="Sans Serif Collection" w:cs="Sans Serif Collection"/>
          <w:sz w:val="28"/>
          <w:szCs w:val="28"/>
        </w:rPr>
        <w:t>employee pilferage</w:t>
      </w:r>
      <w:r w:rsidR="001511BB" w:rsidRPr="0066085C">
        <w:rPr>
          <w:rFonts w:ascii="Sans Serif Collection" w:hAnsi="Sans Serif Collection" w:cs="Sans Serif Collection"/>
          <w:sz w:val="28"/>
          <w:szCs w:val="28"/>
        </w:rPr>
        <w:t xml:space="preserve">, or </w:t>
      </w:r>
      <w:r w:rsidRPr="0066085C">
        <w:rPr>
          <w:rFonts w:ascii="Sans Serif Collection" w:hAnsi="Sans Serif Collection" w:cs="Sans Serif Collection"/>
          <w:sz w:val="28"/>
          <w:szCs w:val="28"/>
        </w:rPr>
        <w:t>diversion</w:t>
      </w:r>
      <w:r w:rsidR="001511BB" w:rsidRPr="0066085C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Pr="0066085C">
        <w:rPr>
          <w:rFonts w:ascii="Sans Serif Collection" w:hAnsi="Sans Serif Collection" w:cs="Sans Serif Collection"/>
          <w:sz w:val="28"/>
          <w:szCs w:val="28"/>
        </w:rPr>
        <w:t xml:space="preserve">no matter the quantity or schedule of the medication. </w:t>
      </w:r>
    </w:p>
    <w:p w14:paraId="7238EF20" w14:textId="77777777" w:rsidR="002E4A2A" w:rsidRPr="0066085C" w:rsidRDefault="002E4A2A" w:rsidP="5E981861">
      <w:pPr>
        <w:numPr>
          <w:ilvl w:val="0"/>
          <w:numId w:val="14"/>
        </w:num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  <w:r w:rsidRPr="7717F1A6">
        <w:rPr>
          <w:rFonts w:ascii="Sans Serif Collection" w:hAnsi="Sans Serif Collection" w:cs="Sans Serif Collection"/>
          <w:sz w:val="28"/>
          <w:szCs w:val="28"/>
        </w:rPr>
        <w:t xml:space="preserve">All </w:t>
      </w:r>
      <w:r w:rsidRPr="7717F1A6">
        <w:rPr>
          <w:rFonts w:ascii="Sans Serif Collection" w:hAnsi="Sans Serif Collection" w:cs="Sans Serif Collection"/>
          <w:b/>
          <w:bCs/>
          <w:sz w:val="28"/>
          <w:szCs w:val="28"/>
        </w:rPr>
        <w:t>significant</w:t>
      </w:r>
      <w:r w:rsidRPr="7717F1A6">
        <w:rPr>
          <w:rFonts w:ascii="Sans Serif Collection" w:hAnsi="Sans Serif Collection" w:cs="Sans Serif Collection"/>
          <w:sz w:val="28"/>
          <w:szCs w:val="28"/>
        </w:rPr>
        <w:t xml:space="preserve"> losses of Schedule II</w:t>
      </w:r>
      <w:r w:rsidR="009C78B9" w:rsidRPr="7717F1A6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="006B2528" w:rsidRPr="7717F1A6">
        <w:rPr>
          <w:rFonts w:ascii="Sans Serif Collection" w:hAnsi="Sans Serif Collection" w:cs="Sans Serif Collection"/>
          <w:sz w:val="28"/>
          <w:szCs w:val="28"/>
        </w:rPr>
        <w:t>through</w:t>
      </w:r>
      <w:r w:rsidR="009C78B9" w:rsidRPr="7717F1A6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Pr="7717F1A6">
        <w:rPr>
          <w:rFonts w:ascii="Sans Serif Collection" w:hAnsi="Sans Serif Collection" w:cs="Sans Serif Collection"/>
          <w:sz w:val="28"/>
          <w:szCs w:val="28"/>
        </w:rPr>
        <w:t>V controlled substances.</w:t>
      </w:r>
    </w:p>
    <w:p w14:paraId="0D3AA19A" w14:textId="77777777" w:rsidR="002E4A2A" w:rsidRPr="0066085C" w:rsidRDefault="002E4A2A" w:rsidP="006B2528">
      <w:pPr>
        <w:numPr>
          <w:ilvl w:val="0"/>
          <w:numId w:val="14"/>
        </w:num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  <w:r w:rsidRPr="0066085C">
        <w:rPr>
          <w:rFonts w:ascii="Sans Serif Collection" w:hAnsi="Sans Serif Collection" w:cs="Sans Serif Collection"/>
          <w:sz w:val="28"/>
          <w:szCs w:val="28"/>
        </w:rPr>
        <w:t xml:space="preserve">All </w:t>
      </w: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significant</w:t>
      </w:r>
      <w:r w:rsidRPr="0066085C">
        <w:rPr>
          <w:rFonts w:ascii="Sans Serif Collection" w:hAnsi="Sans Serif Collection" w:cs="Sans Serif Collection"/>
          <w:sz w:val="28"/>
          <w:szCs w:val="28"/>
        </w:rPr>
        <w:t xml:space="preserve"> losses of </w:t>
      </w:r>
      <w:hyperlink r:id="rId16" w:history="1">
        <w:r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Schedule VI controlled substances</w:t>
        </w:r>
      </w:hyperlink>
      <w:r w:rsidRPr="0066085C">
        <w:rPr>
          <w:rFonts w:ascii="Sans Serif Collection" w:hAnsi="Sans Serif Collection" w:cs="Sans Serif Collection"/>
          <w:sz w:val="28"/>
          <w:szCs w:val="28"/>
        </w:rPr>
        <w:t xml:space="preserve"> that are required to be reported to the </w:t>
      </w:r>
      <w:hyperlink r:id="rId17" w:history="1">
        <w:r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>Prescription Monitoring Program</w:t>
        </w:r>
      </w:hyperlink>
      <w:r w:rsidRPr="0066085C">
        <w:rPr>
          <w:rFonts w:ascii="Sans Serif Collection" w:hAnsi="Sans Serif Collection" w:cs="Sans Serif Collection"/>
          <w:sz w:val="28"/>
          <w:szCs w:val="28"/>
        </w:rPr>
        <w:t>.</w:t>
      </w:r>
    </w:p>
    <w:p w14:paraId="14771349" w14:textId="77777777" w:rsidR="00991EA9" w:rsidRPr="0066085C" w:rsidRDefault="00991EA9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b/>
          <w:bCs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lastRenderedPageBreak/>
        <w:t>***Do not report unconfirmed losses.</w:t>
      </w:r>
    </w:p>
    <w:p w14:paraId="372B8D3E" w14:textId="77777777" w:rsidR="002E4A2A" w:rsidRPr="0066085C" w:rsidRDefault="002E4A2A" w:rsidP="006B2528">
      <w:pPr>
        <w:spacing w:line="120" w:lineRule="auto"/>
        <w:ind w:left="720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1CD6666E" w14:textId="1966D686" w:rsidR="00D84449" w:rsidRPr="0066085C" w:rsidRDefault="002E4A2A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bCs/>
          <w:sz w:val="28"/>
          <w:szCs w:val="28"/>
        </w:rPr>
      </w:pPr>
      <w:r w:rsidRPr="0066085C">
        <w:rPr>
          <w:rFonts w:ascii="Sans Serif Collection" w:hAnsi="Sans Serif Collection" w:cs="Sans Serif Collection"/>
          <w:bCs/>
          <w:sz w:val="28"/>
          <w:szCs w:val="28"/>
        </w:rPr>
        <w:t xml:space="preserve">Please see </w:t>
      </w:r>
      <w:hyperlink r:id="rId18" w:history="1">
        <w:r w:rsidRPr="0066085C">
          <w:rPr>
            <w:rStyle w:val="Hyperlink"/>
            <w:rFonts w:ascii="Sans Serif Collection" w:hAnsi="Sans Serif Collection" w:cs="Sans Serif Collection"/>
            <w:bCs/>
            <w:sz w:val="28"/>
            <w:szCs w:val="28"/>
          </w:rPr>
          <w:t>DEA Guidance</w:t>
        </w:r>
      </w:hyperlink>
      <w:r w:rsidRPr="0066085C">
        <w:rPr>
          <w:rFonts w:ascii="Sans Serif Collection" w:hAnsi="Sans Serif Collection" w:cs="Sans Serif Collection"/>
          <w:bCs/>
          <w:sz w:val="28"/>
          <w:szCs w:val="28"/>
        </w:rPr>
        <w:t xml:space="preserve"> regarding what constitutes a “significant loss”</w:t>
      </w:r>
      <w:r w:rsidR="006E46B7" w:rsidRPr="0066085C">
        <w:rPr>
          <w:rFonts w:ascii="Sans Serif Collection" w:hAnsi="Sans Serif Collection" w:cs="Sans Serif Collection"/>
          <w:bCs/>
          <w:sz w:val="28"/>
          <w:szCs w:val="28"/>
        </w:rPr>
        <w:t>.</w:t>
      </w:r>
    </w:p>
    <w:p w14:paraId="68245ACE" w14:textId="77777777" w:rsidR="009829BD" w:rsidRPr="0066085C" w:rsidRDefault="009829BD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55BC90AA" w14:textId="19409A17" w:rsidR="00E71F9D" w:rsidRPr="0066085C" w:rsidRDefault="00E71F9D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b/>
          <w:bCs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 xml:space="preserve">III. </w:t>
      </w:r>
      <w:r w:rsidR="004A688B" w:rsidRPr="0066085C">
        <w:rPr>
          <w:rFonts w:ascii="Sans Serif Collection" w:hAnsi="Sans Serif Collection" w:cs="Sans Serif Collection"/>
          <w:b/>
          <w:bCs/>
          <w:sz w:val="28"/>
          <w:szCs w:val="28"/>
        </w:rPr>
        <w:t xml:space="preserve">Nonreportable </w:t>
      </w: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Losses</w:t>
      </w:r>
    </w:p>
    <w:p w14:paraId="3E069EF4" w14:textId="77777777" w:rsidR="00E71F9D" w:rsidRPr="0066085C" w:rsidRDefault="00E71F9D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1F0CBE46" w14:textId="77777777" w:rsidR="00E71F9D" w:rsidRPr="0066085C" w:rsidRDefault="001511BB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  <w:r w:rsidRPr="0066085C">
        <w:rPr>
          <w:rFonts w:ascii="Sans Serif Collection" w:hAnsi="Sans Serif Collection" w:cs="Sans Serif Collection"/>
          <w:sz w:val="28"/>
          <w:szCs w:val="28"/>
        </w:rPr>
        <w:t>Unless otherwise noted above,</w:t>
      </w: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 xml:space="preserve"> i</w:t>
      </w:r>
      <w:r w:rsidR="00E71F9D"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nsignificant losses</w:t>
      </w:r>
      <w:r w:rsidR="00E71F9D" w:rsidRPr="0066085C">
        <w:rPr>
          <w:rFonts w:ascii="Sans Serif Collection" w:hAnsi="Sans Serif Collection" w:cs="Sans Serif Collection"/>
          <w:sz w:val="28"/>
          <w:szCs w:val="28"/>
        </w:rPr>
        <w:t xml:space="preserve"> do not require reporting. Losses determined to be insignificant after internal investigation must be documented onsite (e.g., logbook, electronic log) and tracked for adverse trending.</w:t>
      </w:r>
    </w:p>
    <w:p w14:paraId="46EC4FC8" w14:textId="77777777" w:rsidR="009C2406" w:rsidRPr="0066085C" w:rsidRDefault="009C2406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</w:p>
    <w:p w14:paraId="72BD8904" w14:textId="77777777" w:rsidR="00C04785" w:rsidRPr="0066085C" w:rsidRDefault="001511BB" w:rsidP="006B2528">
      <w:pPr>
        <w:spacing w:line="120" w:lineRule="auto"/>
        <w:contextualSpacing/>
        <w:jc w:val="both"/>
        <w:rPr>
          <w:rFonts w:ascii="Sans Serif Collection" w:hAnsi="Sans Serif Collection" w:cs="Sans Serif Collection"/>
          <w:sz w:val="28"/>
          <w:szCs w:val="28"/>
        </w:rPr>
      </w:pPr>
      <w:r w:rsidRPr="0066085C">
        <w:rPr>
          <w:rFonts w:ascii="Sans Serif Collection" w:hAnsi="Sans Serif Collection" w:cs="Sans Serif Collection"/>
          <w:sz w:val="28"/>
          <w:szCs w:val="28"/>
        </w:rPr>
        <w:t xml:space="preserve">Regardless of drug schedule, </w:t>
      </w:r>
      <w:r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l</w:t>
      </w:r>
      <w:r w:rsidR="00E71F9D" w:rsidRPr="0066085C">
        <w:rPr>
          <w:rFonts w:ascii="Sans Serif Collection" w:hAnsi="Sans Serif Collection" w:cs="Sans Serif Collection"/>
          <w:b/>
          <w:bCs/>
          <w:sz w:val="28"/>
          <w:szCs w:val="28"/>
        </w:rPr>
        <w:t>osses that result from a confirmed dispensing error</w:t>
      </w:r>
      <w:r w:rsidR="00E71F9D" w:rsidRPr="0066085C">
        <w:rPr>
          <w:rFonts w:ascii="Sans Serif Collection" w:hAnsi="Sans Serif Collection" w:cs="Sans Serif Collection"/>
          <w:sz w:val="28"/>
          <w:szCs w:val="28"/>
        </w:rPr>
        <w:t xml:space="preserve"> do not have to be reported. However, the pharmacy must comply with all requirements of </w:t>
      </w:r>
      <w:hyperlink r:id="rId19" w:history="1">
        <w:r w:rsidR="00E71F9D" w:rsidRPr="0066085C">
          <w:rPr>
            <w:rStyle w:val="Hyperlink"/>
            <w:rFonts w:ascii="Sans Serif Collection" w:hAnsi="Sans Serif Collection" w:cs="Sans Serif Collection"/>
            <w:sz w:val="28"/>
            <w:szCs w:val="28"/>
          </w:rPr>
          <w:t xml:space="preserve">247 CMR 15.00: </w:t>
        </w:r>
        <w:r w:rsidR="00E71F9D" w:rsidRPr="0066085C">
          <w:rPr>
            <w:rStyle w:val="Hyperlink"/>
            <w:rFonts w:ascii="Sans Serif Collection" w:hAnsi="Sans Serif Collection" w:cs="Sans Serif Collection"/>
            <w:i/>
            <w:iCs/>
            <w:sz w:val="28"/>
            <w:szCs w:val="28"/>
          </w:rPr>
          <w:t>Continuous Quality Improvement Program</w:t>
        </w:r>
      </w:hyperlink>
      <w:r w:rsidR="00C04785" w:rsidRPr="0066085C">
        <w:rPr>
          <w:rFonts w:ascii="Sans Serif Collection" w:hAnsi="Sans Serif Collection" w:cs="Sans Serif Collection"/>
          <w:color w:val="0000FF"/>
          <w:sz w:val="28"/>
          <w:szCs w:val="28"/>
        </w:rPr>
        <w:t>.</w:t>
      </w:r>
    </w:p>
    <w:p w14:paraId="6C3E44BA" w14:textId="77777777" w:rsidR="00DB5479" w:rsidRDefault="00DB5479" w:rsidP="006B2528">
      <w:pPr>
        <w:spacing w:line="120" w:lineRule="auto"/>
        <w:jc w:val="both"/>
        <w:rPr>
          <w:rFonts w:ascii="Sans Serif Collection" w:hAnsi="Sans Serif Collection" w:cs="Sans Serif Collection"/>
          <w:bCs/>
          <w:sz w:val="28"/>
          <w:szCs w:val="28"/>
        </w:rPr>
      </w:pPr>
    </w:p>
    <w:p w14:paraId="2745E696" w14:textId="346400BF" w:rsidR="006326B5" w:rsidRPr="006326B5" w:rsidRDefault="006326B5" w:rsidP="006326B5">
      <w:pPr>
        <w:spacing w:line="120" w:lineRule="auto"/>
        <w:jc w:val="both"/>
        <w:rPr>
          <w:rFonts w:ascii="Sans Serif Collection" w:hAnsi="Sans Serif Collection" w:cs="Sans Serif Collection"/>
          <w:b/>
          <w:bCs/>
          <w:sz w:val="28"/>
          <w:szCs w:val="28"/>
        </w:rPr>
      </w:pPr>
      <w:r w:rsidRPr="006326B5">
        <w:rPr>
          <w:rFonts w:ascii="Sans Serif Collection" w:hAnsi="Sans Serif Collection" w:cs="Sans Serif Collection"/>
          <w:b/>
          <w:bCs/>
          <w:sz w:val="28"/>
          <w:szCs w:val="28"/>
        </w:rPr>
        <w:t>Supersedes Policy 20</w:t>
      </w:r>
      <w:r>
        <w:rPr>
          <w:rFonts w:ascii="Sans Serif Collection" w:hAnsi="Sans Serif Collection" w:cs="Sans Serif Collection"/>
          <w:b/>
          <w:bCs/>
          <w:sz w:val="28"/>
          <w:szCs w:val="28"/>
        </w:rPr>
        <w:t>22</w:t>
      </w:r>
      <w:r w:rsidRPr="006326B5">
        <w:rPr>
          <w:rFonts w:ascii="Sans Serif Collection" w:hAnsi="Sans Serif Collection" w:cs="Sans Serif Collection"/>
          <w:b/>
          <w:bCs/>
          <w:sz w:val="28"/>
          <w:szCs w:val="28"/>
        </w:rPr>
        <w:t>-</w:t>
      </w:r>
      <w:r>
        <w:rPr>
          <w:rFonts w:ascii="Sans Serif Collection" w:hAnsi="Sans Serif Collection" w:cs="Sans Serif Collection"/>
          <w:b/>
          <w:bCs/>
          <w:sz w:val="28"/>
          <w:szCs w:val="28"/>
        </w:rPr>
        <w:t>01</w:t>
      </w:r>
    </w:p>
    <w:p w14:paraId="2BDF9187" w14:textId="77777777" w:rsidR="00DB5479" w:rsidRPr="0066085C" w:rsidRDefault="00DB5479" w:rsidP="006B2528">
      <w:pPr>
        <w:spacing w:line="120" w:lineRule="auto"/>
        <w:jc w:val="both"/>
        <w:rPr>
          <w:rFonts w:ascii="Sans Serif Collection" w:hAnsi="Sans Serif Collection" w:cs="Sans Serif Collection"/>
          <w:bCs/>
          <w:sz w:val="28"/>
          <w:szCs w:val="28"/>
        </w:rPr>
      </w:pPr>
    </w:p>
    <w:p w14:paraId="3ADEA88F" w14:textId="77777777" w:rsidR="00B97455" w:rsidRPr="0066085C" w:rsidRDefault="00DB5479" w:rsidP="006B2528">
      <w:pPr>
        <w:spacing w:line="120" w:lineRule="auto"/>
        <w:jc w:val="both"/>
        <w:rPr>
          <w:rFonts w:ascii="Sans Serif Collection" w:hAnsi="Sans Serif Collection" w:cs="Sans Serif Collection"/>
          <w:b/>
          <w:sz w:val="28"/>
          <w:szCs w:val="28"/>
        </w:rPr>
      </w:pPr>
      <w:r w:rsidRPr="0066085C">
        <w:rPr>
          <w:rFonts w:ascii="Sans Serif Collection" w:hAnsi="Sans Serif Collection" w:cs="Sans Serif Collection"/>
          <w:b/>
          <w:sz w:val="28"/>
          <w:szCs w:val="28"/>
        </w:rPr>
        <w:t xml:space="preserve">Please direct any questions to: </w:t>
      </w:r>
      <w:hyperlink r:id="rId20" w:history="1">
        <w:r w:rsidRPr="0066085C">
          <w:rPr>
            <w:rStyle w:val="Hyperlink"/>
            <w:rFonts w:ascii="Sans Serif Collection" w:hAnsi="Sans Serif Collection" w:cs="Sans Serif Collection"/>
            <w:b/>
            <w:sz w:val="28"/>
            <w:szCs w:val="28"/>
          </w:rPr>
          <w:t>DHPL-OPP.ADMIN@mass.gov</w:t>
        </w:r>
      </w:hyperlink>
    </w:p>
    <w:p w14:paraId="0AF5387D" w14:textId="77777777" w:rsidR="002E4A2A" w:rsidRPr="00DC3D58" w:rsidRDefault="002E4A2A" w:rsidP="006B2528">
      <w:pPr>
        <w:spacing w:line="120" w:lineRule="auto"/>
        <w:jc w:val="both"/>
        <w:rPr>
          <w:rFonts w:ascii="Sans Serif Collection" w:eastAsia="MS Mincho" w:hAnsi="Sans Serif Collection" w:cs="Sans Serif Collection"/>
          <w:sz w:val="32"/>
          <w:szCs w:val="32"/>
          <w:lang w:eastAsia="ja-JP"/>
        </w:rPr>
      </w:pPr>
    </w:p>
    <w:sectPr w:rsidR="002E4A2A" w:rsidRPr="00DC3D58">
      <w:foot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1CE4" w14:textId="77777777" w:rsidR="00D77281" w:rsidRDefault="00D77281" w:rsidP="0002678F">
      <w:r>
        <w:separator/>
      </w:r>
    </w:p>
  </w:endnote>
  <w:endnote w:type="continuationSeparator" w:id="0">
    <w:p w14:paraId="2FE6EE19" w14:textId="77777777" w:rsidR="00D77281" w:rsidRDefault="00D77281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0ADD" w14:textId="46647C0F" w:rsidR="0002678F" w:rsidRPr="006B2528" w:rsidRDefault="0002678F">
    <w:pPr>
      <w:pStyle w:val="Footer"/>
      <w:rPr>
        <w:rFonts w:ascii="Sans Serif Collection" w:hAnsi="Sans Serif Collection" w:cs="Sans Serif Collection"/>
      </w:rPr>
    </w:pPr>
    <w:r w:rsidRPr="006B2528">
      <w:rPr>
        <w:rFonts w:ascii="Sans Serif Collection" w:hAnsi="Sans Serif Collection" w:cs="Sans Serif Collection"/>
      </w:rPr>
      <w:t>Adopted</w:t>
    </w:r>
    <w:r w:rsidR="00F264C0" w:rsidRPr="006B2528">
      <w:rPr>
        <w:rFonts w:ascii="Sans Serif Collection" w:hAnsi="Sans Serif Collection" w:cs="Sans Serif Collection"/>
      </w:rPr>
      <w:t xml:space="preserve">: </w:t>
    </w:r>
    <w:r w:rsidR="004B6BC5">
      <w:rPr>
        <w:rFonts w:ascii="Sans Serif Collection" w:hAnsi="Sans Serif Collection" w:cs="Sans Serif Collection"/>
      </w:rPr>
      <w:t>3/26/26</w:t>
    </w:r>
    <w:r w:rsidRPr="006B2528">
      <w:rPr>
        <w:rFonts w:ascii="Sans Serif Collection" w:hAnsi="Sans Serif Collection" w:cs="Sans Serif Collection"/>
      </w:rPr>
      <w:tab/>
    </w:r>
    <w:r w:rsidRPr="006B2528">
      <w:rPr>
        <w:rFonts w:ascii="Sans Serif Collection" w:hAnsi="Sans Serif Collection" w:cs="Sans Serif Collection"/>
      </w:rPr>
      <w:tab/>
      <w:t xml:space="preserve">Page </w:t>
    </w:r>
    <w:r w:rsidRPr="006B2528">
      <w:rPr>
        <w:rFonts w:ascii="Sans Serif Collection" w:hAnsi="Sans Serif Collection" w:cs="Sans Serif Collection"/>
        <w:b/>
      </w:rPr>
      <w:fldChar w:fldCharType="begin"/>
    </w:r>
    <w:r w:rsidRPr="006B2528">
      <w:rPr>
        <w:rFonts w:ascii="Sans Serif Collection" w:hAnsi="Sans Serif Collection" w:cs="Sans Serif Collection"/>
        <w:b/>
      </w:rPr>
      <w:instrText xml:space="preserve"> PAGE  \* Arabic  \* MERGEFORMAT </w:instrText>
    </w:r>
    <w:r w:rsidRPr="006B2528">
      <w:rPr>
        <w:rFonts w:ascii="Sans Serif Collection" w:hAnsi="Sans Serif Collection" w:cs="Sans Serif Collection"/>
        <w:b/>
      </w:rPr>
      <w:fldChar w:fldCharType="separate"/>
    </w:r>
    <w:r w:rsidR="00587CC6" w:rsidRPr="006B2528">
      <w:rPr>
        <w:rFonts w:ascii="Sans Serif Collection" w:hAnsi="Sans Serif Collection" w:cs="Sans Serif Collection"/>
        <w:b/>
        <w:noProof/>
      </w:rPr>
      <w:t>1</w:t>
    </w:r>
    <w:r w:rsidRPr="006B2528">
      <w:rPr>
        <w:rFonts w:ascii="Sans Serif Collection" w:hAnsi="Sans Serif Collection" w:cs="Sans Serif Collection"/>
        <w:b/>
      </w:rPr>
      <w:fldChar w:fldCharType="end"/>
    </w:r>
    <w:r w:rsidRPr="006B2528">
      <w:rPr>
        <w:rFonts w:ascii="Sans Serif Collection" w:hAnsi="Sans Serif Collection" w:cs="Sans Serif Collection"/>
      </w:rPr>
      <w:t xml:space="preserve"> of </w:t>
    </w:r>
    <w:r w:rsidRPr="006B2528">
      <w:rPr>
        <w:rFonts w:ascii="Sans Serif Collection" w:hAnsi="Sans Serif Collection" w:cs="Sans Serif Collection"/>
        <w:b/>
      </w:rPr>
      <w:fldChar w:fldCharType="begin"/>
    </w:r>
    <w:r w:rsidRPr="006B2528">
      <w:rPr>
        <w:rFonts w:ascii="Sans Serif Collection" w:hAnsi="Sans Serif Collection" w:cs="Sans Serif Collection"/>
        <w:b/>
      </w:rPr>
      <w:instrText xml:space="preserve"> NUMPAGES  \* Arabic  \* MERGEFORMAT </w:instrText>
    </w:r>
    <w:r w:rsidRPr="006B2528">
      <w:rPr>
        <w:rFonts w:ascii="Sans Serif Collection" w:hAnsi="Sans Serif Collection" w:cs="Sans Serif Collection"/>
        <w:b/>
      </w:rPr>
      <w:fldChar w:fldCharType="separate"/>
    </w:r>
    <w:r w:rsidR="00587CC6" w:rsidRPr="006B2528">
      <w:rPr>
        <w:rFonts w:ascii="Sans Serif Collection" w:hAnsi="Sans Serif Collection" w:cs="Sans Serif Collection"/>
        <w:b/>
        <w:noProof/>
      </w:rPr>
      <w:t>1</w:t>
    </w:r>
    <w:r w:rsidRPr="006B2528">
      <w:rPr>
        <w:rFonts w:ascii="Sans Serif Collection" w:hAnsi="Sans Serif Collection" w:cs="Sans Serif Collection"/>
        <w:b/>
      </w:rPr>
      <w:fldChar w:fldCharType="end"/>
    </w:r>
    <w:r w:rsidRPr="006B2528">
      <w:rPr>
        <w:rFonts w:ascii="Sans Serif Collection" w:hAnsi="Sans Serif Collection" w:cs="Sans Serif Collectio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361D" w14:textId="77777777" w:rsidR="00D77281" w:rsidRDefault="00D77281" w:rsidP="0002678F">
      <w:r>
        <w:separator/>
      </w:r>
    </w:p>
  </w:footnote>
  <w:footnote w:type="continuationSeparator" w:id="0">
    <w:p w14:paraId="7E5DE395" w14:textId="77777777" w:rsidR="00D77281" w:rsidRDefault="00D77281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23A"/>
    <w:multiLevelType w:val="hybridMultilevel"/>
    <w:tmpl w:val="23F0FF9E"/>
    <w:lvl w:ilvl="0" w:tplc="EAA428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31806"/>
    <w:multiLevelType w:val="hybridMultilevel"/>
    <w:tmpl w:val="07BE4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A88"/>
    <w:multiLevelType w:val="hybridMultilevel"/>
    <w:tmpl w:val="BACE2BA2"/>
    <w:lvl w:ilvl="0" w:tplc="A9F6D9D8">
      <w:start w:val="1"/>
      <w:numFmt w:val="decimal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F6CB1"/>
    <w:multiLevelType w:val="hybridMultilevel"/>
    <w:tmpl w:val="781A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0003B"/>
    <w:multiLevelType w:val="hybridMultilevel"/>
    <w:tmpl w:val="DC1822CA"/>
    <w:lvl w:ilvl="0" w:tplc="B8B0D4D0">
      <w:start w:val="1"/>
      <w:numFmt w:val="decimal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4041"/>
    <w:multiLevelType w:val="hybridMultilevel"/>
    <w:tmpl w:val="29E249C4"/>
    <w:lvl w:ilvl="0" w:tplc="0409000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93E62"/>
    <w:multiLevelType w:val="hybridMultilevel"/>
    <w:tmpl w:val="E81AE1A6"/>
    <w:lvl w:ilvl="0" w:tplc="1EAAC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E181E"/>
    <w:multiLevelType w:val="hybridMultilevel"/>
    <w:tmpl w:val="CBE82D66"/>
    <w:lvl w:ilvl="0" w:tplc="9714759E">
      <w:start w:val="1"/>
      <w:numFmt w:val="decimal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E255A"/>
    <w:multiLevelType w:val="hybridMultilevel"/>
    <w:tmpl w:val="A6466A4A"/>
    <w:lvl w:ilvl="0" w:tplc="9BF8FC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3" w15:restartNumberingAfterBreak="0">
    <w:nsid w:val="56385B0D"/>
    <w:multiLevelType w:val="hybridMultilevel"/>
    <w:tmpl w:val="E46CB6B6"/>
    <w:lvl w:ilvl="0" w:tplc="F108739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21C3D"/>
    <w:multiLevelType w:val="hybridMultilevel"/>
    <w:tmpl w:val="85F225F2"/>
    <w:lvl w:ilvl="0" w:tplc="3B86EEE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C258E3"/>
    <w:multiLevelType w:val="hybridMultilevel"/>
    <w:tmpl w:val="F842A2FC"/>
    <w:lvl w:ilvl="0" w:tplc="2EB2BDA2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88031A2"/>
    <w:multiLevelType w:val="hybridMultilevel"/>
    <w:tmpl w:val="9BF6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66379"/>
    <w:multiLevelType w:val="hybridMultilevel"/>
    <w:tmpl w:val="D5C0C5C2"/>
    <w:lvl w:ilvl="0" w:tplc="4A727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1F0237"/>
    <w:multiLevelType w:val="hybridMultilevel"/>
    <w:tmpl w:val="6F28E848"/>
    <w:lvl w:ilvl="0" w:tplc="96920D0E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331A1"/>
    <w:multiLevelType w:val="hybridMultilevel"/>
    <w:tmpl w:val="77B82B20"/>
    <w:lvl w:ilvl="0" w:tplc="CA8E271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340397"/>
    <w:multiLevelType w:val="hybridMultilevel"/>
    <w:tmpl w:val="AFA60DDA"/>
    <w:lvl w:ilvl="0" w:tplc="1EAAC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2845"/>
    <w:multiLevelType w:val="hybridMultilevel"/>
    <w:tmpl w:val="9E1C421E"/>
    <w:lvl w:ilvl="0" w:tplc="AB102158">
      <w:start w:val="1"/>
      <w:numFmt w:val="lowerLetter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2549036">
    <w:abstractNumId w:val="7"/>
  </w:num>
  <w:num w:numId="2" w16cid:durableId="34429044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41855">
    <w:abstractNumId w:val="5"/>
  </w:num>
  <w:num w:numId="4" w16cid:durableId="1777822450">
    <w:abstractNumId w:val="14"/>
  </w:num>
  <w:num w:numId="5" w16cid:durableId="204488470">
    <w:abstractNumId w:val="10"/>
  </w:num>
  <w:num w:numId="6" w16cid:durableId="1778216632">
    <w:abstractNumId w:val="1"/>
  </w:num>
  <w:num w:numId="7" w16cid:durableId="1538277130">
    <w:abstractNumId w:val="3"/>
  </w:num>
  <w:num w:numId="8" w16cid:durableId="418020559">
    <w:abstractNumId w:val="9"/>
  </w:num>
  <w:num w:numId="9" w16cid:durableId="1521626661">
    <w:abstractNumId w:val="17"/>
  </w:num>
  <w:num w:numId="10" w16cid:durableId="1902213320">
    <w:abstractNumId w:val="21"/>
  </w:num>
  <w:num w:numId="11" w16cid:durableId="1778594411">
    <w:abstractNumId w:val="0"/>
  </w:num>
  <w:num w:numId="12" w16cid:durableId="2076733536">
    <w:abstractNumId w:val="12"/>
  </w:num>
  <w:num w:numId="13" w16cid:durableId="1573731596">
    <w:abstractNumId w:val="22"/>
  </w:num>
  <w:num w:numId="14" w16cid:durableId="823157069">
    <w:abstractNumId w:val="13"/>
  </w:num>
  <w:num w:numId="15" w16cid:durableId="2139062044">
    <w:abstractNumId w:val="2"/>
  </w:num>
  <w:num w:numId="16" w16cid:durableId="888611354">
    <w:abstractNumId w:val="16"/>
  </w:num>
  <w:num w:numId="17" w16cid:durableId="103422163">
    <w:abstractNumId w:val="11"/>
  </w:num>
  <w:num w:numId="18" w16cid:durableId="167524233">
    <w:abstractNumId w:val="6"/>
  </w:num>
  <w:num w:numId="19" w16cid:durableId="1017655468">
    <w:abstractNumId w:val="19"/>
  </w:num>
  <w:num w:numId="20" w16cid:durableId="1975714277">
    <w:abstractNumId w:val="18"/>
  </w:num>
  <w:num w:numId="21" w16cid:durableId="1281911475">
    <w:abstractNumId w:val="8"/>
  </w:num>
  <w:num w:numId="22" w16cid:durableId="513417093">
    <w:abstractNumId w:val="20"/>
  </w:num>
  <w:num w:numId="23" w16cid:durableId="1866870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9"/>
    <w:rsid w:val="00004935"/>
    <w:rsid w:val="0001444D"/>
    <w:rsid w:val="000222AF"/>
    <w:rsid w:val="0002678F"/>
    <w:rsid w:val="00032E1D"/>
    <w:rsid w:val="00042048"/>
    <w:rsid w:val="000454DE"/>
    <w:rsid w:val="000537DA"/>
    <w:rsid w:val="000547EB"/>
    <w:rsid w:val="000566B3"/>
    <w:rsid w:val="00057EA1"/>
    <w:rsid w:val="000662DA"/>
    <w:rsid w:val="00070F45"/>
    <w:rsid w:val="00071671"/>
    <w:rsid w:val="00080AEA"/>
    <w:rsid w:val="000873BD"/>
    <w:rsid w:val="00094AC2"/>
    <w:rsid w:val="0009664D"/>
    <w:rsid w:val="000A1463"/>
    <w:rsid w:val="000A726E"/>
    <w:rsid w:val="000C2A68"/>
    <w:rsid w:val="000C381A"/>
    <w:rsid w:val="000C5B1F"/>
    <w:rsid w:val="000C72E0"/>
    <w:rsid w:val="000D1AB7"/>
    <w:rsid w:val="000D7A6F"/>
    <w:rsid w:val="000E1D35"/>
    <w:rsid w:val="000F315B"/>
    <w:rsid w:val="000F6E1A"/>
    <w:rsid w:val="000F76E5"/>
    <w:rsid w:val="00104ADE"/>
    <w:rsid w:val="00150836"/>
    <w:rsid w:val="001511BB"/>
    <w:rsid w:val="0015268B"/>
    <w:rsid w:val="001528CF"/>
    <w:rsid w:val="00152F6A"/>
    <w:rsid w:val="001536FE"/>
    <w:rsid w:val="00156769"/>
    <w:rsid w:val="0017495E"/>
    <w:rsid w:val="0017574A"/>
    <w:rsid w:val="00177701"/>
    <w:rsid w:val="00177C77"/>
    <w:rsid w:val="00190001"/>
    <w:rsid w:val="00191674"/>
    <w:rsid w:val="00196A7F"/>
    <w:rsid w:val="001A0178"/>
    <w:rsid w:val="001A58EF"/>
    <w:rsid w:val="001B221A"/>
    <w:rsid w:val="001C7E9B"/>
    <w:rsid w:val="001E11C9"/>
    <w:rsid w:val="001E43ED"/>
    <w:rsid w:val="001F0754"/>
    <w:rsid w:val="002032E7"/>
    <w:rsid w:val="0021089B"/>
    <w:rsid w:val="0021686E"/>
    <w:rsid w:val="0022252B"/>
    <w:rsid w:val="002247AC"/>
    <w:rsid w:val="00226370"/>
    <w:rsid w:val="002301F2"/>
    <w:rsid w:val="00236406"/>
    <w:rsid w:val="00245CD5"/>
    <w:rsid w:val="00245E79"/>
    <w:rsid w:val="00257059"/>
    <w:rsid w:val="0026466B"/>
    <w:rsid w:val="00276957"/>
    <w:rsid w:val="00276DCC"/>
    <w:rsid w:val="00290D45"/>
    <w:rsid w:val="00290DC9"/>
    <w:rsid w:val="002965F6"/>
    <w:rsid w:val="002968C1"/>
    <w:rsid w:val="002A04ED"/>
    <w:rsid w:val="002A4DEE"/>
    <w:rsid w:val="002C5212"/>
    <w:rsid w:val="002D6BD4"/>
    <w:rsid w:val="002E2149"/>
    <w:rsid w:val="002E4A2A"/>
    <w:rsid w:val="00314F0C"/>
    <w:rsid w:val="003166B6"/>
    <w:rsid w:val="003224E9"/>
    <w:rsid w:val="00323E33"/>
    <w:rsid w:val="00347519"/>
    <w:rsid w:val="00354739"/>
    <w:rsid w:val="00354BEE"/>
    <w:rsid w:val="00363577"/>
    <w:rsid w:val="00363F4E"/>
    <w:rsid w:val="003651DA"/>
    <w:rsid w:val="00367C13"/>
    <w:rsid w:val="00371150"/>
    <w:rsid w:val="003754CF"/>
    <w:rsid w:val="00377B8B"/>
    <w:rsid w:val="00383F73"/>
    <w:rsid w:val="003842B2"/>
    <w:rsid w:val="00385812"/>
    <w:rsid w:val="00392D0B"/>
    <w:rsid w:val="003A1CA9"/>
    <w:rsid w:val="003A7AFC"/>
    <w:rsid w:val="003B1EE6"/>
    <w:rsid w:val="003B45FF"/>
    <w:rsid w:val="003C60EF"/>
    <w:rsid w:val="003C74B8"/>
    <w:rsid w:val="003E52C1"/>
    <w:rsid w:val="003E5513"/>
    <w:rsid w:val="003F6E11"/>
    <w:rsid w:val="003F72A1"/>
    <w:rsid w:val="004472D3"/>
    <w:rsid w:val="004538B1"/>
    <w:rsid w:val="00471BFF"/>
    <w:rsid w:val="004724CD"/>
    <w:rsid w:val="0047422F"/>
    <w:rsid w:val="004748FE"/>
    <w:rsid w:val="0047574A"/>
    <w:rsid w:val="004813AC"/>
    <w:rsid w:val="00495A0D"/>
    <w:rsid w:val="004A67B0"/>
    <w:rsid w:val="004A688B"/>
    <w:rsid w:val="004B080D"/>
    <w:rsid w:val="004B37A0"/>
    <w:rsid w:val="004B4056"/>
    <w:rsid w:val="004B4DCB"/>
    <w:rsid w:val="004B6BC5"/>
    <w:rsid w:val="004C1611"/>
    <w:rsid w:val="004C5F49"/>
    <w:rsid w:val="004D2DFB"/>
    <w:rsid w:val="004D475F"/>
    <w:rsid w:val="004D547E"/>
    <w:rsid w:val="004D6B39"/>
    <w:rsid w:val="004D7143"/>
    <w:rsid w:val="004F1048"/>
    <w:rsid w:val="004F5FEB"/>
    <w:rsid w:val="00503F21"/>
    <w:rsid w:val="00511D09"/>
    <w:rsid w:val="00524AC9"/>
    <w:rsid w:val="00524D12"/>
    <w:rsid w:val="00540E33"/>
    <w:rsid w:val="00542A13"/>
    <w:rsid w:val="005433BE"/>
    <w:rsid w:val="005448AA"/>
    <w:rsid w:val="0054669D"/>
    <w:rsid w:val="00560112"/>
    <w:rsid w:val="005711A1"/>
    <w:rsid w:val="00571354"/>
    <w:rsid w:val="00587CC6"/>
    <w:rsid w:val="005A3BA0"/>
    <w:rsid w:val="005A4978"/>
    <w:rsid w:val="005B2F6B"/>
    <w:rsid w:val="005B3B19"/>
    <w:rsid w:val="005C34F6"/>
    <w:rsid w:val="005D46F9"/>
    <w:rsid w:val="005E196F"/>
    <w:rsid w:val="005E1C6E"/>
    <w:rsid w:val="005F1BAD"/>
    <w:rsid w:val="005F416C"/>
    <w:rsid w:val="005F60F0"/>
    <w:rsid w:val="00613AA0"/>
    <w:rsid w:val="00616995"/>
    <w:rsid w:val="00630786"/>
    <w:rsid w:val="006314B4"/>
    <w:rsid w:val="006326B5"/>
    <w:rsid w:val="00643546"/>
    <w:rsid w:val="006449B6"/>
    <w:rsid w:val="0066085C"/>
    <w:rsid w:val="006611C0"/>
    <w:rsid w:val="0067771F"/>
    <w:rsid w:val="0068376F"/>
    <w:rsid w:val="00695679"/>
    <w:rsid w:val="00697DE5"/>
    <w:rsid w:val="006B2528"/>
    <w:rsid w:val="006B6F19"/>
    <w:rsid w:val="006C0266"/>
    <w:rsid w:val="006D06D9"/>
    <w:rsid w:val="006D39EA"/>
    <w:rsid w:val="006D6062"/>
    <w:rsid w:val="006D6C98"/>
    <w:rsid w:val="006D77A6"/>
    <w:rsid w:val="006D7A39"/>
    <w:rsid w:val="006E02ED"/>
    <w:rsid w:val="006E3ACF"/>
    <w:rsid w:val="006E46B7"/>
    <w:rsid w:val="006F1EA1"/>
    <w:rsid w:val="00702109"/>
    <w:rsid w:val="00702648"/>
    <w:rsid w:val="00702956"/>
    <w:rsid w:val="007069B5"/>
    <w:rsid w:val="00714203"/>
    <w:rsid w:val="00715A6D"/>
    <w:rsid w:val="0072610D"/>
    <w:rsid w:val="00730CAC"/>
    <w:rsid w:val="007403DD"/>
    <w:rsid w:val="00752804"/>
    <w:rsid w:val="007531D6"/>
    <w:rsid w:val="0075608E"/>
    <w:rsid w:val="00765A0A"/>
    <w:rsid w:val="00772245"/>
    <w:rsid w:val="00776CC4"/>
    <w:rsid w:val="00792D70"/>
    <w:rsid w:val="00793EB8"/>
    <w:rsid w:val="007945CE"/>
    <w:rsid w:val="00797D75"/>
    <w:rsid w:val="007A51C7"/>
    <w:rsid w:val="007A5EE7"/>
    <w:rsid w:val="007A6265"/>
    <w:rsid w:val="007B2199"/>
    <w:rsid w:val="007B3F4B"/>
    <w:rsid w:val="007B5634"/>
    <w:rsid w:val="007B7347"/>
    <w:rsid w:val="007C0D44"/>
    <w:rsid w:val="007D10F3"/>
    <w:rsid w:val="007D11A8"/>
    <w:rsid w:val="007D504C"/>
    <w:rsid w:val="007E1678"/>
    <w:rsid w:val="007E38FF"/>
    <w:rsid w:val="007F59AA"/>
    <w:rsid w:val="007F6E8A"/>
    <w:rsid w:val="00811281"/>
    <w:rsid w:val="00816741"/>
    <w:rsid w:val="008377DA"/>
    <w:rsid w:val="00856D80"/>
    <w:rsid w:val="00883759"/>
    <w:rsid w:val="00886A27"/>
    <w:rsid w:val="008971B1"/>
    <w:rsid w:val="008B1B78"/>
    <w:rsid w:val="008B37B9"/>
    <w:rsid w:val="008B61F0"/>
    <w:rsid w:val="008B7E4F"/>
    <w:rsid w:val="008C67E0"/>
    <w:rsid w:val="008D336D"/>
    <w:rsid w:val="008D5BD1"/>
    <w:rsid w:val="008E2758"/>
    <w:rsid w:val="00900EAB"/>
    <w:rsid w:val="00904974"/>
    <w:rsid w:val="009169FD"/>
    <w:rsid w:val="0092341B"/>
    <w:rsid w:val="0092456D"/>
    <w:rsid w:val="00925D8B"/>
    <w:rsid w:val="0093441D"/>
    <w:rsid w:val="00966633"/>
    <w:rsid w:val="00977A5B"/>
    <w:rsid w:val="0098036F"/>
    <w:rsid w:val="009829BD"/>
    <w:rsid w:val="0099049D"/>
    <w:rsid w:val="009904C5"/>
    <w:rsid w:val="009908FF"/>
    <w:rsid w:val="009916D4"/>
    <w:rsid w:val="00991EA9"/>
    <w:rsid w:val="00995505"/>
    <w:rsid w:val="009A3EEB"/>
    <w:rsid w:val="009A4C96"/>
    <w:rsid w:val="009B06CD"/>
    <w:rsid w:val="009C2406"/>
    <w:rsid w:val="009C5C38"/>
    <w:rsid w:val="009C7474"/>
    <w:rsid w:val="009C7598"/>
    <w:rsid w:val="009C78B9"/>
    <w:rsid w:val="009E1E6C"/>
    <w:rsid w:val="009F0F13"/>
    <w:rsid w:val="00A01A23"/>
    <w:rsid w:val="00A05A33"/>
    <w:rsid w:val="00A13771"/>
    <w:rsid w:val="00A213AA"/>
    <w:rsid w:val="00A32588"/>
    <w:rsid w:val="00A42770"/>
    <w:rsid w:val="00A51616"/>
    <w:rsid w:val="00A51688"/>
    <w:rsid w:val="00A61CFB"/>
    <w:rsid w:val="00A65101"/>
    <w:rsid w:val="00A72AF0"/>
    <w:rsid w:val="00AA07D5"/>
    <w:rsid w:val="00AA0CED"/>
    <w:rsid w:val="00AA68C8"/>
    <w:rsid w:val="00AB0535"/>
    <w:rsid w:val="00AB1E6E"/>
    <w:rsid w:val="00AB7359"/>
    <w:rsid w:val="00AC42BA"/>
    <w:rsid w:val="00AD14FA"/>
    <w:rsid w:val="00AD3450"/>
    <w:rsid w:val="00AD4F86"/>
    <w:rsid w:val="00B01DB5"/>
    <w:rsid w:val="00B03EF1"/>
    <w:rsid w:val="00B0770D"/>
    <w:rsid w:val="00B403BF"/>
    <w:rsid w:val="00B46409"/>
    <w:rsid w:val="00B5356C"/>
    <w:rsid w:val="00B608D9"/>
    <w:rsid w:val="00B6181E"/>
    <w:rsid w:val="00B619C4"/>
    <w:rsid w:val="00B76796"/>
    <w:rsid w:val="00B77BDD"/>
    <w:rsid w:val="00B82BA5"/>
    <w:rsid w:val="00B97455"/>
    <w:rsid w:val="00BA0FCE"/>
    <w:rsid w:val="00BA4055"/>
    <w:rsid w:val="00BA7FB6"/>
    <w:rsid w:val="00BC25DF"/>
    <w:rsid w:val="00BC6E0B"/>
    <w:rsid w:val="00BE16D3"/>
    <w:rsid w:val="00C024F9"/>
    <w:rsid w:val="00C04785"/>
    <w:rsid w:val="00C0783C"/>
    <w:rsid w:val="00C1650E"/>
    <w:rsid w:val="00C1761E"/>
    <w:rsid w:val="00C20BFE"/>
    <w:rsid w:val="00C220B9"/>
    <w:rsid w:val="00C24DC5"/>
    <w:rsid w:val="00C30E1C"/>
    <w:rsid w:val="00C437A1"/>
    <w:rsid w:val="00C66CFB"/>
    <w:rsid w:val="00C76D25"/>
    <w:rsid w:val="00C77A69"/>
    <w:rsid w:val="00C80A3E"/>
    <w:rsid w:val="00C92F3D"/>
    <w:rsid w:val="00CA06A2"/>
    <w:rsid w:val="00CA107A"/>
    <w:rsid w:val="00CA7CDA"/>
    <w:rsid w:val="00CB0620"/>
    <w:rsid w:val="00CB0A62"/>
    <w:rsid w:val="00CB4DF9"/>
    <w:rsid w:val="00CC1778"/>
    <w:rsid w:val="00CD2865"/>
    <w:rsid w:val="00CD3FF6"/>
    <w:rsid w:val="00CD6B9C"/>
    <w:rsid w:val="00CE1178"/>
    <w:rsid w:val="00CE575B"/>
    <w:rsid w:val="00CE59AE"/>
    <w:rsid w:val="00CF3DE8"/>
    <w:rsid w:val="00D02631"/>
    <w:rsid w:val="00D0493F"/>
    <w:rsid w:val="00D14308"/>
    <w:rsid w:val="00D178CF"/>
    <w:rsid w:val="00D2656A"/>
    <w:rsid w:val="00D34463"/>
    <w:rsid w:val="00D40BB1"/>
    <w:rsid w:val="00D524F3"/>
    <w:rsid w:val="00D56F91"/>
    <w:rsid w:val="00D63612"/>
    <w:rsid w:val="00D77281"/>
    <w:rsid w:val="00D84449"/>
    <w:rsid w:val="00D85BF3"/>
    <w:rsid w:val="00D8671C"/>
    <w:rsid w:val="00D87BB3"/>
    <w:rsid w:val="00DA2D46"/>
    <w:rsid w:val="00DA57C3"/>
    <w:rsid w:val="00DA5B46"/>
    <w:rsid w:val="00DB5479"/>
    <w:rsid w:val="00DC3855"/>
    <w:rsid w:val="00DC3D58"/>
    <w:rsid w:val="00DC5B1B"/>
    <w:rsid w:val="00DD44D0"/>
    <w:rsid w:val="00DE3736"/>
    <w:rsid w:val="00DF1AA4"/>
    <w:rsid w:val="00E1117B"/>
    <w:rsid w:val="00E23B1D"/>
    <w:rsid w:val="00E2475C"/>
    <w:rsid w:val="00E266B3"/>
    <w:rsid w:val="00E274B8"/>
    <w:rsid w:val="00E31B24"/>
    <w:rsid w:val="00E447D7"/>
    <w:rsid w:val="00E45D9D"/>
    <w:rsid w:val="00E532DF"/>
    <w:rsid w:val="00E64E09"/>
    <w:rsid w:val="00E71F9D"/>
    <w:rsid w:val="00E72707"/>
    <w:rsid w:val="00E734CD"/>
    <w:rsid w:val="00E7760F"/>
    <w:rsid w:val="00E85242"/>
    <w:rsid w:val="00E90E31"/>
    <w:rsid w:val="00E95143"/>
    <w:rsid w:val="00EA481C"/>
    <w:rsid w:val="00EB53BB"/>
    <w:rsid w:val="00EC3B44"/>
    <w:rsid w:val="00ED1120"/>
    <w:rsid w:val="00ED48CA"/>
    <w:rsid w:val="00ED5389"/>
    <w:rsid w:val="00ED7F6B"/>
    <w:rsid w:val="00EF0955"/>
    <w:rsid w:val="00EF20BE"/>
    <w:rsid w:val="00EF4BB1"/>
    <w:rsid w:val="00EF6EE9"/>
    <w:rsid w:val="00EF7AC4"/>
    <w:rsid w:val="00F0586E"/>
    <w:rsid w:val="00F05B52"/>
    <w:rsid w:val="00F05CBC"/>
    <w:rsid w:val="00F12D3B"/>
    <w:rsid w:val="00F12D59"/>
    <w:rsid w:val="00F22680"/>
    <w:rsid w:val="00F264C0"/>
    <w:rsid w:val="00F35E1D"/>
    <w:rsid w:val="00F36570"/>
    <w:rsid w:val="00F43932"/>
    <w:rsid w:val="00F56A30"/>
    <w:rsid w:val="00F60E00"/>
    <w:rsid w:val="00F72135"/>
    <w:rsid w:val="00F95512"/>
    <w:rsid w:val="00FA0B82"/>
    <w:rsid w:val="00FB0C90"/>
    <w:rsid w:val="00FB420F"/>
    <w:rsid w:val="00FC108D"/>
    <w:rsid w:val="00FC6B42"/>
    <w:rsid w:val="00FD45C9"/>
    <w:rsid w:val="00FE5032"/>
    <w:rsid w:val="00FE7160"/>
    <w:rsid w:val="00FF0D2C"/>
    <w:rsid w:val="5E981861"/>
    <w:rsid w:val="7717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3C685"/>
  <w15:chartTrackingRefBased/>
  <w15:docId w15:val="{51A51E53-55DB-417B-A41F-C3AD1ABD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styleId="UnresolvedMention">
    <w:name w:val="Unresolved Mention"/>
    <w:uiPriority w:val="99"/>
    <w:semiHidden/>
    <w:unhideWhenUsed/>
    <w:rsid w:val="002E4A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A0A"/>
    <w:rPr>
      <w:sz w:val="24"/>
      <w:lang w:eastAsia="en-US"/>
    </w:rPr>
  </w:style>
  <w:style w:type="character" w:styleId="FollowedHyperlink">
    <w:name w:val="FollowedHyperlink"/>
    <w:rsid w:val="00E85242"/>
    <w:rPr>
      <w:color w:val="954F72"/>
      <w:u w:val="single"/>
    </w:rPr>
  </w:style>
  <w:style w:type="character" w:customStyle="1" w:styleId="cf01">
    <w:name w:val="cf01"/>
    <w:rsid w:val="00347519"/>
    <w:rPr>
      <w:rFonts w:ascii="Segoe UI" w:hAnsi="Segoe UI" w:cs="Segoe UI" w:hint="default"/>
      <w:color w:val="42424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C2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247-cmr-20-reporting/download" TargetMode="External"/><Relationship Id="rId18" Type="http://schemas.openxmlformats.org/officeDocument/2006/relationships/hyperlink" Target="https://www.deadiversion.usdoj.gov/faq/theft-loss-faq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247-cmr-7-wholesale-druggists/download" TargetMode="External"/><Relationship Id="rId17" Type="http://schemas.openxmlformats.org/officeDocument/2006/relationships/hyperlink" Target="https://www.mass.gov/info-details/pharmacy-reporting-and-data-submiss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/TitleXV/Chapter94C/Section3" TargetMode="External"/><Relationship Id="rId20" Type="http://schemas.openxmlformats.org/officeDocument/2006/relationships/hyperlink" Target="mailto:DHPL-OPP.ADMIN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healthprofessionlicensing.mass.gov/public-incident-reports/start/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ss.gov/dph/boards" TargetMode="External"/><Relationship Id="rId19" Type="http://schemas.openxmlformats.org/officeDocument/2006/relationships/hyperlink" Target="https://www.mass.gov/law-library/247-cm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legislature.gov/Laws/GeneralLaws/PartI/TitleXV/Chapter94C/Section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3a1f92bb6d2ddc9ad32a6759e1fde979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f3c8703de4ea6a2c3513955bf0d38ee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C42BC-A609-4545-B5CF-6DB2CB51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49CD7-BC4E-4FF5-AEBF-CF7AE96C3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C583D-4807-4025-8F6D-E5B1571F4B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Westgate, Traci (DPH)</dc:creator>
  <cp:keywords/>
  <cp:lastModifiedBy>Chan, Michelle (DPH)</cp:lastModifiedBy>
  <cp:revision>7</cp:revision>
  <cp:lastPrinted>2015-01-12T17:41:00Z</cp:lastPrinted>
  <dcterms:created xsi:type="dcterms:W3CDTF">2026-03-06T19:27:00Z</dcterms:created>
  <dcterms:modified xsi:type="dcterms:W3CDTF">2026-03-26T17:12:00Z</dcterms:modified>
</cp:coreProperties>
</file>