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2C7" w:rsidRPr="00F672C7" w:rsidRDefault="00E97393" w:rsidP="00F672C7">
      <w:pPr>
        <w:jc w:val="center"/>
        <w:rPr>
          <w:b/>
          <w:bCs/>
          <w:sz w:val="22"/>
          <w:szCs w:val="22"/>
        </w:rPr>
      </w:pPr>
      <w:bookmarkStart w:id="0" w:name="_GoBack"/>
      <w:bookmarkEnd w:id="0"/>
      <w:r>
        <w:rPr>
          <w:b/>
          <w:bCs/>
          <w:sz w:val="22"/>
          <w:szCs w:val="22"/>
        </w:rPr>
        <w:t xml:space="preserve">2019 </w:t>
      </w:r>
      <w:r w:rsidR="004B3DB6">
        <w:rPr>
          <w:b/>
          <w:bCs/>
          <w:sz w:val="22"/>
          <w:szCs w:val="22"/>
        </w:rPr>
        <w:t xml:space="preserve">Updates </w:t>
      </w:r>
      <w:r w:rsidR="00536550">
        <w:rPr>
          <w:b/>
          <w:bCs/>
          <w:sz w:val="22"/>
          <w:szCs w:val="22"/>
        </w:rPr>
        <w:t xml:space="preserve">to the 2018 Recommendations </w:t>
      </w:r>
      <w:r w:rsidR="004B3DB6">
        <w:rPr>
          <w:b/>
          <w:bCs/>
          <w:sz w:val="22"/>
          <w:szCs w:val="22"/>
        </w:rPr>
        <w:t>a</w:t>
      </w:r>
      <w:r w:rsidR="00F672C7" w:rsidRPr="00F672C7">
        <w:rPr>
          <w:b/>
          <w:bCs/>
          <w:sz w:val="22"/>
          <w:szCs w:val="22"/>
        </w:rPr>
        <w:t xml:space="preserve">nd </w:t>
      </w:r>
      <w:r w:rsidR="00536550">
        <w:rPr>
          <w:b/>
          <w:bCs/>
          <w:sz w:val="22"/>
          <w:szCs w:val="22"/>
        </w:rPr>
        <w:t xml:space="preserve">Proposed New </w:t>
      </w:r>
      <w:r w:rsidR="00F672C7" w:rsidRPr="00F672C7">
        <w:rPr>
          <w:b/>
          <w:bCs/>
          <w:sz w:val="22"/>
          <w:szCs w:val="22"/>
        </w:rPr>
        <w:t>Recommendations</w:t>
      </w:r>
      <w:r w:rsidR="004B3DB6">
        <w:rPr>
          <w:b/>
          <w:bCs/>
          <w:sz w:val="22"/>
          <w:szCs w:val="22"/>
        </w:rPr>
        <w:t xml:space="preserve"> from the Autism Commission’s Subcommittees</w:t>
      </w:r>
    </w:p>
    <w:p w:rsidR="00F672C7" w:rsidRPr="00F672C7" w:rsidRDefault="00F672C7" w:rsidP="00F672C7">
      <w:pPr>
        <w:rPr>
          <w:sz w:val="22"/>
          <w:szCs w:val="22"/>
        </w:rPr>
      </w:pPr>
    </w:p>
    <w:p w:rsidR="00F672C7" w:rsidRPr="00164FDD" w:rsidRDefault="00BF363D" w:rsidP="004B3DB6">
      <w:pPr>
        <w:jc w:val="center"/>
        <w:rPr>
          <w:b/>
          <w:sz w:val="22"/>
          <w:szCs w:val="22"/>
          <w:u w:val="single"/>
        </w:rPr>
      </w:pPr>
      <w:r w:rsidRPr="00164FDD">
        <w:rPr>
          <w:b/>
          <w:sz w:val="22"/>
          <w:szCs w:val="22"/>
          <w:u w:val="single"/>
        </w:rPr>
        <w:t>Birth to Fourteen</w:t>
      </w:r>
      <w:r w:rsidR="004B3DB6" w:rsidRPr="00164FDD">
        <w:rPr>
          <w:b/>
          <w:sz w:val="22"/>
          <w:szCs w:val="22"/>
          <w:u w:val="single"/>
        </w:rPr>
        <w:t xml:space="preserve"> Subcommittee</w:t>
      </w:r>
    </w:p>
    <w:p w:rsidR="004B3DB6" w:rsidRDefault="004B3DB6" w:rsidP="00F672C7">
      <w:pPr>
        <w:rPr>
          <w:sz w:val="22"/>
          <w:szCs w:val="22"/>
        </w:rPr>
      </w:pPr>
    </w:p>
    <w:p w:rsidR="004B3DB6" w:rsidRPr="00BF363D" w:rsidRDefault="004B3DB6" w:rsidP="00F672C7">
      <w:pPr>
        <w:rPr>
          <w:sz w:val="22"/>
          <w:szCs w:val="22"/>
          <w:u w:val="single"/>
        </w:rPr>
      </w:pPr>
      <w:r w:rsidRPr="00BF363D">
        <w:rPr>
          <w:sz w:val="22"/>
          <w:szCs w:val="22"/>
          <w:u w:val="single"/>
        </w:rPr>
        <w:t>2018 Recommendation and Priorities</w:t>
      </w:r>
    </w:p>
    <w:p w:rsidR="004B3DB6" w:rsidRPr="00BF363D" w:rsidRDefault="004B3DB6" w:rsidP="00F672C7">
      <w:pPr>
        <w:rPr>
          <w:sz w:val="22"/>
          <w:szCs w:val="22"/>
          <w:u w:val="single"/>
        </w:rPr>
      </w:pPr>
    </w:p>
    <w:p w:rsidR="00F672C7" w:rsidRPr="00F672C7" w:rsidRDefault="00F672C7" w:rsidP="00F672C7">
      <w:pPr>
        <w:rPr>
          <w:sz w:val="22"/>
          <w:szCs w:val="22"/>
        </w:rPr>
      </w:pPr>
      <w:r w:rsidRPr="00F672C7">
        <w:rPr>
          <w:sz w:val="22"/>
          <w:szCs w:val="22"/>
        </w:rPr>
        <w:t xml:space="preserve">The Birth to Fourteen Subcommittee had one formal Recommendation, and worked on two additional priorities over the past year. </w:t>
      </w:r>
    </w:p>
    <w:p w:rsidR="00F672C7" w:rsidRPr="00F672C7" w:rsidRDefault="00F672C7" w:rsidP="00F672C7">
      <w:pPr>
        <w:rPr>
          <w:sz w:val="22"/>
          <w:szCs w:val="22"/>
        </w:rPr>
      </w:pPr>
    </w:p>
    <w:p w:rsidR="00F672C7" w:rsidRPr="00E97393" w:rsidRDefault="00E97393" w:rsidP="00E97393">
      <w:pPr>
        <w:rPr>
          <w:sz w:val="22"/>
          <w:szCs w:val="22"/>
        </w:rPr>
      </w:pPr>
      <w:r>
        <w:rPr>
          <w:sz w:val="22"/>
          <w:szCs w:val="22"/>
        </w:rPr>
        <w:t xml:space="preserve">1.  </w:t>
      </w:r>
      <w:r w:rsidR="00F672C7" w:rsidRPr="00E97393">
        <w:rPr>
          <w:sz w:val="22"/>
          <w:szCs w:val="22"/>
        </w:rPr>
        <w:t>The Birth to 14 Subcommittee will collaborate with the Department of Elementary and Secondary Education (“DESE”) on its development of their new electronic IEP (</w:t>
      </w:r>
      <w:r w:rsidR="00F672C7" w:rsidRPr="00E97393">
        <w:rPr>
          <w:bCs/>
          <w:sz w:val="22"/>
          <w:szCs w:val="22"/>
        </w:rPr>
        <w:t>Massachusetts IEP Improvement Plan)</w:t>
      </w:r>
      <w:r w:rsidR="00F672C7" w:rsidRPr="00E97393">
        <w:rPr>
          <w:sz w:val="22"/>
          <w:szCs w:val="22"/>
        </w:rPr>
        <w:t xml:space="preserve"> to address issues that relate to students with autism spectrum disorder.</w:t>
      </w:r>
    </w:p>
    <w:p w:rsidR="00F672C7" w:rsidRPr="00F672C7" w:rsidRDefault="00F672C7" w:rsidP="00F672C7">
      <w:pPr>
        <w:rPr>
          <w:sz w:val="22"/>
          <w:szCs w:val="22"/>
        </w:rPr>
      </w:pPr>
    </w:p>
    <w:p w:rsidR="00F672C7" w:rsidRPr="00F672C7" w:rsidRDefault="00F672C7" w:rsidP="00F672C7">
      <w:pPr>
        <w:rPr>
          <w:i/>
          <w:sz w:val="22"/>
          <w:szCs w:val="22"/>
        </w:rPr>
      </w:pPr>
      <w:r w:rsidRPr="00F672C7">
        <w:rPr>
          <w:i/>
          <w:sz w:val="22"/>
          <w:szCs w:val="22"/>
        </w:rPr>
        <w:t>Update: This work is on-going.</w:t>
      </w:r>
    </w:p>
    <w:p w:rsidR="00F672C7" w:rsidRPr="00F672C7" w:rsidRDefault="00F672C7" w:rsidP="00F672C7">
      <w:pPr>
        <w:pStyle w:val="ListParagraph"/>
        <w:numPr>
          <w:ilvl w:val="0"/>
          <w:numId w:val="1"/>
        </w:numPr>
        <w:rPr>
          <w:i/>
          <w:sz w:val="22"/>
          <w:szCs w:val="22"/>
        </w:rPr>
      </w:pPr>
      <w:r w:rsidRPr="00F672C7">
        <w:rPr>
          <w:i/>
          <w:sz w:val="22"/>
          <w:szCs w:val="22"/>
        </w:rPr>
        <w:t xml:space="preserve">Our subcommittee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Documents to be updated include the IEP itself, A Special Education Guide, A process guide for writing the IEP, an annotated agenda for parents, and a Parent Guide to Special Education. </w:t>
      </w:r>
    </w:p>
    <w:p w:rsidR="00F672C7" w:rsidRPr="00F672C7" w:rsidRDefault="00F672C7" w:rsidP="00F672C7">
      <w:pPr>
        <w:pStyle w:val="ListParagraph"/>
        <w:numPr>
          <w:ilvl w:val="0"/>
          <w:numId w:val="1"/>
        </w:numPr>
        <w:rPr>
          <w:i/>
          <w:sz w:val="22"/>
          <w:szCs w:val="22"/>
        </w:rPr>
      </w:pPr>
      <w:r w:rsidRPr="00F672C7">
        <w:rPr>
          <w:i/>
          <w:sz w:val="22"/>
          <w:szCs w:val="22"/>
        </w:rPr>
        <w:t xml:space="preserve">We will continue to keep this an ongoing recommendation for the upcoming year, as the IEP project is still in process. DESE will continue to keep the Autism Commission advised about the progress of the project. </w:t>
      </w:r>
    </w:p>
    <w:p w:rsidR="00F672C7" w:rsidRPr="00F672C7" w:rsidRDefault="00F672C7" w:rsidP="00F672C7">
      <w:pPr>
        <w:rPr>
          <w:sz w:val="22"/>
          <w:szCs w:val="22"/>
        </w:rPr>
      </w:pPr>
    </w:p>
    <w:p w:rsidR="00F672C7" w:rsidRPr="00F672C7" w:rsidRDefault="00F672C7" w:rsidP="00F672C7">
      <w:pPr>
        <w:rPr>
          <w:i/>
          <w:sz w:val="22"/>
          <w:szCs w:val="22"/>
        </w:rPr>
      </w:pPr>
      <w:r w:rsidRPr="00F672C7">
        <w:rPr>
          <w:sz w:val="22"/>
          <w:szCs w:val="22"/>
        </w:rPr>
        <w:t xml:space="preserve">The first priority was </w:t>
      </w:r>
      <w:r w:rsidRPr="00F672C7">
        <w:rPr>
          <w:b/>
          <w:bCs/>
          <w:sz w:val="22"/>
          <w:szCs w:val="22"/>
        </w:rPr>
        <w:t>to improve recruitment and retention strategies of BCBA’s and related behavior therapists in public education Settings</w:t>
      </w:r>
      <w:r w:rsidRPr="00F672C7">
        <w:rPr>
          <w:sz w:val="22"/>
          <w:szCs w:val="22"/>
        </w:rPr>
        <w:t xml:space="preserve">. </w:t>
      </w:r>
      <w:r w:rsidRPr="00F672C7">
        <w:rPr>
          <w:i/>
          <w:sz w:val="22"/>
          <w:szCs w:val="22"/>
        </w:rPr>
        <w:t>This work is on-going.</w:t>
      </w:r>
    </w:p>
    <w:p w:rsidR="00F672C7" w:rsidRPr="00F672C7" w:rsidRDefault="00F672C7" w:rsidP="00F672C7">
      <w:pPr>
        <w:rPr>
          <w:sz w:val="22"/>
          <w:szCs w:val="22"/>
        </w:rPr>
      </w:pPr>
    </w:p>
    <w:p w:rsidR="00F672C7" w:rsidRPr="00E97393" w:rsidRDefault="00E97393" w:rsidP="00F672C7">
      <w:pPr>
        <w:pStyle w:val="ListParagraph"/>
        <w:numPr>
          <w:ilvl w:val="0"/>
          <w:numId w:val="1"/>
        </w:numPr>
        <w:rPr>
          <w:i/>
          <w:sz w:val="22"/>
          <w:szCs w:val="22"/>
        </w:rPr>
      </w:pPr>
      <w:r w:rsidRPr="00E97393">
        <w:rPr>
          <w:i/>
          <w:sz w:val="22"/>
          <w:szCs w:val="22"/>
        </w:rPr>
        <w:t xml:space="preserve">Update: </w:t>
      </w:r>
      <w:r w:rsidR="00F672C7" w:rsidRPr="00E97393">
        <w:rPr>
          <w:i/>
          <w:sz w:val="22"/>
          <w:szCs w:val="22"/>
        </w:rPr>
        <w:t>Our subcommittee created 2 surveys for input, one went to BCBAs and one to District Special Education Directors, which were distributed in June.  250 responses were received. Our subcommittee began a review of the surveys at our July meeting and will be analyzing them further to determine next steps, possibly a quick resource guide for district leaders about helpful recruiting and retention practices. This will be an ongoing priority (but no formal recommendation at this time) for the subcommittee with further work to be done.</w:t>
      </w:r>
    </w:p>
    <w:p w:rsidR="00F672C7" w:rsidRPr="00F672C7" w:rsidRDefault="00F672C7" w:rsidP="00F672C7">
      <w:pPr>
        <w:rPr>
          <w:sz w:val="22"/>
          <w:szCs w:val="22"/>
        </w:rPr>
      </w:pPr>
    </w:p>
    <w:p w:rsidR="00F672C7" w:rsidRPr="00F672C7" w:rsidRDefault="00E97393" w:rsidP="00F672C7">
      <w:pPr>
        <w:rPr>
          <w:i/>
          <w:sz w:val="22"/>
          <w:szCs w:val="22"/>
        </w:rPr>
      </w:pPr>
      <w:r>
        <w:rPr>
          <w:sz w:val="22"/>
          <w:szCs w:val="22"/>
        </w:rPr>
        <w:t>The second</w:t>
      </w:r>
      <w:r w:rsidR="00F672C7" w:rsidRPr="00F672C7">
        <w:rPr>
          <w:sz w:val="22"/>
          <w:szCs w:val="22"/>
        </w:rPr>
        <w:t xml:space="preserve"> priority was </w:t>
      </w:r>
      <w:r w:rsidR="00F672C7" w:rsidRPr="00F672C7">
        <w:rPr>
          <w:b/>
          <w:bCs/>
          <w:sz w:val="22"/>
          <w:szCs w:val="22"/>
        </w:rPr>
        <w:t xml:space="preserve">to reduce wait times for evaluation and diagnosis of ASD. </w:t>
      </w:r>
      <w:r w:rsidR="00F672C7" w:rsidRPr="00F672C7">
        <w:rPr>
          <w:i/>
          <w:sz w:val="22"/>
          <w:szCs w:val="22"/>
        </w:rPr>
        <w:t>This work is on-going.</w:t>
      </w:r>
    </w:p>
    <w:p w:rsidR="00F672C7" w:rsidRPr="00F672C7" w:rsidRDefault="00F672C7" w:rsidP="00F672C7">
      <w:pPr>
        <w:rPr>
          <w:b/>
          <w:bCs/>
          <w:sz w:val="22"/>
          <w:szCs w:val="22"/>
        </w:rPr>
      </w:pPr>
    </w:p>
    <w:p w:rsidR="00F672C7" w:rsidRPr="00E97393" w:rsidRDefault="00E97393" w:rsidP="00F672C7">
      <w:pPr>
        <w:pStyle w:val="ListParagraph"/>
        <w:numPr>
          <w:ilvl w:val="0"/>
          <w:numId w:val="1"/>
        </w:numPr>
        <w:rPr>
          <w:i/>
          <w:sz w:val="22"/>
          <w:szCs w:val="22"/>
        </w:rPr>
      </w:pPr>
      <w:r w:rsidRPr="00E97393">
        <w:rPr>
          <w:i/>
          <w:sz w:val="22"/>
          <w:szCs w:val="22"/>
        </w:rPr>
        <w:t xml:space="preserve">Update: </w:t>
      </w:r>
      <w:r w:rsidR="00F672C7" w:rsidRPr="00E97393">
        <w:rPr>
          <w:i/>
          <w:sz w:val="22"/>
          <w:szCs w:val="22"/>
        </w:rPr>
        <w:t>Our subcommittee was informed about current available information gathered by DPH Early Intervention regarding wait times state-wide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 to assist us on this ongoing priority.</w:t>
      </w:r>
    </w:p>
    <w:p w:rsidR="00F672C7" w:rsidRPr="00F672C7" w:rsidRDefault="00F672C7" w:rsidP="00F672C7">
      <w:pPr>
        <w:pStyle w:val="ListParagraph"/>
        <w:rPr>
          <w:sz w:val="22"/>
          <w:szCs w:val="22"/>
        </w:rPr>
      </w:pPr>
    </w:p>
    <w:p w:rsidR="00F672C7" w:rsidRPr="00F672C7" w:rsidRDefault="00F672C7" w:rsidP="00F672C7">
      <w:pPr>
        <w:pStyle w:val="ListParagraph"/>
        <w:numPr>
          <w:ilvl w:val="0"/>
          <w:numId w:val="1"/>
        </w:numPr>
        <w:rPr>
          <w:sz w:val="22"/>
          <w:szCs w:val="22"/>
        </w:rPr>
      </w:pPr>
      <w:r w:rsidRPr="00F672C7">
        <w:rPr>
          <w:sz w:val="22"/>
          <w:szCs w:val="22"/>
        </w:rPr>
        <w:lastRenderedPageBreak/>
        <w:t xml:space="preserve">The sub-committee would like to make a new recommendation to the Autism Commission to develop solutions so that data can be collected and reported on regarding the age of diagnosis broken down by race.  </w:t>
      </w:r>
    </w:p>
    <w:p w:rsidR="00F672C7" w:rsidRDefault="00F672C7" w:rsidP="00F672C7">
      <w:pPr>
        <w:pStyle w:val="ListParagraph"/>
        <w:rPr>
          <w:sz w:val="22"/>
          <w:szCs w:val="22"/>
        </w:rPr>
      </w:pPr>
    </w:p>
    <w:p w:rsidR="00F672C7" w:rsidRPr="00F672C7" w:rsidRDefault="00F672C7" w:rsidP="00F672C7">
      <w:pPr>
        <w:rPr>
          <w:b/>
          <w:bCs/>
          <w:sz w:val="22"/>
          <w:szCs w:val="22"/>
        </w:rPr>
      </w:pPr>
      <w:r w:rsidRPr="00F672C7">
        <w:rPr>
          <w:b/>
          <w:bCs/>
          <w:sz w:val="22"/>
          <w:szCs w:val="22"/>
        </w:rPr>
        <w:t>New Recommendati</w:t>
      </w:r>
      <w:r w:rsidR="00BF363D">
        <w:rPr>
          <w:b/>
          <w:bCs/>
          <w:sz w:val="22"/>
          <w:szCs w:val="22"/>
        </w:rPr>
        <w:t>ons to the Autism Commission from the</w:t>
      </w:r>
      <w:r w:rsidR="00E97393">
        <w:rPr>
          <w:b/>
          <w:bCs/>
          <w:sz w:val="22"/>
          <w:szCs w:val="22"/>
        </w:rPr>
        <w:t xml:space="preserve"> Birth to Fourteen Subc</w:t>
      </w:r>
      <w:r w:rsidRPr="00F672C7">
        <w:rPr>
          <w:b/>
          <w:bCs/>
          <w:sz w:val="22"/>
          <w:szCs w:val="22"/>
        </w:rPr>
        <w:t>ommittee</w:t>
      </w:r>
    </w:p>
    <w:p w:rsidR="00F672C7" w:rsidRPr="00F672C7" w:rsidRDefault="00F672C7" w:rsidP="00F672C7">
      <w:pPr>
        <w:rPr>
          <w:b/>
          <w:bCs/>
          <w:sz w:val="22"/>
          <w:szCs w:val="22"/>
        </w:rPr>
      </w:pPr>
    </w:p>
    <w:p w:rsidR="00F672C7" w:rsidRPr="00F672C7" w:rsidRDefault="00F672C7" w:rsidP="00F672C7">
      <w:pPr>
        <w:rPr>
          <w:sz w:val="22"/>
          <w:szCs w:val="22"/>
        </w:rPr>
      </w:pPr>
      <w:r w:rsidRPr="00F672C7">
        <w:rPr>
          <w:sz w:val="22"/>
          <w:szCs w:val="22"/>
        </w:rPr>
        <w:t>In the upcoming year, our sub-committee has 3 new priority areas we will be working on, with the following recommendations related to them:</w:t>
      </w:r>
    </w:p>
    <w:p w:rsidR="00F672C7" w:rsidRPr="00F672C7" w:rsidRDefault="00F672C7" w:rsidP="00F672C7">
      <w:pPr>
        <w:rPr>
          <w:sz w:val="22"/>
          <w:szCs w:val="22"/>
        </w:rPr>
      </w:pPr>
    </w:p>
    <w:p w:rsidR="00F672C7" w:rsidRPr="00F672C7" w:rsidRDefault="00F672C7" w:rsidP="00F672C7">
      <w:pPr>
        <w:rPr>
          <w:sz w:val="22"/>
          <w:szCs w:val="22"/>
        </w:rPr>
      </w:pPr>
    </w:p>
    <w:p w:rsidR="00F672C7" w:rsidRPr="00F672C7" w:rsidRDefault="00F672C7" w:rsidP="00F672C7">
      <w:pPr>
        <w:pStyle w:val="ListParagraph"/>
        <w:numPr>
          <w:ilvl w:val="0"/>
          <w:numId w:val="2"/>
        </w:numPr>
        <w:rPr>
          <w:b/>
          <w:bCs/>
          <w:sz w:val="22"/>
          <w:szCs w:val="22"/>
        </w:rPr>
      </w:pPr>
      <w:r w:rsidRPr="00F672C7">
        <w:rPr>
          <w:b/>
          <w:bCs/>
          <w:sz w:val="22"/>
          <w:szCs w:val="22"/>
        </w:rPr>
        <w:t>Access to Augmentative/Alternative Communication Devices for Children with ASD</w:t>
      </w:r>
    </w:p>
    <w:p w:rsidR="00F672C7" w:rsidRPr="00F672C7" w:rsidRDefault="00F672C7" w:rsidP="00F672C7">
      <w:pPr>
        <w:rPr>
          <w:b/>
          <w:bCs/>
          <w:sz w:val="22"/>
          <w:szCs w:val="22"/>
        </w:rPr>
      </w:pPr>
    </w:p>
    <w:p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to request that MassHealth provide data about children who have received dedicated and non-dedicated AAC devices, broken down by race and language spoken in the home. </w:t>
      </w:r>
    </w:p>
    <w:p w:rsidR="00F672C7" w:rsidRPr="00F672C7" w:rsidRDefault="00F672C7" w:rsidP="00F672C7">
      <w:pPr>
        <w:pStyle w:val="ListParagraph"/>
        <w:rPr>
          <w:sz w:val="22"/>
          <w:szCs w:val="22"/>
        </w:rPr>
      </w:pPr>
    </w:p>
    <w:p w:rsidR="00F672C7" w:rsidRPr="00F672C7" w:rsidRDefault="00F672C7" w:rsidP="00F672C7">
      <w:pPr>
        <w:pStyle w:val="ListParagraph"/>
        <w:numPr>
          <w:ilvl w:val="0"/>
          <w:numId w:val="2"/>
        </w:numPr>
        <w:rPr>
          <w:sz w:val="22"/>
          <w:szCs w:val="22"/>
        </w:rPr>
      </w:pPr>
      <w:r w:rsidRPr="00F672C7">
        <w:rPr>
          <w:b/>
          <w:bCs/>
          <w:sz w:val="22"/>
          <w:szCs w:val="22"/>
        </w:rPr>
        <w:t>Inclusion for Students with ASD</w:t>
      </w:r>
    </w:p>
    <w:p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to request that DESE provide data broken down by race, language spoken in the home and level of inclusion (full/partial/substantially separate) for students with ASD. </w:t>
      </w:r>
    </w:p>
    <w:p w:rsidR="00F672C7" w:rsidRPr="00F672C7" w:rsidRDefault="00F672C7" w:rsidP="00F672C7">
      <w:pPr>
        <w:rPr>
          <w:sz w:val="22"/>
          <w:szCs w:val="22"/>
        </w:rPr>
      </w:pPr>
    </w:p>
    <w:p w:rsidR="00F672C7" w:rsidRPr="00F672C7" w:rsidRDefault="00F672C7" w:rsidP="00F672C7">
      <w:pPr>
        <w:pStyle w:val="ListParagraph"/>
        <w:numPr>
          <w:ilvl w:val="0"/>
          <w:numId w:val="2"/>
        </w:numPr>
        <w:rPr>
          <w:b/>
          <w:bCs/>
          <w:sz w:val="22"/>
          <w:szCs w:val="22"/>
        </w:rPr>
      </w:pPr>
      <w:r w:rsidRPr="00F672C7">
        <w:rPr>
          <w:b/>
          <w:bCs/>
          <w:sz w:val="22"/>
          <w:szCs w:val="22"/>
        </w:rPr>
        <w:t>Children with ASD in DCF Care</w:t>
      </w:r>
    </w:p>
    <w:p w:rsidR="00F672C7" w:rsidRPr="00F672C7" w:rsidRDefault="00F672C7" w:rsidP="00F672C7">
      <w:pPr>
        <w:pStyle w:val="ListParagraph"/>
        <w:rPr>
          <w:sz w:val="22"/>
          <w:szCs w:val="22"/>
        </w:rPr>
      </w:pPr>
      <w:r w:rsidRPr="00F672C7">
        <w:rPr>
          <w:sz w:val="22"/>
          <w:szCs w:val="22"/>
        </w:rPr>
        <w:t xml:space="preserve">The sub-committee would like to make a recommendation to the Autism Commission that trainings be developed for DCF staff about ASD. </w:t>
      </w:r>
    </w:p>
    <w:p w:rsidR="00F672C7" w:rsidRPr="00F672C7" w:rsidRDefault="00F672C7" w:rsidP="00F672C7">
      <w:pPr>
        <w:pStyle w:val="ListParagraph"/>
        <w:rPr>
          <w:sz w:val="22"/>
          <w:szCs w:val="22"/>
          <w:u w:val="single"/>
        </w:rPr>
      </w:pPr>
    </w:p>
    <w:p w:rsidR="00F672C7" w:rsidRPr="00164FDD" w:rsidRDefault="005423B9" w:rsidP="00BF363D">
      <w:pPr>
        <w:pStyle w:val="ListParagraph"/>
        <w:jc w:val="center"/>
        <w:rPr>
          <w:b/>
          <w:sz w:val="22"/>
          <w:szCs w:val="22"/>
          <w:u w:val="single"/>
        </w:rPr>
      </w:pPr>
      <w:r>
        <w:rPr>
          <w:b/>
          <w:sz w:val="22"/>
          <w:szCs w:val="22"/>
          <w:u w:val="single"/>
        </w:rPr>
        <w:t>14-22</w:t>
      </w:r>
      <w:r w:rsidR="00BF363D" w:rsidRPr="00164FDD">
        <w:rPr>
          <w:b/>
          <w:sz w:val="22"/>
          <w:szCs w:val="22"/>
          <w:u w:val="single"/>
        </w:rPr>
        <w:t>+</w:t>
      </w:r>
      <w:r>
        <w:rPr>
          <w:b/>
          <w:sz w:val="22"/>
          <w:szCs w:val="22"/>
          <w:u w:val="single"/>
        </w:rPr>
        <w:t>/</w:t>
      </w:r>
      <w:r w:rsidR="0064776D">
        <w:rPr>
          <w:b/>
          <w:sz w:val="22"/>
          <w:szCs w:val="22"/>
          <w:u w:val="single"/>
        </w:rPr>
        <w:t xml:space="preserve">Employment </w:t>
      </w:r>
      <w:r w:rsidR="00BF363D" w:rsidRPr="00164FDD">
        <w:rPr>
          <w:b/>
          <w:sz w:val="22"/>
          <w:szCs w:val="22"/>
          <w:u w:val="single"/>
        </w:rPr>
        <w:t>Subcommittee</w:t>
      </w:r>
    </w:p>
    <w:p w:rsidR="00BF363D" w:rsidRDefault="00BF363D" w:rsidP="00BF363D">
      <w:pPr>
        <w:pStyle w:val="ListParagraph"/>
        <w:jc w:val="center"/>
        <w:rPr>
          <w:sz w:val="22"/>
          <w:szCs w:val="22"/>
          <w:u w:val="single"/>
        </w:rPr>
      </w:pPr>
    </w:p>
    <w:p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rsidR="00F672C7" w:rsidRPr="00F672C7" w:rsidRDefault="00F672C7" w:rsidP="00F672C7">
      <w:pPr>
        <w:pStyle w:val="ListParagraph"/>
        <w:rPr>
          <w:sz w:val="22"/>
          <w:szCs w:val="22"/>
          <w:u w:val="single"/>
        </w:rPr>
      </w:pPr>
    </w:p>
    <w:p w:rsidR="004B3DB6" w:rsidRPr="001B0A63" w:rsidRDefault="004B3DB6" w:rsidP="004B3DB6">
      <w:pPr>
        <w:pStyle w:val="NormalWeb"/>
        <w:rPr>
          <w:rFonts w:ascii="Calibri" w:hAnsi="Calibri"/>
          <w:iCs/>
          <w:color w:val="000000"/>
          <w:sz w:val="22"/>
          <w:szCs w:val="22"/>
        </w:rPr>
      </w:pPr>
      <w:r>
        <w:rPr>
          <w:rFonts w:ascii="Calibri" w:hAnsi="Calibri"/>
          <w:i/>
          <w:iCs/>
          <w:color w:val="000000"/>
          <w:sz w:val="22"/>
          <w:szCs w:val="22"/>
        </w:rPr>
        <w:t xml:space="preserve">1. </w:t>
      </w:r>
      <w:r w:rsidRPr="001B0A63">
        <w:rPr>
          <w:rFonts w:ascii="Calibri" w:hAnsi="Calibri"/>
          <w:iCs/>
          <w:color w:val="000000"/>
          <w:sz w:val="22"/>
          <w:szCs w:val="22"/>
        </w:rPr>
        <w:t>MRC, DDS, and their respective employment providers will commit to strengthening their data collection processes to include retention data of one year for all individuals they serve with autism spectrum disorder (ASD).</w:t>
      </w:r>
    </w:p>
    <w:p w:rsidR="004B3DB6" w:rsidRDefault="004B3DB6" w:rsidP="004B3DB6">
      <w:pPr>
        <w:pStyle w:val="NormalWeb"/>
        <w:rPr>
          <w:rFonts w:ascii="Calibri" w:hAnsi="Calibri"/>
          <w:color w:val="000000"/>
          <w:sz w:val="27"/>
          <w:szCs w:val="27"/>
        </w:rPr>
      </w:pPr>
      <w:r>
        <w:rPr>
          <w:rFonts w:ascii="Calibri" w:hAnsi="Calibri"/>
          <w:i/>
          <w:iCs/>
          <w:color w:val="000000"/>
          <w:sz w:val="22"/>
          <w:szCs w:val="22"/>
        </w:rPr>
        <w:t> </w:t>
      </w:r>
    </w:p>
    <w:p w:rsidR="004B3DB6" w:rsidRPr="000842C6" w:rsidRDefault="004B3DB6" w:rsidP="004B3DB6">
      <w:pPr>
        <w:numPr>
          <w:ilvl w:val="0"/>
          <w:numId w:val="3"/>
        </w:numPr>
        <w:rPr>
          <w:rFonts w:eastAsia="Times New Roman"/>
          <w:color w:val="000000"/>
          <w:sz w:val="22"/>
          <w:szCs w:val="22"/>
        </w:rPr>
      </w:pPr>
      <w:r>
        <w:rPr>
          <w:rFonts w:ascii="Calibri" w:eastAsia="Times New Roman" w:hAnsi="Calibri"/>
          <w:color w:val="000000"/>
          <w:sz w:val="22"/>
          <w:szCs w:val="22"/>
        </w:rPr>
        <w:t xml:space="preserve">Update: Ongoing. </w:t>
      </w:r>
      <w:r w:rsidRPr="000842C6">
        <w:rPr>
          <w:sz w:val="22"/>
          <w:szCs w:val="22"/>
        </w:rPr>
        <w:t xml:space="preserve">In </w:t>
      </w:r>
      <w:r w:rsidRPr="009A2B02">
        <w:rPr>
          <w:bCs/>
          <w:sz w:val="22"/>
          <w:szCs w:val="22"/>
        </w:rPr>
        <w:t>FY19 MRC referred 994 consumers with ASD</w:t>
      </w:r>
      <w:r w:rsidRPr="000842C6">
        <w:rPr>
          <w:b/>
          <w:bCs/>
          <w:sz w:val="22"/>
          <w:szCs w:val="22"/>
        </w:rPr>
        <w:t xml:space="preserve"> </w:t>
      </w:r>
      <w:r w:rsidRPr="000842C6">
        <w:rPr>
          <w:sz w:val="22"/>
          <w:szCs w:val="22"/>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rsidR="004B3DB6" w:rsidRPr="00A95B9C" w:rsidRDefault="004B3DB6" w:rsidP="004B3DB6">
      <w:pPr>
        <w:numPr>
          <w:ilvl w:val="0"/>
          <w:numId w:val="3"/>
        </w:numPr>
        <w:rPr>
          <w:rFonts w:ascii="Calibri" w:eastAsia="Times New Roman" w:hAnsi="Calibri"/>
          <w:color w:val="000000"/>
        </w:rPr>
      </w:pPr>
      <w:r>
        <w:rPr>
          <w:rFonts w:ascii="Calibri" w:eastAsia="Times New Roman" w:hAnsi="Calibri"/>
          <w:color w:val="000000"/>
          <w:sz w:val="22"/>
          <w:szCs w:val="22"/>
        </w:rPr>
        <w:t xml:space="preserve">DDs reported that the number of individuals working in individual integrated jobs increased from </w:t>
      </w:r>
      <w:r w:rsidRPr="009A2B02">
        <w:rPr>
          <w:rFonts w:ascii="Calibri" w:eastAsia="Times New Roman" w:hAnsi="Calibri"/>
          <w:color w:val="000000"/>
          <w:sz w:val="22"/>
          <w:szCs w:val="22"/>
        </w:rPr>
        <w:t>2,187 in 2017 to 2,309 in April 2018.</w:t>
      </w:r>
      <w:r>
        <w:rPr>
          <w:rFonts w:ascii="Calibri" w:eastAsia="Times New Roman" w:hAnsi="Calibri"/>
          <w:color w:val="000000"/>
          <w:sz w:val="22"/>
          <w:szCs w:val="22"/>
        </w:rPr>
        <w:t xml:space="preserve"> The number of individuals currently employed who were employed for </w:t>
      </w:r>
      <w:r w:rsidRPr="00F51A15">
        <w:rPr>
          <w:rFonts w:ascii="Calibri" w:eastAsia="Times New Roman" w:hAnsi="Calibri"/>
          <w:color w:val="000000"/>
          <w:sz w:val="22"/>
          <w:szCs w:val="22"/>
          <w:u w:val="single"/>
        </w:rPr>
        <w:t>10 of the last 12 months</w:t>
      </w:r>
      <w:r>
        <w:rPr>
          <w:rFonts w:ascii="Calibri" w:eastAsia="Times New Roman" w:hAnsi="Calibri"/>
          <w:color w:val="000000"/>
          <w:sz w:val="22"/>
          <w:szCs w:val="22"/>
        </w:rPr>
        <w:t xml:space="preserve"> was </w:t>
      </w:r>
      <w:r w:rsidRPr="009A2B02">
        <w:rPr>
          <w:rFonts w:ascii="Calibri" w:eastAsia="Times New Roman" w:hAnsi="Calibri"/>
          <w:color w:val="000000"/>
          <w:sz w:val="22"/>
          <w:szCs w:val="22"/>
        </w:rPr>
        <w:t>86%.</w:t>
      </w:r>
      <w:r>
        <w:rPr>
          <w:rFonts w:ascii="Calibri" w:eastAsia="Times New Roman" w:hAnsi="Calibri"/>
          <w:color w:val="000000"/>
          <w:sz w:val="22"/>
          <w:szCs w:val="22"/>
        </w:rPr>
        <w:t xml:space="preserve"> DDS data does not currently differentiate by type of disability.</w:t>
      </w:r>
    </w:p>
    <w:p w:rsidR="004B3DB6" w:rsidRDefault="004B3DB6" w:rsidP="004B3DB6">
      <w:pPr>
        <w:ind w:left="720"/>
        <w:rPr>
          <w:rFonts w:ascii="Calibri" w:eastAsia="Times New Roman" w:hAnsi="Calibri"/>
          <w:color w:val="000000"/>
        </w:rPr>
      </w:pPr>
      <w:r>
        <w:rPr>
          <w:rFonts w:ascii="Calibri" w:eastAsia="Times New Roman" w:hAnsi="Calibri"/>
          <w:color w:val="000000"/>
        </w:rPr>
        <w:t xml:space="preserve"> </w:t>
      </w:r>
    </w:p>
    <w:p w:rsidR="004B3DB6" w:rsidRPr="001B0A63" w:rsidRDefault="004B3DB6" w:rsidP="004B3DB6">
      <w:pPr>
        <w:pStyle w:val="NormalWeb"/>
        <w:rPr>
          <w:rFonts w:ascii="Calibri" w:hAnsi="Calibri"/>
          <w:color w:val="000000"/>
          <w:sz w:val="27"/>
          <w:szCs w:val="27"/>
        </w:rPr>
      </w:pPr>
      <w:r>
        <w:rPr>
          <w:rFonts w:ascii="Calibri" w:hAnsi="Calibri"/>
          <w:i/>
          <w:iCs/>
          <w:color w:val="000000"/>
          <w:sz w:val="22"/>
          <w:szCs w:val="22"/>
        </w:rPr>
        <w:t>2.</w:t>
      </w:r>
      <w:r w:rsidR="00E97393">
        <w:rPr>
          <w:rFonts w:ascii="Calibri" w:hAnsi="Calibri"/>
          <w:i/>
          <w:iCs/>
          <w:color w:val="000000"/>
          <w:sz w:val="22"/>
          <w:szCs w:val="22"/>
        </w:rPr>
        <w:t xml:space="preserve"> </w:t>
      </w:r>
      <w:r w:rsidRPr="001B0A63">
        <w:rPr>
          <w:rFonts w:ascii="Calibri" w:hAnsi="Calibri"/>
          <w:iCs/>
          <w:color w:val="000000"/>
          <w:sz w:val="22"/>
          <w:szCs w:val="22"/>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 </w:t>
      </w:r>
    </w:p>
    <w:p w:rsidR="004B3DB6" w:rsidRDefault="004B3DB6" w:rsidP="004B3DB6">
      <w:pPr>
        <w:pStyle w:val="NormalWeb"/>
        <w:rPr>
          <w:rFonts w:ascii="Calibri" w:hAnsi="Calibri"/>
          <w:color w:val="000000"/>
          <w:sz w:val="27"/>
          <w:szCs w:val="27"/>
        </w:rPr>
      </w:pPr>
    </w:p>
    <w:p w:rsidR="004B3DB6" w:rsidRDefault="004B3DB6" w:rsidP="004B3DB6">
      <w:pPr>
        <w:pStyle w:val="NormalWeb"/>
        <w:rPr>
          <w:rFonts w:ascii="Calibri" w:hAnsi="Calibri"/>
          <w:color w:val="000000"/>
          <w:sz w:val="27"/>
          <w:szCs w:val="27"/>
        </w:rPr>
      </w:pPr>
      <w:r>
        <w:rPr>
          <w:rFonts w:ascii="Calibri" w:eastAsia="Times New Roman" w:hAnsi="Calibri"/>
          <w:color w:val="000000"/>
          <w:sz w:val="22"/>
          <w:szCs w:val="22"/>
        </w:rPr>
        <w:t xml:space="preserve">Update: Ongoing. </w:t>
      </w:r>
      <w:r>
        <w:rPr>
          <w:rFonts w:ascii="Calibri" w:hAnsi="Calibri"/>
          <w:i/>
          <w:iCs/>
          <w:color w:val="000000"/>
          <w:sz w:val="22"/>
          <w:szCs w:val="22"/>
        </w:rPr>
        <w:t>List of trainings provided in 2019</w:t>
      </w:r>
    </w:p>
    <w:p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The 14-22/Employment Subcommittee developed survey questions for MRC’s Pre-Employment Transition Services vendors, which were sent to providers on September 18, 2019, for the development of a training webinar facilitated by the Federation of Children with Special Needs and Boston Medical Center on November 14, 2019.   </w:t>
      </w:r>
    </w:p>
    <w:p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DDS’s Autism 101 training was reviewed and updated edited by members of the Subcommittee. It is now under view by DDS. Once finalized, it will be presented in a webinar format and available to DDS employees on the DDS training platform. </w:t>
      </w:r>
    </w:p>
    <w:p w:rsidR="004B3DB6" w:rsidRPr="00E97393" w:rsidRDefault="004B3DB6" w:rsidP="004B3DB6">
      <w:pPr>
        <w:numPr>
          <w:ilvl w:val="0"/>
          <w:numId w:val="4"/>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 xml:space="preserve">MRC has had a number of trainings for its employees with a focus on ASD which were facilitated by AANE. In addition, they hosted a 2 day event that focused on executive functioning – these trainings were for MRC employers. </w:t>
      </w:r>
      <w:r w:rsidRPr="00E97393">
        <w:rPr>
          <w:rFonts w:ascii="Calibri" w:eastAsia="Times New Roman" w:hAnsi="Calibri"/>
          <w:bCs/>
          <w:i/>
          <w:color w:val="000000"/>
          <w:sz w:val="22"/>
          <w:szCs w:val="22"/>
        </w:rPr>
        <w:t>It was noted that AANE does not serve the ID/D population and that it is important to have a training that would include ASD with ID/D. According to the CDC, 31% of those diagnosed with autism spectrum disorder have a significant intellectual disability.</w:t>
      </w:r>
    </w:p>
    <w:p w:rsidR="004B3DB6" w:rsidRDefault="004B3DB6" w:rsidP="004B3DB6">
      <w:pPr>
        <w:rPr>
          <w:rFonts w:eastAsia="Times New Roman"/>
          <w:color w:val="000000"/>
        </w:rPr>
      </w:pPr>
    </w:p>
    <w:p w:rsidR="004B3DB6" w:rsidRDefault="00164FDD" w:rsidP="004B3DB6">
      <w:pPr>
        <w:pStyle w:val="NormalWeb"/>
        <w:rPr>
          <w:rFonts w:ascii="Calibri" w:hAnsi="Calibri"/>
          <w:color w:val="000000"/>
          <w:sz w:val="22"/>
          <w:szCs w:val="22"/>
        </w:rPr>
      </w:pPr>
      <w:r>
        <w:rPr>
          <w:rFonts w:ascii="Calibri" w:hAnsi="Calibri"/>
          <w:color w:val="000000"/>
          <w:sz w:val="22"/>
          <w:szCs w:val="22"/>
        </w:rPr>
        <w:t>3</w:t>
      </w:r>
      <w:r w:rsidR="004B3DB6">
        <w:rPr>
          <w:rFonts w:ascii="Calibri" w:hAnsi="Calibri"/>
          <w:color w:val="000000"/>
          <w:sz w:val="22"/>
          <w:szCs w:val="22"/>
        </w:rPr>
        <w:t>.</w:t>
      </w:r>
      <w:r w:rsidR="004B3DB6">
        <w:rPr>
          <w:rFonts w:ascii="Calibri" w:hAnsi="Calibri"/>
          <w:b/>
          <w:bCs/>
          <w:i/>
          <w:iCs/>
          <w:color w:val="000000"/>
          <w:sz w:val="22"/>
          <w:szCs w:val="22"/>
        </w:rPr>
        <w:t xml:space="preserve"> </w:t>
      </w:r>
      <w:r w:rsidR="004B3DB6" w:rsidRPr="009A2B02">
        <w:rPr>
          <w:rFonts w:ascii="Calibri" w:hAnsi="Calibri"/>
          <w:iCs/>
          <w:color w:val="000000"/>
          <w:sz w:val="22"/>
          <w:szCs w:val="22"/>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 occurring diagnoses through</w:t>
      </w:r>
      <w:r w:rsidR="004B3DB6" w:rsidRPr="009A2B02">
        <w:rPr>
          <w:rFonts w:ascii="Calibri" w:hAnsi="Calibri"/>
          <w:color w:val="000000"/>
          <w:sz w:val="22"/>
          <w:szCs w:val="22"/>
        </w:rPr>
        <w:t>; </w:t>
      </w:r>
    </w:p>
    <w:p w:rsidR="004B3DB6" w:rsidRDefault="004B3DB6" w:rsidP="004B3DB6">
      <w:pPr>
        <w:pStyle w:val="NormalWeb"/>
        <w:rPr>
          <w:rFonts w:ascii="Calibri" w:hAnsi="Calibri"/>
          <w:color w:val="000000"/>
          <w:sz w:val="22"/>
          <w:szCs w:val="22"/>
        </w:rPr>
      </w:pPr>
    </w:p>
    <w:p w:rsidR="004B3DB6" w:rsidRPr="009A2B02" w:rsidRDefault="004B3DB6" w:rsidP="004B3DB6">
      <w:pPr>
        <w:pStyle w:val="NormalWeb"/>
        <w:rPr>
          <w:rFonts w:ascii="Calibri" w:hAnsi="Calibri"/>
          <w:color w:val="000000"/>
          <w:sz w:val="27"/>
          <w:szCs w:val="27"/>
        </w:rPr>
      </w:pPr>
      <w:r w:rsidRPr="009A2B02">
        <w:rPr>
          <w:rFonts w:ascii="Calibri" w:hAnsi="Calibri"/>
          <w:color w:val="000000"/>
          <w:sz w:val="22"/>
          <w:szCs w:val="22"/>
        </w:rPr>
        <w:t xml:space="preserve"> </w:t>
      </w:r>
      <w:r w:rsidRPr="009A2B02">
        <w:rPr>
          <w:rFonts w:ascii="Calibri" w:eastAsia="Times New Roman" w:hAnsi="Calibri"/>
          <w:color w:val="000000"/>
          <w:sz w:val="22"/>
          <w:szCs w:val="22"/>
        </w:rPr>
        <w:t xml:space="preserve">Update: </w:t>
      </w:r>
      <w:r>
        <w:rPr>
          <w:rFonts w:ascii="Calibri" w:eastAsia="Times New Roman" w:hAnsi="Calibri"/>
          <w:color w:val="000000"/>
          <w:sz w:val="22"/>
          <w:szCs w:val="22"/>
        </w:rPr>
        <w:t xml:space="preserve">Partially Achieve and </w:t>
      </w:r>
      <w:r w:rsidRPr="009A2B02">
        <w:rPr>
          <w:rFonts w:ascii="Calibri" w:eastAsia="Times New Roman" w:hAnsi="Calibri"/>
          <w:color w:val="000000"/>
          <w:sz w:val="22"/>
          <w:szCs w:val="22"/>
        </w:rPr>
        <w:t>Ongoing.</w:t>
      </w:r>
    </w:p>
    <w:p w:rsidR="004B3DB6" w:rsidRPr="00E97393" w:rsidRDefault="004372DF"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b/>
          <w:bCs/>
          <w:i/>
          <w:color w:val="000000"/>
          <w:sz w:val="22"/>
          <w:szCs w:val="22"/>
        </w:rPr>
        <w:t>Achieved. </w:t>
      </w:r>
      <w:r w:rsidR="004B3DB6" w:rsidRPr="00E97393">
        <w:rPr>
          <w:rFonts w:ascii="Calibri" w:eastAsia="Times New Roman" w:hAnsi="Calibri"/>
          <w:i/>
          <w:color w:val="000000"/>
          <w:sz w:val="22"/>
          <w:szCs w:val="22"/>
        </w:rPr>
        <w:t>Expanding the DESE/DDS residential prevention program</w:t>
      </w:r>
      <w:r w:rsidRPr="00E97393">
        <w:rPr>
          <w:rFonts w:ascii="Calibri" w:eastAsia="Times New Roman" w:hAnsi="Calibri"/>
          <w:i/>
          <w:color w:val="000000"/>
          <w:sz w:val="22"/>
          <w:szCs w:val="22"/>
        </w:rPr>
        <w:t>.</w:t>
      </w:r>
      <w:r w:rsidR="004B3DB6" w:rsidRPr="00E97393">
        <w:rPr>
          <w:rFonts w:ascii="Calibri" w:eastAsia="Times New Roman" w:hAnsi="Calibri"/>
          <w:i/>
          <w:color w:val="000000"/>
          <w:sz w:val="22"/>
          <w:szCs w:val="22"/>
        </w:rPr>
        <w:t> </w:t>
      </w:r>
      <w:r w:rsidRPr="00E97393">
        <w:rPr>
          <w:rFonts w:ascii="Calibri" w:eastAsia="Times New Roman" w:hAnsi="Calibri"/>
          <w:i/>
          <w:color w:val="000000"/>
          <w:sz w:val="22"/>
          <w:szCs w:val="22"/>
        </w:rPr>
        <w:t>A</w:t>
      </w:r>
      <w:r w:rsidR="004B3DB6" w:rsidRPr="00E97393">
        <w:rPr>
          <w:rFonts w:ascii="Calibri" w:eastAsia="Times New Roman" w:hAnsi="Calibri"/>
          <w:i/>
          <w:color w:val="000000"/>
          <w:sz w:val="22"/>
          <w:szCs w:val="22"/>
        </w:rPr>
        <w:t xml:space="preserve">dditional funding has been provided to expand this program in FY20 from $6.5 mil to $10.5 mil. </w:t>
      </w:r>
    </w:p>
    <w:p w:rsidR="004B3DB6" w:rsidRPr="00E97393" w:rsidRDefault="0064776D"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 xml:space="preserve">Ongoing. </w:t>
      </w:r>
      <w:r w:rsidR="004B3DB6" w:rsidRPr="00E97393">
        <w:rPr>
          <w:rFonts w:ascii="Calibri" w:eastAsia="Times New Roman" w:hAnsi="Calibri"/>
          <w:i/>
          <w:color w:val="000000"/>
          <w:sz w:val="22"/>
          <w:szCs w:val="22"/>
        </w:rPr>
        <w:t xml:space="preserve">Developing specialized curriculums to address the need for comprehensive sexual education. </w:t>
      </w:r>
      <w:r w:rsidR="004B3DB6" w:rsidRPr="00E97393">
        <w:rPr>
          <w:rFonts w:ascii="Calibri" w:eastAsia="Times New Roman" w:hAnsi="Calibri"/>
          <w:bCs/>
          <w:i/>
          <w:color w:val="000000"/>
          <w:sz w:val="22"/>
          <w:szCs w:val="22"/>
        </w:rPr>
        <w:t>We will continue to collect data and work closely with DESE.</w:t>
      </w:r>
    </w:p>
    <w:p w:rsidR="004B3DB6" w:rsidRPr="00E97393" w:rsidRDefault="0064776D" w:rsidP="004B3DB6">
      <w:pPr>
        <w:numPr>
          <w:ilvl w:val="1"/>
          <w:numId w:val="5"/>
        </w:numPr>
        <w:spacing w:before="100" w:beforeAutospacing="1" w:after="100" w:afterAutospacing="1"/>
        <w:rPr>
          <w:rFonts w:ascii="Calibri" w:eastAsia="Times New Roman" w:hAnsi="Calibri"/>
          <w:i/>
          <w:color w:val="000000"/>
        </w:rPr>
      </w:pPr>
      <w:r w:rsidRPr="00E97393">
        <w:rPr>
          <w:rFonts w:ascii="Calibri" w:eastAsia="Times New Roman" w:hAnsi="Calibri"/>
          <w:i/>
          <w:color w:val="000000"/>
          <w:sz w:val="22"/>
          <w:szCs w:val="22"/>
        </w:rPr>
        <w:t>Ongoing</w:t>
      </w:r>
      <w:r w:rsidRPr="00E97393">
        <w:rPr>
          <w:rFonts w:ascii="Calibri" w:eastAsia="Times New Roman" w:hAnsi="Calibri"/>
          <w:i/>
          <w:iCs/>
          <w:color w:val="000000"/>
          <w:sz w:val="22"/>
          <w:szCs w:val="22"/>
        </w:rPr>
        <w:t xml:space="preserve"> .</w:t>
      </w:r>
      <w:r w:rsidR="004B3DB6" w:rsidRPr="00E97393">
        <w:rPr>
          <w:rFonts w:ascii="Calibri" w:eastAsia="Times New Roman" w:hAnsi="Calibri"/>
          <w:i/>
          <w:iCs/>
          <w:color w:val="000000"/>
          <w:sz w:val="22"/>
          <w:szCs w:val="22"/>
        </w:rPr>
        <w:t>Strengthening linkages among state agencies (including DDS, MRC, DMH, DCF and DESE) and their community partners in order to coordinate and compliment services provided.</w:t>
      </w:r>
    </w:p>
    <w:p w:rsidR="004B3DB6" w:rsidRPr="00E97393" w:rsidRDefault="0064776D" w:rsidP="004B3DB6">
      <w:pPr>
        <w:numPr>
          <w:ilvl w:val="1"/>
          <w:numId w:val="5"/>
        </w:numPr>
        <w:spacing w:before="100" w:beforeAutospacing="1" w:after="100" w:afterAutospacing="1"/>
        <w:rPr>
          <w:i/>
        </w:rPr>
      </w:pPr>
      <w:r w:rsidRPr="00E97393">
        <w:rPr>
          <w:rFonts w:ascii="Calibri" w:eastAsia="Times New Roman" w:hAnsi="Calibri"/>
          <w:i/>
          <w:color w:val="000000"/>
          <w:sz w:val="22"/>
          <w:szCs w:val="22"/>
        </w:rPr>
        <w:t>Ongoing</w:t>
      </w:r>
      <w:r w:rsidRPr="00E97393">
        <w:rPr>
          <w:rFonts w:ascii="Calibri" w:eastAsia="Times New Roman" w:hAnsi="Calibri"/>
          <w:i/>
          <w:iCs/>
          <w:color w:val="000000"/>
          <w:sz w:val="22"/>
          <w:szCs w:val="22"/>
        </w:rPr>
        <w:t xml:space="preserve">. </w:t>
      </w:r>
      <w:r w:rsidR="004B3DB6" w:rsidRPr="00E97393">
        <w:rPr>
          <w:rFonts w:ascii="Calibri" w:eastAsia="Times New Roman" w:hAnsi="Calibri"/>
          <w:i/>
          <w:iCs/>
          <w:color w:val="000000"/>
          <w:sz w:val="22"/>
          <w:szCs w:val="22"/>
        </w:rPr>
        <w:t xml:space="preserve">Exploring the possibility of implementing a “checklist” for the special education transition planning process to ensure the unique transition needs of the student are addressed. </w:t>
      </w:r>
    </w:p>
    <w:p w:rsidR="004B3DB6" w:rsidRDefault="00164FDD" w:rsidP="004B3DB6">
      <w:pPr>
        <w:pStyle w:val="NormalWeb"/>
        <w:rPr>
          <w:rFonts w:ascii="Calibri" w:hAnsi="Calibri"/>
          <w:color w:val="000000"/>
          <w:sz w:val="27"/>
          <w:szCs w:val="27"/>
        </w:rPr>
      </w:pPr>
      <w:r w:rsidRPr="00164FDD">
        <w:rPr>
          <w:rFonts w:ascii="Calibri" w:hAnsi="Calibri"/>
          <w:bCs/>
          <w:iCs/>
          <w:color w:val="000000"/>
          <w:sz w:val="22"/>
          <w:szCs w:val="22"/>
        </w:rPr>
        <w:t>1.</w:t>
      </w:r>
      <w:r>
        <w:rPr>
          <w:rFonts w:ascii="Calibri" w:hAnsi="Calibri"/>
          <w:b/>
          <w:bCs/>
          <w:iCs/>
          <w:color w:val="000000"/>
          <w:sz w:val="22"/>
          <w:szCs w:val="22"/>
        </w:rPr>
        <w:t xml:space="preserve"> </w:t>
      </w:r>
      <w:r w:rsidR="004B3DB6" w:rsidRPr="001B0A63">
        <w:rPr>
          <w:rFonts w:ascii="Calibri" w:hAnsi="Calibri"/>
          <w:b/>
          <w:bCs/>
          <w:iCs/>
          <w:color w:val="000000"/>
          <w:sz w:val="22"/>
          <w:szCs w:val="22"/>
        </w:rPr>
        <w:t>(New Recommendation) </w:t>
      </w:r>
      <w:r w:rsidR="004B3DB6" w:rsidRPr="001B0A63">
        <w:rPr>
          <w:rFonts w:ascii="Calibri" w:hAnsi="Calibri"/>
          <w:iCs/>
          <w:color w:val="000000"/>
          <w:sz w:val="22"/>
          <w:szCs w:val="22"/>
        </w:rPr>
        <w:t>DESE will continue to assist the 14-22/Employment Subcommittee in determining the numbers of ASD students with IEPs cal</w:t>
      </w:r>
      <w:r w:rsidR="004B3DB6">
        <w:rPr>
          <w:rFonts w:ascii="Calibri" w:hAnsi="Calibri"/>
          <w:iCs/>
          <w:color w:val="000000"/>
          <w:sz w:val="22"/>
          <w:szCs w:val="22"/>
        </w:rPr>
        <w:t>ling for an extended school day.  The 14-22/Employment Subcommittee</w:t>
      </w:r>
      <w:r w:rsidR="004B3DB6" w:rsidRPr="001B0A63">
        <w:rPr>
          <w:rFonts w:ascii="Calibri" w:hAnsi="Calibri"/>
          <w:iCs/>
          <w:color w:val="000000"/>
          <w:sz w:val="22"/>
          <w:szCs w:val="22"/>
        </w:rPr>
        <w:t xml:space="preserve"> will review </w:t>
      </w:r>
      <w:r w:rsidR="004B3DB6">
        <w:rPr>
          <w:rFonts w:ascii="Calibri" w:hAnsi="Calibri"/>
          <w:iCs/>
          <w:color w:val="000000"/>
          <w:sz w:val="22"/>
          <w:szCs w:val="22"/>
        </w:rPr>
        <w:t xml:space="preserve">any available </w:t>
      </w:r>
      <w:r w:rsidR="004B3DB6" w:rsidRPr="001B0A63">
        <w:rPr>
          <w:rFonts w:ascii="Calibri" w:hAnsi="Calibri"/>
          <w:iCs/>
          <w:color w:val="000000"/>
          <w:sz w:val="22"/>
          <w:szCs w:val="22"/>
        </w:rPr>
        <w:t xml:space="preserve">data on extended school day </w:t>
      </w:r>
      <w:r w:rsidR="004B3DB6">
        <w:rPr>
          <w:rFonts w:ascii="Calibri" w:hAnsi="Calibri"/>
          <w:iCs/>
          <w:color w:val="000000"/>
          <w:sz w:val="22"/>
          <w:szCs w:val="22"/>
        </w:rPr>
        <w:t>services for individuals with ASD, access to after-school programs by individuals with ASD, and the number of school aged individuals with ASD accessing other out of school time services (DDS/DESE program)</w:t>
      </w:r>
      <w:r w:rsidR="004B3DB6" w:rsidRPr="001B0A63">
        <w:rPr>
          <w:rFonts w:ascii="Calibri" w:hAnsi="Calibri"/>
          <w:iCs/>
          <w:color w:val="000000"/>
          <w:sz w:val="22"/>
          <w:szCs w:val="22"/>
        </w:rPr>
        <w:t>.  </w:t>
      </w:r>
      <w:r w:rsidR="004B3DB6">
        <w:rPr>
          <w:rFonts w:ascii="Calibri" w:hAnsi="Calibri"/>
          <w:i/>
          <w:iCs/>
          <w:color w:val="000000"/>
          <w:sz w:val="22"/>
          <w:szCs w:val="22"/>
        </w:rPr>
        <w:br/>
      </w:r>
      <w:r w:rsidR="004B3DB6">
        <w:rPr>
          <w:rFonts w:ascii="Calibri" w:hAnsi="Calibri"/>
          <w:i/>
          <w:iCs/>
          <w:color w:val="000000"/>
          <w:sz w:val="22"/>
          <w:szCs w:val="22"/>
        </w:rPr>
        <w:br/>
        <w:t>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w:t>
      </w:r>
    </w:p>
    <w:p w:rsidR="004B3DB6" w:rsidRDefault="004B3DB6" w:rsidP="004B3DB6">
      <w:pPr>
        <w:pStyle w:val="NormalWeb"/>
        <w:rPr>
          <w:rFonts w:ascii="Calibri" w:hAnsi="Calibri"/>
          <w:i/>
          <w:iCs/>
          <w:color w:val="000000"/>
          <w:sz w:val="22"/>
          <w:szCs w:val="22"/>
        </w:rPr>
      </w:pPr>
      <w:r>
        <w:rPr>
          <w:rFonts w:ascii="Calibri" w:hAnsi="Calibri"/>
          <w:i/>
          <w:iCs/>
          <w:color w:val="000000"/>
          <w:sz w:val="22"/>
          <w:szCs w:val="22"/>
        </w:rPr>
        <w:lastRenderedPageBreak/>
        <w:t>The 14-22/Employment Subcommittee will evaluate ways to provide information to parents, self-advocates, and school districts related to the rights to extended day programming.</w:t>
      </w:r>
    </w:p>
    <w:p w:rsidR="00BF363D" w:rsidRDefault="00BF363D" w:rsidP="004B3DB6">
      <w:pPr>
        <w:pStyle w:val="NormalWeb"/>
        <w:rPr>
          <w:rFonts w:ascii="Calibri" w:hAnsi="Calibri"/>
          <w:color w:val="000000"/>
          <w:sz w:val="27"/>
          <w:szCs w:val="27"/>
        </w:rPr>
      </w:pPr>
    </w:p>
    <w:p w:rsidR="00BF363D" w:rsidRDefault="00BF363D" w:rsidP="004B3DB6">
      <w:pPr>
        <w:pStyle w:val="NormalWeb"/>
        <w:rPr>
          <w:rFonts w:ascii="Calibri" w:hAnsi="Calibri"/>
          <w:color w:val="000000"/>
          <w:sz w:val="27"/>
          <w:szCs w:val="27"/>
        </w:rPr>
      </w:pPr>
    </w:p>
    <w:p w:rsidR="00BF363D" w:rsidRPr="00164FDD" w:rsidRDefault="00BF363D" w:rsidP="00BF363D">
      <w:pPr>
        <w:pStyle w:val="NormalWeb"/>
        <w:jc w:val="center"/>
        <w:rPr>
          <w:rFonts w:asciiTheme="minorHAnsi" w:hAnsiTheme="minorHAnsi"/>
          <w:b/>
          <w:color w:val="000000"/>
          <w:sz w:val="22"/>
          <w:szCs w:val="22"/>
          <w:u w:val="single"/>
        </w:rPr>
      </w:pPr>
      <w:r w:rsidRPr="00164FDD">
        <w:rPr>
          <w:rFonts w:asciiTheme="minorHAnsi" w:hAnsiTheme="minorHAnsi"/>
          <w:b/>
          <w:color w:val="000000"/>
          <w:sz w:val="22"/>
          <w:szCs w:val="22"/>
          <w:u w:val="single"/>
        </w:rPr>
        <w:t>Adult Subcommittee</w:t>
      </w:r>
    </w:p>
    <w:p w:rsidR="00BF363D" w:rsidRDefault="00BF363D" w:rsidP="00BF363D">
      <w:pPr>
        <w:pStyle w:val="NormalWeb"/>
        <w:jc w:val="center"/>
        <w:rPr>
          <w:rFonts w:asciiTheme="minorHAnsi" w:hAnsiTheme="minorHAnsi"/>
          <w:color w:val="000000"/>
          <w:sz w:val="22"/>
          <w:szCs w:val="22"/>
          <w:u w:val="single"/>
        </w:rPr>
      </w:pPr>
    </w:p>
    <w:p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rsidR="004B3DB6" w:rsidRDefault="004B3DB6" w:rsidP="004B3DB6"/>
    <w:p w:rsidR="004B3DB6" w:rsidRPr="00797DD3" w:rsidRDefault="00E97393" w:rsidP="004B3DB6">
      <w:pPr>
        <w:pStyle w:val="NoSpacing"/>
        <w:rPr>
          <w:rFonts w:ascii="Times New Roman" w:eastAsia="Times New Roman" w:hAnsi="Times New Roman" w:cs="Times New Roman"/>
        </w:rPr>
      </w:pPr>
      <w:r>
        <w:t xml:space="preserve">1.  </w:t>
      </w:r>
      <w:r w:rsidR="004B3DB6" w:rsidRPr="00797DD3">
        <w:t xml:space="preserve">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rsidR="004B3DB6" w:rsidRDefault="004B3DB6" w:rsidP="004B3DB6">
      <w:pPr>
        <w:pStyle w:val="NoSpacing"/>
        <w:rPr>
          <w:i/>
        </w:rPr>
      </w:pPr>
    </w:p>
    <w:p w:rsidR="001A1213" w:rsidRPr="001A1213" w:rsidRDefault="004B3DB6" w:rsidP="001A1213">
      <w:pPr>
        <w:rPr>
          <w:rFonts w:cs="Times New Roman"/>
          <w:i/>
          <w:sz w:val="22"/>
          <w:szCs w:val="22"/>
        </w:rPr>
      </w:pPr>
      <w:r w:rsidRPr="00797DD3">
        <w:rPr>
          <w:i/>
        </w:rPr>
        <w:t xml:space="preserve">Update: </w:t>
      </w:r>
      <w:r w:rsidRPr="001A1213">
        <w:rPr>
          <w:i/>
          <w:sz w:val="22"/>
          <w:szCs w:val="22"/>
        </w:rPr>
        <w:t xml:space="preserve">This work is on-going. DDS and DMH conducted a pilot program from January 2019-June 2019, to address the needs of 8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 </w:t>
      </w:r>
      <w:r w:rsidR="00A950F7" w:rsidRPr="001A1213">
        <w:rPr>
          <w:rFonts w:cs="Times New Roman"/>
          <w:i/>
          <w:sz w:val="22"/>
          <w:szCs w:val="22"/>
        </w:rPr>
        <w:t xml:space="preserve">Of the 8 individuals, 7 engaged with the coaches on a regular basis.  One individual had no engagement with the coach after an initial two hour meeting.  After that, the coach made several attempts to engage this individual via phone, email, and text to no avail. Coaches scheduled meetings with individuals on a regular basis with a maximum of 10 hours per week, including non-direct collateral work on the individual’s behalf. The number of hours of service differed greatly between the two providers in part due to the difference in the structure of the two programs and the issues the individuals had.  One provider had 117 hours of direct service for 4 individuals which included the two hours of service for one individual who did not participate after the initial meeting, meaning 115 hours of direct service.   Provider B had 501.75 hours of direct service.  Two of the individuals served by Provider B were outliers relative to the large volume of hours used.  There were a total number of 324 in-person meetings with individuals and coaches spanning six months between January and June 2019.   Thirty-three .six % (33.6%) of the meetings included a family member in the meeting with the individual.  Typical meetings lasted 2 -3 hours.  </w:t>
      </w:r>
      <w:r w:rsidR="001A1213" w:rsidRPr="001A1213">
        <w:rPr>
          <w:rFonts w:cs="Times New Roman"/>
          <w:i/>
          <w:sz w:val="22"/>
          <w:szCs w:val="22"/>
        </w:rPr>
        <w:t>The individuals made both small and larger gains dues to the impact of the pre- coaching service</w:t>
      </w:r>
      <w:r w:rsidR="001A1213">
        <w:rPr>
          <w:rFonts w:cs="Times New Roman"/>
          <w:i/>
          <w:sz w:val="22"/>
          <w:szCs w:val="22"/>
        </w:rPr>
        <w:t xml:space="preserve"> </w:t>
      </w:r>
      <w:r w:rsidR="001A1213" w:rsidRPr="001A1213">
        <w:rPr>
          <w:rFonts w:cs="Times New Roman"/>
          <w:i/>
          <w:sz w:val="22"/>
          <w:szCs w:val="22"/>
        </w:rPr>
        <w:t xml:space="preserve">many of which are not easily quantified but clearly qualitatively real. These include: </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Acquisition of coping skills for anxiety</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Increased interest in social activities and positive community interactions</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Self-advocacy</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Applying for job including resume writing</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 awareness of public safety</w:t>
      </w:r>
    </w:p>
    <w:p w:rsidR="001A1213" w:rsidRPr="001A1213" w:rsidRDefault="001A1213" w:rsidP="001A1213">
      <w:pPr>
        <w:numPr>
          <w:ilvl w:val="0"/>
          <w:numId w:val="8"/>
        </w:numPr>
        <w:contextualSpacing/>
        <w:rPr>
          <w:rFonts w:cs="Times New Roman"/>
          <w:i/>
          <w:sz w:val="22"/>
          <w:szCs w:val="22"/>
        </w:rPr>
      </w:pPr>
      <w:r w:rsidRPr="001A1213">
        <w:rPr>
          <w:rFonts w:cs="Times New Roman"/>
          <w:i/>
          <w:sz w:val="22"/>
          <w:szCs w:val="22"/>
        </w:rPr>
        <w:t>Increase in appropriate social skills including appropriate greetings and engagement in small talk</w:t>
      </w:r>
    </w:p>
    <w:p w:rsidR="004B3DB6" w:rsidRPr="00797DD3" w:rsidRDefault="004B3DB6" w:rsidP="004B3DB6">
      <w:pPr>
        <w:pStyle w:val="NoSpacing"/>
      </w:pPr>
      <w:r w:rsidRPr="00797DD3">
        <w:t> </w:t>
      </w:r>
    </w:p>
    <w:p w:rsidR="004B3DB6" w:rsidRDefault="00E97393" w:rsidP="004B3DB6">
      <w:pPr>
        <w:pStyle w:val="NoSpacing"/>
      </w:pPr>
      <w:r>
        <w:t xml:space="preserve">2.  </w:t>
      </w:r>
      <w:r w:rsidR="004B3DB6" w:rsidRPr="00797DD3">
        <w:t>The Adult Subcommittee will work with the Executive Of</w:t>
      </w:r>
      <w:r w:rsidR="004B3DB6">
        <w:t>fice of Elder Affairs (EOEA) to</w:t>
      </w:r>
    </w:p>
    <w:p w:rsidR="004B3DB6" w:rsidRDefault="004B3DB6" w:rsidP="004B3DB6">
      <w:pPr>
        <w:pStyle w:val="NoSpacing"/>
      </w:pPr>
      <w:r>
        <w:t xml:space="preserve">examine </w:t>
      </w:r>
      <w:r w:rsidRPr="00797DD3">
        <w:t xml:space="preserve">information </w:t>
      </w:r>
      <w:r>
        <w:t xml:space="preserve">available </w:t>
      </w:r>
      <w:r w:rsidRPr="00797DD3">
        <w:t>regarding that agency’s involvement with aging individuals presenting with ASD</w:t>
      </w:r>
      <w:r>
        <w:t>, their aging caregivers</w:t>
      </w:r>
      <w:r w:rsidRPr="00797DD3">
        <w:t>, and collaborate with EOEA to</w:t>
      </w:r>
      <w:r>
        <w:t xml:space="preserve"> examine opportunities for local collaboration, including trainings on ASD by the Autism support centers for councils on aging in different regions</w:t>
      </w:r>
      <w:r w:rsidRPr="00797DD3">
        <w:t>.</w:t>
      </w:r>
    </w:p>
    <w:p w:rsidR="004B3DB6" w:rsidRDefault="004B3DB6" w:rsidP="004B3DB6">
      <w:pPr>
        <w:pStyle w:val="NoSpacing"/>
        <w:rPr>
          <w:i/>
        </w:rPr>
      </w:pPr>
    </w:p>
    <w:p w:rsidR="004B3DB6" w:rsidRPr="00F940D0" w:rsidRDefault="004B3DB6" w:rsidP="004B3DB6">
      <w:pPr>
        <w:pStyle w:val="NoSpacing"/>
        <w:rPr>
          <w:i/>
        </w:rPr>
      </w:pPr>
      <w:r w:rsidRPr="00F940D0">
        <w:rPr>
          <w:i/>
        </w:rPr>
        <w:t xml:space="preserve">Update:  </w:t>
      </w:r>
      <w:r>
        <w:rPr>
          <w:i/>
        </w:rPr>
        <w:t xml:space="preserve">This work is on-going. A member of the </w:t>
      </w:r>
      <w:r w:rsidRPr="00F940D0">
        <w:rPr>
          <w:i/>
        </w:rPr>
        <w:t xml:space="preserve">EOEA </w:t>
      </w:r>
      <w:r>
        <w:rPr>
          <w:i/>
        </w:rPr>
        <w:t>agency participates</w:t>
      </w:r>
      <w:r w:rsidRPr="00F940D0">
        <w:rPr>
          <w:i/>
        </w:rPr>
        <w:t xml:space="preserve"> on the Adult subcommittee and has provided a presentation on various services provided through EOEA</w:t>
      </w:r>
      <w:r>
        <w:rPr>
          <w:i/>
        </w:rPr>
        <w:t xml:space="preserve"> to educate the subcommittee on the types of resources that may be available through EOEA to older individuals with ASD.  The Adult subcommittee continues </w:t>
      </w:r>
      <w:r w:rsidRPr="00F940D0">
        <w:rPr>
          <w:i/>
        </w:rPr>
        <w:t xml:space="preserve">to explore opportunities for collaboration </w:t>
      </w:r>
      <w:r>
        <w:rPr>
          <w:i/>
        </w:rPr>
        <w:t xml:space="preserve">with DDS and other state agencies with EOEA </w:t>
      </w:r>
      <w:r w:rsidRPr="00F940D0">
        <w:rPr>
          <w:i/>
        </w:rPr>
        <w:t xml:space="preserve">and </w:t>
      </w:r>
      <w:r>
        <w:rPr>
          <w:i/>
        </w:rPr>
        <w:t xml:space="preserve">to establish effective </w:t>
      </w:r>
      <w:r w:rsidRPr="00F940D0">
        <w:rPr>
          <w:i/>
        </w:rPr>
        <w:t>connection</w:t>
      </w:r>
      <w:r>
        <w:rPr>
          <w:i/>
        </w:rPr>
        <w:t>s</w:t>
      </w:r>
      <w:r w:rsidRPr="00F940D0">
        <w:rPr>
          <w:i/>
        </w:rPr>
        <w:t xml:space="preserve"> </w:t>
      </w:r>
      <w:r>
        <w:rPr>
          <w:i/>
        </w:rPr>
        <w:t xml:space="preserve">for older individuals with ASD </w:t>
      </w:r>
      <w:r w:rsidRPr="00F940D0">
        <w:rPr>
          <w:i/>
        </w:rPr>
        <w:t xml:space="preserve">and their </w:t>
      </w:r>
      <w:r>
        <w:rPr>
          <w:i/>
        </w:rPr>
        <w:t xml:space="preserve">aging </w:t>
      </w:r>
      <w:r w:rsidRPr="00F940D0">
        <w:rPr>
          <w:i/>
        </w:rPr>
        <w:t>caregivers.</w:t>
      </w:r>
    </w:p>
    <w:p w:rsidR="004B3DB6" w:rsidRPr="00797DD3" w:rsidRDefault="004B3DB6" w:rsidP="004B3DB6">
      <w:pPr>
        <w:pStyle w:val="NoSpacing"/>
      </w:pPr>
      <w:r w:rsidRPr="00797DD3">
        <w:t> </w:t>
      </w:r>
    </w:p>
    <w:p w:rsidR="004B3DB6" w:rsidRPr="00797DD3" w:rsidRDefault="004B3DB6" w:rsidP="004B3DB6">
      <w:pPr>
        <w:pStyle w:val="NoSpacing"/>
      </w:pPr>
      <w:r w:rsidRPr="00797DD3">
        <w:t xml:space="preserve"> 3.  DDS, in conjunction with DMH and MassHealth develop and establish specialty ASD adult services that are designed and staffed to meet the needs of adults with ASD who present with severe challenging behaviors, </w:t>
      </w:r>
      <w:r>
        <w:t xml:space="preserve">forensic issues (court involved) </w:t>
      </w:r>
      <w:r w:rsidRPr="00797DD3">
        <w:t xml:space="preserve">including but not limited to; Day-Habilitation services, Community-Based Day Support services and other types of day services and specialized clinical support services necessary to effectively serve these adult individuals.  </w:t>
      </w:r>
    </w:p>
    <w:p w:rsidR="004B3DB6" w:rsidRPr="00797DD3" w:rsidRDefault="004B3DB6" w:rsidP="004B3DB6">
      <w:pPr>
        <w:pStyle w:val="NoSpacing"/>
      </w:pPr>
      <w:r w:rsidRPr="00797DD3">
        <w:t> </w:t>
      </w:r>
    </w:p>
    <w:p w:rsidR="004B3DB6" w:rsidRPr="00177A5C" w:rsidRDefault="004B3DB6" w:rsidP="004B3DB6">
      <w:pPr>
        <w:pStyle w:val="NoSpacing"/>
        <w:rPr>
          <w:i/>
        </w:rPr>
      </w:pPr>
      <w:r w:rsidRPr="007935B9">
        <w:rPr>
          <w:i/>
        </w:rPr>
        <w:t xml:space="preserve"> Update: This work is on-going. The Adult subcommittee is continuing to examine the services currently available to service this population</w:t>
      </w:r>
      <w:r>
        <w:rPr>
          <w:i/>
        </w:rPr>
        <w:t xml:space="preserve"> and current unmet needs</w:t>
      </w:r>
      <w:r w:rsidRPr="007935B9">
        <w:rPr>
          <w:i/>
        </w:rPr>
        <w:t>.</w:t>
      </w:r>
      <w:r>
        <w:rPr>
          <w:i/>
        </w:rPr>
        <w:t xml:space="preserve">  Several adult service providers have presented to this subcommittee and DDS has been asked to present on services available through its state programs.</w:t>
      </w:r>
      <w:r w:rsidRPr="00177A5C">
        <w:rPr>
          <w:rFonts w:ascii="Arial" w:hAnsi="Arial" w:cs="Arial"/>
          <w:color w:val="000000"/>
          <w:sz w:val="20"/>
          <w:szCs w:val="20"/>
        </w:rPr>
        <w:t xml:space="preserve"> </w:t>
      </w:r>
      <w:r w:rsidRPr="00177A5C">
        <w:rPr>
          <w:rFonts w:cs="Arial"/>
          <w:i/>
          <w:color w:val="000000"/>
        </w:rPr>
        <w:t>In the coming weeks, the subcommittee will focus on the potential for increased case management services</w:t>
      </w:r>
      <w:r>
        <w:rPr>
          <w:rFonts w:cs="Arial"/>
          <w:i/>
          <w:color w:val="000000"/>
        </w:rPr>
        <w:t>.</w:t>
      </w:r>
    </w:p>
    <w:p w:rsidR="002E401C" w:rsidRDefault="002E401C">
      <w:pPr>
        <w:rPr>
          <w:sz w:val="22"/>
          <w:szCs w:val="22"/>
        </w:rPr>
      </w:pPr>
    </w:p>
    <w:p w:rsidR="00BF363D" w:rsidRPr="00164FDD" w:rsidRDefault="00BF363D" w:rsidP="00BF363D">
      <w:pPr>
        <w:jc w:val="center"/>
        <w:rPr>
          <w:b/>
          <w:sz w:val="22"/>
          <w:szCs w:val="22"/>
          <w:u w:val="single"/>
        </w:rPr>
      </w:pPr>
      <w:r w:rsidRPr="00164FDD">
        <w:rPr>
          <w:b/>
          <w:sz w:val="22"/>
          <w:szCs w:val="22"/>
          <w:u w:val="single"/>
        </w:rPr>
        <w:t>Housing Subcommittee</w:t>
      </w:r>
    </w:p>
    <w:p w:rsidR="00BF363D" w:rsidRDefault="00BF363D">
      <w:pPr>
        <w:rPr>
          <w:sz w:val="22"/>
          <w:szCs w:val="22"/>
        </w:rPr>
      </w:pPr>
    </w:p>
    <w:p w:rsidR="00BF363D" w:rsidRDefault="00BF363D">
      <w:pPr>
        <w:rPr>
          <w:sz w:val="22"/>
          <w:szCs w:val="22"/>
        </w:rPr>
      </w:pPr>
      <w:r w:rsidRPr="00BF363D">
        <w:rPr>
          <w:sz w:val="22"/>
          <w:szCs w:val="22"/>
          <w:u w:val="single"/>
        </w:rPr>
        <w:t>2018 Recommendation</w:t>
      </w:r>
      <w:r>
        <w:rPr>
          <w:sz w:val="22"/>
          <w:szCs w:val="22"/>
          <w:u w:val="single"/>
        </w:rPr>
        <w:t>s</w:t>
      </w:r>
    </w:p>
    <w:p w:rsidR="00BF363D" w:rsidRDefault="00BF363D">
      <w:pPr>
        <w:rPr>
          <w:sz w:val="22"/>
          <w:szCs w:val="22"/>
        </w:rPr>
      </w:pPr>
    </w:p>
    <w:p w:rsidR="004B3DB6" w:rsidRPr="00BF363D" w:rsidRDefault="004B3DB6" w:rsidP="004B3DB6">
      <w:pPr>
        <w:rPr>
          <w:sz w:val="22"/>
          <w:szCs w:val="22"/>
        </w:rPr>
      </w:pPr>
      <w:r w:rsidRPr="00BF363D">
        <w:rPr>
          <w:sz w:val="22"/>
          <w:szCs w:val="22"/>
        </w:rPr>
        <w:t>1. The Housing Subcommittee 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rsidR="004B3DB6" w:rsidRPr="00BF363D" w:rsidRDefault="004B3DB6" w:rsidP="004B3DB6">
      <w:pPr>
        <w:rPr>
          <w:sz w:val="22"/>
          <w:szCs w:val="22"/>
        </w:rPr>
      </w:pPr>
    </w:p>
    <w:p w:rsidR="004B3DB6" w:rsidRDefault="004B3DB6" w:rsidP="004B3DB6">
      <w:pPr>
        <w:rPr>
          <w:i/>
          <w:sz w:val="22"/>
          <w:szCs w:val="22"/>
        </w:rPr>
      </w:pPr>
      <w:r w:rsidRPr="00BF363D">
        <w:rPr>
          <w:i/>
          <w:sz w:val="22"/>
          <w:szCs w:val="22"/>
        </w:rPr>
        <w:t xml:space="preserve"> Update: On-going. The Housing subcommittee reviewed with the DHCD representative on the subcommittee the design specifications on two projects underway on Cape Cod and discussed potential design additions to meet the needs of individuals with autism spectrum disorder. </w:t>
      </w:r>
    </w:p>
    <w:p w:rsidR="0064776D" w:rsidRPr="00BF363D" w:rsidRDefault="0064776D" w:rsidP="004B3DB6">
      <w:pPr>
        <w:rPr>
          <w:i/>
          <w:sz w:val="22"/>
          <w:szCs w:val="22"/>
        </w:rPr>
      </w:pPr>
    </w:p>
    <w:p w:rsidR="004B3DB6" w:rsidRPr="00BF363D" w:rsidRDefault="004B3DB6" w:rsidP="004B3DB6">
      <w:pPr>
        <w:rPr>
          <w:sz w:val="22"/>
          <w:szCs w:val="22"/>
        </w:rPr>
      </w:pPr>
      <w:r w:rsidRPr="00BF363D">
        <w:rPr>
          <w:sz w:val="22"/>
          <w:szCs w:val="22"/>
        </w:rPr>
        <w:t> 2.   Initiate a statewide outreach and data collection on homeless adults with ASD.  The Subcommittee will collaborate with stakeholders to identify the number of adults with ASD who may be living in shelters or on the street. These efforts will include;</w:t>
      </w:r>
    </w:p>
    <w:p w:rsidR="004B3DB6" w:rsidRPr="00BF363D" w:rsidRDefault="004B3DB6" w:rsidP="004B3DB6">
      <w:pPr>
        <w:numPr>
          <w:ilvl w:val="1"/>
          <w:numId w:val="6"/>
        </w:numPr>
        <w:spacing w:after="200" w:line="276" w:lineRule="auto"/>
        <w:rPr>
          <w:sz w:val="22"/>
          <w:szCs w:val="22"/>
        </w:rPr>
      </w:pPr>
      <w:r w:rsidRPr="00BF363D">
        <w:rPr>
          <w:sz w:val="22"/>
          <w:szCs w:val="22"/>
        </w:rPr>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rsidR="004B3DB6" w:rsidRPr="00BF363D" w:rsidRDefault="004B3DB6" w:rsidP="004B3DB6">
      <w:pPr>
        <w:numPr>
          <w:ilvl w:val="1"/>
          <w:numId w:val="6"/>
        </w:numPr>
        <w:spacing w:after="200" w:line="276" w:lineRule="auto"/>
        <w:rPr>
          <w:sz w:val="22"/>
          <w:szCs w:val="22"/>
        </w:rPr>
      </w:pPr>
      <w:r w:rsidRPr="00BF363D">
        <w:rPr>
          <w:sz w:val="22"/>
          <w:szCs w:val="22"/>
        </w:rPr>
        <w:t>Contact Healthcare for the Homeless to request their assistance in identifying the number of adults with ASD living on the streets, and amending the HUD questionnaire to include questions about disability and ASD diagnosis.</w:t>
      </w:r>
    </w:p>
    <w:p w:rsidR="004B3DB6" w:rsidRPr="00BF363D" w:rsidRDefault="004B3DB6" w:rsidP="004B3DB6">
      <w:pPr>
        <w:numPr>
          <w:ilvl w:val="1"/>
          <w:numId w:val="6"/>
        </w:numPr>
        <w:spacing w:after="200" w:line="276" w:lineRule="auto"/>
        <w:rPr>
          <w:sz w:val="22"/>
          <w:szCs w:val="22"/>
        </w:rPr>
      </w:pPr>
      <w:r w:rsidRPr="00BF363D">
        <w:rPr>
          <w:sz w:val="22"/>
          <w:szCs w:val="22"/>
        </w:rPr>
        <w:lastRenderedPageBreak/>
        <w:t>Engage with the Inter-Agency Council on Homelessness to provide training on ASD and the states services that adults with ASD may be eligible to receive.</w:t>
      </w:r>
    </w:p>
    <w:p w:rsidR="004B3DB6" w:rsidRPr="00BF363D" w:rsidRDefault="004B3DB6" w:rsidP="004B3DB6">
      <w:pPr>
        <w:numPr>
          <w:ilvl w:val="1"/>
          <w:numId w:val="6"/>
        </w:numPr>
        <w:spacing w:after="200" w:line="276" w:lineRule="auto"/>
        <w:rPr>
          <w:sz w:val="22"/>
          <w:szCs w:val="22"/>
        </w:rPr>
      </w:pPr>
      <w:r w:rsidRPr="00BF363D">
        <w:rPr>
          <w:sz w:val="22"/>
          <w:szCs w:val="22"/>
        </w:rPr>
        <w:t>Contact the Independent Living Centers to assess the number of adults with ASD utilizing this resource and their housing status.</w:t>
      </w:r>
    </w:p>
    <w:p w:rsidR="004B3DB6" w:rsidRPr="00BF363D" w:rsidRDefault="004B3DB6" w:rsidP="004B3DB6">
      <w:pPr>
        <w:numPr>
          <w:ilvl w:val="1"/>
          <w:numId w:val="6"/>
        </w:numPr>
        <w:spacing w:after="200" w:line="276" w:lineRule="auto"/>
        <w:rPr>
          <w:sz w:val="22"/>
          <w:szCs w:val="22"/>
        </w:rPr>
      </w:pPr>
      <w:r w:rsidRPr="00BF363D">
        <w:rPr>
          <w:sz w:val="22"/>
          <w:szCs w:val="22"/>
        </w:rPr>
        <w:t xml:space="preserve"> Conduct outreach to the Commonwealth’s Continuum of Care (COC) Programs to collect data on the number of homeless adults with ASD</w:t>
      </w:r>
    </w:p>
    <w:p w:rsidR="004B3DB6" w:rsidRPr="00BF363D" w:rsidRDefault="004B3DB6" w:rsidP="004B3DB6">
      <w:pPr>
        <w:tabs>
          <w:tab w:val="left" w:pos="720"/>
        </w:tabs>
        <w:rPr>
          <w:i/>
          <w:sz w:val="22"/>
          <w:szCs w:val="22"/>
        </w:rPr>
      </w:pPr>
      <w:r w:rsidRPr="00BF363D">
        <w:rPr>
          <w:i/>
          <w:sz w:val="22"/>
          <w:szCs w:val="22"/>
        </w:rPr>
        <w:t>Update: On-going.  The Subcommittee continues to explore the issues of individuals with autism spectrum disorder who are homeless and are accessing the shelter system on living on the streets.  It was not possible for the PA</w:t>
      </w:r>
      <w:r w:rsidR="004372DF">
        <w:rPr>
          <w:i/>
          <w:sz w:val="22"/>
          <w:szCs w:val="22"/>
        </w:rPr>
        <w:t>TH program through DMH to expand its scope for</w:t>
      </w:r>
      <w:r w:rsidRPr="00BF363D">
        <w:rPr>
          <w:i/>
          <w:sz w:val="22"/>
          <w:szCs w:val="22"/>
        </w:rPr>
        <w:t xml:space="preserve">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rsidR="004B3DB6" w:rsidRPr="00BF363D" w:rsidRDefault="004B3DB6" w:rsidP="004B3DB6">
      <w:pPr>
        <w:tabs>
          <w:tab w:val="left" w:pos="720"/>
        </w:tabs>
        <w:rPr>
          <w:i/>
          <w:sz w:val="22"/>
          <w:szCs w:val="22"/>
        </w:rPr>
      </w:pPr>
    </w:p>
    <w:p w:rsidR="004B3DB6" w:rsidRPr="008F587E" w:rsidRDefault="004B3DB6" w:rsidP="004B3DB6">
      <w:pPr>
        <w:spacing w:after="200" w:line="276" w:lineRule="auto"/>
        <w:rPr>
          <w:sz w:val="22"/>
          <w:szCs w:val="22"/>
        </w:rPr>
      </w:pPr>
      <w:r w:rsidRPr="00BF363D">
        <w:rPr>
          <w:sz w:val="22"/>
          <w:szCs w:val="22"/>
        </w:rPr>
        <w:t xml:space="preserve">3. The Department of Developmental Services (DDS) will collect data on the number of individuals who have; 1) been admitted to Hogan from their group home, 2) whether that individual returned to their current group home or transferred to another group home; and 3) length of stay.  DDS will report this data </w:t>
      </w:r>
      <w:r w:rsidRPr="008F587E">
        <w:rPr>
          <w:sz w:val="22"/>
          <w:szCs w:val="22"/>
        </w:rPr>
        <w:t xml:space="preserve">quarterly to the Housing Subcommittee of the Autism Commission.     </w:t>
      </w:r>
    </w:p>
    <w:p w:rsidR="004B3DB6" w:rsidRPr="001A1213" w:rsidRDefault="004B3DB6" w:rsidP="004B3DB6">
      <w:pPr>
        <w:rPr>
          <w:i/>
          <w:sz w:val="22"/>
          <w:szCs w:val="22"/>
        </w:rPr>
      </w:pPr>
      <w:r w:rsidRPr="001A1213">
        <w:rPr>
          <w:i/>
          <w:sz w:val="22"/>
          <w:szCs w:val="22"/>
        </w:rPr>
        <w:t xml:space="preserve">Update: </w:t>
      </w:r>
    </w:p>
    <w:tbl>
      <w:tblPr>
        <w:tblStyle w:val="TableGrid"/>
        <w:tblW w:w="0" w:type="auto"/>
        <w:tblLook w:val="04A0" w:firstRow="1" w:lastRow="0" w:firstColumn="1" w:lastColumn="0" w:noHBand="0" w:noVBand="1"/>
      </w:tblPr>
      <w:tblGrid>
        <w:gridCol w:w="1775"/>
        <w:gridCol w:w="2421"/>
        <w:gridCol w:w="1237"/>
        <w:gridCol w:w="1209"/>
        <w:gridCol w:w="1098"/>
        <w:gridCol w:w="1229"/>
      </w:tblGrid>
      <w:tr w:rsidR="008F587E" w:rsidRPr="001A1213" w:rsidTr="008F587E">
        <w:tc>
          <w:tcPr>
            <w:tcW w:w="1775" w:type="dxa"/>
          </w:tcPr>
          <w:p w:rsidR="008F587E" w:rsidRPr="001A1213" w:rsidRDefault="008F587E" w:rsidP="001B08BC">
            <w:pPr>
              <w:rPr>
                <w:i/>
                <w:sz w:val="22"/>
                <w:szCs w:val="22"/>
              </w:rPr>
            </w:pPr>
            <w:r w:rsidRPr="001A1213">
              <w:rPr>
                <w:i/>
                <w:sz w:val="22"/>
                <w:szCs w:val="22"/>
              </w:rPr>
              <w:t>Quarter</w:t>
            </w:r>
          </w:p>
        </w:tc>
        <w:tc>
          <w:tcPr>
            <w:tcW w:w="2421" w:type="dxa"/>
          </w:tcPr>
          <w:p w:rsidR="008F587E" w:rsidRPr="001A1213" w:rsidRDefault="008F587E" w:rsidP="001B08BC">
            <w:pPr>
              <w:rPr>
                <w:i/>
                <w:sz w:val="22"/>
                <w:szCs w:val="22"/>
              </w:rPr>
            </w:pPr>
            <w:r w:rsidRPr="001A1213">
              <w:rPr>
                <w:i/>
                <w:sz w:val="22"/>
                <w:szCs w:val="22"/>
              </w:rPr>
              <w:t>From</w:t>
            </w:r>
          </w:p>
        </w:tc>
        <w:tc>
          <w:tcPr>
            <w:tcW w:w="1237" w:type="dxa"/>
          </w:tcPr>
          <w:p w:rsidR="008F587E" w:rsidRPr="001A1213" w:rsidRDefault="008F587E" w:rsidP="001B08BC">
            <w:pPr>
              <w:rPr>
                <w:i/>
                <w:sz w:val="22"/>
                <w:szCs w:val="22"/>
              </w:rPr>
            </w:pPr>
            <w:r w:rsidRPr="001A1213">
              <w:rPr>
                <w:i/>
                <w:sz w:val="22"/>
                <w:szCs w:val="22"/>
              </w:rPr>
              <w:t xml:space="preserve">Discharge </w:t>
            </w:r>
          </w:p>
        </w:tc>
        <w:tc>
          <w:tcPr>
            <w:tcW w:w="1209" w:type="dxa"/>
          </w:tcPr>
          <w:p w:rsidR="008F587E" w:rsidRPr="001A1213" w:rsidRDefault="008F587E" w:rsidP="001B08BC">
            <w:pPr>
              <w:rPr>
                <w:i/>
                <w:sz w:val="22"/>
                <w:szCs w:val="22"/>
              </w:rPr>
            </w:pPr>
            <w:r w:rsidRPr="001A1213">
              <w:rPr>
                <w:i/>
                <w:sz w:val="22"/>
                <w:szCs w:val="22"/>
              </w:rPr>
              <w:t>To</w:t>
            </w:r>
          </w:p>
        </w:tc>
        <w:tc>
          <w:tcPr>
            <w:tcW w:w="1098" w:type="dxa"/>
          </w:tcPr>
          <w:p w:rsidR="008F587E" w:rsidRPr="001A1213" w:rsidRDefault="008F587E" w:rsidP="001B08BC">
            <w:pPr>
              <w:rPr>
                <w:i/>
                <w:sz w:val="22"/>
                <w:szCs w:val="22"/>
              </w:rPr>
            </w:pPr>
            <w:r w:rsidRPr="001A1213">
              <w:rPr>
                <w:i/>
                <w:sz w:val="22"/>
                <w:szCs w:val="22"/>
              </w:rPr>
              <w:t>Length of Stay</w:t>
            </w:r>
          </w:p>
        </w:tc>
        <w:tc>
          <w:tcPr>
            <w:tcW w:w="1229" w:type="dxa"/>
          </w:tcPr>
          <w:p w:rsidR="008F587E" w:rsidRPr="001A1213" w:rsidRDefault="008F587E" w:rsidP="001B08BC">
            <w:pPr>
              <w:rPr>
                <w:i/>
                <w:sz w:val="22"/>
                <w:szCs w:val="22"/>
              </w:rPr>
            </w:pPr>
            <w:r w:rsidRPr="001A1213">
              <w:rPr>
                <w:i/>
                <w:sz w:val="22"/>
                <w:szCs w:val="22"/>
              </w:rPr>
              <w:t>Other</w:t>
            </w: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1/1/18-3/30/18</w:t>
            </w:r>
          </w:p>
        </w:tc>
        <w:tc>
          <w:tcPr>
            <w:tcW w:w="2421" w:type="dxa"/>
          </w:tcPr>
          <w:p w:rsidR="008F587E" w:rsidRPr="001A1213" w:rsidRDefault="008F587E" w:rsidP="008F587E">
            <w:pPr>
              <w:pStyle w:val="ListParagraph"/>
              <w:numPr>
                <w:ilvl w:val="0"/>
                <w:numId w:val="7"/>
              </w:numPr>
              <w:rPr>
                <w:i/>
                <w:sz w:val="22"/>
                <w:szCs w:val="22"/>
              </w:rPr>
            </w:pPr>
            <w:r w:rsidRPr="001A1213">
              <w:rPr>
                <w:i/>
                <w:sz w:val="22"/>
                <w:szCs w:val="22"/>
              </w:rPr>
              <w:t>Family home</w:t>
            </w:r>
          </w:p>
        </w:tc>
        <w:tc>
          <w:tcPr>
            <w:tcW w:w="1237" w:type="dxa"/>
          </w:tcPr>
          <w:p w:rsidR="008F587E" w:rsidRPr="001A1213" w:rsidRDefault="008F587E" w:rsidP="001B08BC">
            <w:pPr>
              <w:rPr>
                <w:i/>
                <w:sz w:val="22"/>
                <w:szCs w:val="22"/>
              </w:rPr>
            </w:pPr>
            <w:r w:rsidRPr="001A1213">
              <w:rPr>
                <w:i/>
                <w:sz w:val="22"/>
                <w:szCs w:val="22"/>
              </w:rPr>
              <w:t>No</w:t>
            </w:r>
          </w:p>
        </w:tc>
        <w:tc>
          <w:tcPr>
            <w:tcW w:w="1209" w:type="dxa"/>
          </w:tcPr>
          <w:p w:rsidR="008F587E" w:rsidRPr="001A1213" w:rsidRDefault="008F587E" w:rsidP="001B08BC">
            <w:pPr>
              <w:rPr>
                <w:i/>
                <w:sz w:val="22"/>
                <w:szCs w:val="22"/>
              </w:rPr>
            </w:pPr>
          </w:p>
        </w:tc>
        <w:tc>
          <w:tcPr>
            <w:tcW w:w="1098" w:type="dxa"/>
          </w:tcPr>
          <w:p w:rsidR="008F587E" w:rsidRPr="001A1213" w:rsidRDefault="008F587E" w:rsidP="001B08BC">
            <w:pPr>
              <w:rPr>
                <w:i/>
                <w:sz w:val="22"/>
                <w:szCs w:val="22"/>
              </w:rPr>
            </w:pPr>
          </w:p>
        </w:tc>
        <w:tc>
          <w:tcPr>
            <w:tcW w:w="1229" w:type="dxa"/>
          </w:tcPr>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4/1/18-6/30/18</w:t>
            </w:r>
          </w:p>
        </w:tc>
        <w:tc>
          <w:tcPr>
            <w:tcW w:w="2421" w:type="dxa"/>
          </w:tcPr>
          <w:p w:rsidR="008F587E" w:rsidRPr="001A1213" w:rsidRDefault="008F587E" w:rsidP="001B08BC">
            <w:pPr>
              <w:rPr>
                <w:i/>
                <w:sz w:val="22"/>
                <w:szCs w:val="22"/>
              </w:rPr>
            </w:pPr>
            <w:r w:rsidRPr="001A1213">
              <w:rPr>
                <w:i/>
                <w:sz w:val="22"/>
                <w:szCs w:val="22"/>
              </w:rPr>
              <w:t>1 Residential School</w:t>
            </w:r>
          </w:p>
          <w:p w:rsidR="008F587E" w:rsidRPr="001A1213" w:rsidRDefault="008F587E" w:rsidP="001B08BC">
            <w:pPr>
              <w:rPr>
                <w:i/>
                <w:sz w:val="22"/>
                <w:szCs w:val="22"/>
              </w:rPr>
            </w:pPr>
            <w:r w:rsidRPr="001A1213">
              <w:rPr>
                <w:i/>
                <w:sz w:val="22"/>
                <w:szCs w:val="22"/>
              </w:rPr>
              <w:t>------------------------------</w:t>
            </w:r>
          </w:p>
          <w:p w:rsidR="008F587E" w:rsidRPr="001A1213" w:rsidRDefault="008F587E" w:rsidP="001B08BC">
            <w:pPr>
              <w:rPr>
                <w:i/>
                <w:sz w:val="22"/>
                <w:szCs w:val="22"/>
              </w:rPr>
            </w:pPr>
            <w:r w:rsidRPr="001A1213">
              <w:rPr>
                <w:i/>
                <w:sz w:val="22"/>
                <w:szCs w:val="22"/>
              </w:rPr>
              <w:t>1 Group Home</w:t>
            </w:r>
          </w:p>
          <w:p w:rsidR="008F587E" w:rsidRPr="001A1213" w:rsidRDefault="008F587E" w:rsidP="001B08BC">
            <w:pPr>
              <w:rPr>
                <w:i/>
                <w:sz w:val="22"/>
                <w:szCs w:val="22"/>
              </w:rPr>
            </w:pPr>
          </w:p>
        </w:tc>
        <w:tc>
          <w:tcPr>
            <w:tcW w:w="1237" w:type="dxa"/>
          </w:tcPr>
          <w:p w:rsidR="008F587E" w:rsidRPr="001A1213" w:rsidRDefault="001A1213" w:rsidP="001B08BC">
            <w:pPr>
              <w:pBdr>
                <w:bottom w:val="single" w:sz="6" w:space="1" w:color="auto"/>
              </w:pBdr>
              <w:rPr>
                <w:i/>
                <w:sz w:val="22"/>
                <w:szCs w:val="22"/>
              </w:rPr>
            </w:pPr>
            <w:r>
              <w:rPr>
                <w:i/>
                <w:sz w:val="22"/>
                <w:szCs w:val="22"/>
              </w:rPr>
              <w:t>No</w:t>
            </w:r>
          </w:p>
          <w:p w:rsidR="008F587E" w:rsidRPr="001A1213" w:rsidRDefault="001A1213" w:rsidP="001B08BC">
            <w:pPr>
              <w:rPr>
                <w:i/>
                <w:sz w:val="22"/>
                <w:szCs w:val="22"/>
              </w:rPr>
            </w:pPr>
            <w:r>
              <w:rPr>
                <w:i/>
                <w:sz w:val="22"/>
                <w:szCs w:val="22"/>
              </w:rPr>
              <w:t>Yes</w:t>
            </w:r>
          </w:p>
        </w:tc>
        <w:tc>
          <w:tcPr>
            <w:tcW w:w="1209" w:type="dxa"/>
          </w:tcPr>
          <w:p w:rsidR="008F587E" w:rsidRPr="001A1213" w:rsidRDefault="008F587E" w:rsidP="001B08BC">
            <w:pPr>
              <w:pBdr>
                <w:bottom w:val="single" w:sz="12" w:space="1" w:color="auto"/>
              </w:pBdr>
              <w:rPr>
                <w:i/>
                <w:sz w:val="22"/>
                <w:szCs w:val="22"/>
              </w:rPr>
            </w:pPr>
          </w:p>
          <w:p w:rsidR="008F587E" w:rsidRPr="001A1213" w:rsidRDefault="008F587E" w:rsidP="001B08BC">
            <w:pPr>
              <w:rPr>
                <w:i/>
                <w:sz w:val="22"/>
                <w:szCs w:val="22"/>
              </w:rPr>
            </w:pPr>
            <w:r w:rsidRPr="001A1213">
              <w:rPr>
                <w:i/>
                <w:sz w:val="22"/>
                <w:szCs w:val="22"/>
              </w:rPr>
              <w:t>New Group Home</w:t>
            </w:r>
          </w:p>
        </w:tc>
        <w:tc>
          <w:tcPr>
            <w:tcW w:w="1098" w:type="dxa"/>
          </w:tcPr>
          <w:p w:rsidR="008F587E" w:rsidRPr="001A1213" w:rsidRDefault="008F587E" w:rsidP="001B08BC">
            <w:pPr>
              <w:pBdr>
                <w:bottom w:val="single" w:sz="6" w:space="1" w:color="auto"/>
              </w:pBdr>
              <w:rPr>
                <w:i/>
                <w:sz w:val="22"/>
                <w:szCs w:val="22"/>
              </w:rPr>
            </w:pPr>
          </w:p>
          <w:p w:rsidR="008F587E" w:rsidRPr="001A1213" w:rsidRDefault="008F587E" w:rsidP="001B08BC">
            <w:pPr>
              <w:rPr>
                <w:i/>
                <w:sz w:val="22"/>
                <w:szCs w:val="22"/>
              </w:rPr>
            </w:pPr>
            <w:r w:rsidRPr="001A1213">
              <w:rPr>
                <w:i/>
                <w:sz w:val="22"/>
                <w:szCs w:val="22"/>
              </w:rPr>
              <w:t>4 months</w:t>
            </w:r>
          </w:p>
        </w:tc>
        <w:tc>
          <w:tcPr>
            <w:tcW w:w="1229" w:type="dxa"/>
          </w:tcPr>
          <w:p w:rsidR="008F587E" w:rsidRPr="001A1213" w:rsidRDefault="008F587E" w:rsidP="001B08BC">
            <w:pPr>
              <w:rPr>
                <w:i/>
                <w:sz w:val="22"/>
                <w:szCs w:val="22"/>
              </w:rPr>
            </w:pPr>
          </w:p>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 xml:space="preserve">7/1/18-9/30/18 </w:t>
            </w:r>
          </w:p>
        </w:tc>
        <w:tc>
          <w:tcPr>
            <w:tcW w:w="2421" w:type="dxa"/>
          </w:tcPr>
          <w:p w:rsidR="008F587E" w:rsidRPr="001A1213" w:rsidRDefault="008F587E" w:rsidP="001B08BC">
            <w:pPr>
              <w:rPr>
                <w:i/>
                <w:sz w:val="22"/>
                <w:szCs w:val="22"/>
              </w:rPr>
            </w:pPr>
            <w:r w:rsidRPr="001A1213">
              <w:rPr>
                <w:i/>
                <w:sz w:val="22"/>
                <w:szCs w:val="22"/>
              </w:rPr>
              <w:t>1 Group Home</w:t>
            </w:r>
          </w:p>
          <w:p w:rsidR="008F587E" w:rsidRPr="001A1213" w:rsidRDefault="008F587E" w:rsidP="001B08BC">
            <w:pPr>
              <w:rPr>
                <w:i/>
                <w:sz w:val="22"/>
                <w:szCs w:val="22"/>
              </w:rPr>
            </w:pPr>
            <w:r w:rsidRPr="001A1213">
              <w:rPr>
                <w:i/>
                <w:sz w:val="22"/>
                <w:szCs w:val="22"/>
              </w:rPr>
              <w:t>1 Family Home</w:t>
            </w:r>
          </w:p>
        </w:tc>
        <w:tc>
          <w:tcPr>
            <w:tcW w:w="1237" w:type="dxa"/>
          </w:tcPr>
          <w:p w:rsidR="008F587E" w:rsidRPr="001A1213" w:rsidRDefault="008F587E" w:rsidP="001B08BC">
            <w:pPr>
              <w:rPr>
                <w:i/>
                <w:sz w:val="22"/>
                <w:szCs w:val="22"/>
              </w:rPr>
            </w:pPr>
            <w:r w:rsidRPr="001A1213">
              <w:rPr>
                <w:i/>
                <w:sz w:val="22"/>
                <w:szCs w:val="22"/>
              </w:rPr>
              <w:t>No</w:t>
            </w:r>
          </w:p>
          <w:p w:rsidR="008F587E" w:rsidRPr="001A1213" w:rsidRDefault="008F587E" w:rsidP="001B08BC">
            <w:pPr>
              <w:rPr>
                <w:i/>
                <w:sz w:val="22"/>
                <w:szCs w:val="22"/>
              </w:rPr>
            </w:pPr>
            <w:r w:rsidRPr="001A1213">
              <w:rPr>
                <w:i/>
                <w:sz w:val="22"/>
                <w:szCs w:val="22"/>
              </w:rPr>
              <w:t>Yes</w:t>
            </w:r>
          </w:p>
        </w:tc>
        <w:tc>
          <w:tcPr>
            <w:tcW w:w="1209" w:type="dxa"/>
          </w:tcPr>
          <w:p w:rsidR="008F587E" w:rsidRPr="001A1213" w:rsidRDefault="008F587E" w:rsidP="001B08BC">
            <w:pPr>
              <w:rPr>
                <w:i/>
                <w:sz w:val="22"/>
                <w:szCs w:val="22"/>
              </w:rPr>
            </w:pPr>
          </w:p>
          <w:p w:rsidR="008F587E" w:rsidRPr="001A1213" w:rsidRDefault="008F587E" w:rsidP="001B08BC">
            <w:pPr>
              <w:rPr>
                <w:i/>
                <w:sz w:val="22"/>
                <w:szCs w:val="22"/>
              </w:rPr>
            </w:pPr>
            <w:r w:rsidRPr="001A1213">
              <w:rPr>
                <w:i/>
                <w:sz w:val="22"/>
                <w:szCs w:val="22"/>
              </w:rPr>
              <w:t>Group Home</w:t>
            </w:r>
          </w:p>
        </w:tc>
        <w:tc>
          <w:tcPr>
            <w:tcW w:w="1098" w:type="dxa"/>
          </w:tcPr>
          <w:p w:rsidR="008F587E" w:rsidRPr="001A1213" w:rsidRDefault="008F587E" w:rsidP="001B08BC">
            <w:pPr>
              <w:rPr>
                <w:i/>
                <w:sz w:val="22"/>
                <w:szCs w:val="22"/>
              </w:rPr>
            </w:pPr>
          </w:p>
          <w:p w:rsidR="008F587E" w:rsidRPr="001A1213" w:rsidRDefault="008F587E" w:rsidP="001B08BC">
            <w:pPr>
              <w:rPr>
                <w:i/>
                <w:sz w:val="22"/>
                <w:szCs w:val="22"/>
              </w:rPr>
            </w:pPr>
            <w:r w:rsidRPr="001A1213">
              <w:rPr>
                <w:i/>
                <w:sz w:val="22"/>
                <w:szCs w:val="22"/>
              </w:rPr>
              <w:t>7 months</w:t>
            </w:r>
          </w:p>
        </w:tc>
        <w:tc>
          <w:tcPr>
            <w:tcW w:w="1229" w:type="dxa"/>
          </w:tcPr>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10/1/18-12/30/18</w:t>
            </w:r>
          </w:p>
        </w:tc>
        <w:tc>
          <w:tcPr>
            <w:tcW w:w="2421" w:type="dxa"/>
          </w:tcPr>
          <w:p w:rsidR="008F587E" w:rsidRPr="001A1213" w:rsidRDefault="008F587E" w:rsidP="001B08BC">
            <w:pPr>
              <w:rPr>
                <w:i/>
                <w:sz w:val="22"/>
                <w:szCs w:val="22"/>
              </w:rPr>
            </w:pPr>
            <w:r w:rsidRPr="001A1213">
              <w:rPr>
                <w:i/>
                <w:sz w:val="22"/>
                <w:szCs w:val="22"/>
              </w:rPr>
              <w:t>1 Residential School</w:t>
            </w:r>
          </w:p>
          <w:p w:rsidR="008F587E" w:rsidRPr="001A1213" w:rsidRDefault="008F587E" w:rsidP="001B08BC">
            <w:pPr>
              <w:rPr>
                <w:i/>
                <w:sz w:val="22"/>
                <w:szCs w:val="22"/>
              </w:rPr>
            </w:pPr>
            <w:r w:rsidRPr="001A1213">
              <w:rPr>
                <w:i/>
                <w:sz w:val="22"/>
                <w:szCs w:val="22"/>
              </w:rPr>
              <w:t>1 Group Home</w:t>
            </w:r>
          </w:p>
        </w:tc>
        <w:tc>
          <w:tcPr>
            <w:tcW w:w="1237" w:type="dxa"/>
          </w:tcPr>
          <w:p w:rsidR="008F587E" w:rsidRPr="001A1213" w:rsidRDefault="008F587E" w:rsidP="001B08BC">
            <w:pPr>
              <w:rPr>
                <w:i/>
                <w:sz w:val="22"/>
                <w:szCs w:val="22"/>
              </w:rPr>
            </w:pPr>
            <w:r w:rsidRPr="001A1213">
              <w:rPr>
                <w:i/>
                <w:sz w:val="22"/>
                <w:szCs w:val="22"/>
              </w:rPr>
              <w:t>No</w:t>
            </w:r>
          </w:p>
          <w:p w:rsidR="008F587E" w:rsidRPr="001A1213" w:rsidRDefault="008F587E" w:rsidP="001B08BC">
            <w:pPr>
              <w:rPr>
                <w:i/>
                <w:sz w:val="22"/>
                <w:szCs w:val="22"/>
              </w:rPr>
            </w:pPr>
            <w:r w:rsidRPr="001A1213">
              <w:rPr>
                <w:i/>
                <w:sz w:val="22"/>
                <w:szCs w:val="22"/>
              </w:rPr>
              <w:t>Yes</w:t>
            </w:r>
          </w:p>
        </w:tc>
        <w:tc>
          <w:tcPr>
            <w:tcW w:w="1209" w:type="dxa"/>
          </w:tcPr>
          <w:p w:rsidR="008F587E" w:rsidRPr="001A1213" w:rsidRDefault="008F587E" w:rsidP="001B08BC">
            <w:pPr>
              <w:rPr>
                <w:i/>
                <w:sz w:val="22"/>
                <w:szCs w:val="22"/>
              </w:rPr>
            </w:pPr>
          </w:p>
          <w:p w:rsidR="008F587E" w:rsidRPr="001A1213" w:rsidRDefault="008F587E" w:rsidP="001B08BC">
            <w:pPr>
              <w:rPr>
                <w:i/>
                <w:sz w:val="22"/>
                <w:szCs w:val="22"/>
              </w:rPr>
            </w:pPr>
            <w:r w:rsidRPr="001A1213">
              <w:rPr>
                <w:i/>
                <w:sz w:val="22"/>
                <w:szCs w:val="22"/>
              </w:rPr>
              <w:t>Returned Same Home</w:t>
            </w:r>
          </w:p>
        </w:tc>
        <w:tc>
          <w:tcPr>
            <w:tcW w:w="1098" w:type="dxa"/>
          </w:tcPr>
          <w:p w:rsidR="008F587E" w:rsidRPr="001A1213" w:rsidRDefault="008F587E" w:rsidP="001B08BC">
            <w:pPr>
              <w:rPr>
                <w:i/>
                <w:sz w:val="22"/>
                <w:szCs w:val="22"/>
              </w:rPr>
            </w:pPr>
          </w:p>
          <w:p w:rsidR="008F587E" w:rsidRPr="001A1213" w:rsidRDefault="008F587E" w:rsidP="001B08BC">
            <w:pPr>
              <w:rPr>
                <w:i/>
                <w:sz w:val="22"/>
                <w:szCs w:val="22"/>
              </w:rPr>
            </w:pPr>
          </w:p>
          <w:p w:rsidR="008F587E" w:rsidRPr="001A1213" w:rsidRDefault="008F587E" w:rsidP="001B08BC">
            <w:pPr>
              <w:rPr>
                <w:i/>
                <w:sz w:val="22"/>
                <w:szCs w:val="22"/>
              </w:rPr>
            </w:pPr>
            <w:r w:rsidRPr="001A1213">
              <w:rPr>
                <w:i/>
                <w:sz w:val="22"/>
                <w:szCs w:val="22"/>
              </w:rPr>
              <w:t>9 months</w:t>
            </w:r>
          </w:p>
        </w:tc>
        <w:tc>
          <w:tcPr>
            <w:tcW w:w="1229" w:type="dxa"/>
          </w:tcPr>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1/1/19/3/30/19</w:t>
            </w:r>
          </w:p>
        </w:tc>
        <w:tc>
          <w:tcPr>
            <w:tcW w:w="2421" w:type="dxa"/>
          </w:tcPr>
          <w:p w:rsidR="008F587E" w:rsidRPr="001A1213" w:rsidRDefault="008F587E" w:rsidP="001B08BC">
            <w:pPr>
              <w:rPr>
                <w:i/>
                <w:sz w:val="22"/>
                <w:szCs w:val="22"/>
              </w:rPr>
            </w:pPr>
            <w:r w:rsidRPr="001A1213">
              <w:rPr>
                <w:i/>
                <w:sz w:val="22"/>
                <w:szCs w:val="22"/>
              </w:rPr>
              <w:t>1 Group Home</w:t>
            </w:r>
          </w:p>
        </w:tc>
        <w:tc>
          <w:tcPr>
            <w:tcW w:w="1237" w:type="dxa"/>
          </w:tcPr>
          <w:p w:rsidR="008F587E" w:rsidRPr="001A1213" w:rsidRDefault="001A1213" w:rsidP="001B08BC">
            <w:pPr>
              <w:rPr>
                <w:i/>
                <w:sz w:val="22"/>
                <w:szCs w:val="22"/>
              </w:rPr>
            </w:pPr>
            <w:r>
              <w:rPr>
                <w:i/>
                <w:sz w:val="22"/>
                <w:szCs w:val="22"/>
              </w:rPr>
              <w:t>No</w:t>
            </w:r>
          </w:p>
        </w:tc>
        <w:tc>
          <w:tcPr>
            <w:tcW w:w="1209" w:type="dxa"/>
          </w:tcPr>
          <w:p w:rsidR="008F587E" w:rsidRPr="001A1213" w:rsidRDefault="008F587E" w:rsidP="001B08BC">
            <w:pPr>
              <w:rPr>
                <w:i/>
                <w:sz w:val="22"/>
                <w:szCs w:val="22"/>
              </w:rPr>
            </w:pPr>
          </w:p>
        </w:tc>
        <w:tc>
          <w:tcPr>
            <w:tcW w:w="1098" w:type="dxa"/>
          </w:tcPr>
          <w:p w:rsidR="008F587E" w:rsidRPr="001A1213" w:rsidRDefault="008F587E" w:rsidP="001B08BC">
            <w:pPr>
              <w:rPr>
                <w:i/>
                <w:sz w:val="22"/>
                <w:szCs w:val="22"/>
              </w:rPr>
            </w:pPr>
          </w:p>
        </w:tc>
        <w:tc>
          <w:tcPr>
            <w:tcW w:w="1229" w:type="dxa"/>
          </w:tcPr>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4/1/19-630/19</w:t>
            </w:r>
          </w:p>
        </w:tc>
        <w:tc>
          <w:tcPr>
            <w:tcW w:w="2421" w:type="dxa"/>
          </w:tcPr>
          <w:p w:rsidR="008F587E" w:rsidRPr="001A1213" w:rsidRDefault="008F587E" w:rsidP="001B08BC">
            <w:pPr>
              <w:rPr>
                <w:i/>
                <w:sz w:val="22"/>
                <w:szCs w:val="22"/>
              </w:rPr>
            </w:pPr>
            <w:r w:rsidRPr="001A1213">
              <w:rPr>
                <w:i/>
                <w:sz w:val="22"/>
                <w:szCs w:val="22"/>
              </w:rPr>
              <w:t xml:space="preserve">1 from Hospital </w:t>
            </w:r>
          </w:p>
          <w:p w:rsidR="008F587E" w:rsidRPr="001A1213" w:rsidRDefault="008F587E" w:rsidP="001B08BC">
            <w:pPr>
              <w:rPr>
                <w:i/>
                <w:sz w:val="22"/>
                <w:szCs w:val="22"/>
              </w:rPr>
            </w:pPr>
            <w:r w:rsidRPr="001A1213">
              <w:rPr>
                <w:i/>
                <w:sz w:val="22"/>
                <w:szCs w:val="22"/>
              </w:rPr>
              <w:t>2 Group Homes</w:t>
            </w:r>
          </w:p>
          <w:p w:rsidR="008F587E" w:rsidRPr="001A1213" w:rsidRDefault="008F587E" w:rsidP="001B08BC">
            <w:pPr>
              <w:rPr>
                <w:i/>
                <w:sz w:val="22"/>
                <w:szCs w:val="22"/>
              </w:rPr>
            </w:pPr>
          </w:p>
        </w:tc>
        <w:tc>
          <w:tcPr>
            <w:tcW w:w="1237" w:type="dxa"/>
          </w:tcPr>
          <w:p w:rsidR="008F587E" w:rsidRPr="001A1213" w:rsidRDefault="008F587E" w:rsidP="001B08BC">
            <w:pPr>
              <w:rPr>
                <w:i/>
                <w:sz w:val="22"/>
                <w:szCs w:val="22"/>
              </w:rPr>
            </w:pPr>
            <w:r w:rsidRPr="001A1213">
              <w:rPr>
                <w:i/>
                <w:sz w:val="22"/>
                <w:szCs w:val="22"/>
              </w:rPr>
              <w:t>*</w:t>
            </w:r>
          </w:p>
          <w:p w:rsidR="008F587E" w:rsidRPr="001A1213" w:rsidRDefault="001A1213" w:rsidP="001B08BC">
            <w:pPr>
              <w:rPr>
                <w:i/>
                <w:sz w:val="22"/>
                <w:szCs w:val="22"/>
              </w:rPr>
            </w:pPr>
            <w:r>
              <w:rPr>
                <w:i/>
                <w:sz w:val="22"/>
                <w:szCs w:val="22"/>
              </w:rPr>
              <w:t>No</w:t>
            </w:r>
          </w:p>
        </w:tc>
        <w:tc>
          <w:tcPr>
            <w:tcW w:w="1209" w:type="dxa"/>
          </w:tcPr>
          <w:p w:rsidR="008F587E" w:rsidRPr="001A1213" w:rsidRDefault="008F587E" w:rsidP="001B08BC">
            <w:pPr>
              <w:rPr>
                <w:i/>
                <w:sz w:val="22"/>
                <w:szCs w:val="22"/>
              </w:rPr>
            </w:pPr>
          </w:p>
        </w:tc>
        <w:tc>
          <w:tcPr>
            <w:tcW w:w="1098" w:type="dxa"/>
          </w:tcPr>
          <w:p w:rsidR="008F587E" w:rsidRPr="001A1213" w:rsidRDefault="008F587E" w:rsidP="001B08BC">
            <w:pPr>
              <w:rPr>
                <w:i/>
                <w:sz w:val="22"/>
                <w:szCs w:val="22"/>
              </w:rPr>
            </w:pPr>
            <w:r w:rsidRPr="001A1213">
              <w:rPr>
                <w:i/>
                <w:sz w:val="22"/>
                <w:szCs w:val="22"/>
              </w:rPr>
              <w:t>1 month</w:t>
            </w:r>
          </w:p>
        </w:tc>
        <w:tc>
          <w:tcPr>
            <w:tcW w:w="1229" w:type="dxa"/>
          </w:tcPr>
          <w:p w:rsidR="008F587E" w:rsidRPr="001A1213" w:rsidRDefault="008F587E" w:rsidP="001B08BC">
            <w:pPr>
              <w:rPr>
                <w:i/>
                <w:sz w:val="22"/>
                <w:szCs w:val="22"/>
              </w:rPr>
            </w:pPr>
            <w:r w:rsidRPr="001A1213">
              <w:rPr>
                <w:i/>
                <w:sz w:val="22"/>
                <w:szCs w:val="22"/>
              </w:rPr>
              <w:t>Deceased</w:t>
            </w:r>
          </w:p>
        </w:tc>
      </w:tr>
      <w:tr w:rsidR="008F587E" w:rsidRPr="001A1213" w:rsidTr="008F587E">
        <w:tc>
          <w:tcPr>
            <w:tcW w:w="1775" w:type="dxa"/>
          </w:tcPr>
          <w:p w:rsidR="008F587E" w:rsidRPr="001A1213" w:rsidRDefault="008F587E" w:rsidP="001B08BC">
            <w:pPr>
              <w:rPr>
                <w:i/>
                <w:sz w:val="22"/>
                <w:szCs w:val="22"/>
              </w:rPr>
            </w:pPr>
            <w:r w:rsidRPr="001A1213">
              <w:rPr>
                <w:i/>
                <w:sz w:val="22"/>
                <w:szCs w:val="22"/>
              </w:rPr>
              <w:t>7/1/19-9/9/19</w:t>
            </w:r>
          </w:p>
        </w:tc>
        <w:tc>
          <w:tcPr>
            <w:tcW w:w="2421" w:type="dxa"/>
          </w:tcPr>
          <w:p w:rsidR="008F587E" w:rsidRPr="001A1213" w:rsidRDefault="008F587E" w:rsidP="001B08BC">
            <w:pPr>
              <w:rPr>
                <w:i/>
                <w:sz w:val="22"/>
                <w:szCs w:val="22"/>
              </w:rPr>
            </w:pPr>
            <w:r w:rsidRPr="001A1213">
              <w:rPr>
                <w:i/>
                <w:sz w:val="22"/>
                <w:szCs w:val="22"/>
              </w:rPr>
              <w:t>2 Group Homes</w:t>
            </w:r>
          </w:p>
        </w:tc>
        <w:tc>
          <w:tcPr>
            <w:tcW w:w="1237" w:type="dxa"/>
          </w:tcPr>
          <w:p w:rsidR="008F587E" w:rsidRPr="001A1213" w:rsidRDefault="001A1213" w:rsidP="001B08BC">
            <w:pPr>
              <w:rPr>
                <w:i/>
                <w:sz w:val="22"/>
                <w:szCs w:val="22"/>
              </w:rPr>
            </w:pPr>
            <w:r>
              <w:rPr>
                <w:i/>
                <w:sz w:val="22"/>
                <w:szCs w:val="22"/>
              </w:rPr>
              <w:t>No</w:t>
            </w:r>
            <w:r w:rsidR="008F587E" w:rsidRPr="001A1213">
              <w:rPr>
                <w:i/>
                <w:sz w:val="22"/>
                <w:szCs w:val="22"/>
              </w:rPr>
              <w:t xml:space="preserve"> </w:t>
            </w:r>
          </w:p>
        </w:tc>
        <w:tc>
          <w:tcPr>
            <w:tcW w:w="1209" w:type="dxa"/>
          </w:tcPr>
          <w:p w:rsidR="008F587E" w:rsidRPr="001A1213" w:rsidRDefault="008F587E" w:rsidP="001B08BC">
            <w:pPr>
              <w:rPr>
                <w:i/>
                <w:sz w:val="22"/>
                <w:szCs w:val="22"/>
              </w:rPr>
            </w:pPr>
          </w:p>
        </w:tc>
        <w:tc>
          <w:tcPr>
            <w:tcW w:w="1098" w:type="dxa"/>
          </w:tcPr>
          <w:p w:rsidR="008F587E" w:rsidRPr="001A1213" w:rsidRDefault="008F587E" w:rsidP="001B08BC">
            <w:pPr>
              <w:rPr>
                <w:i/>
                <w:sz w:val="22"/>
                <w:szCs w:val="22"/>
              </w:rPr>
            </w:pPr>
          </w:p>
        </w:tc>
        <w:tc>
          <w:tcPr>
            <w:tcW w:w="1229" w:type="dxa"/>
          </w:tcPr>
          <w:p w:rsidR="008F587E" w:rsidRPr="001A1213" w:rsidRDefault="008F587E" w:rsidP="001B08BC">
            <w:pPr>
              <w:rPr>
                <w:i/>
                <w:sz w:val="22"/>
                <w:szCs w:val="22"/>
              </w:rPr>
            </w:pPr>
          </w:p>
        </w:tc>
      </w:tr>
      <w:tr w:rsidR="008F587E" w:rsidRPr="001A1213" w:rsidTr="008F587E">
        <w:tc>
          <w:tcPr>
            <w:tcW w:w="1775" w:type="dxa"/>
          </w:tcPr>
          <w:p w:rsidR="008F587E" w:rsidRPr="001A1213" w:rsidRDefault="008F587E" w:rsidP="001B08BC">
            <w:pPr>
              <w:rPr>
                <w:i/>
                <w:sz w:val="22"/>
                <w:szCs w:val="22"/>
              </w:rPr>
            </w:pPr>
          </w:p>
        </w:tc>
        <w:tc>
          <w:tcPr>
            <w:tcW w:w="2421" w:type="dxa"/>
          </w:tcPr>
          <w:p w:rsidR="008F587E" w:rsidRPr="001A1213" w:rsidRDefault="008F587E" w:rsidP="001B08BC">
            <w:pPr>
              <w:rPr>
                <w:i/>
                <w:sz w:val="22"/>
                <w:szCs w:val="22"/>
              </w:rPr>
            </w:pPr>
          </w:p>
        </w:tc>
        <w:tc>
          <w:tcPr>
            <w:tcW w:w="1237" w:type="dxa"/>
          </w:tcPr>
          <w:p w:rsidR="008F587E" w:rsidRPr="001A1213" w:rsidRDefault="008F587E" w:rsidP="001B08BC">
            <w:pPr>
              <w:rPr>
                <w:i/>
                <w:sz w:val="22"/>
                <w:szCs w:val="22"/>
              </w:rPr>
            </w:pPr>
          </w:p>
        </w:tc>
        <w:tc>
          <w:tcPr>
            <w:tcW w:w="1209" w:type="dxa"/>
          </w:tcPr>
          <w:p w:rsidR="008F587E" w:rsidRPr="001A1213" w:rsidRDefault="008F587E" w:rsidP="001B08BC">
            <w:pPr>
              <w:rPr>
                <w:i/>
                <w:sz w:val="22"/>
                <w:szCs w:val="22"/>
              </w:rPr>
            </w:pPr>
          </w:p>
        </w:tc>
        <w:tc>
          <w:tcPr>
            <w:tcW w:w="1098" w:type="dxa"/>
          </w:tcPr>
          <w:p w:rsidR="008F587E" w:rsidRPr="001A1213" w:rsidRDefault="008F587E" w:rsidP="001B08BC">
            <w:pPr>
              <w:rPr>
                <w:i/>
                <w:sz w:val="22"/>
                <w:szCs w:val="22"/>
              </w:rPr>
            </w:pPr>
          </w:p>
        </w:tc>
        <w:tc>
          <w:tcPr>
            <w:tcW w:w="1229" w:type="dxa"/>
          </w:tcPr>
          <w:p w:rsidR="008F587E" w:rsidRPr="001A1213" w:rsidRDefault="008F587E" w:rsidP="001B08BC">
            <w:pPr>
              <w:rPr>
                <w:i/>
                <w:sz w:val="22"/>
                <w:szCs w:val="22"/>
              </w:rPr>
            </w:pPr>
          </w:p>
        </w:tc>
      </w:tr>
    </w:tbl>
    <w:p w:rsidR="008F587E" w:rsidRPr="001A1213" w:rsidRDefault="001A1213" w:rsidP="008F587E">
      <w:pPr>
        <w:rPr>
          <w:i/>
        </w:rPr>
      </w:pPr>
      <w:r>
        <w:rPr>
          <w:i/>
          <w:sz w:val="22"/>
          <w:szCs w:val="22"/>
        </w:rPr>
        <w:t xml:space="preserve">Summary:  13 </w:t>
      </w:r>
      <w:r w:rsidR="008F587E" w:rsidRPr="001A1213">
        <w:rPr>
          <w:i/>
          <w:sz w:val="22"/>
          <w:szCs w:val="22"/>
        </w:rPr>
        <w:t>admitted, 3 discharged, 1 passed away</w:t>
      </w:r>
    </w:p>
    <w:p w:rsidR="004B3DB6" w:rsidRDefault="004B3DB6" w:rsidP="004B3DB6"/>
    <w:p w:rsidR="008F587E" w:rsidRDefault="008F587E" w:rsidP="004B3DB6"/>
    <w:p w:rsidR="001A1213" w:rsidRDefault="001A1213" w:rsidP="004B3DB6"/>
    <w:p w:rsidR="001A1213" w:rsidRDefault="001A1213" w:rsidP="004B3DB6"/>
    <w:p w:rsidR="001A1213" w:rsidRDefault="001A1213" w:rsidP="004B3DB6"/>
    <w:p w:rsidR="00BF363D" w:rsidRPr="00164FDD" w:rsidRDefault="00BF363D" w:rsidP="00BF363D">
      <w:pPr>
        <w:jc w:val="center"/>
        <w:rPr>
          <w:b/>
          <w:sz w:val="22"/>
          <w:szCs w:val="22"/>
          <w:u w:val="single"/>
        </w:rPr>
      </w:pPr>
      <w:r w:rsidRPr="00164FDD">
        <w:rPr>
          <w:b/>
          <w:sz w:val="22"/>
          <w:szCs w:val="22"/>
          <w:u w:val="single"/>
        </w:rPr>
        <w:t>Healthcare Subcommittee</w:t>
      </w:r>
    </w:p>
    <w:p w:rsidR="00BF363D" w:rsidRDefault="00BF363D" w:rsidP="00BF363D">
      <w:pPr>
        <w:rPr>
          <w:sz w:val="22"/>
          <w:szCs w:val="22"/>
          <w:u w:val="single"/>
        </w:rPr>
      </w:pPr>
    </w:p>
    <w:p w:rsidR="00BF363D" w:rsidRPr="00BF363D" w:rsidRDefault="00BF363D" w:rsidP="00BF363D">
      <w:pPr>
        <w:rPr>
          <w:sz w:val="22"/>
          <w:szCs w:val="22"/>
          <w:u w:val="single"/>
        </w:rPr>
      </w:pPr>
      <w:r w:rsidRPr="00BF363D">
        <w:rPr>
          <w:sz w:val="22"/>
          <w:szCs w:val="22"/>
          <w:u w:val="single"/>
        </w:rPr>
        <w:t>2018 Recommendation</w:t>
      </w:r>
      <w:r>
        <w:rPr>
          <w:sz w:val="22"/>
          <w:szCs w:val="22"/>
          <w:u w:val="single"/>
        </w:rPr>
        <w:t>s</w:t>
      </w:r>
    </w:p>
    <w:p w:rsidR="00BF363D" w:rsidRDefault="00BF363D" w:rsidP="004B3DB6"/>
    <w:p w:rsidR="004B3DB6" w:rsidRPr="00BF363D" w:rsidRDefault="00BF363D" w:rsidP="004B3DB6">
      <w:pPr>
        <w:rPr>
          <w:sz w:val="22"/>
          <w:szCs w:val="22"/>
        </w:rPr>
      </w:pPr>
      <w:r w:rsidRPr="00BF363D">
        <w:rPr>
          <w:rFonts w:ascii="Cambria" w:hAnsi="Cambria"/>
          <w:color w:val="000000"/>
          <w:sz w:val="22"/>
          <w:szCs w:val="22"/>
        </w:rPr>
        <w:t>1</w:t>
      </w:r>
      <w:r w:rsidR="004B3DB6" w:rsidRPr="00BF363D">
        <w:rPr>
          <w:rFonts w:ascii="Cambria" w:hAnsi="Cambria"/>
          <w:color w:val="000000"/>
          <w:sz w:val="22"/>
          <w:szCs w:val="22"/>
        </w:rPr>
        <w:t>.     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rsidR="004B3DB6" w:rsidRPr="00BF363D" w:rsidRDefault="004B3DB6" w:rsidP="004B3DB6">
      <w:pPr>
        <w:rPr>
          <w:sz w:val="22"/>
          <w:szCs w:val="22"/>
        </w:rPr>
      </w:pPr>
      <w:r w:rsidRPr="00BF363D">
        <w:rPr>
          <w:color w:val="000000"/>
          <w:sz w:val="22"/>
          <w:szCs w:val="22"/>
        </w:rPr>
        <w:t> </w:t>
      </w:r>
    </w:p>
    <w:p w:rsidR="004B3DB6" w:rsidRPr="00BF363D" w:rsidRDefault="004B3DB6" w:rsidP="004B3DB6">
      <w:pPr>
        <w:rPr>
          <w:i/>
          <w:sz w:val="22"/>
          <w:szCs w:val="22"/>
        </w:rPr>
      </w:pPr>
      <w:r w:rsidRPr="00BF363D">
        <w:rPr>
          <w:bCs/>
          <w:i/>
          <w:color w:val="000000"/>
          <w:sz w:val="22"/>
          <w:szCs w:val="22"/>
        </w:rPr>
        <w:t>Update – This remains a priority recommendation of the Subcommittee. Several pieces of legislation have been filed relating to coverage</w:t>
      </w:r>
      <w:r w:rsidRPr="00BF363D">
        <w:rPr>
          <w:i/>
          <w:color w:val="000000"/>
          <w:sz w:val="22"/>
          <w:szCs w:val="22"/>
        </w:rPr>
        <w:t xml:space="preserve">. </w:t>
      </w:r>
    </w:p>
    <w:p w:rsidR="004B3DB6" w:rsidRPr="00BF363D" w:rsidRDefault="004B3DB6" w:rsidP="004B3DB6">
      <w:pPr>
        <w:rPr>
          <w:sz w:val="22"/>
          <w:szCs w:val="22"/>
        </w:rPr>
      </w:pPr>
      <w:r w:rsidRPr="00BF363D">
        <w:rPr>
          <w:rFonts w:ascii="Cambria" w:hAnsi="Cambria"/>
          <w:color w:val="000000"/>
          <w:sz w:val="22"/>
          <w:szCs w:val="22"/>
        </w:rPr>
        <w:t> </w:t>
      </w:r>
    </w:p>
    <w:p w:rsidR="004B3DB6" w:rsidRPr="00BF363D" w:rsidRDefault="00BF363D" w:rsidP="004B3DB6">
      <w:pPr>
        <w:rPr>
          <w:sz w:val="22"/>
          <w:szCs w:val="22"/>
        </w:rPr>
      </w:pPr>
      <w:r w:rsidRPr="00BF363D">
        <w:rPr>
          <w:rFonts w:ascii="Cambria" w:hAnsi="Cambria"/>
          <w:color w:val="000000"/>
          <w:sz w:val="22"/>
          <w:szCs w:val="22"/>
        </w:rPr>
        <w:t>2</w:t>
      </w:r>
      <w:r w:rsidR="004B3DB6" w:rsidRPr="00BF363D">
        <w:rPr>
          <w:rFonts w:ascii="Cambria" w:hAnsi="Cambria"/>
          <w:color w:val="000000"/>
          <w:sz w:val="22"/>
          <w:szCs w:val="22"/>
        </w:rPr>
        <w:t>.   Expand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w:t>
      </w:r>
    </w:p>
    <w:p w:rsidR="004B3DB6" w:rsidRPr="00BF363D" w:rsidRDefault="004B3DB6" w:rsidP="004B3DB6">
      <w:pPr>
        <w:rPr>
          <w:sz w:val="22"/>
          <w:szCs w:val="22"/>
        </w:rPr>
      </w:pPr>
      <w:r w:rsidRPr="00BF363D">
        <w:rPr>
          <w:rFonts w:ascii="Cambria" w:hAnsi="Cambria"/>
          <w:color w:val="000000"/>
          <w:sz w:val="22"/>
          <w:szCs w:val="22"/>
        </w:rPr>
        <w:t> </w:t>
      </w:r>
    </w:p>
    <w:p w:rsidR="004B3DB6" w:rsidRPr="00BF363D" w:rsidRDefault="004B3DB6" w:rsidP="004B3DB6">
      <w:pPr>
        <w:rPr>
          <w:i/>
          <w:sz w:val="22"/>
          <w:szCs w:val="22"/>
        </w:rPr>
      </w:pPr>
      <w:r w:rsidRPr="00BF363D">
        <w:rPr>
          <w:bCs/>
          <w:i/>
          <w:color w:val="000000"/>
          <w:sz w:val="22"/>
          <w:szCs w:val="22"/>
        </w:rPr>
        <w:t>Update – This remains a priority recommendation of the Subcommittee</w:t>
      </w:r>
      <w:r w:rsidRPr="00BF363D">
        <w:rPr>
          <w:i/>
          <w:color w:val="000000"/>
          <w:sz w:val="22"/>
          <w:szCs w:val="22"/>
        </w:rPr>
        <w:t xml:space="preserve">. </w:t>
      </w:r>
      <w:r w:rsidRPr="00BF363D">
        <w:rPr>
          <w:bCs/>
          <w:i/>
          <w:color w:val="000000"/>
          <w:sz w:val="22"/>
          <w:szCs w:val="22"/>
        </w:rPr>
        <w:t>A few hospitals have developed training programs and personnel that are promising models.</w:t>
      </w:r>
    </w:p>
    <w:p w:rsidR="004B3DB6" w:rsidRPr="00BF363D" w:rsidRDefault="004B3DB6" w:rsidP="004B3DB6">
      <w:pPr>
        <w:rPr>
          <w:sz w:val="22"/>
          <w:szCs w:val="22"/>
        </w:rPr>
      </w:pPr>
      <w:r w:rsidRPr="00BF363D">
        <w:rPr>
          <w:rFonts w:ascii="Cambria" w:hAnsi="Cambria"/>
          <w:color w:val="000000"/>
          <w:sz w:val="22"/>
          <w:szCs w:val="22"/>
        </w:rPr>
        <w:t> </w:t>
      </w:r>
    </w:p>
    <w:p w:rsidR="004B3DB6" w:rsidRPr="00BF363D" w:rsidRDefault="00BF363D" w:rsidP="004B3DB6">
      <w:pPr>
        <w:rPr>
          <w:sz w:val="22"/>
          <w:szCs w:val="22"/>
        </w:rPr>
      </w:pPr>
      <w:r w:rsidRPr="00BF363D">
        <w:rPr>
          <w:rFonts w:ascii="Cambria" w:hAnsi="Cambria"/>
          <w:color w:val="000000"/>
          <w:sz w:val="22"/>
          <w:szCs w:val="22"/>
        </w:rPr>
        <w:t>3</w:t>
      </w:r>
      <w:r w:rsidR="004B3DB6" w:rsidRPr="00BF363D">
        <w:rPr>
          <w:rFonts w:ascii="Cambria" w:hAnsi="Cambria"/>
          <w:color w:val="000000"/>
          <w:sz w:val="22"/>
          <w:szCs w:val="22"/>
        </w:rPr>
        <w:t>.   Expand Mental Health emergency and treatment services focusing on considerations of culture, race, linguistics, gender identity and socio-economic status to specifically address the needs of children and adults on the spectrum. </w:t>
      </w:r>
    </w:p>
    <w:p w:rsidR="004B3DB6" w:rsidRPr="00BF363D" w:rsidRDefault="004B3DB6" w:rsidP="004B3DB6">
      <w:pPr>
        <w:rPr>
          <w:sz w:val="22"/>
          <w:szCs w:val="22"/>
        </w:rPr>
      </w:pPr>
      <w:r w:rsidRPr="00BF363D">
        <w:rPr>
          <w:color w:val="1F497D"/>
          <w:sz w:val="22"/>
          <w:szCs w:val="22"/>
        </w:rPr>
        <w:t> </w:t>
      </w:r>
    </w:p>
    <w:p w:rsidR="004B3DB6" w:rsidRPr="00BF363D" w:rsidRDefault="004B3DB6" w:rsidP="004B3DB6">
      <w:pPr>
        <w:rPr>
          <w:i/>
          <w:sz w:val="22"/>
          <w:szCs w:val="22"/>
        </w:rPr>
      </w:pPr>
      <w:r w:rsidRPr="00BF363D">
        <w:rPr>
          <w:bCs/>
          <w:i/>
          <w:sz w:val="22"/>
          <w:szCs w:val="22"/>
        </w:rPr>
        <w:t xml:space="preserve">Update – This remains a priority recommendation of the Subcommittee. </w:t>
      </w:r>
      <w:r w:rsidRPr="00BF363D">
        <w:rPr>
          <w:bCs/>
          <w:i/>
          <w:color w:val="000000"/>
          <w:sz w:val="22"/>
          <w:szCs w:val="22"/>
        </w:rPr>
        <w:t xml:space="preserve">The Children’s Mental Health </w:t>
      </w:r>
      <w:r w:rsidR="00E97393">
        <w:rPr>
          <w:bCs/>
          <w:i/>
          <w:color w:val="000000"/>
          <w:sz w:val="22"/>
          <w:szCs w:val="22"/>
        </w:rPr>
        <w:t>Campaign has been working on a </w:t>
      </w:r>
      <w:r w:rsidRPr="00BF363D">
        <w:rPr>
          <w:bCs/>
          <w:i/>
          <w:color w:val="000000"/>
          <w:sz w:val="22"/>
          <w:szCs w:val="22"/>
        </w:rPr>
        <w:t>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rsidR="004B3DB6" w:rsidRPr="00BF363D" w:rsidRDefault="004B3DB6" w:rsidP="004B3DB6">
      <w:pPr>
        <w:rPr>
          <w:i/>
          <w:sz w:val="22"/>
          <w:szCs w:val="22"/>
        </w:rPr>
      </w:pPr>
      <w:r w:rsidRPr="00BF363D">
        <w:rPr>
          <w:bCs/>
          <w:i/>
          <w:sz w:val="22"/>
          <w:szCs w:val="22"/>
        </w:rPr>
        <w:t> </w:t>
      </w:r>
    </w:p>
    <w:p w:rsidR="004B3DB6" w:rsidRPr="00BF363D" w:rsidRDefault="004B3DB6" w:rsidP="004B3DB6">
      <w:pPr>
        <w:rPr>
          <w:sz w:val="22"/>
          <w:szCs w:val="22"/>
        </w:rPr>
      </w:pPr>
      <w:r w:rsidRPr="00BF363D">
        <w:rPr>
          <w:sz w:val="22"/>
          <w:szCs w:val="22"/>
        </w:rPr>
        <w:t> </w:t>
      </w:r>
    </w:p>
    <w:p w:rsidR="004B3DB6" w:rsidRPr="00BF363D" w:rsidRDefault="004B3DB6" w:rsidP="004B3DB6">
      <w:pPr>
        <w:rPr>
          <w:sz w:val="22"/>
          <w:szCs w:val="22"/>
        </w:rPr>
      </w:pPr>
      <w:r w:rsidRPr="00BF363D">
        <w:rPr>
          <w:sz w:val="22"/>
          <w:szCs w:val="22"/>
        </w:rPr>
        <w:t> </w:t>
      </w:r>
    </w:p>
    <w:p w:rsidR="004B3DB6" w:rsidRPr="00BF363D" w:rsidRDefault="004B3DB6" w:rsidP="004B3DB6">
      <w:pPr>
        <w:rPr>
          <w:sz w:val="22"/>
          <w:szCs w:val="22"/>
        </w:rPr>
      </w:pPr>
      <w:r w:rsidRPr="00BF363D">
        <w:rPr>
          <w:sz w:val="22"/>
          <w:szCs w:val="22"/>
        </w:rPr>
        <w:t> </w:t>
      </w:r>
    </w:p>
    <w:p w:rsidR="004B3DB6" w:rsidRPr="00BF363D" w:rsidRDefault="004B3DB6" w:rsidP="004B3DB6">
      <w:pPr>
        <w:rPr>
          <w:sz w:val="22"/>
          <w:szCs w:val="22"/>
        </w:rPr>
      </w:pPr>
      <w:r w:rsidRPr="00BF363D">
        <w:rPr>
          <w:sz w:val="22"/>
          <w:szCs w:val="22"/>
        </w:rPr>
        <w:t> </w:t>
      </w:r>
    </w:p>
    <w:p w:rsidR="004B3DB6" w:rsidRPr="00BF363D" w:rsidRDefault="004B3DB6" w:rsidP="004B3DB6">
      <w:pPr>
        <w:rPr>
          <w:sz w:val="22"/>
          <w:szCs w:val="22"/>
        </w:rPr>
      </w:pPr>
    </w:p>
    <w:p w:rsidR="004B3DB6" w:rsidRPr="00BF363D" w:rsidRDefault="004B3DB6">
      <w:pPr>
        <w:rPr>
          <w:sz w:val="22"/>
          <w:szCs w:val="22"/>
        </w:rPr>
      </w:pPr>
    </w:p>
    <w:sectPr w:rsidR="004B3DB6" w:rsidRPr="00BF363D" w:rsidSect="005D109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E6" w:rsidRDefault="009805E6" w:rsidP="005423B9">
      <w:r>
        <w:separator/>
      </w:r>
    </w:p>
  </w:endnote>
  <w:endnote w:type="continuationSeparator" w:id="0">
    <w:p w:rsidR="009805E6" w:rsidRDefault="009805E6" w:rsidP="0054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199457"/>
      <w:docPartObj>
        <w:docPartGallery w:val="Page Numbers (Bottom of Page)"/>
        <w:docPartUnique/>
      </w:docPartObj>
    </w:sdtPr>
    <w:sdtEndPr>
      <w:rPr>
        <w:noProof/>
      </w:rPr>
    </w:sdtEndPr>
    <w:sdtContent>
      <w:p w:rsidR="005423B9" w:rsidRDefault="005423B9">
        <w:pPr>
          <w:pStyle w:val="Footer"/>
          <w:jc w:val="center"/>
        </w:pPr>
        <w:r>
          <w:fldChar w:fldCharType="begin"/>
        </w:r>
        <w:r>
          <w:instrText xml:space="preserve"> PAGE   \* MERGEFORMAT </w:instrText>
        </w:r>
        <w:r>
          <w:fldChar w:fldCharType="separate"/>
        </w:r>
        <w:r w:rsidR="00650320">
          <w:rPr>
            <w:noProof/>
          </w:rPr>
          <w:t>1</w:t>
        </w:r>
        <w:r>
          <w:rPr>
            <w:noProof/>
          </w:rPr>
          <w:fldChar w:fldCharType="end"/>
        </w:r>
      </w:p>
    </w:sdtContent>
  </w:sdt>
  <w:p w:rsidR="005423B9" w:rsidRDefault="00542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E6" w:rsidRDefault="009805E6" w:rsidP="005423B9">
      <w:r>
        <w:separator/>
      </w:r>
    </w:p>
  </w:footnote>
  <w:footnote w:type="continuationSeparator" w:id="0">
    <w:p w:rsidR="009805E6" w:rsidRDefault="009805E6" w:rsidP="0054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F6223"/>
    <w:multiLevelType w:val="hybridMultilevel"/>
    <w:tmpl w:val="5720C434"/>
    <w:lvl w:ilvl="0" w:tplc="938E20A0">
      <w:start w:val="1"/>
      <w:numFmt w:val="bullet"/>
      <w:lvlText w:val=""/>
      <w:lvlJc w:val="left"/>
      <w:pPr>
        <w:tabs>
          <w:tab w:val="num" w:pos="720"/>
        </w:tabs>
        <w:ind w:left="720" w:hanging="360"/>
      </w:pPr>
      <w:rPr>
        <w:rFonts w:ascii="Wingdings" w:hAnsi="Wingdings" w:hint="default"/>
      </w:rPr>
    </w:lvl>
    <w:lvl w:ilvl="1" w:tplc="DEF84EB2">
      <w:start w:val="1"/>
      <w:numFmt w:val="bullet"/>
      <w:lvlText w:val=""/>
      <w:lvlJc w:val="left"/>
      <w:pPr>
        <w:tabs>
          <w:tab w:val="num" w:pos="1440"/>
        </w:tabs>
        <w:ind w:left="1440" w:hanging="360"/>
      </w:pPr>
      <w:rPr>
        <w:rFonts w:ascii="Wingdings" w:hAnsi="Wingdings" w:hint="default"/>
      </w:rPr>
    </w:lvl>
    <w:lvl w:ilvl="2" w:tplc="91469148" w:tentative="1">
      <w:start w:val="1"/>
      <w:numFmt w:val="bullet"/>
      <w:lvlText w:val=""/>
      <w:lvlJc w:val="left"/>
      <w:pPr>
        <w:tabs>
          <w:tab w:val="num" w:pos="2160"/>
        </w:tabs>
        <w:ind w:left="2160" w:hanging="360"/>
      </w:pPr>
      <w:rPr>
        <w:rFonts w:ascii="Wingdings" w:hAnsi="Wingdings" w:hint="default"/>
      </w:rPr>
    </w:lvl>
    <w:lvl w:ilvl="3" w:tplc="1DAA4BEA" w:tentative="1">
      <w:start w:val="1"/>
      <w:numFmt w:val="bullet"/>
      <w:lvlText w:val=""/>
      <w:lvlJc w:val="left"/>
      <w:pPr>
        <w:tabs>
          <w:tab w:val="num" w:pos="2880"/>
        </w:tabs>
        <w:ind w:left="2880" w:hanging="360"/>
      </w:pPr>
      <w:rPr>
        <w:rFonts w:ascii="Wingdings" w:hAnsi="Wingdings" w:hint="default"/>
      </w:rPr>
    </w:lvl>
    <w:lvl w:ilvl="4" w:tplc="D7B259D0" w:tentative="1">
      <w:start w:val="1"/>
      <w:numFmt w:val="bullet"/>
      <w:lvlText w:val=""/>
      <w:lvlJc w:val="left"/>
      <w:pPr>
        <w:tabs>
          <w:tab w:val="num" w:pos="3600"/>
        </w:tabs>
        <w:ind w:left="3600" w:hanging="360"/>
      </w:pPr>
      <w:rPr>
        <w:rFonts w:ascii="Wingdings" w:hAnsi="Wingdings" w:hint="default"/>
      </w:rPr>
    </w:lvl>
    <w:lvl w:ilvl="5" w:tplc="147E9198" w:tentative="1">
      <w:start w:val="1"/>
      <w:numFmt w:val="bullet"/>
      <w:lvlText w:val=""/>
      <w:lvlJc w:val="left"/>
      <w:pPr>
        <w:tabs>
          <w:tab w:val="num" w:pos="4320"/>
        </w:tabs>
        <w:ind w:left="4320" w:hanging="360"/>
      </w:pPr>
      <w:rPr>
        <w:rFonts w:ascii="Wingdings" w:hAnsi="Wingdings" w:hint="default"/>
      </w:rPr>
    </w:lvl>
    <w:lvl w:ilvl="6" w:tplc="066EF116" w:tentative="1">
      <w:start w:val="1"/>
      <w:numFmt w:val="bullet"/>
      <w:lvlText w:val=""/>
      <w:lvlJc w:val="left"/>
      <w:pPr>
        <w:tabs>
          <w:tab w:val="num" w:pos="5040"/>
        </w:tabs>
        <w:ind w:left="5040" w:hanging="360"/>
      </w:pPr>
      <w:rPr>
        <w:rFonts w:ascii="Wingdings" w:hAnsi="Wingdings" w:hint="default"/>
      </w:rPr>
    </w:lvl>
    <w:lvl w:ilvl="7" w:tplc="81C87C12" w:tentative="1">
      <w:start w:val="1"/>
      <w:numFmt w:val="bullet"/>
      <w:lvlText w:val=""/>
      <w:lvlJc w:val="left"/>
      <w:pPr>
        <w:tabs>
          <w:tab w:val="num" w:pos="5760"/>
        </w:tabs>
        <w:ind w:left="5760" w:hanging="360"/>
      </w:pPr>
      <w:rPr>
        <w:rFonts w:ascii="Wingdings" w:hAnsi="Wingdings" w:hint="default"/>
      </w:rPr>
    </w:lvl>
    <w:lvl w:ilvl="8" w:tplc="4656B6A0" w:tentative="1">
      <w:start w:val="1"/>
      <w:numFmt w:val="bullet"/>
      <w:lvlText w:val=""/>
      <w:lvlJc w:val="left"/>
      <w:pPr>
        <w:tabs>
          <w:tab w:val="num" w:pos="6480"/>
        </w:tabs>
        <w:ind w:left="6480" w:hanging="360"/>
      </w:pPr>
      <w:rPr>
        <w:rFonts w:ascii="Wingdings" w:hAnsi="Wingdings" w:hint="default"/>
      </w:rPr>
    </w:lvl>
  </w:abstractNum>
  <w:abstractNum w:abstractNumId="3">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36145C0E"/>
    <w:multiLevelType w:val="hybridMultilevel"/>
    <w:tmpl w:val="59B049B4"/>
    <w:lvl w:ilvl="0" w:tplc="75687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8A934AB"/>
    <w:multiLevelType w:val="hybridMultilevel"/>
    <w:tmpl w:val="B2BA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0013BE"/>
    <w:multiLevelType w:val="hybridMultilevel"/>
    <w:tmpl w:val="A89A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7"/>
  </w:num>
  <w:num w:numId="3">
    <w:abstractNumId w:val="5"/>
  </w:num>
  <w:num w:numId="4">
    <w:abstractNumId w:val="10"/>
  </w:num>
  <w:num w:numId="5">
    <w:abstractNumId w:val="9"/>
    <w:lvlOverride w:ilvl="0"/>
    <w:lvlOverride w:ilvl="1">
      <w:startOverride w:val="1"/>
    </w:lvlOverride>
    <w:lvlOverride w:ilvl="2"/>
    <w:lvlOverride w:ilvl="3"/>
    <w:lvlOverride w:ilvl="4"/>
    <w:lvlOverride w:ilvl="5"/>
    <w:lvlOverride w:ilvl="6"/>
    <w:lvlOverride w:ilvl="7"/>
    <w:lvlOverride w:ilvl="8"/>
  </w:num>
  <w:num w:numId="6">
    <w:abstractNumId w:val="2"/>
  </w:num>
  <w:num w:numId="7">
    <w:abstractNumId w:val="0"/>
  </w:num>
  <w:num w:numId="8">
    <w:abstractNumId w:val="3"/>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C7"/>
    <w:rsid w:val="00164FDD"/>
    <w:rsid w:val="001A1213"/>
    <w:rsid w:val="002E401C"/>
    <w:rsid w:val="004372DF"/>
    <w:rsid w:val="004B3DB6"/>
    <w:rsid w:val="00536550"/>
    <w:rsid w:val="005423B9"/>
    <w:rsid w:val="0064776D"/>
    <w:rsid w:val="00650320"/>
    <w:rsid w:val="008330D0"/>
    <w:rsid w:val="00893DC6"/>
    <w:rsid w:val="008F587E"/>
    <w:rsid w:val="009805E6"/>
    <w:rsid w:val="00A950F7"/>
    <w:rsid w:val="00BF363D"/>
    <w:rsid w:val="00E97393"/>
    <w:rsid w:val="00F6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2C7"/>
    <w:pPr>
      <w:ind w:left="720"/>
      <w:contextualSpacing/>
    </w:pPr>
  </w:style>
  <w:style w:type="paragraph" w:styleId="NormalWeb">
    <w:name w:val="Normal (Web)"/>
    <w:basedOn w:val="Normal"/>
    <w:uiPriority w:val="99"/>
    <w:unhideWhenUsed/>
    <w:rsid w:val="004B3DB6"/>
    <w:rPr>
      <w:rFonts w:ascii="Times New Roman" w:hAnsi="Times New Roman" w:cs="Times New Roman"/>
    </w:rPr>
  </w:style>
  <w:style w:type="paragraph" w:styleId="NoSpacing">
    <w:name w:val="No Spacing"/>
    <w:uiPriority w:val="1"/>
    <w:qFormat/>
    <w:rsid w:val="004B3DB6"/>
    <w:pPr>
      <w:spacing w:after="0" w:line="240" w:lineRule="auto"/>
    </w:pPr>
  </w:style>
  <w:style w:type="table" w:styleId="TableGrid">
    <w:name w:val="Table Grid"/>
    <w:basedOn w:val="TableNormal"/>
    <w:uiPriority w:val="59"/>
    <w:rsid w:val="008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3B9"/>
    <w:pPr>
      <w:tabs>
        <w:tab w:val="center" w:pos="4680"/>
        <w:tab w:val="right" w:pos="9360"/>
      </w:tabs>
    </w:pPr>
  </w:style>
  <w:style w:type="character" w:customStyle="1" w:styleId="HeaderChar">
    <w:name w:val="Header Char"/>
    <w:basedOn w:val="DefaultParagraphFont"/>
    <w:link w:val="Header"/>
    <w:uiPriority w:val="99"/>
    <w:rsid w:val="005423B9"/>
    <w:rPr>
      <w:sz w:val="24"/>
      <w:szCs w:val="24"/>
    </w:rPr>
  </w:style>
  <w:style w:type="paragraph" w:styleId="Footer">
    <w:name w:val="footer"/>
    <w:basedOn w:val="Normal"/>
    <w:link w:val="FooterChar"/>
    <w:uiPriority w:val="99"/>
    <w:unhideWhenUsed/>
    <w:rsid w:val="005423B9"/>
    <w:pPr>
      <w:tabs>
        <w:tab w:val="center" w:pos="4680"/>
        <w:tab w:val="right" w:pos="9360"/>
      </w:tabs>
    </w:pPr>
  </w:style>
  <w:style w:type="character" w:customStyle="1" w:styleId="FooterChar">
    <w:name w:val="Footer Char"/>
    <w:basedOn w:val="DefaultParagraphFont"/>
    <w:link w:val="Footer"/>
    <w:uiPriority w:val="99"/>
    <w:rsid w:val="005423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C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2C7"/>
    <w:pPr>
      <w:ind w:left="720"/>
      <w:contextualSpacing/>
    </w:pPr>
  </w:style>
  <w:style w:type="paragraph" w:styleId="NormalWeb">
    <w:name w:val="Normal (Web)"/>
    <w:basedOn w:val="Normal"/>
    <w:uiPriority w:val="99"/>
    <w:unhideWhenUsed/>
    <w:rsid w:val="004B3DB6"/>
    <w:rPr>
      <w:rFonts w:ascii="Times New Roman" w:hAnsi="Times New Roman" w:cs="Times New Roman"/>
    </w:rPr>
  </w:style>
  <w:style w:type="paragraph" w:styleId="NoSpacing">
    <w:name w:val="No Spacing"/>
    <w:uiPriority w:val="1"/>
    <w:qFormat/>
    <w:rsid w:val="004B3DB6"/>
    <w:pPr>
      <w:spacing w:after="0" w:line="240" w:lineRule="auto"/>
    </w:pPr>
  </w:style>
  <w:style w:type="table" w:styleId="TableGrid">
    <w:name w:val="Table Grid"/>
    <w:basedOn w:val="TableNormal"/>
    <w:uiPriority w:val="59"/>
    <w:rsid w:val="008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3B9"/>
    <w:pPr>
      <w:tabs>
        <w:tab w:val="center" w:pos="4680"/>
        <w:tab w:val="right" w:pos="9360"/>
      </w:tabs>
    </w:pPr>
  </w:style>
  <w:style w:type="character" w:customStyle="1" w:styleId="HeaderChar">
    <w:name w:val="Header Char"/>
    <w:basedOn w:val="DefaultParagraphFont"/>
    <w:link w:val="Header"/>
    <w:uiPriority w:val="99"/>
    <w:rsid w:val="005423B9"/>
    <w:rPr>
      <w:sz w:val="24"/>
      <w:szCs w:val="24"/>
    </w:rPr>
  </w:style>
  <w:style w:type="paragraph" w:styleId="Footer">
    <w:name w:val="footer"/>
    <w:basedOn w:val="Normal"/>
    <w:link w:val="FooterChar"/>
    <w:uiPriority w:val="99"/>
    <w:unhideWhenUsed/>
    <w:rsid w:val="005423B9"/>
    <w:pPr>
      <w:tabs>
        <w:tab w:val="center" w:pos="4680"/>
        <w:tab w:val="right" w:pos="9360"/>
      </w:tabs>
    </w:pPr>
  </w:style>
  <w:style w:type="character" w:customStyle="1" w:styleId="FooterChar">
    <w:name w:val="Footer Char"/>
    <w:basedOn w:val="DefaultParagraphFont"/>
    <w:link w:val="Footer"/>
    <w:uiPriority w:val="99"/>
    <w:rsid w:val="00542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4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2769</Words>
  <Characters>15786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 kathy stern</cp:lastModifiedBy>
  <cp:revision>2</cp:revision>
  <cp:lastPrinted>2019-09-19T20:23:00Z</cp:lastPrinted>
  <dcterms:created xsi:type="dcterms:W3CDTF">2019-10-16T17:01:00Z</dcterms:created>
  <dcterms:modified xsi:type="dcterms:W3CDTF">2019-10-16T17:01:00Z</dcterms:modified>
</cp:coreProperties>
</file>