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342410AC" w14:textId="77777777" w:rsidTr="009B0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4F4973D"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165AFAB8"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3B512C7A" w14:textId="77777777" w:rsidR="004B14D0" w:rsidRPr="004B14D0" w:rsidRDefault="004B14D0" w:rsidP="00565D22">
            <w:pPr>
              <w:rPr>
                <w:color w:val="150399"/>
                <w:sz w:val="28"/>
                <w:szCs w:val="28"/>
              </w:rPr>
            </w:pPr>
          </w:p>
        </w:tc>
      </w:tr>
      <w:tr w:rsidR="005B1BBE" w:rsidRPr="002C2079" w14:paraId="34890BBF" w14:textId="77777777" w:rsidTr="009B0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6A073D8"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29E8F1CE" w14:textId="77777777" w:rsidTr="0066146F">
        <w:trPr>
          <w:trHeight w:val="360"/>
        </w:trPr>
        <w:tc>
          <w:tcPr>
            <w:tcW w:w="4707" w:type="dxa"/>
          </w:tcPr>
          <w:p w14:paraId="089475E8" w14:textId="77777777" w:rsidR="005B1BBE" w:rsidRPr="002C2079" w:rsidRDefault="005B1BBE" w:rsidP="005B1BBE">
            <w:pPr>
              <w:tabs>
                <w:tab w:val="left" w:pos="7050"/>
              </w:tabs>
              <w:rPr>
                <w:rFonts w:asciiTheme="majorHAnsi" w:hAnsiTheme="majorHAnsi"/>
              </w:rPr>
            </w:pPr>
          </w:p>
        </w:tc>
        <w:tc>
          <w:tcPr>
            <w:tcW w:w="4653" w:type="dxa"/>
          </w:tcPr>
          <w:p w14:paraId="427BFEC0" w14:textId="77777777" w:rsidR="005B1BBE" w:rsidRPr="002C2079" w:rsidRDefault="005B1BBE" w:rsidP="005B1BBE">
            <w:pPr>
              <w:tabs>
                <w:tab w:val="left" w:pos="7050"/>
              </w:tabs>
              <w:rPr>
                <w:rFonts w:asciiTheme="majorHAnsi" w:hAnsiTheme="majorHAnsi"/>
              </w:rPr>
            </w:pPr>
          </w:p>
        </w:tc>
      </w:tr>
      <w:tr w:rsidR="005B1BBE" w:rsidRPr="002C2079" w14:paraId="2F51FF8C" w14:textId="77777777" w:rsidTr="0066146F">
        <w:tc>
          <w:tcPr>
            <w:tcW w:w="4707" w:type="dxa"/>
          </w:tcPr>
          <w:p w14:paraId="68912E72"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24AFB79D" w14:textId="77777777" w:rsidR="005B1BBE" w:rsidRPr="002C2079" w:rsidRDefault="005B1BBE" w:rsidP="005B1BBE">
            <w:pPr>
              <w:tabs>
                <w:tab w:val="left" w:pos="7050"/>
              </w:tabs>
              <w:rPr>
                <w:rFonts w:asciiTheme="majorHAnsi" w:hAnsiTheme="majorHAnsi"/>
              </w:rPr>
            </w:pPr>
          </w:p>
        </w:tc>
        <w:tc>
          <w:tcPr>
            <w:tcW w:w="4653" w:type="dxa"/>
          </w:tcPr>
          <w:p w14:paraId="0423C09B" w14:textId="77777777" w:rsidR="005B1BBE" w:rsidRPr="002C2079" w:rsidRDefault="00C05357" w:rsidP="005B1BBE">
            <w:pPr>
              <w:tabs>
                <w:tab w:val="left" w:pos="7050"/>
              </w:tabs>
              <w:rPr>
                <w:rFonts w:asciiTheme="majorHAnsi" w:hAnsiTheme="majorHAnsi"/>
              </w:rPr>
            </w:pPr>
            <w:r>
              <w:rPr>
                <w:rFonts w:asciiTheme="majorHAnsi" w:hAnsiTheme="majorHAnsi"/>
              </w:rPr>
              <w:t>Net Operating Loss Carryover</w:t>
            </w:r>
          </w:p>
          <w:p w14:paraId="6AA0A11F" w14:textId="77777777" w:rsidR="005B1BBE" w:rsidRPr="002C2079" w:rsidRDefault="005B1BBE" w:rsidP="005B1BBE">
            <w:pPr>
              <w:tabs>
                <w:tab w:val="left" w:pos="7050"/>
              </w:tabs>
              <w:rPr>
                <w:rFonts w:asciiTheme="majorHAnsi" w:hAnsiTheme="majorHAnsi"/>
              </w:rPr>
            </w:pPr>
          </w:p>
        </w:tc>
      </w:tr>
      <w:tr w:rsidR="005B1BBE" w:rsidRPr="002C2079" w14:paraId="6FDB28D7" w14:textId="77777777" w:rsidTr="0066146F">
        <w:tc>
          <w:tcPr>
            <w:tcW w:w="4707" w:type="dxa"/>
          </w:tcPr>
          <w:p w14:paraId="77C57D2A"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6E5FB642" w14:textId="77777777" w:rsidR="005B1BBE" w:rsidRPr="002C2079" w:rsidRDefault="005B1BBE" w:rsidP="005B1BBE">
            <w:pPr>
              <w:tabs>
                <w:tab w:val="left" w:pos="7050"/>
              </w:tabs>
              <w:rPr>
                <w:rFonts w:asciiTheme="majorHAnsi" w:hAnsiTheme="majorHAnsi"/>
              </w:rPr>
            </w:pPr>
          </w:p>
        </w:tc>
        <w:tc>
          <w:tcPr>
            <w:tcW w:w="4653" w:type="dxa"/>
          </w:tcPr>
          <w:p w14:paraId="68DFE182" w14:textId="77777777" w:rsidR="005B1BBE" w:rsidRPr="002C2079" w:rsidRDefault="00CB3AA7" w:rsidP="005B1BBE">
            <w:pPr>
              <w:tabs>
                <w:tab w:val="left" w:pos="7050"/>
              </w:tabs>
              <w:rPr>
                <w:rFonts w:asciiTheme="majorHAnsi" w:hAnsiTheme="majorHAnsi"/>
              </w:rPr>
            </w:pPr>
            <w:r>
              <w:rPr>
                <w:rFonts w:asciiTheme="majorHAnsi" w:hAnsiTheme="majorHAnsi"/>
              </w:rPr>
              <w:t>2.203</w:t>
            </w:r>
          </w:p>
        </w:tc>
      </w:tr>
      <w:tr w:rsidR="005B1BBE" w:rsidRPr="002C2079" w14:paraId="65063EB4" w14:textId="77777777" w:rsidTr="0066146F">
        <w:tc>
          <w:tcPr>
            <w:tcW w:w="4707" w:type="dxa"/>
          </w:tcPr>
          <w:p w14:paraId="45BAC088"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28790822" w14:textId="77777777" w:rsidR="005B1BBE" w:rsidRPr="002C2079" w:rsidRDefault="005B1BBE" w:rsidP="005B1BBE">
            <w:pPr>
              <w:tabs>
                <w:tab w:val="left" w:pos="7050"/>
              </w:tabs>
              <w:rPr>
                <w:rFonts w:asciiTheme="majorHAnsi" w:hAnsiTheme="majorHAnsi"/>
              </w:rPr>
            </w:pPr>
          </w:p>
        </w:tc>
        <w:tc>
          <w:tcPr>
            <w:tcW w:w="4653" w:type="dxa"/>
          </w:tcPr>
          <w:p w14:paraId="4639DB51" w14:textId="77777777" w:rsidR="00FE3911" w:rsidRDefault="00B74A67" w:rsidP="00FE3911">
            <w:pPr>
              <w:tabs>
                <w:tab w:val="left" w:pos="7050"/>
              </w:tabs>
              <w:rPr>
                <w:rFonts w:asciiTheme="majorHAnsi" w:hAnsiTheme="majorHAnsi"/>
              </w:rPr>
            </w:pPr>
            <w:r>
              <w:rPr>
                <w:rFonts w:asciiTheme="majorHAnsi" w:hAnsiTheme="majorHAnsi"/>
              </w:rPr>
              <w:t>Deduction</w:t>
            </w:r>
            <w:r w:rsidR="005B1BBE" w:rsidRPr="002C2079">
              <w:rPr>
                <w:rFonts w:asciiTheme="majorHAnsi" w:hAnsiTheme="majorHAnsi"/>
              </w:rPr>
              <w:t xml:space="preserve"> against tax </w:t>
            </w:r>
            <w:r w:rsidR="005B1BBE" w:rsidRPr="002C2079">
              <w:rPr>
                <w:rFonts w:asciiTheme="majorHAnsi" w:hAnsiTheme="majorHAnsi"/>
                <w:i/>
              </w:rPr>
              <w:t>(</w:t>
            </w:r>
            <w:r w:rsidR="008C2341">
              <w:rPr>
                <w:rFonts w:asciiTheme="majorHAnsi" w:hAnsiTheme="majorHAnsi"/>
                <w:i/>
              </w:rPr>
              <w:t xml:space="preserve">corporate </w:t>
            </w:r>
            <w:r w:rsidR="005B1BBE" w:rsidRPr="002C2079">
              <w:rPr>
                <w:rFonts w:asciiTheme="majorHAnsi" w:hAnsiTheme="majorHAnsi"/>
                <w:i/>
              </w:rPr>
              <w:t>and business tax)</w:t>
            </w:r>
          </w:p>
          <w:p w14:paraId="349F7989" w14:textId="77777777" w:rsidR="005B1BBE" w:rsidRPr="002C2079" w:rsidRDefault="00FE3911" w:rsidP="00FE3911">
            <w:pPr>
              <w:tabs>
                <w:tab w:val="left" w:pos="7050"/>
              </w:tabs>
              <w:rPr>
                <w:rFonts w:asciiTheme="majorHAnsi" w:hAnsiTheme="majorHAnsi"/>
              </w:rPr>
            </w:pPr>
            <w:r w:rsidRPr="002C2079">
              <w:rPr>
                <w:rFonts w:asciiTheme="majorHAnsi" w:hAnsiTheme="majorHAnsi"/>
              </w:rPr>
              <w:t xml:space="preserve"> </w:t>
            </w:r>
          </w:p>
        </w:tc>
      </w:tr>
      <w:tr w:rsidR="005B1BBE" w:rsidRPr="002C2079" w14:paraId="266D6959" w14:textId="77777777" w:rsidTr="0066146F">
        <w:tc>
          <w:tcPr>
            <w:tcW w:w="4707" w:type="dxa"/>
          </w:tcPr>
          <w:p w14:paraId="3BA0799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1665C63D" w14:textId="77777777" w:rsidR="005B1BBE" w:rsidRPr="002C2079" w:rsidRDefault="005B1BBE" w:rsidP="005B1BBE">
            <w:pPr>
              <w:tabs>
                <w:tab w:val="left" w:pos="7050"/>
              </w:tabs>
              <w:rPr>
                <w:rFonts w:asciiTheme="majorHAnsi" w:hAnsiTheme="majorHAnsi"/>
              </w:rPr>
            </w:pPr>
          </w:p>
        </w:tc>
        <w:tc>
          <w:tcPr>
            <w:tcW w:w="4653" w:type="dxa"/>
          </w:tcPr>
          <w:p w14:paraId="5972DBF7" w14:textId="77777777" w:rsidR="00565D22" w:rsidRPr="002C2079" w:rsidRDefault="00B511F1" w:rsidP="005B1BBE">
            <w:pPr>
              <w:tabs>
                <w:tab w:val="left" w:pos="7050"/>
              </w:tabs>
              <w:rPr>
                <w:rFonts w:asciiTheme="majorHAnsi" w:hAnsiTheme="majorHAnsi"/>
              </w:rPr>
            </w:pPr>
            <w:r w:rsidRPr="00B511F1">
              <w:rPr>
                <w:rFonts w:asciiTheme="majorHAnsi" w:hAnsiTheme="majorHAnsi"/>
              </w:rPr>
              <w:t>Corporate excise tax</w:t>
            </w:r>
          </w:p>
        </w:tc>
      </w:tr>
      <w:tr w:rsidR="005B1BBE" w:rsidRPr="002C2079" w14:paraId="74948306" w14:textId="77777777" w:rsidTr="0066146F">
        <w:tc>
          <w:tcPr>
            <w:tcW w:w="4707" w:type="dxa"/>
          </w:tcPr>
          <w:p w14:paraId="4E6F544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2000CC36" w14:textId="77777777" w:rsidR="005B1BBE" w:rsidRPr="002C2079" w:rsidRDefault="005B1BBE" w:rsidP="005B1BBE">
            <w:pPr>
              <w:tabs>
                <w:tab w:val="left" w:pos="7050"/>
              </w:tabs>
              <w:rPr>
                <w:rFonts w:asciiTheme="majorHAnsi" w:hAnsiTheme="majorHAnsi"/>
              </w:rPr>
            </w:pPr>
          </w:p>
        </w:tc>
        <w:tc>
          <w:tcPr>
            <w:tcW w:w="4653" w:type="dxa"/>
          </w:tcPr>
          <w:p w14:paraId="59A6F1BB" w14:textId="77777777" w:rsidR="005B1BBE" w:rsidRPr="002C2079" w:rsidRDefault="00B74A67" w:rsidP="005B1BBE">
            <w:pPr>
              <w:tabs>
                <w:tab w:val="left" w:pos="7050"/>
              </w:tabs>
              <w:rPr>
                <w:rFonts w:asciiTheme="majorHAnsi" w:hAnsiTheme="majorHAnsi"/>
              </w:rPr>
            </w:pPr>
            <w:r w:rsidRPr="00B74A67">
              <w:rPr>
                <w:rFonts w:asciiTheme="majorHAnsi" w:hAnsiTheme="majorHAnsi"/>
              </w:rPr>
              <w:t>IRC, § 172; M.G.L. c. 63, § 30</w:t>
            </w:r>
            <w:r w:rsidR="003178B6">
              <w:rPr>
                <w:rFonts w:asciiTheme="majorHAnsi" w:hAnsiTheme="majorHAnsi"/>
              </w:rPr>
              <w:t>(5)</w:t>
            </w:r>
          </w:p>
        </w:tc>
      </w:tr>
      <w:tr w:rsidR="005B1BBE" w:rsidRPr="002C2079" w14:paraId="2FE5184B" w14:textId="77777777" w:rsidTr="0066146F">
        <w:tc>
          <w:tcPr>
            <w:tcW w:w="4707" w:type="dxa"/>
          </w:tcPr>
          <w:p w14:paraId="00737332"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6816FBEF" w14:textId="77777777" w:rsidR="005B1BBE" w:rsidRPr="002C2079" w:rsidRDefault="005B1BBE" w:rsidP="005B1BBE">
            <w:pPr>
              <w:tabs>
                <w:tab w:val="left" w:pos="7050"/>
              </w:tabs>
              <w:rPr>
                <w:rFonts w:asciiTheme="majorHAnsi" w:hAnsiTheme="majorHAnsi"/>
              </w:rPr>
            </w:pPr>
          </w:p>
        </w:tc>
        <w:tc>
          <w:tcPr>
            <w:tcW w:w="4653" w:type="dxa"/>
          </w:tcPr>
          <w:p w14:paraId="54CBF78F" w14:textId="77777777" w:rsidR="005B1BBE" w:rsidRPr="002C2079" w:rsidRDefault="006D5C62" w:rsidP="005B1BBE">
            <w:pPr>
              <w:tabs>
                <w:tab w:val="left" w:pos="7050"/>
              </w:tabs>
              <w:rPr>
                <w:rFonts w:asciiTheme="majorHAnsi" w:hAnsiTheme="majorHAnsi"/>
              </w:rPr>
            </w:pPr>
            <w:r>
              <w:rPr>
                <w:rFonts w:asciiTheme="majorHAnsi" w:hAnsiTheme="majorHAnsi"/>
              </w:rPr>
              <w:t>1988</w:t>
            </w:r>
          </w:p>
        </w:tc>
      </w:tr>
      <w:tr w:rsidR="005B1BBE" w:rsidRPr="002C2079" w14:paraId="7AFC6583" w14:textId="77777777" w:rsidTr="0066146F">
        <w:tc>
          <w:tcPr>
            <w:tcW w:w="4707" w:type="dxa"/>
          </w:tcPr>
          <w:p w14:paraId="02E1CBF1"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653" w:type="dxa"/>
          </w:tcPr>
          <w:p w14:paraId="2B599619" w14:textId="77777777" w:rsidR="005B1BBE" w:rsidRDefault="006D5C62" w:rsidP="00424CC0">
            <w:pPr>
              <w:tabs>
                <w:tab w:val="left" w:pos="7050"/>
              </w:tabs>
              <w:rPr>
                <w:rFonts w:asciiTheme="majorHAnsi" w:hAnsiTheme="majorHAnsi"/>
              </w:rPr>
            </w:pPr>
            <w:r>
              <w:rPr>
                <w:rFonts w:asciiTheme="majorHAnsi" w:hAnsiTheme="majorHAnsi"/>
              </w:rPr>
              <w:t>None</w:t>
            </w:r>
          </w:p>
          <w:p w14:paraId="26E003BE" w14:textId="77777777" w:rsidR="00424CC0" w:rsidRPr="002C2079" w:rsidRDefault="00424CC0" w:rsidP="00424CC0">
            <w:pPr>
              <w:tabs>
                <w:tab w:val="left" w:pos="7050"/>
              </w:tabs>
              <w:rPr>
                <w:rFonts w:asciiTheme="majorHAnsi" w:hAnsiTheme="majorHAnsi"/>
              </w:rPr>
            </w:pPr>
          </w:p>
        </w:tc>
      </w:tr>
      <w:tr w:rsidR="0066146F" w:rsidRPr="002C2079" w14:paraId="40D31A07" w14:textId="77777777" w:rsidTr="0066146F">
        <w:tc>
          <w:tcPr>
            <w:tcW w:w="4707" w:type="dxa"/>
          </w:tcPr>
          <w:p w14:paraId="3FCF5C75" w14:textId="77777777" w:rsidR="0066146F" w:rsidRPr="002C2079" w:rsidRDefault="0066146F" w:rsidP="006614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111AD6BD" w14:textId="77777777" w:rsidR="0066146F" w:rsidRPr="002C2079" w:rsidRDefault="0066146F" w:rsidP="0066146F">
            <w:pPr>
              <w:tabs>
                <w:tab w:val="left" w:pos="7050"/>
              </w:tabs>
              <w:rPr>
                <w:rFonts w:asciiTheme="majorHAnsi" w:hAnsiTheme="majorHAnsi"/>
              </w:rPr>
            </w:pPr>
          </w:p>
        </w:tc>
        <w:tc>
          <w:tcPr>
            <w:tcW w:w="4653" w:type="dxa"/>
          </w:tcPr>
          <w:p w14:paraId="4DACC928" w14:textId="77777777" w:rsidR="0066146F" w:rsidRDefault="0066146F" w:rsidP="0066146F">
            <w:pPr>
              <w:tabs>
                <w:tab w:val="left" w:pos="7050"/>
              </w:tabs>
              <w:rPr>
                <w:rFonts w:asciiTheme="majorHAnsi" w:hAnsiTheme="majorHAnsi"/>
              </w:rPr>
            </w:pPr>
            <w:r w:rsidRPr="002C2079">
              <w:rPr>
                <w:rFonts w:asciiTheme="majorHAnsi" w:hAnsiTheme="majorHAnsi"/>
              </w:rPr>
              <w:t>Tax loss of $</w:t>
            </w:r>
            <w:r w:rsidR="00AF7AAB">
              <w:rPr>
                <w:rFonts w:asciiTheme="majorHAnsi" w:hAnsiTheme="majorHAnsi"/>
              </w:rPr>
              <w:t>1</w:t>
            </w:r>
            <w:r w:rsidR="00B25535">
              <w:rPr>
                <w:rFonts w:asciiTheme="majorHAnsi" w:hAnsiTheme="majorHAnsi"/>
              </w:rPr>
              <w:t>67.</w:t>
            </w:r>
            <w:r w:rsidR="007A622C">
              <w:rPr>
                <w:rFonts w:asciiTheme="majorHAnsi" w:hAnsiTheme="majorHAnsi"/>
              </w:rPr>
              <w:t>1</w:t>
            </w:r>
            <w:r w:rsidR="00D458BD">
              <w:rPr>
                <w:rFonts w:asciiTheme="majorHAnsi" w:hAnsiTheme="majorHAnsi"/>
              </w:rPr>
              <w:t xml:space="preserve"> </w:t>
            </w:r>
            <w:r w:rsidR="00AF7AAB">
              <w:rPr>
                <w:rFonts w:asciiTheme="majorHAnsi" w:hAnsiTheme="majorHAnsi"/>
              </w:rPr>
              <w:t>- $</w:t>
            </w:r>
            <w:r w:rsidR="00B25535">
              <w:rPr>
                <w:rFonts w:asciiTheme="majorHAnsi" w:hAnsiTheme="majorHAnsi"/>
              </w:rPr>
              <w:t>194.0</w:t>
            </w:r>
            <w:r>
              <w:rPr>
                <w:rFonts w:asciiTheme="majorHAnsi" w:hAnsiTheme="majorHAnsi"/>
              </w:rPr>
              <w:t xml:space="preserve"> </w:t>
            </w:r>
            <w:r w:rsidRPr="002C2079">
              <w:rPr>
                <w:rFonts w:asciiTheme="majorHAnsi" w:hAnsiTheme="majorHAnsi"/>
              </w:rPr>
              <w:t xml:space="preserve">million </w:t>
            </w:r>
            <w:r w:rsidR="00980685">
              <w:rPr>
                <w:rFonts w:asciiTheme="majorHAnsi" w:hAnsiTheme="majorHAnsi"/>
              </w:rPr>
              <w:t xml:space="preserve">per year during </w:t>
            </w:r>
            <w:r w:rsidRPr="002C2079">
              <w:rPr>
                <w:rFonts w:asciiTheme="majorHAnsi" w:hAnsiTheme="majorHAnsi"/>
              </w:rPr>
              <w:t>FY1</w:t>
            </w:r>
            <w:r>
              <w:rPr>
                <w:rFonts w:asciiTheme="majorHAnsi" w:hAnsiTheme="majorHAnsi"/>
              </w:rPr>
              <w:t>8</w:t>
            </w:r>
            <w:r w:rsidRPr="002C2079">
              <w:rPr>
                <w:rFonts w:asciiTheme="majorHAnsi" w:hAnsiTheme="majorHAnsi"/>
              </w:rPr>
              <w:t>-FY2</w:t>
            </w:r>
            <w:r>
              <w:rPr>
                <w:rFonts w:asciiTheme="majorHAnsi" w:hAnsiTheme="majorHAnsi"/>
              </w:rPr>
              <w:t>2</w:t>
            </w:r>
          </w:p>
          <w:p w14:paraId="78ADDBB8" w14:textId="77777777" w:rsidR="004A1E9F" w:rsidRPr="002C2079" w:rsidRDefault="004A1E9F" w:rsidP="0066146F">
            <w:pPr>
              <w:tabs>
                <w:tab w:val="left" w:pos="7050"/>
              </w:tabs>
              <w:rPr>
                <w:rFonts w:asciiTheme="majorHAnsi" w:hAnsiTheme="majorHAnsi"/>
              </w:rPr>
            </w:pPr>
          </w:p>
        </w:tc>
      </w:tr>
      <w:tr w:rsidR="0066146F" w:rsidRPr="002C2079" w14:paraId="21B1A9C1" w14:textId="77777777" w:rsidTr="0066146F">
        <w:tc>
          <w:tcPr>
            <w:tcW w:w="4707" w:type="dxa"/>
          </w:tcPr>
          <w:p w14:paraId="7D9A65DE" w14:textId="77777777" w:rsidR="0066146F" w:rsidRPr="002C2079" w:rsidRDefault="0066146F" w:rsidP="0066146F">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653" w:type="dxa"/>
          </w:tcPr>
          <w:p w14:paraId="2742E1FF" w14:textId="77777777" w:rsidR="0066146F" w:rsidRPr="001B1CD6" w:rsidRDefault="00F00FF6" w:rsidP="0066146F">
            <w:pPr>
              <w:tabs>
                <w:tab w:val="left" w:pos="7050"/>
              </w:tabs>
              <w:rPr>
                <w:rFonts w:asciiTheme="majorHAnsi" w:eastAsiaTheme="majorEastAsia" w:hAnsiTheme="majorHAnsi" w:cstheme="majorBidi"/>
                <w:bCs/>
                <w:color w:val="000000" w:themeColor="text1"/>
              </w:rPr>
            </w:pPr>
            <w:r w:rsidRPr="001B1CD6">
              <w:rPr>
                <w:rFonts w:asciiTheme="majorHAnsi" w:eastAsiaTheme="majorEastAsia" w:hAnsiTheme="majorHAnsi" w:cstheme="majorBidi"/>
                <w:bCs/>
                <w:color w:val="000000" w:themeColor="text1"/>
              </w:rPr>
              <w:t>10,7</w:t>
            </w:r>
            <w:r w:rsidR="00BB69B7">
              <w:rPr>
                <w:rFonts w:asciiTheme="majorHAnsi" w:eastAsiaTheme="majorEastAsia" w:hAnsiTheme="majorHAnsi" w:cstheme="majorBidi"/>
                <w:bCs/>
                <w:color w:val="000000" w:themeColor="text1"/>
              </w:rPr>
              <w:t>3</w:t>
            </w:r>
            <w:r w:rsidRPr="001B1CD6">
              <w:rPr>
                <w:rFonts w:asciiTheme="majorHAnsi" w:eastAsiaTheme="majorEastAsia" w:hAnsiTheme="majorHAnsi" w:cstheme="majorBidi"/>
                <w:bCs/>
                <w:color w:val="000000" w:themeColor="text1"/>
              </w:rPr>
              <w:t xml:space="preserve">5 – 12,184 claims for the deduction </w:t>
            </w:r>
            <w:r w:rsidR="00980685">
              <w:rPr>
                <w:rFonts w:asciiTheme="majorHAnsi" w:eastAsiaTheme="majorEastAsia" w:hAnsiTheme="majorHAnsi" w:cstheme="majorBidi"/>
                <w:bCs/>
                <w:color w:val="000000" w:themeColor="text1"/>
              </w:rPr>
              <w:t xml:space="preserve">per year during </w:t>
            </w:r>
            <w:r w:rsidRPr="001B1CD6">
              <w:rPr>
                <w:rFonts w:asciiTheme="majorHAnsi" w:eastAsiaTheme="majorEastAsia" w:hAnsiTheme="majorHAnsi" w:cstheme="majorBidi"/>
                <w:bCs/>
                <w:color w:val="000000" w:themeColor="text1"/>
              </w:rPr>
              <w:t xml:space="preserve">the </w:t>
            </w:r>
            <w:r w:rsidR="00EC1F73">
              <w:rPr>
                <w:rFonts w:asciiTheme="majorHAnsi" w:eastAsiaTheme="majorEastAsia" w:hAnsiTheme="majorHAnsi" w:cstheme="majorBidi"/>
                <w:bCs/>
                <w:color w:val="000000" w:themeColor="text1"/>
              </w:rPr>
              <w:t xml:space="preserve">tax </w:t>
            </w:r>
            <w:r w:rsidRPr="001B1CD6">
              <w:rPr>
                <w:rFonts w:asciiTheme="majorHAnsi" w:eastAsiaTheme="majorEastAsia" w:hAnsiTheme="majorHAnsi" w:cstheme="majorBidi"/>
                <w:bCs/>
                <w:color w:val="000000" w:themeColor="text1"/>
              </w:rPr>
              <w:t>years 2015 through 2018.</w:t>
            </w:r>
          </w:p>
          <w:p w14:paraId="4BE4C04A" w14:textId="77777777" w:rsidR="0066146F" w:rsidRPr="002C2079" w:rsidRDefault="0066146F" w:rsidP="0066146F">
            <w:pPr>
              <w:tabs>
                <w:tab w:val="left" w:pos="7050"/>
              </w:tabs>
              <w:rPr>
                <w:rFonts w:asciiTheme="majorHAnsi" w:hAnsiTheme="majorHAnsi"/>
              </w:rPr>
            </w:pPr>
          </w:p>
        </w:tc>
      </w:tr>
      <w:tr w:rsidR="0066146F" w:rsidRPr="002C2079" w14:paraId="7278145A" w14:textId="77777777" w:rsidTr="0066146F">
        <w:tc>
          <w:tcPr>
            <w:tcW w:w="4707" w:type="dxa"/>
          </w:tcPr>
          <w:p w14:paraId="37CA26E8" w14:textId="77777777" w:rsidR="0066146F" w:rsidRPr="002C2079" w:rsidRDefault="0066146F" w:rsidP="0066146F">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653" w:type="dxa"/>
          </w:tcPr>
          <w:p w14:paraId="61436B4B" w14:textId="77777777" w:rsidR="0066146F" w:rsidRPr="002C2079" w:rsidRDefault="00BB69B7" w:rsidP="0066146F">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9D0D16" w:rsidRPr="009D0D16">
              <w:rPr>
                <w:rFonts w:asciiTheme="majorHAnsi" w:eastAsiaTheme="majorEastAsia" w:hAnsiTheme="majorHAnsi" w:cstheme="majorBidi"/>
                <w:bCs/>
                <w:color w:val="000000" w:themeColor="text1"/>
              </w:rPr>
              <w:t>$</w:t>
            </w:r>
            <w:r w:rsidR="00F87A7F">
              <w:rPr>
                <w:rFonts w:asciiTheme="majorHAnsi" w:eastAsiaTheme="majorEastAsia" w:hAnsiTheme="majorHAnsi" w:cstheme="majorBidi"/>
                <w:bCs/>
                <w:color w:val="000000" w:themeColor="text1"/>
              </w:rPr>
              <w:t>1</w:t>
            </w:r>
            <w:r>
              <w:rPr>
                <w:rFonts w:asciiTheme="majorHAnsi" w:eastAsiaTheme="majorEastAsia" w:hAnsiTheme="majorHAnsi" w:cstheme="majorBidi"/>
                <w:bCs/>
                <w:color w:val="000000" w:themeColor="text1"/>
              </w:rPr>
              <w:t>4</w:t>
            </w:r>
            <w:r w:rsidR="00F87A7F">
              <w:rPr>
                <w:rFonts w:asciiTheme="majorHAnsi" w:eastAsiaTheme="majorEastAsia" w:hAnsiTheme="majorHAnsi" w:cstheme="majorBidi"/>
                <w:bCs/>
                <w:color w:val="000000" w:themeColor="text1"/>
              </w:rPr>
              <w:t>,</w:t>
            </w:r>
            <w:r w:rsidR="00673021">
              <w:rPr>
                <w:rFonts w:asciiTheme="majorHAnsi" w:eastAsiaTheme="majorEastAsia" w:hAnsiTheme="majorHAnsi" w:cstheme="majorBidi"/>
                <w:bCs/>
                <w:color w:val="000000" w:themeColor="text1"/>
              </w:rPr>
              <w:t>4</w:t>
            </w:r>
            <w:r>
              <w:rPr>
                <w:rFonts w:asciiTheme="majorHAnsi" w:eastAsiaTheme="majorEastAsia" w:hAnsiTheme="majorHAnsi" w:cstheme="majorBidi"/>
                <w:bCs/>
                <w:color w:val="000000" w:themeColor="text1"/>
              </w:rPr>
              <w:t>00</w:t>
            </w:r>
            <w:r w:rsidR="003021EF">
              <w:rPr>
                <w:rFonts w:asciiTheme="majorHAnsi" w:eastAsiaTheme="majorEastAsia" w:hAnsiTheme="majorHAnsi" w:cstheme="majorBidi"/>
                <w:bCs/>
                <w:color w:val="000000" w:themeColor="text1"/>
              </w:rPr>
              <w:t xml:space="preserve"> per claim</w:t>
            </w:r>
            <w:r w:rsidR="00EC1F73">
              <w:rPr>
                <w:rFonts w:asciiTheme="majorHAnsi" w:eastAsiaTheme="majorEastAsia" w:hAnsiTheme="majorHAnsi" w:cstheme="majorBidi"/>
                <w:bCs/>
                <w:color w:val="000000" w:themeColor="text1"/>
              </w:rPr>
              <w:t>ant</w:t>
            </w:r>
            <w:r w:rsidR="00673021">
              <w:rPr>
                <w:rFonts w:asciiTheme="majorHAnsi" w:eastAsiaTheme="majorEastAsia" w:hAnsiTheme="majorHAnsi" w:cstheme="majorBidi"/>
                <w:bCs/>
                <w:color w:val="000000" w:themeColor="text1"/>
              </w:rPr>
              <w:t xml:space="preserve"> (</w:t>
            </w:r>
            <w:r w:rsidR="004C68CC">
              <w:rPr>
                <w:rFonts w:asciiTheme="majorHAnsi" w:eastAsiaTheme="majorEastAsia" w:hAnsiTheme="majorHAnsi" w:cstheme="majorBidi"/>
                <w:bCs/>
                <w:color w:val="000000" w:themeColor="text1"/>
              </w:rPr>
              <w:t>2018</w:t>
            </w:r>
            <w:r w:rsidR="00673021">
              <w:rPr>
                <w:rFonts w:asciiTheme="majorHAnsi" w:eastAsiaTheme="majorEastAsia" w:hAnsiTheme="majorHAnsi" w:cstheme="majorBidi"/>
                <w:bCs/>
                <w:color w:val="000000" w:themeColor="text1"/>
              </w:rPr>
              <w:t>)</w:t>
            </w:r>
          </w:p>
        </w:tc>
      </w:tr>
    </w:tbl>
    <w:p w14:paraId="03B1C76C" w14:textId="77777777" w:rsidR="00565D22" w:rsidRDefault="00565D22">
      <w:pPr>
        <w:rPr>
          <w:b/>
          <w:bCs/>
        </w:rPr>
      </w:pPr>
    </w:p>
    <w:tbl>
      <w:tblPr>
        <w:tblStyle w:val="TableGrid"/>
        <w:tblW w:w="0" w:type="auto"/>
        <w:tblLook w:val="04A0" w:firstRow="1" w:lastRow="0" w:firstColumn="1" w:lastColumn="0" w:noHBand="0" w:noVBand="1"/>
      </w:tblPr>
      <w:tblGrid>
        <w:gridCol w:w="4788"/>
        <w:gridCol w:w="4788"/>
      </w:tblGrid>
      <w:tr w:rsidR="00565D22" w14:paraId="594191F5" w14:textId="77777777" w:rsidTr="00CD3E21">
        <w:tc>
          <w:tcPr>
            <w:tcW w:w="4788" w:type="dxa"/>
          </w:tcPr>
          <w:p w14:paraId="563C1E20"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5B5C8BB0" w14:textId="77777777" w:rsidR="00AF6539" w:rsidRDefault="00CD3E21" w:rsidP="00565D22">
            <w:pPr>
              <w:tabs>
                <w:tab w:val="left" w:pos="7050"/>
              </w:tabs>
              <w:rPr>
                <w:rFonts w:asciiTheme="majorHAnsi" w:eastAsiaTheme="majorEastAsia" w:hAnsiTheme="majorHAnsi" w:cstheme="majorBidi"/>
                <w:bCs/>
                <w:color w:val="000000" w:themeColor="text1"/>
                <w:sz w:val="24"/>
              </w:rPr>
            </w:pPr>
            <w:r w:rsidRPr="00CD3E21">
              <w:rPr>
                <w:rFonts w:asciiTheme="majorHAnsi" w:eastAsiaTheme="majorEastAsia" w:hAnsiTheme="majorHAnsi" w:cstheme="majorBidi"/>
                <w:bCs/>
                <w:color w:val="000000" w:themeColor="text1"/>
                <w:sz w:val="24"/>
              </w:rPr>
              <w:t xml:space="preserve">A deduction for net operating losses incurred in previous taxable years is allowed to certain corporations in determining net income in the current year. </w:t>
            </w:r>
          </w:p>
          <w:p w14:paraId="0867C585" w14:textId="77777777" w:rsidR="00565D22" w:rsidRPr="00565D22" w:rsidRDefault="00CD3E21" w:rsidP="00565D22">
            <w:pPr>
              <w:tabs>
                <w:tab w:val="left" w:pos="7050"/>
              </w:tabs>
              <w:rPr>
                <w:rFonts w:asciiTheme="majorHAnsi" w:eastAsiaTheme="majorEastAsia" w:hAnsiTheme="majorHAnsi" w:cstheme="majorBidi"/>
                <w:b/>
                <w:bCs/>
                <w:color w:val="000000" w:themeColor="text1"/>
                <w:sz w:val="24"/>
              </w:rPr>
            </w:pPr>
            <w:r w:rsidRPr="00CD3E21">
              <w:rPr>
                <w:rFonts w:asciiTheme="majorHAnsi" w:eastAsiaTheme="majorEastAsia" w:hAnsiTheme="majorHAnsi" w:cstheme="majorBidi"/>
                <w:bCs/>
                <w:color w:val="000000" w:themeColor="text1"/>
                <w:sz w:val="24"/>
              </w:rPr>
              <w:t xml:space="preserve"> </w:t>
            </w:r>
          </w:p>
        </w:tc>
        <w:tc>
          <w:tcPr>
            <w:tcW w:w="4788" w:type="dxa"/>
          </w:tcPr>
          <w:p w14:paraId="101125FC"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7CEADD87" w14:textId="77777777" w:rsidR="00565D22" w:rsidRDefault="00565D22" w:rsidP="00565D22">
            <w:pPr>
              <w:rPr>
                <w:b/>
                <w:bCs/>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p>
        </w:tc>
      </w:tr>
      <w:tr w:rsidR="00565D22" w14:paraId="4C4F4106" w14:textId="77777777" w:rsidTr="00CD3E21">
        <w:tc>
          <w:tcPr>
            <w:tcW w:w="4788" w:type="dxa"/>
          </w:tcPr>
          <w:p w14:paraId="43893F0B" w14:textId="77777777" w:rsidR="00565D22" w:rsidRPr="00003921"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What are the </w:t>
            </w:r>
            <w:r w:rsidR="00EC1F73">
              <w:rPr>
                <w:rFonts w:asciiTheme="majorHAnsi" w:eastAsiaTheme="majorEastAsia" w:hAnsiTheme="majorHAnsi" w:cstheme="majorBidi"/>
                <w:b/>
                <w:bCs/>
                <w:color w:val="000000" w:themeColor="text1"/>
                <w:sz w:val="24"/>
              </w:rPr>
              <w:t>policy</w:t>
            </w:r>
            <w:r>
              <w:rPr>
                <w:rFonts w:asciiTheme="majorHAnsi" w:eastAsiaTheme="majorEastAsia" w:hAnsiTheme="majorHAnsi" w:cstheme="majorBidi"/>
                <w:b/>
                <w:bCs/>
                <w:color w:val="000000" w:themeColor="text1"/>
                <w:sz w:val="24"/>
              </w:rPr>
              <w:t xml:space="preserve"> goals of the expenditure?</w:t>
            </w:r>
          </w:p>
          <w:p w14:paraId="03445713" w14:textId="77777777" w:rsidR="00565D22" w:rsidRDefault="00CD3E21" w:rsidP="00565D22">
            <w:pPr>
              <w:rPr>
                <w:b/>
                <w:bCs/>
              </w:rPr>
            </w:pPr>
            <w:r w:rsidRPr="00CD3E21">
              <w:rPr>
                <w:rFonts w:asciiTheme="majorHAnsi" w:eastAsiaTheme="majorEastAsia" w:hAnsiTheme="majorHAnsi" w:cstheme="majorBidi"/>
                <w:bCs/>
                <w:color w:val="000000" w:themeColor="text1"/>
                <w:sz w:val="24"/>
              </w:rPr>
              <w:t xml:space="preserve">No goals are identified in the statute, but we assume the goal of the NOL deduction is to smooth out annual variations in income.  </w:t>
            </w:r>
          </w:p>
        </w:tc>
        <w:tc>
          <w:tcPr>
            <w:tcW w:w="4788" w:type="dxa"/>
          </w:tcPr>
          <w:p w14:paraId="6FCD31B7"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2DF93411" w14:textId="77777777" w:rsidR="00565D22" w:rsidRDefault="00CD3E21" w:rsidP="00565D22">
            <w:pPr>
              <w:rPr>
                <w:b/>
                <w:bCs/>
              </w:rPr>
            </w:pPr>
            <w:r w:rsidRPr="00CD3E21">
              <w:rPr>
                <w:rFonts w:asciiTheme="majorHAnsi" w:eastAsiaTheme="majorEastAsia" w:hAnsiTheme="majorHAnsi" w:cstheme="majorBidi"/>
                <w:bCs/>
                <w:color w:val="000000" w:themeColor="text1"/>
                <w:sz w:val="24"/>
              </w:rPr>
              <w:t>Most states with a corporate income tax allow a deduction for NOLs, including all of Massachusetts’ neighboring states.</w:t>
            </w:r>
          </w:p>
        </w:tc>
      </w:tr>
    </w:tbl>
    <w:tbl>
      <w:tblPr>
        <w:tblStyle w:val="MediumList1-Accent2"/>
        <w:tblW w:w="0" w:type="auto"/>
        <w:tblLook w:val="04A0" w:firstRow="1" w:lastRow="0" w:firstColumn="1" w:lastColumn="0" w:noHBand="0" w:noVBand="1"/>
      </w:tblPr>
      <w:tblGrid>
        <w:gridCol w:w="9576"/>
      </w:tblGrid>
      <w:tr w:rsidR="00F065BC" w:rsidRPr="002C2079" w14:paraId="65B4FB22"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77E5CA6" w14:textId="77777777" w:rsidR="00F065BC" w:rsidRDefault="00F065BC" w:rsidP="00F065BC">
            <w:pPr>
              <w:rPr>
                <w:sz w:val="28"/>
                <w:szCs w:val="28"/>
              </w:rPr>
            </w:pPr>
          </w:p>
        </w:tc>
      </w:tr>
      <w:tr w:rsidR="004B14D0" w:rsidRPr="002C2079" w14:paraId="5AF263AF"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6B133558" w14:textId="77777777" w:rsidR="004B14D0" w:rsidRPr="002C2079" w:rsidRDefault="004B14D0" w:rsidP="00F065BC">
            <w:pPr>
              <w:rPr>
                <w:rFonts w:asciiTheme="majorHAnsi" w:hAnsiTheme="majorHAnsi"/>
              </w:rPr>
            </w:pPr>
            <w:r w:rsidRPr="00AD2A39">
              <w:rPr>
                <w:sz w:val="28"/>
                <w:szCs w:val="28"/>
                <w:highlight w:val="cyan"/>
              </w:rPr>
              <w:t>Conclusion/Recommendations: [To be</w:t>
            </w:r>
            <w:r w:rsidR="00F065BC" w:rsidRPr="00AD2A39">
              <w:rPr>
                <w:sz w:val="28"/>
                <w:szCs w:val="28"/>
                <w:highlight w:val="cyan"/>
              </w:rPr>
              <w:t xml:space="preserve"> Entered by TERC]</w:t>
            </w:r>
          </w:p>
        </w:tc>
      </w:tr>
    </w:tbl>
    <w:p w14:paraId="1FE70E03" w14:textId="77777777" w:rsidR="005B1BBE" w:rsidRPr="00B22F40" w:rsidRDefault="005B1BBE" w:rsidP="009B0176"/>
    <w:p w14:paraId="7E114FF8"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7935D6D9" w14:textId="77777777" w:rsidR="00445263" w:rsidRDefault="00445263">
      <w:r>
        <w:rPr>
          <w:b/>
          <w:bCs/>
        </w:rPr>
        <w:br w:type="page"/>
      </w:r>
    </w:p>
    <w:p w14:paraId="2180497B"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518FB6E5" w14:textId="77777777" w:rsidR="00CD3E21" w:rsidRPr="00CD3E21" w:rsidRDefault="00CD3E21" w:rsidP="00CD3E21">
      <w:pPr>
        <w:tabs>
          <w:tab w:val="left" w:pos="7050"/>
        </w:tabs>
        <w:spacing w:after="0"/>
        <w:rPr>
          <w:rFonts w:asciiTheme="majorHAnsi" w:hAnsiTheme="majorHAnsi"/>
          <w:sz w:val="24"/>
          <w:szCs w:val="24"/>
        </w:rPr>
      </w:pPr>
      <w:r w:rsidRPr="00CD3E21">
        <w:rPr>
          <w:rFonts w:asciiTheme="majorHAnsi" w:hAnsiTheme="majorHAnsi"/>
          <w:sz w:val="24"/>
          <w:szCs w:val="24"/>
        </w:rPr>
        <w:t>The net operating loss (NOL) deduction is a current-year deduction for losses sustained in prior years. Losses incurred in years a corporation is not subject to the corporate excise in Massachusetts are not allowed to be carried forward. While the Internal Revenue Code provides a federal deduction for NOLs, Massachusetts does not conform to those rules; rather the General Laws provide for a specific Massachusetts deduction.</w:t>
      </w:r>
    </w:p>
    <w:p w14:paraId="11684669" w14:textId="77777777" w:rsidR="00CD3E21" w:rsidRPr="00CD3E21" w:rsidRDefault="00CD3E21" w:rsidP="00CD3E21">
      <w:pPr>
        <w:tabs>
          <w:tab w:val="left" w:pos="7050"/>
        </w:tabs>
        <w:spacing w:after="0"/>
        <w:rPr>
          <w:rFonts w:asciiTheme="majorHAnsi" w:hAnsiTheme="majorHAnsi"/>
          <w:sz w:val="24"/>
          <w:szCs w:val="24"/>
        </w:rPr>
      </w:pPr>
    </w:p>
    <w:p w14:paraId="6861EE1A" w14:textId="77777777" w:rsidR="002E43FB" w:rsidRDefault="00CD3E21" w:rsidP="00CD3E21">
      <w:pPr>
        <w:tabs>
          <w:tab w:val="left" w:pos="7050"/>
        </w:tabs>
        <w:spacing w:after="0"/>
        <w:rPr>
          <w:rFonts w:asciiTheme="majorHAnsi" w:hAnsiTheme="majorHAnsi"/>
          <w:sz w:val="24"/>
          <w:szCs w:val="24"/>
        </w:rPr>
      </w:pPr>
      <w:r w:rsidRPr="00CD3E21">
        <w:rPr>
          <w:rFonts w:asciiTheme="majorHAnsi" w:hAnsiTheme="majorHAnsi"/>
          <w:sz w:val="24"/>
          <w:szCs w:val="24"/>
        </w:rPr>
        <w:t>The deduction was enacted in 1988. Prior to 2010, NOLs incurred by Massachusetts corporate excise filers could be carried forward for not more than 5 years, and could not be carried back. Losses incurred in taxable years beginning on or after January 1, 2010 can be carried forward for 20 years, and cannot be carried back.</w:t>
      </w:r>
    </w:p>
    <w:p w14:paraId="0FF851FC" w14:textId="77777777" w:rsidR="00CD3E21" w:rsidRDefault="00CD3E21" w:rsidP="00CD3E21">
      <w:pPr>
        <w:tabs>
          <w:tab w:val="left" w:pos="7050"/>
        </w:tabs>
        <w:spacing w:after="0"/>
        <w:rPr>
          <w:rFonts w:asciiTheme="majorHAnsi" w:hAnsiTheme="majorHAnsi"/>
          <w:sz w:val="24"/>
          <w:szCs w:val="24"/>
        </w:rPr>
      </w:pPr>
    </w:p>
    <w:p w14:paraId="446DF1A9" w14:textId="77777777" w:rsidR="00CD3E21" w:rsidRPr="00003FFA" w:rsidRDefault="00CD3E21" w:rsidP="00CD3E21">
      <w:pPr>
        <w:tabs>
          <w:tab w:val="left" w:pos="7050"/>
        </w:tabs>
        <w:spacing w:after="0"/>
        <w:rPr>
          <w:rFonts w:asciiTheme="majorHAnsi" w:hAnsiTheme="majorHAnsi"/>
          <w:sz w:val="24"/>
          <w:szCs w:val="24"/>
        </w:rPr>
      </w:pPr>
    </w:p>
    <w:p w14:paraId="48DCB450" w14:textId="77777777" w:rsidR="00B20DFC" w:rsidRDefault="00B20DFC" w:rsidP="00C2040D">
      <w:pPr>
        <w:tabs>
          <w:tab w:val="left" w:pos="7050"/>
        </w:tabs>
        <w:spacing w:after="0"/>
        <w:rPr>
          <w:rFonts w:asciiTheme="majorHAnsi" w:hAnsiTheme="majorHAnsi"/>
          <w:b/>
          <w:color w:val="E36C0A" w:themeColor="accent6" w:themeShade="BF"/>
          <w:sz w:val="28"/>
          <w:szCs w:val="28"/>
        </w:rPr>
      </w:pPr>
      <w:r w:rsidRPr="00B20DFC">
        <w:rPr>
          <w:rFonts w:asciiTheme="majorHAnsi" w:hAnsiTheme="majorHAnsi"/>
          <w:b/>
          <w:color w:val="E36C0A" w:themeColor="accent6" w:themeShade="BF"/>
          <w:sz w:val="28"/>
          <w:szCs w:val="28"/>
        </w:rPr>
        <w:t>POLICY GOAL</w:t>
      </w:r>
      <w:r w:rsidR="003B7915">
        <w:rPr>
          <w:rFonts w:asciiTheme="majorHAnsi" w:hAnsiTheme="majorHAnsi"/>
          <w:b/>
          <w:color w:val="E36C0A" w:themeColor="accent6" w:themeShade="BF"/>
          <w:sz w:val="28"/>
          <w:szCs w:val="28"/>
        </w:rPr>
        <w:t>S</w:t>
      </w:r>
    </w:p>
    <w:p w14:paraId="55FE4BAF" w14:textId="77777777" w:rsidR="00C2040D" w:rsidRPr="00C2040D" w:rsidRDefault="00C2040D" w:rsidP="00C2040D">
      <w:pPr>
        <w:tabs>
          <w:tab w:val="left" w:pos="7050"/>
        </w:tabs>
        <w:spacing w:after="0"/>
        <w:rPr>
          <w:rFonts w:asciiTheme="majorHAnsi" w:eastAsiaTheme="majorEastAsia" w:hAnsiTheme="majorHAnsi" w:cstheme="majorBidi"/>
          <w:bCs/>
          <w:color w:val="000000" w:themeColor="text1"/>
          <w:sz w:val="24"/>
          <w:szCs w:val="24"/>
        </w:rPr>
      </w:pPr>
      <w:r w:rsidRPr="00C2040D">
        <w:rPr>
          <w:rFonts w:asciiTheme="majorHAnsi" w:eastAsiaTheme="majorEastAsia" w:hAnsiTheme="majorHAnsi" w:cstheme="majorBidi"/>
          <w:bCs/>
          <w:color w:val="000000" w:themeColor="text1"/>
          <w:sz w:val="24"/>
          <w:szCs w:val="24"/>
        </w:rPr>
        <w:t xml:space="preserve">The federal NOL deduction is intended to smooth over the effects of economic and business cycles on corporate taxes over multiple tax years.  The idea is that two companies that have the same earnings over a period of tax years should bear similar long term tax burdens even though one of the companies had losses in some years and the other was consistently profitable.   Allowing a deduction for losses incurred in prior years furthers this goal.  </w:t>
      </w:r>
    </w:p>
    <w:p w14:paraId="17AA64A0" w14:textId="77777777" w:rsidR="00C2040D" w:rsidRDefault="00C2040D" w:rsidP="00C2040D">
      <w:pPr>
        <w:tabs>
          <w:tab w:val="left" w:pos="7050"/>
        </w:tabs>
        <w:spacing w:after="0"/>
        <w:rPr>
          <w:rFonts w:asciiTheme="majorHAnsi" w:eastAsiaTheme="majorEastAsia" w:hAnsiTheme="majorHAnsi" w:cstheme="majorBidi"/>
          <w:bCs/>
          <w:color w:val="000000" w:themeColor="text1"/>
          <w:sz w:val="24"/>
          <w:szCs w:val="24"/>
        </w:rPr>
      </w:pPr>
    </w:p>
    <w:p w14:paraId="7EE2FEC0" w14:textId="77777777" w:rsidR="00D223AF" w:rsidRDefault="00D223AF" w:rsidP="00D223AF">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A recent article</w:t>
      </w:r>
      <w:r w:rsidR="006B5573">
        <w:rPr>
          <w:rFonts w:asciiTheme="majorHAnsi" w:eastAsiaTheme="majorEastAsia" w:hAnsiTheme="majorHAnsi" w:cstheme="majorBidi"/>
          <w:bCs/>
          <w:color w:val="000000" w:themeColor="text1"/>
          <w:sz w:val="24"/>
          <w:szCs w:val="24"/>
        </w:rPr>
        <w:t xml:space="preserve"> by</w:t>
      </w:r>
      <w:r>
        <w:rPr>
          <w:rFonts w:asciiTheme="majorHAnsi" w:eastAsiaTheme="majorEastAsia" w:hAnsiTheme="majorHAnsi" w:cstheme="majorBidi"/>
          <w:bCs/>
          <w:color w:val="000000" w:themeColor="text1"/>
          <w:sz w:val="24"/>
          <w:szCs w:val="24"/>
        </w:rPr>
        <w:t xml:space="preserve"> Tax Foundation (</w:t>
      </w:r>
      <w:r w:rsidRPr="009B0176">
        <w:rPr>
          <w:rFonts w:asciiTheme="majorHAnsi" w:eastAsiaTheme="majorEastAsia" w:hAnsiTheme="majorHAnsi" w:cstheme="majorBidi"/>
          <w:noProof/>
          <w:color w:val="000000" w:themeColor="text1"/>
          <w:sz w:val="24"/>
          <w:szCs w:val="24"/>
        </w:rPr>
        <w:t>Watson</w:t>
      </w:r>
      <w:r>
        <w:rPr>
          <w:rFonts w:asciiTheme="majorHAnsi" w:eastAsiaTheme="majorEastAsia" w:hAnsiTheme="majorHAnsi" w:cstheme="majorBidi"/>
          <w:noProof/>
          <w:color w:val="000000" w:themeColor="text1"/>
          <w:sz w:val="24"/>
          <w:szCs w:val="24"/>
        </w:rPr>
        <w:t xml:space="preserve">, </w:t>
      </w:r>
      <w:r w:rsidRPr="009B0176">
        <w:rPr>
          <w:rFonts w:asciiTheme="majorHAnsi" w:eastAsiaTheme="majorEastAsia" w:hAnsiTheme="majorHAnsi" w:cstheme="majorBidi"/>
          <w:noProof/>
          <w:color w:val="000000" w:themeColor="text1"/>
          <w:sz w:val="24"/>
          <w:szCs w:val="24"/>
        </w:rPr>
        <w:t>2020)</w:t>
      </w:r>
      <w:r>
        <w:rPr>
          <w:rFonts w:asciiTheme="majorHAnsi" w:eastAsiaTheme="majorEastAsia" w:hAnsiTheme="majorHAnsi" w:cstheme="majorBidi"/>
          <w:noProof/>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illustrates this point using the following example:  </w:t>
      </w:r>
    </w:p>
    <w:p w14:paraId="65540788" w14:textId="77777777" w:rsidR="00D223AF" w:rsidRDefault="00D223AF" w:rsidP="00D223AF">
      <w:pPr>
        <w:tabs>
          <w:tab w:val="left" w:pos="7050"/>
        </w:tabs>
        <w:spacing w:after="0"/>
        <w:rPr>
          <w:rFonts w:asciiTheme="majorHAnsi" w:eastAsiaTheme="majorEastAsia" w:hAnsiTheme="majorHAnsi" w:cstheme="majorBidi"/>
          <w:bCs/>
          <w:color w:val="000000" w:themeColor="text1"/>
          <w:sz w:val="24"/>
          <w:szCs w:val="24"/>
        </w:rPr>
      </w:pPr>
    </w:p>
    <w:p w14:paraId="63B1C8F1" w14:textId="77777777" w:rsidR="00D223AF" w:rsidRPr="006B5573" w:rsidRDefault="00D223AF" w:rsidP="00D223AF">
      <w:pPr>
        <w:tabs>
          <w:tab w:val="left" w:pos="7050"/>
        </w:tabs>
        <w:spacing w:after="0"/>
        <w:rPr>
          <w:rFonts w:asciiTheme="majorHAnsi" w:eastAsiaTheme="majorEastAsia" w:hAnsiTheme="majorHAnsi" w:cstheme="majorBidi"/>
          <w:bCs/>
          <w:i/>
          <w:iCs/>
          <w:color w:val="000000" w:themeColor="text1"/>
          <w:sz w:val="24"/>
          <w:szCs w:val="24"/>
        </w:rPr>
      </w:pPr>
      <w:r w:rsidRPr="006B5573">
        <w:rPr>
          <w:rFonts w:asciiTheme="majorHAnsi" w:eastAsiaTheme="majorEastAsia" w:hAnsiTheme="majorHAnsi" w:cstheme="majorBidi"/>
          <w:bCs/>
          <w:i/>
          <w:iCs/>
          <w:color w:val="000000" w:themeColor="text1"/>
          <w:sz w:val="24"/>
          <w:szCs w:val="24"/>
        </w:rPr>
        <w:t>For example, imagine a firm (Firm 1) that loses $50,000 in its first year, but earns $100,000 in the second year. A second firm (Firm 2) earns $25,000 in both years. In the absence of NOL deductions, the first firm is taxed at a 42 percent effective tax rate over those two years, while the second firm faces an effective tax rate half the size at 21 percent</w:t>
      </w:r>
      <w:r>
        <w:rPr>
          <w:rFonts w:asciiTheme="majorHAnsi" w:eastAsiaTheme="majorEastAsia" w:hAnsiTheme="majorHAnsi" w:cstheme="majorBidi"/>
          <w:bCs/>
          <w:i/>
          <w:iCs/>
          <w:color w:val="000000" w:themeColor="text1"/>
          <w:sz w:val="24"/>
          <w:szCs w:val="24"/>
        </w:rPr>
        <w:t xml:space="preserve"> (see Table 1)</w:t>
      </w:r>
      <w:r w:rsidRPr="006B5573">
        <w:rPr>
          <w:rFonts w:asciiTheme="majorHAnsi" w:eastAsiaTheme="majorEastAsia" w:hAnsiTheme="majorHAnsi" w:cstheme="majorBidi"/>
          <w:bCs/>
          <w:i/>
          <w:iCs/>
          <w:color w:val="000000" w:themeColor="text1"/>
          <w:sz w:val="24"/>
          <w:szCs w:val="24"/>
        </w:rPr>
        <w:t xml:space="preserve">. The first firm faces a higher effective tax rate for earning uneven income over those two years. </w:t>
      </w:r>
    </w:p>
    <w:p w14:paraId="3676ABE7" w14:textId="77777777" w:rsidR="00D223AF" w:rsidRDefault="00D223AF" w:rsidP="00D223AF">
      <w:pPr>
        <w:tabs>
          <w:tab w:val="left" w:pos="7050"/>
        </w:tabs>
        <w:spacing w:after="0"/>
        <w:rPr>
          <w:rFonts w:asciiTheme="majorHAnsi" w:eastAsia="Times New Roman" w:hAnsiTheme="majorHAnsi" w:cs="Arial"/>
          <w:b/>
          <w:bCs/>
          <w:color w:val="555555"/>
          <w:sz w:val="24"/>
          <w:szCs w:val="24"/>
          <w:lang w:eastAsia="ko-KR"/>
        </w:rPr>
      </w:pPr>
    </w:p>
    <w:p w14:paraId="01AD9B68" w14:textId="77777777" w:rsidR="00D223AF" w:rsidRPr="006B5573" w:rsidRDefault="00D223AF" w:rsidP="00D223AF">
      <w:pPr>
        <w:tabs>
          <w:tab w:val="left" w:pos="7050"/>
        </w:tabs>
        <w:spacing w:after="0"/>
        <w:jc w:val="center"/>
        <w:rPr>
          <w:rFonts w:asciiTheme="majorHAnsi" w:eastAsiaTheme="majorEastAsia" w:hAnsiTheme="majorHAnsi" w:cstheme="majorBidi"/>
          <w:bCs/>
          <w:i/>
          <w:iCs/>
          <w:color w:val="000000" w:themeColor="text1"/>
          <w:sz w:val="24"/>
          <w:szCs w:val="24"/>
        </w:rPr>
      </w:pPr>
      <w:r w:rsidRPr="006B5573">
        <w:rPr>
          <w:rFonts w:asciiTheme="majorHAnsi" w:eastAsia="Times New Roman" w:hAnsiTheme="majorHAnsi" w:cs="Arial"/>
          <w:b/>
          <w:bCs/>
          <w:i/>
          <w:iCs/>
          <w:color w:val="555555"/>
          <w:sz w:val="24"/>
          <w:szCs w:val="24"/>
          <w:lang w:eastAsia="ko-KR"/>
        </w:rPr>
        <w:t xml:space="preserve">Table </w:t>
      </w:r>
      <w:r>
        <w:rPr>
          <w:rFonts w:asciiTheme="majorHAnsi" w:eastAsia="Times New Roman" w:hAnsiTheme="majorHAnsi" w:cs="Arial"/>
          <w:b/>
          <w:bCs/>
          <w:i/>
          <w:iCs/>
          <w:color w:val="555555"/>
          <w:sz w:val="24"/>
          <w:szCs w:val="24"/>
          <w:lang w:eastAsia="ko-KR"/>
        </w:rPr>
        <w:t>1</w:t>
      </w:r>
      <w:r w:rsidRPr="006B5573">
        <w:rPr>
          <w:rFonts w:asciiTheme="majorHAnsi" w:eastAsia="Times New Roman" w:hAnsiTheme="majorHAnsi" w:cs="Arial"/>
          <w:b/>
          <w:bCs/>
          <w:i/>
          <w:iCs/>
          <w:color w:val="555555"/>
          <w:sz w:val="24"/>
          <w:szCs w:val="24"/>
          <w:lang w:eastAsia="ko-KR"/>
        </w:rPr>
        <w:t>. Effective Tax Rate for Two Firms without a Net Operating Loss Deduction (21% Tax Rate)</w:t>
      </w:r>
    </w:p>
    <w:tbl>
      <w:tblPr>
        <w:tblW w:w="7200" w:type="dxa"/>
        <w:jc w:val="center"/>
        <w:shd w:val="clear" w:color="auto" w:fill="FEFEFE"/>
        <w:tblCellMar>
          <w:left w:w="0" w:type="dxa"/>
          <w:right w:w="0" w:type="dxa"/>
        </w:tblCellMar>
        <w:tblLook w:val="04A0" w:firstRow="1" w:lastRow="0" w:firstColumn="1" w:lastColumn="0" w:noHBand="0" w:noVBand="1"/>
      </w:tblPr>
      <w:tblGrid>
        <w:gridCol w:w="805"/>
        <w:gridCol w:w="1433"/>
        <w:gridCol w:w="1092"/>
        <w:gridCol w:w="1200"/>
        <w:gridCol w:w="1200"/>
        <w:gridCol w:w="1470"/>
      </w:tblGrid>
      <w:tr w:rsidR="00D223AF" w:rsidRPr="00D223AF" w14:paraId="226190D6" w14:textId="77777777" w:rsidTr="00C52D6B">
        <w:trPr>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7C2F9A20" w14:textId="77777777" w:rsidR="00D223AF" w:rsidRPr="006B5573" w:rsidRDefault="00D223AF" w:rsidP="00C52D6B">
            <w:pPr>
              <w:spacing w:after="0" w:line="240" w:lineRule="auto"/>
              <w:jc w:val="center"/>
              <w:rPr>
                <w:rFonts w:asciiTheme="majorHAnsi" w:eastAsia="Times New Roman" w:hAnsiTheme="majorHAnsi" w:cs="Arial"/>
                <w:i/>
                <w:iCs/>
                <w:sz w:val="20"/>
                <w:szCs w:val="20"/>
                <w:lang w:eastAsia="ko-KR"/>
              </w:rPr>
            </w:pPr>
          </w:p>
        </w:tc>
        <w:tc>
          <w:tcPr>
            <w:tcW w:w="1433"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938CA6B" w14:textId="77777777" w:rsidR="00D223AF" w:rsidRPr="006B5573" w:rsidRDefault="00D223AF" w:rsidP="00C52D6B">
            <w:pPr>
              <w:spacing w:after="0" w:line="240" w:lineRule="auto"/>
              <w:jc w:val="center"/>
              <w:rPr>
                <w:rFonts w:asciiTheme="majorHAnsi" w:eastAsia="Times New Roman" w:hAnsiTheme="majorHAnsi" w:cs="Arial"/>
                <w:i/>
                <w:iCs/>
                <w:sz w:val="20"/>
                <w:szCs w:val="20"/>
                <w:lang w:eastAsia="ko-KR"/>
              </w:rPr>
            </w:pPr>
            <w:r w:rsidRPr="006B5573">
              <w:rPr>
                <w:rFonts w:asciiTheme="majorHAnsi" w:eastAsia="Times New Roman" w:hAnsiTheme="majorHAnsi" w:cs="Arial"/>
                <w:i/>
                <w:iCs/>
                <w:sz w:val="20"/>
                <w:szCs w:val="20"/>
                <w:lang w:eastAsia="ko-KR"/>
              </w:rPr>
              <w:t>Year 1 Net income</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14:paraId="22BA40F7" w14:textId="77777777" w:rsidR="00D223AF" w:rsidRPr="006B5573" w:rsidRDefault="00D223AF" w:rsidP="00C52D6B">
            <w:pPr>
              <w:spacing w:after="0" w:line="240" w:lineRule="auto"/>
              <w:jc w:val="center"/>
              <w:rPr>
                <w:rFonts w:asciiTheme="majorHAnsi" w:eastAsia="Times New Roman" w:hAnsiTheme="majorHAnsi" w:cs="Arial"/>
                <w:i/>
                <w:iCs/>
                <w:sz w:val="20"/>
                <w:szCs w:val="20"/>
                <w:lang w:eastAsia="ko-KR"/>
              </w:rPr>
            </w:pPr>
            <w:r w:rsidRPr="006B5573">
              <w:rPr>
                <w:rFonts w:asciiTheme="majorHAnsi" w:eastAsia="Times New Roman" w:hAnsiTheme="majorHAnsi" w:cs="Arial"/>
                <w:i/>
                <w:iCs/>
                <w:sz w:val="20"/>
                <w:szCs w:val="20"/>
                <w:lang w:eastAsia="ko-KR"/>
              </w:rPr>
              <w:t>Year 2 Net Income</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14:paraId="5E5B1241" w14:textId="77777777" w:rsidR="00D223AF" w:rsidRPr="006B5573" w:rsidRDefault="00D223AF" w:rsidP="00C52D6B">
            <w:pPr>
              <w:spacing w:after="0" w:line="240" w:lineRule="auto"/>
              <w:jc w:val="center"/>
              <w:rPr>
                <w:rFonts w:asciiTheme="majorHAnsi" w:eastAsia="Times New Roman" w:hAnsiTheme="majorHAnsi" w:cs="Arial"/>
                <w:i/>
                <w:iCs/>
                <w:sz w:val="20"/>
                <w:szCs w:val="20"/>
                <w:lang w:eastAsia="ko-KR"/>
              </w:rPr>
            </w:pPr>
            <w:r w:rsidRPr="006B5573">
              <w:rPr>
                <w:rFonts w:asciiTheme="majorHAnsi" w:eastAsia="Times New Roman" w:hAnsiTheme="majorHAnsi" w:cs="Arial"/>
                <w:i/>
                <w:iCs/>
                <w:sz w:val="20"/>
                <w:szCs w:val="20"/>
                <w:lang w:eastAsia="ko-KR"/>
              </w:rPr>
              <w:t>Tax Liability for Year 1</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14:paraId="66D82F3D" w14:textId="77777777" w:rsidR="00D223AF" w:rsidRPr="006B5573" w:rsidRDefault="00D223AF" w:rsidP="00C52D6B">
            <w:pPr>
              <w:spacing w:after="0" w:line="240" w:lineRule="auto"/>
              <w:jc w:val="center"/>
              <w:rPr>
                <w:rFonts w:asciiTheme="majorHAnsi" w:eastAsia="Times New Roman" w:hAnsiTheme="majorHAnsi" w:cs="Arial"/>
                <w:i/>
                <w:iCs/>
                <w:sz w:val="20"/>
                <w:szCs w:val="20"/>
                <w:lang w:eastAsia="ko-KR"/>
              </w:rPr>
            </w:pPr>
            <w:r w:rsidRPr="006B5573">
              <w:rPr>
                <w:rFonts w:asciiTheme="majorHAnsi" w:eastAsia="Times New Roman" w:hAnsiTheme="majorHAnsi" w:cs="Arial"/>
                <w:i/>
                <w:iCs/>
                <w:sz w:val="20"/>
                <w:szCs w:val="20"/>
                <w:lang w:eastAsia="ko-KR"/>
              </w:rPr>
              <w:t>Tax Liability for Year 2</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center"/>
            <w:hideMark/>
          </w:tcPr>
          <w:p w14:paraId="0E991905" w14:textId="77777777" w:rsidR="00D223AF" w:rsidRPr="006B5573" w:rsidRDefault="00D223AF" w:rsidP="00C52D6B">
            <w:pPr>
              <w:spacing w:after="0" w:line="240" w:lineRule="auto"/>
              <w:jc w:val="center"/>
              <w:rPr>
                <w:rFonts w:asciiTheme="majorHAnsi" w:eastAsia="Times New Roman" w:hAnsiTheme="majorHAnsi" w:cs="Arial"/>
                <w:i/>
                <w:iCs/>
                <w:sz w:val="20"/>
                <w:szCs w:val="20"/>
                <w:lang w:eastAsia="ko-KR"/>
              </w:rPr>
            </w:pPr>
            <w:r w:rsidRPr="006B5573">
              <w:rPr>
                <w:rFonts w:asciiTheme="majorHAnsi" w:eastAsia="Times New Roman" w:hAnsiTheme="majorHAnsi" w:cs="Arial"/>
                <w:i/>
                <w:iCs/>
                <w:sz w:val="20"/>
                <w:szCs w:val="20"/>
                <w:lang w:eastAsia="ko-KR"/>
              </w:rPr>
              <w:t>Combined Effective Tax Rate</w:t>
            </w:r>
          </w:p>
        </w:tc>
      </w:tr>
      <w:tr w:rsidR="00D223AF" w:rsidRPr="00D223AF" w14:paraId="5A7A81CA" w14:textId="77777777" w:rsidTr="00C52D6B">
        <w:trPr>
          <w:jc w:val="center"/>
        </w:trPr>
        <w:tc>
          <w:tcPr>
            <w:tcW w:w="805"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3FE282E"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bdr w:val="none" w:sz="0" w:space="0" w:color="auto" w:frame="1"/>
                <w:lang w:eastAsia="ko-KR"/>
              </w:rPr>
              <w:t>Firm 1</w:t>
            </w:r>
          </w:p>
        </w:tc>
        <w:tc>
          <w:tcPr>
            <w:tcW w:w="1433"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858164D"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($50,000)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065C342F"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$100,000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1A4AA8FF"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3D4201C6"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$21,000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284AD92E"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42%</w:t>
            </w:r>
          </w:p>
        </w:tc>
      </w:tr>
      <w:tr w:rsidR="00D223AF" w:rsidRPr="00D223AF" w14:paraId="7783B432" w14:textId="77777777" w:rsidTr="00C52D6B">
        <w:trPr>
          <w:jc w:val="center"/>
        </w:trPr>
        <w:tc>
          <w:tcPr>
            <w:tcW w:w="805" w:type="dxa"/>
            <w:tcBorders>
              <w:top w:val="single" w:sz="4" w:space="0" w:color="auto"/>
              <w:left w:val="single" w:sz="4" w:space="0" w:color="auto"/>
              <w:bottom w:val="single" w:sz="4" w:space="0" w:color="auto"/>
              <w:right w:val="single" w:sz="4" w:space="0" w:color="auto"/>
            </w:tcBorders>
            <w:shd w:val="clear" w:color="auto" w:fill="FEFEFE"/>
            <w:vAlign w:val="bottom"/>
            <w:hideMark/>
          </w:tcPr>
          <w:p w14:paraId="28D2188C"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bdr w:val="none" w:sz="0" w:space="0" w:color="auto" w:frame="1"/>
                <w:lang w:eastAsia="ko-KR"/>
              </w:rPr>
              <w:t>Firm 2</w:t>
            </w:r>
          </w:p>
        </w:tc>
        <w:tc>
          <w:tcPr>
            <w:tcW w:w="1433" w:type="dxa"/>
            <w:tcBorders>
              <w:top w:val="single" w:sz="4" w:space="0" w:color="auto"/>
              <w:left w:val="single" w:sz="4" w:space="0" w:color="auto"/>
              <w:bottom w:val="single" w:sz="4" w:space="0" w:color="auto"/>
              <w:right w:val="single" w:sz="4" w:space="0" w:color="auto"/>
            </w:tcBorders>
            <w:shd w:val="clear" w:color="auto" w:fill="FEFEFE"/>
            <w:vAlign w:val="bottom"/>
            <w:hideMark/>
          </w:tcPr>
          <w:p w14:paraId="1F04777F"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$25,000</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bottom"/>
            <w:hideMark/>
          </w:tcPr>
          <w:p w14:paraId="0969054D"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$25,000</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bottom"/>
            <w:hideMark/>
          </w:tcPr>
          <w:p w14:paraId="1CFD1D5D"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$5,250</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bottom"/>
            <w:hideMark/>
          </w:tcPr>
          <w:p w14:paraId="355C29B7"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$5,250</w:t>
            </w:r>
          </w:p>
        </w:tc>
        <w:tc>
          <w:tcPr>
            <w:tcW w:w="0" w:type="auto"/>
            <w:tcBorders>
              <w:top w:val="single" w:sz="4" w:space="0" w:color="auto"/>
              <w:left w:val="single" w:sz="4" w:space="0" w:color="auto"/>
              <w:bottom w:val="single" w:sz="4" w:space="0" w:color="auto"/>
              <w:right w:val="single" w:sz="4" w:space="0" w:color="auto"/>
            </w:tcBorders>
            <w:shd w:val="clear" w:color="auto" w:fill="FEFEFE"/>
            <w:vAlign w:val="bottom"/>
            <w:hideMark/>
          </w:tcPr>
          <w:p w14:paraId="2BB91C69"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21%</w:t>
            </w:r>
          </w:p>
        </w:tc>
      </w:tr>
      <w:tr w:rsidR="00D223AF" w:rsidRPr="00D223AF" w14:paraId="56E6CC00" w14:textId="77777777" w:rsidTr="00C52D6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EFEFE"/>
            <w:vAlign w:val="bottom"/>
            <w:hideMark/>
          </w:tcPr>
          <w:p w14:paraId="12A4CA05" w14:textId="77777777" w:rsidR="00D223AF" w:rsidRPr="006B5573" w:rsidRDefault="00D223AF" w:rsidP="00C52D6B">
            <w:pPr>
              <w:spacing w:after="0" w:line="240" w:lineRule="auto"/>
              <w:textAlignment w:val="baseline"/>
              <w:rPr>
                <w:rFonts w:asciiTheme="majorHAnsi" w:eastAsia="Times New Roman" w:hAnsiTheme="majorHAnsi" w:cs="Arial"/>
                <w:i/>
                <w:iCs/>
                <w:sz w:val="20"/>
                <w:szCs w:val="20"/>
                <w:lang w:eastAsia="ko-KR"/>
              </w:rPr>
            </w:pPr>
            <w:r w:rsidRPr="006B5573">
              <w:rPr>
                <w:rFonts w:asciiTheme="majorHAnsi" w:eastAsia="Times New Roman" w:hAnsiTheme="majorHAnsi" w:cs="Arial"/>
                <w:i/>
                <w:iCs/>
                <w:sz w:val="20"/>
                <w:szCs w:val="20"/>
                <w:lang w:eastAsia="ko-KR"/>
              </w:rPr>
              <w:t>Source: Tax Foundation calculations.</w:t>
            </w:r>
          </w:p>
        </w:tc>
      </w:tr>
      <w:tr w:rsidR="00D223AF" w:rsidRPr="00F61FFE" w14:paraId="2C641952" w14:textId="77777777" w:rsidTr="00C52D6B">
        <w:trPr>
          <w:tblHeader/>
          <w:jc w:val="center"/>
        </w:trPr>
        <w:tc>
          <w:tcPr>
            <w:tcW w:w="0" w:type="auto"/>
            <w:gridSpan w:val="6"/>
            <w:tcBorders>
              <w:top w:val="single" w:sz="4" w:space="0" w:color="auto"/>
              <w:left w:val="nil"/>
              <w:bottom w:val="nil"/>
              <w:right w:val="nil"/>
            </w:tcBorders>
            <w:shd w:val="clear" w:color="auto" w:fill="FEFEFE"/>
            <w:vAlign w:val="center"/>
            <w:hideMark/>
          </w:tcPr>
          <w:p w14:paraId="6F2CFFF4" w14:textId="77777777" w:rsidR="00D223AF" w:rsidRPr="00F61FFE" w:rsidRDefault="00D223AF" w:rsidP="00C52D6B">
            <w:pPr>
              <w:spacing w:after="0" w:line="240" w:lineRule="auto"/>
              <w:textAlignment w:val="baseline"/>
              <w:rPr>
                <w:rFonts w:ascii="inherit" w:eastAsia="Times New Roman" w:hAnsi="inherit" w:cs="Arial"/>
                <w:b/>
                <w:bCs/>
                <w:color w:val="555555"/>
                <w:sz w:val="26"/>
                <w:szCs w:val="26"/>
                <w:lang w:eastAsia="ko-KR"/>
              </w:rPr>
            </w:pPr>
          </w:p>
        </w:tc>
      </w:tr>
    </w:tbl>
    <w:p w14:paraId="172C2500" w14:textId="77777777" w:rsidR="00D223AF" w:rsidRDefault="00D223AF" w:rsidP="00D223AF">
      <w:pPr>
        <w:tabs>
          <w:tab w:val="left" w:pos="7050"/>
        </w:tabs>
        <w:spacing w:after="0"/>
        <w:rPr>
          <w:rFonts w:asciiTheme="majorHAnsi" w:eastAsiaTheme="majorEastAsia" w:hAnsiTheme="majorHAnsi" w:cstheme="majorBidi"/>
          <w:bCs/>
          <w:color w:val="000000" w:themeColor="text1"/>
          <w:sz w:val="24"/>
          <w:szCs w:val="24"/>
        </w:rPr>
      </w:pPr>
    </w:p>
    <w:p w14:paraId="13942C0C" w14:textId="77777777" w:rsidR="008C5F0C" w:rsidRPr="006B5573" w:rsidRDefault="008C5F0C" w:rsidP="006B5573">
      <w:pPr>
        <w:shd w:val="clear" w:color="auto" w:fill="FEFEFE"/>
        <w:adjustRightInd w:val="0"/>
        <w:spacing w:before="100" w:beforeAutospacing="1" w:after="0" w:line="240" w:lineRule="auto"/>
        <w:textAlignment w:val="baseline"/>
        <w:rPr>
          <w:rFonts w:asciiTheme="majorHAnsi" w:eastAsiaTheme="majorEastAsia" w:hAnsiTheme="majorHAnsi" w:cstheme="majorBidi"/>
          <w:bCs/>
          <w:i/>
          <w:iCs/>
          <w:color w:val="000000" w:themeColor="text1"/>
          <w:sz w:val="24"/>
          <w:szCs w:val="24"/>
        </w:rPr>
      </w:pPr>
      <w:r w:rsidRPr="006B5573">
        <w:rPr>
          <w:rFonts w:asciiTheme="majorHAnsi" w:eastAsiaTheme="majorEastAsia" w:hAnsiTheme="majorHAnsi" w:cstheme="majorBidi"/>
          <w:bCs/>
          <w:i/>
          <w:iCs/>
          <w:color w:val="000000" w:themeColor="text1"/>
          <w:sz w:val="24"/>
          <w:szCs w:val="24"/>
        </w:rPr>
        <w:t xml:space="preserve">When NOL deductions are available, both firms face an equivalent effective tax rate, and the firm with uneven income is not penalized for losses accrued in Year 1 (see Table 2). NOL </w:t>
      </w:r>
      <w:r w:rsidRPr="006B5573">
        <w:rPr>
          <w:rFonts w:asciiTheme="majorHAnsi" w:eastAsiaTheme="majorEastAsia" w:hAnsiTheme="majorHAnsi" w:cstheme="majorBidi"/>
          <w:bCs/>
          <w:i/>
          <w:iCs/>
          <w:color w:val="000000" w:themeColor="text1"/>
          <w:sz w:val="24"/>
          <w:szCs w:val="24"/>
        </w:rPr>
        <w:lastRenderedPageBreak/>
        <w:t xml:space="preserve">deductions are an important aspect of the tax code to ensure neutrality between firms and industries that experience variability in profits over time. </w:t>
      </w:r>
    </w:p>
    <w:p w14:paraId="366A80EE" w14:textId="77777777" w:rsidR="00D223AF" w:rsidRPr="006B5573" w:rsidRDefault="00D223AF" w:rsidP="00D223AF">
      <w:pPr>
        <w:shd w:val="clear" w:color="auto" w:fill="FEFEFE"/>
        <w:adjustRightInd w:val="0"/>
        <w:spacing w:before="100" w:beforeAutospacing="1" w:after="0" w:line="240" w:lineRule="auto"/>
        <w:jc w:val="center"/>
        <w:textAlignment w:val="baseline"/>
        <w:rPr>
          <w:rFonts w:asciiTheme="majorHAnsi" w:eastAsia="Times New Roman" w:hAnsiTheme="majorHAnsi" w:cs="Arial"/>
          <w:i/>
          <w:iCs/>
          <w:color w:val="555555"/>
          <w:sz w:val="24"/>
          <w:szCs w:val="24"/>
          <w:lang w:eastAsia="ko-KR"/>
        </w:rPr>
      </w:pPr>
      <w:r w:rsidRPr="006B5573">
        <w:rPr>
          <w:rFonts w:asciiTheme="majorHAnsi" w:eastAsia="Times New Roman" w:hAnsiTheme="majorHAnsi" w:cs="Times New Roman"/>
          <w:b/>
          <w:bCs/>
          <w:i/>
          <w:iCs/>
          <w:sz w:val="24"/>
          <w:szCs w:val="24"/>
          <w:lang w:eastAsia="ko-KR"/>
        </w:rPr>
        <w:t xml:space="preserve">Table </w:t>
      </w:r>
      <w:r>
        <w:rPr>
          <w:rFonts w:asciiTheme="majorHAnsi" w:eastAsia="Times New Roman" w:hAnsiTheme="majorHAnsi" w:cs="Times New Roman"/>
          <w:b/>
          <w:bCs/>
          <w:i/>
          <w:iCs/>
          <w:sz w:val="24"/>
          <w:szCs w:val="24"/>
          <w:lang w:eastAsia="ko-KR"/>
        </w:rPr>
        <w:t>2</w:t>
      </w:r>
      <w:r w:rsidRPr="006B5573">
        <w:rPr>
          <w:rFonts w:asciiTheme="majorHAnsi" w:eastAsia="Times New Roman" w:hAnsiTheme="majorHAnsi" w:cs="Times New Roman"/>
          <w:b/>
          <w:bCs/>
          <w:i/>
          <w:iCs/>
          <w:sz w:val="24"/>
          <w:szCs w:val="24"/>
          <w:lang w:eastAsia="ko-KR"/>
        </w:rPr>
        <w:t>. Effective Tax Rate for Two Firms with a Net Operating Loss Deduction (21% Tax Rate)</w:t>
      </w:r>
    </w:p>
    <w:tbl>
      <w:tblPr>
        <w:tblW w:w="7200" w:type="dxa"/>
        <w:jc w:val="center"/>
        <w:tblCellMar>
          <w:left w:w="0" w:type="dxa"/>
          <w:right w:w="0" w:type="dxa"/>
        </w:tblCellMar>
        <w:tblLook w:val="04A0" w:firstRow="1" w:lastRow="0" w:firstColumn="1" w:lastColumn="0" w:noHBand="0" w:noVBand="1"/>
      </w:tblPr>
      <w:tblGrid>
        <w:gridCol w:w="805"/>
        <w:gridCol w:w="1459"/>
        <w:gridCol w:w="1017"/>
        <w:gridCol w:w="1079"/>
        <w:gridCol w:w="1522"/>
        <w:gridCol w:w="1318"/>
      </w:tblGrid>
      <w:tr w:rsidR="00D223AF" w:rsidRPr="00D223AF" w14:paraId="4E0D4EBB" w14:textId="77777777" w:rsidTr="00C52D6B">
        <w:trPr>
          <w:tblHeade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2EE1099F" w14:textId="77777777" w:rsidR="00D223AF" w:rsidRPr="006B5573" w:rsidRDefault="00D223AF" w:rsidP="00C52D6B">
            <w:pPr>
              <w:spacing w:after="0" w:line="240" w:lineRule="auto"/>
              <w:jc w:val="center"/>
              <w:rPr>
                <w:rFonts w:asciiTheme="majorHAnsi" w:eastAsia="Times New Roman" w:hAnsiTheme="majorHAnsi" w:cs="Times New Roman"/>
                <w:i/>
                <w:iCs/>
                <w:sz w:val="20"/>
                <w:szCs w:val="20"/>
                <w:lang w:eastAsia="ko-KR"/>
              </w:rPr>
            </w:pPr>
          </w:p>
        </w:tc>
        <w:tc>
          <w:tcPr>
            <w:tcW w:w="1459" w:type="dxa"/>
            <w:tcBorders>
              <w:top w:val="single" w:sz="4" w:space="0" w:color="auto"/>
              <w:left w:val="single" w:sz="4" w:space="0" w:color="auto"/>
              <w:bottom w:val="single" w:sz="4" w:space="0" w:color="auto"/>
              <w:right w:val="single" w:sz="4" w:space="0" w:color="auto"/>
            </w:tcBorders>
            <w:vAlign w:val="center"/>
            <w:hideMark/>
          </w:tcPr>
          <w:p w14:paraId="0A3AE677" w14:textId="77777777" w:rsidR="00D223AF" w:rsidRPr="006B5573" w:rsidRDefault="00D223AF" w:rsidP="00C52D6B">
            <w:pPr>
              <w:spacing w:after="0" w:line="240" w:lineRule="auto"/>
              <w:jc w:val="center"/>
              <w:rPr>
                <w:rFonts w:asciiTheme="majorHAnsi" w:eastAsia="Times New Roman" w:hAnsiTheme="majorHAnsi" w:cs="Times New Roman"/>
                <w:i/>
                <w:iCs/>
                <w:sz w:val="20"/>
                <w:szCs w:val="20"/>
                <w:lang w:eastAsia="ko-KR"/>
              </w:rPr>
            </w:pPr>
            <w:r w:rsidRPr="006B5573">
              <w:rPr>
                <w:rFonts w:asciiTheme="majorHAnsi" w:eastAsia="Times New Roman" w:hAnsiTheme="majorHAnsi" w:cs="Times New Roman"/>
                <w:i/>
                <w:iCs/>
                <w:sz w:val="20"/>
                <w:szCs w:val="20"/>
                <w:lang w:eastAsia="ko-KR"/>
              </w:rPr>
              <w:t>Year 1 Net income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82492" w14:textId="77777777" w:rsidR="00D223AF" w:rsidRPr="006B5573" w:rsidRDefault="00D223AF" w:rsidP="00C52D6B">
            <w:pPr>
              <w:spacing w:after="0" w:line="240" w:lineRule="auto"/>
              <w:jc w:val="center"/>
              <w:rPr>
                <w:rFonts w:asciiTheme="majorHAnsi" w:eastAsia="Times New Roman" w:hAnsiTheme="majorHAnsi" w:cs="Times New Roman"/>
                <w:i/>
                <w:iCs/>
                <w:sz w:val="20"/>
                <w:szCs w:val="20"/>
                <w:lang w:eastAsia="ko-KR"/>
              </w:rPr>
            </w:pPr>
            <w:r w:rsidRPr="006B5573">
              <w:rPr>
                <w:rFonts w:asciiTheme="majorHAnsi" w:eastAsia="Times New Roman" w:hAnsiTheme="majorHAnsi" w:cs="Times New Roman"/>
                <w:i/>
                <w:iCs/>
                <w:sz w:val="20"/>
                <w:szCs w:val="20"/>
                <w:lang w:eastAsia="ko-KR"/>
              </w:rPr>
              <w:t>Year 2 Net Income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FB781" w14:textId="77777777" w:rsidR="00D223AF" w:rsidRPr="006B5573" w:rsidRDefault="00D223AF" w:rsidP="00C52D6B">
            <w:pPr>
              <w:spacing w:after="0" w:line="240" w:lineRule="auto"/>
              <w:jc w:val="center"/>
              <w:rPr>
                <w:rFonts w:asciiTheme="majorHAnsi" w:eastAsia="Times New Roman" w:hAnsiTheme="majorHAnsi" w:cs="Times New Roman"/>
                <w:i/>
                <w:iCs/>
                <w:sz w:val="20"/>
                <w:szCs w:val="20"/>
                <w:lang w:eastAsia="ko-KR"/>
              </w:rPr>
            </w:pPr>
            <w:r w:rsidRPr="006B5573">
              <w:rPr>
                <w:rFonts w:asciiTheme="majorHAnsi" w:eastAsia="Times New Roman" w:hAnsiTheme="majorHAnsi" w:cs="Times New Roman"/>
                <w:i/>
                <w:iCs/>
                <w:sz w:val="20"/>
                <w:szCs w:val="20"/>
                <w:lang w:eastAsia="ko-KR"/>
              </w:rPr>
              <w:t>Tax Liability for Year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F87C3" w14:textId="77777777" w:rsidR="00D223AF" w:rsidRPr="006B5573" w:rsidRDefault="00D223AF" w:rsidP="00C52D6B">
            <w:pPr>
              <w:spacing w:after="0" w:line="240" w:lineRule="auto"/>
              <w:jc w:val="center"/>
              <w:rPr>
                <w:rFonts w:asciiTheme="majorHAnsi" w:eastAsia="Times New Roman" w:hAnsiTheme="majorHAnsi" w:cs="Times New Roman"/>
                <w:i/>
                <w:iCs/>
                <w:sz w:val="20"/>
                <w:szCs w:val="20"/>
                <w:lang w:eastAsia="ko-KR"/>
              </w:rPr>
            </w:pPr>
            <w:r w:rsidRPr="006B5573">
              <w:rPr>
                <w:rFonts w:asciiTheme="majorHAnsi" w:eastAsia="Times New Roman" w:hAnsiTheme="majorHAnsi" w:cs="Times New Roman"/>
                <w:i/>
                <w:iCs/>
                <w:sz w:val="20"/>
                <w:szCs w:val="20"/>
                <w:lang w:eastAsia="ko-KR"/>
              </w:rPr>
              <w:t>Tax Liability for Year 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80AA6" w14:textId="77777777" w:rsidR="00D223AF" w:rsidRPr="006B5573" w:rsidRDefault="00D223AF" w:rsidP="00C52D6B">
            <w:pPr>
              <w:spacing w:after="0" w:line="240" w:lineRule="auto"/>
              <w:jc w:val="center"/>
              <w:rPr>
                <w:rFonts w:asciiTheme="majorHAnsi" w:eastAsia="Times New Roman" w:hAnsiTheme="majorHAnsi" w:cs="Times New Roman"/>
                <w:i/>
                <w:iCs/>
                <w:sz w:val="20"/>
                <w:szCs w:val="20"/>
                <w:lang w:eastAsia="ko-KR"/>
              </w:rPr>
            </w:pPr>
            <w:r w:rsidRPr="006B5573">
              <w:rPr>
                <w:rFonts w:asciiTheme="majorHAnsi" w:eastAsia="Times New Roman" w:hAnsiTheme="majorHAnsi" w:cs="Times New Roman"/>
                <w:i/>
                <w:iCs/>
                <w:sz w:val="20"/>
                <w:szCs w:val="20"/>
                <w:lang w:eastAsia="ko-KR"/>
              </w:rPr>
              <w:t>Combined Effective Tax Rate</w:t>
            </w:r>
          </w:p>
        </w:tc>
      </w:tr>
      <w:tr w:rsidR="00D223AF" w:rsidRPr="00D223AF" w14:paraId="7143ECF1" w14:textId="77777777" w:rsidTr="00C52D6B">
        <w:trPr>
          <w:jc w:val="center"/>
        </w:trPr>
        <w:tc>
          <w:tcPr>
            <w:tcW w:w="805"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F924043"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bdr w:val="none" w:sz="0" w:space="0" w:color="auto" w:frame="1"/>
                <w:lang w:eastAsia="ko-KR"/>
              </w:rPr>
              <w:t>Firm 1</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58B82C7F"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($50,000)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2C8FDC2E"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$100,000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25FE9499"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32977ACA"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$10,500 ($100,000 – $50000) * 21%</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hideMark/>
          </w:tcPr>
          <w:p w14:paraId="784E5C9D"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21%</w:t>
            </w:r>
          </w:p>
        </w:tc>
      </w:tr>
      <w:tr w:rsidR="00D223AF" w:rsidRPr="00D223AF" w14:paraId="29079A14" w14:textId="77777777" w:rsidTr="00C52D6B">
        <w:trPr>
          <w:jc w:val="center"/>
        </w:trPr>
        <w:tc>
          <w:tcPr>
            <w:tcW w:w="805" w:type="dxa"/>
            <w:tcBorders>
              <w:top w:val="single" w:sz="4" w:space="0" w:color="auto"/>
              <w:left w:val="single" w:sz="4" w:space="0" w:color="auto"/>
              <w:bottom w:val="single" w:sz="4" w:space="0" w:color="auto"/>
              <w:right w:val="single" w:sz="4" w:space="0" w:color="auto"/>
            </w:tcBorders>
            <w:vAlign w:val="bottom"/>
            <w:hideMark/>
          </w:tcPr>
          <w:p w14:paraId="55E5C7C5"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bdr w:val="none" w:sz="0" w:space="0" w:color="auto" w:frame="1"/>
                <w:lang w:eastAsia="ko-KR"/>
              </w:rPr>
              <w:t>Firm 2</w:t>
            </w:r>
          </w:p>
        </w:tc>
        <w:tc>
          <w:tcPr>
            <w:tcW w:w="1459" w:type="dxa"/>
            <w:tcBorders>
              <w:top w:val="single" w:sz="4" w:space="0" w:color="auto"/>
              <w:left w:val="single" w:sz="4" w:space="0" w:color="auto"/>
              <w:bottom w:val="single" w:sz="4" w:space="0" w:color="auto"/>
              <w:right w:val="single" w:sz="4" w:space="0" w:color="auto"/>
            </w:tcBorders>
            <w:vAlign w:val="bottom"/>
            <w:hideMark/>
          </w:tcPr>
          <w:p w14:paraId="6B2DB1E5"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$25,000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30E9C85"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$25,000</w:t>
            </w:r>
          </w:p>
        </w:tc>
        <w:tc>
          <w:tcPr>
            <w:tcW w:w="0" w:type="auto"/>
            <w:tcBorders>
              <w:top w:val="single" w:sz="4" w:space="0" w:color="auto"/>
              <w:left w:val="single" w:sz="4" w:space="0" w:color="auto"/>
              <w:bottom w:val="single" w:sz="4" w:space="0" w:color="auto"/>
              <w:right w:val="single" w:sz="4" w:space="0" w:color="auto"/>
            </w:tcBorders>
            <w:vAlign w:val="bottom"/>
            <w:hideMark/>
          </w:tcPr>
          <w:p w14:paraId="72977DBE"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$5,250</w:t>
            </w:r>
          </w:p>
        </w:tc>
        <w:tc>
          <w:tcPr>
            <w:tcW w:w="0" w:type="auto"/>
            <w:tcBorders>
              <w:top w:val="single" w:sz="4" w:space="0" w:color="auto"/>
              <w:left w:val="single" w:sz="4" w:space="0" w:color="auto"/>
              <w:bottom w:val="single" w:sz="4" w:space="0" w:color="auto"/>
              <w:right w:val="single" w:sz="4" w:space="0" w:color="auto"/>
            </w:tcBorders>
            <w:vAlign w:val="bottom"/>
            <w:hideMark/>
          </w:tcPr>
          <w:p w14:paraId="38BFE3A6"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$5,250</w:t>
            </w:r>
          </w:p>
        </w:tc>
        <w:tc>
          <w:tcPr>
            <w:tcW w:w="0" w:type="auto"/>
            <w:tcBorders>
              <w:top w:val="single" w:sz="4" w:space="0" w:color="auto"/>
              <w:left w:val="single" w:sz="4" w:space="0" w:color="auto"/>
              <w:bottom w:val="single" w:sz="4" w:space="0" w:color="auto"/>
              <w:right w:val="single" w:sz="4" w:space="0" w:color="auto"/>
            </w:tcBorders>
            <w:vAlign w:val="bottom"/>
            <w:hideMark/>
          </w:tcPr>
          <w:p w14:paraId="348D3A70" w14:textId="77777777" w:rsidR="00D223AF" w:rsidRPr="006B5573" w:rsidRDefault="00D223AF" w:rsidP="00C52D6B">
            <w:pPr>
              <w:spacing w:after="0" w:line="240" w:lineRule="auto"/>
              <w:jc w:val="center"/>
              <w:rPr>
                <w:rFonts w:asciiTheme="majorHAnsi" w:eastAsia="Times New Roman" w:hAnsiTheme="majorHAnsi" w:cs="Courier New"/>
                <w:i/>
                <w:iCs/>
                <w:sz w:val="20"/>
                <w:szCs w:val="20"/>
                <w:lang w:eastAsia="ko-KR"/>
              </w:rPr>
            </w:pPr>
            <w:r w:rsidRPr="006B5573">
              <w:rPr>
                <w:rFonts w:asciiTheme="majorHAnsi" w:eastAsia="Times New Roman" w:hAnsiTheme="majorHAnsi" w:cs="Courier New"/>
                <w:i/>
                <w:iCs/>
                <w:sz w:val="20"/>
                <w:szCs w:val="20"/>
                <w:lang w:eastAsia="ko-KR"/>
              </w:rPr>
              <w:t>21%</w:t>
            </w:r>
          </w:p>
        </w:tc>
      </w:tr>
      <w:tr w:rsidR="00D223AF" w:rsidRPr="00D223AF" w14:paraId="01C9F278" w14:textId="77777777" w:rsidTr="00C52D6B">
        <w:trPr>
          <w:jc w:val="center"/>
        </w:trPr>
        <w:tc>
          <w:tcPr>
            <w:tcW w:w="0" w:type="auto"/>
            <w:gridSpan w:val="6"/>
            <w:tcBorders>
              <w:top w:val="single" w:sz="4" w:space="0" w:color="auto"/>
              <w:left w:val="single" w:sz="4" w:space="0" w:color="auto"/>
              <w:bottom w:val="single" w:sz="4" w:space="0" w:color="auto"/>
              <w:right w:val="single" w:sz="4" w:space="0" w:color="auto"/>
            </w:tcBorders>
            <w:vAlign w:val="bottom"/>
            <w:hideMark/>
          </w:tcPr>
          <w:p w14:paraId="23AEBE5E" w14:textId="77777777" w:rsidR="00D223AF" w:rsidRPr="006B5573" w:rsidRDefault="00D223AF" w:rsidP="00C52D6B">
            <w:pPr>
              <w:spacing w:after="0" w:line="240" w:lineRule="auto"/>
              <w:textAlignment w:val="baseline"/>
              <w:rPr>
                <w:rFonts w:asciiTheme="majorHAnsi" w:eastAsia="Times New Roman" w:hAnsiTheme="majorHAnsi" w:cs="Arial"/>
                <w:i/>
                <w:iCs/>
                <w:sz w:val="20"/>
                <w:szCs w:val="20"/>
                <w:lang w:eastAsia="ko-KR"/>
              </w:rPr>
            </w:pPr>
            <w:r w:rsidRPr="006B5573">
              <w:rPr>
                <w:rFonts w:asciiTheme="majorHAnsi" w:eastAsia="Times New Roman" w:hAnsiTheme="majorHAnsi" w:cs="Arial"/>
                <w:i/>
                <w:iCs/>
                <w:sz w:val="20"/>
                <w:szCs w:val="20"/>
                <w:lang w:eastAsia="ko-KR"/>
              </w:rPr>
              <w:t>Source: Tax Foundation calculations.</w:t>
            </w:r>
          </w:p>
        </w:tc>
      </w:tr>
      <w:tr w:rsidR="00D223AF" w:rsidRPr="00E316E0" w14:paraId="11D808AA" w14:textId="77777777" w:rsidTr="00C52D6B">
        <w:trPr>
          <w:tblHeader/>
          <w:jc w:val="center"/>
        </w:trPr>
        <w:tc>
          <w:tcPr>
            <w:tcW w:w="0" w:type="auto"/>
            <w:gridSpan w:val="6"/>
            <w:tcBorders>
              <w:top w:val="single" w:sz="4" w:space="0" w:color="auto"/>
              <w:left w:val="nil"/>
              <w:bottom w:val="nil"/>
              <w:right w:val="nil"/>
            </w:tcBorders>
            <w:vAlign w:val="center"/>
            <w:hideMark/>
          </w:tcPr>
          <w:p w14:paraId="3B67A2A9" w14:textId="77777777" w:rsidR="00D223AF" w:rsidRPr="00E316E0" w:rsidRDefault="00D223AF" w:rsidP="00C52D6B">
            <w:pPr>
              <w:spacing w:after="0" w:line="240" w:lineRule="auto"/>
              <w:textAlignment w:val="baseline"/>
              <w:rPr>
                <w:rFonts w:ascii="inherit" w:eastAsia="Times New Roman" w:hAnsi="inherit" w:cs="Times New Roman"/>
                <w:b/>
                <w:bCs/>
                <w:sz w:val="26"/>
                <w:szCs w:val="26"/>
                <w:lang w:eastAsia="ko-KR"/>
              </w:rPr>
            </w:pPr>
          </w:p>
        </w:tc>
      </w:tr>
    </w:tbl>
    <w:p w14:paraId="27D10F04" w14:textId="77777777" w:rsidR="00D223AF" w:rsidRPr="00C2040D" w:rsidRDefault="00D223AF" w:rsidP="00C2040D">
      <w:pPr>
        <w:tabs>
          <w:tab w:val="left" w:pos="7050"/>
        </w:tabs>
        <w:spacing w:after="0"/>
        <w:rPr>
          <w:rFonts w:asciiTheme="majorHAnsi" w:eastAsiaTheme="majorEastAsia" w:hAnsiTheme="majorHAnsi" w:cstheme="majorBidi"/>
          <w:bCs/>
          <w:color w:val="000000" w:themeColor="text1"/>
          <w:sz w:val="24"/>
          <w:szCs w:val="24"/>
        </w:rPr>
      </w:pPr>
    </w:p>
    <w:p w14:paraId="1A39DB35" w14:textId="77777777" w:rsidR="00291074" w:rsidRDefault="00C2040D" w:rsidP="00C2040D">
      <w:pPr>
        <w:tabs>
          <w:tab w:val="left" w:pos="7050"/>
        </w:tabs>
        <w:spacing w:after="0"/>
        <w:rPr>
          <w:rFonts w:asciiTheme="majorHAnsi" w:eastAsiaTheme="majorEastAsia" w:hAnsiTheme="majorHAnsi" w:cstheme="majorBidi"/>
          <w:bCs/>
          <w:color w:val="000000" w:themeColor="text1"/>
          <w:sz w:val="24"/>
          <w:szCs w:val="24"/>
        </w:rPr>
      </w:pPr>
      <w:r w:rsidRPr="00C2040D">
        <w:rPr>
          <w:rFonts w:asciiTheme="majorHAnsi" w:eastAsiaTheme="majorEastAsia" w:hAnsiTheme="majorHAnsi" w:cstheme="majorBidi"/>
          <w:bCs/>
          <w:color w:val="000000" w:themeColor="text1"/>
          <w:sz w:val="24"/>
          <w:szCs w:val="24"/>
        </w:rPr>
        <w:t xml:space="preserve">The Massachusetts statute does not explicitly state the purpose of this tax expenditure.  However, it is likely that the Massachusetts NOL deduction was adopted for the same reasons as the federal deduction.  </w:t>
      </w:r>
    </w:p>
    <w:p w14:paraId="389B300F" w14:textId="77777777" w:rsidR="00C2040D" w:rsidRDefault="00C2040D" w:rsidP="00C2040D">
      <w:pPr>
        <w:tabs>
          <w:tab w:val="left" w:pos="7050"/>
        </w:tabs>
        <w:spacing w:after="0"/>
        <w:rPr>
          <w:rFonts w:asciiTheme="majorHAnsi" w:eastAsiaTheme="majorEastAsia" w:hAnsiTheme="majorHAnsi" w:cstheme="majorBidi"/>
          <w:bCs/>
          <w:color w:val="000000" w:themeColor="text1"/>
          <w:sz w:val="24"/>
          <w:szCs w:val="24"/>
        </w:rPr>
      </w:pPr>
    </w:p>
    <w:p w14:paraId="348F84F2" w14:textId="77777777" w:rsidR="00D223AF" w:rsidRDefault="00D223AF" w:rsidP="00C2040D">
      <w:pPr>
        <w:tabs>
          <w:tab w:val="left" w:pos="7050"/>
        </w:tabs>
        <w:spacing w:after="0"/>
        <w:rPr>
          <w:rFonts w:asciiTheme="majorHAnsi" w:eastAsiaTheme="majorEastAsia" w:hAnsiTheme="majorHAnsi" w:cstheme="majorBidi"/>
          <w:bCs/>
          <w:color w:val="000000" w:themeColor="text1"/>
          <w:sz w:val="24"/>
          <w:szCs w:val="24"/>
        </w:rPr>
      </w:pPr>
    </w:p>
    <w:p w14:paraId="00EBF50F" w14:textId="77777777" w:rsidR="00BF42CF" w:rsidRPr="00A07439" w:rsidRDefault="003B7915" w:rsidP="00BF42CF">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DIRECT</w:t>
      </w:r>
      <w:r w:rsidRPr="00A07439">
        <w:rPr>
          <w:rFonts w:asciiTheme="majorHAnsi" w:hAnsiTheme="majorHAnsi"/>
          <w:b/>
          <w:color w:val="E36C0A" w:themeColor="accent6" w:themeShade="BF"/>
          <w:sz w:val="28"/>
          <w:szCs w:val="28"/>
        </w:rPr>
        <w:t xml:space="preserve"> </w:t>
      </w:r>
      <w:r w:rsidR="00BF42CF" w:rsidRPr="00A07439">
        <w:rPr>
          <w:rFonts w:asciiTheme="majorHAnsi" w:hAnsiTheme="majorHAnsi"/>
          <w:b/>
          <w:color w:val="E36C0A" w:themeColor="accent6" w:themeShade="BF"/>
          <w:sz w:val="28"/>
          <w:szCs w:val="28"/>
        </w:rPr>
        <w:t>COSTS</w:t>
      </w:r>
    </w:p>
    <w:p w14:paraId="7724FC50" w14:textId="77777777" w:rsidR="0081513C" w:rsidRDefault="00127730" w:rsidP="00646B09">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A72D47">
        <w:rPr>
          <w:rFonts w:asciiTheme="majorHAnsi" w:eastAsiaTheme="majorEastAsia" w:hAnsiTheme="majorHAnsi" w:cstheme="majorBidi"/>
          <w:bCs/>
          <w:color w:val="000000" w:themeColor="text1"/>
          <w:sz w:val="24"/>
          <w:szCs w:val="24"/>
        </w:rPr>
        <w:t xml:space="preserve"> </w:t>
      </w:r>
      <w:r w:rsidR="00563404">
        <w:rPr>
          <w:rFonts w:asciiTheme="majorHAnsi" w:eastAsiaTheme="majorEastAsia" w:hAnsiTheme="majorHAnsi" w:cstheme="majorBidi"/>
          <w:bCs/>
          <w:color w:val="000000" w:themeColor="text1"/>
          <w:sz w:val="24"/>
          <w:szCs w:val="24"/>
        </w:rPr>
        <w:t>resulting from this tax expenditure</w:t>
      </w:r>
      <w:r w:rsidR="00563404"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sidR="00653724">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Pr>
          <w:rFonts w:asciiTheme="majorHAnsi" w:eastAsiaTheme="majorEastAsia" w:hAnsiTheme="majorHAnsi" w:cstheme="majorBidi"/>
          <w:bCs/>
          <w:color w:val="000000" w:themeColor="text1"/>
          <w:sz w:val="24"/>
          <w:szCs w:val="24"/>
        </w:rPr>
        <w:t>1</w:t>
      </w:r>
      <w:r w:rsidR="00B25535">
        <w:rPr>
          <w:rFonts w:asciiTheme="majorHAnsi" w:eastAsiaTheme="majorEastAsia" w:hAnsiTheme="majorHAnsi" w:cstheme="majorBidi"/>
          <w:bCs/>
          <w:color w:val="000000" w:themeColor="text1"/>
          <w:sz w:val="24"/>
          <w:szCs w:val="24"/>
        </w:rPr>
        <w:t>67.</w:t>
      </w:r>
      <w:r w:rsidR="007A622C">
        <w:rPr>
          <w:rFonts w:asciiTheme="majorHAnsi" w:eastAsiaTheme="majorEastAsia" w:hAnsiTheme="majorHAnsi" w:cstheme="majorBidi"/>
          <w:bCs/>
          <w:color w:val="000000" w:themeColor="text1"/>
          <w:sz w:val="24"/>
          <w:szCs w:val="24"/>
        </w:rPr>
        <w:t>1</w:t>
      </w:r>
      <w:r w:rsidRPr="00476C5D">
        <w:rPr>
          <w:rFonts w:asciiTheme="majorHAnsi" w:eastAsiaTheme="majorEastAsia" w:hAnsiTheme="majorHAnsi" w:cstheme="majorBidi"/>
          <w:bCs/>
          <w:color w:val="000000" w:themeColor="text1"/>
          <w:sz w:val="24"/>
          <w:szCs w:val="24"/>
        </w:rPr>
        <w:t xml:space="preserve"> - $</w:t>
      </w:r>
      <w:r w:rsidR="00B25535">
        <w:rPr>
          <w:rFonts w:asciiTheme="majorHAnsi" w:eastAsiaTheme="majorEastAsia" w:hAnsiTheme="majorHAnsi" w:cstheme="majorBidi"/>
          <w:bCs/>
          <w:color w:val="000000" w:themeColor="text1"/>
          <w:sz w:val="24"/>
          <w:szCs w:val="24"/>
        </w:rPr>
        <w:t>194.0</w:t>
      </w:r>
      <w:r w:rsidRPr="00476C5D">
        <w:rPr>
          <w:rFonts w:asciiTheme="majorHAnsi" w:eastAsiaTheme="majorEastAsia" w:hAnsiTheme="majorHAnsi" w:cstheme="majorBidi"/>
          <w:bCs/>
          <w:color w:val="000000" w:themeColor="text1"/>
          <w:sz w:val="24"/>
          <w:szCs w:val="24"/>
        </w:rPr>
        <w:t xml:space="preserve"> million </w:t>
      </w:r>
      <w:r w:rsidR="00653724">
        <w:rPr>
          <w:rFonts w:asciiTheme="majorHAnsi" w:eastAsiaTheme="majorEastAsia" w:hAnsiTheme="majorHAnsi" w:cstheme="majorBidi"/>
          <w:bCs/>
          <w:color w:val="000000" w:themeColor="text1"/>
          <w:sz w:val="24"/>
          <w:szCs w:val="24"/>
        </w:rPr>
        <w:t>per year</w:t>
      </w:r>
      <w:r w:rsidRPr="00476C5D">
        <w:rPr>
          <w:rFonts w:asciiTheme="majorHAnsi" w:eastAsiaTheme="majorEastAsia" w:hAnsiTheme="majorHAnsi" w:cstheme="majorBidi"/>
          <w:bCs/>
          <w:color w:val="000000" w:themeColor="text1"/>
          <w:sz w:val="24"/>
          <w:szCs w:val="24"/>
        </w:rPr>
        <w:t xml:space="preserve"> during FY18-FY22.  </w:t>
      </w:r>
      <w:r w:rsidR="00563404">
        <w:rPr>
          <w:rFonts w:asciiTheme="majorHAnsi" w:eastAsiaTheme="majorEastAsia" w:hAnsiTheme="majorHAnsi" w:cstheme="majorBidi"/>
          <w:bCs/>
          <w:color w:val="000000" w:themeColor="text1"/>
          <w:sz w:val="24"/>
          <w:szCs w:val="24"/>
        </w:rPr>
        <w:t xml:space="preserve">See Table </w:t>
      </w:r>
      <w:r w:rsidR="008C5F0C">
        <w:rPr>
          <w:rFonts w:asciiTheme="majorHAnsi" w:eastAsiaTheme="majorEastAsia" w:hAnsiTheme="majorHAnsi" w:cstheme="majorBidi"/>
          <w:bCs/>
          <w:color w:val="000000" w:themeColor="text1"/>
          <w:sz w:val="24"/>
          <w:szCs w:val="24"/>
        </w:rPr>
        <w:t>3</w:t>
      </w:r>
      <w:r w:rsidR="00563404">
        <w:rPr>
          <w:rFonts w:asciiTheme="majorHAnsi" w:eastAsiaTheme="majorEastAsia" w:hAnsiTheme="majorHAnsi" w:cstheme="majorBidi"/>
          <w:bCs/>
          <w:color w:val="000000" w:themeColor="text1"/>
          <w:sz w:val="24"/>
          <w:szCs w:val="24"/>
        </w:rPr>
        <w:t>. The estimates are based on several factors, including historical claims, economic forecasts, and related law changes.</w:t>
      </w:r>
    </w:p>
    <w:p w14:paraId="60F08E49" w14:textId="77777777" w:rsidR="007F4B47" w:rsidRDefault="007F4B47" w:rsidP="00646B09">
      <w:pPr>
        <w:spacing w:after="0"/>
        <w:rPr>
          <w:rFonts w:asciiTheme="majorHAnsi" w:eastAsiaTheme="majorEastAsia" w:hAnsiTheme="majorHAnsi" w:cstheme="majorBidi"/>
          <w:bCs/>
          <w:color w:val="000000" w:themeColor="text1"/>
          <w:sz w:val="24"/>
          <w:szCs w:val="24"/>
        </w:rPr>
      </w:pPr>
    </w:p>
    <w:p w14:paraId="078F6A41" w14:textId="77777777" w:rsidR="007F4B47" w:rsidRPr="006C3121" w:rsidRDefault="007F4B47" w:rsidP="006B5573">
      <w:pPr>
        <w:spacing w:after="0"/>
        <w:jc w:val="center"/>
        <w:rPr>
          <w:rFonts w:asciiTheme="majorHAnsi" w:eastAsiaTheme="majorEastAsia" w:hAnsiTheme="majorHAnsi" w:cstheme="majorBidi"/>
          <w:b/>
          <w:color w:val="000000" w:themeColor="text1"/>
          <w:sz w:val="24"/>
          <w:szCs w:val="24"/>
        </w:rPr>
      </w:pPr>
      <w:r w:rsidRPr="006C3121">
        <w:rPr>
          <w:rFonts w:asciiTheme="majorHAnsi" w:eastAsiaTheme="majorEastAsia" w:hAnsiTheme="majorHAnsi" w:cstheme="majorBidi"/>
          <w:b/>
          <w:color w:val="000000" w:themeColor="text1"/>
          <w:sz w:val="24"/>
          <w:szCs w:val="24"/>
        </w:rPr>
        <w:t xml:space="preserve">Table </w:t>
      </w:r>
      <w:r w:rsidR="008C5F0C">
        <w:rPr>
          <w:rFonts w:asciiTheme="majorHAnsi" w:eastAsiaTheme="majorEastAsia" w:hAnsiTheme="majorHAnsi" w:cstheme="majorBidi"/>
          <w:b/>
          <w:color w:val="000000" w:themeColor="text1"/>
          <w:sz w:val="24"/>
          <w:szCs w:val="24"/>
        </w:rPr>
        <w:t>3</w:t>
      </w:r>
      <w:r w:rsidRPr="006C3121">
        <w:rPr>
          <w:rFonts w:asciiTheme="majorHAnsi" w:eastAsiaTheme="majorEastAsia" w:hAnsiTheme="majorHAnsi" w:cstheme="majorBidi"/>
          <w:b/>
          <w:color w:val="000000" w:themeColor="text1"/>
          <w:sz w:val="24"/>
          <w:szCs w:val="24"/>
        </w:rPr>
        <w:t>. Tax Revenue Loss Estimates for NOL deduction</w:t>
      </w:r>
    </w:p>
    <w:tbl>
      <w:tblPr>
        <w:tblW w:w="7465" w:type="dxa"/>
        <w:jc w:val="center"/>
        <w:tblLook w:val="04A0" w:firstRow="1" w:lastRow="0" w:firstColumn="1" w:lastColumn="0" w:noHBand="0" w:noVBand="1"/>
      </w:tblPr>
      <w:tblGrid>
        <w:gridCol w:w="2665"/>
        <w:gridCol w:w="960"/>
        <w:gridCol w:w="960"/>
        <w:gridCol w:w="960"/>
        <w:gridCol w:w="960"/>
        <w:gridCol w:w="960"/>
      </w:tblGrid>
      <w:tr w:rsidR="007F4B47" w:rsidRPr="00A72D47" w14:paraId="43CB0CB1" w14:textId="77777777" w:rsidTr="004C743D">
        <w:trPr>
          <w:trHeight w:val="440"/>
          <w:jc w:val="center"/>
        </w:trPr>
        <w:tc>
          <w:tcPr>
            <w:tcW w:w="2665"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23EBEA06" w14:textId="77777777" w:rsidR="007F4B47" w:rsidRPr="00A72D47" w:rsidRDefault="007F4B47">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Fiscal Year</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C7DBAAD" w14:textId="77777777" w:rsidR="007F4B47" w:rsidRPr="00A72D47" w:rsidRDefault="007F4B47">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2018</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E6F5829" w14:textId="77777777" w:rsidR="007F4B47" w:rsidRPr="00A72D47" w:rsidRDefault="007F4B47">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2019</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0960A84" w14:textId="77777777" w:rsidR="007F4B47" w:rsidRPr="00A72D47" w:rsidRDefault="007F4B47">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2020</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71E39E7" w14:textId="77777777" w:rsidR="007F4B47" w:rsidRPr="00A72D47" w:rsidRDefault="007F4B47">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2021</w:t>
            </w:r>
          </w:p>
        </w:tc>
        <w:tc>
          <w:tcPr>
            <w:tcW w:w="96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DA0257D" w14:textId="77777777" w:rsidR="007F4B47" w:rsidRPr="00A72D47" w:rsidRDefault="007F4B47">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2022</w:t>
            </w:r>
          </w:p>
        </w:tc>
      </w:tr>
      <w:tr w:rsidR="007F4B47" w:rsidRPr="00A72D47" w14:paraId="27C9880B" w14:textId="77777777" w:rsidTr="006B5573">
        <w:trPr>
          <w:trHeight w:val="630"/>
          <w:jc w:val="center"/>
        </w:trPr>
        <w:tc>
          <w:tcPr>
            <w:tcW w:w="2665" w:type="dxa"/>
            <w:tcBorders>
              <w:top w:val="nil"/>
              <w:left w:val="single" w:sz="4" w:space="0" w:color="auto"/>
              <w:bottom w:val="single" w:sz="4" w:space="0" w:color="auto"/>
              <w:right w:val="single" w:sz="4" w:space="0" w:color="auto"/>
            </w:tcBorders>
            <w:shd w:val="clear" w:color="000000" w:fill="FFFFFF"/>
            <w:vAlign w:val="center"/>
            <w:hideMark/>
          </w:tcPr>
          <w:p w14:paraId="5FB2CBCC" w14:textId="77777777" w:rsidR="007F4B47" w:rsidRPr="00A72D47" w:rsidRDefault="007F4B47">
            <w:pPr>
              <w:spacing w:after="0" w:line="240" w:lineRule="auto"/>
              <w:jc w:val="center"/>
              <w:rPr>
                <w:rFonts w:ascii="Cambria" w:eastAsia="Times New Roman" w:hAnsi="Cambria" w:cs="Helvetica"/>
                <w:sz w:val="20"/>
                <w:szCs w:val="20"/>
                <w:lang w:eastAsia="ko-KR"/>
              </w:rPr>
            </w:pP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p>
        </w:tc>
        <w:tc>
          <w:tcPr>
            <w:tcW w:w="960" w:type="dxa"/>
            <w:tcBorders>
              <w:top w:val="nil"/>
              <w:left w:val="nil"/>
              <w:bottom w:val="single" w:sz="4" w:space="0" w:color="auto"/>
              <w:right w:val="single" w:sz="4" w:space="0" w:color="auto"/>
            </w:tcBorders>
            <w:shd w:val="clear" w:color="auto" w:fill="auto"/>
            <w:noWrap/>
            <w:vAlign w:val="center"/>
            <w:hideMark/>
          </w:tcPr>
          <w:p w14:paraId="694147B8" w14:textId="77777777" w:rsidR="007F4B47" w:rsidRPr="00A72D47" w:rsidRDefault="007F4B47" w:rsidP="006B5573">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$167.</w:t>
            </w:r>
            <w:r w:rsidR="007A622C">
              <w:rPr>
                <w:rFonts w:ascii="Cambria" w:eastAsia="Times New Roman" w:hAnsi="Cambria" w:cs="Helvetica"/>
                <w:sz w:val="20"/>
                <w:szCs w:val="20"/>
                <w:lang w:eastAsia="ko-KR"/>
              </w:rPr>
              <w:t>1</w:t>
            </w:r>
          </w:p>
        </w:tc>
        <w:tc>
          <w:tcPr>
            <w:tcW w:w="960" w:type="dxa"/>
            <w:tcBorders>
              <w:top w:val="nil"/>
              <w:left w:val="nil"/>
              <w:bottom w:val="single" w:sz="4" w:space="0" w:color="auto"/>
              <w:right w:val="single" w:sz="4" w:space="0" w:color="auto"/>
            </w:tcBorders>
            <w:shd w:val="clear" w:color="auto" w:fill="auto"/>
            <w:noWrap/>
            <w:vAlign w:val="center"/>
            <w:hideMark/>
          </w:tcPr>
          <w:p w14:paraId="08694C4B" w14:textId="77777777" w:rsidR="007F4B47" w:rsidRPr="00A72D47" w:rsidRDefault="007F4B47" w:rsidP="006B5573">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$177.4</w:t>
            </w:r>
          </w:p>
        </w:tc>
        <w:tc>
          <w:tcPr>
            <w:tcW w:w="960" w:type="dxa"/>
            <w:tcBorders>
              <w:top w:val="nil"/>
              <w:left w:val="nil"/>
              <w:bottom w:val="single" w:sz="4" w:space="0" w:color="auto"/>
              <w:right w:val="single" w:sz="4" w:space="0" w:color="auto"/>
            </w:tcBorders>
            <w:shd w:val="clear" w:color="auto" w:fill="auto"/>
            <w:noWrap/>
            <w:vAlign w:val="center"/>
            <w:hideMark/>
          </w:tcPr>
          <w:p w14:paraId="4AA082AE" w14:textId="77777777" w:rsidR="007F4B47" w:rsidRPr="00A72D47" w:rsidRDefault="007F4B47" w:rsidP="006B5573">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$182.8</w:t>
            </w:r>
          </w:p>
        </w:tc>
        <w:tc>
          <w:tcPr>
            <w:tcW w:w="960" w:type="dxa"/>
            <w:tcBorders>
              <w:top w:val="nil"/>
              <w:left w:val="nil"/>
              <w:bottom w:val="single" w:sz="4" w:space="0" w:color="auto"/>
              <w:right w:val="single" w:sz="4" w:space="0" w:color="auto"/>
            </w:tcBorders>
            <w:shd w:val="clear" w:color="auto" w:fill="auto"/>
            <w:noWrap/>
            <w:vAlign w:val="center"/>
            <w:hideMark/>
          </w:tcPr>
          <w:p w14:paraId="0AC23836" w14:textId="77777777" w:rsidR="007F4B47" w:rsidRPr="00A72D47" w:rsidRDefault="007F4B47" w:rsidP="006B5573">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$188.3</w:t>
            </w:r>
          </w:p>
        </w:tc>
        <w:tc>
          <w:tcPr>
            <w:tcW w:w="960" w:type="dxa"/>
            <w:tcBorders>
              <w:top w:val="nil"/>
              <w:left w:val="nil"/>
              <w:bottom w:val="single" w:sz="4" w:space="0" w:color="auto"/>
              <w:right w:val="single" w:sz="4" w:space="0" w:color="auto"/>
            </w:tcBorders>
            <w:shd w:val="clear" w:color="auto" w:fill="auto"/>
            <w:noWrap/>
            <w:vAlign w:val="center"/>
            <w:hideMark/>
          </w:tcPr>
          <w:p w14:paraId="57F331C7" w14:textId="77777777" w:rsidR="007F4B47" w:rsidRPr="00A72D47" w:rsidRDefault="007F4B47" w:rsidP="006B5573">
            <w:pPr>
              <w:spacing w:after="0" w:line="240" w:lineRule="auto"/>
              <w:jc w:val="center"/>
              <w:rPr>
                <w:rFonts w:ascii="Cambria" w:eastAsia="Times New Roman" w:hAnsi="Cambria" w:cs="Helvetica"/>
                <w:sz w:val="20"/>
                <w:szCs w:val="20"/>
                <w:lang w:eastAsia="ko-KR"/>
              </w:rPr>
            </w:pPr>
            <w:r w:rsidRPr="00A72D47">
              <w:rPr>
                <w:rFonts w:ascii="Cambria" w:eastAsia="Times New Roman" w:hAnsi="Cambria" w:cs="Helvetica"/>
                <w:sz w:val="20"/>
                <w:szCs w:val="20"/>
                <w:lang w:eastAsia="ko-KR"/>
              </w:rPr>
              <w:t>$194.0</w:t>
            </w:r>
          </w:p>
        </w:tc>
      </w:tr>
    </w:tbl>
    <w:p w14:paraId="7974E549" w14:textId="77777777" w:rsidR="0081513C" w:rsidRDefault="0081513C" w:rsidP="00646B09">
      <w:pPr>
        <w:spacing w:after="0"/>
        <w:rPr>
          <w:rFonts w:asciiTheme="majorHAnsi" w:eastAsiaTheme="majorEastAsia" w:hAnsiTheme="majorHAnsi" w:cstheme="majorBidi"/>
          <w:bCs/>
          <w:color w:val="000000" w:themeColor="text1"/>
          <w:sz w:val="24"/>
          <w:szCs w:val="24"/>
        </w:rPr>
      </w:pPr>
    </w:p>
    <w:p w14:paraId="148D12D0" w14:textId="77777777" w:rsidR="004D2E6F" w:rsidRDefault="004D2E6F" w:rsidP="004D2E6F">
      <w:pPr>
        <w:spacing w:after="0"/>
        <w:rPr>
          <w:rFonts w:asciiTheme="majorHAnsi" w:eastAsiaTheme="majorEastAsia" w:hAnsiTheme="majorHAnsi" w:cstheme="majorBidi"/>
          <w:bCs/>
          <w:color w:val="000000" w:themeColor="text1"/>
          <w:sz w:val="24"/>
          <w:szCs w:val="24"/>
        </w:rPr>
      </w:pPr>
      <w:r w:rsidRPr="005E4A6B">
        <w:rPr>
          <w:rFonts w:asciiTheme="majorHAnsi" w:eastAsiaTheme="majorEastAsia" w:hAnsiTheme="majorHAnsi" w:cstheme="majorBidi"/>
          <w:bCs/>
          <w:color w:val="000000" w:themeColor="text1"/>
          <w:sz w:val="24"/>
          <w:szCs w:val="24"/>
        </w:rPr>
        <w:t xml:space="preserve">Table </w:t>
      </w:r>
      <w:r w:rsidR="008C5F0C">
        <w:rPr>
          <w:rFonts w:asciiTheme="majorHAnsi" w:eastAsiaTheme="majorEastAsia" w:hAnsiTheme="majorHAnsi" w:cstheme="majorBidi"/>
          <w:bCs/>
          <w:color w:val="000000" w:themeColor="text1"/>
          <w:sz w:val="24"/>
          <w:szCs w:val="24"/>
        </w:rPr>
        <w:t>4</w:t>
      </w:r>
      <w:r w:rsidRPr="005E4A6B">
        <w:rPr>
          <w:rFonts w:asciiTheme="majorHAnsi" w:eastAsiaTheme="majorEastAsia" w:hAnsiTheme="majorHAnsi" w:cstheme="majorBidi"/>
          <w:bCs/>
          <w:color w:val="000000" w:themeColor="text1"/>
          <w:sz w:val="24"/>
          <w:szCs w:val="24"/>
        </w:rPr>
        <w:t xml:space="preserve"> below shows </w:t>
      </w:r>
      <w:r>
        <w:rPr>
          <w:rFonts w:asciiTheme="majorHAnsi" w:eastAsiaTheme="majorEastAsia" w:hAnsiTheme="majorHAnsi" w:cstheme="majorBidi"/>
          <w:bCs/>
          <w:color w:val="000000" w:themeColor="text1"/>
          <w:sz w:val="24"/>
          <w:szCs w:val="24"/>
        </w:rPr>
        <w:t xml:space="preserve">the number of </w:t>
      </w:r>
      <w:r w:rsidRPr="005E4A6B">
        <w:rPr>
          <w:rFonts w:asciiTheme="majorHAnsi" w:eastAsiaTheme="majorEastAsia" w:hAnsiTheme="majorHAnsi" w:cstheme="majorBidi"/>
          <w:bCs/>
          <w:color w:val="000000" w:themeColor="text1"/>
          <w:sz w:val="24"/>
          <w:szCs w:val="24"/>
        </w:rPr>
        <w:t>claimed</w:t>
      </w:r>
      <w:r>
        <w:rPr>
          <w:rFonts w:asciiTheme="majorHAnsi" w:eastAsiaTheme="majorEastAsia" w:hAnsiTheme="majorHAnsi" w:cstheme="majorBidi"/>
          <w:bCs/>
          <w:color w:val="000000" w:themeColor="text1"/>
          <w:sz w:val="24"/>
          <w:szCs w:val="24"/>
        </w:rPr>
        <w:t xml:space="preserve"> </w:t>
      </w:r>
      <w:r w:rsidRPr="005E4A6B">
        <w:rPr>
          <w:rFonts w:asciiTheme="majorHAnsi" w:eastAsiaTheme="majorEastAsia" w:hAnsiTheme="majorHAnsi" w:cstheme="majorBidi"/>
          <w:bCs/>
          <w:color w:val="000000" w:themeColor="text1"/>
          <w:sz w:val="24"/>
          <w:szCs w:val="24"/>
        </w:rPr>
        <w:t xml:space="preserve">and shared </w:t>
      </w:r>
      <w:r>
        <w:rPr>
          <w:rFonts w:asciiTheme="majorHAnsi" w:eastAsiaTheme="majorEastAsia" w:hAnsiTheme="majorHAnsi" w:cstheme="majorBidi"/>
          <w:bCs/>
          <w:color w:val="000000" w:themeColor="text1"/>
          <w:sz w:val="24"/>
          <w:szCs w:val="24"/>
        </w:rPr>
        <w:t>NOL deduction</w:t>
      </w:r>
      <w:r w:rsidR="00424DA2">
        <w:rPr>
          <w:rFonts w:asciiTheme="majorHAnsi" w:eastAsiaTheme="majorEastAsia" w:hAnsiTheme="majorHAnsi" w:cstheme="majorBidi"/>
          <w:bCs/>
          <w:color w:val="000000" w:themeColor="text1"/>
          <w:sz w:val="24"/>
          <w:szCs w:val="24"/>
        </w:rPr>
        <w:t>s and the amount of such deductions</w:t>
      </w:r>
      <w:r w:rsidRPr="005E4A6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in</w:t>
      </w:r>
      <w:r w:rsidRPr="005E4A6B">
        <w:rPr>
          <w:rFonts w:asciiTheme="majorHAnsi" w:eastAsiaTheme="majorEastAsia" w:hAnsiTheme="majorHAnsi" w:cstheme="majorBidi"/>
          <w:bCs/>
          <w:color w:val="000000" w:themeColor="text1"/>
          <w:sz w:val="24"/>
          <w:szCs w:val="24"/>
        </w:rPr>
        <w:t xml:space="preserve"> the past several years. </w:t>
      </w:r>
      <w:r w:rsidRPr="00D4544F">
        <w:rPr>
          <w:rFonts w:asciiTheme="majorHAnsi" w:eastAsiaTheme="majorEastAsia" w:hAnsiTheme="majorHAnsi" w:cstheme="majorBidi"/>
          <w:bCs/>
          <w:color w:val="000000" w:themeColor="text1"/>
          <w:sz w:val="24"/>
          <w:szCs w:val="24"/>
        </w:rPr>
        <w:t xml:space="preserve">Here, </w:t>
      </w:r>
      <w:r w:rsidR="00424DA2">
        <w:rPr>
          <w:rFonts w:asciiTheme="majorHAnsi" w:eastAsiaTheme="majorEastAsia" w:hAnsiTheme="majorHAnsi" w:cstheme="majorBidi"/>
          <w:bCs/>
          <w:color w:val="000000" w:themeColor="text1"/>
          <w:sz w:val="24"/>
          <w:szCs w:val="24"/>
        </w:rPr>
        <w:t>“</w:t>
      </w:r>
      <w:r w:rsidR="00AD4E83">
        <w:rPr>
          <w:rFonts w:asciiTheme="majorHAnsi" w:eastAsiaTheme="majorEastAsia" w:hAnsiTheme="majorHAnsi" w:cstheme="majorBidi"/>
          <w:bCs/>
          <w:color w:val="000000" w:themeColor="text1"/>
          <w:sz w:val="24"/>
          <w:szCs w:val="24"/>
        </w:rPr>
        <w:t>C</w:t>
      </w:r>
      <w:r w:rsidR="00AD4E83" w:rsidRPr="00D4544F">
        <w:rPr>
          <w:rFonts w:asciiTheme="majorHAnsi" w:eastAsiaTheme="majorEastAsia" w:hAnsiTheme="majorHAnsi" w:cstheme="majorBidi"/>
          <w:bCs/>
          <w:color w:val="000000" w:themeColor="text1"/>
          <w:sz w:val="24"/>
          <w:szCs w:val="24"/>
        </w:rPr>
        <w:t xml:space="preserve">laimed </w:t>
      </w:r>
      <w:r>
        <w:rPr>
          <w:rFonts w:asciiTheme="majorHAnsi" w:eastAsiaTheme="majorEastAsia" w:hAnsiTheme="majorHAnsi" w:cstheme="majorBidi"/>
          <w:bCs/>
          <w:color w:val="000000" w:themeColor="text1"/>
          <w:sz w:val="24"/>
          <w:szCs w:val="24"/>
        </w:rPr>
        <w:t>NOL</w:t>
      </w:r>
      <w:r w:rsidR="00424DA2">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D4544F">
        <w:rPr>
          <w:rFonts w:asciiTheme="majorHAnsi" w:eastAsiaTheme="majorEastAsia" w:hAnsiTheme="majorHAnsi" w:cstheme="majorBidi"/>
          <w:bCs/>
          <w:color w:val="000000" w:themeColor="text1"/>
          <w:sz w:val="24"/>
          <w:szCs w:val="24"/>
        </w:rPr>
        <w:t xml:space="preserve">is </w:t>
      </w:r>
      <w:r>
        <w:rPr>
          <w:rFonts w:asciiTheme="majorHAnsi" w:eastAsiaTheme="majorEastAsia" w:hAnsiTheme="majorHAnsi" w:cstheme="majorBidi"/>
          <w:bCs/>
          <w:color w:val="000000" w:themeColor="text1"/>
          <w:sz w:val="24"/>
          <w:szCs w:val="24"/>
        </w:rPr>
        <w:t>the deduction</w:t>
      </w:r>
      <w:r w:rsidRPr="00D4544F">
        <w:rPr>
          <w:rFonts w:asciiTheme="majorHAnsi" w:eastAsiaTheme="majorEastAsia" w:hAnsiTheme="majorHAnsi" w:cstheme="majorBidi"/>
          <w:bCs/>
          <w:color w:val="000000" w:themeColor="text1"/>
          <w:sz w:val="24"/>
          <w:szCs w:val="24"/>
        </w:rPr>
        <w:t xml:space="preserve"> amount </w:t>
      </w:r>
      <w:r w:rsidR="00424DA2">
        <w:rPr>
          <w:rFonts w:asciiTheme="majorHAnsi" w:eastAsiaTheme="majorEastAsia" w:hAnsiTheme="majorHAnsi" w:cstheme="majorBidi"/>
          <w:bCs/>
          <w:color w:val="000000" w:themeColor="text1"/>
          <w:sz w:val="24"/>
          <w:szCs w:val="24"/>
        </w:rPr>
        <w:t>that</w:t>
      </w:r>
      <w:r w:rsidRPr="00D4544F">
        <w:rPr>
          <w:rFonts w:asciiTheme="majorHAnsi" w:eastAsiaTheme="majorEastAsia" w:hAnsiTheme="majorHAnsi" w:cstheme="majorBidi"/>
          <w:bCs/>
          <w:color w:val="000000" w:themeColor="text1"/>
          <w:sz w:val="24"/>
          <w:szCs w:val="24"/>
        </w:rPr>
        <w:t xml:space="preserve"> a taxpayer claimed</w:t>
      </w:r>
      <w:r>
        <w:rPr>
          <w:rFonts w:asciiTheme="majorHAnsi" w:eastAsiaTheme="majorEastAsia" w:hAnsiTheme="majorHAnsi" w:cstheme="majorBidi"/>
          <w:bCs/>
          <w:color w:val="000000" w:themeColor="text1"/>
          <w:sz w:val="24"/>
          <w:szCs w:val="24"/>
        </w:rPr>
        <w:t>;</w:t>
      </w:r>
      <w:r w:rsidRPr="00D4544F">
        <w:rPr>
          <w:rFonts w:asciiTheme="majorHAnsi" w:eastAsiaTheme="majorEastAsia" w:hAnsiTheme="majorHAnsi" w:cstheme="majorBidi"/>
          <w:bCs/>
          <w:color w:val="000000" w:themeColor="text1"/>
          <w:sz w:val="24"/>
          <w:szCs w:val="24"/>
        </w:rPr>
        <w:t xml:space="preserve"> and </w:t>
      </w:r>
      <w:r w:rsidR="00424DA2">
        <w:rPr>
          <w:rFonts w:asciiTheme="majorHAnsi" w:eastAsiaTheme="majorEastAsia" w:hAnsiTheme="majorHAnsi" w:cstheme="majorBidi"/>
          <w:bCs/>
          <w:color w:val="000000" w:themeColor="text1"/>
          <w:sz w:val="24"/>
          <w:szCs w:val="24"/>
        </w:rPr>
        <w:t>“</w:t>
      </w:r>
      <w:r w:rsidR="00AD4E83">
        <w:rPr>
          <w:rFonts w:asciiTheme="majorHAnsi" w:eastAsiaTheme="majorEastAsia" w:hAnsiTheme="majorHAnsi" w:cstheme="majorBidi"/>
          <w:bCs/>
          <w:color w:val="000000" w:themeColor="text1"/>
          <w:sz w:val="24"/>
          <w:szCs w:val="24"/>
        </w:rPr>
        <w:t>S</w:t>
      </w:r>
      <w:r w:rsidR="00AD4E83" w:rsidRPr="00D4544F">
        <w:rPr>
          <w:rFonts w:asciiTheme="majorHAnsi" w:eastAsiaTheme="majorEastAsia" w:hAnsiTheme="majorHAnsi" w:cstheme="majorBidi"/>
          <w:bCs/>
          <w:color w:val="000000" w:themeColor="text1"/>
          <w:sz w:val="24"/>
          <w:szCs w:val="24"/>
        </w:rPr>
        <w:t xml:space="preserve">hared </w:t>
      </w:r>
      <w:r>
        <w:rPr>
          <w:rFonts w:asciiTheme="majorHAnsi" w:eastAsiaTheme="majorEastAsia" w:hAnsiTheme="majorHAnsi" w:cstheme="majorBidi"/>
          <w:bCs/>
          <w:color w:val="000000" w:themeColor="text1"/>
          <w:sz w:val="24"/>
          <w:szCs w:val="24"/>
        </w:rPr>
        <w:t>NOL</w:t>
      </w:r>
      <w:r w:rsidR="00424DA2">
        <w:rPr>
          <w:rFonts w:asciiTheme="majorHAnsi" w:eastAsiaTheme="majorEastAsia" w:hAnsiTheme="majorHAnsi" w:cstheme="majorBidi"/>
          <w:bCs/>
          <w:color w:val="000000" w:themeColor="text1"/>
          <w:sz w:val="24"/>
          <w:szCs w:val="24"/>
        </w:rPr>
        <w:t>”</w:t>
      </w:r>
      <w:r w:rsidRPr="00D4544F">
        <w:rPr>
          <w:rFonts w:asciiTheme="majorHAnsi" w:eastAsiaTheme="majorEastAsia" w:hAnsiTheme="majorHAnsi" w:cstheme="majorBidi"/>
          <w:bCs/>
          <w:color w:val="000000" w:themeColor="text1"/>
          <w:sz w:val="24"/>
          <w:szCs w:val="24"/>
        </w:rPr>
        <w:t xml:space="preserve"> is </w:t>
      </w:r>
      <w:r>
        <w:rPr>
          <w:rFonts w:asciiTheme="majorHAnsi" w:eastAsiaTheme="majorEastAsia" w:hAnsiTheme="majorHAnsi" w:cstheme="majorBidi"/>
          <w:bCs/>
          <w:color w:val="000000" w:themeColor="text1"/>
          <w:sz w:val="24"/>
          <w:szCs w:val="24"/>
        </w:rPr>
        <w:t>the deduction</w:t>
      </w:r>
      <w:r w:rsidRPr="00D4544F">
        <w:rPr>
          <w:rFonts w:asciiTheme="majorHAnsi" w:eastAsiaTheme="majorEastAsia" w:hAnsiTheme="majorHAnsi" w:cstheme="majorBidi"/>
          <w:bCs/>
          <w:color w:val="000000" w:themeColor="text1"/>
          <w:sz w:val="24"/>
          <w:szCs w:val="24"/>
        </w:rPr>
        <w:t xml:space="preserve"> amount </w:t>
      </w:r>
      <w:r>
        <w:rPr>
          <w:rFonts w:asciiTheme="majorHAnsi" w:eastAsiaTheme="majorEastAsia" w:hAnsiTheme="majorHAnsi" w:cstheme="majorBidi"/>
          <w:bCs/>
          <w:color w:val="000000" w:themeColor="text1"/>
          <w:sz w:val="24"/>
          <w:szCs w:val="24"/>
        </w:rPr>
        <w:t xml:space="preserve">used by other members of the </w:t>
      </w:r>
      <w:r w:rsidRPr="00D4544F">
        <w:rPr>
          <w:rFonts w:asciiTheme="majorHAnsi" w:eastAsiaTheme="majorEastAsia" w:hAnsiTheme="majorHAnsi" w:cstheme="majorBidi"/>
          <w:bCs/>
          <w:color w:val="000000" w:themeColor="text1"/>
          <w:sz w:val="24"/>
          <w:szCs w:val="24"/>
        </w:rPr>
        <w:t>taxpayer</w:t>
      </w:r>
      <w:r>
        <w:rPr>
          <w:rFonts w:asciiTheme="majorHAnsi" w:eastAsiaTheme="majorEastAsia" w:hAnsiTheme="majorHAnsi" w:cstheme="majorBidi"/>
          <w:bCs/>
          <w:color w:val="000000" w:themeColor="text1"/>
          <w:sz w:val="24"/>
          <w:szCs w:val="24"/>
        </w:rPr>
        <w:t xml:space="preserve">’s combined </w:t>
      </w:r>
      <w:r w:rsidRPr="00D4544F">
        <w:rPr>
          <w:rFonts w:asciiTheme="majorHAnsi" w:eastAsiaTheme="majorEastAsia" w:hAnsiTheme="majorHAnsi" w:cstheme="majorBidi"/>
          <w:bCs/>
          <w:color w:val="000000" w:themeColor="text1"/>
          <w:sz w:val="24"/>
          <w:szCs w:val="24"/>
        </w:rPr>
        <w:t>group</w:t>
      </w:r>
      <w:r>
        <w:rPr>
          <w:rFonts w:asciiTheme="majorHAnsi" w:eastAsiaTheme="majorEastAsia" w:hAnsiTheme="majorHAnsi" w:cstheme="majorBidi"/>
          <w:bCs/>
          <w:color w:val="000000" w:themeColor="text1"/>
          <w:sz w:val="24"/>
          <w:szCs w:val="24"/>
        </w:rPr>
        <w:t>.</w:t>
      </w:r>
    </w:p>
    <w:p w14:paraId="0317819E" w14:textId="77777777" w:rsidR="004D2E6F" w:rsidRDefault="004D2E6F" w:rsidP="004D2E6F">
      <w:pPr>
        <w:spacing w:after="0"/>
        <w:rPr>
          <w:rFonts w:asciiTheme="majorHAnsi" w:eastAsiaTheme="majorEastAsia" w:hAnsiTheme="majorHAnsi" w:cstheme="majorBidi"/>
          <w:bCs/>
          <w:color w:val="000000" w:themeColor="text1"/>
          <w:sz w:val="24"/>
          <w:szCs w:val="24"/>
        </w:rPr>
      </w:pPr>
    </w:p>
    <w:p w14:paraId="37D44BE3" w14:textId="77777777" w:rsidR="00676D55" w:rsidRDefault="00D60649" w:rsidP="00646B09">
      <w:pPr>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t>During the tax years 2015 through 2018, the number of NOL deduction</w:t>
      </w:r>
      <w:r w:rsidR="00424DA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claimed or shared annually varied from 10,735 to 12,184, the amount of NOL deduction claimed or shared annually varied from $1.677 billion to $2.922 billion, and the average claimed or shared amount was $147,200-$239,800 per year.  </w:t>
      </w:r>
    </w:p>
    <w:p w14:paraId="667013DD" w14:textId="77777777" w:rsidR="0047025D" w:rsidRDefault="0047025D" w:rsidP="00646B09">
      <w:pPr>
        <w:spacing w:after="0"/>
        <w:rPr>
          <w:rFonts w:asciiTheme="majorHAnsi" w:hAnsiTheme="majorHAnsi"/>
          <w:b/>
          <w:sz w:val="24"/>
          <w:szCs w:val="24"/>
        </w:rPr>
      </w:pPr>
    </w:p>
    <w:p w14:paraId="74B6F24E" w14:textId="77777777" w:rsidR="007A622C" w:rsidRDefault="007A622C" w:rsidP="00646B09">
      <w:pPr>
        <w:spacing w:after="0"/>
        <w:rPr>
          <w:rFonts w:asciiTheme="majorHAnsi" w:hAnsiTheme="majorHAnsi"/>
          <w:b/>
          <w:sz w:val="24"/>
          <w:szCs w:val="24"/>
        </w:rPr>
      </w:pPr>
    </w:p>
    <w:p w14:paraId="297A7F31" w14:textId="77777777" w:rsidR="007A622C" w:rsidRDefault="007A622C" w:rsidP="00646B09">
      <w:pPr>
        <w:spacing w:after="0"/>
        <w:rPr>
          <w:rFonts w:asciiTheme="majorHAnsi" w:hAnsiTheme="majorHAnsi"/>
          <w:b/>
          <w:sz w:val="24"/>
          <w:szCs w:val="24"/>
        </w:rPr>
      </w:pPr>
    </w:p>
    <w:p w14:paraId="5B6E4128" w14:textId="77777777" w:rsidR="007A622C" w:rsidRDefault="007A622C" w:rsidP="00646B09">
      <w:pPr>
        <w:spacing w:after="0"/>
        <w:rPr>
          <w:rFonts w:asciiTheme="majorHAnsi" w:hAnsiTheme="majorHAnsi"/>
          <w:b/>
          <w:sz w:val="24"/>
          <w:szCs w:val="24"/>
        </w:rPr>
      </w:pPr>
    </w:p>
    <w:p w14:paraId="2FC68AE0" w14:textId="77777777" w:rsidR="00CA0391" w:rsidRDefault="00CA0391" w:rsidP="006B5573">
      <w:pPr>
        <w:spacing w:after="0"/>
        <w:jc w:val="center"/>
        <w:rPr>
          <w:rFonts w:asciiTheme="majorHAnsi" w:hAnsiTheme="majorHAnsi"/>
          <w:b/>
          <w:sz w:val="24"/>
          <w:szCs w:val="24"/>
        </w:rPr>
      </w:pPr>
      <w:r w:rsidRPr="00CA0391">
        <w:rPr>
          <w:rFonts w:asciiTheme="majorHAnsi" w:hAnsiTheme="majorHAnsi"/>
          <w:b/>
          <w:sz w:val="24"/>
          <w:szCs w:val="24"/>
        </w:rPr>
        <w:lastRenderedPageBreak/>
        <w:t xml:space="preserve">Table </w:t>
      </w:r>
      <w:r w:rsidR="008C5F0C">
        <w:rPr>
          <w:rFonts w:asciiTheme="majorHAnsi" w:hAnsiTheme="majorHAnsi"/>
          <w:b/>
          <w:sz w:val="24"/>
          <w:szCs w:val="24"/>
        </w:rPr>
        <w:t>4</w:t>
      </w:r>
      <w:r w:rsidRPr="00CA0391">
        <w:rPr>
          <w:rFonts w:asciiTheme="majorHAnsi" w:hAnsiTheme="majorHAnsi"/>
          <w:b/>
          <w:sz w:val="24"/>
          <w:szCs w:val="24"/>
        </w:rPr>
        <w:t xml:space="preserve">. </w:t>
      </w:r>
      <w:r w:rsidR="007F4B47">
        <w:rPr>
          <w:rFonts w:asciiTheme="majorHAnsi" w:hAnsiTheme="majorHAnsi"/>
          <w:b/>
          <w:sz w:val="24"/>
          <w:szCs w:val="24"/>
        </w:rPr>
        <w:t xml:space="preserve">Amount and Count of </w:t>
      </w:r>
      <w:r w:rsidR="0087769D" w:rsidRPr="0087769D">
        <w:rPr>
          <w:rFonts w:asciiTheme="majorHAnsi" w:hAnsiTheme="majorHAnsi"/>
          <w:b/>
          <w:sz w:val="24"/>
          <w:szCs w:val="24"/>
        </w:rPr>
        <w:t xml:space="preserve">Net Operating Loss </w:t>
      </w:r>
      <w:r w:rsidR="00653724">
        <w:rPr>
          <w:rFonts w:asciiTheme="majorHAnsi" w:hAnsiTheme="majorHAnsi"/>
          <w:b/>
          <w:sz w:val="24"/>
          <w:szCs w:val="24"/>
        </w:rPr>
        <w:t>Deduction</w:t>
      </w:r>
      <w:r w:rsidR="0087769D" w:rsidRPr="0087769D">
        <w:rPr>
          <w:rFonts w:asciiTheme="majorHAnsi" w:hAnsiTheme="majorHAnsi"/>
          <w:b/>
          <w:sz w:val="24"/>
          <w:szCs w:val="24"/>
        </w:rPr>
        <w:t xml:space="preserve"> </w:t>
      </w:r>
      <w:r w:rsidR="00D3039D">
        <w:rPr>
          <w:rFonts w:asciiTheme="majorHAnsi" w:hAnsiTheme="majorHAnsi"/>
          <w:b/>
          <w:sz w:val="24"/>
          <w:szCs w:val="24"/>
        </w:rPr>
        <w:t xml:space="preserve">by </w:t>
      </w:r>
      <w:r w:rsidR="007F4B47">
        <w:rPr>
          <w:rFonts w:asciiTheme="majorHAnsi" w:hAnsiTheme="majorHAnsi"/>
          <w:b/>
          <w:sz w:val="24"/>
          <w:szCs w:val="24"/>
        </w:rPr>
        <w:t xml:space="preserve">Tax </w:t>
      </w:r>
      <w:r w:rsidR="0087769D">
        <w:rPr>
          <w:rFonts w:asciiTheme="majorHAnsi" w:hAnsiTheme="majorHAnsi"/>
          <w:b/>
          <w:sz w:val="24"/>
          <w:szCs w:val="24"/>
        </w:rPr>
        <w:t>Year</w:t>
      </w:r>
    </w:p>
    <w:tbl>
      <w:tblPr>
        <w:tblW w:w="9625" w:type="dxa"/>
        <w:tblLook w:val="04A0" w:firstRow="1" w:lastRow="0" w:firstColumn="1" w:lastColumn="0" w:noHBand="0" w:noVBand="1"/>
      </w:tblPr>
      <w:tblGrid>
        <w:gridCol w:w="1975"/>
        <w:gridCol w:w="1079"/>
        <w:gridCol w:w="900"/>
        <w:gridCol w:w="1080"/>
        <w:gridCol w:w="900"/>
        <w:gridCol w:w="1080"/>
        <w:gridCol w:w="810"/>
        <w:gridCol w:w="1080"/>
        <w:gridCol w:w="810"/>
      </w:tblGrid>
      <w:tr w:rsidR="00F662E0" w:rsidRPr="00F662E0" w14:paraId="2E7684BF" w14:textId="77777777" w:rsidTr="006B5573">
        <w:trPr>
          <w:trHeight w:val="250"/>
        </w:trPr>
        <w:tc>
          <w:tcPr>
            <w:tcW w:w="1975"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bottom"/>
            <w:hideMark/>
          </w:tcPr>
          <w:p w14:paraId="6ECA8A11"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 </w:t>
            </w:r>
          </w:p>
        </w:tc>
        <w:tc>
          <w:tcPr>
            <w:tcW w:w="189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6B1F8E15" w14:textId="77777777" w:rsidR="00F662E0" w:rsidRPr="00F662E0" w:rsidRDefault="00F662E0" w:rsidP="00F662E0">
            <w:pPr>
              <w:spacing w:after="0" w:line="240" w:lineRule="auto"/>
              <w:jc w:val="center"/>
              <w:rPr>
                <w:rFonts w:ascii="Cambria" w:eastAsia="Times New Roman" w:hAnsi="Cambria" w:cs="Helvetica"/>
                <w:color w:val="000000"/>
                <w:sz w:val="18"/>
                <w:szCs w:val="18"/>
                <w:lang w:eastAsia="ko-KR"/>
              </w:rPr>
            </w:pPr>
            <w:r w:rsidRPr="00F662E0">
              <w:rPr>
                <w:rFonts w:ascii="Cambria" w:eastAsia="Times New Roman" w:hAnsi="Cambria" w:cs="Helvetica"/>
                <w:color w:val="000000"/>
                <w:sz w:val="18"/>
                <w:szCs w:val="18"/>
                <w:lang w:eastAsia="ko-KR"/>
              </w:rPr>
              <w:t>2015</w:t>
            </w:r>
          </w:p>
        </w:tc>
        <w:tc>
          <w:tcPr>
            <w:tcW w:w="198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349AA8A7" w14:textId="77777777" w:rsidR="00F662E0" w:rsidRPr="00F662E0" w:rsidRDefault="00F662E0" w:rsidP="00F662E0">
            <w:pPr>
              <w:spacing w:after="0" w:line="240" w:lineRule="auto"/>
              <w:jc w:val="center"/>
              <w:rPr>
                <w:rFonts w:ascii="Cambria" w:eastAsia="Times New Roman" w:hAnsi="Cambria" w:cs="Helvetica"/>
                <w:color w:val="000000"/>
                <w:sz w:val="18"/>
                <w:szCs w:val="18"/>
                <w:lang w:eastAsia="ko-KR"/>
              </w:rPr>
            </w:pPr>
            <w:r w:rsidRPr="00F662E0">
              <w:rPr>
                <w:rFonts w:ascii="Cambria" w:eastAsia="Times New Roman" w:hAnsi="Cambria" w:cs="Helvetica"/>
                <w:color w:val="000000"/>
                <w:sz w:val="18"/>
                <w:szCs w:val="18"/>
                <w:lang w:eastAsia="ko-KR"/>
              </w:rPr>
              <w:t>2016</w:t>
            </w:r>
          </w:p>
        </w:tc>
        <w:tc>
          <w:tcPr>
            <w:tcW w:w="189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2C44CD3C" w14:textId="77777777" w:rsidR="00F662E0" w:rsidRPr="00F662E0" w:rsidRDefault="00F662E0" w:rsidP="00F662E0">
            <w:pPr>
              <w:spacing w:after="0" w:line="240" w:lineRule="auto"/>
              <w:jc w:val="center"/>
              <w:rPr>
                <w:rFonts w:ascii="Cambria" w:eastAsia="Times New Roman" w:hAnsi="Cambria" w:cs="Helvetica"/>
                <w:color w:val="000000"/>
                <w:sz w:val="18"/>
                <w:szCs w:val="18"/>
                <w:lang w:eastAsia="ko-KR"/>
              </w:rPr>
            </w:pPr>
            <w:r w:rsidRPr="00F662E0">
              <w:rPr>
                <w:rFonts w:ascii="Cambria" w:eastAsia="Times New Roman" w:hAnsi="Cambria" w:cs="Helvetica"/>
                <w:color w:val="000000"/>
                <w:sz w:val="18"/>
                <w:szCs w:val="18"/>
                <w:lang w:eastAsia="ko-KR"/>
              </w:rPr>
              <w:t>2017</w:t>
            </w:r>
          </w:p>
        </w:tc>
        <w:tc>
          <w:tcPr>
            <w:tcW w:w="1890"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668243F9" w14:textId="77777777" w:rsidR="00F662E0" w:rsidRPr="00F662E0" w:rsidRDefault="00F662E0" w:rsidP="00F662E0">
            <w:pPr>
              <w:spacing w:after="0" w:line="240" w:lineRule="auto"/>
              <w:jc w:val="center"/>
              <w:rPr>
                <w:rFonts w:ascii="Cambria" w:eastAsia="Times New Roman" w:hAnsi="Cambria" w:cs="Helvetica"/>
                <w:color w:val="000000"/>
                <w:sz w:val="18"/>
                <w:szCs w:val="18"/>
                <w:lang w:eastAsia="ko-KR"/>
              </w:rPr>
            </w:pPr>
            <w:r w:rsidRPr="00F662E0">
              <w:rPr>
                <w:rFonts w:ascii="Cambria" w:eastAsia="Times New Roman" w:hAnsi="Cambria" w:cs="Helvetica"/>
                <w:color w:val="000000"/>
                <w:sz w:val="18"/>
                <w:szCs w:val="18"/>
                <w:lang w:eastAsia="ko-KR"/>
              </w:rPr>
              <w:t>2018</w:t>
            </w:r>
          </w:p>
        </w:tc>
      </w:tr>
      <w:tr w:rsidR="00FF0917" w:rsidRPr="00F662E0" w14:paraId="0C53754B" w14:textId="77777777" w:rsidTr="006B5573">
        <w:trPr>
          <w:trHeight w:val="460"/>
        </w:trPr>
        <w:tc>
          <w:tcPr>
            <w:tcW w:w="1975"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14:paraId="13CF4C56" w14:textId="77777777" w:rsidR="00F662E0" w:rsidRPr="00F662E0" w:rsidRDefault="00F662E0" w:rsidP="00F662E0">
            <w:pPr>
              <w:spacing w:after="0" w:line="240" w:lineRule="auto"/>
              <w:rPr>
                <w:rFonts w:ascii="Cambria" w:eastAsia="Times New Roman" w:hAnsi="Cambria" w:cs="Helvetica"/>
                <w:sz w:val="18"/>
                <w:szCs w:val="18"/>
                <w:lang w:eastAsia="ko-KR"/>
              </w:rPr>
            </w:pPr>
          </w:p>
        </w:tc>
        <w:tc>
          <w:tcPr>
            <w:tcW w:w="990" w:type="dxa"/>
            <w:tcBorders>
              <w:top w:val="nil"/>
              <w:left w:val="nil"/>
              <w:bottom w:val="single" w:sz="4" w:space="0" w:color="auto"/>
              <w:right w:val="single" w:sz="4" w:space="0" w:color="auto"/>
            </w:tcBorders>
            <w:shd w:val="clear" w:color="auto" w:fill="B6DDE8" w:themeFill="accent5" w:themeFillTint="66"/>
            <w:vAlign w:val="center"/>
            <w:hideMark/>
          </w:tcPr>
          <w:p w14:paraId="12B03485"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Amount ($000)</w:t>
            </w:r>
          </w:p>
        </w:tc>
        <w:tc>
          <w:tcPr>
            <w:tcW w:w="900" w:type="dxa"/>
            <w:tcBorders>
              <w:top w:val="nil"/>
              <w:left w:val="nil"/>
              <w:bottom w:val="single" w:sz="4" w:space="0" w:color="auto"/>
              <w:right w:val="single" w:sz="4" w:space="0" w:color="auto"/>
            </w:tcBorders>
            <w:shd w:val="clear" w:color="auto" w:fill="B6DDE8" w:themeFill="accent5" w:themeFillTint="66"/>
            <w:noWrap/>
            <w:vAlign w:val="center"/>
            <w:hideMark/>
          </w:tcPr>
          <w:p w14:paraId="0CDB8B6A"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Count</w:t>
            </w:r>
          </w:p>
        </w:tc>
        <w:tc>
          <w:tcPr>
            <w:tcW w:w="1080" w:type="dxa"/>
            <w:tcBorders>
              <w:top w:val="nil"/>
              <w:left w:val="nil"/>
              <w:bottom w:val="single" w:sz="4" w:space="0" w:color="auto"/>
              <w:right w:val="single" w:sz="4" w:space="0" w:color="auto"/>
            </w:tcBorders>
            <w:shd w:val="clear" w:color="auto" w:fill="B6DDE8" w:themeFill="accent5" w:themeFillTint="66"/>
            <w:vAlign w:val="center"/>
            <w:hideMark/>
          </w:tcPr>
          <w:p w14:paraId="5D8024B8"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Amount ($000)</w:t>
            </w:r>
          </w:p>
        </w:tc>
        <w:tc>
          <w:tcPr>
            <w:tcW w:w="900" w:type="dxa"/>
            <w:tcBorders>
              <w:top w:val="nil"/>
              <w:left w:val="nil"/>
              <w:bottom w:val="single" w:sz="4" w:space="0" w:color="auto"/>
              <w:right w:val="single" w:sz="4" w:space="0" w:color="auto"/>
            </w:tcBorders>
            <w:shd w:val="clear" w:color="auto" w:fill="B6DDE8" w:themeFill="accent5" w:themeFillTint="66"/>
            <w:noWrap/>
            <w:vAlign w:val="center"/>
            <w:hideMark/>
          </w:tcPr>
          <w:p w14:paraId="180D7E10"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Count</w:t>
            </w:r>
          </w:p>
        </w:tc>
        <w:tc>
          <w:tcPr>
            <w:tcW w:w="1080" w:type="dxa"/>
            <w:tcBorders>
              <w:top w:val="nil"/>
              <w:left w:val="nil"/>
              <w:bottom w:val="single" w:sz="4" w:space="0" w:color="auto"/>
              <w:right w:val="single" w:sz="4" w:space="0" w:color="auto"/>
            </w:tcBorders>
            <w:shd w:val="clear" w:color="auto" w:fill="B6DDE8" w:themeFill="accent5" w:themeFillTint="66"/>
            <w:vAlign w:val="center"/>
            <w:hideMark/>
          </w:tcPr>
          <w:p w14:paraId="58A9EFC5"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Amount ($000)</w:t>
            </w:r>
          </w:p>
        </w:tc>
        <w:tc>
          <w:tcPr>
            <w:tcW w:w="810" w:type="dxa"/>
            <w:tcBorders>
              <w:top w:val="nil"/>
              <w:left w:val="nil"/>
              <w:bottom w:val="single" w:sz="4" w:space="0" w:color="auto"/>
              <w:right w:val="single" w:sz="4" w:space="0" w:color="auto"/>
            </w:tcBorders>
            <w:shd w:val="clear" w:color="auto" w:fill="B6DDE8" w:themeFill="accent5" w:themeFillTint="66"/>
            <w:noWrap/>
            <w:vAlign w:val="center"/>
            <w:hideMark/>
          </w:tcPr>
          <w:p w14:paraId="0A604F1B"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Count</w:t>
            </w:r>
          </w:p>
        </w:tc>
        <w:tc>
          <w:tcPr>
            <w:tcW w:w="1080" w:type="dxa"/>
            <w:tcBorders>
              <w:top w:val="nil"/>
              <w:left w:val="nil"/>
              <w:bottom w:val="single" w:sz="4" w:space="0" w:color="auto"/>
              <w:right w:val="single" w:sz="4" w:space="0" w:color="auto"/>
            </w:tcBorders>
            <w:shd w:val="clear" w:color="auto" w:fill="B6DDE8" w:themeFill="accent5" w:themeFillTint="66"/>
            <w:vAlign w:val="center"/>
            <w:hideMark/>
          </w:tcPr>
          <w:p w14:paraId="2BC77FEC"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Amount ($000)</w:t>
            </w:r>
          </w:p>
        </w:tc>
        <w:tc>
          <w:tcPr>
            <w:tcW w:w="810" w:type="dxa"/>
            <w:tcBorders>
              <w:top w:val="nil"/>
              <w:left w:val="nil"/>
              <w:bottom w:val="single" w:sz="4" w:space="0" w:color="auto"/>
              <w:right w:val="single" w:sz="4" w:space="0" w:color="auto"/>
            </w:tcBorders>
            <w:shd w:val="clear" w:color="auto" w:fill="B6DDE8" w:themeFill="accent5" w:themeFillTint="66"/>
            <w:noWrap/>
            <w:vAlign w:val="center"/>
            <w:hideMark/>
          </w:tcPr>
          <w:p w14:paraId="1F8354A8"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Count</w:t>
            </w:r>
          </w:p>
        </w:tc>
      </w:tr>
      <w:tr w:rsidR="00FF0917" w:rsidRPr="00F662E0" w14:paraId="466C7875" w14:textId="77777777" w:rsidTr="006B5573">
        <w:trPr>
          <w:trHeight w:val="46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8C783ED" w14:textId="77777777" w:rsidR="00F662E0" w:rsidRPr="00F662E0" w:rsidRDefault="00F662E0" w:rsidP="00F662E0">
            <w:pPr>
              <w:spacing w:after="0" w:line="240" w:lineRule="auto"/>
              <w:jc w:val="center"/>
              <w:rPr>
                <w:rFonts w:ascii="Cambria" w:eastAsia="Times New Roman" w:hAnsi="Cambria" w:cs="Helvetica"/>
                <w:color w:val="000000"/>
                <w:sz w:val="18"/>
                <w:szCs w:val="18"/>
                <w:lang w:eastAsia="ko-KR"/>
              </w:rPr>
            </w:pPr>
            <w:r w:rsidRPr="00F662E0">
              <w:rPr>
                <w:rFonts w:ascii="Cambria" w:eastAsia="Times New Roman" w:hAnsi="Cambria" w:cs="Helvetica"/>
                <w:color w:val="000000"/>
                <w:sz w:val="18"/>
                <w:szCs w:val="18"/>
                <w:lang w:eastAsia="ko-KR"/>
              </w:rPr>
              <w:t xml:space="preserve"> Claimed NOL </w:t>
            </w:r>
          </w:p>
        </w:tc>
        <w:tc>
          <w:tcPr>
            <w:tcW w:w="990" w:type="dxa"/>
            <w:tcBorders>
              <w:top w:val="nil"/>
              <w:left w:val="nil"/>
              <w:bottom w:val="single" w:sz="4" w:space="0" w:color="auto"/>
              <w:right w:val="single" w:sz="4" w:space="0" w:color="auto"/>
            </w:tcBorders>
            <w:shd w:val="clear" w:color="auto" w:fill="auto"/>
            <w:noWrap/>
            <w:vAlign w:val="center"/>
            <w:hideMark/>
          </w:tcPr>
          <w:p w14:paraId="191D1875"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$1,629,247</w:t>
            </w:r>
          </w:p>
        </w:tc>
        <w:tc>
          <w:tcPr>
            <w:tcW w:w="900" w:type="dxa"/>
            <w:tcBorders>
              <w:top w:val="nil"/>
              <w:left w:val="nil"/>
              <w:bottom w:val="single" w:sz="4" w:space="0" w:color="auto"/>
              <w:right w:val="single" w:sz="4" w:space="0" w:color="auto"/>
            </w:tcBorders>
            <w:shd w:val="clear" w:color="auto" w:fill="auto"/>
            <w:noWrap/>
            <w:vAlign w:val="center"/>
            <w:hideMark/>
          </w:tcPr>
          <w:p w14:paraId="0C3FEFA3"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11,132</w:t>
            </w:r>
          </w:p>
        </w:tc>
        <w:tc>
          <w:tcPr>
            <w:tcW w:w="1080" w:type="dxa"/>
            <w:tcBorders>
              <w:top w:val="nil"/>
              <w:left w:val="nil"/>
              <w:bottom w:val="single" w:sz="4" w:space="0" w:color="auto"/>
              <w:right w:val="single" w:sz="4" w:space="0" w:color="auto"/>
            </w:tcBorders>
            <w:shd w:val="clear" w:color="auto" w:fill="auto"/>
            <w:noWrap/>
            <w:vAlign w:val="center"/>
            <w:hideMark/>
          </w:tcPr>
          <w:p w14:paraId="0BD8FD5C"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$1,661,298</w:t>
            </w:r>
          </w:p>
        </w:tc>
        <w:tc>
          <w:tcPr>
            <w:tcW w:w="900" w:type="dxa"/>
            <w:tcBorders>
              <w:top w:val="nil"/>
              <w:left w:val="nil"/>
              <w:bottom w:val="single" w:sz="4" w:space="0" w:color="auto"/>
              <w:right w:val="single" w:sz="4" w:space="0" w:color="auto"/>
            </w:tcBorders>
            <w:shd w:val="clear" w:color="auto" w:fill="auto"/>
            <w:noWrap/>
            <w:vAlign w:val="center"/>
            <w:hideMark/>
          </w:tcPr>
          <w:p w14:paraId="1E7C6E4B"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10,555</w:t>
            </w:r>
          </w:p>
        </w:tc>
        <w:tc>
          <w:tcPr>
            <w:tcW w:w="1080" w:type="dxa"/>
            <w:tcBorders>
              <w:top w:val="nil"/>
              <w:left w:val="nil"/>
              <w:bottom w:val="single" w:sz="4" w:space="0" w:color="auto"/>
              <w:right w:val="single" w:sz="4" w:space="0" w:color="auto"/>
            </w:tcBorders>
            <w:shd w:val="clear" w:color="auto" w:fill="auto"/>
            <w:noWrap/>
            <w:vAlign w:val="center"/>
            <w:hideMark/>
          </w:tcPr>
          <w:p w14:paraId="269FEBBE"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$2,053,378</w:t>
            </w:r>
          </w:p>
        </w:tc>
        <w:tc>
          <w:tcPr>
            <w:tcW w:w="810" w:type="dxa"/>
            <w:tcBorders>
              <w:top w:val="nil"/>
              <w:left w:val="nil"/>
              <w:bottom w:val="single" w:sz="4" w:space="0" w:color="auto"/>
              <w:right w:val="single" w:sz="4" w:space="0" w:color="auto"/>
            </w:tcBorders>
            <w:shd w:val="clear" w:color="auto" w:fill="auto"/>
            <w:noWrap/>
            <w:vAlign w:val="center"/>
            <w:hideMark/>
          </w:tcPr>
          <w:p w14:paraId="6023B036"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10,831</w:t>
            </w:r>
          </w:p>
        </w:tc>
        <w:tc>
          <w:tcPr>
            <w:tcW w:w="1080" w:type="dxa"/>
            <w:tcBorders>
              <w:top w:val="nil"/>
              <w:left w:val="nil"/>
              <w:bottom w:val="single" w:sz="4" w:space="0" w:color="auto"/>
              <w:right w:val="single" w:sz="4" w:space="0" w:color="auto"/>
            </w:tcBorders>
            <w:shd w:val="clear" w:color="auto" w:fill="auto"/>
            <w:noWrap/>
            <w:vAlign w:val="center"/>
            <w:hideMark/>
          </w:tcPr>
          <w:p w14:paraId="542BFFCD"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$2,809,989</w:t>
            </w:r>
          </w:p>
        </w:tc>
        <w:tc>
          <w:tcPr>
            <w:tcW w:w="810" w:type="dxa"/>
            <w:tcBorders>
              <w:top w:val="nil"/>
              <w:left w:val="nil"/>
              <w:bottom w:val="single" w:sz="4" w:space="0" w:color="auto"/>
              <w:right w:val="single" w:sz="4" w:space="0" w:color="auto"/>
            </w:tcBorders>
            <w:shd w:val="clear" w:color="auto" w:fill="auto"/>
            <w:noWrap/>
            <w:vAlign w:val="center"/>
            <w:hideMark/>
          </w:tcPr>
          <w:p w14:paraId="370142CD"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11,816</w:t>
            </w:r>
          </w:p>
        </w:tc>
      </w:tr>
      <w:tr w:rsidR="00FF0917" w:rsidRPr="00F662E0" w14:paraId="32C494BA" w14:textId="77777777" w:rsidTr="006B5573">
        <w:trPr>
          <w:trHeight w:val="25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A55ED01"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Shared NOL</w:t>
            </w:r>
          </w:p>
        </w:tc>
        <w:tc>
          <w:tcPr>
            <w:tcW w:w="990" w:type="dxa"/>
            <w:tcBorders>
              <w:top w:val="nil"/>
              <w:left w:val="nil"/>
              <w:bottom w:val="single" w:sz="4" w:space="0" w:color="auto"/>
              <w:right w:val="single" w:sz="4" w:space="0" w:color="auto"/>
            </w:tcBorders>
            <w:shd w:val="clear" w:color="auto" w:fill="auto"/>
            <w:noWrap/>
            <w:vAlign w:val="center"/>
            <w:hideMark/>
          </w:tcPr>
          <w:p w14:paraId="5D722AA9"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$48,246</w:t>
            </w:r>
          </w:p>
        </w:tc>
        <w:tc>
          <w:tcPr>
            <w:tcW w:w="900" w:type="dxa"/>
            <w:tcBorders>
              <w:top w:val="nil"/>
              <w:left w:val="nil"/>
              <w:bottom w:val="single" w:sz="4" w:space="0" w:color="auto"/>
              <w:right w:val="single" w:sz="4" w:space="0" w:color="auto"/>
            </w:tcBorders>
            <w:shd w:val="clear" w:color="auto" w:fill="auto"/>
            <w:noWrap/>
            <w:vAlign w:val="center"/>
            <w:hideMark/>
          </w:tcPr>
          <w:p w14:paraId="7FDB736D"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263</w:t>
            </w:r>
          </w:p>
        </w:tc>
        <w:tc>
          <w:tcPr>
            <w:tcW w:w="1080" w:type="dxa"/>
            <w:tcBorders>
              <w:top w:val="nil"/>
              <w:left w:val="nil"/>
              <w:bottom w:val="single" w:sz="4" w:space="0" w:color="auto"/>
              <w:right w:val="single" w:sz="4" w:space="0" w:color="auto"/>
            </w:tcBorders>
            <w:shd w:val="clear" w:color="auto" w:fill="auto"/>
            <w:noWrap/>
            <w:vAlign w:val="center"/>
            <w:hideMark/>
          </w:tcPr>
          <w:p w14:paraId="20E81B3B"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$25,298</w:t>
            </w:r>
          </w:p>
        </w:tc>
        <w:tc>
          <w:tcPr>
            <w:tcW w:w="900" w:type="dxa"/>
            <w:tcBorders>
              <w:top w:val="nil"/>
              <w:left w:val="nil"/>
              <w:bottom w:val="single" w:sz="4" w:space="0" w:color="auto"/>
              <w:right w:val="single" w:sz="4" w:space="0" w:color="auto"/>
            </w:tcBorders>
            <w:shd w:val="clear" w:color="auto" w:fill="auto"/>
            <w:noWrap/>
            <w:vAlign w:val="center"/>
            <w:hideMark/>
          </w:tcPr>
          <w:p w14:paraId="03695904"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180</w:t>
            </w:r>
          </w:p>
        </w:tc>
        <w:tc>
          <w:tcPr>
            <w:tcW w:w="1080" w:type="dxa"/>
            <w:tcBorders>
              <w:top w:val="nil"/>
              <w:left w:val="nil"/>
              <w:bottom w:val="single" w:sz="4" w:space="0" w:color="auto"/>
              <w:right w:val="single" w:sz="4" w:space="0" w:color="auto"/>
            </w:tcBorders>
            <w:shd w:val="clear" w:color="auto" w:fill="auto"/>
            <w:noWrap/>
            <w:vAlign w:val="center"/>
            <w:hideMark/>
          </w:tcPr>
          <w:p w14:paraId="7B8892DD"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$33,689</w:t>
            </w:r>
          </w:p>
        </w:tc>
        <w:tc>
          <w:tcPr>
            <w:tcW w:w="810" w:type="dxa"/>
            <w:tcBorders>
              <w:top w:val="nil"/>
              <w:left w:val="nil"/>
              <w:bottom w:val="single" w:sz="4" w:space="0" w:color="auto"/>
              <w:right w:val="single" w:sz="4" w:space="0" w:color="auto"/>
            </w:tcBorders>
            <w:shd w:val="clear" w:color="auto" w:fill="auto"/>
            <w:noWrap/>
            <w:vAlign w:val="center"/>
            <w:hideMark/>
          </w:tcPr>
          <w:p w14:paraId="41773321"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184</w:t>
            </w:r>
          </w:p>
        </w:tc>
        <w:tc>
          <w:tcPr>
            <w:tcW w:w="1080" w:type="dxa"/>
            <w:tcBorders>
              <w:top w:val="nil"/>
              <w:left w:val="nil"/>
              <w:bottom w:val="single" w:sz="4" w:space="0" w:color="auto"/>
              <w:right w:val="single" w:sz="4" w:space="0" w:color="auto"/>
            </w:tcBorders>
            <w:shd w:val="clear" w:color="auto" w:fill="auto"/>
            <w:noWrap/>
            <w:vAlign w:val="center"/>
            <w:hideMark/>
          </w:tcPr>
          <w:p w14:paraId="14F142CC"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$111,551</w:t>
            </w:r>
          </w:p>
        </w:tc>
        <w:tc>
          <w:tcPr>
            <w:tcW w:w="810" w:type="dxa"/>
            <w:tcBorders>
              <w:top w:val="nil"/>
              <w:left w:val="nil"/>
              <w:bottom w:val="single" w:sz="4" w:space="0" w:color="auto"/>
              <w:right w:val="single" w:sz="4" w:space="0" w:color="auto"/>
            </w:tcBorders>
            <w:shd w:val="clear" w:color="auto" w:fill="auto"/>
            <w:noWrap/>
            <w:vAlign w:val="center"/>
            <w:hideMark/>
          </w:tcPr>
          <w:p w14:paraId="069C3C5E"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368</w:t>
            </w:r>
          </w:p>
        </w:tc>
      </w:tr>
      <w:tr w:rsidR="00FF0917" w:rsidRPr="00F662E0" w14:paraId="29E35D8A" w14:textId="77777777" w:rsidTr="006B5573">
        <w:trPr>
          <w:trHeight w:val="46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A8A6E59"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Total</w:t>
            </w:r>
          </w:p>
        </w:tc>
        <w:tc>
          <w:tcPr>
            <w:tcW w:w="990" w:type="dxa"/>
            <w:tcBorders>
              <w:top w:val="nil"/>
              <w:left w:val="nil"/>
              <w:bottom w:val="single" w:sz="4" w:space="0" w:color="auto"/>
              <w:right w:val="single" w:sz="4" w:space="0" w:color="auto"/>
            </w:tcBorders>
            <w:shd w:val="clear" w:color="auto" w:fill="auto"/>
            <w:noWrap/>
            <w:vAlign w:val="center"/>
            <w:hideMark/>
          </w:tcPr>
          <w:p w14:paraId="6BB830CF"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$1,677,493</w:t>
            </w:r>
          </w:p>
        </w:tc>
        <w:tc>
          <w:tcPr>
            <w:tcW w:w="900" w:type="dxa"/>
            <w:tcBorders>
              <w:top w:val="nil"/>
              <w:left w:val="nil"/>
              <w:bottom w:val="single" w:sz="4" w:space="0" w:color="auto"/>
              <w:right w:val="single" w:sz="4" w:space="0" w:color="auto"/>
            </w:tcBorders>
            <w:shd w:val="clear" w:color="auto" w:fill="auto"/>
            <w:noWrap/>
            <w:vAlign w:val="center"/>
            <w:hideMark/>
          </w:tcPr>
          <w:p w14:paraId="1435654C"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11,395</w:t>
            </w:r>
          </w:p>
        </w:tc>
        <w:tc>
          <w:tcPr>
            <w:tcW w:w="1080" w:type="dxa"/>
            <w:tcBorders>
              <w:top w:val="nil"/>
              <w:left w:val="nil"/>
              <w:bottom w:val="single" w:sz="4" w:space="0" w:color="auto"/>
              <w:right w:val="single" w:sz="4" w:space="0" w:color="auto"/>
            </w:tcBorders>
            <w:shd w:val="clear" w:color="auto" w:fill="auto"/>
            <w:noWrap/>
            <w:vAlign w:val="center"/>
            <w:hideMark/>
          </w:tcPr>
          <w:p w14:paraId="5F7BBDE5"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$1,686,596</w:t>
            </w:r>
          </w:p>
        </w:tc>
        <w:tc>
          <w:tcPr>
            <w:tcW w:w="900" w:type="dxa"/>
            <w:tcBorders>
              <w:top w:val="nil"/>
              <w:left w:val="nil"/>
              <w:bottom w:val="single" w:sz="4" w:space="0" w:color="auto"/>
              <w:right w:val="single" w:sz="4" w:space="0" w:color="auto"/>
            </w:tcBorders>
            <w:shd w:val="clear" w:color="auto" w:fill="auto"/>
            <w:noWrap/>
            <w:vAlign w:val="center"/>
            <w:hideMark/>
          </w:tcPr>
          <w:p w14:paraId="2930D741"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10,735</w:t>
            </w:r>
          </w:p>
        </w:tc>
        <w:tc>
          <w:tcPr>
            <w:tcW w:w="1080" w:type="dxa"/>
            <w:tcBorders>
              <w:top w:val="nil"/>
              <w:left w:val="nil"/>
              <w:bottom w:val="single" w:sz="4" w:space="0" w:color="auto"/>
              <w:right w:val="single" w:sz="4" w:space="0" w:color="auto"/>
            </w:tcBorders>
            <w:shd w:val="clear" w:color="auto" w:fill="auto"/>
            <w:noWrap/>
            <w:vAlign w:val="center"/>
            <w:hideMark/>
          </w:tcPr>
          <w:p w14:paraId="51BEA304"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$2,087,067</w:t>
            </w:r>
          </w:p>
        </w:tc>
        <w:tc>
          <w:tcPr>
            <w:tcW w:w="810" w:type="dxa"/>
            <w:tcBorders>
              <w:top w:val="nil"/>
              <w:left w:val="nil"/>
              <w:bottom w:val="single" w:sz="4" w:space="0" w:color="auto"/>
              <w:right w:val="single" w:sz="4" w:space="0" w:color="auto"/>
            </w:tcBorders>
            <w:shd w:val="clear" w:color="auto" w:fill="auto"/>
            <w:noWrap/>
            <w:vAlign w:val="center"/>
            <w:hideMark/>
          </w:tcPr>
          <w:p w14:paraId="1980B875"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11,015</w:t>
            </w:r>
          </w:p>
        </w:tc>
        <w:tc>
          <w:tcPr>
            <w:tcW w:w="1080" w:type="dxa"/>
            <w:tcBorders>
              <w:top w:val="nil"/>
              <w:left w:val="nil"/>
              <w:bottom w:val="single" w:sz="4" w:space="0" w:color="auto"/>
              <w:right w:val="single" w:sz="4" w:space="0" w:color="auto"/>
            </w:tcBorders>
            <w:shd w:val="clear" w:color="auto" w:fill="auto"/>
            <w:noWrap/>
            <w:vAlign w:val="center"/>
            <w:hideMark/>
          </w:tcPr>
          <w:p w14:paraId="7A311879" w14:textId="77777777" w:rsidR="00F662E0" w:rsidRPr="00F662E0" w:rsidRDefault="00F662E0" w:rsidP="00F662E0">
            <w:pPr>
              <w:spacing w:after="0" w:line="240" w:lineRule="auto"/>
              <w:jc w:val="right"/>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$2,921,541</w:t>
            </w:r>
          </w:p>
        </w:tc>
        <w:tc>
          <w:tcPr>
            <w:tcW w:w="810" w:type="dxa"/>
            <w:tcBorders>
              <w:top w:val="nil"/>
              <w:left w:val="nil"/>
              <w:bottom w:val="single" w:sz="4" w:space="0" w:color="auto"/>
              <w:right w:val="single" w:sz="4" w:space="0" w:color="auto"/>
            </w:tcBorders>
            <w:shd w:val="clear" w:color="auto" w:fill="auto"/>
            <w:noWrap/>
            <w:vAlign w:val="center"/>
            <w:hideMark/>
          </w:tcPr>
          <w:p w14:paraId="4884CE18" w14:textId="77777777" w:rsidR="00F662E0" w:rsidRPr="00F662E0" w:rsidRDefault="00F662E0" w:rsidP="00F662E0">
            <w:pPr>
              <w:spacing w:after="0" w:line="240" w:lineRule="auto"/>
              <w:jc w:val="center"/>
              <w:rPr>
                <w:rFonts w:ascii="Cambria" w:eastAsia="Times New Roman" w:hAnsi="Cambria" w:cs="Helvetica"/>
                <w:sz w:val="18"/>
                <w:szCs w:val="18"/>
                <w:lang w:eastAsia="ko-KR"/>
              </w:rPr>
            </w:pPr>
            <w:r w:rsidRPr="00F662E0">
              <w:rPr>
                <w:rFonts w:ascii="Cambria" w:eastAsia="Times New Roman" w:hAnsi="Cambria" w:cs="Helvetica"/>
                <w:sz w:val="18"/>
                <w:szCs w:val="18"/>
                <w:lang w:eastAsia="ko-KR"/>
              </w:rPr>
              <w:t>12,184</w:t>
            </w:r>
          </w:p>
        </w:tc>
      </w:tr>
      <w:tr w:rsidR="00FF0917" w:rsidRPr="00F662E0" w14:paraId="76CD2435" w14:textId="77777777" w:rsidTr="00FF0917">
        <w:trPr>
          <w:trHeight w:val="46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288436A"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Average</w:t>
            </w:r>
            <w:r w:rsidR="00FF0917">
              <w:rPr>
                <w:rFonts w:ascii="Cambria" w:eastAsia="Times New Roman" w:hAnsi="Cambria" w:cs="Helvetica"/>
                <w:sz w:val="18"/>
                <w:szCs w:val="18"/>
                <w:lang w:eastAsia="ko-KR"/>
              </w:rPr>
              <w:t xml:space="preserve"> Amount of</w:t>
            </w:r>
            <w:r>
              <w:rPr>
                <w:rFonts w:ascii="Cambria" w:eastAsia="Times New Roman" w:hAnsi="Cambria" w:cs="Helvetica"/>
                <w:sz w:val="18"/>
                <w:szCs w:val="18"/>
                <w:lang w:eastAsia="ko-KR"/>
              </w:rPr>
              <w:t xml:space="preserve"> Deduction</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14:paraId="108EE98A"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F662E0">
              <w:rPr>
                <w:rFonts w:ascii="Cambria" w:eastAsia="Times New Roman" w:hAnsi="Cambria" w:cs="Helvetica"/>
                <w:sz w:val="18"/>
                <w:szCs w:val="18"/>
                <w:lang w:eastAsia="ko-KR"/>
              </w:rPr>
              <w:t>147.2</w:t>
            </w:r>
          </w:p>
        </w:tc>
        <w:tc>
          <w:tcPr>
            <w:tcW w:w="900" w:type="dxa"/>
            <w:tcBorders>
              <w:top w:val="single" w:sz="4" w:space="0" w:color="auto"/>
              <w:left w:val="nil"/>
              <w:bottom w:val="single" w:sz="4" w:space="0" w:color="auto"/>
              <w:right w:val="single" w:sz="4" w:space="0" w:color="000000"/>
            </w:tcBorders>
            <w:shd w:val="clear" w:color="auto" w:fill="auto"/>
            <w:vAlign w:val="center"/>
          </w:tcPr>
          <w:p w14:paraId="55A2172B"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14:paraId="465FA3C3"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F662E0">
              <w:rPr>
                <w:rFonts w:ascii="Cambria" w:eastAsia="Times New Roman" w:hAnsi="Cambria" w:cs="Helvetica"/>
                <w:sz w:val="18"/>
                <w:szCs w:val="18"/>
                <w:lang w:eastAsia="ko-KR"/>
              </w:rPr>
              <w:t>157.1</w:t>
            </w:r>
          </w:p>
        </w:tc>
        <w:tc>
          <w:tcPr>
            <w:tcW w:w="900" w:type="dxa"/>
            <w:tcBorders>
              <w:top w:val="single" w:sz="4" w:space="0" w:color="auto"/>
              <w:left w:val="nil"/>
              <w:bottom w:val="single" w:sz="4" w:space="0" w:color="auto"/>
              <w:right w:val="single" w:sz="4" w:space="0" w:color="000000"/>
            </w:tcBorders>
            <w:shd w:val="clear" w:color="auto" w:fill="auto"/>
            <w:vAlign w:val="center"/>
          </w:tcPr>
          <w:p w14:paraId="5E1A5331"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14:paraId="32F67976"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F662E0">
              <w:rPr>
                <w:rFonts w:ascii="Cambria" w:eastAsia="Times New Roman" w:hAnsi="Cambria" w:cs="Helvetica"/>
                <w:sz w:val="18"/>
                <w:szCs w:val="18"/>
                <w:lang w:eastAsia="ko-KR"/>
              </w:rPr>
              <w:t>189.5</w:t>
            </w:r>
          </w:p>
        </w:tc>
        <w:tc>
          <w:tcPr>
            <w:tcW w:w="810" w:type="dxa"/>
            <w:tcBorders>
              <w:top w:val="single" w:sz="4" w:space="0" w:color="auto"/>
              <w:left w:val="nil"/>
              <w:bottom w:val="single" w:sz="4" w:space="0" w:color="auto"/>
              <w:right w:val="single" w:sz="4" w:space="0" w:color="000000"/>
            </w:tcBorders>
            <w:shd w:val="clear" w:color="auto" w:fill="auto"/>
            <w:vAlign w:val="center"/>
          </w:tcPr>
          <w:p w14:paraId="349E649B"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14:paraId="3B8665C0"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w:t>
            </w:r>
            <w:r w:rsidRPr="00F662E0">
              <w:rPr>
                <w:rFonts w:ascii="Cambria" w:eastAsia="Times New Roman" w:hAnsi="Cambria" w:cs="Helvetica"/>
                <w:sz w:val="18"/>
                <w:szCs w:val="18"/>
                <w:lang w:eastAsia="ko-KR"/>
              </w:rPr>
              <w:t>239.8</w:t>
            </w:r>
          </w:p>
        </w:tc>
        <w:tc>
          <w:tcPr>
            <w:tcW w:w="810" w:type="dxa"/>
            <w:tcBorders>
              <w:top w:val="single" w:sz="4" w:space="0" w:color="auto"/>
              <w:left w:val="nil"/>
              <w:bottom w:val="single" w:sz="4" w:space="0" w:color="auto"/>
              <w:right w:val="single" w:sz="4" w:space="0" w:color="000000"/>
            </w:tcBorders>
            <w:shd w:val="clear" w:color="auto" w:fill="auto"/>
            <w:vAlign w:val="center"/>
          </w:tcPr>
          <w:p w14:paraId="2DFA4F9E" w14:textId="77777777" w:rsidR="00D3039D" w:rsidRPr="00F662E0" w:rsidRDefault="00D3039D" w:rsidP="00F662E0">
            <w:pPr>
              <w:spacing w:after="0" w:line="240" w:lineRule="auto"/>
              <w:jc w:val="center"/>
              <w:rPr>
                <w:rFonts w:ascii="Cambria" w:eastAsia="Times New Roman" w:hAnsi="Cambria" w:cs="Helvetica"/>
                <w:sz w:val="18"/>
                <w:szCs w:val="18"/>
                <w:lang w:eastAsia="ko-KR"/>
              </w:rPr>
            </w:pPr>
            <w:r>
              <w:rPr>
                <w:rFonts w:ascii="Cambria" w:eastAsia="Times New Roman" w:hAnsi="Cambria" w:cs="Helvetica"/>
                <w:sz w:val="18"/>
                <w:szCs w:val="18"/>
                <w:lang w:eastAsia="ko-KR"/>
              </w:rPr>
              <w:t>NA</w:t>
            </w:r>
          </w:p>
        </w:tc>
      </w:tr>
    </w:tbl>
    <w:p w14:paraId="36F2EDDB" w14:textId="77777777" w:rsidR="00A30CE8" w:rsidRPr="00CB2992" w:rsidRDefault="00A30CE8" w:rsidP="00A30CE8">
      <w:pPr>
        <w:spacing w:after="0"/>
        <w:rPr>
          <w:rFonts w:asciiTheme="majorHAnsi" w:hAnsiTheme="majorHAnsi"/>
          <w:bCs/>
          <w:sz w:val="16"/>
          <w:szCs w:val="16"/>
        </w:rPr>
      </w:pPr>
      <w:r w:rsidRPr="00CB2992">
        <w:rPr>
          <w:rFonts w:asciiTheme="majorHAnsi" w:hAnsiTheme="majorHAnsi"/>
          <w:bCs/>
          <w:sz w:val="16"/>
          <w:szCs w:val="16"/>
        </w:rPr>
        <w:t xml:space="preserve">Source: Massachusetts Department of Revenue. </w:t>
      </w:r>
    </w:p>
    <w:p w14:paraId="209BB3EA" w14:textId="77777777" w:rsidR="00D3039D" w:rsidRDefault="00A30CE8" w:rsidP="00646B09">
      <w:pPr>
        <w:spacing w:after="0"/>
        <w:rPr>
          <w:rFonts w:asciiTheme="majorHAnsi" w:hAnsiTheme="majorHAnsi"/>
          <w:bCs/>
          <w:sz w:val="16"/>
          <w:szCs w:val="16"/>
        </w:rPr>
      </w:pPr>
      <w:r w:rsidRPr="00CB2992">
        <w:rPr>
          <w:rFonts w:asciiTheme="majorHAnsi" w:hAnsiTheme="majorHAnsi"/>
          <w:bCs/>
          <w:sz w:val="16"/>
          <w:szCs w:val="16"/>
        </w:rPr>
        <w:t>Note</w:t>
      </w:r>
      <w:r w:rsidR="00C41665" w:rsidRPr="00CB2992">
        <w:rPr>
          <w:rFonts w:asciiTheme="majorHAnsi" w:hAnsiTheme="majorHAnsi"/>
          <w:bCs/>
          <w:sz w:val="16"/>
          <w:szCs w:val="16"/>
        </w:rPr>
        <w:t>s</w:t>
      </w:r>
      <w:r w:rsidRPr="00CB2992">
        <w:rPr>
          <w:rFonts w:asciiTheme="majorHAnsi" w:hAnsiTheme="majorHAnsi"/>
          <w:bCs/>
          <w:sz w:val="16"/>
          <w:szCs w:val="16"/>
        </w:rPr>
        <w:t xml:space="preserve">: </w:t>
      </w:r>
      <w:r w:rsidR="00C41665" w:rsidRPr="00CB2992">
        <w:rPr>
          <w:rFonts w:asciiTheme="majorHAnsi" w:hAnsiTheme="majorHAnsi"/>
          <w:bCs/>
          <w:sz w:val="16"/>
          <w:szCs w:val="16"/>
        </w:rPr>
        <w:t xml:space="preserve">1. </w:t>
      </w:r>
      <w:r w:rsidR="00926820" w:rsidRPr="00CB2992">
        <w:rPr>
          <w:rFonts w:asciiTheme="majorHAnsi" w:hAnsiTheme="majorHAnsi"/>
          <w:bCs/>
          <w:sz w:val="16"/>
          <w:szCs w:val="16"/>
        </w:rPr>
        <w:t xml:space="preserve">2017 and </w:t>
      </w:r>
      <w:r w:rsidR="000C7A30" w:rsidRPr="00CB2992">
        <w:rPr>
          <w:rFonts w:asciiTheme="majorHAnsi" w:hAnsiTheme="majorHAnsi"/>
          <w:bCs/>
          <w:sz w:val="16"/>
          <w:szCs w:val="16"/>
        </w:rPr>
        <w:t xml:space="preserve">2018 data are preliminary and subject to </w:t>
      </w:r>
      <w:r w:rsidR="00D3039D">
        <w:rPr>
          <w:rFonts w:asciiTheme="majorHAnsi" w:hAnsiTheme="majorHAnsi"/>
          <w:bCs/>
          <w:sz w:val="16"/>
          <w:szCs w:val="16"/>
        </w:rPr>
        <w:t>change</w:t>
      </w:r>
      <w:r w:rsidRPr="00CB2992">
        <w:rPr>
          <w:rFonts w:asciiTheme="majorHAnsi" w:hAnsiTheme="majorHAnsi"/>
          <w:bCs/>
          <w:sz w:val="16"/>
          <w:szCs w:val="16"/>
        </w:rPr>
        <w:t xml:space="preserve">. </w:t>
      </w:r>
    </w:p>
    <w:p w14:paraId="1051EB2E" w14:textId="77777777" w:rsidR="00A30CE8" w:rsidRDefault="00D3039D" w:rsidP="00646B09">
      <w:pPr>
        <w:spacing w:after="0"/>
        <w:rPr>
          <w:rFonts w:asciiTheme="majorHAnsi" w:hAnsiTheme="majorHAnsi"/>
          <w:bCs/>
          <w:sz w:val="16"/>
          <w:szCs w:val="16"/>
        </w:rPr>
      </w:pPr>
      <w:r>
        <w:rPr>
          <w:rFonts w:asciiTheme="majorHAnsi" w:hAnsiTheme="majorHAnsi"/>
          <w:bCs/>
          <w:sz w:val="16"/>
          <w:szCs w:val="16"/>
        </w:rPr>
        <w:t xml:space="preserve">             </w:t>
      </w:r>
      <w:r w:rsidR="00C41665" w:rsidRPr="00CB2992">
        <w:rPr>
          <w:rFonts w:asciiTheme="majorHAnsi" w:hAnsiTheme="majorHAnsi"/>
          <w:bCs/>
          <w:sz w:val="16"/>
          <w:szCs w:val="16"/>
        </w:rPr>
        <w:t xml:space="preserve">2. The count is </w:t>
      </w:r>
      <w:r>
        <w:rPr>
          <w:rFonts w:asciiTheme="majorHAnsi" w:hAnsiTheme="majorHAnsi"/>
          <w:bCs/>
          <w:sz w:val="16"/>
          <w:szCs w:val="16"/>
        </w:rPr>
        <w:t xml:space="preserve">the </w:t>
      </w:r>
      <w:r w:rsidR="00C41665" w:rsidRPr="00CB2992">
        <w:rPr>
          <w:rFonts w:asciiTheme="majorHAnsi" w:hAnsiTheme="majorHAnsi"/>
          <w:bCs/>
          <w:sz w:val="16"/>
          <w:szCs w:val="16"/>
        </w:rPr>
        <w:t xml:space="preserve">number of claims, not </w:t>
      </w:r>
      <w:r>
        <w:rPr>
          <w:rFonts w:asciiTheme="majorHAnsi" w:hAnsiTheme="majorHAnsi"/>
          <w:bCs/>
          <w:sz w:val="16"/>
          <w:szCs w:val="16"/>
        </w:rPr>
        <w:t xml:space="preserve">the </w:t>
      </w:r>
      <w:r w:rsidR="00C41665" w:rsidRPr="00CB2992">
        <w:rPr>
          <w:rFonts w:asciiTheme="majorHAnsi" w:hAnsiTheme="majorHAnsi"/>
          <w:bCs/>
          <w:sz w:val="16"/>
          <w:szCs w:val="16"/>
        </w:rPr>
        <w:t xml:space="preserve">number of claimants. </w:t>
      </w:r>
      <w:r>
        <w:rPr>
          <w:rFonts w:asciiTheme="majorHAnsi" w:hAnsiTheme="majorHAnsi"/>
          <w:bCs/>
          <w:sz w:val="16"/>
          <w:szCs w:val="16"/>
        </w:rPr>
        <w:t>The n</w:t>
      </w:r>
      <w:r w:rsidR="00127183" w:rsidRPr="00CB2992">
        <w:rPr>
          <w:rFonts w:asciiTheme="majorHAnsi" w:hAnsiTheme="majorHAnsi"/>
          <w:bCs/>
          <w:sz w:val="16"/>
          <w:szCs w:val="16"/>
        </w:rPr>
        <w:t xml:space="preserve">umber of claims is either </w:t>
      </w:r>
      <w:r>
        <w:rPr>
          <w:rFonts w:asciiTheme="majorHAnsi" w:hAnsiTheme="majorHAnsi"/>
          <w:bCs/>
          <w:sz w:val="16"/>
          <w:szCs w:val="16"/>
        </w:rPr>
        <w:t xml:space="preserve">the </w:t>
      </w:r>
      <w:r w:rsidR="00127183" w:rsidRPr="00CB2992">
        <w:rPr>
          <w:rFonts w:asciiTheme="majorHAnsi" w:hAnsiTheme="majorHAnsi"/>
          <w:bCs/>
          <w:sz w:val="16"/>
          <w:szCs w:val="16"/>
        </w:rPr>
        <w:t xml:space="preserve">same as or slightly higher than </w:t>
      </w:r>
      <w:r>
        <w:rPr>
          <w:rFonts w:asciiTheme="majorHAnsi" w:hAnsiTheme="majorHAnsi"/>
          <w:bCs/>
          <w:sz w:val="16"/>
          <w:szCs w:val="16"/>
        </w:rPr>
        <w:t xml:space="preserve">the </w:t>
      </w:r>
      <w:r w:rsidR="00127183" w:rsidRPr="00CB2992">
        <w:rPr>
          <w:rFonts w:asciiTheme="majorHAnsi" w:hAnsiTheme="majorHAnsi"/>
          <w:bCs/>
          <w:sz w:val="16"/>
          <w:szCs w:val="16"/>
        </w:rPr>
        <w:t>number of claimants</w:t>
      </w:r>
      <w:r w:rsidR="009A06D8">
        <w:rPr>
          <w:rFonts w:asciiTheme="majorHAnsi" w:hAnsiTheme="majorHAnsi"/>
          <w:bCs/>
          <w:sz w:val="16"/>
          <w:szCs w:val="16"/>
        </w:rPr>
        <w:t>, as discussed in footnote 1</w:t>
      </w:r>
      <w:r w:rsidR="00127183" w:rsidRPr="00CB2992">
        <w:rPr>
          <w:rFonts w:asciiTheme="majorHAnsi" w:hAnsiTheme="majorHAnsi"/>
          <w:bCs/>
          <w:sz w:val="16"/>
          <w:szCs w:val="16"/>
        </w:rPr>
        <w:t>.</w:t>
      </w:r>
    </w:p>
    <w:p w14:paraId="31B80F04" w14:textId="77777777" w:rsidR="00D3039D" w:rsidRPr="00D3039D" w:rsidRDefault="00D3039D" w:rsidP="00646B09">
      <w:pPr>
        <w:spacing w:after="0"/>
        <w:rPr>
          <w:rFonts w:asciiTheme="majorHAnsi" w:hAnsiTheme="majorHAnsi"/>
          <w:b/>
          <w:sz w:val="16"/>
          <w:szCs w:val="16"/>
        </w:rPr>
      </w:pPr>
      <w:r w:rsidRPr="00D3039D">
        <w:rPr>
          <w:rFonts w:asciiTheme="majorHAnsi" w:hAnsiTheme="majorHAnsi"/>
          <w:bCs/>
          <w:sz w:val="16"/>
          <w:szCs w:val="16"/>
        </w:rPr>
        <w:t xml:space="preserve">             3. </w:t>
      </w:r>
      <w:r w:rsidRPr="006B5573">
        <w:rPr>
          <w:rFonts w:asciiTheme="majorHAnsi" w:hAnsiTheme="majorHAnsi"/>
          <w:bCs/>
          <w:sz w:val="16"/>
          <w:szCs w:val="16"/>
        </w:rPr>
        <w:t>“NA” means not applicable.</w:t>
      </w:r>
    </w:p>
    <w:p w14:paraId="7D24D4FB" w14:textId="77777777" w:rsidR="00A55220" w:rsidRDefault="00A55220" w:rsidP="00646B09">
      <w:pPr>
        <w:spacing w:after="0"/>
        <w:rPr>
          <w:rFonts w:asciiTheme="majorHAnsi" w:hAnsiTheme="majorHAnsi"/>
          <w:bCs/>
          <w:sz w:val="24"/>
          <w:szCs w:val="24"/>
        </w:rPr>
      </w:pPr>
    </w:p>
    <w:p w14:paraId="090B9ACC" w14:textId="77777777" w:rsidR="003E0D57" w:rsidRPr="003E0D57" w:rsidRDefault="003E0D57" w:rsidP="003E0D57">
      <w:pPr>
        <w:spacing w:after="0"/>
        <w:rPr>
          <w:rFonts w:asciiTheme="majorHAnsi" w:eastAsiaTheme="majorEastAsia" w:hAnsiTheme="majorHAnsi" w:cstheme="majorBidi"/>
          <w:bCs/>
          <w:color w:val="000000" w:themeColor="text1"/>
          <w:sz w:val="24"/>
          <w:szCs w:val="24"/>
        </w:rPr>
      </w:pPr>
    </w:p>
    <w:p w14:paraId="1D3E3018" w14:textId="77777777" w:rsidR="005529C5" w:rsidRDefault="0008594B" w:rsidP="006A2235">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DIRECT</w:t>
      </w:r>
      <w:r w:rsidRPr="005529C5">
        <w:rPr>
          <w:rFonts w:asciiTheme="majorHAnsi" w:hAnsiTheme="majorHAnsi"/>
          <w:b/>
          <w:color w:val="E36C0A" w:themeColor="accent6" w:themeShade="BF"/>
          <w:sz w:val="28"/>
          <w:szCs w:val="28"/>
        </w:rPr>
        <w:t xml:space="preserve"> </w:t>
      </w:r>
      <w:r w:rsidR="005529C5" w:rsidRPr="005529C5">
        <w:rPr>
          <w:rFonts w:asciiTheme="majorHAnsi" w:hAnsiTheme="majorHAnsi"/>
          <w:b/>
          <w:color w:val="E36C0A" w:themeColor="accent6" w:themeShade="BF"/>
          <w:sz w:val="28"/>
          <w:szCs w:val="28"/>
        </w:rPr>
        <w:t>BENEFITS</w:t>
      </w:r>
    </w:p>
    <w:p w14:paraId="75C7D418" w14:textId="77777777" w:rsidR="008C5F0C" w:rsidRDefault="00C80216" w:rsidP="000D0633">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Direct </w:t>
      </w:r>
      <w:r w:rsidR="00E46013" w:rsidRPr="004A1F65">
        <w:rPr>
          <w:rFonts w:asciiTheme="majorHAnsi" w:eastAsiaTheme="majorEastAsia" w:hAnsiTheme="majorHAnsi" w:cstheme="majorBidi"/>
          <w:bCs/>
          <w:color w:val="000000" w:themeColor="text1"/>
          <w:sz w:val="24"/>
          <w:szCs w:val="24"/>
        </w:rPr>
        <w:t xml:space="preserve">beneficiaries of the deduction are </w:t>
      </w:r>
      <w:r w:rsidR="00E46013">
        <w:rPr>
          <w:rFonts w:asciiTheme="majorHAnsi" w:eastAsiaTheme="majorEastAsia" w:hAnsiTheme="majorHAnsi" w:cstheme="majorBidi"/>
          <w:bCs/>
          <w:color w:val="000000" w:themeColor="text1"/>
          <w:sz w:val="24"/>
          <w:szCs w:val="24"/>
        </w:rPr>
        <w:t>c</w:t>
      </w:r>
      <w:r w:rsidR="00E46013" w:rsidRPr="004A1F65">
        <w:rPr>
          <w:rFonts w:asciiTheme="majorHAnsi" w:eastAsiaTheme="majorEastAsia" w:hAnsiTheme="majorHAnsi" w:cstheme="majorBidi"/>
          <w:bCs/>
          <w:color w:val="000000" w:themeColor="text1"/>
          <w:sz w:val="24"/>
          <w:szCs w:val="24"/>
        </w:rPr>
        <w:t xml:space="preserve">orporations that </w:t>
      </w:r>
      <w:r w:rsidR="00E46013">
        <w:rPr>
          <w:rFonts w:asciiTheme="majorHAnsi" w:eastAsiaTheme="majorEastAsia" w:hAnsiTheme="majorHAnsi" w:cstheme="majorBidi"/>
          <w:bCs/>
          <w:color w:val="000000" w:themeColor="text1"/>
          <w:sz w:val="24"/>
          <w:szCs w:val="24"/>
        </w:rPr>
        <w:t>conduct</w:t>
      </w:r>
      <w:r w:rsidR="00E46013" w:rsidRPr="004A1F65">
        <w:rPr>
          <w:rFonts w:asciiTheme="majorHAnsi" w:eastAsiaTheme="majorEastAsia" w:hAnsiTheme="majorHAnsi" w:cstheme="majorBidi"/>
          <w:bCs/>
          <w:color w:val="000000" w:themeColor="text1"/>
          <w:sz w:val="24"/>
          <w:szCs w:val="24"/>
        </w:rPr>
        <w:t xml:space="preserve"> business in </w:t>
      </w:r>
      <w:r w:rsidR="00E46013">
        <w:rPr>
          <w:rFonts w:asciiTheme="majorHAnsi" w:eastAsiaTheme="majorEastAsia" w:hAnsiTheme="majorHAnsi" w:cstheme="majorBidi"/>
          <w:bCs/>
          <w:color w:val="000000" w:themeColor="text1"/>
          <w:sz w:val="24"/>
          <w:szCs w:val="24"/>
        </w:rPr>
        <w:t>Massachusetts</w:t>
      </w:r>
      <w:r w:rsidR="00E46013" w:rsidRPr="004A1F65">
        <w:rPr>
          <w:rFonts w:asciiTheme="majorHAnsi" w:eastAsiaTheme="majorEastAsia" w:hAnsiTheme="majorHAnsi" w:cstheme="majorBidi"/>
          <w:bCs/>
          <w:color w:val="000000" w:themeColor="text1"/>
          <w:sz w:val="24"/>
          <w:szCs w:val="24"/>
        </w:rPr>
        <w:t xml:space="preserve"> and have net operating losses in some years. Because it is common for corporations to incur losses in some years with the expectation of </w:t>
      </w:r>
      <w:r w:rsidR="00775E0F">
        <w:rPr>
          <w:rFonts w:asciiTheme="majorHAnsi" w:eastAsiaTheme="majorEastAsia" w:hAnsiTheme="majorHAnsi" w:cstheme="majorBidi"/>
          <w:bCs/>
          <w:color w:val="000000" w:themeColor="text1"/>
          <w:sz w:val="24"/>
          <w:szCs w:val="24"/>
        </w:rPr>
        <w:t>profits</w:t>
      </w:r>
      <w:r w:rsidR="00775E0F" w:rsidRPr="004A1F65">
        <w:rPr>
          <w:rFonts w:asciiTheme="majorHAnsi" w:eastAsiaTheme="majorEastAsia" w:hAnsiTheme="majorHAnsi" w:cstheme="majorBidi"/>
          <w:bCs/>
          <w:color w:val="000000" w:themeColor="text1"/>
          <w:sz w:val="24"/>
          <w:szCs w:val="24"/>
        </w:rPr>
        <w:t xml:space="preserve"> </w:t>
      </w:r>
      <w:r w:rsidR="00E46013" w:rsidRPr="004A1F65">
        <w:rPr>
          <w:rFonts w:asciiTheme="majorHAnsi" w:eastAsiaTheme="majorEastAsia" w:hAnsiTheme="majorHAnsi" w:cstheme="majorBidi"/>
          <w:bCs/>
          <w:color w:val="000000" w:themeColor="text1"/>
          <w:sz w:val="24"/>
          <w:szCs w:val="24"/>
        </w:rPr>
        <w:t>in future years, the deduction applies to a broad range of businesses in the state.</w:t>
      </w:r>
      <w:r w:rsidR="00E46013">
        <w:rPr>
          <w:rFonts w:asciiTheme="majorHAnsi" w:eastAsiaTheme="majorEastAsia" w:hAnsiTheme="majorHAnsi" w:cstheme="majorBidi"/>
          <w:bCs/>
          <w:color w:val="000000" w:themeColor="text1"/>
          <w:sz w:val="24"/>
          <w:szCs w:val="24"/>
        </w:rPr>
        <w:t xml:space="preserve"> </w:t>
      </w:r>
      <w:r w:rsidR="009C57C1">
        <w:rPr>
          <w:rFonts w:asciiTheme="majorHAnsi" w:eastAsiaTheme="majorEastAsia" w:hAnsiTheme="majorHAnsi" w:cstheme="majorBidi"/>
          <w:bCs/>
          <w:color w:val="000000" w:themeColor="text1"/>
          <w:sz w:val="24"/>
          <w:szCs w:val="24"/>
        </w:rPr>
        <w:t>T</w:t>
      </w:r>
      <w:r w:rsidR="00BE4334">
        <w:rPr>
          <w:rFonts w:asciiTheme="majorHAnsi" w:eastAsiaTheme="majorEastAsia" w:hAnsiTheme="majorHAnsi" w:cstheme="majorBidi"/>
          <w:bCs/>
          <w:color w:val="000000" w:themeColor="text1"/>
          <w:sz w:val="24"/>
          <w:szCs w:val="24"/>
        </w:rPr>
        <w:t>able</w:t>
      </w:r>
      <w:r w:rsidR="00894C03">
        <w:rPr>
          <w:rFonts w:asciiTheme="majorHAnsi" w:eastAsiaTheme="majorEastAsia" w:hAnsiTheme="majorHAnsi" w:cstheme="majorBidi"/>
          <w:bCs/>
          <w:color w:val="000000" w:themeColor="text1"/>
          <w:sz w:val="24"/>
          <w:szCs w:val="24"/>
        </w:rPr>
        <w:t>s</w:t>
      </w:r>
      <w:r w:rsidR="00BE4334">
        <w:rPr>
          <w:rFonts w:asciiTheme="majorHAnsi" w:eastAsiaTheme="majorEastAsia" w:hAnsiTheme="majorHAnsi" w:cstheme="majorBidi"/>
          <w:bCs/>
          <w:color w:val="000000" w:themeColor="text1"/>
          <w:sz w:val="24"/>
          <w:szCs w:val="24"/>
        </w:rPr>
        <w:t xml:space="preserve"> </w:t>
      </w:r>
      <w:r w:rsidR="008C5F0C">
        <w:rPr>
          <w:rFonts w:asciiTheme="majorHAnsi" w:eastAsiaTheme="majorEastAsia" w:hAnsiTheme="majorHAnsi" w:cstheme="majorBidi"/>
          <w:bCs/>
          <w:color w:val="000000" w:themeColor="text1"/>
          <w:sz w:val="24"/>
          <w:szCs w:val="24"/>
        </w:rPr>
        <w:t>5-</w:t>
      </w:r>
      <w:r w:rsidR="007A622C">
        <w:rPr>
          <w:rFonts w:asciiTheme="majorHAnsi" w:eastAsiaTheme="majorEastAsia" w:hAnsiTheme="majorHAnsi" w:cstheme="majorBidi"/>
          <w:bCs/>
          <w:color w:val="000000" w:themeColor="text1"/>
          <w:sz w:val="24"/>
          <w:szCs w:val="24"/>
        </w:rPr>
        <w:t>7</w:t>
      </w:r>
      <w:r w:rsidR="00172344">
        <w:rPr>
          <w:rFonts w:asciiTheme="majorHAnsi" w:eastAsiaTheme="majorEastAsia" w:hAnsiTheme="majorHAnsi" w:cstheme="majorBidi"/>
          <w:bCs/>
          <w:color w:val="000000" w:themeColor="text1"/>
          <w:sz w:val="24"/>
          <w:szCs w:val="24"/>
        </w:rPr>
        <w:t xml:space="preserve"> </w:t>
      </w:r>
      <w:r w:rsidR="00BE4334">
        <w:rPr>
          <w:rFonts w:asciiTheme="majorHAnsi" w:eastAsiaTheme="majorEastAsia" w:hAnsiTheme="majorHAnsi" w:cstheme="majorBidi"/>
          <w:bCs/>
          <w:color w:val="000000" w:themeColor="text1"/>
          <w:sz w:val="24"/>
          <w:szCs w:val="24"/>
        </w:rPr>
        <w:t>below show</w:t>
      </w:r>
      <w:r w:rsidR="008B6BBF">
        <w:rPr>
          <w:rFonts w:asciiTheme="majorHAnsi" w:eastAsiaTheme="majorEastAsia" w:hAnsiTheme="majorHAnsi" w:cstheme="majorBidi"/>
          <w:bCs/>
          <w:color w:val="000000" w:themeColor="text1"/>
          <w:sz w:val="24"/>
          <w:szCs w:val="24"/>
        </w:rPr>
        <w:t xml:space="preserve"> </w:t>
      </w:r>
      <w:r w:rsidR="00BE4334">
        <w:rPr>
          <w:rFonts w:asciiTheme="majorHAnsi" w:eastAsiaTheme="majorEastAsia" w:hAnsiTheme="majorHAnsi" w:cstheme="majorBidi"/>
          <w:bCs/>
          <w:color w:val="000000" w:themeColor="text1"/>
          <w:sz w:val="24"/>
          <w:szCs w:val="24"/>
        </w:rPr>
        <w:t>the profile of the corporations that claimed the deduction</w:t>
      </w:r>
      <w:r w:rsidR="007A622C">
        <w:rPr>
          <w:rFonts w:asciiTheme="majorHAnsi" w:eastAsiaTheme="majorEastAsia" w:hAnsiTheme="majorHAnsi" w:cstheme="majorBidi"/>
          <w:bCs/>
          <w:color w:val="000000" w:themeColor="text1"/>
          <w:sz w:val="24"/>
          <w:szCs w:val="24"/>
        </w:rPr>
        <w:t xml:space="preserve"> in </w:t>
      </w:r>
      <w:bookmarkStart w:id="0" w:name="_Hlk56437610"/>
      <w:r w:rsidR="007A622C">
        <w:rPr>
          <w:rFonts w:asciiTheme="majorHAnsi" w:eastAsiaTheme="majorEastAsia" w:hAnsiTheme="majorHAnsi" w:cstheme="majorBidi"/>
          <w:bCs/>
          <w:color w:val="000000" w:themeColor="text1"/>
          <w:sz w:val="24"/>
          <w:szCs w:val="24"/>
        </w:rPr>
        <w:t>tax year 2018</w:t>
      </w:r>
      <w:bookmarkEnd w:id="0"/>
      <w:r w:rsidR="00BE4334">
        <w:rPr>
          <w:rFonts w:asciiTheme="majorHAnsi" w:eastAsiaTheme="majorEastAsia" w:hAnsiTheme="majorHAnsi" w:cstheme="majorBidi"/>
          <w:bCs/>
          <w:color w:val="000000" w:themeColor="text1"/>
          <w:sz w:val="24"/>
          <w:szCs w:val="24"/>
        </w:rPr>
        <w:t xml:space="preserve">. </w:t>
      </w:r>
    </w:p>
    <w:p w14:paraId="0E209296" w14:textId="77777777" w:rsidR="008C5F0C" w:rsidRDefault="008C5F0C" w:rsidP="000D0633">
      <w:pPr>
        <w:spacing w:after="0"/>
        <w:rPr>
          <w:rFonts w:asciiTheme="majorHAnsi" w:eastAsiaTheme="majorEastAsia" w:hAnsiTheme="majorHAnsi" w:cstheme="majorBidi"/>
          <w:bCs/>
          <w:color w:val="000000" w:themeColor="text1"/>
          <w:sz w:val="24"/>
          <w:szCs w:val="24"/>
        </w:rPr>
      </w:pPr>
    </w:p>
    <w:p w14:paraId="12A42D55" w14:textId="77777777" w:rsidR="003423BC" w:rsidRDefault="00235B74" w:rsidP="005C6047">
      <w:pPr>
        <w:spacing w:after="0"/>
        <w:rPr>
          <w:rFonts w:asciiTheme="majorHAnsi" w:hAnsiTheme="majorHAnsi"/>
          <w:sz w:val="24"/>
          <w:szCs w:val="24"/>
        </w:rPr>
      </w:pPr>
      <w:r>
        <w:rPr>
          <w:rFonts w:asciiTheme="majorHAnsi" w:eastAsiaTheme="majorEastAsia" w:hAnsiTheme="majorHAnsi" w:cstheme="majorBidi"/>
          <w:bCs/>
          <w:color w:val="000000" w:themeColor="text1"/>
          <w:sz w:val="24"/>
          <w:szCs w:val="24"/>
        </w:rPr>
        <w:t xml:space="preserve">In 2018, </w:t>
      </w:r>
      <w:r w:rsidR="007117E0">
        <w:rPr>
          <w:rFonts w:asciiTheme="majorHAnsi" w:eastAsiaTheme="majorEastAsia" w:hAnsiTheme="majorHAnsi" w:cstheme="majorBidi"/>
          <w:bCs/>
          <w:color w:val="000000" w:themeColor="text1"/>
          <w:sz w:val="24"/>
          <w:szCs w:val="24"/>
        </w:rPr>
        <w:t xml:space="preserve">a total of </w:t>
      </w:r>
      <w:r w:rsidR="000D0633">
        <w:rPr>
          <w:rFonts w:asciiTheme="majorHAnsi" w:eastAsiaTheme="majorEastAsia" w:hAnsiTheme="majorHAnsi" w:cstheme="majorBidi"/>
          <w:bCs/>
          <w:color w:val="000000" w:themeColor="text1"/>
          <w:sz w:val="24"/>
          <w:szCs w:val="24"/>
        </w:rPr>
        <w:t>12,024 claimants</w:t>
      </w:r>
      <w:r w:rsidR="00822FF4">
        <w:rPr>
          <w:rStyle w:val="FootnoteReference"/>
          <w:rFonts w:asciiTheme="majorHAnsi" w:eastAsiaTheme="majorEastAsia" w:hAnsiTheme="majorHAnsi"/>
          <w:bCs/>
          <w:color w:val="000000" w:themeColor="text1"/>
          <w:sz w:val="24"/>
          <w:szCs w:val="24"/>
        </w:rPr>
        <w:footnoteReference w:id="1"/>
      </w:r>
      <w:r w:rsidR="00241A57">
        <w:rPr>
          <w:rFonts w:asciiTheme="majorHAnsi" w:eastAsiaTheme="majorEastAsia" w:hAnsiTheme="majorHAnsi" w:cstheme="majorBidi"/>
          <w:bCs/>
          <w:color w:val="000000" w:themeColor="text1"/>
          <w:sz w:val="24"/>
          <w:szCs w:val="24"/>
        </w:rPr>
        <w:t xml:space="preserve"> claimed $2.921 billion </w:t>
      </w:r>
      <w:r w:rsidR="007117E0">
        <w:rPr>
          <w:rFonts w:asciiTheme="majorHAnsi" w:eastAsiaTheme="majorEastAsia" w:hAnsiTheme="majorHAnsi" w:cstheme="majorBidi"/>
          <w:bCs/>
          <w:color w:val="000000" w:themeColor="text1"/>
          <w:sz w:val="24"/>
          <w:szCs w:val="24"/>
        </w:rPr>
        <w:t xml:space="preserve">in </w:t>
      </w:r>
      <w:r w:rsidR="00241A57">
        <w:rPr>
          <w:rFonts w:asciiTheme="majorHAnsi" w:eastAsiaTheme="majorEastAsia" w:hAnsiTheme="majorHAnsi" w:cstheme="majorBidi"/>
          <w:bCs/>
          <w:color w:val="000000" w:themeColor="text1"/>
          <w:sz w:val="24"/>
          <w:szCs w:val="24"/>
        </w:rPr>
        <w:t>NOL deduction</w:t>
      </w:r>
      <w:r w:rsidR="007117E0">
        <w:rPr>
          <w:rFonts w:asciiTheme="majorHAnsi" w:eastAsiaTheme="majorEastAsia" w:hAnsiTheme="majorHAnsi" w:cstheme="majorBidi"/>
          <w:bCs/>
          <w:color w:val="000000" w:themeColor="text1"/>
          <w:sz w:val="24"/>
          <w:szCs w:val="24"/>
        </w:rPr>
        <w:t>s</w:t>
      </w:r>
      <w:r w:rsidR="00241A57">
        <w:rPr>
          <w:rFonts w:asciiTheme="majorHAnsi" w:eastAsiaTheme="majorEastAsia" w:hAnsiTheme="majorHAnsi" w:cstheme="majorBidi"/>
          <w:bCs/>
          <w:color w:val="000000" w:themeColor="text1"/>
          <w:sz w:val="24"/>
          <w:szCs w:val="24"/>
        </w:rPr>
        <w:t xml:space="preserve">, reducing taxable income by 49.4% from $5.919 billion to $2.998 billion. </w:t>
      </w:r>
      <w:r w:rsidR="007117E0">
        <w:rPr>
          <w:rFonts w:asciiTheme="majorHAnsi" w:eastAsiaTheme="majorEastAsia" w:hAnsiTheme="majorHAnsi" w:cstheme="majorBidi"/>
          <w:bCs/>
          <w:color w:val="000000" w:themeColor="text1"/>
          <w:sz w:val="24"/>
          <w:szCs w:val="24"/>
        </w:rPr>
        <w:t>Put</w:t>
      </w:r>
      <w:r w:rsidR="00241A57">
        <w:rPr>
          <w:rFonts w:asciiTheme="majorHAnsi" w:eastAsiaTheme="majorEastAsia" w:hAnsiTheme="majorHAnsi" w:cstheme="majorBidi"/>
          <w:bCs/>
          <w:color w:val="000000" w:themeColor="text1"/>
          <w:sz w:val="24"/>
          <w:szCs w:val="24"/>
        </w:rPr>
        <w:t xml:space="preserve"> another </w:t>
      </w:r>
      <w:r w:rsidR="007117E0">
        <w:rPr>
          <w:rFonts w:asciiTheme="majorHAnsi" w:eastAsiaTheme="majorEastAsia" w:hAnsiTheme="majorHAnsi" w:cstheme="majorBidi"/>
          <w:bCs/>
          <w:color w:val="000000" w:themeColor="text1"/>
          <w:sz w:val="24"/>
          <w:szCs w:val="24"/>
        </w:rPr>
        <w:t>way</w:t>
      </w:r>
      <w:r w:rsidR="00241A57">
        <w:rPr>
          <w:rFonts w:asciiTheme="majorHAnsi" w:eastAsiaTheme="majorEastAsia" w:hAnsiTheme="majorHAnsi" w:cstheme="majorBidi"/>
          <w:bCs/>
          <w:color w:val="000000" w:themeColor="text1"/>
          <w:sz w:val="24"/>
          <w:szCs w:val="24"/>
        </w:rPr>
        <w:t>, taxable income after NOL</w:t>
      </w:r>
      <w:r w:rsidR="007D7249">
        <w:rPr>
          <w:rFonts w:asciiTheme="majorHAnsi" w:eastAsiaTheme="majorEastAsia" w:hAnsiTheme="majorHAnsi" w:cstheme="majorBidi"/>
          <w:bCs/>
          <w:color w:val="000000" w:themeColor="text1"/>
          <w:sz w:val="24"/>
          <w:szCs w:val="24"/>
        </w:rPr>
        <w:t xml:space="preserve"> deductions</w:t>
      </w:r>
      <w:r w:rsidR="00241A57">
        <w:rPr>
          <w:rFonts w:asciiTheme="majorHAnsi" w:eastAsiaTheme="majorEastAsia" w:hAnsiTheme="majorHAnsi" w:cstheme="majorBidi"/>
          <w:bCs/>
          <w:color w:val="000000" w:themeColor="text1"/>
          <w:sz w:val="24"/>
          <w:szCs w:val="24"/>
        </w:rPr>
        <w:t xml:space="preserve"> was 50.6% of taxable income before NOL</w:t>
      </w:r>
      <w:r w:rsidR="007D7249">
        <w:rPr>
          <w:rFonts w:asciiTheme="majorHAnsi" w:eastAsiaTheme="majorEastAsia" w:hAnsiTheme="majorHAnsi" w:cstheme="majorBidi"/>
          <w:bCs/>
          <w:color w:val="000000" w:themeColor="text1"/>
          <w:sz w:val="24"/>
          <w:szCs w:val="24"/>
        </w:rPr>
        <w:t xml:space="preserve"> deductions</w:t>
      </w:r>
      <w:r w:rsidR="00241A57">
        <w:rPr>
          <w:rFonts w:asciiTheme="majorHAnsi" w:eastAsiaTheme="majorEastAsia" w:hAnsiTheme="majorHAnsi" w:cstheme="majorBidi"/>
          <w:bCs/>
          <w:color w:val="000000" w:themeColor="text1"/>
          <w:sz w:val="24"/>
          <w:szCs w:val="24"/>
        </w:rPr>
        <w:t xml:space="preserve">. </w:t>
      </w:r>
      <w:r w:rsidR="007D7249">
        <w:rPr>
          <w:rFonts w:asciiTheme="majorHAnsi" w:hAnsiTheme="majorHAnsi"/>
          <w:sz w:val="24"/>
          <w:szCs w:val="24"/>
        </w:rPr>
        <w:t>The</w:t>
      </w:r>
      <w:r w:rsidR="00241A57">
        <w:rPr>
          <w:rFonts w:asciiTheme="majorHAnsi" w:hAnsiTheme="majorHAnsi"/>
          <w:sz w:val="24"/>
          <w:szCs w:val="24"/>
        </w:rPr>
        <w:t xml:space="preserve"> ratio </w:t>
      </w:r>
      <w:r w:rsidR="007D7249">
        <w:rPr>
          <w:rFonts w:asciiTheme="majorHAnsi" w:hAnsiTheme="majorHAnsi"/>
          <w:sz w:val="24"/>
          <w:szCs w:val="24"/>
        </w:rPr>
        <w:t xml:space="preserve">of taxable income post-NOLs to taxable income pre-NOLs </w:t>
      </w:r>
      <w:r w:rsidR="00241A57">
        <w:rPr>
          <w:rFonts w:asciiTheme="majorHAnsi" w:hAnsiTheme="majorHAnsi"/>
          <w:sz w:val="24"/>
          <w:szCs w:val="24"/>
        </w:rPr>
        <w:t xml:space="preserve">varied from 0.3% for corporations </w:t>
      </w:r>
      <w:r w:rsidR="007D7249">
        <w:rPr>
          <w:rFonts w:asciiTheme="majorHAnsi" w:hAnsiTheme="majorHAnsi"/>
          <w:sz w:val="24"/>
          <w:szCs w:val="24"/>
        </w:rPr>
        <w:t>whose</w:t>
      </w:r>
      <w:r w:rsidR="00241A57">
        <w:rPr>
          <w:rFonts w:asciiTheme="majorHAnsi" w:hAnsiTheme="majorHAnsi"/>
          <w:sz w:val="24"/>
          <w:szCs w:val="24"/>
        </w:rPr>
        <w:t xml:space="preserve"> taxable income </w:t>
      </w:r>
      <w:r w:rsidR="007D7249">
        <w:rPr>
          <w:rFonts w:asciiTheme="majorHAnsi" w:hAnsiTheme="majorHAnsi"/>
          <w:sz w:val="24"/>
          <w:szCs w:val="24"/>
        </w:rPr>
        <w:t xml:space="preserve">ranged </w:t>
      </w:r>
      <w:r w:rsidR="00241A57">
        <w:rPr>
          <w:rFonts w:asciiTheme="majorHAnsi" w:hAnsiTheme="majorHAnsi"/>
          <w:sz w:val="24"/>
          <w:szCs w:val="24"/>
        </w:rPr>
        <w:t>between $0 and $9,999</w:t>
      </w:r>
      <w:r w:rsidR="007D7249">
        <w:rPr>
          <w:rFonts w:asciiTheme="majorHAnsi" w:hAnsiTheme="majorHAnsi"/>
          <w:sz w:val="24"/>
          <w:szCs w:val="24"/>
        </w:rPr>
        <w:t>,</w:t>
      </w:r>
      <w:r w:rsidR="00241A57">
        <w:rPr>
          <w:rFonts w:asciiTheme="majorHAnsi" w:hAnsiTheme="majorHAnsi"/>
          <w:sz w:val="24"/>
          <w:szCs w:val="24"/>
        </w:rPr>
        <w:t xml:space="preserve"> to 87.2% for corporations with $10 million or higher taxable income</w:t>
      </w:r>
      <w:r w:rsidR="007D7249">
        <w:rPr>
          <w:rFonts w:asciiTheme="majorHAnsi" w:hAnsiTheme="majorHAnsi"/>
          <w:sz w:val="24"/>
          <w:szCs w:val="24"/>
        </w:rPr>
        <w:t xml:space="preserve"> (see Table 5)</w:t>
      </w:r>
      <w:r w:rsidR="00241A57">
        <w:rPr>
          <w:rFonts w:asciiTheme="majorHAnsi" w:hAnsiTheme="majorHAnsi"/>
          <w:sz w:val="24"/>
          <w:szCs w:val="24"/>
        </w:rPr>
        <w:t xml:space="preserve">, from </w:t>
      </w:r>
      <w:r w:rsidR="00241A57">
        <w:rPr>
          <w:rFonts w:asciiTheme="majorHAnsi" w:eastAsiaTheme="majorEastAsia" w:hAnsiTheme="majorHAnsi" w:cstheme="majorBidi"/>
          <w:bCs/>
          <w:color w:val="000000" w:themeColor="text1"/>
          <w:sz w:val="24"/>
          <w:szCs w:val="24"/>
        </w:rPr>
        <w:t xml:space="preserve">26.3% for </w:t>
      </w:r>
      <w:r w:rsidR="00241A57">
        <w:rPr>
          <w:rFonts w:asciiTheme="majorHAnsi" w:hAnsiTheme="majorHAnsi"/>
          <w:sz w:val="24"/>
          <w:szCs w:val="24"/>
        </w:rPr>
        <w:t xml:space="preserve">corporations with 200-499 employees to 63.6% for corporations with </w:t>
      </w:r>
      <w:r w:rsidR="00746248">
        <w:rPr>
          <w:rFonts w:asciiTheme="majorHAnsi" w:hAnsiTheme="majorHAnsi"/>
          <w:sz w:val="24"/>
          <w:szCs w:val="24"/>
        </w:rPr>
        <w:t xml:space="preserve">fewer </w:t>
      </w:r>
      <w:r w:rsidR="00241A57">
        <w:rPr>
          <w:rFonts w:asciiTheme="majorHAnsi" w:hAnsiTheme="majorHAnsi"/>
          <w:sz w:val="24"/>
          <w:szCs w:val="24"/>
        </w:rPr>
        <w:t>than 5 employees</w:t>
      </w:r>
      <w:r w:rsidR="007D7249">
        <w:rPr>
          <w:rFonts w:asciiTheme="majorHAnsi" w:hAnsiTheme="majorHAnsi"/>
          <w:sz w:val="24"/>
          <w:szCs w:val="24"/>
        </w:rPr>
        <w:t xml:space="preserve"> (see Table 6)</w:t>
      </w:r>
      <w:r w:rsidR="00241A57">
        <w:rPr>
          <w:rFonts w:asciiTheme="majorHAnsi" w:hAnsiTheme="majorHAnsi"/>
          <w:sz w:val="24"/>
          <w:szCs w:val="24"/>
        </w:rPr>
        <w:t xml:space="preserve">, and from </w:t>
      </w:r>
      <w:r w:rsidR="00F675D7">
        <w:rPr>
          <w:rFonts w:asciiTheme="majorHAnsi" w:hAnsiTheme="majorHAnsi"/>
          <w:sz w:val="24"/>
          <w:szCs w:val="24"/>
        </w:rPr>
        <w:t>1.7</w:t>
      </w:r>
      <w:r w:rsidR="00241A57">
        <w:rPr>
          <w:rFonts w:asciiTheme="majorHAnsi" w:hAnsiTheme="majorHAnsi"/>
          <w:sz w:val="24"/>
          <w:szCs w:val="24"/>
        </w:rPr>
        <w:t xml:space="preserve">% for corporations in the </w:t>
      </w:r>
      <w:r w:rsidR="00241A57">
        <w:rPr>
          <w:rFonts w:ascii="Cambria" w:eastAsia="Times New Roman" w:hAnsi="Cambria" w:cs="Helvetica"/>
          <w:color w:val="000000"/>
          <w:sz w:val="24"/>
          <w:szCs w:val="24"/>
          <w:lang w:eastAsia="ko-KR"/>
        </w:rPr>
        <w:t>industry</w:t>
      </w:r>
      <w:r w:rsidR="00241A57">
        <w:rPr>
          <w:rFonts w:asciiTheme="majorHAnsi" w:hAnsiTheme="majorHAnsi"/>
          <w:sz w:val="24"/>
          <w:szCs w:val="24"/>
        </w:rPr>
        <w:t xml:space="preserve"> of “</w:t>
      </w:r>
      <w:r w:rsidR="00F675D7" w:rsidRPr="00F675D7">
        <w:rPr>
          <w:rFonts w:asciiTheme="majorHAnsi" w:eastAsiaTheme="majorEastAsia" w:hAnsiTheme="majorHAnsi" w:cstheme="majorBidi"/>
          <w:bCs/>
          <w:color w:val="000000" w:themeColor="text1"/>
          <w:sz w:val="24"/>
          <w:szCs w:val="24"/>
        </w:rPr>
        <w:t>Mining, Quarrying, and Oil and Gas Extract</w:t>
      </w:r>
      <w:r w:rsidR="00241A57">
        <w:rPr>
          <w:rFonts w:ascii="Cambria" w:eastAsia="Times New Roman" w:hAnsi="Cambria" w:cs="Helvetica"/>
          <w:color w:val="000000"/>
          <w:sz w:val="24"/>
          <w:szCs w:val="24"/>
          <w:lang w:eastAsia="ko-KR"/>
        </w:rPr>
        <w:t xml:space="preserve">” </w:t>
      </w:r>
      <w:r w:rsidR="00241A57">
        <w:rPr>
          <w:rFonts w:asciiTheme="majorHAnsi" w:hAnsiTheme="majorHAnsi"/>
          <w:sz w:val="24"/>
          <w:szCs w:val="24"/>
        </w:rPr>
        <w:t xml:space="preserve">to </w:t>
      </w:r>
      <w:r w:rsidR="00F675D7">
        <w:rPr>
          <w:rFonts w:asciiTheme="majorHAnsi" w:hAnsiTheme="majorHAnsi"/>
          <w:sz w:val="24"/>
          <w:szCs w:val="24"/>
        </w:rPr>
        <w:t>78.3</w:t>
      </w:r>
      <w:r w:rsidR="00241A57">
        <w:rPr>
          <w:rFonts w:asciiTheme="majorHAnsi" w:hAnsiTheme="majorHAnsi"/>
          <w:sz w:val="24"/>
          <w:szCs w:val="24"/>
        </w:rPr>
        <w:t>% for corporations in the “</w:t>
      </w:r>
      <w:r w:rsidR="00F675D7">
        <w:rPr>
          <w:rFonts w:asciiTheme="majorHAnsi" w:eastAsiaTheme="majorEastAsia" w:hAnsiTheme="majorHAnsi" w:cstheme="majorBidi"/>
          <w:bCs/>
          <w:color w:val="000000" w:themeColor="text1"/>
          <w:sz w:val="24"/>
          <w:szCs w:val="24"/>
        </w:rPr>
        <w:t>Retail Trade</w:t>
      </w:r>
      <w:r w:rsidR="00241A57">
        <w:rPr>
          <w:rFonts w:asciiTheme="majorHAnsi" w:hAnsiTheme="majorHAnsi"/>
          <w:sz w:val="24"/>
          <w:szCs w:val="24"/>
        </w:rPr>
        <w:t>” industry</w:t>
      </w:r>
      <w:r w:rsidR="007D7249">
        <w:rPr>
          <w:rFonts w:asciiTheme="majorHAnsi" w:hAnsiTheme="majorHAnsi"/>
          <w:sz w:val="24"/>
          <w:szCs w:val="24"/>
        </w:rPr>
        <w:t xml:space="preserve"> (see Table 7)</w:t>
      </w:r>
      <w:r w:rsidR="00241A57">
        <w:rPr>
          <w:rFonts w:asciiTheme="majorHAnsi" w:hAnsiTheme="majorHAnsi"/>
          <w:sz w:val="24"/>
          <w:szCs w:val="24"/>
        </w:rPr>
        <w:t xml:space="preserve">.   </w:t>
      </w:r>
    </w:p>
    <w:p w14:paraId="3F6BC921" w14:textId="77777777" w:rsidR="003423BC" w:rsidRDefault="003423BC" w:rsidP="005C6047">
      <w:pPr>
        <w:spacing w:after="0"/>
        <w:rPr>
          <w:rFonts w:asciiTheme="majorHAnsi" w:hAnsiTheme="majorHAnsi"/>
          <w:sz w:val="24"/>
          <w:szCs w:val="24"/>
        </w:rPr>
      </w:pPr>
    </w:p>
    <w:p w14:paraId="250FDA1F" w14:textId="77777777" w:rsidR="005C6047" w:rsidRDefault="00BF2F55" w:rsidP="005C6047">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 xml:space="preserve">Table 5 shows that </w:t>
      </w:r>
      <w:r>
        <w:rPr>
          <w:rFonts w:asciiTheme="majorHAnsi" w:hAnsiTheme="majorHAnsi"/>
          <w:sz w:val="24"/>
          <w:szCs w:val="24"/>
        </w:rPr>
        <w:t xml:space="preserve">about 77.8% of </w:t>
      </w:r>
      <w:r>
        <w:rPr>
          <w:rFonts w:asciiTheme="majorHAnsi" w:eastAsiaTheme="majorEastAsia" w:hAnsiTheme="majorHAnsi" w:cstheme="majorBidi"/>
          <w:bCs/>
          <w:color w:val="000000" w:themeColor="text1"/>
          <w:sz w:val="24"/>
          <w:szCs w:val="24"/>
        </w:rPr>
        <w:t xml:space="preserve">the corporations claiming NOL deductions (“impacted corporations”) </w:t>
      </w:r>
      <w:r>
        <w:rPr>
          <w:rFonts w:asciiTheme="majorHAnsi" w:hAnsiTheme="majorHAnsi"/>
          <w:sz w:val="24"/>
          <w:szCs w:val="24"/>
        </w:rPr>
        <w:t xml:space="preserve">had taxable income ranging between $0 and $9,999, and in total represented </w:t>
      </w:r>
      <w:r>
        <w:rPr>
          <w:rFonts w:asciiTheme="majorHAnsi" w:eastAsiaTheme="majorEastAsia" w:hAnsiTheme="majorHAnsi" w:cstheme="majorBidi"/>
          <w:bCs/>
          <w:color w:val="000000" w:themeColor="text1"/>
          <w:sz w:val="24"/>
          <w:szCs w:val="24"/>
        </w:rPr>
        <w:t xml:space="preserve">16.9% of the total tax liability of all impacted corporations and 0.2% of total taxable income after NOL deductions. About 0.3% of the impacted corporations had more than $10 million taxable income, representing 49.3% of the total tax liability of impacted corporations and 63.3% of total taxable income after NOL deductions. </w:t>
      </w:r>
      <w:r w:rsidR="00F675D7">
        <w:rPr>
          <w:rFonts w:asciiTheme="majorHAnsi" w:eastAsiaTheme="majorEastAsia" w:hAnsiTheme="majorHAnsi" w:cstheme="majorBidi"/>
          <w:bCs/>
          <w:color w:val="000000" w:themeColor="text1"/>
          <w:sz w:val="24"/>
          <w:szCs w:val="24"/>
        </w:rPr>
        <w:t xml:space="preserve">Table </w:t>
      </w:r>
      <w:r w:rsidR="007D7249">
        <w:rPr>
          <w:rFonts w:asciiTheme="majorHAnsi" w:eastAsiaTheme="majorEastAsia" w:hAnsiTheme="majorHAnsi" w:cstheme="majorBidi"/>
          <w:bCs/>
          <w:color w:val="000000" w:themeColor="text1"/>
          <w:sz w:val="24"/>
          <w:szCs w:val="24"/>
        </w:rPr>
        <w:t>6</w:t>
      </w:r>
      <w:r w:rsidR="00F675D7">
        <w:rPr>
          <w:rFonts w:asciiTheme="majorHAnsi" w:eastAsiaTheme="majorEastAsia" w:hAnsiTheme="majorHAnsi" w:cstheme="majorBidi"/>
          <w:bCs/>
          <w:color w:val="000000" w:themeColor="text1"/>
          <w:sz w:val="24"/>
          <w:szCs w:val="24"/>
        </w:rPr>
        <w:t xml:space="preserve"> show</w:t>
      </w:r>
      <w:r w:rsidR="007D7249">
        <w:rPr>
          <w:rFonts w:asciiTheme="majorHAnsi" w:eastAsiaTheme="majorEastAsia" w:hAnsiTheme="majorHAnsi" w:cstheme="majorBidi"/>
          <w:bCs/>
          <w:color w:val="000000" w:themeColor="text1"/>
          <w:sz w:val="24"/>
          <w:szCs w:val="24"/>
        </w:rPr>
        <w:t>s</w:t>
      </w:r>
      <w:r w:rsidR="00F675D7">
        <w:rPr>
          <w:rFonts w:asciiTheme="majorHAnsi" w:eastAsiaTheme="majorEastAsia" w:hAnsiTheme="majorHAnsi" w:cstheme="majorBidi"/>
          <w:bCs/>
          <w:color w:val="000000" w:themeColor="text1"/>
          <w:sz w:val="24"/>
          <w:szCs w:val="24"/>
        </w:rPr>
        <w:t xml:space="preserve"> that </w:t>
      </w:r>
      <w:r w:rsidR="00A22159">
        <w:rPr>
          <w:rFonts w:asciiTheme="majorHAnsi" w:eastAsiaTheme="majorEastAsia" w:hAnsiTheme="majorHAnsi" w:cstheme="majorBidi"/>
          <w:bCs/>
          <w:color w:val="000000" w:themeColor="text1"/>
          <w:sz w:val="24"/>
          <w:szCs w:val="24"/>
        </w:rPr>
        <w:t>about</w:t>
      </w:r>
      <w:r w:rsidR="00BE4334">
        <w:rPr>
          <w:rFonts w:asciiTheme="majorHAnsi" w:eastAsiaTheme="majorEastAsia" w:hAnsiTheme="majorHAnsi" w:cstheme="majorBidi"/>
          <w:bCs/>
          <w:color w:val="000000" w:themeColor="text1"/>
          <w:sz w:val="24"/>
          <w:szCs w:val="24"/>
        </w:rPr>
        <w:t xml:space="preserve"> </w:t>
      </w:r>
      <w:r w:rsidR="00C744F3">
        <w:rPr>
          <w:rFonts w:asciiTheme="majorHAnsi" w:eastAsiaTheme="majorEastAsia" w:hAnsiTheme="majorHAnsi" w:cstheme="majorBidi"/>
          <w:bCs/>
          <w:color w:val="000000" w:themeColor="text1"/>
          <w:sz w:val="24"/>
          <w:szCs w:val="24"/>
        </w:rPr>
        <w:t>55.7</w:t>
      </w:r>
      <w:r w:rsidR="00BE4334">
        <w:rPr>
          <w:rFonts w:asciiTheme="majorHAnsi" w:eastAsiaTheme="majorEastAsia" w:hAnsiTheme="majorHAnsi" w:cstheme="majorBidi"/>
          <w:bCs/>
          <w:color w:val="000000" w:themeColor="text1"/>
          <w:sz w:val="24"/>
          <w:szCs w:val="24"/>
        </w:rPr>
        <w:t>% of the</w:t>
      </w:r>
      <w:r w:rsidR="00A71DF8">
        <w:rPr>
          <w:rFonts w:asciiTheme="majorHAnsi" w:eastAsiaTheme="majorEastAsia" w:hAnsiTheme="majorHAnsi" w:cstheme="majorBidi"/>
          <w:bCs/>
          <w:color w:val="000000" w:themeColor="text1"/>
          <w:sz w:val="24"/>
          <w:szCs w:val="24"/>
        </w:rPr>
        <w:t xml:space="preserve"> </w:t>
      </w:r>
      <w:r w:rsidR="00C86F65">
        <w:rPr>
          <w:rFonts w:asciiTheme="majorHAnsi" w:eastAsiaTheme="majorEastAsia" w:hAnsiTheme="majorHAnsi" w:cstheme="majorBidi"/>
          <w:bCs/>
          <w:color w:val="000000" w:themeColor="text1"/>
          <w:sz w:val="24"/>
          <w:szCs w:val="24"/>
        </w:rPr>
        <w:t>impacted corporations had</w:t>
      </w:r>
      <w:r w:rsidR="00BE4334">
        <w:rPr>
          <w:rFonts w:asciiTheme="majorHAnsi" w:eastAsiaTheme="majorEastAsia" w:hAnsiTheme="majorHAnsi" w:cstheme="majorBidi"/>
          <w:bCs/>
          <w:color w:val="000000" w:themeColor="text1"/>
          <w:sz w:val="24"/>
          <w:szCs w:val="24"/>
        </w:rPr>
        <w:t xml:space="preserve"> with </w:t>
      </w:r>
      <w:r w:rsidR="00746248">
        <w:rPr>
          <w:rFonts w:asciiTheme="majorHAnsi" w:eastAsiaTheme="majorEastAsia" w:hAnsiTheme="majorHAnsi" w:cstheme="majorBidi"/>
          <w:bCs/>
          <w:color w:val="000000" w:themeColor="text1"/>
          <w:sz w:val="24"/>
          <w:szCs w:val="24"/>
        </w:rPr>
        <w:t xml:space="preserve">fewer </w:t>
      </w:r>
      <w:r w:rsidR="004E0885">
        <w:rPr>
          <w:rFonts w:asciiTheme="majorHAnsi" w:eastAsiaTheme="majorEastAsia" w:hAnsiTheme="majorHAnsi" w:cstheme="majorBidi"/>
          <w:bCs/>
          <w:color w:val="000000" w:themeColor="text1"/>
          <w:sz w:val="24"/>
          <w:szCs w:val="24"/>
        </w:rPr>
        <w:t xml:space="preserve">than 5 </w:t>
      </w:r>
      <w:r w:rsidR="00BE4334">
        <w:rPr>
          <w:rFonts w:asciiTheme="majorHAnsi" w:eastAsiaTheme="majorEastAsia" w:hAnsiTheme="majorHAnsi" w:cstheme="majorBidi"/>
          <w:bCs/>
          <w:color w:val="000000" w:themeColor="text1"/>
          <w:sz w:val="24"/>
          <w:szCs w:val="24"/>
        </w:rPr>
        <w:t xml:space="preserve">employees, </w:t>
      </w:r>
      <w:r w:rsidR="00F940AC">
        <w:rPr>
          <w:rFonts w:asciiTheme="majorHAnsi" w:eastAsiaTheme="majorEastAsia" w:hAnsiTheme="majorHAnsi" w:cstheme="majorBidi"/>
          <w:bCs/>
          <w:color w:val="000000" w:themeColor="text1"/>
          <w:sz w:val="24"/>
          <w:szCs w:val="24"/>
        </w:rPr>
        <w:t>and</w:t>
      </w:r>
      <w:r w:rsidR="00BE4334">
        <w:rPr>
          <w:rFonts w:asciiTheme="majorHAnsi" w:eastAsiaTheme="majorEastAsia" w:hAnsiTheme="majorHAnsi" w:cstheme="majorBidi"/>
          <w:bCs/>
          <w:color w:val="000000" w:themeColor="text1"/>
          <w:sz w:val="24"/>
          <w:szCs w:val="24"/>
        </w:rPr>
        <w:t xml:space="preserve"> </w:t>
      </w:r>
      <w:r w:rsidR="00A71DF8">
        <w:rPr>
          <w:rFonts w:asciiTheme="majorHAnsi" w:eastAsiaTheme="majorEastAsia" w:hAnsiTheme="majorHAnsi" w:cstheme="majorBidi"/>
          <w:bCs/>
          <w:color w:val="000000" w:themeColor="text1"/>
          <w:sz w:val="24"/>
          <w:szCs w:val="24"/>
        </w:rPr>
        <w:t>th</w:t>
      </w:r>
      <w:r w:rsidR="003423BC">
        <w:rPr>
          <w:rFonts w:asciiTheme="majorHAnsi" w:eastAsiaTheme="majorEastAsia" w:hAnsiTheme="majorHAnsi" w:cstheme="majorBidi"/>
          <w:bCs/>
          <w:color w:val="000000" w:themeColor="text1"/>
          <w:sz w:val="24"/>
          <w:szCs w:val="24"/>
        </w:rPr>
        <w:t>e</w:t>
      </w:r>
      <w:r w:rsidR="00A71DF8">
        <w:rPr>
          <w:rFonts w:asciiTheme="majorHAnsi" w:eastAsiaTheme="majorEastAsia" w:hAnsiTheme="majorHAnsi" w:cstheme="majorBidi"/>
          <w:bCs/>
          <w:color w:val="000000" w:themeColor="text1"/>
          <w:sz w:val="24"/>
          <w:szCs w:val="24"/>
        </w:rPr>
        <w:t>se</w:t>
      </w:r>
      <w:r w:rsidR="00C86F65">
        <w:rPr>
          <w:rFonts w:asciiTheme="majorHAnsi" w:eastAsiaTheme="majorEastAsia" w:hAnsiTheme="majorHAnsi" w:cstheme="majorBidi"/>
          <w:bCs/>
          <w:color w:val="000000" w:themeColor="text1"/>
          <w:sz w:val="24"/>
          <w:szCs w:val="24"/>
        </w:rPr>
        <w:t xml:space="preserve"> </w:t>
      </w:r>
      <w:r w:rsidR="00A71DF8">
        <w:rPr>
          <w:rFonts w:asciiTheme="majorHAnsi" w:eastAsiaTheme="majorEastAsia" w:hAnsiTheme="majorHAnsi" w:cstheme="majorBidi"/>
          <w:bCs/>
          <w:color w:val="000000" w:themeColor="text1"/>
          <w:sz w:val="24"/>
          <w:szCs w:val="24"/>
        </w:rPr>
        <w:t xml:space="preserve">corporations </w:t>
      </w:r>
      <w:r w:rsidR="00C86F65">
        <w:rPr>
          <w:rFonts w:asciiTheme="majorHAnsi" w:eastAsiaTheme="majorEastAsia" w:hAnsiTheme="majorHAnsi" w:cstheme="majorBidi"/>
          <w:bCs/>
          <w:color w:val="000000" w:themeColor="text1"/>
          <w:sz w:val="24"/>
          <w:szCs w:val="24"/>
        </w:rPr>
        <w:t>represented</w:t>
      </w:r>
      <w:r w:rsidR="00A71DF8">
        <w:rPr>
          <w:rFonts w:asciiTheme="majorHAnsi" w:eastAsiaTheme="majorEastAsia" w:hAnsiTheme="majorHAnsi" w:cstheme="majorBidi"/>
          <w:bCs/>
          <w:color w:val="000000" w:themeColor="text1"/>
          <w:sz w:val="24"/>
          <w:szCs w:val="24"/>
        </w:rPr>
        <w:t xml:space="preserve"> </w:t>
      </w:r>
      <w:r w:rsidR="0021229D">
        <w:rPr>
          <w:rFonts w:asciiTheme="majorHAnsi" w:eastAsiaTheme="majorEastAsia" w:hAnsiTheme="majorHAnsi" w:cstheme="majorBidi"/>
          <w:bCs/>
          <w:color w:val="000000" w:themeColor="text1"/>
          <w:sz w:val="24"/>
          <w:szCs w:val="24"/>
        </w:rPr>
        <w:t>50.8</w:t>
      </w:r>
      <w:r w:rsidR="00A71DF8">
        <w:rPr>
          <w:rFonts w:asciiTheme="majorHAnsi" w:eastAsiaTheme="majorEastAsia" w:hAnsiTheme="majorHAnsi" w:cstheme="majorBidi"/>
          <w:bCs/>
          <w:color w:val="000000" w:themeColor="text1"/>
          <w:sz w:val="24"/>
          <w:szCs w:val="24"/>
        </w:rPr>
        <w:t xml:space="preserve">% of </w:t>
      </w:r>
      <w:r w:rsidR="00C86F65">
        <w:rPr>
          <w:rFonts w:asciiTheme="majorHAnsi" w:eastAsiaTheme="majorEastAsia" w:hAnsiTheme="majorHAnsi" w:cstheme="majorBidi"/>
          <w:bCs/>
          <w:color w:val="000000" w:themeColor="text1"/>
          <w:sz w:val="24"/>
          <w:szCs w:val="24"/>
        </w:rPr>
        <w:t xml:space="preserve">the </w:t>
      </w:r>
      <w:r w:rsidR="004B0D7F">
        <w:rPr>
          <w:rFonts w:asciiTheme="majorHAnsi" w:eastAsiaTheme="majorEastAsia" w:hAnsiTheme="majorHAnsi" w:cstheme="majorBidi"/>
          <w:bCs/>
          <w:color w:val="000000" w:themeColor="text1"/>
          <w:sz w:val="24"/>
          <w:szCs w:val="24"/>
        </w:rPr>
        <w:t xml:space="preserve">total </w:t>
      </w:r>
      <w:r w:rsidR="00A71DF8">
        <w:rPr>
          <w:rFonts w:asciiTheme="majorHAnsi" w:eastAsiaTheme="majorEastAsia" w:hAnsiTheme="majorHAnsi" w:cstheme="majorBidi"/>
          <w:bCs/>
          <w:color w:val="000000" w:themeColor="text1"/>
          <w:sz w:val="24"/>
          <w:szCs w:val="24"/>
        </w:rPr>
        <w:t xml:space="preserve">tax liability </w:t>
      </w:r>
      <w:r w:rsidR="00C86F65">
        <w:rPr>
          <w:rFonts w:asciiTheme="majorHAnsi" w:eastAsiaTheme="majorEastAsia" w:hAnsiTheme="majorHAnsi" w:cstheme="majorBidi"/>
          <w:bCs/>
          <w:color w:val="000000" w:themeColor="text1"/>
          <w:sz w:val="24"/>
          <w:szCs w:val="24"/>
        </w:rPr>
        <w:t xml:space="preserve">of such corporations </w:t>
      </w:r>
      <w:r w:rsidR="00A71DF8">
        <w:rPr>
          <w:rFonts w:asciiTheme="majorHAnsi" w:eastAsiaTheme="majorEastAsia" w:hAnsiTheme="majorHAnsi" w:cstheme="majorBidi"/>
          <w:bCs/>
          <w:color w:val="000000" w:themeColor="text1"/>
          <w:sz w:val="24"/>
          <w:szCs w:val="24"/>
        </w:rPr>
        <w:t xml:space="preserve">and </w:t>
      </w:r>
      <w:r w:rsidR="00E00EC2">
        <w:rPr>
          <w:rFonts w:asciiTheme="majorHAnsi" w:eastAsiaTheme="majorEastAsia" w:hAnsiTheme="majorHAnsi" w:cstheme="majorBidi"/>
          <w:bCs/>
          <w:color w:val="000000" w:themeColor="text1"/>
          <w:sz w:val="24"/>
          <w:szCs w:val="24"/>
        </w:rPr>
        <w:t xml:space="preserve">43.2% </w:t>
      </w:r>
      <w:r w:rsidR="00A71DF8">
        <w:rPr>
          <w:rFonts w:asciiTheme="majorHAnsi" w:eastAsiaTheme="majorEastAsia" w:hAnsiTheme="majorHAnsi" w:cstheme="majorBidi"/>
          <w:bCs/>
          <w:color w:val="000000" w:themeColor="text1"/>
          <w:sz w:val="24"/>
          <w:szCs w:val="24"/>
        </w:rPr>
        <w:t xml:space="preserve">of </w:t>
      </w:r>
      <w:r w:rsidR="004B0D7F">
        <w:rPr>
          <w:rFonts w:asciiTheme="majorHAnsi" w:eastAsiaTheme="majorEastAsia" w:hAnsiTheme="majorHAnsi" w:cstheme="majorBidi"/>
          <w:bCs/>
          <w:color w:val="000000" w:themeColor="text1"/>
          <w:sz w:val="24"/>
          <w:szCs w:val="24"/>
        </w:rPr>
        <w:t xml:space="preserve">total </w:t>
      </w:r>
      <w:r w:rsidR="00E00EC2">
        <w:rPr>
          <w:rFonts w:asciiTheme="majorHAnsi" w:eastAsiaTheme="majorEastAsia" w:hAnsiTheme="majorHAnsi" w:cstheme="majorBidi"/>
          <w:bCs/>
          <w:color w:val="000000" w:themeColor="text1"/>
          <w:sz w:val="24"/>
          <w:szCs w:val="24"/>
        </w:rPr>
        <w:t>taxable income after NOL deduction</w:t>
      </w:r>
      <w:r w:rsidR="00C86F65">
        <w:rPr>
          <w:rFonts w:asciiTheme="majorHAnsi" w:eastAsiaTheme="majorEastAsia" w:hAnsiTheme="majorHAnsi" w:cstheme="majorBidi"/>
          <w:bCs/>
          <w:color w:val="000000" w:themeColor="text1"/>
          <w:sz w:val="24"/>
          <w:szCs w:val="24"/>
        </w:rPr>
        <w:t>s</w:t>
      </w:r>
      <w:r w:rsidR="00BE4334">
        <w:rPr>
          <w:rFonts w:asciiTheme="majorHAnsi" w:eastAsiaTheme="majorEastAsia" w:hAnsiTheme="majorHAnsi" w:cstheme="majorBidi"/>
          <w:bCs/>
          <w:color w:val="000000" w:themeColor="text1"/>
          <w:sz w:val="24"/>
          <w:szCs w:val="24"/>
        </w:rPr>
        <w:t xml:space="preserve">. </w:t>
      </w:r>
      <w:r w:rsidR="004E0885">
        <w:rPr>
          <w:rFonts w:asciiTheme="majorHAnsi" w:eastAsiaTheme="majorEastAsia" w:hAnsiTheme="majorHAnsi" w:cstheme="majorBidi"/>
          <w:bCs/>
          <w:color w:val="000000" w:themeColor="text1"/>
          <w:sz w:val="24"/>
          <w:szCs w:val="24"/>
        </w:rPr>
        <w:t xml:space="preserve">About 4.5 % of the impacted </w:t>
      </w:r>
      <w:r w:rsidR="0007436D">
        <w:rPr>
          <w:rFonts w:asciiTheme="majorHAnsi" w:eastAsiaTheme="majorEastAsia" w:hAnsiTheme="majorHAnsi" w:cstheme="majorBidi"/>
          <w:bCs/>
          <w:color w:val="000000" w:themeColor="text1"/>
          <w:sz w:val="24"/>
          <w:szCs w:val="24"/>
        </w:rPr>
        <w:t>corporations</w:t>
      </w:r>
      <w:r w:rsidR="004E0885">
        <w:rPr>
          <w:rFonts w:asciiTheme="majorHAnsi" w:eastAsiaTheme="majorEastAsia" w:hAnsiTheme="majorHAnsi" w:cstheme="majorBidi"/>
          <w:bCs/>
          <w:color w:val="000000" w:themeColor="text1"/>
          <w:sz w:val="24"/>
          <w:szCs w:val="24"/>
        </w:rPr>
        <w:t xml:space="preserve"> were </w:t>
      </w:r>
      <w:r w:rsidR="00BE4334">
        <w:rPr>
          <w:rFonts w:asciiTheme="majorHAnsi" w:eastAsiaTheme="majorEastAsia" w:hAnsiTheme="majorHAnsi" w:cstheme="majorBidi"/>
          <w:bCs/>
          <w:color w:val="000000" w:themeColor="text1"/>
          <w:sz w:val="24"/>
          <w:szCs w:val="24"/>
        </w:rPr>
        <w:t xml:space="preserve">corporations with </w:t>
      </w:r>
      <w:r w:rsidR="004E0885">
        <w:rPr>
          <w:rFonts w:asciiTheme="majorHAnsi" w:eastAsiaTheme="majorEastAsia" w:hAnsiTheme="majorHAnsi" w:cstheme="majorBidi"/>
          <w:bCs/>
          <w:color w:val="000000" w:themeColor="text1"/>
          <w:sz w:val="24"/>
          <w:szCs w:val="24"/>
        </w:rPr>
        <w:t xml:space="preserve">500 or more </w:t>
      </w:r>
      <w:r w:rsidR="00BE4334">
        <w:rPr>
          <w:rFonts w:asciiTheme="majorHAnsi" w:eastAsiaTheme="majorEastAsia" w:hAnsiTheme="majorHAnsi" w:cstheme="majorBidi"/>
          <w:bCs/>
          <w:color w:val="000000" w:themeColor="text1"/>
          <w:sz w:val="24"/>
          <w:szCs w:val="24"/>
        </w:rPr>
        <w:t>employees</w:t>
      </w:r>
      <w:r w:rsidR="00B47E5D">
        <w:rPr>
          <w:rFonts w:asciiTheme="majorHAnsi" w:eastAsiaTheme="majorEastAsia" w:hAnsiTheme="majorHAnsi" w:cstheme="majorBidi"/>
          <w:bCs/>
          <w:color w:val="000000" w:themeColor="text1"/>
          <w:sz w:val="24"/>
          <w:szCs w:val="24"/>
        </w:rPr>
        <w:t>,</w:t>
      </w:r>
      <w:r w:rsidR="00A05833">
        <w:rPr>
          <w:rFonts w:asciiTheme="majorHAnsi" w:eastAsiaTheme="majorEastAsia" w:hAnsiTheme="majorHAnsi" w:cstheme="majorBidi"/>
          <w:bCs/>
          <w:color w:val="000000" w:themeColor="text1"/>
          <w:sz w:val="24"/>
          <w:szCs w:val="24"/>
        </w:rPr>
        <w:t xml:space="preserve"> </w:t>
      </w:r>
      <w:r w:rsidR="00C86F65">
        <w:rPr>
          <w:rFonts w:asciiTheme="majorHAnsi" w:eastAsiaTheme="majorEastAsia" w:hAnsiTheme="majorHAnsi" w:cstheme="majorBidi"/>
          <w:bCs/>
          <w:color w:val="000000" w:themeColor="text1"/>
          <w:sz w:val="24"/>
          <w:szCs w:val="24"/>
        </w:rPr>
        <w:t>representing</w:t>
      </w:r>
      <w:r w:rsidR="004E0885">
        <w:rPr>
          <w:rFonts w:asciiTheme="majorHAnsi" w:eastAsiaTheme="majorEastAsia" w:hAnsiTheme="majorHAnsi" w:cstheme="majorBidi"/>
          <w:bCs/>
          <w:color w:val="000000" w:themeColor="text1"/>
          <w:sz w:val="24"/>
          <w:szCs w:val="24"/>
        </w:rPr>
        <w:t xml:space="preserve"> </w:t>
      </w:r>
      <w:r w:rsidR="009157FD">
        <w:rPr>
          <w:rFonts w:asciiTheme="majorHAnsi" w:eastAsiaTheme="majorEastAsia" w:hAnsiTheme="majorHAnsi" w:cstheme="majorBidi"/>
          <w:bCs/>
          <w:color w:val="000000" w:themeColor="text1"/>
          <w:sz w:val="24"/>
          <w:szCs w:val="24"/>
        </w:rPr>
        <w:t>24.8</w:t>
      </w:r>
      <w:r w:rsidR="00A05833">
        <w:rPr>
          <w:rFonts w:asciiTheme="majorHAnsi" w:eastAsiaTheme="majorEastAsia" w:hAnsiTheme="majorHAnsi" w:cstheme="majorBidi"/>
          <w:bCs/>
          <w:color w:val="000000" w:themeColor="text1"/>
          <w:sz w:val="24"/>
          <w:szCs w:val="24"/>
        </w:rPr>
        <w:t xml:space="preserve">% </w:t>
      </w:r>
      <w:r w:rsidR="00C80216">
        <w:rPr>
          <w:rFonts w:asciiTheme="majorHAnsi" w:eastAsiaTheme="majorEastAsia" w:hAnsiTheme="majorHAnsi" w:cstheme="majorBidi"/>
          <w:bCs/>
          <w:color w:val="000000" w:themeColor="text1"/>
          <w:sz w:val="24"/>
          <w:szCs w:val="24"/>
        </w:rPr>
        <w:t xml:space="preserve">of </w:t>
      </w:r>
      <w:r w:rsidR="00C86F65">
        <w:rPr>
          <w:rFonts w:asciiTheme="majorHAnsi" w:eastAsiaTheme="majorEastAsia" w:hAnsiTheme="majorHAnsi" w:cstheme="majorBidi"/>
          <w:bCs/>
          <w:color w:val="000000" w:themeColor="text1"/>
          <w:sz w:val="24"/>
          <w:szCs w:val="24"/>
        </w:rPr>
        <w:t xml:space="preserve">the </w:t>
      </w:r>
      <w:r w:rsidR="004B0D7F">
        <w:rPr>
          <w:rFonts w:asciiTheme="majorHAnsi" w:eastAsiaTheme="majorEastAsia" w:hAnsiTheme="majorHAnsi" w:cstheme="majorBidi"/>
          <w:bCs/>
          <w:color w:val="000000" w:themeColor="text1"/>
          <w:sz w:val="24"/>
          <w:szCs w:val="24"/>
        </w:rPr>
        <w:t xml:space="preserve">total </w:t>
      </w:r>
      <w:r w:rsidR="00C80216">
        <w:rPr>
          <w:rFonts w:asciiTheme="majorHAnsi" w:eastAsiaTheme="majorEastAsia" w:hAnsiTheme="majorHAnsi" w:cstheme="majorBidi"/>
          <w:bCs/>
          <w:color w:val="000000" w:themeColor="text1"/>
          <w:sz w:val="24"/>
          <w:szCs w:val="24"/>
        </w:rPr>
        <w:t>tax liability</w:t>
      </w:r>
      <w:r w:rsidR="00D551D7">
        <w:rPr>
          <w:rFonts w:asciiTheme="majorHAnsi" w:eastAsiaTheme="majorEastAsia" w:hAnsiTheme="majorHAnsi" w:cstheme="majorBidi"/>
          <w:bCs/>
          <w:color w:val="000000" w:themeColor="text1"/>
          <w:sz w:val="24"/>
          <w:szCs w:val="24"/>
        </w:rPr>
        <w:t xml:space="preserve"> </w:t>
      </w:r>
      <w:r w:rsidR="00C86F65">
        <w:rPr>
          <w:rFonts w:asciiTheme="majorHAnsi" w:eastAsiaTheme="majorEastAsia" w:hAnsiTheme="majorHAnsi" w:cstheme="majorBidi"/>
          <w:bCs/>
          <w:color w:val="000000" w:themeColor="text1"/>
          <w:sz w:val="24"/>
          <w:szCs w:val="24"/>
        </w:rPr>
        <w:t xml:space="preserve">of all impacted corporations </w:t>
      </w:r>
      <w:r w:rsidR="00D551D7">
        <w:rPr>
          <w:rFonts w:asciiTheme="majorHAnsi" w:eastAsiaTheme="majorEastAsia" w:hAnsiTheme="majorHAnsi" w:cstheme="majorBidi"/>
          <w:bCs/>
          <w:color w:val="000000" w:themeColor="text1"/>
          <w:sz w:val="24"/>
          <w:szCs w:val="24"/>
        </w:rPr>
        <w:t xml:space="preserve">and </w:t>
      </w:r>
      <w:r w:rsidR="009157FD">
        <w:rPr>
          <w:rFonts w:asciiTheme="majorHAnsi" w:eastAsiaTheme="majorEastAsia" w:hAnsiTheme="majorHAnsi" w:cstheme="majorBidi"/>
          <w:bCs/>
          <w:color w:val="000000" w:themeColor="text1"/>
          <w:sz w:val="24"/>
          <w:szCs w:val="24"/>
        </w:rPr>
        <w:t>31.5</w:t>
      </w:r>
      <w:r w:rsidR="00D551D7">
        <w:rPr>
          <w:rFonts w:asciiTheme="majorHAnsi" w:eastAsiaTheme="majorEastAsia" w:hAnsiTheme="majorHAnsi" w:cstheme="majorBidi"/>
          <w:bCs/>
          <w:color w:val="000000" w:themeColor="text1"/>
          <w:sz w:val="24"/>
          <w:szCs w:val="24"/>
        </w:rPr>
        <w:t xml:space="preserve">% </w:t>
      </w:r>
      <w:r w:rsidR="00C80216">
        <w:rPr>
          <w:rFonts w:asciiTheme="majorHAnsi" w:eastAsiaTheme="majorEastAsia" w:hAnsiTheme="majorHAnsi" w:cstheme="majorBidi"/>
          <w:bCs/>
          <w:color w:val="000000" w:themeColor="text1"/>
          <w:sz w:val="24"/>
          <w:szCs w:val="24"/>
        </w:rPr>
        <w:t xml:space="preserve">of </w:t>
      </w:r>
      <w:r w:rsidR="009157FD">
        <w:rPr>
          <w:rFonts w:asciiTheme="majorHAnsi" w:eastAsiaTheme="majorEastAsia" w:hAnsiTheme="majorHAnsi" w:cstheme="majorBidi"/>
          <w:bCs/>
          <w:color w:val="000000" w:themeColor="text1"/>
          <w:sz w:val="24"/>
          <w:szCs w:val="24"/>
        </w:rPr>
        <w:t>total taxable income after NOL deduction</w:t>
      </w:r>
      <w:r w:rsidR="00C86F65">
        <w:rPr>
          <w:rFonts w:asciiTheme="majorHAnsi" w:eastAsiaTheme="majorEastAsia" w:hAnsiTheme="majorHAnsi" w:cstheme="majorBidi"/>
          <w:bCs/>
          <w:color w:val="000000" w:themeColor="text1"/>
          <w:sz w:val="24"/>
          <w:szCs w:val="24"/>
        </w:rPr>
        <w:t>s</w:t>
      </w:r>
      <w:r w:rsidR="00A05833">
        <w:rPr>
          <w:rFonts w:asciiTheme="majorHAnsi" w:eastAsiaTheme="majorEastAsia" w:hAnsiTheme="majorHAnsi" w:cstheme="majorBidi"/>
          <w:bCs/>
          <w:color w:val="000000" w:themeColor="text1"/>
          <w:sz w:val="24"/>
          <w:szCs w:val="24"/>
        </w:rPr>
        <w:t xml:space="preserve">. </w:t>
      </w:r>
      <w:r w:rsidR="004E0885">
        <w:rPr>
          <w:rFonts w:asciiTheme="majorHAnsi" w:eastAsiaTheme="majorEastAsia" w:hAnsiTheme="majorHAnsi" w:cstheme="majorBidi"/>
          <w:bCs/>
          <w:color w:val="000000" w:themeColor="text1"/>
          <w:sz w:val="24"/>
          <w:szCs w:val="24"/>
        </w:rPr>
        <w:t>By industry</w:t>
      </w:r>
      <w:r w:rsidR="001052D6">
        <w:rPr>
          <w:rFonts w:asciiTheme="majorHAnsi" w:eastAsiaTheme="majorEastAsia" w:hAnsiTheme="majorHAnsi" w:cstheme="majorBidi"/>
          <w:bCs/>
          <w:color w:val="000000" w:themeColor="text1"/>
          <w:sz w:val="24"/>
          <w:szCs w:val="24"/>
        </w:rPr>
        <w:t xml:space="preserve">, </w:t>
      </w:r>
      <w:r w:rsidR="00C86F65">
        <w:rPr>
          <w:rFonts w:asciiTheme="majorHAnsi" w:eastAsiaTheme="majorEastAsia" w:hAnsiTheme="majorHAnsi" w:cstheme="majorBidi"/>
          <w:bCs/>
          <w:color w:val="000000" w:themeColor="text1"/>
          <w:sz w:val="24"/>
          <w:szCs w:val="24"/>
        </w:rPr>
        <w:t xml:space="preserve">Table 7 shows that </w:t>
      </w:r>
      <w:r w:rsidR="001052D6">
        <w:rPr>
          <w:rFonts w:asciiTheme="majorHAnsi" w:eastAsiaTheme="majorEastAsia" w:hAnsiTheme="majorHAnsi" w:cstheme="majorBidi"/>
          <w:bCs/>
          <w:color w:val="000000" w:themeColor="text1"/>
          <w:sz w:val="24"/>
          <w:szCs w:val="24"/>
        </w:rPr>
        <w:t xml:space="preserve">the </w:t>
      </w:r>
      <w:r w:rsidR="004E0885">
        <w:rPr>
          <w:rFonts w:asciiTheme="majorHAnsi" w:eastAsiaTheme="majorEastAsia" w:hAnsiTheme="majorHAnsi" w:cstheme="majorBidi"/>
          <w:bCs/>
          <w:color w:val="000000" w:themeColor="text1"/>
          <w:sz w:val="24"/>
          <w:szCs w:val="24"/>
        </w:rPr>
        <w:t>“</w:t>
      </w:r>
      <w:r w:rsidR="00775E0F">
        <w:rPr>
          <w:rFonts w:asciiTheme="majorHAnsi" w:eastAsiaTheme="majorEastAsia" w:hAnsiTheme="majorHAnsi" w:cstheme="majorBidi"/>
          <w:bCs/>
          <w:color w:val="000000" w:themeColor="text1"/>
          <w:sz w:val="24"/>
          <w:szCs w:val="24"/>
        </w:rPr>
        <w:t>P</w:t>
      </w:r>
      <w:r w:rsidR="00775E0F" w:rsidRPr="001052D6">
        <w:rPr>
          <w:rFonts w:asciiTheme="majorHAnsi" w:eastAsiaTheme="majorEastAsia" w:hAnsiTheme="majorHAnsi" w:cstheme="majorBidi"/>
          <w:bCs/>
          <w:color w:val="000000" w:themeColor="text1"/>
          <w:sz w:val="24"/>
          <w:szCs w:val="24"/>
        </w:rPr>
        <w:t>rofessional</w:t>
      </w:r>
      <w:r w:rsidR="001052D6" w:rsidRPr="001052D6">
        <w:rPr>
          <w:rFonts w:asciiTheme="majorHAnsi" w:eastAsiaTheme="majorEastAsia" w:hAnsiTheme="majorHAnsi" w:cstheme="majorBidi"/>
          <w:bCs/>
          <w:color w:val="000000" w:themeColor="text1"/>
          <w:sz w:val="24"/>
          <w:szCs w:val="24"/>
        </w:rPr>
        <w:t xml:space="preserve">, </w:t>
      </w:r>
      <w:r w:rsidR="00775E0F">
        <w:rPr>
          <w:rFonts w:asciiTheme="majorHAnsi" w:eastAsiaTheme="majorEastAsia" w:hAnsiTheme="majorHAnsi" w:cstheme="majorBidi"/>
          <w:bCs/>
          <w:color w:val="000000" w:themeColor="text1"/>
          <w:sz w:val="24"/>
          <w:szCs w:val="24"/>
        </w:rPr>
        <w:t>S</w:t>
      </w:r>
      <w:r w:rsidR="00775E0F" w:rsidRPr="001052D6">
        <w:rPr>
          <w:rFonts w:asciiTheme="majorHAnsi" w:eastAsiaTheme="majorEastAsia" w:hAnsiTheme="majorHAnsi" w:cstheme="majorBidi"/>
          <w:bCs/>
          <w:color w:val="000000" w:themeColor="text1"/>
          <w:sz w:val="24"/>
          <w:szCs w:val="24"/>
        </w:rPr>
        <w:t>cientific</w:t>
      </w:r>
      <w:r w:rsidR="001052D6" w:rsidRPr="001052D6">
        <w:rPr>
          <w:rFonts w:asciiTheme="majorHAnsi" w:eastAsiaTheme="majorEastAsia" w:hAnsiTheme="majorHAnsi" w:cstheme="majorBidi"/>
          <w:bCs/>
          <w:color w:val="000000" w:themeColor="text1"/>
          <w:sz w:val="24"/>
          <w:szCs w:val="24"/>
        </w:rPr>
        <w:t xml:space="preserve">, and </w:t>
      </w:r>
      <w:r w:rsidR="00775E0F">
        <w:rPr>
          <w:rFonts w:asciiTheme="majorHAnsi" w:eastAsiaTheme="majorEastAsia" w:hAnsiTheme="majorHAnsi" w:cstheme="majorBidi"/>
          <w:bCs/>
          <w:color w:val="000000" w:themeColor="text1"/>
          <w:sz w:val="24"/>
          <w:szCs w:val="24"/>
        </w:rPr>
        <w:t>T</w:t>
      </w:r>
      <w:r w:rsidR="00775E0F" w:rsidRPr="001052D6">
        <w:rPr>
          <w:rFonts w:asciiTheme="majorHAnsi" w:eastAsiaTheme="majorEastAsia" w:hAnsiTheme="majorHAnsi" w:cstheme="majorBidi"/>
          <w:bCs/>
          <w:color w:val="000000" w:themeColor="text1"/>
          <w:sz w:val="24"/>
          <w:szCs w:val="24"/>
        </w:rPr>
        <w:t xml:space="preserve">echnical </w:t>
      </w:r>
      <w:r w:rsidR="00775E0F">
        <w:rPr>
          <w:rFonts w:asciiTheme="majorHAnsi" w:eastAsiaTheme="majorEastAsia" w:hAnsiTheme="majorHAnsi" w:cstheme="majorBidi"/>
          <w:bCs/>
          <w:color w:val="000000" w:themeColor="text1"/>
          <w:sz w:val="24"/>
          <w:szCs w:val="24"/>
        </w:rPr>
        <w:t>S</w:t>
      </w:r>
      <w:r w:rsidR="00775E0F" w:rsidRPr="001052D6">
        <w:rPr>
          <w:rFonts w:asciiTheme="majorHAnsi" w:eastAsiaTheme="majorEastAsia" w:hAnsiTheme="majorHAnsi" w:cstheme="majorBidi"/>
          <w:bCs/>
          <w:color w:val="000000" w:themeColor="text1"/>
          <w:sz w:val="24"/>
          <w:szCs w:val="24"/>
        </w:rPr>
        <w:t>ervices</w:t>
      </w:r>
      <w:r w:rsidR="004E0885">
        <w:rPr>
          <w:rFonts w:asciiTheme="majorHAnsi" w:eastAsiaTheme="majorEastAsia" w:hAnsiTheme="majorHAnsi" w:cstheme="majorBidi"/>
          <w:bCs/>
          <w:color w:val="000000" w:themeColor="text1"/>
          <w:sz w:val="24"/>
          <w:szCs w:val="24"/>
        </w:rPr>
        <w:t>”</w:t>
      </w:r>
      <w:r w:rsidR="001052D6">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industry </w:t>
      </w:r>
      <w:r w:rsidR="00C86F65">
        <w:rPr>
          <w:rFonts w:asciiTheme="majorHAnsi" w:eastAsiaTheme="majorEastAsia" w:hAnsiTheme="majorHAnsi" w:cstheme="majorBidi"/>
          <w:bCs/>
          <w:color w:val="000000" w:themeColor="text1"/>
          <w:sz w:val="24"/>
          <w:szCs w:val="24"/>
        </w:rPr>
        <w:t>represented</w:t>
      </w:r>
      <w:r w:rsidR="001052D6">
        <w:rPr>
          <w:rFonts w:asciiTheme="majorHAnsi" w:eastAsiaTheme="majorEastAsia" w:hAnsiTheme="majorHAnsi" w:cstheme="majorBidi"/>
          <w:bCs/>
          <w:color w:val="000000" w:themeColor="text1"/>
          <w:sz w:val="24"/>
          <w:szCs w:val="24"/>
        </w:rPr>
        <w:t xml:space="preserve"> about </w:t>
      </w:r>
      <w:r w:rsidR="00C80216">
        <w:rPr>
          <w:rFonts w:asciiTheme="majorHAnsi" w:eastAsiaTheme="majorEastAsia" w:hAnsiTheme="majorHAnsi" w:cstheme="majorBidi"/>
          <w:bCs/>
          <w:color w:val="000000" w:themeColor="text1"/>
          <w:sz w:val="24"/>
          <w:szCs w:val="24"/>
        </w:rPr>
        <w:t xml:space="preserve">19.3% of impacted </w:t>
      </w:r>
      <w:r w:rsidR="003423BC">
        <w:rPr>
          <w:rFonts w:asciiTheme="majorHAnsi" w:eastAsiaTheme="majorEastAsia" w:hAnsiTheme="majorHAnsi" w:cstheme="majorBidi"/>
          <w:bCs/>
          <w:color w:val="000000" w:themeColor="text1"/>
          <w:sz w:val="24"/>
          <w:szCs w:val="24"/>
        </w:rPr>
        <w:t>corporations</w:t>
      </w:r>
      <w:r w:rsidR="00C80216">
        <w:rPr>
          <w:rFonts w:asciiTheme="majorHAnsi" w:eastAsiaTheme="majorEastAsia" w:hAnsiTheme="majorHAnsi" w:cstheme="majorBidi"/>
          <w:bCs/>
          <w:color w:val="000000" w:themeColor="text1"/>
          <w:sz w:val="24"/>
          <w:szCs w:val="24"/>
        </w:rPr>
        <w:t xml:space="preserve">, </w:t>
      </w:r>
      <w:r w:rsidR="00A71DF8">
        <w:rPr>
          <w:rFonts w:asciiTheme="majorHAnsi" w:eastAsiaTheme="majorEastAsia" w:hAnsiTheme="majorHAnsi" w:cstheme="majorBidi"/>
          <w:bCs/>
          <w:color w:val="000000" w:themeColor="text1"/>
          <w:sz w:val="24"/>
          <w:szCs w:val="24"/>
        </w:rPr>
        <w:t xml:space="preserve">13.5% of </w:t>
      </w:r>
      <w:r w:rsidR="004B0D7F">
        <w:rPr>
          <w:rFonts w:asciiTheme="majorHAnsi" w:eastAsiaTheme="majorEastAsia" w:hAnsiTheme="majorHAnsi" w:cstheme="majorBidi"/>
          <w:bCs/>
          <w:color w:val="000000" w:themeColor="text1"/>
          <w:sz w:val="24"/>
          <w:szCs w:val="24"/>
        </w:rPr>
        <w:t xml:space="preserve">total </w:t>
      </w:r>
      <w:r w:rsidR="00A71DF8">
        <w:rPr>
          <w:rFonts w:asciiTheme="majorHAnsi" w:eastAsiaTheme="majorEastAsia" w:hAnsiTheme="majorHAnsi" w:cstheme="majorBidi"/>
          <w:bCs/>
          <w:color w:val="000000" w:themeColor="text1"/>
          <w:sz w:val="24"/>
          <w:szCs w:val="24"/>
        </w:rPr>
        <w:t xml:space="preserve">tax liability, and 19.3% of </w:t>
      </w:r>
      <w:r w:rsidR="004B0D7F">
        <w:rPr>
          <w:rFonts w:asciiTheme="majorHAnsi" w:eastAsiaTheme="majorEastAsia" w:hAnsiTheme="majorHAnsi" w:cstheme="majorBidi"/>
          <w:bCs/>
          <w:color w:val="000000" w:themeColor="text1"/>
          <w:sz w:val="24"/>
          <w:szCs w:val="24"/>
        </w:rPr>
        <w:t xml:space="preserve">total </w:t>
      </w:r>
      <w:r w:rsidR="004E0885">
        <w:rPr>
          <w:rFonts w:asciiTheme="majorHAnsi" w:eastAsiaTheme="majorEastAsia" w:hAnsiTheme="majorHAnsi" w:cstheme="majorBidi"/>
          <w:bCs/>
          <w:color w:val="000000" w:themeColor="text1"/>
          <w:sz w:val="24"/>
          <w:szCs w:val="24"/>
        </w:rPr>
        <w:t>taxable income after NOL deduction</w:t>
      </w:r>
      <w:r w:rsidR="00C86F65">
        <w:rPr>
          <w:rFonts w:asciiTheme="majorHAnsi" w:eastAsiaTheme="majorEastAsia" w:hAnsiTheme="majorHAnsi" w:cstheme="majorBidi"/>
          <w:bCs/>
          <w:color w:val="000000" w:themeColor="text1"/>
          <w:sz w:val="24"/>
          <w:szCs w:val="24"/>
        </w:rPr>
        <w:t>s</w:t>
      </w:r>
      <w:r w:rsidR="00A71DF8">
        <w:rPr>
          <w:rFonts w:asciiTheme="majorHAnsi" w:eastAsiaTheme="majorEastAsia" w:hAnsiTheme="majorHAnsi" w:cstheme="majorBidi"/>
          <w:bCs/>
          <w:color w:val="000000" w:themeColor="text1"/>
          <w:sz w:val="24"/>
          <w:szCs w:val="24"/>
        </w:rPr>
        <w:t xml:space="preserve">. </w:t>
      </w:r>
      <w:r w:rsidR="004E0885">
        <w:rPr>
          <w:rFonts w:asciiTheme="majorHAnsi" w:eastAsiaTheme="majorEastAsia" w:hAnsiTheme="majorHAnsi" w:cstheme="majorBidi"/>
          <w:bCs/>
          <w:color w:val="000000" w:themeColor="text1"/>
          <w:sz w:val="24"/>
          <w:szCs w:val="24"/>
        </w:rPr>
        <w:t xml:space="preserve">The </w:t>
      </w:r>
      <w:r w:rsidR="00FD509C">
        <w:rPr>
          <w:rFonts w:asciiTheme="majorHAnsi" w:eastAsiaTheme="majorEastAsia" w:hAnsiTheme="majorHAnsi" w:cstheme="majorBidi"/>
          <w:bCs/>
          <w:color w:val="000000" w:themeColor="text1"/>
          <w:sz w:val="24"/>
          <w:szCs w:val="24"/>
        </w:rPr>
        <w:t>“</w:t>
      </w:r>
      <w:r w:rsidR="00775E0F">
        <w:rPr>
          <w:rFonts w:asciiTheme="majorHAnsi" w:eastAsiaTheme="majorEastAsia" w:hAnsiTheme="majorHAnsi" w:cstheme="majorBidi"/>
          <w:bCs/>
          <w:color w:val="000000" w:themeColor="text1"/>
          <w:sz w:val="24"/>
          <w:szCs w:val="24"/>
        </w:rPr>
        <w:t>M</w:t>
      </w:r>
      <w:r w:rsidR="00FD509C">
        <w:rPr>
          <w:rFonts w:asciiTheme="majorHAnsi" w:eastAsiaTheme="majorEastAsia" w:hAnsiTheme="majorHAnsi" w:cstheme="majorBidi"/>
          <w:bCs/>
          <w:color w:val="000000" w:themeColor="text1"/>
          <w:sz w:val="24"/>
          <w:szCs w:val="24"/>
        </w:rPr>
        <w:t xml:space="preserve">anufacturing” industry </w:t>
      </w:r>
      <w:r w:rsidR="00C86F65">
        <w:rPr>
          <w:rFonts w:asciiTheme="majorHAnsi" w:eastAsiaTheme="majorEastAsia" w:hAnsiTheme="majorHAnsi" w:cstheme="majorBidi"/>
          <w:bCs/>
          <w:color w:val="000000" w:themeColor="text1"/>
          <w:sz w:val="24"/>
          <w:szCs w:val="24"/>
        </w:rPr>
        <w:t>represented</w:t>
      </w:r>
      <w:r w:rsidR="00A71DF8">
        <w:rPr>
          <w:rFonts w:asciiTheme="majorHAnsi" w:eastAsiaTheme="majorEastAsia" w:hAnsiTheme="majorHAnsi" w:cstheme="majorBidi"/>
          <w:bCs/>
          <w:color w:val="000000" w:themeColor="text1"/>
          <w:sz w:val="24"/>
          <w:szCs w:val="24"/>
        </w:rPr>
        <w:t xml:space="preserve"> about 11.0% of</w:t>
      </w:r>
      <w:r w:rsidR="004B0D7F">
        <w:rPr>
          <w:rFonts w:asciiTheme="majorHAnsi" w:eastAsiaTheme="majorEastAsia" w:hAnsiTheme="majorHAnsi" w:cstheme="majorBidi"/>
          <w:bCs/>
          <w:color w:val="000000" w:themeColor="text1"/>
          <w:sz w:val="24"/>
          <w:szCs w:val="24"/>
        </w:rPr>
        <w:t xml:space="preserve"> total</w:t>
      </w:r>
      <w:r w:rsidR="00A71DF8">
        <w:rPr>
          <w:rFonts w:asciiTheme="majorHAnsi" w:eastAsiaTheme="majorEastAsia" w:hAnsiTheme="majorHAnsi" w:cstheme="majorBidi"/>
          <w:bCs/>
          <w:color w:val="000000" w:themeColor="text1"/>
          <w:sz w:val="24"/>
          <w:szCs w:val="24"/>
        </w:rPr>
        <w:t xml:space="preserve"> impacted </w:t>
      </w:r>
      <w:r w:rsidR="003423BC">
        <w:rPr>
          <w:rFonts w:asciiTheme="majorHAnsi" w:eastAsiaTheme="majorEastAsia" w:hAnsiTheme="majorHAnsi" w:cstheme="majorBidi"/>
          <w:bCs/>
          <w:color w:val="000000" w:themeColor="text1"/>
          <w:sz w:val="24"/>
          <w:szCs w:val="24"/>
        </w:rPr>
        <w:t>corporations</w:t>
      </w:r>
      <w:r w:rsidR="00A71DF8">
        <w:rPr>
          <w:rFonts w:asciiTheme="majorHAnsi" w:eastAsiaTheme="majorEastAsia" w:hAnsiTheme="majorHAnsi" w:cstheme="majorBidi"/>
          <w:bCs/>
          <w:color w:val="000000" w:themeColor="text1"/>
          <w:sz w:val="24"/>
          <w:szCs w:val="24"/>
        </w:rPr>
        <w:t xml:space="preserve">, 8.3% of </w:t>
      </w:r>
      <w:r w:rsidR="004B0D7F">
        <w:rPr>
          <w:rFonts w:asciiTheme="majorHAnsi" w:eastAsiaTheme="majorEastAsia" w:hAnsiTheme="majorHAnsi" w:cstheme="majorBidi"/>
          <w:bCs/>
          <w:color w:val="000000" w:themeColor="text1"/>
          <w:sz w:val="24"/>
          <w:szCs w:val="24"/>
        </w:rPr>
        <w:t xml:space="preserve">total </w:t>
      </w:r>
      <w:r w:rsidR="00A71DF8">
        <w:rPr>
          <w:rFonts w:asciiTheme="majorHAnsi" w:eastAsiaTheme="majorEastAsia" w:hAnsiTheme="majorHAnsi" w:cstheme="majorBidi"/>
          <w:bCs/>
          <w:color w:val="000000" w:themeColor="text1"/>
          <w:sz w:val="24"/>
          <w:szCs w:val="24"/>
        </w:rPr>
        <w:t xml:space="preserve">tax liability, and 11.9% of </w:t>
      </w:r>
      <w:r w:rsidR="00FD509C">
        <w:rPr>
          <w:rFonts w:asciiTheme="majorHAnsi" w:eastAsiaTheme="majorEastAsia" w:hAnsiTheme="majorHAnsi" w:cstheme="majorBidi"/>
          <w:bCs/>
          <w:color w:val="000000" w:themeColor="text1"/>
          <w:sz w:val="24"/>
          <w:szCs w:val="24"/>
        </w:rPr>
        <w:t>taxable income after NOL deduction</w:t>
      </w:r>
      <w:r w:rsidR="00A71DF8">
        <w:rPr>
          <w:rFonts w:asciiTheme="majorHAnsi" w:eastAsiaTheme="majorEastAsia" w:hAnsiTheme="majorHAnsi" w:cstheme="majorBidi"/>
          <w:bCs/>
          <w:color w:val="000000" w:themeColor="text1"/>
          <w:sz w:val="24"/>
          <w:szCs w:val="24"/>
        </w:rPr>
        <w:t>.</w:t>
      </w:r>
      <w:r w:rsidR="004B0D7F">
        <w:rPr>
          <w:rFonts w:asciiTheme="majorHAnsi" w:eastAsiaTheme="majorEastAsia" w:hAnsiTheme="majorHAnsi" w:cstheme="majorBidi"/>
          <w:bCs/>
          <w:color w:val="000000" w:themeColor="text1"/>
          <w:sz w:val="24"/>
          <w:szCs w:val="24"/>
        </w:rPr>
        <w:t xml:space="preserve"> </w:t>
      </w:r>
    </w:p>
    <w:p w14:paraId="6C2F96A6" w14:textId="77777777" w:rsidR="00A71DF8" w:rsidRDefault="00A71DF8" w:rsidP="005C6047">
      <w:pPr>
        <w:spacing w:after="0"/>
        <w:rPr>
          <w:rFonts w:asciiTheme="majorHAnsi" w:eastAsiaTheme="majorEastAsia" w:hAnsiTheme="majorHAnsi" w:cstheme="majorBidi"/>
          <w:bCs/>
          <w:color w:val="000000" w:themeColor="text1"/>
          <w:sz w:val="24"/>
          <w:szCs w:val="24"/>
        </w:rPr>
      </w:pPr>
    </w:p>
    <w:p w14:paraId="78B351C4" w14:textId="77777777" w:rsidR="000D2FF2" w:rsidRDefault="00C80216" w:rsidP="000D2FF2">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On average, impacted corporation</w:t>
      </w:r>
      <w:r w:rsidR="00CA404B">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w:t>
      </w:r>
      <w:r w:rsidR="000D2FF2">
        <w:rPr>
          <w:rFonts w:asciiTheme="majorHAnsi" w:eastAsiaTheme="majorEastAsia" w:hAnsiTheme="majorHAnsi" w:cstheme="majorBidi"/>
          <w:bCs/>
          <w:color w:val="000000" w:themeColor="text1"/>
          <w:sz w:val="24"/>
          <w:szCs w:val="24"/>
        </w:rPr>
        <w:t xml:space="preserve">claimed </w:t>
      </w:r>
      <w:r w:rsidR="00CA404B">
        <w:rPr>
          <w:rFonts w:asciiTheme="majorHAnsi" w:eastAsiaTheme="majorEastAsia" w:hAnsiTheme="majorHAnsi" w:cstheme="majorBidi"/>
          <w:bCs/>
          <w:color w:val="000000" w:themeColor="text1"/>
          <w:sz w:val="24"/>
          <w:szCs w:val="24"/>
        </w:rPr>
        <w:t>net operation loss deduction of</w:t>
      </w:r>
      <w:r>
        <w:rPr>
          <w:rFonts w:asciiTheme="majorHAnsi" w:eastAsiaTheme="majorEastAsia" w:hAnsiTheme="majorHAnsi" w:cstheme="majorBidi"/>
          <w:bCs/>
          <w:color w:val="000000" w:themeColor="text1"/>
          <w:sz w:val="24"/>
          <w:szCs w:val="24"/>
        </w:rPr>
        <w:t xml:space="preserve"> $</w:t>
      </w:r>
      <w:r w:rsidR="000D2FF2">
        <w:rPr>
          <w:rFonts w:asciiTheme="majorHAnsi" w:eastAsiaTheme="majorEastAsia" w:hAnsiTheme="majorHAnsi" w:cstheme="majorBidi"/>
          <w:bCs/>
          <w:color w:val="000000" w:themeColor="text1"/>
          <w:sz w:val="24"/>
          <w:szCs w:val="24"/>
        </w:rPr>
        <w:t xml:space="preserve">242,972. This average claimed amount varied from $49,509 for </w:t>
      </w:r>
      <w:r w:rsidR="000D2FF2">
        <w:rPr>
          <w:rFonts w:asciiTheme="majorHAnsi" w:hAnsiTheme="majorHAnsi"/>
          <w:sz w:val="24"/>
          <w:szCs w:val="24"/>
        </w:rPr>
        <w:t>corporations with taxable income less than $0 to $</w:t>
      </w:r>
      <w:r w:rsidR="00C33926">
        <w:rPr>
          <w:rFonts w:asciiTheme="majorHAnsi" w:hAnsiTheme="majorHAnsi"/>
          <w:sz w:val="24"/>
          <w:szCs w:val="24"/>
        </w:rPr>
        <w:t>7.927 million</w:t>
      </w:r>
      <w:r w:rsidR="000D2FF2">
        <w:rPr>
          <w:rFonts w:asciiTheme="majorHAnsi" w:hAnsiTheme="majorHAnsi"/>
          <w:sz w:val="24"/>
          <w:szCs w:val="24"/>
        </w:rPr>
        <w:t xml:space="preserve"> for corporations with $10 million</w:t>
      </w:r>
      <w:r w:rsidR="003423BC">
        <w:rPr>
          <w:rFonts w:asciiTheme="majorHAnsi" w:hAnsiTheme="majorHAnsi"/>
          <w:sz w:val="24"/>
          <w:szCs w:val="24"/>
        </w:rPr>
        <w:t xml:space="preserve"> or higher</w:t>
      </w:r>
      <w:r w:rsidR="003423BC" w:rsidRPr="003423BC">
        <w:rPr>
          <w:rFonts w:asciiTheme="majorHAnsi" w:hAnsiTheme="majorHAnsi"/>
          <w:sz w:val="24"/>
          <w:szCs w:val="24"/>
        </w:rPr>
        <w:t xml:space="preserve"> </w:t>
      </w:r>
      <w:r w:rsidR="003423BC">
        <w:rPr>
          <w:rFonts w:asciiTheme="majorHAnsi" w:hAnsiTheme="majorHAnsi"/>
          <w:sz w:val="24"/>
          <w:szCs w:val="24"/>
        </w:rPr>
        <w:t>taxable income</w:t>
      </w:r>
      <w:r w:rsidR="000D2FF2">
        <w:rPr>
          <w:rFonts w:asciiTheme="majorHAnsi" w:hAnsiTheme="majorHAnsi"/>
          <w:sz w:val="24"/>
          <w:szCs w:val="24"/>
        </w:rPr>
        <w:t xml:space="preserve">, from </w:t>
      </w:r>
      <w:r w:rsidR="000D2FF2">
        <w:rPr>
          <w:rFonts w:asciiTheme="majorHAnsi" w:eastAsiaTheme="majorEastAsia" w:hAnsiTheme="majorHAnsi" w:cstheme="majorBidi"/>
          <w:bCs/>
          <w:color w:val="000000" w:themeColor="text1"/>
          <w:sz w:val="24"/>
          <w:szCs w:val="24"/>
        </w:rPr>
        <w:t>$</w:t>
      </w:r>
      <w:r w:rsidR="00C33926">
        <w:rPr>
          <w:rFonts w:asciiTheme="majorHAnsi" w:eastAsiaTheme="majorEastAsia" w:hAnsiTheme="majorHAnsi" w:cstheme="majorBidi"/>
          <w:bCs/>
          <w:color w:val="000000" w:themeColor="text1"/>
          <w:sz w:val="24"/>
          <w:szCs w:val="24"/>
        </w:rPr>
        <w:t>110,716</w:t>
      </w:r>
      <w:r w:rsidR="000D2FF2">
        <w:rPr>
          <w:rFonts w:asciiTheme="majorHAnsi" w:eastAsiaTheme="majorEastAsia" w:hAnsiTheme="majorHAnsi" w:cstheme="majorBidi"/>
          <w:bCs/>
          <w:color w:val="000000" w:themeColor="text1"/>
          <w:sz w:val="24"/>
          <w:szCs w:val="24"/>
        </w:rPr>
        <w:t xml:space="preserve"> for </w:t>
      </w:r>
      <w:r w:rsidR="000D2FF2">
        <w:rPr>
          <w:rFonts w:asciiTheme="majorHAnsi" w:hAnsiTheme="majorHAnsi"/>
          <w:sz w:val="24"/>
          <w:szCs w:val="24"/>
        </w:rPr>
        <w:t xml:space="preserve">corporations with </w:t>
      </w:r>
      <w:r w:rsidR="00BF2F55">
        <w:rPr>
          <w:rFonts w:asciiTheme="majorHAnsi" w:hAnsiTheme="majorHAnsi"/>
          <w:sz w:val="24"/>
          <w:szCs w:val="24"/>
        </w:rPr>
        <w:t xml:space="preserve">fewer </w:t>
      </w:r>
      <w:r w:rsidR="00C33926">
        <w:rPr>
          <w:rFonts w:asciiTheme="majorHAnsi" w:hAnsiTheme="majorHAnsi"/>
          <w:sz w:val="24"/>
          <w:szCs w:val="24"/>
        </w:rPr>
        <w:t>than 5</w:t>
      </w:r>
      <w:r w:rsidR="000D2FF2">
        <w:rPr>
          <w:rFonts w:asciiTheme="majorHAnsi" w:hAnsiTheme="majorHAnsi"/>
          <w:sz w:val="24"/>
          <w:szCs w:val="24"/>
        </w:rPr>
        <w:t xml:space="preserve"> employees to $</w:t>
      </w:r>
      <w:r w:rsidR="00C33926">
        <w:rPr>
          <w:rFonts w:asciiTheme="majorHAnsi" w:hAnsiTheme="majorHAnsi"/>
          <w:sz w:val="24"/>
          <w:szCs w:val="24"/>
        </w:rPr>
        <w:t>1.467 million</w:t>
      </w:r>
      <w:r w:rsidR="000D2FF2">
        <w:rPr>
          <w:rFonts w:asciiTheme="majorHAnsi" w:hAnsiTheme="majorHAnsi"/>
          <w:sz w:val="24"/>
          <w:szCs w:val="24"/>
        </w:rPr>
        <w:t xml:space="preserve"> for corporations with 500 or more employees, and from $</w:t>
      </w:r>
      <w:r w:rsidR="00C33926">
        <w:rPr>
          <w:rFonts w:asciiTheme="majorHAnsi" w:hAnsiTheme="majorHAnsi"/>
          <w:sz w:val="24"/>
          <w:szCs w:val="24"/>
        </w:rPr>
        <w:t>27,540</w:t>
      </w:r>
      <w:r w:rsidR="000D2FF2">
        <w:rPr>
          <w:rFonts w:asciiTheme="majorHAnsi" w:hAnsiTheme="majorHAnsi"/>
          <w:sz w:val="24"/>
          <w:szCs w:val="24"/>
        </w:rPr>
        <w:t xml:space="preserve"> for corporations in the </w:t>
      </w:r>
      <w:r w:rsidR="000D2FF2">
        <w:rPr>
          <w:rFonts w:ascii="Cambria" w:eastAsia="Times New Roman" w:hAnsi="Cambria" w:cs="Helvetica"/>
          <w:color w:val="000000"/>
          <w:sz w:val="24"/>
          <w:szCs w:val="24"/>
          <w:lang w:eastAsia="ko-KR"/>
        </w:rPr>
        <w:t>industry</w:t>
      </w:r>
      <w:r w:rsidR="000D2FF2">
        <w:rPr>
          <w:rFonts w:asciiTheme="majorHAnsi" w:hAnsiTheme="majorHAnsi"/>
          <w:sz w:val="24"/>
          <w:szCs w:val="24"/>
        </w:rPr>
        <w:t xml:space="preserve"> of “</w:t>
      </w:r>
      <w:r w:rsidR="000D2FF2" w:rsidRPr="00F42F20">
        <w:rPr>
          <w:rFonts w:ascii="Cambria" w:eastAsia="Times New Roman" w:hAnsi="Cambria" w:cs="Helvetica"/>
          <w:color w:val="000000"/>
          <w:sz w:val="24"/>
          <w:szCs w:val="24"/>
          <w:lang w:eastAsia="ko-KR"/>
        </w:rPr>
        <w:t>Other Services (except Public Administration)</w:t>
      </w:r>
      <w:r w:rsidR="000D2FF2">
        <w:rPr>
          <w:rFonts w:ascii="Cambria" w:eastAsia="Times New Roman" w:hAnsi="Cambria" w:cs="Helvetica"/>
          <w:color w:val="000000"/>
          <w:sz w:val="24"/>
          <w:szCs w:val="24"/>
          <w:lang w:eastAsia="ko-KR"/>
        </w:rPr>
        <w:t xml:space="preserve">” </w:t>
      </w:r>
      <w:r w:rsidR="000D2FF2">
        <w:rPr>
          <w:rFonts w:asciiTheme="majorHAnsi" w:hAnsiTheme="majorHAnsi"/>
          <w:sz w:val="24"/>
          <w:szCs w:val="24"/>
        </w:rPr>
        <w:t>to $</w:t>
      </w:r>
      <w:r w:rsidR="00C33926">
        <w:rPr>
          <w:rFonts w:asciiTheme="majorHAnsi" w:hAnsiTheme="majorHAnsi"/>
          <w:sz w:val="24"/>
          <w:szCs w:val="24"/>
        </w:rPr>
        <w:t>851</w:t>
      </w:r>
      <w:r w:rsidR="000D2FF2">
        <w:rPr>
          <w:rFonts w:asciiTheme="majorHAnsi" w:hAnsiTheme="majorHAnsi"/>
          <w:sz w:val="24"/>
          <w:szCs w:val="24"/>
        </w:rPr>
        <w:t>,</w:t>
      </w:r>
      <w:r w:rsidR="00C33926">
        <w:rPr>
          <w:rFonts w:asciiTheme="majorHAnsi" w:hAnsiTheme="majorHAnsi"/>
          <w:sz w:val="24"/>
          <w:szCs w:val="24"/>
        </w:rPr>
        <w:t>304</w:t>
      </w:r>
      <w:r w:rsidR="000D2FF2">
        <w:rPr>
          <w:rFonts w:asciiTheme="majorHAnsi" w:hAnsiTheme="majorHAnsi"/>
          <w:sz w:val="24"/>
          <w:szCs w:val="24"/>
        </w:rPr>
        <w:t xml:space="preserve"> for corporations in the “</w:t>
      </w:r>
      <w:r w:rsidR="00C33926">
        <w:rPr>
          <w:rFonts w:asciiTheme="majorHAnsi" w:hAnsiTheme="majorHAnsi"/>
          <w:sz w:val="24"/>
          <w:szCs w:val="24"/>
        </w:rPr>
        <w:t>Utilities</w:t>
      </w:r>
      <w:r w:rsidR="000D2FF2">
        <w:rPr>
          <w:rFonts w:asciiTheme="majorHAnsi" w:hAnsiTheme="majorHAnsi"/>
          <w:sz w:val="24"/>
          <w:szCs w:val="24"/>
        </w:rPr>
        <w:t xml:space="preserve">” industry. </w:t>
      </w:r>
    </w:p>
    <w:p w14:paraId="1254C8F6" w14:textId="77777777" w:rsidR="000D2FF2" w:rsidRDefault="000D2FF2" w:rsidP="005C6047">
      <w:pPr>
        <w:spacing w:after="0"/>
        <w:rPr>
          <w:rFonts w:asciiTheme="majorHAnsi" w:eastAsiaTheme="majorEastAsia" w:hAnsiTheme="majorHAnsi" w:cstheme="majorBidi"/>
          <w:bCs/>
          <w:color w:val="000000" w:themeColor="text1"/>
          <w:sz w:val="24"/>
          <w:szCs w:val="24"/>
        </w:rPr>
      </w:pPr>
    </w:p>
    <w:p w14:paraId="59AE497A" w14:textId="77777777" w:rsidR="007A622C" w:rsidRDefault="007A622C" w:rsidP="006B5573">
      <w:pPr>
        <w:tabs>
          <w:tab w:val="left" w:pos="7050"/>
        </w:tabs>
        <w:spacing w:after="0"/>
        <w:jc w:val="center"/>
        <w:rPr>
          <w:rFonts w:asciiTheme="majorHAnsi" w:eastAsiaTheme="majorEastAsia" w:hAnsiTheme="majorHAnsi" w:cstheme="majorBidi"/>
          <w:b/>
          <w:color w:val="000000" w:themeColor="text1"/>
          <w:sz w:val="20"/>
          <w:szCs w:val="20"/>
        </w:rPr>
      </w:pPr>
    </w:p>
    <w:p w14:paraId="0E45AB6F" w14:textId="77777777" w:rsidR="00AF6539" w:rsidRDefault="00F4051E" w:rsidP="006B5573">
      <w:pPr>
        <w:tabs>
          <w:tab w:val="left" w:pos="7050"/>
        </w:tabs>
        <w:spacing w:after="0"/>
        <w:jc w:val="center"/>
        <w:rPr>
          <w:rFonts w:asciiTheme="majorHAnsi" w:hAnsiTheme="majorHAnsi"/>
          <w:b/>
          <w:sz w:val="20"/>
          <w:szCs w:val="20"/>
        </w:rPr>
      </w:pPr>
      <w:r w:rsidRPr="006B5573">
        <w:rPr>
          <w:rFonts w:asciiTheme="majorHAnsi" w:eastAsiaTheme="majorEastAsia" w:hAnsiTheme="majorHAnsi" w:cstheme="majorBidi"/>
          <w:b/>
          <w:color w:val="000000" w:themeColor="text1"/>
          <w:sz w:val="20"/>
          <w:szCs w:val="20"/>
        </w:rPr>
        <w:t xml:space="preserve">Table </w:t>
      </w:r>
      <w:r w:rsidR="00775E0F" w:rsidRPr="006B5573">
        <w:rPr>
          <w:rFonts w:asciiTheme="majorHAnsi" w:eastAsiaTheme="majorEastAsia" w:hAnsiTheme="majorHAnsi" w:cstheme="majorBidi"/>
          <w:b/>
          <w:color w:val="000000" w:themeColor="text1"/>
          <w:sz w:val="20"/>
          <w:szCs w:val="20"/>
        </w:rPr>
        <w:t>5</w:t>
      </w:r>
      <w:r w:rsidRPr="006B5573">
        <w:rPr>
          <w:rFonts w:asciiTheme="majorHAnsi" w:eastAsiaTheme="majorEastAsia" w:hAnsiTheme="majorHAnsi" w:cstheme="majorBidi"/>
          <w:b/>
          <w:color w:val="000000" w:themeColor="text1"/>
          <w:sz w:val="20"/>
          <w:szCs w:val="20"/>
        </w:rPr>
        <w:t xml:space="preserve">. </w:t>
      </w:r>
      <w:r w:rsidR="008471E4" w:rsidRPr="006B5573">
        <w:rPr>
          <w:rFonts w:asciiTheme="majorHAnsi" w:hAnsiTheme="majorHAnsi"/>
          <w:b/>
          <w:sz w:val="20"/>
          <w:szCs w:val="20"/>
        </w:rPr>
        <w:t>Impacted Corporation</w:t>
      </w:r>
      <w:r w:rsidR="00E11582" w:rsidRPr="006B5573">
        <w:rPr>
          <w:rFonts w:asciiTheme="majorHAnsi" w:hAnsiTheme="majorHAnsi"/>
          <w:b/>
          <w:sz w:val="20"/>
          <w:szCs w:val="20"/>
        </w:rPr>
        <w:t xml:space="preserve">s of Net Operating Loss Carryover, Tax Liability, and Taxable Income </w:t>
      </w:r>
    </w:p>
    <w:p w14:paraId="21CE7A32" w14:textId="77777777" w:rsidR="00763013" w:rsidRPr="006B5573" w:rsidRDefault="00E11582" w:rsidP="006B5573">
      <w:pPr>
        <w:tabs>
          <w:tab w:val="left" w:pos="7050"/>
        </w:tabs>
        <w:spacing w:after="0"/>
        <w:jc w:val="center"/>
        <w:rPr>
          <w:rFonts w:asciiTheme="majorHAnsi" w:hAnsiTheme="majorHAnsi"/>
          <w:b/>
          <w:sz w:val="20"/>
          <w:szCs w:val="20"/>
        </w:rPr>
      </w:pPr>
      <w:r w:rsidRPr="006B5573">
        <w:rPr>
          <w:rFonts w:asciiTheme="majorHAnsi" w:hAnsiTheme="majorHAnsi"/>
          <w:b/>
          <w:sz w:val="20"/>
          <w:szCs w:val="20"/>
        </w:rPr>
        <w:t>by Taxable Income</w:t>
      </w:r>
      <w:r w:rsidR="0007436D" w:rsidRPr="006B5573">
        <w:rPr>
          <w:rFonts w:asciiTheme="majorHAnsi" w:hAnsiTheme="majorHAnsi"/>
          <w:b/>
          <w:sz w:val="20"/>
          <w:szCs w:val="20"/>
        </w:rPr>
        <w:t xml:space="preserve"> Level</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810"/>
        <w:gridCol w:w="990"/>
        <w:gridCol w:w="900"/>
        <w:gridCol w:w="1080"/>
        <w:gridCol w:w="720"/>
        <w:gridCol w:w="810"/>
        <w:gridCol w:w="990"/>
        <w:gridCol w:w="1080"/>
      </w:tblGrid>
      <w:tr w:rsidR="000E6703" w:rsidRPr="000E6703" w14:paraId="508AFAD2" w14:textId="77777777" w:rsidTr="006B5573">
        <w:trPr>
          <w:trHeight w:val="880"/>
        </w:trPr>
        <w:tc>
          <w:tcPr>
            <w:tcW w:w="1435" w:type="dxa"/>
            <w:shd w:val="clear" w:color="auto" w:fill="B6DDE8" w:themeFill="accent5" w:themeFillTint="66"/>
            <w:vAlign w:val="center"/>
            <w:hideMark/>
          </w:tcPr>
          <w:p w14:paraId="0932A4D6"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Taxable Income Range </w:t>
            </w:r>
            <w:r w:rsidR="009160E0" w:rsidRPr="006B5573">
              <w:rPr>
                <w:rFonts w:ascii="Cambria" w:eastAsia="Times New Roman" w:hAnsi="Cambria" w:cs="Helvetica"/>
                <w:color w:val="000000"/>
                <w:sz w:val="16"/>
                <w:szCs w:val="16"/>
                <w:lang w:eastAsia="ko-KR"/>
              </w:rPr>
              <w:t>(after NOL)</w:t>
            </w:r>
          </w:p>
        </w:tc>
        <w:tc>
          <w:tcPr>
            <w:tcW w:w="900" w:type="dxa"/>
            <w:shd w:val="clear" w:color="auto" w:fill="B6DDE8" w:themeFill="accent5" w:themeFillTint="66"/>
            <w:vAlign w:val="center"/>
            <w:hideMark/>
          </w:tcPr>
          <w:p w14:paraId="76EA62F5"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w:t>
            </w:r>
            <w:r w:rsidR="0007436D" w:rsidRPr="000E6703">
              <w:rPr>
                <w:rFonts w:ascii="Cambria" w:eastAsia="Times New Roman" w:hAnsi="Cambria" w:cs="Arial"/>
                <w:color w:val="000000"/>
                <w:sz w:val="16"/>
                <w:szCs w:val="16"/>
                <w:lang w:eastAsia="ko-KR"/>
              </w:rPr>
              <w:t xml:space="preserve">Tax Liability </w:t>
            </w:r>
            <w:r w:rsidRPr="006B5573">
              <w:rPr>
                <w:rFonts w:ascii="Cambria" w:eastAsia="Times New Roman" w:hAnsi="Cambria" w:cs="Helvetica"/>
                <w:color w:val="000000"/>
                <w:sz w:val="16"/>
                <w:szCs w:val="16"/>
                <w:lang w:eastAsia="ko-KR"/>
              </w:rPr>
              <w:t xml:space="preserve">($000) </w:t>
            </w:r>
          </w:p>
        </w:tc>
        <w:tc>
          <w:tcPr>
            <w:tcW w:w="810" w:type="dxa"/>
            <w:shd w:val="clear" w:color="auto" w:fill="B6DDE8" w:themeFill="accent5" w:themeFillTint="66"/>
            <w:vAlign w:val="center"/>
            <w:hideMark/>
          </w:tcPr>
          <w:p w14:paraId="18E33A35"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Percent</w:t>
            </w:r>
            <w:r w:rsidR="000E6703">
              <w:rPr>
                <w:rFonts w:ascii="Cambria" w:eastAsia="Times New Roman" w:hAnsi="Cambria" w:cs="Helvetica"/>
                <w:color w:val="000000"/>
                <w:sz w:val="16"/>
                <w:szCs w:val="16"/>
                <w:lang w:eastAsia="ko-KR"/>
              </w:rPr>
              <w:t xml:space="preserve"> </w:t>
            </w:r>
            <w:r w:rsidR="0007436D" w:rsidRPr="006B5573">
              <w:rPr>
                <w:rFonts w:ascii="Cambria" w:eastAsia="Times New Roman" w:hAnsi="Cambria" w:cs="Helvetica"/>
                <w:color w:val="000000"/>
                <w:sz w:val="16"/>
                <w:szCs w:val="16"/>
                <w:lang w:eastAsia="ko-KR"/>
              </w:rPr>
              <w:t>of Total Tax Liability</w:t>
            </w:r>
          </w:p>
        </w:tc>
        <w:tc>
          <w:tcPr>
            <w:tcW w:w="990" w:type="dxa"/>
            <w:shd w:val="clear" w:color="auto" w:fill="B6DDE8" w:themeFill="accent5" w:themeFillTint="66"/>
            <w:vAlign w:val="center"/>
            <w:hideMark/>
          </w:tcPr>
          <w:p w14:paraId="603CB7A1"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Taxable Income After NOL ($000) -A </w:t>
            </w:r>
          </w:p>
        </w:tc>
        <w:tc>
          <w:tcPr>
            <w:tcW w:w="900" w:type="dxa"/>
            <w:shd w:val="clear" w:color="auto" w:fill="B6DDE8" w:themeFill="accent5" w:themeFillTint="66"/>
            <w:vAlign w:val="center"/>
            <w:hideMark/>
          </w:tcPr>
          <w:p w14:paraId="145D740E"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Percent</w:t>
            </w:r>
            <w:r w:rsidR="0007436D" w:rsidRPr="006B5573">
              <w:rPr>
                <w:rFonts w:ascii="Cambria" w:eastAsia="Times New Roman" w:hAnsi="Cambria" w:cs="Helvetica"/>
                <w:color w:val="000000"/>
                <w:sz w:val="16"/>
                <w:szCs w:val="16"/>
                <w:lang w:eastAsia="ko-KR"/>
              </w:rPr>
              <w:t xml:space="preserve"> of Total</w:t>
            </w:r>
            <w:r w:rsidRPr="006B5573">
              <w:rPr>
                <w:rFonts w:ascii="Cambria" w:eastAsia="Times New Roman" w:hAnsi="Cambria" w:cs="Helvetica"/>
                <w:color w:val="000000"/>
                <w:sz w:val="16"/>
                <w:szCs w:val="16"/>
                <w:lang w:eastAsia="ko-KR"/>
              </w:rPr>
              <w:t xml:space="preserve"> </w:t>
            </w:r>
            <w:r w:rsidR="0007436D" w:rsidRPr="006B5573">
              <w:rPr>
                <w:rFonts w:ascii="Cambria" w:eastAsia="Times New Roman" w:hAnsi="Cambria" w:cs="Helvetica"/>
                <w:color w:val="000000"/>
                <w:sz w:val="16"/>
                <w:szCs w:val="16"/>
                <w:lang w:eastAsia="ko-KR"/>
              </w:rPr>
              <w:t>Taxable Income After NOL</w:t>
            </w:r>
          </w:p>
        </w:tc>
        <w:tc>
          <w:tcPr>
            <w:tcW w:w="1080" w:type="dxa"/>
            <w:shd w:val="clear" w:color="auto" w:fill="B6DDE8" w:themeFill="accent5" w:themeFillTint="66"/>
            <w:vAlign w:val="center"/>
            <w:hideMark/>
          </w:tcPr>
          <w:p w14:paraId="603A0B62"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Taxable Income Before NOL ($000) -B </w:t>
            </w:r>
          </w:p>
        </w:tc>
        <w:tc>
          <w:tcPr>
            <w:tcW w:w="720" w:type="dxa"/>
            <w:shd w:val="clear" w:color="auto" w:fill="B6DDE8" w:themeFill="accent5" w:themeFillTint="66"/>
            <w:vAlign w:val="center"/>
            <w:hideMark/>
          </w:tcPr>
          <w:p w14:paraId="2DD3A7B0" w14:textId="77777777" w:rsidR="00B325E0" w:rsidRPr="006B5573" w:rsidRDefault="00B325E0" w:rsidP="00B325E0">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A/B </w:t>
            </w:r>
          </w:p>
        </w:tc>
        <w:tc>
          <w:tcPr>
            <w:tcW w:w="810" w:type="dxa"/>
            <w:shd w:val="clear" w:color="auto" w:fill="B6DDE8" w:themeFill="accent5" w:themeFillTint="66"/>
            <w:vAlign w:val="center"/>
            <w:hideMark/>
          </w:tcPr>
          <w:p w14:paraId="2BD4D2CC"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Number of </w:t>
            </w:r>
            <w:r w:rsidR="008471E4" w:rsidRPr="006B5573">
              <w:rPr>
                <w:rFonts w:ascii="Cambria" w:eastAsia="Times New Roman" w:hAnsi="Cambria" w:cs="Helvetica"/>
                <w:color w:val="000000"/>
                <w:sz w:val="16"/>
                <w:szCs w:val="16"/>
                <w:lang w:eastAsia="ko-KR"/>
              </w:rPr>
              <w:t>Impacted Corporation</w:t>
            </w:r>
            <w:r w:rsidRPr="006B5573">
              <w:rPr>
                <w:rFonts w:ascii="Cambria" w:eastAsia="Times New Roman" w:hAnsi="Cambria" w:cs="Helvetica"/>
                <w:color w:val="000000"/>
                <w:sz w:val="16"/>
                <w:szCs w:val="16"/>
                <w:lang w:eastAsia="ko-KR"/>
              </w:rPr>
              <w:t xml:space="preserve">s </w:t>
            </w:r>
          </w:p>
        </w:tc>
        <w:tc>
          <w:tcPr>
            <w:tcW w:w="990" w:type="dxa"/>
            <w:shd w:val="clear" w:color="auto" w:fill="B6DDE8" w:themeFill="accent5" w:themeFillTint="66"/>
            <w:vAlign w:val="center"/>
            <w:hideMark/>
          </w:tcPr>
          <w:p w14:paraId="1EA79701"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w:t>
            </w:r>
            <w:r w:rsidR="0007436D" w:rsidRPr="000E6703">
              <w:rPr>
                <w:rFonts w:ascii="Cambria" w:eastAsia="Times New Roman" w:hAnsi="Cambria" w:cs="Helvetica"/>
                <w:i/>
                <w:iCs/>
                <w:color w:val="000000"/>
                <w:sz w:val="16"/>
                <w:szCs w:val="16"/>
                <w:lang w:eastAsia="ko-KR"/>
              </w:rPr>
              <w:t xml:space="preserve">Percent of Total Number of </w:t>
            </w:r>
            <w:r w:rsidR="0007436D" w:rsidRPr="000E6703">
              <w:rPr>
                <w:rFonts w:ascii="Cambria" w:eastAsia="Times New Roman" w:hAnsi="Cambria" w:cs="Arial"/>
                <w:i/>
                <w:iCs/>
                <w:color w:val="000000"/>
                <w:sz w:val="16"/>
                <w:szCs w:val="16"/>
                <w:lang w:eastAsia="ko-KR"/>
              </w:rPr>
              <w:t>Impacted Corporations</w:t>
            </w:r>
          </w:p>
        </w:tc>
        <w:tc>
          <w:tcPr>
            <w:tcW w:w="1080" w:type="dxa"/>
            <w:shd w:val="clear" w:color="auto" w:fill="B6DDE8" w:themeFill="accent5" w:themeFillTint="66"/>
            <w:vAlign w:val="center"/>
            <w:hideMark/>
          </w:tcPr>
          <w:p w14:paraId="1E58D25D" w14:textId="77777777" w:rsidR="00B325E0" w:rsidRPr="006B5573" w:rsidRDefault="00B325E0" w:rsidP="00B325E0">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NOL per impacted </w:t>
            </w:r>
            <w:r w:rsidR="0007436D" w:rsidRPr="000E6703">
              <w:rPr>
                <w:rFonts w:ascii="Cambria" w:eastAsia="Times New Roman" w:hAnsi="Cambria" w:cs="Arial"/>
                <w:color w:val="000000"/>
                <w:sz w:val="16"/>
                <w:szCs w:val="16"/>
                <w:lang w:eastAsia="ko-KR"/>
              </w:rPr>
              <w:t>Corporation</w:t>
            </w:r>
            <w:r w:rsidRPr="006B5573">
              <w:rPr>
                <w:rFonts w:ascii="Cambria" w:eastAsia="Times New Roman" w:hAnsi="Cambria" w:cs="Helvetica"/>
                <w:color w:val="000000"/>
                <w:sz w:val="16"/>
                <w:szCs w:val="16"/>
                <w:lang w:eastAsia="ko-KR"/>
              </w:rPr>
              <w:t xml:space="preserve"> ($) </w:t>
            </w:r>
          </w:p>
        </w:tc>
      </w:tr>
      <w:tr w:rsidR="000E6703" w:rsidRPr="000E6703" w14:paraId="0E72DE23" w14:textId="77777777" w:rsidTr="006B5573">
        <w:trPr>
          <w:trHeight w:val="440"/>
        </w:trPr>
        <w:tc>
          <w:tcPr>
            <w:tcW w:w="1435" w:type="dxa"/>
            <w:shd w:val="clear" w:color="auto" w:fill="auto"/>
            <w:vAlign w:val="center"/>
            <w:hideMark/>
          </w:tcPr>
          <w:p w14:paraId="7EC53D9A" w14:textId="77777777" w:rsidR="003A0367" w:rsidRPr="006B5573" w:rsidRDefault="0007436D" w:rsidP="003A0367">
            <w:pPr>
              <w:spacing w:after="0" w:line="240" w:lineRule="auto"/>
              <w:jc w:val="center"/>
              <w:rPr>
                <w:rFonts w:ascii="Cambria" w:eastAsia="Times New Roman" w:hAnsi="Cambria" w:cs="Helvetica"/>
                <w:color w:val="000000"/>
                <w:sz w:val="16"/>
                <w:szCs w:val="16"/>
                <w:lang w:eastAsia="ko-KR"/>
              </w:rPr>
            </w:pPr>
            <w:r w:rsidRPr="000E6703">
              <w:rPr>
                <w:rFonts w:ascii="Cambria" w:eastAsia="Times New Roman" w:hAnsi="Cambria" w:cs="Arial"/>
                <w:color w:val="000000"/>
                <w:sz w:val="16"/>
                <w:szCs w:val="16"/>
                <w:lang w:eastAsia="ko-KR"/>
              </w:rPr>
              <w:t>Less than $0</w:t>
            </w:r>
          </w:p>
        </w:tc>
        <w:tc>
          <w:tcPr>
            <w:tcW w:w="900" w:type="dxa"/>
            <w:shd w:val="clear" w:color="auto" w:fill="auto"/>
            <w:vAlign w:val="center"/>
            <w:hideMark/>
          </w:tcPr>
          <w:p w14:paraId="6FD92BB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$13</w:t>
            </w:r>
          </w:p>
        </w:tc>
        <w:tc>
          <w:tcPr>
            <w:tcW w:w="810" w:type="dxa"/>
            <w:shd w:val="clear" w:color="auto" w:fill="auto"/>
            <w:vAlign w:val="center"/>
            <w:hideMark/>
          </w:tcPr>
          <w:p w14:paraId="796DEAC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0.0%</w:t>
            </w:r>
          </w:p>
        </w:tc>
        <w:tc>
          <w:tcPr>
            <w:tcW w:w="990" w:type="dxa"/>
            <w:shd w:val="clear" w:color="auto" w:fill="auto"/>
            <w:vAlign w:val="center"/>
            <w:hideMark/>
          </w:tcPr>
          <w:p w14:paraId="08D3FD0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-$981</w:t>
            </w:r>
          </w:p>
        </w:tc>
        <w:tc>
          <w:tcPr>
            <w:tcW w:w="900" w:type="dxa"/>
            <w:shd w:val="clear" w:color="auto" w:fill="auto"/>
            <w:vAlign w:val="center"/>
            <w:hideMark/>
          </w:tcPr>
          <w:p w14:paraId="479DD1D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0.0%</w:t>
            </w:r>
          </w:p>
        </w:tc>
        <w:tc>
          <w:tcPr>
            <w:tcW w:w="1080" w:type="dxa"/>
            <w:shd w:val="clear" w:color="auto" w:fill="auto"/>
            <w:vAlign w:val="center"/>
            <w:hideMark/>
          </w:tcPr>
          <w:p w14:paraId="0C8769E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$306</w:t>
            </w:r>
          </w:p>
        </w:tc>
        <w:tc>
          <w:tcPr>
            <w:tcW w:w="720" w:type="dxa"/>
            <w:shd w:val="clear" w:color="auto" w:fill="auto"/>
            <w:vAlign w:val="center"/>
            <w:hideMark/>
          </w:tcPr>
          <w:p w14:paraId="41F6FCD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p>
        </w:tc>
        <w:tc>
          <w:tcPr>
            <w:tcW w:w="810" w:type="dxa"/>
            <w:shd w:val="clear" w:color="auto" w:fill="auto"/>
            <w:vAlign w:val="center"/>
            <w:hideMark/>
          </w:tcPr>
          <w:p w14:paraId="3B4DAA5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26</w:t>
            </w:r>
          </w:p>
        </w:tc>
        <w:tc>
          <w:tcPr>
            <w:tcW w:w="990" w:type="dxa"/>
            <w:shd w:val="clear" w:color="auto" w:fill="auto"/>
            <w:vAlign w:val="center"/>
            <w:hideMark/>
          </w:tcPr>
          <w:p w14:paraId="2D8D230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0.2%</w:t>
            </w:r>
          </w:p>
        </w:tc>
        <w:tc>
          <w:tcPr>
            <w:tcW w:w="1080" w:type="dxa"/>
            <w:shd w:val="clear" w:color="auto" w:fill="auto"/>
            <w:vAlign w:val="center"/>
            <w:hideMark/>
          </w:tcPr>
          <w:p w14:paraId="1A857F5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$49,509</w:t>
            </w:r>
          </w:p>
        </w:tc>
      </w:tr>
      <w:tr w:rsidR="000E6703" w:rsidRPr="000E6703" w14:paraId="2CCEB323" w14:textId="77777777" w:rsidTr="006B5573">
        <w:trPr>
          <w:trHeight w:val="230"/>
        </w:trPr>
        <w:tc>
          <w:tcPr>
            <w:tcW w:w="1435" w:type="dxa"/>
            <w:shd w:val="clear" w:color="auto" w:fill="auto"/>
            <w:vAlign w:val="center"/>
            <w:hideMark/>
          </w:tcPr>
          <w:p w14:paraId="67C09AA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0 to $9,999</w:t>
            </w:r>
          </w:p>
        </w:tc>
        <w:tc>
          <w:tcPr>
            <w:tcW w:w="900" w:type="dxa"/>
            <w:shd w:val="clear" w:color="auto" w:fill="auto"/>
            <w:vAlign w:val="center"/>
            <w:hideMark/>
          </w:tcPr>
          <w:p w14:paraId="62FA3D3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$43,287</w:t>
            </w:r>
          </w:p>
        </w:tc>
        <w:tc>
          <w:tcPr>
            <w:tcW w:w="810" w:type="dxa"/>
            <w:shd w:val="clear" w:color="auto" w:fill="auto"/>
            <w:vAlign w:val="center"/>
            <w:hideMark/>
          </w:tcPr>
          <w:p w14:paraId="350ADEB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16.9%</w:t>
            </w:r>
          </w:p>
        </w:tc>
        <w:tc>
          <w:tcPr>
            <w:tcW w:w="990" w:type="dxa"/>
            <w:shd w:val="clear" w:color="auto" w:fill="auto"/>
            <w:vAlign w:val="center"/>
            <w:hideMark/>
          </w:tcPr>
          <w:p w14:paraId="7D0FD33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$5,530</w:t>
            </w:r>
          </w:p>
        </w:tc>
        <w:tc>
          <w:tcPr>
            <w:tcW w:w="900" w:type="dxa"/>
            <w:shd w:val="clear" w:color="auto" w:fill="auto"/>
            <w:vAlign w:val="center"/>
            <w:hideMark/>
          </w:tcPr>
          <w:p w14:paraId="632808E0"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0.2%</w:t>
            </w:r>
          </w:p>
        </w:tc>
        <w:tc>
          <w:tcPr>
            <w:tcW w:w="1080" w:type="dxa"/>
            <w:shd w:val="clear" w:color="auto" w:fill="auto"/>
            <w:vAlign w:val="center"/>
            <w:hideMark/>
          </w:tcPr>
          <w:p w14:paraId="11E9764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$1,975,266</w:t>
            </w:r>
          </w:p>
        </w:tc>
        <w:tc>
          <w:tcPr>
            <w:tcW w:w="720" w:type="dxa"/>
            <w:shd w:val="clear" w:color="auto" w:fill="auto"/>
            <w:vAlign w:val="center"/>
            <w:hideMark/>
          </w:tcPr>
          <w:p w14:paraId="446B7A2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0.3%</w:t>
            </w:r>
          </w:p>
        </w:tc>
        <w:tc>
          <w:tcPr>
            <w:tcW w:w="810" w:type="dxa"/>
            <w:shd w:val="clear" w:color="auto" w:fill="auto"/>
            <w:vAlign w:val="center"/>
            <w:hideMark/>
          </w:tcPr>
          <w:p w14:paraId="6A3912E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9,354</w:t>
            </w:r>
          </w:p>
        </w:tc>
        <w:tc>
          <w:tcPr>
            <w:tcW w:w="990" w:type="dxa"/>
            <w:shd w:val="clear" w:color="auto" w:fill="auto"/>
            <w:vAlign w:val="center"/>
            <w:hideMark/>
          </w:tcPr>
          <w:p w14:paraId="2A96729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77.8%</w:t>
            </w:r>
          </w:p>
        </w:tc>
        <w:tc>
          <w:tcPr>
            <w:tcW w:w="1080" w:type="dxa"/>
            <w:shd w:val="clear" w:color="auto" w:fill="auto"/>
            <w:vAlign w:val="center"/>
            <w:hideMark/>
          </w:tcPr>
          <w:p w14:paraId="68B6184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$210,577</w:t>
            </w:r>
          </w:p>
        </w:tc>
      </w:tr>
      <w:tr w:rsidR="000E6703" w:rsidRPr="000E6703" w14:paraId="2352F530" w14:textId="77777777" w:rsidTr="006B5573">
        <w:trPr>
          <w:trHeight w:val="230"/>
        </w:trPr>
        <w:tc>
          <w:tcPr>
            <w:tcW w:w="1435" w:type="dxa"/>
            <w:shd w:val="clear" w:color="auto" w:fill="auto"/>
            <w:vAlign w:val="center"/>
            <w:hideMark/>
          </w:tcPr>
          <w:p w14:paraId="10BB20E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$10,000 to $99,999</w:t>
            </w:r>
          </w:p>
        </w:tc>
        <w:tc>
          <w:tcPr>
            <w:tcW w:w="900" w:type="dxa"/>
            <w:shd w:val="clear" w:color="auto" w:fill="auto"/>
            <w:vAlign w:val="center"/>
            <w:hideMark/>
          </w:tcPr>
          <w:p w14:paraId="75EA19E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$8,262</w:t>
            </w:r>
          </w:p>
        </w:tc>
        <w:tc>
          <w:tcPr>
            <w:tcW w:w="810" w:type="dxa"/>
            <w:shd w:val="clear" w:color="auto" w:fill="auto"/>
            <w:vAlign w:val="center"/>
            <w:hideMark/>
          </w:tcPr>
          <w:p w14:paraId="30F19B6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3.2%</w:t>
            </w:r>
          </w:p>
        </w:tc>
        <w:tc>
          <w:tcPr>
            <w:tcW w:w="990" w:type="dxa"/>
            <w:shd w:val="clear" w:color="auto" w:fill="auto"/>
            <w:vAlign w:val="center"/>
            <w:hideMark/>
          </w:tcPr>
          <w:p w14:paraId="3FE36D1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$55,970</w:t>
            </w:r>
          </w:p>
        </w:tc>
        <w:tc>
          <w:tcPr>
            <w:tcW w:w="900" w:type="dxa"/>
            <w:shd w:val="clear" w:color="auto" w:fill="auto"/>
            <w:vAlign w:val="center"/>
            <w:hideMark/>
          </w:tcPr>
          <w:p w14:paraId="12DD382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1.9%</w:t>
            </w:r>
          </w:p>
        </w:tc>
        <w:tc>
          <w:tcPr>
            <w:tcW w:w="1080" w:type="dxa"/>
            <w:shd w:val="clear" w:color="auto" w:fill="auto"/>
            <w:vAlign w:val="center"/>
            <w:hideMark/>
          </w:tcPr>
          <w:p w14:paraId="4BBF91A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$145,423</w:t>
            </w:r>
          </w:p>
        </w:tc>
        <w:tc>
          <w:tcPr>
            <w:tcW w:w="720" w:type="dxa"/>
            <w:shd w:val="clear" w:color="auto" w:fill="auto"/>
            <w:vAlign w:val="center"/>
            <w:hideMark/>
          </w:tcPr>
          <w:p w14:paraId="0F44501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38.5%</w:t>
            </w:r>
          </w:p>
        </w:tc>
        <w:tc>
          <w:tcPr>
            <w:tcW w:w="810" w:type="dxa"/>
            <w:shd w:val="clear" w:color="auto" w:fill="auto"/>
            <w:vAlign w:val="center"/>
            <w:hideMark/>
          </w:tcPr>
          <w:p w14:paraId="4AC1960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1,501</w:t>
            </w:r>
          </w:p>
        </w:tc>
        <w:tc>
          <w:tcPr>
            <w:tcW w:w="990" w:type="dxa"/>
            <w:shd w:val="clear" w:color="auto" w:fill="auto"/>
            <w:vAlign w:val="center"/>
            <w:hideMark/>
          </w:tcPr>
          <w:p w14:paraId="7FA5D7FE"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12.5%</w:t>
            </w:r>
          </w:p>
        </w:tc>
        <w:tc>
          <w:tcPr>
            <w:tcW w:w="1080" w:type="dxa"/>
            <w:shd w:val="clear" w:color="auto" w:fill="auto"/>
            <w:vAlign w:val="center"/>
            <w:hideMark/>
          </w:tcPr>
          <w:p w14:paraId="185C2DB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$59,596</w:t>
            </w:r>
          </w:p>
        </w:tc>
      </w:tr>
      <w:tr w:rsidR="000E6703" w:rsidRPr="000E6703" w14:paraId="14CBE9BB" w14:textId="77777777" w:rsidTr="006B5573">
        <w:trPr>
          <w:trHeight w:val="440"/>
        </w:trPr>
        <w:tc>
          <w:tcPr>
            <w:tcW w:w="1435" w:type="dxa"/>
            <w:shd w:val="clear" w:color="auto" w:fill="auto"/>
            <w:vAlign w:val="center"/>
            <w:hideMark/>
          </w:tcPr>
          <w:p w14:paraId="40950A4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$100,000 to $999,999</w:t>
            </w:r>
          </w:p>
        </w:tc>
        <w:tc>
          <w:tcPr>
            <w:tcW w:w="900" w:type="dxa"/>
            <w:shd w:val="clear" w:color="auto" w:fill="auto"/>
            <w:vAlign w:val="center"/>
            <w:hideMark/>
          </w:tcPr>
          <w:p w14:paraId="30B734F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$26,477</w:t>
            </w:r>
          </w:p>
        </w:tc>
        <w:tc>
          <w:tcPr>
            <w:tcW w:w="810" w:type="dxa"/>
            <w:shd w:val="clear" w:color="auto" w:fill="auto"/>
            <w:vAlign w:val="center"/>
            <w:hideMark/>
          </w:tcPr>
          <w:p w14:paraId="7F77709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10.3%</w:t>
            </w:r>
          </w:p>
        </w:tc>
        <w:tc>
          <w:tcPr>
            <w:tcW w:w="990" w:type="dxa"/>
            <w:shd w:val="clear" w:color="auto" w:fill="auto"/>
            <w:vAlign w:val="center"/>
            <w:hideMark/>
          </w:tcPr>
          <w:p w14:paraId="24267B8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$286,140</w:t>
            </w:r>
          </w:p>
        </w:tc>
        <w:tc>
          <w:tcPr>
            <w:tcW w:w="900" w:type="dxa"/>
            <w:shd w:val="clear" w:color="auto" w:fill="auto"/>
            <w:vAlign w:val="center"/>
            <w:hideMark/>
          </w:tcPr>
          <w:p w14:paraId="735D2EC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9.5%</w:t>
            </w:r>
          </w:p>
        </w:tc>
        <w:tc>
          <w:tcPr>
            <w:tcW w:w="1080" w:type="dxa"/>
            <w:shd w:val="clear" w:color="auto" w:fill="auto"/>
            <w:vAlign w:val="center"/>
            <w:hideMark/>
          </w:tcPr>
          <w:p w14:paraId="58D8482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$493,236</w:t>
            </w:r>
          </w:p>
        </w:tc>
        <w:tc>
          <w:tcPr>
            <w:tcW w:w="720" w:type="dxa"/>
            <w:shd w:val="clear" w:color="auto" w:fill="auto"/>
            <w:vAlign w:val="center"/>
            <w:hideMark/>
          </w:tcPr>
          <w:p w14:paraId="7C5410E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58.0%</w:t>
            </w:r>
          </w:p>
        </w:tc>
        <w:tc>
          <w:tcPr>
            <w:tcW w:w="810" w:type="dxa"/>
            <w:shd w:val="clear" w:color="auto" w:fill="auto"/>
            <w:vAlign w:val="center"/>
            <w:hideMark/>
          </w:tcPr>
          <w:p w14:paraId="40192B8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843</w:t>
            </w:r>
          </w:p>
        </w:tc>
        <w:tc>
          <w:tcPr>
            <w:tcW w:w="990" w:type="dxa"/>
            <w:shd w:val="clear" w:color="auto" w:fill="auto"/>
            <w:vAlign w:val="center"/>
            <w:hideMark/>
          </w:tcPr>
          <w:p w14:paraId="20A7000E"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7.0%</w:t>
            </w:r>
          </w:p>
        </w:tc>
        <w:tc>
          <w:tcPr>
            <w:tcW w:w="1080" w:type="dxa"/>
            <w:shd w:val="clear" w:color="auto" w:fill="auto"/>
            <w:vAlign w:val="center"/>
            <w:hideMark/>
          </w:tcPr>
          <w:p w14:paraId="41B9ED2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$245,666</w:t>
            </w:r>
          </w:p>
        </w:tc>
      </w:tr>
      <w:tr w:rsidR="000E6703" w:rsidRPr="000E6703" w14:paraId="31AA9B05" w14:textId="77777777" w:rsidTr="006B5573">
        <w:trPr>
          <w:trHeight w:val="440"/>
        </w:trPr>
        <w:tc>
          <w:tcPr>
            <w:tcW w:w="1435" w:type="dxa"/>
            <w:shd w:val="clear" w:color="auto" w:fill="auto"/>
            <w:vAlign w:val="center"/>
            <w:hideMark/>
          </w:tcPr>
          <w:p w14:paraId="6DD2685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$1,000,000 to $9,999,99</w:t>
            </w:r>
          </w:p>
        </w:tc>
        <w:tc>
          <w:tcPr>
            <w:tcW w:w="900" w:type="dxa"/>
            <w:shd w:val="clear" w:color="auto" w:fill="auto"/>
            <w:vAlign w:val="center"/>
            <w:hideMark/>
          </w:tcPr>
          <w:p w14:paraId="3BFB029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$51,729</w:t>
            </w:r>
          </w:p>
        </w:tc>
        <w:tc>
          <w:tcPr>
            <w:tcW w:w="810" w:type="dxa"/>
            <w:shd w:val="clear" w:color="auto" w:fill="auto"/>
            <w:vAlign w:val="center"/>
            <w:hideMark/>
          </w:tcPr>
          <w:p w14:paraId="27A035D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20.2%</w:t>
            </w:r>
          </w:p>
        </w:tc>
        <w:tc>
          <w:tcPr>
            <w:tcW w:w="990" w:type="dxa"/>
            <w:shd w:val="clear" w:color="auto" w:fill="auto"/>
            <w:vAlign w:val="center"/>
            <w:hideMark/>
          </w:tcPr>
          <w:p w14:paraId="483EA67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$752,415</w:t>
            </w:r>
          </w:p>
        </w:tc>
        <w:tc>
          <w:tcPr>
            <w:tcW w:w="900" w:type="dxa"/>
            <w:shd w:val="clear" w:color="auto" w:fill="auto"/>
            <w:vAlign w:val="center"/>
            <w:hideMark/>
          </w:tcPr>
          <w:p w14:paraId="2685EF64"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25.1%</w:t>
            </w:r>
          </w:p>
        </w:tc>
        <w:tc>
          <w:tcPr>
            <w:tcW w:w="1080" w:type="dxa"/>
            <w:shd w:val="clear" w:color="auto" w:fill="auto"/>
            <w:vAlign w:val="center"/>
            <w:hideMark/>
          </w:tcPr>
          <w:p w14:paraId="7B3D8AF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$1,128,909</w:t>
            </w:r>
          </w:p>
        </w:tc>
        <w:tc>
          <w:tcPr>
            <w:tcW w:w="720" w:type="dxa"/>
            <w:shd w:val="clear" w:color="auto" w:fill="auto"/>
            <w:vAlign w:val="center"/>
            <w:hideMark/>
          </w:tcPr>
          <w:p w14:paraId="03093C6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66.6%</w:t>
            </w:r>
          </w:p>
        </w:tc>
        <w:tc>
          <w:tcPr>
            <w:tcW w:w="810" w:type="dxa"/>
            <w:shd w:val="clear" w:color="auto" w:fill="auto"/>
            <w:vAlign w:val="center"/>
            <w:hideMark/>
          </w:tcPr>
          <w:p w14:paraId="145F6CC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265</w:t>
            </w:r>
          </w:p>
        </w:tc>
        <w:tc>
          <w:tcPr>
            <w:tcW w:w="990" w:type="dxa"/>
            <w:shd w:val="clear" w:color="auto" w:fill="auto"/>
            <w:vAlign w:val="center"/>
            <w:hideMark/>
          </w:tcPr>
          <w:p w14:paraId="2BDCBF9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2.2%</w:t>
            </w:r>
          </w:p>
        </w:tc>
        <w:tc>
          <w:tcPr>
            <w:tcW w:w="1080" w:type="dxa"/>
            <w:shd w:val="clear" w:color="auto" w:fill="auto"/>
            <w:vAlign w:val="center"/>
            <w:hideMark/>
          </w:tcPr>
          <w:p w14:paraId="4EAF2EF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$1,420,732</w:t>
            </w:r>
          </w:p>
        </w:tc>
      </w:tr>
      <w:tr w:rsidR="000E6703" w:rsidRPr="000E6703" w14:paraId="7CB09AC3" w14:textId="77777777" w:rsidTr="006B5573">
        <w:trPr>
          <w:trHeight w:val="440"/>
        </w:trPr>
        <w:tc>
          <w:tcPr>
            <w:tcW w:w="1435" w:type="dxa"/>
            <w:shd w:val="clear" w:color="auto" w:fill="auto"/>
            <w:vAlign w:val="center"/>
            <w:hideMark/>
          </w:tcPr>
          <w:p w14:paraId="7909D2F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$10,000,000 or more</w:t>
            </w:r>
          </w:p>
        </w:tc>
        <w:tc>
          <w:tcPr>
            <w:tcW w:w="900" w:type="dxa"/>
            <w:shd w:val="clear" w:color="auto" w:fill="auto"/>
            <w:vAlign w:val="center"/>
            <w:hideMark/>
          </w:tcPr>
          <w:p w14:paraId="08F08C1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$126,351</w:t>
            </w:r>
          </w:p>
        </w:tc>
        <w:tc>
          <w:tcPr>
            <w:tcW w:w="810" w:type="dxa"/>
            <w:shd w:val="clear" w:color="auto" w:fill="auto"/>
            <w:vAlign w:val="center"/>
            <w:hideMark/>
          </w:tcPr>
          <w:p w14:paraId="0F3AB67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49.3%</w:t>
            </w:r>
          </w:p>
        </w:tc>
        <w:tc>
          <w:tcPr>
            <w:tcW w:w="990" w:type="dxa"/>
            <w:shd w:val="clear" w:color="auto" w:fill="auto"/>
            <w:vAlign w:val="center"/>
            <w:hideMark/>
          </w:tcPr>
          <w:p w14:paraId="5A765C2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$1,898,435</w:t>
            </w:r>
          </w:p>
        </w:tc>
        <w:tc>
          <w:tcPr>
            <w:tcW w:w="900" w:type="dxa"/>
            <w:shd w:val="clear" w:color="auto" w:fill="auto"/>
            <w:vAlign w:val="center"/>
            <w:hideMark/>
          </w:tcPr>
          <w:p w14:paraId="09BA201C"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63.3%</w:t>
            </w:r>
          </w:p>
        </w:tc>
        <w:tc>
          <w:tcPr>
            <w:tcW w:w="1080" w:type="dxa"/>
            <w:shd w:val="clear" w:color="auto" w:fill="auto"/>
            <w:vAlign w:val="center"/>
            <w:hideMark/>
          </w:tcPr>
          <w:p w14:paraId="446E80C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$2,175,866</w:t>
            </w:r>
          </w:p>
        </w:tc>
        <w:tc>
          <w:tcPr>
            <w:tcW w:w="720" w:type="dxa"/>
            <w:shd w:val="clear" w:color="auto" w:fill="auto"/>
            <w:vAlign w:val="center"/>
            <w:hideMark/>
          </w:tcPr>
          <w:p w14:paraId="5E4F2B6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87.2%</w:t>
            </w:r>
          </w:p>
        </w:tc>
        <w:tc>
          <w:tcPr>
            <w:tcW w:w="810" w:type="dxa"/>
            <w:shd w:val="clear" w:color="auto" w:fill="auto"/>
            <w:vAlign w:val="center"/>
            <w:hideMark/>
          </w:tcPr>
          <w:p w14:paraId="1E40275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35</w:t>
            </w:r>
          </w:p>
        </w:tc>
        <w:tc>
          <w:tcPr>
            <w:tcW w:w="990" w:type="dxa"/>
            <w:shd w:val="clear" w:color="auto" w:fill="auto"/>
            <w:vAlign w:val="center"/>
            <w:hideMark/>
          </w:tcPr>
          <w:p w14:paraId="1E312AA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0.3%</w:t>
            </w:r>
          </w:p>
        </w:tc>
        <w:tc>
          <w:tcPr>
            <w:tcW w:w="1080" w:type="dxa"/>
            <w:shd w:val="clear" w:color="auto" w:fill="auto"/>
            <w:vAlign w:val="center"/>
            <w:hideMark/>
          </w:tcPr>
          <w:p w14:paraId="5F3E863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$7,926,592</w:t>
            </w:r>
          </w:p>
        </w:tc>
      </w:tr>
      <w:tr w:rsidR="000E6703" w:rsidRPr="000E6703" w14:paraId="56167A39" w14:textId="77777777" w:rsidTr="006B5573">
        <w:trPr>
          <w:trHeight w:val="230"/>
        </w:trPr>
        <w:tc>
          <w:tcPr>
            <w:tcW w:w="1435" w:type="dxa"/>
            <w:shd w:val="clear" w:color="auto" w:fill="auto"/>
            <w:vAlign w:val="center"/>
            <w:hideMark/>
          </w:tcPr>
          <w:p w14:paraId="1E2E2B6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Total</w:t>
            </w:r>
          </w:p>
        </w:tc>
        <w:tc>
          <w:tcPr>
            <w:tcW w:w="900" w:type="dxa"/>
            <w:shd w:val="clear" w:color="auto" w:fill="auto"/>
            <w:vAlign w:val="center"/>
            <w:hideMark/>
          </w:tcPr>
          <w:p w14:paraId="6C447605" w14:textId="77777777" w:rsidR="003A0367" w:rsidRPr="006B5573" w:rsidRDefault="003423BC" w:rsidP="003A0367">
            <w:pPr>
              <w:spacing w:after="0" w:line="240" w:lineRule="auto"/>
              <w:jc w:val="center"/>
              <w:rPr>
                <w:rFonts w:ascii="Cambria" w:eastAsia="Times New Roman" w:hAnsi="Cambria" w:cs="Helvetica"/>
                <w:color w:val="000000"/>
                <w:sz w:val="16"/>
                <w:szCs w:val="16"/>
                <w:lang w:eastAsia="ko-KR"/>
              </w:rPr>
            </w:pPr>
            <w:r>
              <w:rPr>
                <w:rFonts w:ascii="Cambria" w:hAnsi="Cambria" w:cs="Helvetica"/>
                <w:color w:val="000000"/>
                <w:sz w:val="16"/>
                <w:szCs w:val="16"/>
              </w:rPr>
              <w:t>$</w:t>
            </w:r>
            <w:r w:rsidR="003A0367" w:rsidRPr="006B5573">
              <w:rPr>
                <w:rFonts w:ascii="Cambria" w:hAnsi="Cambria" w:cs="Helvetica"/>
                <w:color w:val="000000"/>
                <w:sz w:val="16"/>
                <w:szCs w:val="16"/>
              </w:rPr>
              <w:t>256,118</w:t>
            </w:r>
          </w:p>
        </w:tc>
        <w:tc>
          <w:tcPr>
            <w:tcW w:w="810" w:type="dxa"/>
            <w:shd w:val="clear" w:color="auto" w:fill="auto"/>
            <w:vAlign w:val="center"/>
            <w:hideMark/>
          </w:tcPr>
          <w:p w14:paraId="197088F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990" w:type="dxa"/>
            <w:shd w:val="clear" w:color="auto" w:fill="auto"/>
            <w:vAlign w:val="center"/>
            <w:hideMark/>
          </w:tcPr>
          <w:p w14:paraId="0D433BF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$2,997,508</w:t>
            </w:r>
          </w:p>
        </w:tc>
        <w:tc>
          <w:tcPr>
            <w:tcW w:w="900" w:type="dxa"/>
            <w:shd w:val="clear" w:color="auto" w:fill="auto"/>
            <w:vAlign w:val="center"/>
            <w:hideMark/>
          </w:tcPr>
          <w:p w14:paraId="6760D44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1080" w:type="dxa"/>
            <w:shd w:val="clear" w:color="auto" w:fill="auto"/>
            <w:vAlign w:val="center"/>
            <w:hideMark/>
          </w:tcPr>
          <w:p w14:paraId="08BC048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$5,919,005</w:t>
            </w:r>
          </w:p>
        </w:tc>
        <w:tc>
          <w:tcPr>
            <w:tcW w:w="720" w:type="dxa"/>
            <w:shd w:val="clear" w:color="auto" w:fill="auto"/>
            <w:vAlign w:val="center"/>
            <w:hideMark/>
          </w:tcPr>
          <w:p w14:paraId="30058D80"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50.6%</w:t>
            </w:r>
          </w:p>
        </w:tc>
        <w:tc>
          <w:tcPr>
            <w:tcW w:w="810" w:type="dxa"/>
            <w:shd w:val="clear" w:color="auto" w:fill="auto"/>
            <w:vAlign w:val="center"/>
            <w:hideMark/>
          </w:tcPr>
          <w:p w14:paraId="601229A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12,024</w:t>
            </w:r>
          </w:p>
        </w:tc>
        <w:tc>
          <w:tcPr>
            <w:tcW w:w="990" w:type="dxa"/>
            <w:shd w:val="clear" w:color="auto" w:fill="auto"/>
            <w:vAlign w:val="center"/>
            <w:hideMark/>
          </w:tcPr>
          <w:p w14:paraId="33D5212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1080" w:type="dxa"/>
            <w:shd w:val="clear" w:color="auto" w:fill="auto"/>
            <w:vAlign w:val="center"/>
            <w:hideMark/>
          </w:tcPr>
          <w:p w14:paraId="12655FB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$242,972</w:t>
            </w:r>
          </w:p>
        </w:tc>
      </w:tr>
    </w:tbl>
    <w:p w14:paraId="375BCF20" w14:textId="77777777" w:rsidR="00EE22E3" w:rsidRPr="006B5573" w:rsidRDefault="00EE22E3" w:rsidP="00EE22E3">
      <w:pPr>
        <w:tabs>
          <w:tab w:val="left" w:pos="7050"/>
        </w:tabs>
        <w:spacing w:after="0"/>
        <w:rPr>
          <w:rFonts w:asciiTheme="majorHAnsi" w:eastAsiaTheme="majorEastAsia" w:hAnsiTheme="majorHAnsi" w:cstheme="majorBidi"/>
          <w:bCs/>
          <w:color w:val="000000" w:themeColor="text1"/>
          <w:sz w:val="18"/>
          <w:szCs w:val="18"/>
        </w:rPr>
      </w:pPr>
      <w:r w:rsidRPr="006B5573">
        <w:rPr>
          <w:rFonts w:asciiTheme="majorHAnsi" w:eastAsiaTheme="majorEastAsia" w:hAnsiTheme="majorHAnsi" w:cstheme="majorBidi"/>
          <w:bCs/>
          <w:color w:val="000000" w:themeColor="text1"/>
          <w:sz w:val="18"/>
          <w:szCs w:val="18"/>
        </w:rPr>
        <w:lastRenderedPageBreak/>
        <w:t>Source: Department of Revenue (2018</w:t>
      </w:r>
      <w:r w:rsidR="00E1223A" w:rsidRPr="006B5573">
        <w:rPr>
          <w:rFonts w:asciiTheme="majorHAnsi" w:eastAsiaTheme="majorEastAsia" w:hAnsiTheme="majorHAnsi" w:cstheme="majorBidi"/>
          <w:bCs/>
          <w:color w:val="000000" w:themeColor="text1"/>
          <w:sz w:val="18"/>
          <w:szCs w:val="18"/>
        </w:rPr>
        <w:t xml:space="preserve"> </w:t>
      </w:r>
      <w:r w:rsidR="0007436D" w:rsidRPr="006B5573">
        <w:rPr>
          <w:rFonts w:asciiTheme="majorHAnsi" w:eastAsiaTheme="majorEastAsia" w:hAnsiTheme="majorHAnsi" w:cstheme="majorBidi"/>
          <w:bCs/>
          <w:color w:val="000000" w:themeColor="text1"/>
          <w:sz w:val="18"/>
          <w:szCs w:val="18"/>
        </w:rPr>
        <w:t>corporate excise</w:t>
      </w:r>
      <w:r w:rsidR="00E1223A" w:rsidRPr="006B5573">
        <w:rPr>
          <w:rFonts w:asciiTheme="majorHAnsi" w:eastAsiaTheme="majorEastAsia" w:hAnsiTheme="majorHAnsi" w:cstheme="majorBidi"/>
          <w:bCs/>
          <w:color w:val="000000" w:themeColor="text1"/>
          <w:sz w:val="18"/>
          <w:szCs w:val="18"/>
        </w:rPr>
        <w:t xml:space="preserve"> return</w:t>
      </w:r>
      <w:r w:rsidR="0007436D" w:rsidRPr="006B5573">
        <w:rPr>
          <w:rFonts w:asciiTheme="majorHAnsi" w:eastAsiaTheme="majorEastAsia" w:hAnsiTheme="majorHAnsi" w:cstheme="majorBidi"/>
          <w:bCs/>
          <w:color w:val="000000" w:themeColor="text1"/>
          <w:sz w:val="18"/>
          <w:szCs w:val="18"/>
        </w:rPr>
        <w:t>s</w:t>
      </w:r>
      <w:r w:rsidRPr="006B5573">
        <w:rPr>
          <w:rFonts w:asciiTheme="majorHAnsi" w:eastAsiaTheme="majorEastAsia" w:hAnsiTheme="majorHAnsi" w:cstheme="majorBidi"/>
          <w:bCs/>
          <w:color w:val="000000" w:themeColor="text1"/>
          <w:sz w:val="18"/>
          <w:szCs w:val="18"/>
        </w:rPr>
        <w:t>)</w:t>
      </w:r>
    </w:p>
    <w:p w14:paraId="5825C01C" w14:textId="77777777" w:rsidR="00130B1D" w:rsidRDefault="00EB4657" w:rsidP="00EB4657">
      <w:pPr>
        <w:spacing w:after="0"/>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Note</w:t>
      </w:r>
      <w:r w:rsidR="00F7611E">
        <w:rPr>
          <w:rFonts w:ascii="Cambria" w:eastAsia="Times New Roman" w:hAnsi="Cambria" w:cs="Helvetica"/>
          <w:color w:val="000000"/>
          <w:sz w:val="18"/>
          <w:szCs w:val="18"/>
          <w:lang w:eastAsia="ko-KR"/>
        </w:rPr>
        <w:t>s</w:t>
      </w:r>
      <w:r>
        <w:rPr>
          <w:rFonts w:ascii="Cambria" w:eastAsia="Times New Roman" w:hAnsi="Cambria" w:cs="Helvetica"/>
          <w:color w:val="000000"/>
          <w:sz w:val="18"/>
          <w:szCs w:val="18"/>
          <w:lang w:eastAsia="ko-KR"/>
        </w:rPr>
        <w:t xml:space="preserve">: </w:t>
      </w:r>
      <w:r w:rsidR="00F7611E">
        <w:rPr>
          <w:rFonts w:ascii="Cambria" w:eastAsia="Times New Roman" w:hAnsi="Cambria" w:cs="Helvetica"/>
          <w:color w:val="000000"/>
          <w:sz w:val="18"/>
          <w:szCs w:val="18"/>
          <w:lang w:eastAsia="ko-KR"/>
        </w:rPr>
        <w:t xml:space="preserve">1. </w:t>
      </w:r>
      <w:r w:rsidR="007D34AF">
        <w:rPr>
          <w:rFonts w:ascii="Cambria" w:eastAsia="Times New Roman" w:hAnsi="Cambria" w:cs="Helvetica"/>
          <w:color w:val="000000"/>
          <w:sz w:val="18"/>
          <w:szCs w:val="18"/>
          <w:lang w:eastAsia="ko-KR"/>
        </w:rPr>
        <w:t>NOL denotes</w:t>
      </w:r>
      <w:r w:rsidRPr="00EB4657">
        <w:rPr>
          <w:rFonts w:ascii="Cambria" w:eastAsia="Times New Roman" w:hAnsi="Cambria" w:cs="Helvetica"/>
          <w:color w:val="000000"/>
          <w:sz w:val="18"/>
          <w:szCs w:val="18"/>
          <w:lang w:eastAsia="ko-KR"/>
        </w:rPr>
        <w:t xml:space="preserve"> Net Operating Loss</w:t>
      </w:r>
      <w:r w:rsidR="00F7611E">
        <w:rPr>
          <w:rFonts w:ascii="Cambria" w:eastAsia="Times New Roman" w:hAnsi="Cambria" w:cs="Helvetica"/>
          <w:color w:val="000000"/>
          <w:sz w:val="18"/>
          <w:szCs w:val="18"/>
          <w:lang w:eastAsia="ko-KR"/>
        </w:rPr>
        <w:t xml:space="preserve">. </w:t>
      </w:r>
    </w:p>
    <w:p w14:paraId="3B47E8EF" w14:textId="77777777" w:rsidR="00EB4657" w:rsidRPr="00EB4657" w:rsidRDefault="00130B1D" w:rsidP="00EB4657">
      <w:pPr>
        <w:spacing w:after="0"/>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 xml:space="preserve">             </w:t>
      </w:r>
      <w:r w:rsidR="00F7611E" w:rsidRPr="00F7611E">
        <w:rPr>
          <w:rFonts w:ascii="Cambria" w:eastAsia="Times New Roman" w:hAnsi="Cambria" w:cs="Helvetica"/>
          <w:color w:val="000000"/>
          <w:sz w:val="18"/>
          <w:szCs w:val="18"/>
          <w:lang w:eastAsia="ko-KR"/>
        </w:rPr>
        <w:t xml:space="preserve">2. The data is preliminary and subject to </w:t>
      </w:r>
      <w:r>
        <w:rPr>
          <w:rFonts w:ascii="Cambria" w:eastAsia="Times New Roman" w:hAnsi="Cambria" w:cs="Helvetica"/>
          <w:color w:val="000000"/>
          <w:sz w:val="18"/>
          <w:szCs w:val="18"/>
          <w:lang w:eastAsia="ko-KR"/>
        </w:rPr>
        <w:t>change</w:t>
      </w:r>
      <w:r w:rsidR="00F7611E" w:rsidRPr="00F7611E">
        <w:rPr>
          <w:rFonts w:ascii="Cambria" w:eastAsia="Times New Roman" w:hAnsi="Cambria" w:cs="Helvetica"/>
          <w:color w:val="000000"/>
          <w:sz w:val="18"/>
          <w:szCs w:val="18"/>
          <w:lang w:eastAsia="ko-KR"/>
        </w:rPr>
        <w:t>.</w:t>
      </w:r>
    </w:p>
    <w:p w14:paraId="50BFEED7" w14:textId="77777777" w:rsidR="009B6FA2" w:rsidRDefault="009B6FA2" w:rsidP="00174F02">
      <w:pPr>
        <w:tabs>
          <w:tab w:val="left" w:pos="7050"/>
        </w:tabs>
        <w:rPr>
          <w:rFonts w:asciiTheme="majorHAnsi" w:hAnsiTheme="majorHAnsi"/>
        </w:rPr>
      </w:pPr>
    </w:p>
    <w:p w14:paraId="6E3A9C06" w14:textId="77777777" w:rsidR="007A622C" w:rsidRDefault="007A622C" w:rsidP="00174F02">
      <w:pPr>
        <w:tabs>
          <w:tab w:val="left" w:pos="7050"/>
        </w:tabs>
        <w:rPr>
          <w:rFonts w:asciiTheme="majorHAnsi" w:hAnsiTheme="majorHAnsi"/>
        </w:rPr>
      </w:pPr>
    </w:p>
    <w:p w14:paraId="59807DED" w14:textId="77777777" w:rsidR="00AF6539" w:rsidRDefault="00F4051E" w:rsidP="006B5573">
      <w:pPr>
        <w:tabs>
          <w:tab w:val="left" w:pos="7050"/>
        </w:tabs>
        <w:spacing w:after="0"/>
        <w:jc w:val="center"/>
        <w:rPr>
          <w:rFonts w:asciiTheme="majorHAnsi" w:hAnsiTheme="majorHAnsi"/>
          <w:b/>
          <w:sz w:val="20"/>
          <w:szCs w:val="20"/>
        </w:rPr>
      </w:pPr>
      <w:r w:rsidRPr="006B5573">
        <w:rPr>
          <w:rFonts w:asciiTheme="majorHAnsi" w:eastAsiaTheme="majorEastAsia" w:hAnsiTheme="majorHAnsi" w:cstheme="majorBidi"/>
          <w:b/>
          <w:color w:val="000000" w:themeColor="text1"/>
          <w:sz w:val="20"/>
          <w:szCs w:val="20"/>
        </w:rPr>
        <w:t xml:space="preserve">Table </w:t>
      </w:r>
      <w:r w:rsidR="00130B1D" w:rsidRPr="006B5573">
        <w:rPr>
          <w:rFonts w:asciiTheme="majorHAnsi" w:eastAsiaTheme="majorEastAsia" w:hAnsiTheme="majorHAnsi" w:cstheme="majorBidi"/>
          <w:b/>
          <w:color w:val="000000" w:themeColor="text1"/>
          <w:sz w:val="20"/>
          <w:szCs w:val="20"/>
        </w:rPr>
        <w:t>6</w:t>
      </w:r>
      <w:r w:rsidRPr="006B5573">
        <w:rPr>
          <w:rFonts w:asciiTheme="majorHAnsi" w:eastAsiaTheme="majorEastAsia" w:hAnsiTheme="majorHAnsi" w:cstheme="majorBidi"/>
          <w:b/>
          <w:color w:val="000000" w:themeColor="text1"/>
          <w:sz w:val="20"/>
          <w:szCs w:val="20"/>
        </w:rPr>
        <w:t xml:space="preserve">. </w:t>
      </w:r>
      <w:r w:rsidR="008471E4" w:rsidRPr="006B5573">
        <w:rPr>
          <w:rFonts w:asciiTheme="majorHAnsi" w:hAnsiTheme="majorHAnsi"/>
          <w:b/>
          <w:sz w:val="20"/>
          <w:szCs w:val="20"/>
        </w:rPr>
        <w:t>Impacted Corporation</w:t>
      </w:r>
      <w:r w:rsidR="00E11582" w:rsidRPr="006B5573">
        <w:rPr>
          <w:rFonts w:asciiTheme="majorHAnsi" w:hAnsiTheme="majorHAnsi"/>
          <w:b/>
          <w:sz w:val="20"/>
          <w:szCs w:val="20"/>
        </w:rPr>
        <w:t xml:space="preserve">s of Net Operating Loss Carryover, Tax Liability, and Taxable Income </w:t>
      </w:r>
    </w:p>
    <w:p w14:paraId="316BCEBB" w14:textId="77777777" w:rsidR="00F4051E" w:rsidRPr="006B5573" w:rsidRDefault="00E11582" w:rsidP="006B5573">
      <w:pPr>
        <w:tabs>
          <w:tab w:val="left" w:pos="7050"/>
        </w:tabs>
        <w:spacing w:after="0"/>
        <w:jc w:val="center"/>
        <w:rPr>
          <w:rFonts w:asciiTheme="majorHAnsi" w:hAnsiTheme="majorHAnsi"/>
          <w:b/>
          <w:sz w:val="20"/>
          <w:szCs w:val="20"/>
        </w:rPr>
      </w:pPr>
      <w:r w:rsidRPr="006B5573">
        <w:rPr>
          <w:rFonts w:asciiTheme="majorHAnsi" w:hAnsiTheme="majorHAnsi"/>
          <w:b/>
          <w:sz w:val="20"/>
          <w:szCs w:val="20"/>
        </w:rPr>
        <w:t xml:space="preserve">by </w:t>
      </w:r>
      <w:r w:rsidR="00130B1D" w:rsidRPr="006B5573">
        <w:rPr>
          <w:rFonts w:asciiTheme="majorHAnsi" w:hAnsiTheme="majorHAnsi"/>
          <w:b/>
          <w:sz w:val="20"/>
          <w:szCs w:val="20"/>
        </w:rPr>
        <w:t xml:space="preserve">Number </w:t>
      </w:r>
      <w:r w:rsidRPr="006B5573">
        <w:rPr>
          <w:rFonts w:asciiTheme="majorHAnsi" w:hAnsiTheme="majorHAnsi"/>
          <w:b/>
          <w:sz w:val="20"/>
          <w:szCs w:val="20"/>
        </w:rPr>
        <w:t>of Employees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990"/>
        <w:gridCol w:w="810"/>
        <w:gridCol w:w="990"/>
        <w:gridCol w:w="900"/>
        <w:gridCol w:w="1080"/>
        <w:gridCol w:w="720"/>
        <w:gridCol w:w="810"/>
        <w:gridCol w:w="990"/>
        <w:gridCol w:w="1080"/>
      </w:tblGrid>
      <w:tr w:rsidR="00130B1D" w:rsidRPr="001F34DF" w14:paraId="14466D09" w14:textId="77777777" w:rsidTr="00130B1D">
        <w:trPr>
          <w:trHeight w:val="880"/>
        </w:trPr>
        <w:tc>
          <w:tcPr>
            <w:tcW w:w="1345" w:type="dxa"/>
            <w:shd w:val="clear" w:color="auto" w:fill="B6DDE8" w:themeFill="accent5" w:themeFillTint="66"/>
            <w:vAlign w:val="center"/>
            <w:hideMark/>
          </w:tcPr>
          <w:p w14:paraId="0FE6A96A" w14:textId="77777777" w:rsidR="00C0213D" w:rsidRPr="006B5573" w:rsidRDefault="00C0213D" w:rsidP="00C0213D">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Employees Range</w:t>
            </w:r>
            <w:r w:rsidR="00130B1D" w:rsidRPr="006B5573">
              <w:rPr>
                <w:rFonts w:ascii="Cambria" w:eastAsia="Times New Roman" w:hAnsi="Cambria" w:cs="Helvetica"/>
                <w:color w:val="000000"/>
                <w:sz w:val="16"/>
                <w:szCs w:val="16"/>
                <w:lang w:eastAsia="ko-KR"/>
              </w:rPr>
              <w:t>*</w:t>
            </w:r>
            <w:r w:rsidRPr="006B5573">
              <w:rPr>
                <w:rFonts w:ascii="Cambria" w:eastAsia="Times New Roman" w:hAnsi="Cambria" w:cs="Helvetica"/>
                <w:color w:val="000000"/>
                <w:sz w:val="16"/>
                <w:szCs w:val="16"/>
                <w:lang w:eastAsia="ko-KR"/>
              </w:rPr>
              <w:t xml:space="preserve"> </w:t>
            </w:r>
          </w:p>
        </w:tc>
        <w:tc>
          <w:tcPr>
            <w:tcW w:w="990" w:type="dxa"/>
            <w:shd w:val="clear" w:color="auto" w:fill="B6DDE8" w:themeFill="accent5" w:themeFillTint="66"/>
            <w:vAlign w:val="center"/>
            <w:hideMark/>
          </w:tcPr>
          <w:p w14:paraId="1EFDF3F1" w14:textId="77777777" w:rsidR="00C0213D" w:rsidRPr="006B5573" w:rsidRDefault="00130B1D" w:rsidP="00C0213D">
            <w:pPr>
              <w:spacing w:after="0" w:line="240" w:lineRule="auto"/>
              <w:jc w:val="center"/>
              <w:rPr>
                <w:rFonts w:ascii="Cambria" w:eastAsia="Times New Roman" w:hAnsi="Cambria" w:cs="Helvetica"/>
                <w:color w:val="000000"/>
                <w:sz w:val="16"/>
                <w:szCs w:val="16"/>
                <w:lang w:eastAsia="ko-KR"/>
              </w:rPr>
            </w:pPr>
            <w:r w:rsidRPr="001F34DF">
              <w:rPr>
                <w:rFonts w:ascii="Cambria" w:eastAsia="Times New Roman" w:hAnsi="Cambria" w:cs="Arial"/>
                <w:color w:val="000000"/>
                <w:sz w:val="16"/>
                <w:szCs w:val="16"/>
                <w:lang w:eastAsia="ko-KR"/>
              </w:rPr>
              <w:t xml:space="preserve">Tax Liability </w:t>
            </w:r>
            <w:r w:rsidR="00C0213D" w:rsidRPr="006B5573">
              <w:rPr>
                <w:rFonts w:ascii="Cambria" w:eastAsia="Times New Roman" w:hAnsi="Cambria" w:cs="Helvetica"/>
                <w:color w:val="000000"/>
                <w:sz w:val="16"/>
                <w:szCs w:val="16"/>
                <w:lang w:eastAsia="ko-KR"/>
              </w:rPr>
              <w:t xml:space="preserve">($000) </w:t>
            </w:r>
          </w:p>
        </w:tc>
        <w:tc>
          <w:tcPr>
            <w:tcW w:w="810" w:type="dxa"/>
            <w:shd w:val="clear" w:color="auto" w:fill="B6DDE8" w:themeFill="accent5" w:themeFillTint="66"/>
            <w:vAlign w:val="center"/>
            <w:hideMark/>
          </w:tcPr>
          <w:p w14:paraId="0F843361" w14:textId="77777777" w:rsidR="00C0213D" w:rsidRPr="006B5573" w:rsidRDefault="00C0213D" w:rsidP="00C0213D">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Percent </w:t>
            </w:r>
            <w:r w:rsidR="00130B1D" w:rsidRPr="006B5573">
              <w:rPr>
                <w:rFonts w:ascii="Cambria" w:eastAsia="Times New Roman" w:hAnsi="Cambria" w:cs="Helvetica"/>
                <w:i/>
                <w:iCs/>
                <w:color w:val="000000"/>
                <w:sz w:val="16"/>
                <w:szCs w:val="16"/>
                <w:lang w:eastAsia="ko-KR"/>
              </w:rPr>
              <w:t>of Total Tax Liability</w:t>
            </w:r>
            <w:r w:rsidRPr="006B5573">
              <w:rPr>
                <w:rFonts w:ascii="Cambria" w:eastAsia="Times New Roman" w:hAnsi="Cambria" w:cs="Helvetica"/>
                <w:i/>
                <w:iCs/>
                <w:color w:val="000000"/>
                <w:sz w:val="16"/>
                <w:szCs w:val="16"/>
                <w:lang w:eastAsia="ko-KR"/>
              </w:rPr>
              <w:t xml:space="preserve"> </w:t>
            </w:r>
          </w:p>
        </w:tc>
        <w:tc>
          <w:tcPr>
            <w:tcW w:w="990" w:type="dxa"/>
            <w:shd w:val="clear" w:color="auto" w:fill="B6DDE8" w:themeFill="accent5" w:themeFillTint="66"/>
            <w:vAlign w:val="center"/>
            <w:hideMark/>
          </w:tcPr>
          <w:p w14:paraId="5DB3C702" w14:textId="77777777" w:rsidR="00C0213D" w:rsidRPr="006B5573" w:rsidRDefault="00C0213D" w:rsidP="00C0213D">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Taxable Income After NOL ($000) -A </w:t>
            </w:r>
          </w:p>
        </w:tc>
        <w:tc>
          <w:tcPr>
            <w:tcW w:w="900" w:type="dxa"/>
            <w:shd w:val="clear" w:color="auto" w:fill="B6DDE8" w:themeFill="accent5" w:themeFillTint="66"/>
            <w:vAlign w:val="center"/>
            <w:hideMark/>
          </w:tcPr>
          <w:p w14:paraId="54E68F76" w14:textId="77777777" w:rsidR="00C0213D" w:rsidRPr="006B5573" w:rsidRDefault="00C0213D" w:rsidP="00C0213D">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Percent </w:t>
            </w:r>
            <w:r w:rsidR="00130B1D" w:rsidRPr="006B5573">
              <w:rPr>
                <w:rFonts w:ascii="Cambria" w:eastAsia="Times New Roman" w:hAnsi="Cambria" w:cs="Helvetica"/>
                <w:i/>
                <w:iCs/>
                <w:color w:val="000000"/>
                <w:sz w:val="16"/>
                <w:szCs w:val="16"/>
                <w:lang w:eastAsia="ko-KR"/>
              </w:rPr>
              <w:t>of Total Taxable Income After NOL</w:t>
            </w:r>
          </w:p>
        </w:tc>
        <w:tc>
          <w:tcPr>
            <w:tcW w:w="1080" w:type="dxa"/>
            <w:shd w:val="clear" w:color="auto" w:fill="B6DDE8" w:themeFill="accent5" w:themeFillTint="66"/>
            <w:vAlign w:val="center"/>
            <w:hideMark/>
          </w:tcPr>
          <w:p w14:paraId="2C1A85C0" w14:textId="77777777" w:rsidR="00C0213D" w:rsidRPr="006B5573" w:rsidRDefault="00C0213D" w:rsidP="00C0213D">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Taxable Income Before NOL ($000) -B </w:t>
            </w:r>
          </w:p>
        </w:tc>
        <w:tc>
          <w:tcPr>
            <w:tcW w:w="720" w:type="dxa"/>
            <w:shd w:val="clear" w:color="auto" w:fill="B6DDE8" w:themeFill="accent5" w:themeFillTint="66"/>
            <w:vAlign w:val="center"/>
            <w:hideMark/>
          </w:tcPr>
          <w:p w14:paraId="1089CF19" w14:textId="77777777" w:rsidR="00C0213D" w:rsidRPr="006B5573" w:rsidRDefault="00C0213D" w:rsidP="00C0213D">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A/B </w:t>
            </w:r>
          </w:p>
        </w:tc>
        <w:tc>
          <w:tcPr>
            <w:tcW w:w="810" w:type="dxa"/>
            <w:shd w:val="clear" w:color="auto" w:fill="B6DDE8" w:themeFill="accent5" w:themeFillTint="66"/>
            <w:vAlign w:val="center"/>
            <w:hideMark/>
          </w:tcPr>
          <w:p w14:paraId="11DABC57" w14:textId="77777777" w:rsidR="00C0213D" w:rsidRPr="006B5573" w:rsidRDefault="00C0213D" w:rsidP="00C0213D">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Number of </w:t>
            </w:r>
            <w:r w:rsidR="008471E4" w:rsidRPr="006B5573">
              <w:rPr>
                <w:rFonts w:ascii="Cambria" w:eastAsia="Times New Roman" w:hAnsi="Cambria" w:cs="Helvetica"/>
                <w:color w:val="000000"/>
                <w:sz w:val="16"/>
                <w:szCs w:val="16"/>
                <w:lang w:eastAsia="ko-KR"/>
              </w:rPr>
              <w:t>Impacted Corporation</w:t>
            </w:r>
            <w:r w:rsidRPr="006B5573">
              <w:rPr>
                <w:rFonts w:ascii="Cambria" w:eastAsia="Times New Roman" w:hAnsi="Cambria" w:cs="Helvetica"/>
                <w:color w:val="000000"/>
                <w:sz w:val="16"/>
                <w:szCs w:val="16"/>
                <w:lang w:eastAsia="ko-KR"/>
              </w:rPr>
              <w:t xml:space="preserve">s </w:t>
            </w:r>
          </w:p>
        </w:tc>
        <w:tc>
          <w:tcPr>
            <w:tcW w:w="990" w:type="dxa"/>
            <w:shd w:val="clear" w:color="auto" w:fill="B6DDE8" w:themeFill="accent5" w:themeFillTint="66"/>
            <w:vAlign w:val="center"/>
            <w:hideMark/>
          </w:tcPr>
          <w:p w14:paraId="0F78094F" w14:textId="77777777" w:rsidR="00C0213D" w:rsidRPr="006B5573" w:rsidRDefault="00C0213D" w:rsidP="00C0213D">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w:t>
            </w:r>
            <w:r w:rsidR="00130B1D" w:rsidRPr="001F34DF">
              <w:rPr>
                <w:rFonts w:ascii="Cambria" w:eastAsia="Times New Roman" w:hAnsi="Cambria" w:cs="Helvetica"/>
                <w:i/>
                <w:iCs/>
                <w:color w:val="000000"/>
                <w:sz w:val="16"/>
                <w:szCs w:val="16"/>
                <w:lang w:eastAsia="ko-KR"/>
              </w:rPr>
              <w:t xml:space="preserve">Percent of Total Number of </w:t>
            </w:r>
            <w:r w:rsidR="00130B1D" w:rsidRPr="001F34DF">
              <w:rPr>
                <w:rFonts w:ascii="Cambria" w:eastAsia="Times New Roman" w:hAnsi="Cambria" w:cs="Arial"/>
                <w:i/>
                <w:iCs/>
                <w:color w:val="000000"/>
                <w:sz w:val="16"/>
                <w:szCs w:val="16"/>
                <w:lang w:eastAsia="ko-KR"/>
              </w:rPr>
              <w:t>Impacted Corporations</w:t>
            </w:r>
          </w:p>
        </w:tc>
        <w:tc>
          <w:tcPr>
            <w:tcW w:w="1080" w:type="dxa"/>
            <w:shd w:val="clear" w:color="auto" w:fill="B6DDE8" w:themeFill="accent5" w:themeFillTint="66"/>
            <w:vAlign w:val="center"/>
            <w:hideMark/>
          </w:tcPr>
          <w:p w14:paraId="0B09DBEB" w14:textId="77777777" w:rsidR="00C0213D" w:rsidRPr="006B5573" w:rsidRDefault="00C0213D" w:rsidP="00C0213D">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NOL per impacted </w:t>
            </w:r>
            <w:r w:rsidR="00130B1D" w:rsidRPr="001F34DF">
              <w:rPr>
                <w:rFonts w:ascii="Cambria" w:eastAsia="Times New Roman" w:hAnsi="Cambria" w:cs="Arial"/>
                <w:color w:val="000000"/>
                <w:sz w:val="16"/>
                <w:szCs w:val="16"/>
                <w:lang w:eastAsia="ko-KR"/>
              </w:rPr>
              <w:t>Corporation</w:t>
            </w:r>
            <w:r w:rsidRPr="006B5573">
              <w:rPr>
                <w:rFonts w:ascii="Cambria" w:eastAsia="Times New Roman" w:hAnsi="Cambria" w:cs="Helvetica"/>
                <w:color w:val="000000"/>
                <w:sz w:val="16"/>
                <w:szCs w:val="16"/>
                <w:lang w:eastAsia="ko-KR"/>
              </w:rPr>
              <w:t xml:space="preserve"> ($) </w:t>
            </w:r>
          </w:p>
        </w:tc>
      </w:tr>
      <w:tr w:rsidR="00130B1D" w:rsidRPr="001F34DF" w14:paraId="1C000543" w14:textId="77777777" w:rsidTr="006B5573">
        <w:trPr>
          <w:trHeight w:val="230"/>
        </w:trPr>
        <w:tc>
          <w:tcPr>
            <w:tcW w:w="1345" w:type="dxa"/>
            <w:shd w:val="clear" w:color="auto" w:fill="auto"/>
            <w:vAlign w:val="center"/>
            <w:hideMark/>
          </w:tcPr>
          <w:p w14:paraId="6CD1C19E"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Less than 5</w:t>
            </w:r>
          </w:p>
        </w:tc>
        <w:tc>
          <w:tcPr>
            <w:tcW w:w="990" w:type="dxa"/>
            <w:shd w:val="clear" w:color="auto" w:fill="auto"/>
            <w:vAlign w:val="center"/>
            <w:hideMark/>
          </w:tcPr>
          <w:p w14:paraId="45FDB1F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$129,988</w:t>
            </w:r>
          </w:p>
        </w:tc>
        <w:tc>
          <w:tcPr>
            <w:tcW w:w="810" w:type="dxa"/>
            <w:shd w:val="clear" w:color="auto" w:fill="auto"/>
            <w:vAlign w:val="center"/>
            <w:hideMark/>
          </w:tcPr>
          <w:p w14:paraId="30A0925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50.8%</w:t>
            </w:r>
          </w:p>
        </w:tc>
        <w:tc>
          <w:tcPr>
            <w:tcW w:w="990" w:type="dxa"/>
            <w:shd w:val="clear" w:color="auto" w:fill="auto"/>
            <w:vAlign w:val="center"/>
            <w:hideMark/>
          </w:tcPr>
          <w:p w14:paraId="1B19FB8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$1,296,241</w:t>
            </w:r>
          </w:p>
        </w:tc>
        <w:tc>
          <w:tcPr>
            <w:tcW w:w="900" w:type="dxa"/>
            <w:shd w:val="clear" w:color="auto" w:fill="auto"/>
            <w:vAlign w:val="center"/>
            <w:hideMark/>
          </w:tcPr>
          <w:p w14:paraId="4ED241AE"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43.2%</w:t>
            </w:r>
          </w:p>
        </w:tc>
        <w:tc>
          <w:tcPr>
            <w:tcW w:w="1080" w:type="dxa"/>
            <w:shd w:val="clear" w:color="auto" w:fill="auto"/>
            <w:vAlign w:val="center"/>
            <w:hideMark/>
          </w:tcPr>
          <w:p w14:paraId="732E846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$2,037,597</w:t>
            </w:r>
          </w:p>
        </w:tc>
        <w:tc>
          <w:tcPr>
            <w:tcW w:w="720" w:type="dxa"/>
            <w:shd w:val="clear" w:color="auto" w:fill="auto"/>
            <w:vAlign w:val="center"/>
            <w:hideMark/>
          </w:tcPr>
          <w:p w14:paraId="5A9B501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63.6%</w:t>
            </w:r>
          </w:p>
        </w:tc>
        <w:tc>
          <w:tcPr>
            <w:tcW w:w="810" w:type="dxa"/>
            <w:shd w:val="clear" w:color="auto" w:fill="auto"/>
            <w:vAlign w:val="center"/>
            <w:hideMark/>
          </w:tcPr>
          <w:p w14:paraId="135C845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6,696</w:t>
            </w:r>
          </w:p>
        </w:tc>
        <w:tc>
          <w:tcPr>
            <w:tcW w:w="990" w:type="dxa"/>
            <w:shd w:val="clear" w:color="auto" w:fill="auto"/>
            <w:vAlign w:val="center"/>
            <w:hideMark/>
          </w:tcPr>
          <w:p w14:paraId="5F4E7684"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55.7%</w:t>
            </w:r>
          </w:p>
        </w:tc>
        <w:tc>
          <w:tcPr>
            <w:tcW w:w="1080" w:type="dxa"/>
            <w:shd w:val="clear" w:color="auto" w:fill="auto"/>
            <w:vAlign w:val="center"/>
            <w:hideMark/>
          </w:tcPr>
          <w:p w14:paraId="60258F8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$110,716</w:t>
            </w:r>
          </w:p>
        </w:tc>
      </w:tr>
      <w:tr w:rsidR="00130B1D" w:rsidRPr="001F34DF" w14:paraId="606CBEE9" w14:textId="77777777" w:rsidTr="006B5573">
        <w:trPr>
          <w:trHeight w:val="230"/>
        </w:trPr>
        <w:tc>
          <w:tcPr>
            <w:tcW w:w="1345" w:type="dxa"/>
            <w:shd w:val="clear" w:color="auto" w:fill="auto"/>
            <w:vAlign w:val="center"/>
            <w:hideMark/>
          </w:tcPr>
          <w:p w14:paraId="47D69F4D"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 to 49 </w:t>
            </w:r>
          </w:p>
        </w:tc>
        <w:tc>
          <w:tcPr>
            <w:tcW w:w="990" w:type="dxa"/>
            <w:shd w:val="clear" w:color="auto" w:fill="auto"/>
            <w:vAlign w:val="center"/>
            <w:hideMark/>
          </w:tcPr>
          <w:p w14:paraId="0FAA1D2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$24,795</w:t>
            </w:r>
          </w:p>
        </w:tc>
        <w:tc>
          <w:tcPr>
            <w:tcW w:w="810" w:type="dxa"/>
            <w:shd w:val="clear" w:color="auto" w:fill="auto"/>
            <w:vAlign w:val="center"/>
            <w:hideMark/>
          </w:tcPr>
          <w:p w14:paraId="0C2CFBEC"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9.7%</w:t>
            </w:r>
          </w:p>
        </w:tc>
        <w:tc>
          <w:tcPr>
            <w:tcW w:w="990" w:type="dxa"/>
            <w:shd w:val="clear" w:color="auto" w:fill="auto"/>
            <w:vAlign w:val="center"/>
            <w:hideMark/>
          </w:tcPr>
          <w:p w14:paraId="34C93A4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$301,809</w:t>
            </w:r>
          </w:p>
        </w:tc>
        <w:tc>
          <w:tcPr>
            <w:tcW w:w="900" w:type="dxa"/>
            <w:shd w:val="clear" w:color="auto" w:fill="auto"/>
            <w:vAlign w:val="center"/>
            <w:hideMark/>
          </w:tcPr>
          <w:p w14:paraId="26CE138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10.1%</w:t>
            </w:r>
          </w:p>
        </w:tc>
        <w:tc>
          <w:tcPr>
            <w:tcW w:w="1080" w:type="dxa"/>
            <w:shd w:val="clear" w:color="auto" w:fill="auto"/>
            <w:vAlign w:val="center"/>
            <w:hideMark/>
          </w:tcPr>
          <w:p w14:paraId="4ACF27E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$870,079</w:t>
            </w:r>
          </w:p>
        </w:tc>
        <w:tc>
          <w:tcPr>
            <w:tcW w:w="720" w:type="dxa"/>
            <w:shd w:val="clear" w:color="auto" w:fill="auto"/>
            <w:vAlign w:val="center"/>
            <w:hideMark/>
          </w:tcPr>
          <w:p w14:paraId="083AECA4"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34.7%</w:t>
            </w:r>
          </w:p>
        </w:tc>
        <w:tc>
          <w:tcPr>
            <w:tcW w:w="810" w:type="dxa"/>
            <w:shd w:val="clear" w:color="auto" w:fill="auto"/>
            <w:vAlign w:val="center"/>
            <w:hideMark/>
          </w:tcPr>
          <w:p w14:paraId="5794FEA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3,300</w:t>
            </w:r>
          </w:p>
        </w:tc>
        <w:tc>
          <w:tcPr>
            <w:tcW w:w="990" w:type="dxa"/>
            <w:shd w:val="clear" w:color="auto" w:fill="auto"/>
            <w:vAlign w:val="center"/>
            <w:hideMark/>
          </w:tcPr>
          <w:p w14:paraId="09F96964"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27.4%</w:t>
            </w:r>
          </w:p>
        </w:tc>
        <w:tc>
          <w:tcPr>
            <w:tcW w:w="1080" w:type="dxa"/>
            <w:shd w:val="clear" w:color="auto" w:fill="auto"/>
            <w:vAlign w:val="center"/>
            <w:hideMark/>
          </w:tcPr>
          <w:p w14:paraId="404CE15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$172,203</w:t>
            </w:r>
          </w:p>
        </w:tc>
      </w:tr>
      <w:tr w:rsidR="00130B1D" w:rsidRPr="001F34DF" w14:paraId="4E51BCD9" w14:textId="77777777" w:rsidTr="006B5573">
        <w:trPr>
          <w:trHeight w:val="230"/>
        </w:trPr>
        <w:tc>
          <w:tcPr>
            <w:tcW w:w="1345" w:type="dxa"/>
            <w:shd w:val="clear" w:color="auto" w:fill="auto"/>
            <w:vAlign w:val="center"/>
            <w:hideMark/>
          </w:tcPr>
          <w:p w14:paraId="46E4CC5B"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50 to 99 </w:t>
            </w:r>
          </w:p>
        </w:tc>
        <w:tc>
          <w:tcPr>
            <w:tcW w:w="990" w:type="dxa"/>
            <w:shd w:val="clear" w:color="auto" w:fill="auto"/>
            <w:vAlign w:val="center"/>
            <w:hideMark/>
          </w:tcPr>
          <w:p w14:paraId="5280A57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$10,717</w:t>
            </w:r>
          </w:p>
        </w:tc>
        <w:tc>
          <w:tcPr>
            <w:tcW w:w="810" w:type="dxa"/>
            <w:shd w:val="clear" w:color="auto" w:fill="auto"/>
            <w:vAlign w:val="center"/>
            <w:hideMark/>
          </w:tcPr>
          <w:p w14:paraId="2C596B80"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4.2%</w:t>
            </w:r>
          </w:p>
        </w:tc>
        <w:tc>
          <w:tcPr>
            <w:tcW w:w="990" w:type="dxa"/>
            <w:shd w:val="clear" w:color="auto" w:fill="auto"/>
            <w:vAlign w:val="center"/>
            <w:hideMark/>
          </w:tcPr>
          <w:p w14:paraId="7D7DE51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$105,349</w:t>
            </w:r>
          </w:p>
        </w:tc>
        <w:tc>
          <w:tcPr>
            <w:tcW w:w="900" w:type="dxa"/>
            <w:shd w:val="clear" w:color="auto" w:fill="auto"/>
            <w:vAlign w:val="center"/>
            <w:hideMark/>
          </w:tcPr>
          <w:p w14:paraId="61CA8A2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3.5%</w:t>
            </w:r>
          </w:p>
        </w:tc>
        <w:tc>
          <w:tcPr>
            <w:tcW w:w="1080" w:type="dxa"/>
            <w:shd w:val="clear" w:color="auto" w:fill="auto"/>
            <w:vAlign w:val="center"/>
            <w:hideMark/>
          </w:tcPr>
          <w:p w14:paraId="3223027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$263,154</w:t>
            </w:r>
          </w:p>
        </w:tc>
        <w:tc>
          <w:tcPr>
            <w:tcW w:w="720" w:type="dxa"/>
            <w:shd w:val="clear" w:color="auto" w:fill="auto"/>
            <w:vAlign w:val="center"/>
            <w:hideMark/>
          </w:tcPr>
          <w:p w14:paraId="0422523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40.0%</w:t>
            </w:r>
          </w:p>
        </w:tc>
        <w:tc>
          <w:tcPr>
            <w:tcW w:w="810" w:type="dxa"/>
            <w:shd w:val="clear" w:color="auto" w:fill="auto"/>
            <w:vAlign w:val="center"/>
            <w:hideMark/>
          </w:tcPr>
          <w:p w14:paraId="33B8F0A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586</w:t>
            </w:r>
          </w:p>
        </w:tc>
        <w:tc>
          <w:tcPr>
            <w:tcW w:w="990" w:type="dxa"/>
            <w:shd w:val="clear" w:color="auto" w:fill="auto"/>
            <w:vAlign w:val="center"/>
            <w:hideMark/>
          </w:tcPr>
          <w:p w14:paraId="58F52D5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4.9%</w:t>
            </w:r>
          </w:p>
        </w:tc>
        <w:tc>
          <w:tcPr>
            <w:tcW w:w="1080" w:type="dxa"/>
            <w:shd w:val="clear" w:color="auto" w:fill="auto"/>
            <w:vAlign w:val="center"/>
            <w:hideMark/>
          </w:tcPr>
          <w:p w14:paraId="50D9CB1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$269,292</w:t>
            </w:r>
          </w:p>
        </w:tc>
      </w:tr>
      <w:tr w:rsidR="00130B1D" w:rsidRPr="001F34DF" w14:paraId="112FEAD3" w14:textId="77777777" w:rsidTr="006B5573">
        <w:trPr>
          <w:trHeight w:val="230"/>
        </w:trPr>
        <w:tc>
          <w:tcPr>
            <w:tcW w:w="1345" w:type="dxa"/>
            <w:shd w:val="clear" w:color="auto" w:fill="auto"/>
            <w:vAlign w:val="center"/>
            <w:hideMark/>
          </w:tcPr>
          <w:p w14:paraId="30C6BC35"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100 to 199 </w:t>
            </w:r>
          </w:p>
        </w:tc>
        <w:tc>
          <w:tcPr>
            <w:tcW w:w="990" w:type="dxa"/>
            <w:shd w:val="clear" w:color="auto" w:fill="auto"/>
            <w:vAlign w:val="center"/>
            <w:hideMark/>
          </w:tcPr>
          <w:p w14:paraId="532EFBE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$15,617</w:t>
            </w:r>
          </w:p>
        </w:tc>
        <w:tc>
          <w:tcPr>
            <w:tcW w:w="810" w:type="dxa"/>
            <w:shd w:val="clear" w:color="auto" w:fill="auto"/>
            <w:vAlign w:val="center"/>
            <w:hideMark/>
          </w:tcPr>
          <w:p w14:paraId="4C82545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6.1%</w:t>
            </w:r>
          </w:p>
        </w:tc>
        <w:tc>
          <w:tcPr>
            <w:tcW w:w="990" w:type="dxa"/>
            <w:shd w:val="clear" w:color="auto" w:fill="auto"/>
            <w:vAlign w:val="center"/>
            <w:hideMark/>
          </w:tcPr>
          <w:p w14:paraId="3EEA406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$221,636</w:t>
            </w:r>
          </w:p>
        </w:tc>
        <w:tc>
          <w:tcPr>
            <w:tcW w:w="900" w:type="dxa"/>
            <w:shd w:val="clear" w:color="auto" w:fill="auto"/>
            <w:vAlign w:val="center"/>
            <w:hideMark/>
          </w:tcPr>
          <w:p w14:paraId="3BB5B57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7.4%</w:t>
            </w:r>
          </w:p>
        </w:tc>
        <w:tc>
          <w:tcPr>
            <w:tcW w:w="1080" w:type="dxa"/>
            <w:shd w:val="clear" w:color="auto" w:fill="auto"/>
            <w:vAlign w:val="center"/>
            <w:hideMark/>
          </w:tcPr>
          <w:p w14:paraId="44FF6E5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$528,449</w:t>
            </w:r>
          </w:p>
        </w:tc>
        <w:tc>
          <w:tcPr>
            <w:tcW w:w="720" w:type="dxa"/>
            <w:shd w:val="clear" w:color="auto" w:fill="auto"/>
            <w:vAlign w:val="center"/>
            <w:hideMark/>
          </w:tcPr>
          <w:p w14:paraId="16391730"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41.9%</w:t>
            </w:r>
          </w:p>
        </w:tc>
        <w:tc>
          <w:tcPr>
            <w:tcW w:w="810" w:type="dxa"/>
            <w:shd w:val="clear" w:color="auto" w:fill="auto"/>
            <w:vAlign w:val="center"/>
            <w:hideMark/>
          </w:tcPr>
          <w:p w14:paraId="273B518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483</w:t>
            </w:r>
          </w:p>
        </w:tc>
        <w:tc>
          <w:tcPr>
            <w:tcW w:w="990" w:type="dxa"/>
            <w:shd w:val="clear" w:color="auto" w:fill="auto"/>
            <w:vAlign w:val="center"/>
            <w:hideMark/>
          </w:tcPr>
          <w:p w14:paraId="29B3474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4.0%</w:t>
            </w:r>
          </w:p>
        </w:tc>
        <w:tc>
          <w:tcPr>
            <w:tcW w:w="1080" w:type="dxa"/>
            <w:shd w:val="clear" w:color="auto" w:fill="auto"/>
            <w:vAlign w:val="center"/>
            <w:hideMark/>
          </w:tcPr>
          <w:p w14:paraId="5DC2B1E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$635,223</w:t>
            </w:r>
          </w:p>
        </w:tc>
      </w:tr>
      <w:tr w:rsidR="00130B1D" w:rsidRPr="001F34DF" w14:paraId="26211326" w14:textId="77777777" w:rsidTr="006B5573">
        <w:trPr>
          <w:trHeight w:val="230"/>
        </w:trPr>
        <w:tc>
          <w:tcPr>
            <w:tcW w:w="1345" w:type="dxa"/>
            <w:shd w:val="clear" w:color="auto" w:fill="auto"/>
            <w:vAlign w:val="center"/>
            <w:hideMark/>
          </w:tcPr>
          <w:p w14:paraId="76505673"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200 to 499 </w:t>
            </w:r>
          </w:p>
        </w:tc>
        <w:tc>
          <w:tcPr>
            <w:tcW w:w="990" w:type="dxa"/>
            <w:shd w:val="clear" w:color="auto" w:fill="auto"/>
            <w:vAlign w:val="center"/>
            <w:hideMark/>
          </w:tcPr>
          <w:p w14:paraId="031163A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$11,413</w:t>
            </w:r>
          </w:p>
        </w:tc>
        <w:tc>
          <w:tcPr>
            <w:tcW w:w="810" w:type="dxa"/>
            <w:shd w:val="clear" w:color="auto" w:fill="auto"/>
            <w:vAlign w:val="center"/>
            <w:hideMark/>
          </w:tcPr>
          <w:p w14:paraId="4D28CA7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4.5%</w:t>
            </w:r>
          </w:p>
        </w:tc>
        <w:tc>
          <w:tcPr>
            <w:tcW w:w="990" w:type="dxa"/>
            <w:shd w:val="clear" w:color="auto" w:fill="auto"/>
            <w:vAlign w:val="center"/>
            <w:hideMark/>
          </w:tcPr>
          <w:p w14:paraId="30EC3E6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$129,029</w:t>
            </w:r>
          </w:p>
        </w:tc>
        <w:tc>
          <w:tcPr>
            <w:tcW w:w="900" w:type="dxa"/>
            <w:shd w:val="clear" w:color="auto" w:fill="auto"/>
            <w:vAlign w:val="center"/>
            <w:hideMark/>
          </w:tcPr>
          <w:p w14:paraId="7222D9F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4.3%</w:t>
            </w:r>
          </w:p>
        </w:tc>
        <w:tc>
          <w:tcPr>
            <w:tcW w:w="1080" w:type="dxa"/>
            <w:shd w:val="clear" w:color="auto" w:fill="auto"/>
            <w:vAlign w:val="center"/>
            <w:hideMark/>
          </w:tcPr>
          <w:p w14:paraId="3E10F62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$490,022</w:t>
            </w:r>
          </w:p>
        </w:tc>
        <w:tc>
          <w:tcPr>
            <w:tcW w:w="720" w:type="dxa"/>
            <w:shd w:val="clear" w:color="auto" w:fill="auto"/>
            <w:vAlign w:val="center"/>
            <w:hideMark/>
          </w:tcPr>
          <w:p w14:paraId="2BC0282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26.3%</w:t>
            </w:r>
          </w:p>
        </w:tc>
        <w:tc>
          <w:tcPr>
            <w:tcW w:w="810" w:type="dxa"/>
            <w:shd w:val="clear" w:color="auto" w:fill="auto"/>
            <w:vAlign w:val="center"/>
            <w:hideMark/>
          </w:tcPr>
          <w:p w14:paraId="05D084C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423</w:t>
            </w:r>
          </w:p>
        </w:tc>
        <w:tc>
          <w:tcPr>
            <w:tcW w:w="990" w:type="dxa"/>
            <w:shd w:val="clear" w:color="auto" w:fill="auto"/>
            <w:vAlign w:val="center"/>
            <w:hideMark/>
          </w:tcPr>
          <w:p w14:paraId="2B81C93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3.5%</w:t>
            </w:r>
          </w:p>
        </w:tc>
        <w:tc>
          <w:tcPr>
            <w:tcW w:w="1080" w:type="dxa"/>
            <w:shd w:val="clear" w:color="auto" w:fill="auto"/>
            <w:vAlign w:val="center"/>
            <w:hideMark/>
          </w:tcPr>
          <w:p w14:paraId="2D11FCE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$853,410</w:t>
            </w:r>
          </w:p>
        </w:tc>
      </w:tr>
      <w:tr w:rsidR="00130B1D" w:rsidRPr="001F34DF" w14:paraId="755BAA98" w14:textId="77777777" w:rsidTr="006B5573">
        <w:trPr>
          <w:trHeight w:val="220"/>
        </w:trPr>
        <w:tc>
          <w:tcPr>
            <w:tcW w:w="1345" w:type="dxa"/>
            <w:shd w:val="clear" w:color="auto" w:fill="auto"/>
            <w:vAlign w:val="center"/>
            <w:hideMark/>
          </w:tcPr>
          <w:p w14:paraId="5DE866BB"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500 or more </w:t>
            </w:r>
          </w:p>
        </w:tc>
        <w:tc>
          <w:tcPr>
            <w:tcW w:w="990" w:type="dxa"/>
            <w:shd w:val="clear" w:color="auto" w:fill="auto"/>
            <w:vAlign w:val="center"/>
            <w:hideMark/>
          </w:tcPr>
          <w:p w14:paraId="37B9EA2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$63,587</w:t>
            </w:r>
          </w:p>
        </w:tc>
        <w:tc>
          <w:tcPr>
            <w:tcW w:w="810" w:type="dxa"/>
            <w:shd w:val="clear" w:color="auto" w:fill="auto"/>
            <w:vAlign w:val="center"/>
            <w:hideMark/>
          </w:tcPr>
          <w:p w14:paraId="72599CCE"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24.8%</w:t>
            </w:r>
          </w:p>
        </w:tc>
        <w:tc>
          <w:tcPr>
            <w:tcW w:w="990" w:type="dxa"/>
            <w:shd w:val="clear" w:color="auto" w:fill="auto"/>
            <w:vAlign w:val="center"/>
            <w:hideMark/>
          </w:tcPr>
          <w:p w14:paraId="72E1909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$943,443</w:t>
            </w:r>
          </w:p>
        </w:tc>
        <w:tc>
          <w:tcPr>
            <w:tcW w:w="900" w:type="dxa"/>
            <w:shd w:val="clear" w:color="auto" w:fill="auto"/>
            <w:vAlign w:val="center"/>
            <w:hideMark/>
          </w:tcPr>
          <w:p w14:paraId="527486CF"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31.5%</w:t>
            </w:r>
          </w:p>
        </w:tc>
        <w:tc>
          <w:tcPr>
            <w:tcW w:w="1080" w:type="dxa"/>
            <w:shd w:val="clear" w:color="auto" w:fill="auto"/>
            <w:vAlign w:val="center"/>
            <w:hideMark/>
          </w:tcPr>
          <w:p w14:paraId="5B64959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$1,729,705</w:t>
            </w:r>
          </w:p>
        </w:tc>
        <w:tc>
          <w:tcPr>
            <w:tcW w:w="720" w:type="dxa"/>
            <w:shd w:val="clear" w:color="auto" w:fill="auto"/>
            <w:vAlign w:val="center"/>
            <w:hideMark/>
          </w:tcPr>
          <w:p w14:paraId="3CCB3B90"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54.5%</w:t>
            </w:r>
          </w:p>
        </w:tc>
        <w:tc>
          <w:tcPr>
            <w:tcW w:w="810" w:type="dxa"/>
            <w:shd w:val="clear" w:color="auto" w:fill="auto"/>
            <w:vAlign w:val="center"/>
            <w:hideMark/>
          </w:tcPr>
          <w:p w14:paraId="5BB8D34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536</w:t>
            </w:r>
          </w:p>
        </w:tc>
        <w:tc>
          <w:tcPr>
            <w:tcW w:w="990" w:type="dxa"/>
            <w:shd w:val="clear" w:color="auto" w:fill="auto"/>
            <w:vAlign w:val="center"/>
            <w:hideMark/>
          </w:tcPr>
          <w:p w14:paraId="5C8D83E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4.5%</w:t>
            </w:r>
          </w:p>
        </w:tc>
        <w:tc>
          <w:tcPr>
            <w:tcW w:w="1080" w:type="dxa"/>
            <w:shd w:val="clear" w:color="auto" w:fill="auto"/>
            <w:vAlign w:val="center"/>
            <w:hideMark/>
          </w:tcPr>
          <w:p w14:paraId="3C0A61E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$1,466,906</w:t>
            </w:r>
          </w:p>
        </w:tc>
      </w:tr>
      <w:tr w:rsidR="00130B1D" w:rsidRPr="001F34DF" w14:paraId="7F14577A" w14:textId="77777777" w:rsidTr="006B5573">
        <w:trPr>
          <w:trHeight w:val="220"/>
        </w:trPr>
        <w:tc>
          <w:tcPr>
            <w:tcW w:w="1345" w:type="dxa"/>
            <w:shd w:val="clear" w:color="auto" w:fill="auto"/>
            <w:vAlign w:val="center"/>
            <w:hideMark/>
          </w:tcPr>
          <w:p w14:paraId="58AC7FD4"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Total </w:t>
            </w:r>
          </w:p>
        </w:tc>
        <w:tc>
          <w:tcPr>
            <w:tcW w:w="990" w:type="dxa"/>
            <w:shd w:val="clear" w:color="auto" w:fill="auto"/>
            <w:vAlign w:val="center"/>
            <w:hideMark/>
          </w:tcPr>
          <w:p w14:paraId="6CB0D68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$256,118</w:t>
            </w:r>
          </w:p>
        </w:tc>
        <w:tc>
          <w:tcPr>
            <w:tcW w:w="810" w:type="dxa"/>
            <w:shd w:val="clear" w:color="auto" w:fill="auto"/>
            <w:vAlign w:val="center"/>
            <w:hideMark/>
          </w:tcPr>
          <w:p w14:paraId="57231C8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990" w:type="dxa"/>
            <w:shd w:val="clear" w:color="auto" w:fill="auto"/>
            <w:vAlign w:val="center"/>
            <w:hideMark/>
          </w:tcPr>
          <w:p w14:paraId="790A9AC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$2,997,508</w:t>
            </w:r>
          </w:p>
        </w:tc>
        <w:tc>
          <w:tcPr>
            <w:tcW w:w="900" w:type="dxa"/>
            <w:shd w:val="clear" w:color="auto" w:fill="auto"/>
            <w:vAlign w:val="center"/>
            <w:hideMark/>
          </w:tcPr>
          <w:p w14:paraId="26E1549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1080" w:type="dxa"/>
            <w:shd w:val="clear" w:color="auto" w:fill="auto"/>
            <w:vAlign w:val="center"/>
            <w:hideMark/>
          </w:tcPr>
          <w:p w14:paraId="2D76B54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$5,919,005</w:t>
            </w:r>
          </w:p>
        </w:tc>
        <w:tc>
          <w:tcPr>
            <w:tcW w:w="720" w:type="dxa"/>
            <w:shd w:val="clear" w:color="auto" w:fill="auto"/>
            <w:vAlign w:val="center"/>
            <w:hideMark/>
          </w:tcPr>
          <w:p w14:paraId="3E14C31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50.6%</w:t>
            </w:r>
          </w:p>
        </w:tc>
        <w:tc>
          <w:tcPr>
            <w:tcW w:w="810" w:type="dxa"/>
            <w:shd w:val="clear" w:color="auto" w:fill="auto"/>
            <w:vAlign w:val="center"/>
            <w:hideMark/>
          </w:tcPr>
          <w:p w14:paraId="3D8C93C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12,024</w:t>
            </w:r>
          </w:p>
        </w:tc>
        <w:tc>
          <w:tcPr>
            <w:tcW w:w="990" w:type="dxa"/>
            <w:shd w:val="clear" w:color="auto" w:fill="auto"/>
            <w:vAlign w:val="center"/>
            <w:hideMark/>
          </w:tcPr>
          <w:p w14:paraId="550E3E5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1080" w:type="dxa"/>
            <w:shd w:val="clear" w:color="auto" w:fill="auto"/>
            <w:vAlign w:val="center"/>
            <w:hideMark/>
          </w:tcPr>
          <w:p w14:paraId="1E7B666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$242,972</w:t>
            </w:r>
          </w:p>
        </w:tc>
      </w:tr>
    </w:tbl>
    <w:p w14:paraId="4A6CF043" w14:textId="77777777" w:rsidR="00692DEF" w:rsidRPr="003A0367" w:rsidRDefault="00692DEF" w:rsidP="00692DEF">
      <w:pPr>
        <w:tabs>
          <w:tab w:val="left" w:pos="7050"/>
        </w:tabs>
        <w:spacing w:after="0"/>
        <w:rPr>
          <w:rFonts w:asciiTheme="majorHAnsi" w:eastAsiaTheme="majorEastAsia" w:hAnsiTheme="majorHAnsi" w:cstheme="majorBidi"/>
          <w:bCs/>
          <w:color w:val="000000" w:themeColor="text1"/>
          <w:sz w:val="16"/>
          <w:szCs w:val="16"/>
        </w:rPr>
      </w:pPr>
      <w:r w:rsidRPr="003A0367">
        <w:rPr>
          <w:rFonts w:asciiTheme="majorHAnsi" w:eastAsiaTheme="majorEastAsia" w:hAnsiTheme="majorHAnsi" w:cstheme="majorBidi"/>
          <w:bCs/>
          <w:color w:val="000000" w:themeColor="text1"/>
          <w:sz w:val="16"/>
          <w:szCs w:val="16"/>
        </w:rPr>
        <w:t>Source: Department of Revenue (2018</w:t>
      </w:r>
      <w:r w:rsidR="00E1223A" w:rsidRPr="003A0367">
        <w:rPr>
          <w:rFonts w:asciiTheme="majorHAnsi" w:eastAsiaTheme="majorEastAsia" w:hAnsiTheme="majorHAnsi" w:cstheme="majorBidi"/>
          <w:bCs/>
          <w:color w:val="000000" w:themeColor="text1"/>
          <w:sz w:val="16"/>
          <w:szCs w:val="16"/>
        </w:rPr>
        <w:t xml:space="preserve"> </w:t>
      </w:r>
      <w:r w:rsidR="001F34DF">
        <w:rPr>
          <w:rFonts w:asciiTheme="majorHAnsi" w:eastAsiaTheme="majorEastAsia" w:hAnsiTheme="majorHAnsi" w:cstheme="majorBidi"/>
          <w:bCs/>
          <w:color w:val="000000" w:themeColor="text1"/>
          <w:sz w:val="16"/>
          <w:szCs w:val="16"/>
        </w:rPr>
        <w:t>corporate excise</w:t>
      </w:r>
      <w:r w:rsidR="00E1223A" w:rsidRPr="003A0367">
        <w:rPr>
          <w:rFonts w:asciiTheme="majorHAnsi" w:eastAsiaTheme="majorEastAsia" w:hAnsiTheme="majorHAnsi" w:cstheme="majorBidi"/>
          <w:bCs/>
          <w:color w:val="000000" w:themeColor="text1"/>
          <w:sz w:val="16"/>
          <w:szCs w:val="16"/>
        </w:rPr>
        <w:t xml:space="preserve"> return</w:t>
      </w:r>
      <w:r w:rsidR="001F34DF">
        <w:rPr>
          <w:rFonts w:asciiTheme="majorHAnsi" w:eastAsiaTheme="majorEastAsia" w:hAnsiTheme="majorHAnsi" w:cstheme="majorBidi"/>
          <w:bCs/>
          <w:color w:val="000000" w:themeColor="text1"/>
          <w:sz w:val="16"/>
          <w:szCs w:val="16"/>
        </w:rPr>
        <w:t>s</w:t>
      </w:r>
      <w:r w:rsidRPr="003A0367">
        <w:rPr>
          <w:rFonts w:asciiTheme="majorHAnsi" w:eastAsiaTheme="majorEastAsia" w:hAnsiTheme="majorHAnsi" w:cstheme="majorBidi"/>
          <w:bCs/>
          <w:color w:val="000000" w:themeColor="text1"/>
          <w:sz w:val="16"/>
          <w:szCs w:val="16"/>
        </w:rPr>
        <w:t>)</w:t>
      </w:r>
    </w:p>
    <w:p w14:paraId="504A0771" w14:textId="77777777" w:rsidR="001F34DF" w:rsidRDefault="00692DEF" w:rsidP="003A0367">
      <w:pPr>
        <w:tabs>
          <w:tab w:val="left" w:pos="7050"/>
        </w:tabs>
        <w:spacing w:after="0"/>
        <w:rPr>
          <w:rFonts w:asciiTheme="majorHAnsi" w:eastAsiaTheme="majorEastAsia" w:hAnsiTheme="majorHAnsi" w:cstheme="majorBidi"/>
          <w:bCs/>
          <w:color w:val="000000" w:themeColor="text1"/>
          <w:sz w:val="16"/>
          <w:szCs w:val="16"/>
        </w:rPr>
      </w:pPr>
      <w:r w:rsidRPr="003A0367">
        <w:rPr>
          <w:rFonts w:asciiTheme="majorHAnsi" w:eastAsiaTheme="majorEastAsia" w:hAnsiTheme="majorHAnsi" w:cstheme="majorBidi"/>
          <w:bCs/>
          <w:color w:val="000000" w:themeColor="text1"/>
          <w:sz w:val="16"/>
          <w:szCs w:val="16"/>
        </w:rPr>
        <w:t>Note</w:t>
      </w:r>
      <w:r w:rsidR="00F7611E" w:rsidRPr="003A0367">
        <w:rPr>
          <w:rFonts w:asciiTheme="majorHAnsi" w:eastAsiaTheme="majorEastAsia" w:hAnsiTheme="majorHAnsi" w:cstheme="majorBidi"/>
          <w:bCs/>
          <w:color w:val="000000" w:themeColor="text1"/>
          <w:sz w:val="16"/>
          <w:szCs w:val="16"/>
        </w:rPr>
        <w:t>s</w:t>
      </w:r>
      <w:r w:rsidRPr="003A0367">
        <w:rPr>
          <w:rFonts w:asciiTheme="majorHAnsi" w:eastAsiaTheme="majorEastAsia" w:hAnsiTheme="majorHAnsi" w:cstheme="majorBidi"/>
          <w:bCs/>
          <w:color w:val="000000" w:themeColor="text1"/>
          <w:sz w:val="16"/>
          <w:szCs w:val="16"/>
        </w:rPr>
        <w:t xml:space="preserve">: </w:t>
      </w:r>
      <w:r w:rsidR="00F7611E" w:rsidRPr="003A0367">
        <w:rPr>
          <w:rFonts w:asciiTheme="majorHAnsi" w:eastAsiaTheme="majorEastAsia" w:hAnsiTheme="majorHAnsi" w:cstheme="majorBidi"/>
          <w:bCs/>
          <w:color w:val="000000" w:themeColor="text1"/>
          <w:sz w:val="16"/>
          <w:szCs w:val="16"/>
        </w:rPr>
        <w:t xml:space="preserve">1. </w:t>
      </w:r>
      <w:r w:rsidRPr="003A0367">
        <w:rPr>
          <w:rFonts w:asciiTheme="majorHAnsi" w:eastAsiaTheme="majorEastAsia" w:hAnsiTheme="majorHAnsi" w:cstheme="majorBidi"/>
          <w:bCs/>
          <w:color w:val="000000" w:themeColor="text1"/>
          <w:sz w:val="16"/>
          <w:szCs w:val="16"/>
        </w:rPr>
        <w:t xml:space="preserve">* </w:t>
      </w:r>
      <w:r w:rsidR="001F34DF" w:rsidRPr="00CF3070">
        <w:rPr>
          <w:rFonts w:asciiTheme="majorHAnsi" w:hAnsiTheme="majorHAnsi"/>
          <w:sz w:val="16"/>
          <w:szCs w:val="16"/>
        </w:rPr>
        <w:t>Information is based on number of employees as reported by taxpayers.</w:t>
      </w:r>
    </w:p>
    <w:p w14:paraId="430C505E" w14:textId="77777777" w:rsidR="001F34DF" w:rsidRDefault="001F34DF" w:rsidP="003A0367">
      <w:pPr>
        <w:tabs>
          <w:tab w:val="left" w:pos="7050"/>
        </w:tabs>
        <w:spacing w:after="0"/>
        <w:rPr>
          <w:rFonts w:ascii="Cambria" w:eastAsia="Times New Roman" w:hAnsi="Cambria" w:cs="Helvetica"/>
          <w:color w:val="000000"/>
          <w:sz w:val="16"/>
          <w:szCs w:val="16"/>
          <w:lang w:eastAsia="ko-KR"/>
        </w:rPr>
      </w:pPr>
      <w:r>
        <w:rPr>
          <w:rFonts w:asciiTheme="majorHAnsi" w:eastAsiaTheme="majorEastAsia" w:hAnsiTheme="majorHAnsi" w:cstheme="majorBidi"/>
          <w:bCs/>
          <w:color w:val="000000" w:themeColor="text1"/>
          <w:sz w:val="16"/>
          <w:szCs w:val="16"/>
        </w:rPr>
        <w:t xml:space="preserve">             2. </w:t>
      </w:r>
      <w:r w:rsidR="007D34AF" w:rsidRPr="003A0367">
        <w:rPr>
          <w:rFonts w:ascii="Cambria" w:eastAsia="Times New Roman" w:hAnsi="Cambria" w:cs="Helvetica"/>
          <w:color w:val="000000"/>
          <w:sz w:val="16"/>
          <w:szCs w:val="16"/>
          <w:lang w:eastAsia="ko-KR"/>
        </w:rPr>
        <w:t>NOL denotes</w:t>
      </w:r>
      <w:r w:rsidR="00EB4657" w:rsidRPr="003A0367">
        <w:rPr>
          <w:rFonts w:ascii="Cambria" w:eastAsia="Times New Roman" w:hAnsi="Cambria" w:cs="Helvetica"/>
          <w:color w:val="000000"/>
          <w:sz w:val="16"/>
          <w:szCs w:val="16"/>
          <w:lang w:eastAsia="ko-KR"/>
        </w:rPr>
        <w:t xml:space="preserve"> Net Operating Loss</w:t>
      </w:r>
      <w:r w:rsidR="00F7611E" w:rsidRPr="003A0367">
        <w:rPr>
          <w:rFonts w:ascii="Cambria" w:eastAsia="Times New Roman" w:hAnsi="Cambria" w:cs="Helvetica"/>
          <w:color w:val="000000"/>
          <w:sz w:val="16"/>
          <w:szCs w:val="16"/>
          <w:lang w:eastAsia="ko-KR"/>
        </w:rPr>
        <w:t xml:space="preserve">. </w:t>
      </w:r>
    </w:p>
    <w:p w14:paraId="4A740994" w14:textId="77777777" w:rsidR="00F4051E" w:rsidRPr="003A0367" w:rsidRDefault="001F34DF" w:rsidP="003A0367">
      <w:pPr>
        <w:tabs>
          <w:tab w:val="left" w:pos="7050"/>
        </w:tabs>
        <w:spacing w:after="0"/>
        <w:rPr>
          <w:rFonts w:ascii="Cambria" w:eastAsia="Times New Roman" w:hAnsi="Cambria" w:cs="Helvetica"/>
          <w:color w:val="000000"/>
          <w:sz w:val="16"/>
          <w:szCs w:val="16"/>
          <w:lang w:eastAsia="ko-KR"/>
        </w:rPr>
      </w:pPr>
      <w:r>
        <w:rPr>
          <w:rFonts w:ascii="Cambria" w:eastAsia="Times New Roman" w:hAnsi="Cambria" w:cs="Helvetica"/>
          <w:color w:val="000000"/>
          <w:sz w:val="16"/>
          <w:szCs w:val="16"/>
          <w:lang w:eastAsia="ko-KR"/>
        </w:rPr>
        <w:t xml:space="preserve">             3</w:t>
      </w:r>
      <w:r w:rsidR="00F7611E" w:rsidRPr="003A0367">
        <w:rPr>
          <w:rFonts w:ascii="Cambria" w:eastAsia="Times New Roman" w:hAnsi="Cambria" w:cs="Helvetica"/>
          <w:color w:val="000000"/>
          <w:sz w:val="16"/>
          <w:szCs w:val="16"/>
          <w:lang w:eastAsia="ko-KR"/>
        </w:rPr>
        <w:t xml:space="preserve">. The data is preliminary and subject to </w:t>
      </w:r>
      <w:r>
        <w:rPr>
          <w:rFonts w:ascii="Cambria" w:eastAsia="Times New Roman" w:hAnsi="Cambria" w:cs="Helvetica"/>
          <w:color w:val="000000"/>
          <w:sz w:val="16"/>
          <w:szCs w:val="16"/>
          <w:lang w:eastAsia="ko-KR"/>
        </w:rPr>
        <w:t>change</w:t>
      </w:r>
      <w:r w:rsidR="00F7611E" w:rsidRPr="003A0367">
        <w:rPr>
          <w:rFonts w:ascii="Cambria" w:eastAsia="Times New Roman" w:hAnsi="Cambria" w:cs="Helvetica"/>
          <w:color w:val="000000"/>
          <w:sz w:val="16"/>
          <w:szCs w:val="16"/>
          <w:lang w:eastAsia="ko-KR"/>
        </w:rPr>
        <w:t>.</w:t>
      </w:r>
    </w:p>
    <w:p w14:paraId="60A04E07" w14:textId="77777777" w:rsidR="00692DEF" w:rsidRDefault="00692DEF" w:rsidP="00291074">
      <w:pPr>
        <w:spacing w:after="0"/>
        <w:rPr>
          <w:rFonts w:ascii="Cambria" w:eastAsia="Times New Roman" w:hAnsi="Cambria" w:cs="Helvetica"/>
          <w:color w:val="000000"/>
          <w:lang w:eastAsia="ko-KR"/>
        </w:rPr>
      </w:pPr>
    </w:p>
    <w:p w14:paraId="00DE4587" w14:textId="77777777" w:rsidR="006C3121" w:rsidRDefault="006C3121" w:rsidP="00291074">
      <w:pPr>
        <w:spacing w:after="0"/>
        <w:rPr>
          <w:rFonts w:ascii="Cambria" w:eastAsia="Times New Roman" w:hAnsi="Cambria" w:cs="Helvetica"/>
          <w:color w:val="000000"/>
          <w:lang w:eastAsia="ko-KR"/>
        </w:rPr>
      </w:pPr>
    </w:p>
    <w:p w14:paraId="6A1DFD7E" w14:textId="77777777" w:rsidR="00AF6539" w:rsidRDefault="00F4051E" w:rsidP="006B5573">
      <w:pPr>
        <w:tabs>
          <w:tab w:val="left" w:pos="7050"/>
        </w:tabs>
        <w:spacing w:after="0"/>
        <w:jc w:val="center"/>
        <w:rPr>
          <w:rFonts w:asciiTheme="majorHAnsi" w:hAnsiTheme="majorHAnsi"/>
          <w:b/>
          <w:sz w:val="20"/>
          <w:szCs w:val="20"/>
        </w:rPr>
      </w:pPr>
      <w:r w:rsidRPr="006B5573">
        <w:rPr>
          <w:rFonts w:asciiTheme="majorHAnsi" w:eastAsiaTheme="majorEastAsia" w:hAnsiTheme="majorHAnsi" w:cstheme="majorBidi"/>
          <w:b/>
          <w:color w:val="000000" w:themeColor="text1"/>
          <w:sz w:val="20"/>
          <w:szCs w:val="20"/>
        </w:rPr>
        <w:t xml:space="preserve">Table </w:t>
      </w:r>
      <w:r w:rsidR="00BA48FF">
        <w:rPr>
          <w:rFonts w:asciiTheme="majorHAnsi" w:eastAsiaTheme="majorEastAsia" w:hAnsiTheme="majorHAnsi" w:cstheme="majorBidi"/>
          <w:b/>
          <w:color w:val="000000" w:themeColor="text1"/>
          <w:sz w:val="20"/>
          <w:szCs w:val="20"/>
        </w:rPr>
        <w:t>7</w:t>
      </w:r>
      <w:r w:rsidRPr="006B5573">
        <w:rPr>
          <w:rFonts w:asciiTheme="majorHAnsi" w:eastAsiaTheme="majorEastAsia" w:hAnsiTheme="majorHAnsi" w:cstheme="majorBidi"/>
          <w:b/>
          <w:color w:val="000000" w:themeColor="text1"/>
          <w:sz w:val="20"/>
          <w:szCs w:val="20"/>
        </w:rPr>
        <w:t xml:space="preserve">. </w:t>
      </w:r>
      <w:r w:rsidR="008471E4" w:rsidRPr="006B5573">
        <w:rPr>
          <w:rFonts w:asciiTheme="majorHAnsi" w:hAnsiTheme="majorHAnsi"/>
          <w:b/>
          <w:sz w:val="20"/>
          <w:szCs w:val="20"/>
        </w:rPr>
        <w:t>Impacted Corporation</w:t>
      </w:r>
      <w:r w:rsidR="00E11582" w:rsidRPr="006B5573">
        <w:rPr>
          <w:rFonts w:asciiTheme="majorHAnsi" w:hAnsiTheme="majorHAnsi"/>
          <w:b/>
          <w:sz w:val="20"/>
          <w:szCs w:val="20"/>
        </w:rPr>
        <w:t xml:space="preserve">s of Net Operating Loss Carryover, Tax Liability, and Taxable Income </w:t>
      </w:r>
    </w:p>
    <w:p w14:paraId="1B92C67C" w14:textId="77777777" w:rsidR="00ED3017" w:rsidRPr="006B5573" w:rsidRDefault="00E11582" w:rsidP="006B5573">
      <w:pPr>
        <w:tabs>
          <w:tab w:val="left" w:pos="7050"/>
        </w:tabs>
        <w:spacing w:after="0"/>
        <w:jc w:val="center"/>
        <w:rPr>
          <w:rFonts w:asciiTheme="majorHAnsi" w:hAnsiTheme="majorHAnsi"/>
          <w:b/>
          <w:sz w:val="20"/>
          <w:szCs w:val="20"/>
        </w:rPr>
      </w:pPr>
      <w:r w:rsidRPr="006B5573">
        <w:rPr>
          <w:rFonts w:asciiTheme="majorHAnsi" w:hAnsiTheme="majorHAnsi"/>
          <w:b/>
          <w:sz w:val="20"/>
          <w:szCs w:val="20"/>
        </w:rPr>
        <w:t>by Industry</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990"/>
        <w:gridCol w:w="810"/>
        <w:gridCol w:w="990"/>
        <w:gridCol w:w="900"/>
        <w:gridCol w:w="1080"/>
        <w:gridCol w:w="720"/>
        <w:gridCol w:w="810"/>
        <w:gridCol w:w="990"/>
        <w:gridCol w:w="1080"/>
      </w:tblGrid>
      <w:tr w:rsidR="001F34DF" w:rsidRPr="001F34DF" w14:paraId="1BA93A64" w14:textId="77777777" w:rsidTr="006B5573">
        <w:trPr>
          <w:trHeight w:val="20"/>
        </w:trPr>
        <w:tc>
          <w:tcPr>
            <w:tcW w:w="1345" w:type="dxa"/>
            <w:shd w:val="clear" w:color="auto" w:fill="B6DDE8" w:themeFill="accent5" w:themeFillTint="66"/>
            <w:vAlign w:val="center"/>
            <w:hideMark/>
          </w:tcPr>
          <w:p w14:paraId="68D53DB7" w14:textId="77777777" w:rsidR="00490015" w:rsidRPr="006B5573" w:rsidRDefault="00490015" w:rsidP="00490015">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Industry </w:t>
            </w:r>
          </w:p>
        </w:tc>
        <w:tc>
          <w:tcPr>
            <w:tcW w:w="990" w:type="dxa"/>
            <w:shd w:val="clear" w:color="auto" w:fill="B6DDE8" w:themeFill="accent5" w:themeFillTint="66"/>
            <w:vAlign w:val="center"/>
            <w:hideMark/>
          </w:tcPr>
          <w:p w14:paraId="57AD77EF" w14:textId="77777777" w:rsidR="00490015" w:rsidRPr="006B5573" w:rsidRDefault="00490015" w:rsidP="00490015">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w:t>
            </w:r>
            <w:r w:rsidR="001F34DF" w:rsidRPr="001F34DF">
              <w:rPr>
                <w:rFonts w:ascii="Cambria" w:eastAsia="Times New Roman" w:hAnsi="Cambria" w:cs="Arial"/>
                <w:color w:val="000000"/>
                <w:sz w:val="16"/>
                <w:szCs w:val="16"/>
                <w:lang w:eastAsia="ko-KR"/>
              </w:rPr>
              <w:t xml:space="preserve">Tax Liability </w:t>
            </w:r>
            <w:r w:rsidRPr="006B5573">
              <w:rPr>
                <w:rFonts w:ascii="Cambria" w:eastAsia="Times New Roman" w:hAnsi="Cambria" w:cs="Helvetica"/>
                <w:color w:val="000000"/>
                <w:sz w:val="16"/>
                <w:szCs w:val="16"/>
                <w:lang w:eastAsia="ko-KR"/>
              </w:rPr>
              <w:t xml:space="preserve">($000) </w:t>
            </w:r>
          </w:p>
        </w:tc>
        <w:tc>
          <w:tcPr>
            <w:tcW w:w="810" w:type="dxa"/>
            <w:shd w:val="clear" w:color="auto" w:fill="B6DDE8" w:themeFill="accent5" w:themeFillTint="66"/>
            <w:vAlign w:val="center"/>
            <w:hideMark/>
          </w:tcPr>
          <w:p w14:paraId="34DEFF97" w14:textId="77777777" w:rsidR="00490015" w:rsidRPr="006B5573" w:rsidRDefault="00490015" w:rsidP="00490015">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Percent </w:t>
            </w:r>
            <w:r w:rsidR="001F34DF" w:rsidRPr="001F34DF">
              <w:rPr>
                <w:rFonts w:ascii="Cambria" w:eastAsia="Times New Roman" w:hAnsi="Cambria" w:cs="Helvetica"/>
                <w:i/>
                <w:iCs/>
                <w:color w:val="000000"/>
                <w:sz w:val="16"/>
                <w:szCs w:val="16"/>
                <w:lang w:eastAsia="ko-KR"/>
              </w:rPr>
              <w:t>of Total Tax Liability</w:t>
            </w:r>
            <w:r w:rsidRPr="006B5573">
              <w:rPr>
                <w:rFonts w:ascii="Cambria" w:eastAsia="Times New Roman" w:hAnsi="Cambria" w:cs="Helvetica"/>
                <w:i/>
                <w:iCs/>
                <w:color w:val="000000"/>
                <w:sz w:val="16"/>
                <w:szCs w:val="16"/>
                <w:lang w:eastAsia="ko-KR"/>
              </w:rPr>
              <w:t xml:space="preserve"> </w:t>
            </w:r>
          </w:p>
        </w:tc>
        <w:tc>
          <w:tcPr>
            <w:tcW w:w="990" w:type="dxa"/>
            <w:shd w:val="clear" w:color="auto" w:fill="B6DDE8" w:themeFill="accent5" w:themeFillTint="66"/>
            <w:vAlign w:val="center"/>
            <w:hideMark/>
          </w:tcPr>
          <w:p w14:paraId="6A000FAE" w14:textId="77777777" w:rsidR="00490015" w:rsidRPr="006B5573" w:rsidRDefault="00490015" w:rsidP="00490015">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Taxable Income After NOL ($000) -A </w:t>
            </w:r>
          </w:p>
        </w:tc>
        <w:tc>
          <w:tcPr>
            <w:tcW w:w="900" w:type="dxa"/>
            <w:shd w:val="clear" w:color="auto" w:fill="B6DDE8" w:themeFill="accent5" w:themeFillTint="66"/>
            <w:vAlign w:val="center"/>
            <w:hideMark/>
          </w:tcPr>
          <w:p w14:paraId="1F667F86" w14:textId="77777777" w:rsidR="00490015" w:rsidRPr="006B5573" w:rsidRDefault="00490015" w:rsidP="00490015">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Percent </w:t>
            </w:r>
            <w:r w:rsidR="001F34DF" w:rsidRPr="001F34DF">
              <w:rPr>
                <w:rFonts w:ascii="Cambria" w:eastAsia="Times New Roman" w:hAnsi="Cambria" w:cs="Helvetica"/>
                <w:i/>
                <w:iCs/>
                <w:color w:val="000000"/>
                <w:sz w:val="16"/>
                <w:szCs w:val="16"/>
                <w:lang w:eastAsia="ko-KR"/>
              </w:rPr>
              <w:t>of Total Taxable Income After NOL</w:t>
            </w:r>
            <w:r w:rsidRPr="006B5573">
              <w:rPr>
                <w:rFonts w:ascii="Cambria" w:eastAsia="Times New Roman" w:hAnsi="Cambria" w:cs="Helvetica"/>
                <w:i/>
                <w:iCs/>
                <w:color w:val="000000"/>
                <w:sz w:val="16"/>
                <w:szCs w:val="16"/>
                <w:lang w:eastAsia="ko-KR"/>
              </w:rPr>
              <w:t xml:space="preserve"> </w:t>
            </w:r>
          </w:p>
        </w:tc>
        <w:tc>
          <w:tcPr>
            <w:tcW w:w="1080" w:type="dxa"/>
            <w:shd w:val="clear" w:color="auto" w:fill="B6DDE8" w:themeFill="accent5" w:themeFillTint="66"/>
            <w:vAlign w:val="center"/>
            <w:hideMark/>
          </w:tcPr>
          <w:p w14:paraId="3A36EE14" w14:textId="77777777" w:rsidR="00490015" w:rsidRPr="006B5573" w:rsidRDefault="00490015" w:rsidP="00490015">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Taxable Income Before NOL ($000) -B </w:t>
            </w:r>
          </w:p>
        </w:tc>
        <w:tc>
          <w:tcPr>
            <w:tcW w:w="720" w:type="dxa"/>
            <w:shd w:val="clear" w:color="auto" w:fill="B6DDE8" w:themeFill="accent5" w:themeFillTint="66"/>
            <w:vAlign w:val="center"/>
            <w:hideMark/>
          </w:tcPr>
          <w:p w14:paraId="68584A28" w14:textId="77777777" w:rsidR="00490015" w:rsidRPr="006B5573" w:rsidRDefault="00490015" w:rsidP="00490015">
            <w:pPr>
              <w:spacing w:after="0" w:line="240" w:lineRule="auto"/>
              <w:jc w:val="center"/>
              <w:rPr>
                <w:rFonts w:ascii="Cambria" w:eastAsia="Times New Roman" w:hAnsi="Cambria" w:cs="Helvetica"/>
                <w:i/>
                <w:iCs/>
                <w:color w:val="000000"/>
                <w:sz w:val="16"/>
                <w:szCs w:val="16"/>
                <w:lang w:eastAsia="ko-KR"/>
              </w:rPr>
            </w:pPr>
            <w:r w:rsidRPr="006B5573">
              <w:rPr>
                <w:rFonts w:ascii="Cambria" w:eastAsia="Times New Roman" w:hAnsi="Cambria" w:cs="Helvetica"/>
                <w:i/>
                <w:iCs/>
                <w:color w:val="000000"/>
                <w:sz w:val="16"/>
                <w:szCs w:val="16"/>
                <w:lang w:eastAsia="ko-KR"/>
              </w:rPr>
              <w:t xml:space="preserve"> A/B </w:t>
            </w:r>
          </w:p>
        </w:tc>
        <w:tc>
          <w:tcPr>
            <w:tcW w:w="810" w:type="dxa"/>
            <w:shd w:val="clear" w:color="auto" w:fill="B6DDE8" w:themeFill="accent5" w:themeFillTint="66"/>
            <w:vAlign w:val="center"/>
            <w:hideMark/>
          </w:tcPr>
          <w:p w14:paraId="1E21D905" w14:textId="77777777" w:rsidR="00490015" w:rsidRPr="006B5573" w:rsidRDefault="00490015" w:rsidP="00490015">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Number of </w:t>
            </w:r>
            <w:r w:rsidR="008471E4" w:rsidRPr="006B5573">
              <w:rPr>
                <w:rFonts w:ascii="Cambria" w:eastAsia="Times New Roman" w:hAnsi="Cambria" w:cs="Helvetica"/>
                <w:color w:val="000000"/>
                <w:sz w:val="16"/>
                <w:szCs w:val="16"/>
                <w:lang w:eastAsia="ko-KR"/>
              </w:rPr>
              <w:t>Impacted Corporation</w:t>
            </w:r>
            <w:r w:rsidRPr="006B5573">
              <w:rPr>
                <w:rFonts w:ascii="Cambria" w:eastAsia="Times New Roman" w:hAnsi="Cambria" w:cs="Helvetica"/>
                <w:color w:val="000000"/>
                <w:sz w:val="16"/>
                <w:szCs w:val="16"/>
                <w:lang w:eastAsia="ko-KR"/>
              </w:rPr>
              <w:t xml:space="preserve">s </w:t>
            </w:r>
          </w:p>
        </w:tc>
        <w:tc>
          <w:tcPr>
            <w:tcW w:w="990" w:type="dxa"/>
            <w:shd w:val="clear" w:color="auto" w:fill="B6DDE8" w:themeFill="accent5" w:themeFillTint="66"/>
            <w:vAlign w:val="center"/>
            <w:hideMark/>
          </w:tcPr>
          <w:p w14:paraId="138F4B4B" w14:textId="77777777" w:rsidR="00490015" w:rsidRPr="006B5573" w:rsidRDefault="00490015" w:rsidP="00490015">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w:t>
            </w:r>
            <w:r w:rsidR="001F34DF" w:rsidRPr="001F34DF">
              <w:rPr>
                <w:rFonts w:ascii="Cambria" w:eastAsia="Times New Roman" w:hAnsi="Cambria" w:cs="Helvetica"/>
                <w:i/>
                <w:iCs/>
                <w:color w:val="000000"/>
                <w:sz w:val="16"/>
                <w:szCs w:val="16"/>
                <w:lang w:eastAsia="ko-KR"/>
              </w:rPr>
              <w:t xml:space="preserve">Percent of Total Number of </w:t>
            </w:r>
            <w:r w:rsidR="001F34DF" w:rsidRPr="001F34DF">
              <w:rPr>
                <w:rFonts w:ascii="Cambria" w:eastAsia="Times New Roman" w:hAnsi="Cambria" w:cs="Arial"/>
                <w:i/>
                <w:iCs/>
                <w:color w:val="000000"/>
                <w:sz w:val="16"/>
                <w:szCs w:val="16"/>
                <w:lang w:eastAsia="ko-KR"/>
              </w:rPr>
              <w:t>Impacted Corporations</w:t>
            </w:r>
          </w:p>
        </w:tc>
        <w:tc>
          <w:tcPr>
            <w:tcW w:w="1080" w:type="dxa"/>
            <w:shd w:val="clear" w:color="auto" w:fill="B6DDE8" w:themeFill="accent5" w:themeFillTint="66"/>
            <w:vAlign w:val="center"/>
            <w:hideMark/>
          </w:tcPr>
          <w:p w14:paraId="7B4831BE" w14:textId="77777777" w:rsidR="00490015" w:rsidRPr="006B5573" w:rsidRDefault="00490015" w:rsidP="00490015">
            <w:pPr>
              <w:spacing w:after="0" w:line="240" w:lineRule="auto"/>
              <w:jc w:val="center"/>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NOL per impacted </w:t>
            </w:r>
            <w:r w:rsidR="001F34DF" w:rsidRPr="001F34DF">
              <w:rPr>
                <w:rFonts w:ascii="Cambria" w:eastAsia="Times New Roman" w:hAnsi="Cambria" w:cs="Arial"/>
                <w:color w:val="000000"/>
                <w:sz w:val="16"/>
                <w:szCs w:val="16"/>
                <w:lang w:eastAsia="ko-KR"/>
              </w:rPr>
              <w:t>Corporation</w:t>
            </w:r>
            <w:r w:rsidR="001F34DF" w:rsidRPr="006B5573" w:rsidDel="001F34DF">
              <w:rPr>
                <w:rFonts w:ascii="Cambria" w:eastAsia="Times New Roman" w:hAnsi="Cambria" w:cs="Helvetica"/>
                <w:color w:val="000000"/>
                <w:sz w:val="16"/>
                <w:szCs w:val="16"/>
                <w:lang w:eastAsia="ko-KR"/>
              </w:rPr>
              <w:t xml:space="preserve"> </w:t>
            </w:r>
            <w:r w:rsidRPr="006B5573">
              <w:rPr>
                <w:rFonts w:ascii="Cambria" w:eastAsia="Times New Roman" w:hAnsi="Cambria" w:cs="Helvetica"/>
                <w:color w:val="000000"/>
                <w:sz w:val="16"/>
                <w:szCs w:val="16"/>
                <w:lang w:eastAsia="ko-KR"/>
              </w:rPr>
              <w:t xml:space="preserve">($) </w:t>
            </w:r>
          </w:p>
        </w:tc>
      </w:tr>
      <w:tr w:rsidR="001F34DF" w:rsidRPr="001F34DF" w14:paraId="7AE2676C" w14:textId="77777777" w:rsidTr="001F34DF">
        <w:trPr>
          <w:trHeight w:val="20"/>
        </w:trPr>
        <w:tc>
          <w:tcPr>
            <w:tcW w:w="1345" w:type="dxa"/>
            <w:shd w:val="clear" w:color="auto" w:fill="auto"/>
            <w:hideMark/>
          </w:tcPr>
          <w:p w14:paraId="4631C540"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11 Agriculture, Forestry, Fishing and Hunting </w:t>
            </w:r>
          </w:p>
        </w:tc>
        <w:tc>
          <w:tcPr>
            <w:tcW w:w="990" w:type="dxa"/>
            <w:shd w:val="clear" w:color="auto" w:fill="auto"/>
            <w:vAlign w:val="center"/>
            <w:hideMark/>
          </w:tcPr>
          <w:p w14:paraId="7E69078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$96</w:t>
            </w:r>
          </w:p>
        </w:tc>
        <w:tc>
          <w:tcPr>
            <w:tcW w:w="810" w:type="dxa"/>
            <w:shd w:val="clear" w:color="auto" w:fill="auto"/>
            <w:vAlign w:val="center"/>
            <w:hideMark/>
          </w:tcPr>
          <w:p w14:paraId="1E53D49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0.0%</w:t>
            </w:r>
          </w:p>
        </w:tc>
        <w:tc>
          <w:tcPr>
            <w:tcW w:w="990" w:type="dxa"/>
            <w:shd w:val="clear" w:color="auto" w:fill="auto"/>
            <w:vAlign w:val="center"/>
            <w:hideMark/>
          </w:tcPr>
          <w:p w14:paraId="110F5E0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$615</w:t>
            </w:r>
          </w:p>
        </w:tc>
        <w:tc>
          <w:tcPr>
            <w:tcW w:w="900" w:type="dxa"/>
            <w:shd w:val="clear" w:color="auto" w:fill="auto"/>
            <w:vAlign w:val="center"/>
            <w:hideMark/>
          </w:tcPr>
          <w:p w14:paraId="1596FCB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0.0%</w:t>
            </w:r>
          </w:p>
        </w:tc>
        <w:tc>
          <w:tcPr>
            <w:tcW w:w="1080" w:type="dxa"/>
            <w:shd w:val="clear" w:color="auto" w:fill="auto"/>
            <w:vAlign w:val="center"/>
            <w:hideMark/>
          </w:tcPr>
          <w:p w14:paraId="5C6A184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$3,341</w:t>
            </w:r>
          </w:p>
        </w:tc>
        <w:tc>
          <w:tcPr>
            <w:tcW w:w="720" w:type="dxa"/>
            <w:shd w:val="clear" w:color="auto" w:fill="auto"/>
            <w:vAlign w:val="center"/>
            <w:hideMark/>
          </w:tcPr>
          <w:p w14:paraId="6D332CA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18.4%</w:t>
            </w:r>
          </w:p>
        </w:tc>
        <w:tc>
          <w:tcPr>
            <w:tcW w:w="810" w:type="dxa"/>
            <w:shd w:val="clear" w:color="auto" w:fill="auto"/>
            <w:vAlign w:val="center"/>
            <w:hideMark/>
          </w:tcPr>
          <w:p w14:paraId="5F458F2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46</w:t>
            </w:r>
          </w:p>
        </w:tc>
        <w:tc>
          <w:tcPr>
            <w:tcW w:w="990" w:type="dxa"/>
            <w:shd w:val="clear" w:color="auto" w:fill="auto"/>
            <w:vAlign w:val="center"/>
            <w:hideMark/>
          </w:tcPr>
          <w:p w14:paraId="0A9104A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0.4%</w:t>
            </w:r>
          </w:p>
        </w:tc>
        <w:tc>
          <w:tcPr>
            <w:tcW w:w="1080" w:type="dxa"/>
            <w:shd w:val="clear" w:color="auto" w:fill="auto"/>
            <w:vAlign w:val="center"/>
            <w:hideMark/>
          </w:tcPr>
          <w:p w14:paraId="786CA42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$59,271</w:t>
            </w:r>
          </w:p>
        </w:tc>
      </w:tr>
      <w:tr w:rsidR="001F34DF" w:rsidRPr="001F34DF" w14:paraId="3AF24BAF" w14:textId="77777777" w:rsidTr="001F34DF">
        <w:trPr>
          <w:trHeight w:val="20"/>
        </w:trPr>
        <w:tc>
          <w:tcPr>
            <w:tcW w:w="1345" w:type="dxa"/>
            <w:shd w:val="clear" w:color="auto" w:fill="auto"/>
            <w:hideMark/>
          </w:tcPr>
          <w:p w14:paraId="5AA692CB"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21 Mining, Quarrying, and Oil and Gas Extract </w:t>
            </w:r>
          </w:p>
        </w:tc>
        <w:tc>
          <w:tcPr>
            <w:tcW w:w="990" w:type="dxa"/>
            <w:shd w:val="clear" w:color="auto" w:fill="auto"/>
            <w:vAlign w:val="center"/>
            <w:hideMark/>
          </w:tcPr>
          <w:p w14:paraId="435A59A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$89</w:t>
            </w:r>
          </w:p>
        </w:tc>
        <w:tc>
          <w:tcPr>
            <w:tcW w:w="810" w:type="dxa"/>
            <w:shd w:val="clear" w:color="auto" w:fill="auto"/>
            <w:vAlign w:val="center"/>
            <w:hideMark/>
          </w:tcPr>
          <w:p w14:paraId="7C2D2DD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0.0%</w:t>
            </w:r>
          </w:p>
        </w:tc>
        <w:tc>
          <w:tcPr>
            <w:tcW w:w="990" w:type="dxa"/>
            <w:shd w:val="clear" w:color="auto" w:fill="auto"/>
            <w:vAlign w:val="center"/>
            <w:hideMark/>
          </w:tcPr>
          <w:p w14:paraId="6C4434F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w:t>
            </w:r>
          </w:p>
        </w:tc>
        <w:tc>
          <w:tcPr>
            <w:tcW w:w="900" w:type="dxa"/>
            <w:shd w:val="clear" w:color="auto" w:fill="auto"/>
            <w:vAlign w:val="center"/>
            <w:hideMark/>
          </w:tcPr>
          <w:p w14:paraId="0FB1F4C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0.0%</w:t>
            </w:r>
          </w:p>
        </w:tc>
        <w:tc>
          <w:tcPr>
            <w:tcW w:w="1080" w:type="dxa"/>
            <w:shd w:val="clear" w:color="auto" w:fill="auto"/>
            <w:vAlign w:val="center"/>
            <w:hideMark/>
          </w:tcPr>
          <w:p w14:paraId="39083D8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$495</w:t>
            </w:r>
          </w:p>
        </w:tc>
        <w:tc>
          <w:tcPr>
            <w:tcW w:w="720" w:type="dxa"/>
            <w:shd w:val="clear" w:color="auto" w:fill="auto"/>
            <w:vAlign w:val="center"/>
            <w:hideMark/>
          </w:tcPr>
          <w:p w14:paraId="0C2E1A1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1.7%</w:t>
            </w:r>
          </w:p>
        </w:tc>
        <w:tc>
          <w:tcPr>
            <w:tcW w:w="810" w:type="dxa"/>
            <w:shd w:val="clear" w:color="auto" w:fill="auto"/>
            <w:vAlign w:val="center"/>
            <w:hideMark/>
          </w:tcPr>
          <w:p w14:paraId="5FABFCA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8</w:t>
            </w:r>
          </w:p>
        </w:tc>
        <w:tc>
          <w:tcPr>
            <w:tcW w:w="990" w:type="dxa"/>
            <w:shd w:val="clear" w:color="auto" w:fill="auto"/>
            <w:vAlign w:val="center"/>
            <w:hideMark/>
          </w:tcPr>
          <w:p w14:paraId="6409A9F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0.1%</w:t>
            </w:r>
          </w:p>
        </w:tc>
        <w:tc>
          <w:tcPr>
            <w:tcW w:w="1080" w:type="dxa"/>
            <w:shd w:val="clear" w:color="auto" w:fill="auto"/>
            <w:vAlign w:val="center"/>
            <w:hideMark/>
          </w:tcPr>
          <w:p w14:paraId="61CAC4F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$60,895</w:t>
            </w:r>
          </w:p>
        </w:tc>
      </w:tr>
      <w:tr w:rsidR="001F34DF" w:rsidRPr="001F34DF" w14:paraId="394628A9" w14:textId="77777777" w:rsidTr="001F34DF">
        <w:trPr>
          <w:trHeight w:val="20"/>
        </w:trPr>
        <w:tc>
          <w:tcPr>
            <w:tcW w:w="1345" w:type="dxa"/>
            <w:shd w:val="clear" w:color="auto" w:fill="auto"/>
            <w:hideMark/>
          </w:tcPr>
          <w:p w14:paraId="7C4E5542"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22 Utilities </w:t>
            </w:r>
          </w:p>
        </w:tc>
        <w:tc>
          <w:tcPr>
            <w:tcW w:w="990" w:type="dxa"/>
            <w:shd w:val="clear" w:color="auto" w:fill="auto"/>
            <w:vAlign w:val="center"/>
            <w:hideMark/>
          </w:tcPr>
          <w:p w14:paraId="6429B94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$2,004</w:t>
            </w:r>
          </w:p>
        </w:tc>
        <w:tc>
          <w:tcPr>
            <w:tcW w:w="810" w:type="dxa"/>
            <w:shd w:val="clear" w:color="auto" w:fill="auto"/>
            <w:vAlign w:val="center"/>
            <w:hideMark/>
          </w:tcPr>
          <w:p w14:paraId="2FB53BF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0.8%</w:t>
            </w:r>
          </w:p>
        </w:tc>
        <w:tc>
          <w:tcPr>
            <w:tcW w:w="990" w:type="dxa"/>
            <w:shd w:val="clear" w:color="auto" w:fill="auto"/>
            <w:vAlign w:val="center"/>
            <w:hideMark/>
          </w:tcPr>
          <w:p w14:paraId="56C98F6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$16,075</w:t>
            </w:r>
          </w:p>
        </w:tc>
        <w:tc>
          <w:tcPr>
            <w:tcW w:w="900" w:type="dxa"/>
            <w:shd w:val="clear" w:color="auto" w:fill="auto"/>
            <w:vAlign w:val="center"/>
            <w:hideMark/>
          </w:tcPr>
          <w:p w14:paraId="0D8E354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0.5%</w:t>
            </w:r>
          </w:p>
        </w:tc>
        <w:tc>
          <w:tcPr>
            <w:tcW w:w="1080" w:type="dxa"/>
            <w:shd w:val="clear" w:color="auto" w:fill="auto"/>
            <w:vAlign w:val="center"/>
            <w:hideMark/>
          </w:tcPr>
          <w:p w14:paraId="239E079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$52,681</w:t>
            </w:r>
          </w:p>
        </w:tc>
        <w:tc>
          <w:tcPr>
            <w:tcW w:w="720" w:type="dxa"/>
            <w:shd w:val="clear" w:color="auto" w:fill="auto"/>
            <w:vAlign w:val="center"/>
            <w:hideMark/>
          </w:tcPr>
          <w:p w14:paraId="0095BA7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30.5%</w:t>
            </w:r>
          </w:p>
        </w:tc>
        <w:tc>
          <w:tcPr>
            <w:tcW w:w="810" w:type="dxa"/>
            <w:shd w:val="clear" w:color="auto" w:fill="auto"/>
            <w:vAlign w:val="center"/>
            <w:hideMark/>
          </w:tcPr>
          <w:p w14:paraId="0B1F512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43</w:t>
            </w:r>
          </w:p>
        </w:tc>
        <w:tc>
          <w:tcPr>
            <w:tcW w:w="990" w:type="dxa"/>
            <w:shd w:val="clear" w:color="auto" w:fill="auto"/>
            <w:vAlign w:val="center"/>
            <w:hideMark/>
          </w:tcPr>
          <w:p w14:paraId="4B7A256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0.4%</w:t>
            </w:r>
          </w:p>
        </w:tc>
        <w:tc>
          <w:tcPr>
            <w:tcW w:w="1080" w:type="dxa"/>
            <w:shd w:val="clear" w:color="auto" w:fill="auto"/>
            <w:vAlign w:val="center"/>
            <w:hideMark/>
          </w:tcPr>
          <w:p w14:paraId="27F9E80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$851,304</w:t>
            </w:r>
          </w:p>
        </w:tc>
      </w:tr>
      <w:tr w:rsidR="001F34DF" w:rsidRPr="001F34DF" w14:paraId="4D43E44C" w14:textId="77777777" w:rsidTr="001F34DF">
        <w:trPr>
          <w:trHeight w:val="20"/>
        </w:trPr>
        <w:tc>
          <w:tcPr>
            <w:tcW w:w="1345" w:type="dxa"/>
            <w:shd w:val="clear" w:color="auto" w:fill="auto"/>
            <w:hideMark/>
          </w:tcPr>
          <w:p w14:paraId="53929B02"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23 Construction </w:t>
            </w:r>
          </w:p>
        </w:tc>
        <w:tc>
          <w:tcPr>
            <w:tcW w:w="990" w:type="dxa"/>
            <w:shd w:val="clear" w:color="auto" w:fill="auto"/>
            <w:vAlign w:val="center"/>
            <w:hideMark/>
          </w:tcPr>
          <w:p w14:paraId="3A517DB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$4,741</w:t>
            </w:r>
          </w:p>
        </w:tc>
        <w:tc>
          <w:tcPr>
            <w:tcW w:w="810" w:type="dxa"/>
            <w:shd w:val="clear" w:color="auto" w:fill="auto"/>
            <w:vAlign w:val="center"/>
            <w:hideMark/>
          </w:tcPr>
          <w:p w14:paraId="63515F40"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1.9%</w:t>
            </w:r>
          </w:p>
        </w:tc>
        <w:tc>
          <w:tcPr>
            <w:tcW w:w="990" w:type="dxa"/>
            <w:shd w:val="clear" w:color="auto" w:fill="auto"/>
            <w:vAlign w:val="center"/>
            <w:hideMark/>
          </w:tcPr>
          <w:p w14:paraId="43BFFEC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$70,058</w:t>
            </w:r>
          </w:p>
        </w:tc>
        <w:tc>
          <w:tcPr>
            <w:tcW w:w="900" w:type="dxa"/>
            <w:shd w:val="clear" w:color="auto" w:fill="auto"/>
            <w:vAlign w:val="center"/>
            <w:hideMark/>
          </w:tcPr>
          <w:p w14:paraId="379EF58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2.3%</w:t>
            </w:r>
          </w:p>
        </w:tc>
        <w:tc>
          <w:tcPr>
            <w:tcW w:w="1080" w:type="dxa"/>
            <w:shd w:val="clear" w:color="auto" w:fill="auto"/>
            <w:vAlign w:val="center"/>
            <w:hideMark/>
          </w:tcPr>
          <w:p w14:paraId="683E544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$145,815</w:t>
            </w:r>
          </w:p>
        </w:tc>
        <w:tc>
          <w:tcPr>
            <w:tcW w:w="720" w:type="dxa"/>
            <w:shd w:val="clear" w:color="auto" w:fill="auto"/>
            <w:vAlign w:val="center"/>
            <w:hideMark/>
          </w:tcPr>
          <w:p w14:paraId="3A34C50C"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48.0%</w:t>
            </w:r>
          </w:p>
        </w:tc>
        <w:tc>
          <w:tcPr>
            <w:tcW w:w="810" w:type="dxa"/>
            <w:shd w:val="clear" w:color="auto" w:fill="auto"/>
            <w:vAlign w:val="center"/>
            <w:hideMark/>
          </w:tcPr>
          <w:p w14:paraId="1578243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999</w:t>
            </w:r>
          </w:p>
        </w:tc>
        <w:tc>
          <w:tcPr>
            <w:tcW w:w="990" w:type="dxa"/>
            <w:shd w:val="clear" w:color="auto" w:fill="auto"/>
            <w:vAlign w:val="center"/>
            <w:hideMark/>
          </w:tcPr>
          <w:p w14:paraId="3D1331E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8.3%</w:t>
            </w:r>
          </w:p>
        </w:tc>
        <w:tc>
          <w:tcPr>
            <w:tcW w:w="1080" w:type="dxa"/>
            <w:shd w:val="clear" w:color="auto" w:fill="auto"/>
            <w:vAlign w:val="center"/>
            <w:hideMark/>
          </w:tcPr>
          <w:p w14:paraId="246EE49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$75,834</w:t>
            </w:r>
          </w:p>
        </w:tc>
      </w:tr>
      <w:tr w:rsidR="001F34DF" w:rsidRPr="001F34DF" w14:paraId="7E0DFA4B" w14:textId="77777777" w:rsidTr="001F34DF">
        <w:trPr>
          <w:trHeight w:val="20"/>
        </w:trPr>
        <w:tc>
          <w:tcPr>
            <w:tcW w:w="1345" w:type="dxa"/>
            <w:shd w:val="clear" w:color="auto" w:fill="auto"/>
            <w:hideMark/>
          </w:tcPr>
          <w:p w14:paraId="409A0BFB"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31-33 Manufacturing </w:t>
            </w:r>
          </w:p>
        </w:tc>
        <w:tc>
          <w:tcPr>
            <w:tcW w:w="990" w:type="dxa"/>
            <w:shd w:val="clear" w:color="auto" w:fill="auto"/>
            <w:vAlign w:val="center"/>
            <w:hideMark/>
          </w:tcPr>
          <w:p w14:paraId="70CA63E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$21,182</w:t>
            </w:r>
          </w:p>
        </w:tc>
        <w:tc>
          <w:tcPr>
            <w:tcW w:w="810" w:type="dxa"/>
            <w:shd w:val="clear" w:color="auto" w:fill="auto"/>
            <w:vAlign w:val="center"/>
            <w:hideMark/>
          </w:tcPr>
          <w:p w14:paraId="1F66F52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8.3%</w:t>
            </w:r>
          </w:p>
        </w:tc>
        <w:tc>
          <w:tcPr>
            <w:tcW w:w="990" w:type="dxa"/>
            <w:shd w:val="clear" w:color="auto" w:fill="auto"/>
            <w:vAlign w:val="center"/>
            <w:hideMark/>
          </w:tcPr>
          <w:p w14:paraId="4BD78C0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$355,866</w:t>
            </w:r>
          </w:p>
        </w:tc>
        <w:tc>
          <w:tcPr>
            <w:tcW w:w="900" w:type="dxa"/>
            <w:shd w:val="clear" w:color="auto" w:fill="auto"/>
            <w:vAlign w:val="center"/>
            <w:hideMark/>
          </w:tcPr>
          <w:p w14:paraId="272468A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11.9%</w:t>
            </w:r>
          </w:p>
        </w:tc>
        <w:tc>
          <w:tcPr>
            <w:tcW w:w="1080" w:type="dxa"/>
            <w:shd w:val="clear" w:color="auto" w:fill="auto"/>
            <w:vAlign w:val="center"/>
            <w:hideMark/>
          </w:tcPr>
          <w:p w14:paraId="3ACF7C4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$937,465</w:t>
            </w:r>
          </w:p>
        </w:tc>
        <w:tc>
          <w:tcPr>
            <w:tcW w:w="720" w:type="dxa"/>
            <w:shd w:val="clear" w:color="auto" w:fill="auto"/>
            <w:vAlign w:val="center"/>
            <w:hideMark/>
          </w:tcPr>
          <w:p w14:paraId="44E0613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38.0%</w:t>
            </w:r>
          </w:p>
        </w:tc>
        <w:tc>
          <w:tcPr>
            <w:tcW w:w="810" w:type="dxa"/>
            <w:shd w:val="clear" w:color="auto" w:fill="auto"/>
            <w:vAlign w:val="center"/>
            <w:hideMark/>
          </w:tcPr>
          <w:p w14:paraId="6EFDC97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1,319</w:t>
            </w:r>
          </w:p>
        </w:tc>
        <w:tc>
          <w:tcPr>
            <w:tcW w:w="990" w:type="dxa"/>
            <w:shd w:val="clear" w:color="auto" w:fill="auto"/>
            <w:vAlign w:val="center"/>
            <w:hideMark/>
          </w:tcPr>
          <w:p w14:paraId="19263E8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11.0%</w:t>
            </w:r>
          </w:p>
        </w:tc>
        <w:tc>
          <w:tcPr>
            <w:tcW w:w="1080" w:type="dxa"/>
            <w:shd w:val="clear" w:color="auto" w:fill="auto"/>
            <w:vAlign w:val="center"/>
            <w:hideMark/>
          </w:tcPr>
          <w:p w14:paraId="6B38D34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$440,939</w:t>
            </w:r>
          </w:p>
        </w:tc>
      </w:tr>
      <w:tr w:rsidR="001F34DF" w:rsidRPr="001F34DF" w14:paraId="58C28493" w14:textId="77777777" w:rsidTr="001F34DF">
        <w:trPr>
          <w:trHeight w:val="20"/>
        </w:trPr>
        <w:tc>
          <w:tcPr>
            <w:tcW w:w="1345" w:type="dxa"/>
            <w:shd w:val="clear" w:color="auto" w:fill="auto"/>
            <w:hideMark/>
          </w:tcPr>
          <w:p w14:paraId="794815BD"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42 Wholesale Trade </w:t>
            </w:r>
          </w:p>
        </w:tc>
        <w:tc>
          <w:tcPr>
            <w:tcW w:w="990" w:type="dxa"/>
            <w:shd w:val="clear" w:color="auto" w:fill="auto"/>
            <w:vAlign w:val="center"/>
            <w:hideMark/>
          </w:tcPr>
          <w:p w14:paraId="5D76F5A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$8,978</w:t>
            </w:r>
          </w:p>
        </w:tc>
        <w:tc>
          <w:tcPr>
            <w:tcW w:w="810" w:type="dxa"/>
            <w:shd w:val="clear" w:color="auto" w:fill="auto"/>
            <w:vAlign w:val="center"/>
            <w:hideMark/>
          </w:tcPr>
          <w:p w14:paraId="37BB33EE"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3.5%</w:t>
            </w:r>
          </w:p>
        </w:tc>
        <w:tc>
          <w:tcPr>
            <w:tcW w:w="990" w:type="dxa"/>
            <w:shd w:val="clear" w:color="auto" w:fill="auto"/>
            <w:vAlign w:val="center"/>
            <w:hideMark/>
          </w:tcPr>
          <w:p w14:paraId="23C3FBA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$109,797</w:t>
            </w:r>
          </w:p>
        </w:tc>
        <w:tc>
          <w:tcPr>
            <w:tcW w:w="900" w:type="dxa"/>
            <w:shd w:val="clear" w:color="auto" w:fill="auto"/>
            <w:vAlign w:val="center"/>
            <w:hideMark/>
          </w:tcPr>
          <w:p w14:paraId="309995A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3.7%</w:t>
            </w:r>
          </w:p>
        </w:tc>
        <w:tc>
          <w:tcPr>
            <w:tcW w:w="1080" w:type="dxa"/>
            <w:shd w:val="clear" w:color="auto" w:fill="auto"/>
            <w:vAlign w:val="center"/>
            <w:hideMark/>
          </w:tcPr>
          <w:p w14:paraId="0F0FD23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$252,518</w:t>
            </w:r>
          </w:p>
        </w:tc>
        <w:tc>
          <w:tcPr>
            <w:tcW w:w="720" w:type="dxa"/>
            <w:shd w:val="clear" w:color="auto" w:fill="auto"/>
            <w:vAlign w:val="center"/>
            <w:hideMark/>
          </w:tcPr>
          <w:p w14:paraId="6CFF21B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43.5%</w:t>
            </w:r>
          </w:p>
        </w:tc>
        <w:tc>
          <w:tcPr>
            <w:tcW w:w="810" w:type="dxa"/>
            <w:shd w:val="clear" w:color="auto" w:fill="auto"/>
            <w:vAlign w:val="center"/>
            <w:hideMark/>
          </w:tcPr>
          <w:p w14:paraId="12BDAF7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796</w:t>
            </w:r>
          </w:p>
        </w:tc>
        <w:tc>
          <w:tcPr>
            <w:tcW w:w="990" w:type="dxa"/>
            <w:shd w:val="clear" w:color="auto" w:fill="auto"/>
            <w:vAlign w:val="center"/>
            <w:hideMark/>
          </w:tcPr>
          <w:p w14:paraId="120057FF"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6.6%</w:t>
            </w:r>
          </w:p>
        </w:tc>
        <w:tc>
          <w:tcPr>
            <w:tcW w:w="1080" w:type="dxa"/>
            <w:shd w:val="clear" w:color="auto" w:fill="auto"/>
            <w:vAlign w:val="center"/>
            <w:hideMark/>
          </w:tcPr>
          <w:p w14:paraId="323C923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$179,298</w:t>
            </w:r>
          </w:p>
        </w:tc>
      </w:tr>
      <w:tr w:rsidR="001F34DF" w:rsidRPr="001F34DF" w14:paraId="77E16EDC" w14:textId="77777777" w:rsidTr="001F34DF">
        <w:trPr>
          <w:trHeight w:val="20"/>
        </w:trPr>
        <w:tc>
          <w:tcPr>
            <w:tcW w:w="1345" w:type="dxa"/>
            <w:shd w:val="clear" w:color="auto" w:fill="auto"/>
            <w:hideMark/>
          </w:tcPr>
          <w:p w14:paraId="3964DC83"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44-45 Retail Trade </w:t>
            </w:r>
          </w:p>
        </w:tc>
        <w:tc>
          <w:tcPr>
            <w:tcW w:w="990" w:type="dxa"/>
            <w:shd w:val="clear" w:color="auto" w:fill="auto"/>
            <w:vAlign w:val="center"/>
            <w:hideMark/>
          </w:tcPr>
          <w:p w14:paraId="6D6C50A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$36,025</w:t>
            </w:r>
          </w:p>
        </w:tc>
        <w:tc>
          <w:tcPr>
            <w:tcW w:w="810" w:type="dxa"/>
            <w:shd w:val="clear" w:color="auto" w:fill="auto"/>
            <w:vAlign w:val="center"/>
            <w:hideMark/>
          </w:tcPr>
          <w:p w14:paraId="6F5EDFF2"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14.1%</w:t>
            </w:r>
          </w:p>
        </w:tc>
        <w:tc>
          <w:tcPr>
            <w:tcW w:w="990" w:type="dxa"/>
            <w:shd w:val="clear" w:color="auto" w:fill="auto"/>
            <w:vAlign w:val="center"/>
            <w:hideMark/>
          </w:tcPr>
          <w:p w14:paraId="25C239A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$409,767</w:t>
            </w:r>
          </w:p>
        </w:tc>
        <w:tc>
          <w:tcPr>
            <w:tcW w:w="900" w:type="dxa"/>
            <w:shd w:val="clear" w:color="auto" w:fill="auto"/>
            <w:vAlign w:val="center"/>
            <w:hideMark/>
          </w:tcPr>
          <w:p w14:paraId="2729B2E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13.7%</w:t>
            </w:r>
          </w:p>
        </w:tc>
        <w:tc>
          <w:tcPr>
            <w:tcW w:w="1080" w:type="dxa"/>
            <w:shd w:val="clear" w:color="auto" w:fill="auto"/>
            <w:vAlign w:val="center"/>
            <w:hideMark/>
          </w:tcPr>
          <w:p w14:paraId="05C1F4F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$523,430</w:t>
            </w:r>
          </w:p>
        </w:tc>
        <w:tc>
          <w:tcPr>
            <w:tcW w:w="720" w:type="dxa"/>
            <w:shd w:val="clear" w:color="auto" w:fill="auto"/>
            <w:vAlign w:val="center"/>
            <w:hideMark/>
          </w:tcPr>
          <w:p w14:paraId="7CE0149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78.3%</w:t>
            </w:r>
          </w:p>
        </w:tc>
        <w:tc>
          <w:tcPr>
            <w:tcW w:w="810" w:type="dxa"/>
            <w:shd w:val="clear" w:color="auto" w:fill="auto"/>
            <w:vAlign w:val="center"/>
            <w:hideMark/>
          </w:tcPr>
          <w:p w14:paraId="3B8251F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920</w:t>
            </w:r>
          </w:p>
        </w:tc>
        <w:tc>
          <w:tcPr>
            <w:tcW w:w="990" w:type="dxa"/>
            <w:shd w:val="clear" w:color="auto" w:fill="auto"/>
            <w:vAlign w:val="center"/>
            <w:hideMark/>
          </w:tcPr>
          <w:p w14:paraId="118F9FFE"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7.7%</w:t>
            </w:r>
          </w:p>
        </w:tc>
        <w:tc>
          <w:tcPr>
            <w:tcW w:w="1080" w:type="dxa"/>
            <w:shd w:val="clear" w:color="auto" w:fill="auto"/>
            <w:vAlign w:val="center"/>
            <w:hideMark/>
          </w:tcPr>
          <w:p w14:paraId="4DF9814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$123,547</w:t>
            </w:r>
          </w:p>
        </w:tc>
      </w:tr>
      <w:tr w:rsidR="001F34DF" w:rsidRPr="001F34DF" w14:paraId="3138C6D4" w14:textId="77777777" w:rsidTr="001F34DF">
        <w:trPr>
          <w:trHeight w:val="20"/>
        </w:trPr>
        <w:tc>
          <w:tcPr>
            <w:tcW w:w="1345" w:type="dxa"/>
            <w:shd w:val="clear" w:color="auto" w:fill="auto"/>
            <w:hideMark/>
          </w:tcPr>
          <w:p w14:paraId="1E66E79C"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48-49 Transportation and Warehousing </w:t>
            </w:r>
          </w:p>
        </w:tc>
        <w:tc>
          <w:tcPr>
            <w:tcW w:w="990" w:type="dxa"/>
            <w:shd w:val="clear" w:color="auto" w:fill="auto"/>
            <w:vAlign w:val="center"/>
            <w:hideMark/>
          </w:tcPr>
          <w:p w14:paraId="6CCFFE8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$2,151</w:t>
            </w:r>
          </w:p>
        </w:tc>
        <w:tc>
          <w:tcPr>
            <w:tcW w:w="810" w:type="dxa"/>
            <w:shd w:val="clear" w:color="auto" w:fill="auto"/>
            <w:vAlign w:val="center"/>
            <w:hideMark/>
          </w:tcPr>
          <w:p w14:paraId="02652784"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0.8%</w:t>
            </w:r>
          </w:p>
        </w:tc>
        <w:tc>
          <w:tcPr>
            <w:tcW w:w="990" w:type="dxa"/>
            <w:shd w:val="clear" w:color="auto" w:fill="auto"/>
            <w:vAlign w:val="center"/>
            <w:hideMark/>
          </w:tcPr>
          <w:p w14:paraId="7DA9A0B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$24,174</w:t>
            </w:r>
          </w:p>
        </w:tc>
        <w:tc>
          <w:tcPr>
            <w:tcW w:w="900" w:type="dxa"/>
            <w:shd w:val="clear" w:color="auto" w:fill="auto"/>
            <w:vAlign w:val="center"/>
            <w:hideMark/>
          </w:tcPr>
          <w:p w14:paraId="6F88257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0.8%</w:t>
            </w:r>
          </w:p>
        </w:tc>
        <w:tc>
          <w:tcPr>
            <w:tcW w:w="1080" w:type="dxa"/>
            <w:shd w:val="clear" w:color="auto" w:fill="auto"/>
            <w:vAlign w:val="center"/>
            <w:hideMark/>
          </w:tcPr>
          <w:p w14:paraId="551216A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$69,257</w:t>
            </w:r>
          </w:p>
        </w:tc>
        <w:tc>
          <w:tcPr>
            <w:tcW w:w="720" w:type="dxa"/>
            <w:shd w:val="clear" w:color="auto" w:fill="auto"/>
            <w:vAlign w:val="center"/>
            <w:hideMark/>
          </w:tcPr>
          <w:p w14:paraId="31FAF49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34.9%</w:t>
            </w:r>
          </w:p>
        </w:tc>
        <w:tc>
          <w:tcPr>
            <w:tcW w:w="810" w:type="dxa"/>
            <w:shd w:val="clear" w:color="auto" w:fill="auto"/>
            <w:vAlign w:val="center"/>
            <w:hideMark/>
          </w:tcPr>
          <w:p w14:paraId="0385C6A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387</w:t>
            </w:r>
          </w:p>
        </w:tc>
        <w:tc>
          <w:tcPr>
            <w:tcW w:w="990" w:type="dxa"/>
            <w:shd w:val="clear" w:color="auto" w:fill="auto"/>
            <w:vAlign w:val="center"/>
            <w:hideMark/>
          </w:tcPr>
          <w:p w14:paraId="3E22DC4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3.2%</w:t>
            </w:r>
          </w:p>
        </w:tc>
        <w:tc>
          <w:tcPr>
            <w:tcW w:w="1080" w:type="dxa"/>
            <w:shd w:val="clear" w:color="auto" w:fill="auto"/>
            <w:vAlign w:val="center"/>
            <w:hideMark/>
          </w:tcPr>
          <w:p w14:paraId="5A6A0B1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$116,494</w:t>
            </w:r>
          </w:p>
        </w:tc>
      </w:tr>
      <w:tr w:rsidR="001F34DF" w:rsidRPr="001F34DF" w14:paraId="0CEE857B" w14:textId="77777777" w:rsidTr="001F34DF">
        <w:trPr>
          <w:trHeight w:val="20"/>
        </w:trPr>
        <w:tc>
          <w:tcPr>
            <w:tcW w:w="1345" w:type="dxa"/>
            <w:shd w:val="clear" w:color="auto" w:fill="auto"/>
            <w:hideMark/>
          </w:tcPr>
          <w:p w14:paraId="6A307972"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51 Information </w:t>
            </w:r>
          </w:p>
        </w:tc>
        <w:tc>
          <w:tcPr>
            <w:tcW w:w="990" w:type="dxa"/>
            <w:shd w:val="clear" w:color="auto" w:fill="auto"/>
            <w:vAlign w:val="center"/>
            <w:hideMark/>
          </w:tcPr>
          <w:p w14:paraId="60B000B9"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$10,965</w:t>
            </w:r>
          </w:p>
        </w:tc>
        <w:tc>
          <w:tcPr>
            <w:tcW w:w="810" w:type="dxa"/>
            <w:shd w:val="clear" w:color="auto" w:fill="auto"/>
            <w:vAlign w:val="center"/>
            <w:hideMark/>
          </w:tcPr>
          <w:p w14:paraId="5B18B224"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4.3%</w:t>
            </w:r>
          </w:p>
        </w:tc>
        <w:tc>
          <w:tcPr>
            <w:tcW w:w="990" w:type="dxa"/>
            <w:shd w:val="clear" w:color="auto" w:fill="auto"/>
            <w:vAlign w:val="center"/>
            <w:hideMark/>
          </w:tcPr>
          <w:p w14:paraId="5D76EF5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$130,435</w:t>
            </w:r>
          </w:p>
        </w:tc>
        <w:tc>
          <w:tcPr>
            <w:tcW w:w="900" w:type="dxa"/>
            <w:shd w:val="clear" w:color="auto" w:fill="auto"/>
            <w:vAlign w:val="center"/>
            <w:hideMark/>
          </w:tcPr>
          <w:p w14:paraId="36C985EC"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4.4%</w:t>
            </w:r>
          </w:p>
        </w:tc>
        <w:tc>
          <w:tcPr>
            <w:tcW w:w="1080" w:type="dxa"/>
            <w:shd w:val="clear" w:color="auto" w:fill="auto"/>
            <w:vAlign w:val="center"/>
            <w:hideMark/>
          </w:tcPr>
          <w:p w14:paraId="6C237EF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$398,384</w:t>
            </w:r>
          </w:p>
        </w:tc>
        <w:tc>
          <w:tcPr>
            <w:tcW w:w="720" w:type="dxa"/>
            <w:shd w:val="clear" w:color="auto" w:fill="auto"/>
            <w:vAlign w:val="center"/>
            <w:hideMark/>
          </w:tcPr>
          <w:p w14:paraId="28CB51A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32.7%</w:t>
            </w:r>
          </w:p>
        </w:tc>
        <w:tc>
          <w:tcPr>
            <w:tcW w:w="810" w:type="dxa"/>
            <w:shd w:val="clear" w:color="auto" w:fill="auto"/>
            <w:vAlign w:val="center"/>
            <w:hideMark/>
          </w:tcPr>
          <w:p w14:paraId="1B075D7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537</w:t>
            </w:r>
          </w:p>
        </w:tc>
        <w:tc>
          <w:tcPr>
            <w:tcW w:w="990" w:type="dxa"/>
            <w:shd w:val="clear" w:color="auto" w:fill="auto"/>
            <w:vAlign w:val="center"/>
            <w:hideMark/>
          </w:tcPr>
          <w:p w14:paraId="0498644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4.5%</w:t>
            </w:r>
          </w:p>
        </w:tc>
        <w:tc>
          <w:tcPr>
            <w:tcW w:w="1080" w:type="dxa"/>
            <w:shd w:val="clear" w:color="auto" w:fill="auto"/>
            <w:vAlign w:val="center"/>
            <w:hideMark/>
          </w:tcPr>
          <w:p w14:paraId="654B184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$498,975</w:t>
            </w:r>
          </w:p>
        </w:tc>
      </w:tr>
      <w:tr w:rsidR="001F34DF" w:rsidRPr="001F34DF" w14:paraId="2ED54112" w14:textId="77777777" w:rsidTr="001F34DF">
        <w:trPr>
          <w:trHeight w:val="20"/>
        </w:trPr>
        <w:tc>
          <w:tcPr>
            <w:tcW w:w="1345" w:type="dxa"/>
            <w:shd w:val="clear" w:color="auto" w:fill="auto"/>
            <w:hideMark/>
          </w:tcPr>
          <w:p w14:paraId="35836992"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lastRenderedPageBreak/>
              <w:t xml:space="preserve"> 52 Finance </w:t>
            </w:r>
            <w:r w:rsidR="001F34DF" w:rsidRPr="006B5573">
              <w:rPr>
                <w:rFonts w:ascii="Cambria" w:eastAsia="Times New Roman" w:hAnsi="Cambria" w:cs="Helvetica"/>
                <w:color w:val="000000"/>
                <w:sz w:val="16"/>
                <w:szCs w:val="16"/>
                <w:lang w:eastAsia="ko-KR"/>
              </w:rPr>
              <w:t>and Insurance</w:t>
            </w:r>
          </w:p>
        </w:tc>
        <w:tc>
          <w:tcPr>
            <w:tcW w:w="990" w:type="dxa"/>
            <w:shd w:val="clear" w:color="auto" w:fill="auto"/>
            <w:vAlign w:val="center"/>
            <w:hideMark/>
          </w:tcPr>
          <w:p w14:paraId="0D75CE2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$12,603</w:t>
            </w:r>
          </w:p>
        </w:tc>
        <w:tc>
          <w:tcPr>
            <w:tcW w:w="810" w:type="dxa"/>
            <w:shd w:val="clear" w:color="auto" w:fill="auto"/>
            <w:vAlign w:val="center"/>
            <w:hideMark/>
          </w:tcPr>
          <w:p w14:paraId="7B714B0F"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4.9%</w:t>
            </w:r>
          </w:p>
        </w:tc>
        <w:tc>
          <w:tcPr>
            <w:tcW w:w="990" w:type="dxa"/>
            <w:shd w:val="clear" w:color="auto" w:fill="auto"/>
            <w:vAlign w:val="center"/>
            <w:hideMark/>
          </w:tcPr>
          <w:p w14:paraId="4459697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$68,962</w:t>
            </w:r>
          </w:p>
        </w:tc>
        <w:tc>
          <w:tcPr>
            <w:tcW w:w="900" w:type="dxa"/>
            <w:shd w:val="clear" w:color="auto" w:fill="auto"/>
            <w:vAlign w:val="center"/>
            <w:hideMark/>
          </w:tcPr>
          <w:p w14:paraId="352F22F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2.3%</w:t>
            </w:r>
          </w:p>
        </w:tc>
        <w:tc>
          <w:tcPr>
            <w:tcW w:w="1080" w:type="dxa"/>
            <w:shd w:val="clear" w:color="auto" w:fill="auto"/>
            <w:vAlign w:val="center"/>
            <w:hideMark/>
          </w:tcPr>
          <w:p w14:paraId="6C5C39E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$244,041</w:t>
            </w:r>
          </w:p>
        </w:tc>
        <w:tc>
          <w:tcPr>
            <w:tcW w:w="720" w:type="dxa"/>
            <w:shd w:val="clear" w:color="auto" w:fill="auto"/>
            <w:vAlign w:val="center"/>
            <w:hideMark/>
          </w:tcPr>
          <w:p w14:paraId="2927837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28.3%</w:t>
            </w:r>
          </w:p>
        </w:tc>
        <w:tc>
          <w:tcPr>
            <w:tcW w:w="810" w:type="dxa"/>
            <w:shd w:val="clear" w:color="auto" w:fill="auto"/>
            <w:vAlign w:val="center"/>
            <w:hideMark/>
          </w:tcPr>
          <w:p w14:paraId="6BEBD0A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769</w:t>
            </w:r>
          </w:p>
        </w:tc>
        <w:tc>
          <w:tcPr>
            <w:tcW w:w="990" w:type="dxa"/>
            <w:shd w:val="clear" w:color="auto" w:fill="auto"/>
            <w:vAlign w:val="center"/>
            <w:hideMark/>
          </w:tcPr>
          <w:p w14:paraId="50B1C2F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6.4%</w:t>
            </w:r>
          </w:p>
        </w:tc>
        <w:tc>
          <w:tcPr>
            <w:tcW w:w="1080" w:type="dxa"/>
            <w:shd w:val="clear" w:color="auto" w:fill="auto"/>
            <w:vAlign w:val="center"/>
            <w:hideMark/>
          </w:tcPr>
          <w:p w14:paraId="4E9114B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$227,671</w:t>
            </w:r>
          </w:p>
        </w:tc>
      </w:tr>
      <w:tr w:rsidR="001F34DF" w:rsidRPr="001F34DF" w14:paraId="28D8F0F2" w14:textId="77777777" w:rsidTr="001F34DF">
        <w:trPr>
          <w:trHeight w:val="20"/>
        </w:trPr>
        <w:tc>
          <w:tcPr>
            <w:tcW w:w="1345" w:type="dxa"/>
            <w:shd w:val="clear" w:color="auto" w:fill="auto"/>
            <w:hideMark/>
          </w:tcPr>
          <w:p w14:paraId="462E2209"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53 Real Estate and Rental and Leasing </w:t>
            </w:r>
          </w:p>
        </w:tc>
        <w:tc>
          <w:tcPr>
            <w:tcW w:w="990" w:type="dxa"/>
            <w:shd w:val="clear" w:color="auto" w:fill="auto"/>
            <w:vAlign w:val="center"/>
            <w:hideMark/>
          </w:tcPr>
          <w:p w14:paraId="72DC8C9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$18,161</w:t>
            </w:r>
          </w:p>
        </w:tc>
        <w:tc>
          <w:tcPr>
            <w:tcW w:w="810" w:type="dxa"/>
            <w:shd w:val="clear" w:color="auto" w:fill="auto"/>
            <w:vAlign w:val="center"/>
            <w:hideMark/>
          </w:tcPr>
          <w:p w14:paraId="120A1DC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7.1%</w:t>
            </w:r>
          </w:p>
        </w:tc>
        <w:tc>
          <w:tcPr>
            <w:tcW w:w="990" w:type="dxa"/>
            <w:shd w:val="clear" w:color="auto" w:fill="auto"/>
            <w:vAlign w:val="center"/>
            <w:hideMark/>
          </w:tcPr>
          <w:p w14:paraId="29241EB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$158,399</w:t>
            </w:r>
          </w:p>
        </w:tc>
        <w:tc>
          <w:tcPr>
            <w:tcW w:w="900" w:type="dxa"/>
            <w:shd w:val="clear" w:color="auto" w:fill="auto"/>
            <w:vAlign w:val="center"/>
            <w:hideMark/>
          </w:tcPr>
          <w:p w14:paraId="69BA8B9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5.3%</w:t>
            </w:r>
          </w:p>
        </w:tc>
        <w:tc>
          <w:tcPr>
            <w:tcW w:w="1080" w:type="dxa"/>
            <w:shd w:val="clear" w:color="auto" w:fill="auto"/>
            <w:vAlign w:val="center"/>
            <w:hideMark/>
          </w:tcPr>
          <w:p w14:paraId="348A4CD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$274,287</w:t>
            </w:r>
          </w:p>
        </w:tc>
        <w:tc>
          <w:tcPr>
            <w:tcW w:w="720" w:type="dxa"/>
            <w:shd w:val="clear" w:color="auto" w:fill="auto"/>
            <w:vAlign w:val="center"/>
            <w:hideMark/>
          </w:tcPr>
          <w:p w14:paraId="38B3A3C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57.7%</w:t>
            </w:r>
          </w:p>
        </w:tc>
        <w:tc>
          <w:tcPr>
            <w:tcW w:w="810" w:type="dxa"/>
            <w:shd w:val="clear" w:color="auto" w:fill="auto"/>
            <w:vAlign w:val="center"/>
            <w:hideMark/>
          </w:tcPr>
          <w:p w14:paraId="5E9F264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813</w:t>
            </w:r>
          </w:p>
        </w:tc>
        <w:tc>
          <w:tcPr>
            <w:tcW w:w="990" w:type="dxa"/>
            <w:shd w:val="clear" w:color="auto" w:fill="auto"/>
            <w:vAlign w:val="center"/>
            <w:hideMark/>
          </w:tcPr>
          <w:p w14:paraId="1A8BED2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6.8%</w:t>
            </w:r>
          </w:p>
        </w:tc>
        <w:tc>
          <w:tcPr>
            <w:tcW w:w="1080" w:type="dxa"/>
            <w:shd w:val="clear" w:color="auto" w:fill="auto"/>
            <w:vAlign w:val="center"/>
            <w:hideMark/>
          </w:tcPr>
          <w:p w14:paraId="05159A9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$142,543</w:t>
            </w:r>
          </w:p>
        </w:tc>
      </w:tr>
      <w:tr w:rsidR="001F34DF" w:rsidRPr="001F34DF" w14:paraId="3367840F" w14:textId="77777777" w:rsidTr="001F34DF">
        <w:trPr>
          <w:trHeight w:val="20"/>
        </w:trPr>
        <w:tc>
          <w:tcPr>
            <w:tcW w:w="1345" w:type="dxa"/>
            <w:shd w:val="clear" w:color="auto" w:fill="auto"/>
            <w:hideMark/>
          </w:tcPr>
          <w:p w14:paraId="25A03614"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54 </w:t>
            </w:r>
            <w:bookmarkStart w:id="1" w:name="_Hlk48317420"/>
            <w:r w:rsidRPr="006B5573">
              <w:rPr>
                <w:rFonts w:ascii="Cambria" w:eastAsia="Times New Roman" w:hAnsi="Cambria" w:cs="Helvetica"/>
                <w:color w:val="000000"/>
                <w:sz w:val="16"/>
                <w:szCs w:val="16"/>
                <w:lang w:eastAsia="ko-KR"/>
              </w:rPr>
              <w:t xml:space="preserve">Professional, Scientific, and Technical Services </w:t>
            </w:r>
            <w:bookmarkEnd w:id="1"/>
          </w:p>
        </w:tc>
        <w:tc>
          <w:tcPr>
            <w:tcW w:w="990" w:type="dxa"/>
            <w:shd w:val="clear" w:color="auto" w:fill="auto"/>
            <w:vAlign w:val="center"/>
            <w:hideMark/>
          </w:tcPr>
          <w:p w14:paraId="0E475FA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$34,497</w:t>
            </w:r>
          </w:p>
        </w:tc>
        <w:tc>
          <w:tcPr>
            <w:tcW w:w="810" w:type="dxa"/>
            <w:shd w:val="clear" w:color="auto" w:fill="auto"/>
            <w:vAlign w:val="center"/>
            <w:hideMark/>
          </w:tcPr>
          <w:p w14:paraId="632D60F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13.5%</w:t>
            </w:r>
          </w:p>
        </w:tc>
        <w:tc>
          <w:tcPr>
            <w:tcW w:w="990" w:type="dxa"/>
            <w:shd w:val="clear" w:color="auto" w:fill="auto"/>
            <w:vAlign w:val="center"/>
            <w:hideMark/>
          </w:tcPr>
          <w:p w14:paraId="5EED884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$578,259</w:t>
            </w:r>
          </w:p>
        </w:tc>
        <w:tc>
          <w:tcPr>
            <w:tcW w:w="900" w:type="dxa"/>
            <w:shd w:val="clear" w:color="auto" w:fill="auto"/>
            <w:vAlign w:val="center"/>
            <w:hideMark/>
          </w:tcPr>
          <w:p w14:paraId="599297A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19.3%</w:t>
            </w:r>
          </w:p>
        </w:tc>
        <w:tc>
          <w:tcPr>
            <w:tcW w:w="1080" w:type="dxa"/>
            <w:shd w:val="clear" w:color="auto" w:fill="auto"/>
            <w:vAlign w:val="center"/>
            <w:hideMark/>
          </w:tcPr>
          <w:p w14:paraId="67D1163E"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$1,195,083</w:t>
            </w:r>
          </w:p>
        </w:tc>
        <w:tc>
          <w:tcPr>
            <w:tcW w:w="720" w:type="dxa"/>
            <w:shd w:val="clear" w:color="auto" w:fill="auto"/>
            <w:vAlign w:val="center"/>
            <w:hideMark/>
          </w:tcPr>
          <w:p w14:paraId="5B4F3F4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48.4%</w:t>
            </w:r>
          </w:p>
        </w:tc>
        <w:tc>
          <w:tcPr>
            <w:tcW w:w="810" w:type="dxa"/>
            <w:shd w:val="clear" w:color="auto" w:fill="auto"/>
            <w:vAlign w:val="center"/>
            <w:hideMark/>
          </w:tcPr>
          <w:p w14:paraId="0A3BA98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2,318</w:t>
            </w:r>
          </w:p>
        </w:tc>
        <w:tc>
          <w:tcPr>
            <w:tcW w:w="990" w:type="dxa"/>
            <w:shd w:val="clear" w:color="auto" w:fill="auto"/>
            <w:vAlign w:val="center"/>
            <w:hideMark/>
          </w:tcPr>
          <w:p w14:paraId="2DE3DAB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19.3%</w:t>
            </w:r>
          </w:p>
        </w:tc>
        <w:tc>
          <w:tcPr>
            <w:tcW w:w="1080" w:type="dxa"/>
            <w:shd w:val="clear" w:color="auto" w:fill="auto"/>
            <w:vAlign w:val="center"/>
            <w:hideMark/>
          </w:tcPr>
          <w:p w14:paraId="19497DB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$266,102</w:t>
            </w:r>
          </w:p>
        </w:tc>
      </w:tr>
      <w:tr w:rsidR="001F34DF" w:rsidRPr="001F34DF" w14:paraId="78060C9E" w14:textId="77777777" w:rsidTr="001F34DF">
        <w:trPr>
          <w:trHeight w:val="20"/>
        </w:trPr>
        <w:tc>
          <w:tcPr>
            <w:tcW w:w="1345" w:type="dxa"/>
            <w:shd w:val="clear" w:color="auto" w:fill="auto"/>
            <w:hideMark/>
          </w:tcPr>
          <w:p w14:paraId="2541F2FE"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55 Management of Companies and Enterprises </w:t>
            </w:r>
          </w:p>
        </w:tc>
        <w:tc>
          <w:tcPr>
            <w:tcW w:w="990" w:type="dxa"/>
            <w:shd w:val="clear" w:color="auto" w:fill="auto"/>
            <w:vAlign w:val="center"/>
            <w:hideMark/>
          </w:tcPr>
          <w:p w14:paraId="6E13AEF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$13,091</w:t>
            </w:r>
          </w:p>
        </w:tc>
        <w:tc>
          <w:tcPr>
            <w:tcW w:w="810" w:type="dxa"/>
            <w:shd w:val="clear" w:color="auto" w:fill="auto"/>
            <w:vAlign w:val="center"/>
            <w:hideMark/>
          </w:tcPr>
          <w:p w14:paraId="042B6E5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5.1%</w:t>
            </w:r>
          </w:p>
        </w:tc>
        <w:tc>
          <w:tcPr>
            <w:tcW w:w="990" w:type="dxa"/>
            <w:shd w:val="clear" w:color="auto" w:fill="auto"/>
            <w:vAlign w:val="center"/>
            <w:hideMark/>
          </w:tcPr>
          <w:p w14:paraId="1135570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$120,873</w:t>
            </w:r>
          </w:p>
        </w:tc>
        <w:tc>
          <w:tcPr>
            <w:tcW w:w="900" w:type="dxa"/>
            <w:shd w:val="clear" w:color="auto" w:fill="auto"/>
            <w:vAlign w:val="center"/>
            <w:hideMark/>
          </w:tcPr>
          <w:p w14:paraId="4658635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4.0%</w:t>
            </w:r>
          </w:p>
        </w:tc>
        <w:tc>
          <w:tcPr>
            <w:tcW w:w="1080" w:type="dxa"/>
            <w:shd w:val="clear" w:color="auto" w:fill="auto"/>
            <w:vAlign w:val="center"/>
            <w:hideMark/>
          </w:tcPr>
          <w:p w14:paraId="47E7B22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$321,537</w:t>
            </w:r>
          </w:p>
        </w:tc>
        <w:tc>
          <w:tcPr>
            <w:tcW w:w="720" w:type="dxa"/>
            <w:shd w:val="clear" w:color="auto" w:fill="auto"/>
            <w:vAlign w:val="center"/>
            <w:hideMark/>
          </w:tcPr>
          <w:p w14:paraId="1EA99EA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37.6%</w:t>
            </w:r>
          </w:p>
        </w:tc>
        <w:tc>
          <w:tcPr>
            <w:tcW w:w="810" w:type="dxa"/>
            <w:shd w:val="clear" w:color="auto" w:fill="auto"/>
            <w:vAlign w:val="center"/>
            <w:hideMark/>
          </w:tcPr>
          <w:p w14:paraId="6C38B13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324</w:t>
            </w:r>
          </w:p>
        </w:tc>
        <w:tc>
          <w:tcPr>
            <w:tcW w:w="990" w:type="dxa"/>
            <w:shd w:val="clear" w:color="auto" w:fill="auto"/>
            <w:vAlign w:val="center"/>
            <w:hideMark/>
          </w:tcPr>
          <w:p w14:paraId="55F302B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2.7%</w:t>
            </w:r>
          </w:p>
        </w:tc>
        <w:tc>
          <w:tcPr>
            <w:tcW w:w="1080" w:type="dxa"/>
            <w:shd w:val="clear" w:color="auto" w:fill="auto"/>
            <w:vAlign w:val="center"/>
            <w:hideMark/>
          </w:tcPr>
          <w:p w14:paraId="66BCE76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$619,332</w:t>
            </w:r>
          </w:p>
        </w:tc>
      </w:tr>
      <w:tr w:rsidR="001F34DF" w:rsidRPr="001F34DF" w14:paraId="392CF44B" w14:textId="77777777" w:rsidTr="001F34DF">
        <w:trPr>
          <w:trHeight w:val="20"/>
        </w:trPr>
        <w:tc>
          <w:tcPr>
            <w:tcW w:w="1345" w:type="dxa"/>
            <w:shd w:val="clear" w:color="auto" w:fill="auto"/>
            <w:hideMark/>
          </w:tcPr>
          <w:p w14:paraId="1B1EFE10"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56 Administrative and Support and Waste Management </w:t>
            </w:r>
          </w:p>
        </w:tc>
        <w:tc>
          <w:tcPr>
            <w:tcW w:w="990" w:type="dxa"/>
            <w:shd w:val="clear" w:color="auto" w:fill="auto"/>
            <w:vAlign w:val="center"/>
            <w:hideMark/>
          </w:tcPr>
          <w:p w14:paraId="0F057E9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$4,347</w:t>
            </w:r>
          </w:p>
        </w:tc>
        <w:tc>
          <w:tcPr>
            <w:tcW w:w="810" w:type="dxa"/>
            <w:shd w:val="clear" w:color="auto" w:fill="auto"/>
            <w:vAlign w:val="center"/>
            <w:hideMark/>
          </w:tcPr>
          <w:p w14:paraId="60D6F57F"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1.7%</w:t>
            </w:r>
          </w:p>
        </w:tc>
        <w:tc>
          <w:tcPr>
            <w:tcW w:w="990" w:type="dxa"/>
            <w:shd w:val="clear" w:color="auto" w:fill="auto"/>
            <w:vAlign w:val="center"/>
            <w:hideMark/>
          </w:tcPr>
          <w:p w14:paraId="3194E64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$38,434</w:t>
            </w:r>
          </w:p>
        </w:tc>
        <w:tc>
          <w:tcPr>
            <w:tcW w:w="900" w:type="dxa"/>
            <w:shd w:val="clear" w:color="auto" w:fill="auto"/>
            <w:vAlign w:val="center"/>
            <w:hideMark/>
          </w:tcPr>
          <w:p w14:paraId="3852DCC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1.3%</w:t>
            </w:r>
          </w:p>
        </w:tc>
        <w:tc>
          <w:tcPr>
            <w:tcW w:w="1080" w:type="dxa"/>
            <w:shd w:val="clear" w:color="auto" w:fill="auto"/>
            <w:vAlign w:val="center"/>
            <w:hideMark/>
          </w:tcPr>
          <w:p w14:paraId="5DED885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$124,962</w:t>
            </w:r>
          </w:p>
        </w:tc>
        <w:tc>
          <w:tcPr>
            <w:tcW w:w="720" w:type="dxa"/>
            <w:shd w:val="clear" w:color="auto" w:fill="auto"/>
            <w:vAlign w:val="center"/>
            <w:hideMark/>
          </w:tcPr>
          <w:p w14:paraId="7C94C36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30.8%</w:t>
            </w:r>
          </w:p>
        </w:tc>
        <w:tc>
          <w:tcPr>
            <w:tcW w:w="810" w:type="dxa"/>
            <w:shd w:val="clear" w:color="auto" w:fill="auto"/>
            <w:vAlign w:val="center"/>
            <w:hideMark/>
          </w:tcPr>
          <w:p w14:paraId="7219370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495</w:t>
            </w:r>
          </w:p>
        </w:tc>
        <w:tc>
          <w:tcPr>
            <w:tcW w:w="990" w:type="dxa"/>
            <w:shd w:val="clear" w:color="auto" w:fill="auto"/>
            <w:vAlign w:val="center"/>
            <w:hideMark/>
          </w:tcPr>
          <w:p w14:paraId="4C612E68"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4.1%</w:t>
            </w:r>
          </w:p>
        </w:tc>
        <w:tc>
          <w:tcPr>
            <w:tcW w:w="1080" w:type="dxa"/>
            <w:shd w:val="clear" w:color="auto" w:fill="auto"/>
            <w:vAlign w:val="center"/>
            <w:hideMark/>
          </w:tcPr>
          <w:p w14:paraId="473E396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$174,803</w:t>
            </w:r>
          </w:p>
        </w:tc>
      </w:tr>
      <w:tr w:rsidR="001F34DF" w:rsidRPr="001F34DF" w14:paraId="20BDD9B2" w14:textId="77777777" w:rsidTr="001F34DF">
        <w:trPr>
          <w:trHeight w:val="20"/>
        </w:trPr>
        <w:tc>
          <w:tcPr>
            <w:tcW w:w="1345" w:type="dxa"/>
            <w:shd w:val="clear" w:color="auto" w:fill="auto"/>
            <w:hideMark/>
          </w:tcPr>
          <w:p w14:paraId="0CA4ACDA"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61 Educational Services </w:t>
            </w:r>
          </w:p>
        </w:tc>
        <w:tc>
          <w:tcPr>
            <w:tcW w:w="990" w:type="dxa"/>
            <w:shd w:val="clear" w:color="auto" w:fill="auto"/>
            <w:vAlign w:val="center"/>
            <w:hideMark/>
          </w:tcPr>
          <w:p w14:paraId="2487E53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$205</w:t>
            </w:r>
          </w:p>
        </w:tc>
        <w:tc>
          <w:tcPr>
            <w:tcW w:w="810" w:type="dxa"/>
            <w:shd w:val="clear" w:color="auto" w:fill="auto"/>
            <w:vAlign w:val="center"/>
            <w:hideMark/>
          </w:tcPr>
          <w:p w14:paraId="0C7217E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0.1%</w:t>
            </w:r>
          </w:p>
        </w:tc>
        <w:tc>
          <w:tcPr>
            <w:tcW w:w="990" w:type="dxa"/>
            <w:shd w:val="clear" w:color="auto" w:fill="auto"/>
            <w:vAlign w:val="center"/>
            <w:hideMark/>
          </w:tcPr>
          <w:p w14:paraId="100C8C82"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$1,004</w:t>
            </w:r>
          </w:p>
        </w:tc>
        <w:tc>
          <w:tcPr>
            <w:tcW w:w="900" w:type="dxa"/>
            <w:shd w:val="clear" w:color="auto" w:fill="auto"/>
            <w:vAlign w:val="center"/>
            <w:hideMark/>
          </w:tcPr>
          <w:p w14:paraId="4C770D8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0.0%</w:t>
            </w:r>
          </w:p>
        </w:tc>
        <w:tc>
          <w:tcPr>
            <w:tcW w:w="1080" w:type="dxa"/>
            <w:shd w:val="clear" w:color="auto" w:fill="auto"/>
            <w:vAlign w:val="center"/>
            <w:hideMark/>
          </w:tcPr>
          <w:p w14:paraId="0E4FA82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$13,291</w:t>
            </w:r>
          </w:p>
        </w:tc>
        <w:tc>
          <w:tcPr>
            <w:tcW w:w="720" w:type="dxa"/>
            <w:shd w:val="clear" w:color="auto" w:fill="auto"/>
            <w:vAlign w:val="center"/>
            <w:hideMark/>
          </w:tcPr>
          <w:p w14:paraId="20F2900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7.6%</w:t>
            </w:r>
          </w:p>
        </w:tc>
        <w:tc>
          <w:tcPr>
            <w:tcW w:w="810" w:type="dxa"/>
            <w:shd w:val="clear" w:color="auto" w:fill="auto"/>
            <w:vAlign w:val="center"/>
            <w:hideMark/>
          </w:tcPr>
          <w:p w14:paraId="148CF8D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111</w:t>
            </w:r>
          </w:p>
        </w:tc>
        <w:tc>
          <w:tcPr>
            <w:tcW w:w="990" w:type="dxa"/>
            <w:shd w:val="clear" w:color="auto" w:fill="auto"/>
            <w:vAlign w:val="center"/>
            <w:hideMark/>
          </w:tcPr>
          <w:p w14:paraId="7F326FA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0.9%</w:t>
            </w:r>
          </w:p>
        </w:tc>
        <w:tc>
          <w:tcPr>
            <w:tcW w:w="1080" w:type="dxa"/>
            <w:shd w:val="clear" w:color="auto" w:fill="auto"/>
            <w:vAlign w:val="center"/>
            <w:hideMark/>
          </w:tcPr>
          <w:p w14:paraId="4CF2FC1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$110,698</w:t>
            </w:r>
          </w:p>
        </w:tc>
      </w:tr>
      <w:tr w:rsidR="001F34DF" w:rsidRPr="001F34DF" w14:paraId="748702EB" w14:textId="77777777" w:rsidTr="001F34DF">
        <w:trPr>
          <w:trHeight w:val="20"/>
        </w:trPr>
        <w:tc>
          <w:tcPr>
            <w:tcW w:w="1345" w:type="dxa"/>
            <w:shd w:val="clear" w:color="auto" w:fill="auto"/>
            <w:hideMark/>
          </w:tcPr>
          <w:p w14:paraId="2E554540"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62 Health Care and Social Assistance </w:t>
            </w:r>
          </w:p>
        </w:tc>
        <w:tc>
          <w:tcPr>
            <w:tcW w:w="990" w:type="dxa"/>
            <w:shd w:val="clear" w:color="auto" w:fill="auto"/>
            <w:vAlign w:val="center"/>
            <w:hideMark/>
          </w:tcPr>
          <w:p w14:paraId="184E7BF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$4,934</w:t>
            </w:r>
          </w:p>
        </w:tc>
        <w:tc>
          <w:tcPr>
            <w:tcW w:w="810" w:type="dxa"/>
            <w:shd w:val="clear" w:color="auto" w:fill="auto"/>
            <w:vAlign w:val="center"/>
            <w:hideMark/>
          </w:tcPr>
          <w:p w14:paraId="15F5C8A3"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1.9%</w:t>
            </w:r>
          </w:p>
        </w:tc>
        <w:tc>
          <w:tcPr>
            <w:tcW w:w="990" w:type="dxa"/>
            <w:shd w:val="clear" w:color="auto" w:fill="auto"/>
            <w:vAlign w:val="center"/>
            <w:hideMark/>
          </w:tcPr>
          <w:p w14:paraId="111EC0E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$43,371</w:t>
            </w:r>
          </w:p>
        </w:tc>
        <w:tc>
          <w:tcPr>
            <w:tcW w:w="900" w:type="dxa"/>
            <w:shd w:val="clear" w:color="auto" w:fill="auto"/>
            <w:vAlign w:val="center"/>
            <w:hideMark/>
          </w:tcPr>
          <w:p w14:paraId="63DB0D6C"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1.4%</w:t>
            </w:r>
          </w:p>
        </w:tc>
        <w:tc>
          <w:tcPr>
            <w:tcW w:w="1080" w:type="dxa"/>
            <w:shd w:val="clear" w:color="auto" w:fill="auto"/>
            <w:vAlign w:val="center"/>
            <w:hideMark/>
          </w:tcPr>
          <w:p w14:paraId="659EC83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$103,741</w:t>
            </w:r>
          </w:p>
        </w:tc>
        <w:tc>
          <w:tcPr>
            <w:tcW w:w="720" w:type="dxa"/>
            <w:shd w:val="clear" w:color="auto" w:fill="auto"/>
            <w:vAlign w:val="center"/>
            <w:hideMark/>
          </w:tcPr>
          <w:p w14:paraId="1773D9F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41.8%</w:t>
            </w:r>
          </w:p>
        </w:tc>
        <w:tc>
          <w:tcPr>
            <w:tcW w:w="810" w:type="dxa"/>
            <w:shd w:val="clear" w:color="auto" w:fill="auto"/>
            <w:vAlign w:val="center"/>
            <w:hideMark/>
          </w:tcPr>
          <w:p w14:paraId="527DDFD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454</w:t>
            </w:r>
          </w:p>
        </w:tc>
        <w:tc>
          <w:tcPr>
            <w:tcW w:w="990" w:type="dxa"/>
            <w:shd w:val="clear" w:color="auto" w:fill="auto"/>
            <w:vAlign w:val="center"/>
            <w:hideMark/>
          </w:tcPr>
          <w:p w14:paraId="42008E99"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3.8%</w:t>
            </w:r>
          </w:p>
        </w:tc>
        <w:tc>
          <w:tcPr>
            <w:tcW w:w="1080" w:type="dxa"/>
            <w:shd w:val="clear" w:color="auto" w:fill="auto"/>
            <w:vAlign w:val="center"/>
            <w:hideMark/>
          </w:tcPr>
          <w:p w14:paraId="2A6B6178"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$132,973</w:t>
            </w:r>
          </w:p>
        </w:tc>
      </w:tr>
      <w:tr w:rsidR="001F34DF" w:rsidRPr="001F34DF" w14:paraId="1C75FBFF" w14:textId="77777777" w:rsidTr="001F34DF">
        <w:trPr>
          <w:trHeight w:val="20"/>
        </w:trPr>
        <w:tc>
          <w:tcPr>
            <w:tcW w:w="1345" w:type="dxa"/>
            <w:shd w:val="clear" w:color="auto" w:fill="auto"/>
            <w:hideMark/>
          </w:tcPr>
          <w:p w14:paraId="7A87F8C3"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71 Arts, Entertainment, and Recreation </w:t>
            </w:r>
          </w:p>
        </w:tc>
        <w:tc>
          <w:tcPr>
            <w:tcW w:w="990" w:type="dxa"/>
            <w:shd w:val="clear" w:color="auto" w:fill="auto"/>
            <w:vAlign w:val="center"/>
            <w:hideMark/>
          </w:tcPr>
          <w:p w14:paraId="4D5F59B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$289</w:t>
            </w:r>
          </w:p>
        </w:tc>
        <w:tc>
          <w:tcPr>
            <w:tcW w:w="810" w:type="dxa"/>
            <w:shd w:val="clear" w:color="auto" w:fill="auto"/>
            <w:vAlign w:val="center"/>
            <w:hideMark/>
          </w:tcPr>
          <w:p w14:paraId="5E0255B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0.1%</w:t>
            </w:r>
          </w:p>
        </w:tc>
        <w:tc>
          <w:tcPr>
            <w:tcW w:w="990" w:type="dxa"/>
            <w:shd w:val="clear" w:color="auto" w:fill="auto"/>
            <w:vAlign w:val="center"/>
            <w:hideMark/>
          </w:tcPr>
          <w:p w14:paraId="1AA028B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$3,056</w:t>
            </w:r>
          </w:p>
        </w:tc>
        <w:tc>
          <w:tcPr>
            <w:tcW w:w="900" w:type="dxa"/>
            <w:shd w:val="clear" w:color="auto" w:fill="auto"/>
            <w:vAlign w:val="center"/>
            <w:hideMark/>
          </w:tcPr>
          <w:p w14:paraId="0D462A3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0.1%</w:t>
            </w:r>
          </w:p>
        </w:tc>
        <w:tc>
          <w:tcPr>
            <w:tcW w:w="1080" w:type="dxa"/>
            <w:shd w:val="clear" w:color="auto" w:fill="auto"/>
            <w:vAlign w:val="center"/>
            <w:hideMark/>
          </w:tcPr>
          <w:p w14:paraId="57CECCA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$7,926</w:t>
            </w:r>
          </w:p>
        </w:tc>
        <w:tc>
          <w:tcPr>
            <w:tcW w:w="720" w:type="dxa"/>
            <w:shd w:val="clear" w:color="auto" w:fill="auto"/>
            <w:vAlign w:val="center"/>
            <w:hideMark/>
          </w:tcPr>
          <w:p w14:paraId="338F38B5"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38.6%</w:t>
            </w:r>
          </w:p>
        </w:tc>
        <w:tc>
          <w:tcPr>
            <w:tcW w:w="810" w:type="dxa"/>
            <w:shd w:val="clear" w:color="auto" w:fill="auto"/>
            <w:vAlign w:val="center"/>
            <w:hideMark/>
          </w:tcPr>
          <w:p w14:paraId="187F372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142</w:t>
            </w:r>
          </w:p>
        </w:tc>
        <w:tc>
          <w:tcPr>
            <w:tcW w:w="990" w:type="dxa"/>
            <w:shd w:val="clear" w:color="auto" w:fill="auto"/>
            <w:vAlign w:val="center"/>
            <w:hideMark/>
          </w:tcPr>
          <w:p w14:paraId="6373538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1.2%</w:t>
            </w:r>
          </w:p>
        </w:tc>
        <w:tc>
          <w:tcPr>
            <w:tcW w:w="1080" w:type="dxa"/>
            <w:shd w:val="clear" w:color="auto" w:fill="auto"/>
            <w:vAlign w:val="center"/>
            <w:hideMark/>
          </w:tcPr>
          <w:p w14:paraId="5A58D1D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$34,296</w:t>
            </w:r>
          </w:p>
        </w:tc>
      </w:tr>
      <w:tr w:rsidR="001F34DF" w:rsidRPr="001F34DF" w14:paraId="1B219FA6" w14:textId="77777777" w:rsidTr="001F34DF">
        <w:trPr>
          <w:trHeight w:val="20"/>
        </w:trPr>
        <w:tc>
          <w:tcPr>
            <w:tcW w:w="1345" w:type="dxa"/>
            <w:shd w:val="clear" w:color="auto" w:fill="auto"/>
            <w:hideMark/>
          </w:tcPr>
          <w:p w14:paraId="75511A88"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72 Accommodation and Food Services </w:t>
            </w:r>
          </w:p>
        </w:tc>
        <w:tc>
          <w:tcPr>
            <w:tcW w:w="990" w:type="dxa"/>
            <w:shd w:val="clear" w:color="auto" w:fill="auto"/>
            <w:vAlign w:val="center"/>
            <w:hideMark/>
          </w:tcPr>
          <w:p w14:paraId="4373DCC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$1,536</w:t>
            </w:r>
          </w:p>
        </w:tc>
        <w:tc>
          <w:tcPr>
            <w:tcW w:w="810" w:type="dxa"/>
            <w:shd w:val="clear" w:color="auto" w:fill="auto"/>
            <w:vAlign w:val="center"/>
            <w:hideMark/>
          </w:tcPr>
          <w:p w14:paraId="4EE889A4"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0.6%</w:t>
            </w:r>
          </w:p>
        </w:tc>
        <w:tc>
          <w:tcPr>
            <w:tcW w:w="990" w:type="dxa"/>
            <w:shd w:val="clear" w:color="auto" w:fill="auto"/>
            <w:vAlign w:val="center"/>
            <w:hideMark/>
          </w:tcPr>
          <w:p w14:paraId="49F534E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$12,107</w:t>
            </w:r>
          </w:p>
        </w:tc>
        <w:tc>
          <w:tcPr>
            <w:tcW w:w="900" w:type="dxa"/>
            <w:shd w:val="clear" w:color="auto" w:fill="auto"/>
            <w:vAlign w:val="center"/>
            <w:hideMark/>
          </w:tcPr>
          <w:p w14:paraId="5EFAE04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0.4%</w:t>
            </w:r>
          </w:p>
        </w:tc>
        <w:tc>
          <w:tcPr>
            <w:tcW w:w="1080" w:type="dxa"/>
            <w:shd w:val="clear" w:color="auto" w:fill="auto"/>
            <w:vAlign w:val="center"/>
            <w:hideMark/>
          </w:tcPr>
          <w:p w14:paraId="597AC847"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$33,647</w:t>
            </w:r>
          </w:p>
        </w:tc>
        <w:tc>
          <w:tcPr>
            <w:tcW w:w="720" w:type="dxa"/>
            <w:shd w:val="clear" w:color="auto" w:fill="auto"/>
            <w:vAlign w:val="center"/>
            <w:hideMark/>
          </w:tcPr>
          <w:p w14:paraId="5662266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36.0%</w:t>
            </w:r>
          </w:p>
        </w:tc>
        <w:tc>
          <w:tcPr>
            <w:tcW w:w="810" w:type="dxa"/>
            <w:shd w:val="clear" w:color="auto" w:fill="auto"/>
            <w:vAlign w:val="center"/>
            <w:hideMark/>
          </w:tcPr>
          <w:p w14:paraId="0E67483C"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461</w:t>
            </w:r>
          </w:p>
        </w:tc>
        <w:tc>
          <w:tcPr>
            <w:tcW w:w="990" w:type="dxa"/>
            <w:shd w:val="clear" w:color="auto" w:fill="auto"/>
            <w:vAlign w:val="center"/>
            <w:hideMark/>
          </w:tcPr>
          <w:p w14:paraId="2B4AD5FA"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3.8%</w:t>
            </w:r>
          </w:p>
        </w:tc>
        <w:tc>
          <w:tcPr>
            <w:tcW w:w="1080" w:type="dxa"/>
            <w:shd w:val="clear" w:color="auto" w:fill="auto"/>
            <w:vAlign w:val="center"/>
            <w:hideMark/>
          </w:tcPr>
          <w:p w14:paraId="70FFA9C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$46,725</w:t>
            </w:r>
          </w:p>
        </w:tc>
      </w:tr>
      <w:tr w:rsidR="001F34DF" w:rsidRPr="001F34DF" w14:paraId="530D6FCF" w14:textId="77777777" w:rsidTr="001F34DF">
        <w:trPr>
          <w:trHeight w:val="20"/>
        </w:trPr>
        <w:tc>
          <w:tcPr>
            <w:tcW w:w="1345" w:type="dxa"/>
            <w:shd w:val="clear" w:color="auto" w:fill="auto"/>
            <w:hideMark/>
          </w:tcPr>
          <w:p w14:paraId="73F6611E"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81 Other Services (except Public Administration) </w:t>
            </w:r>
          </w:p>
        </w:tc>
        <w:tc>
          <w:tcPr>
            <w:tcW w:w="990" w:type="dxa"/>
            <w:shd w:val="clear" w:color="auto" w:fill="auto"/>
            <w:vAlign w:val="center"/>
            <w:hideMark/>
          </w:tcPr>
          <w:p w14:paraId="4DF8B67B"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$666</w:t>
            </w:r>
          </w:p>
        </w:tc>
        <w:tc>
          <w:tcPr>
            <w:tcW w:w="810" w:type="dxa"/>
            <w:shd w:val="clear" w:color="auto" w:fill="auto"/>
            <w:vAlign w:val="center"/>
            <w:hideMark/>
          </w:tcPr>
          <w:p w14:paraId="597D6CD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0.3%</w:t>
            </w:r>
          </w:p>
        </w:tc>
        <w:tc>
          <w:tcPr>
            <w:tcW w:w="990" w:type="dxa"/>
            <w:shd w:val="clear" w:color="auto" w:fill="auto"/>
            <w:vAlign w:val="center"/>
            <w:hideMark/>
          </w:tcPr>
          <w:p w14:paraId="3BC4697D"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$7,138</w:t>
            </w:r>
          </w:p>
        </w:tc>
        <w:tc>
          <w:tcPr>
            <w:tcW w:w="900" w:type="dxa"/>
            <w:shd w:val="clear" w:color="auto" w:fill="auto"/>
            <w:vAlign w:val="center"/>
            <w:hideMark/>
          </w:tcPr>
          <w:p w14:paraId="790FB8E6"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0.2%</w:t>
            </w:r>
          </w:p>
        </w:tc>
        <w:tc>
          <w:tcPr>
            <w:tcW w:w="1080" w:type="dxa"/>
            <w:shd w:val="clear" w:color="auto" w:fill="auto"/>
            <w:vAlign w:val="center"/>
            <w:hideMark/>
          </w:tcPr>
          <w:p w14:paraId="6B353D3F"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$19,999</w:t>
            </w:r>
          </w:p>
        </w:tc>
        <w:tc>
          <w:tcPr>
            <w:tcW w:w="720" w:type="dxa"/>
            <w:shd w:val="clear" w:color="auto" w:fill="auto"/>
            <w:vAlign w:val="center"/>
            <w:hideMark/>
          </w:tcPr>
          <w:p w14:paraId="747B971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35.7%</w:t>
            </w:r>
          </w:p>
        </w:tc>
        <w:tc>
          <w:tcPr>
            <w:tcW w:w="810" w:type="dxa"/>
            <w:shd w:val="clear" w:color="auto" w:fill="auto"/>
            <w:vAlign w:val="center"/>
            <w:hideMark/>
          </w:tcPr>
          <w:p w14:paraId="44603B4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467</w:t>
            </w:r>
          </w:p>
        </w:tc>
        <w:tc>
          <w:tcPr>
            <w:tcW w:w="990" w:type="dxa"/>
            <w:shd w:val="clear" w:color="auto" w:fill="auto"/>
            <w:vAlign w:val="center"/>
            <w:hideMark/>
          </w:tcPr>
          <w:p w14:paraId="3ACED841"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3.9%</w:t>
            </w:r>
          </w:p>
        </w:tc>
        <w:tc>
          <w:tcPr>
            <w:tcW w:w="1080" w:type="dxa"/>
            <w:shd w:val="clear" w:color="auto" w:fill="auto"/>
            <w:vAlign w:val="center"/>
            <w:hideMark/>
          </w:tcPr>
          <w:p w14:paraId="2C4AF7B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$27,540</w:t>
            </w:r>
          </w:p>
        </w:tc>
      </w:tr>
      <w:tr w:rsidR="001F34DF" w:rsidRPr="001F34DF" w14:paraId="5EDBF5E9" w14:textId="77777777" w:rsidTr="001F34DF">
        <w:trPr>
          <w:trHeight w:val="20"/>
        </w:trPr>
        <w:tc>
          <w:tcPr>
            <w:tcW w:w="1345" w:type="dxa"/>
            <w:shd w:val="clear" w:color="auto" w:fill="auto"/>
            <w:hideMark/>
          </w:tcPr>
          <w:p w14:paraId="4587339D"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Others or unmatched*</w:t>
            </w:r>
          </w:p>
        </w:tc>
        <w:tc>
          <w:tcPr>
            <w:tcW w:w="990" w:type="dxa"/>
            <w:shd w:val="clear" w:color="auto" w:fill="auto"/>
            <w:vAlign w:val="center"/>
            <w:hideMark/>
          </w:tcPr>
          <w:p w14:paraId="6ED3D896"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$79,557</w:t>
            </w:r>
          </w:p>
        </w:tc>
        <w:tc>
          <w:tcPr>
            <w:tcW w:w="810" w:type="dxa"/>
            <w:shd w:val="clear" w:color="auto" w:fill="auto"/>
            <w:vAlign w:val="center"/>
            <w:hideMark/>
          </w:tcPr>
          <w:p w14:paraId="5028E86E"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31.1%</w:t>
            </w:r>
          </w:p>
        </w:tc>
        <w:tc>
          <w:tcPr>
            <w:tcW w:w="990" w:type="dxa"/>
            <w:shd w:val="clear" w:color="auto" w:fill="auto"/>
            <w:vAlign w:val="center"/>
            <w:hideMark/>
          </w:tcPr>
          <w:p w14:paraId="4C699A3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$849,109</w:t>
            </w:r>
          </w:p>
        </w:tc>
        <w:tc>
          <w:tcPr>
            <w:tcW w:w="900" w:type="dxa"/>
            <w:shd w:val="clear" w:color="auto" w:fill="auto"/>
            <w:vAlign w:val="center"/>
            <w:hideMark/>
          </w:tcPr>
          <w:p w14:paraId="0A4D995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28.3%</w:t>
            </w:r>
          </w:p>
        </w:tc>
        <w:tc>
          <w:tcPr>
            <w:tcW w:w="1080" w:type="dxa"/>
            <w:shd w:val="clear" w:color="auto" w:fill="auto"/>
            <w:vAlign w:val="center"/>
            <w:hideMark/>
          </w:tcPr>
          <w:p w14:paraId="5E00F11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$1,197,102</w:t>
            </w:r>
          </w:p>
        </w:tc>
        <w:tc>
          <w:tcPr>
            <w:tcW w:w="720" w:type="dxa"/>
            <w:shd w:val="clear" w:color="auto" w:fill="auto"/>
            <w:vAlign w:val="center"/>
            <w:hideMark/>
          </w:tcPr>
          <w:p w14:paraId="652D6EDF"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70.9%</w:t>
            </w:r>
          </w:p>
        </w:tc>
        <w:tc>
          <w:tcPr>
            <w:tcW w:w="810" w:type="dxa"/>
            <w:shd w:val="clear" w:color="auto" w:fill="auto"/>
            <w:vAlign w:val="center"/>
            <w:hideMark/>
          </w:tcPr>
          <w:p w14:paraId="1B033C5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615</w:t>
            </w:r>
          </w:p>
        </w:tc>
        <w:tc>
          <w:tcPr>
            <w:tcW w:w="990" w:type="dxa"/>
            <w:shd w:val="clear" w:color="auto" w:fill="auto"/>
            <w:vAlign w:val="center"/>
            <w:hideMark/>
          </w:tcPr>
          <w:p w14:paraId="662F0C47"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5.1%</w:t>
            </w:r>
          </w:p>
        </w:tc>
        <w:tc>
          <w:tcPr>
            <w:tcW w:w="1080" w:type="dxa"/>
            <w:shd w:val="clear" w:color="auto" w:fill="auto"/>
            <w:vAlign w:val="center"/>
            <w:hideMark/>
          </w:tcPr>
          <w:p w14:paraId="35F6F9DA"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$565,842</w:t>
            </w:r>
          </w:p>
        </w:tc>
      </w:tr>
      <w:tr w:rsidR="001F34DF" w:rsidRPr="001F34DF" w14:paraId="45DEB913" w14:textId="77777777" w:rsidTr="001F34DF">
        <w:trPr>
          <w:trHeight w:val="20"/>
        </w:trPr>
        <w:tc>
          <w:tcPr>
            <w:tcW w:w="1345" w:type="dxa"/>
            <w:shd w:val="clear" w:color="auto" w:fill="auto"/>
            <w:hideMark/>
          </w:tcPr>
          <w:p w14:paraId="3775E40E" w14:textId="77777777" w:rsidR="003A0367" w:rsidRPr="006B5573" w:rsidRDefault="003A0367" w:rsidP="003A0367">
            <w:pPr>
              <w:spacing w:after="0" w:line="240" w:lineRule="auto"/>
              <w:rPr>
                <w:rFonts w:ascii="Cambria" w:eastAsia="Times New Roman" w:hAnsi="Cambria" w:cs="Helvetica"/>
                <w:color w:val="000000"/>
                <w:sz w:val="16"/>
                <w:szCs w:val="16"/>
                <w:lang w:eastAsia="ko-KR"/>
              </w:rPr>
            </w:pPr>
            <w:r w:rsidRPr="006B5573">
              <w:rPr>
                <w:rFonts w:ascii="Cambria" w:eastAsia="Times New Roman" w:hAnsi="Cambria" w:cs="Helvetica"/>
                <w:color w:val="000000"/>
                <w:sz w:val="16"/>
                <w:szCs w:val="16"/>
                <w:lang w:eastAsia="ko-KR"/>
              </w:rPr>
              <w:t xml:space="preserve"> Total or average </w:t>
            </w:r>
          </w:p>
        </w:tc>
        <w:tc>
          <w:tcPr>
            <w:tcW w:w="990" w:type="dxa"/>
            <w:shd w:val="clear" w:color="auto" w:fill="auto"/>
            <w:vAlign w:val="center"/>
            <w:hideMark/>
          </w:tcPr>
          <w:p w14:paraId="40BAC2F4"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$256,118</w:t>
            </w:r>
          </w:p>
        </w:tc>
        <w:tc>
          <w:tcPr>
            <w:tcW w:w="810" w:type="dxa"/>
            <w:shd w:val="clear" w:color="auto" w:fill="auto"/>
            <w:vAlign w:val="center"/>
            <w:hideMark/>
          </w:tcPr>
          <w:p w14:paraId="57D5EA9F"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990" w:type="dxa"/>
            <w:shd w:val="clear" w:color="auto" w:fill="auto"/>
            <w:vAlign w:val="center"/>
            <w:hideMark/>
          </w:tcPr>
          <w:p w14:paraId="4496C9C0"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$2,997,508</w:t>
            </w:r>
          </w:p>
        </w:tc>
        <w:tc>
          <w:tcPr>
            <w:tcW w:w="900" w:type="dxa"/>
            <w:shd w:val="clear" w:color="auto" w:fill="auto"/>
            <w:vAlign w:val="center"/>
            <w:hideMark/>
          </w:tcPr>
          <w:p w14:paraId="67C6AB7B"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1080" w:type="dxa"/>
            <w:shd w:val="clear" w:color="auto" w:fill="auto"/>
            <w:vAlign w:val="center"/>
            <w:hideMark/>
          </w:tcPr>
          <w:p w14:paraId="4BAD7AA1"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$5,919,005</w:t>
            </w:r>
          </w:p>
        </w:tc>
        <w:tc>
          <w:tcPr>
            <w:tcW w:w="720" w:type="dxa"/>
            <w:shd w:val="clear" w:color="auto" w:fill="auto"/>
            <w:vAlign w:val="center"/>
            <w:hideMark/>
          </w:tcPr>
          <w:p w14:paraId="5946505F"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50.6%</w:t>
            </w:r>
          </w:p>
        </w:tc>
        <w:tc>
          <w:tcPr>
            <w:tcW w:w="810" w:type="dxa"/>
            <w:shd w:val="clear" w:color="auto" w:fill="auto"/>
            <w:vAlign w:val="center"/>
            <w:hideMark/>
          </w:tcPr>
          <w:p w14:paraId="79863D33"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color w:val="000000"/>
                <w:sz w:val="16"/>
                <w:szCs w:val="16"/>
              </w:rPr>
              <w:t>12,024</w:t>
            </w:r>
          </w:p>
        </w:tc>
        <w:tc>
          <w:tcPr>
            <w:tcW w:w="990" w:type="dxa"/>
            <w:shd w:val="clear" w:color="auto" w:fill="auto"/>
            <w:vAlign w:val="center"/>
            <w:hideMark/>
          </w:tcPr>
          <w:p w14:paraId="2DE6D4ED" w14:textId="77777777" w:rsidR="003A0367" w:rsidRPr="006B5573" w:rsidRDefault="003A0367" w:rsidP="003A0367">
            <w:pPr>
              <w:spacing w:after="0" w:line="240" w:lineRule="auto"/>
              <w:jc w:val="center"/>
              <w:rPr>
                <w:rFonts w:ascii="Cambria" w:eastAsia="Times New Roman" w:hAnsi="Cambria" w:cs="Helvetica"/>
                <w:i/>
                <w:iCs/>
                <w:color w:val="000000"/>
                <w:sz w:val="16"/>
                <w:szCs w:val="16"/>
                <w:lang w:eastAsia="ko-KR"/>
              </w:rPr>
            </w:pPr>
            <w:r w:rsidRPr="006B5573">
              <w:rPr>
                <w:rFonts w:ascii="Cambria" w:hAnsi="Cambria" w:cs="Helvetica"/>
                <w:i/>
                <w:iCs/>
                <w:color w:val="000000"/>
                <w:sz w:val="16"/>
                <w:szCs w:val="16"/>
              </w:rPr>
              <w:t>100.0%</w:t>
            </w:r>
          </w:p>
        </w:tc>
        <w:tc>
          <w:tcPr>
            <w:tcW w:w="1080" w:type="dxa"/>
            <w:shd w:val="clear" w:color="auto" w:fill="auto"/>
            <w:vAlign w:val="center"/>
            <w:hideMark/>
          </w:tcPr>
          <w:p w14:paraId="0B834445" w14:textId="77777777" w:rsidR="003A0367" w:rsidRPr="006B5573" w:rsidRDefault="003A0367" w:rsidP="003A0367">
            <w:pPr>
              <w:spacing w:after="0" w:line="240" w:lineRule="auto"/>
              <w:jc w:val="center"/>
              <w:rPr>
                <w:rFonts w:ascii="Cambria" w:eastAsia="Times New Roman" w:hAnsi="Cambria" w:cs="Helvetica"/>
                <w:color w:val="000000"/>
                <w:sz w:val="16"/>
                <w:szCs w:val="16"/>
                <w:lang w:eastAsia="ko-KR"/>
              </w:rPr>
            </w:pPr>
            <w:r w:rsidRPr="006B5573">
              <w:rPr>
                <w:rFonts w:ascii="Cambria" w:hAnsi="Cambria" w:cs="Helvetica"/>
                <w:sz w:val="16"/>
                <w:szCs w:val="16"/>
              </w:rPr>
              <w:t>$242,972</w:t>
            </w:r>
          </w:p>
        </w:tc>
      </w:tr>
    </w:tbl>
    <w:p w14:paraId="0C6ED59D" w14:textId="77777777" w:rsidR="00692DEF" w:rsidRPr="003A0367" w:rsidRDefault="00692DEF" w:rsidP="00692DEF">
      <w:pPr>
        <w:tabs>
          <w:tab w:val="left" w:pos="7050"/>
        </w:tabs>
        <w:spacing w:after="0"/>
        <w:rPr>
          <w:rFonts w:asciiTheme="majorHAnsi" w:eastAsiaTheme="majorEastAsia" w:hAnsiTheme="majorHAnsi" w:cstheme="majorBidi"/>
          <w:bCs/>
          <w:color w:val="000000" w:themeColor="text1"/>
          <w:sz w:val="16"/>
          <w:szCs w:val="16"/>
        </w:rPr>
      </w:pPr>
      <w:r w:rsidRPr="003A0367">
        <w:rPr>
          <w:rFonts w:asciiTheme="majorHAnsi" w:eastAsiaTheme="majorEastAsia" w:hAnsiTheme="majorHAnsi" w:cstheme="majorBidi"/>
          <w:bCs/>
          <w:color w:val="000000" w:themeColor="text1"/>
          <w:sz w:val="16"/>
          <w:szCs w:val="16"/>
        </w:rPr>
        <w:t>Source: Department of Revenue (2018</w:t>
      </w:r>
      <w:r w:rsidR="00E1223A" w:rsidRPr="003A0367">
        <w:rPr>
          <w:rFonts w:asciiTheme="majorHAnsi" w:eastAsiaTheme="majorEastAsia" w:hAnsiTheme="majorHAnsi" w:cstheme="majorBidi"/>
          <w:bCs/>
          <w:color w:val="000000" w:themeColor="text1"/>
          <w:sz w:val="16"/>
          <w:szCs w:val="16"/>
        </w:rPr>
        <w:t xml:space="preserve"> </w:t>
      </w:r>
      <w:r w:rsidR="001F34DF">
        <w:rPr>
          <w:rFonts w:asciiTheme="majorHAnsi" w:eastAsiaTheme="majorEastAsia" w:hAnsiTheme="majorHAnsi" w:cstheme="majorBidi"/>
          <w:bCs/>
          <w:color w:val="000000" w:themeColor="text1"/>
          <w:sz w:val="16"/>
          <w:szCs w:val="16"/>
        </w:rPr>
        <w:t>corporate excise</w:t>
      </w:r>
      <w:r w:rsidR="00E1223A" w:rsidRPr="003A0367">
        <w:rPr>
          <w:rFonts w:asciiTheme="majorHAnsi" w:eastAsiaTheme="majorEastAsia" w:hAnsiTheme="majorHAnsi" w:cstheme="majorBidi"/>
          <w:bCs/>
          <w:color w:val="000000" w:themeColor="text1"/>
          <w:sz w:val="16"/>
          <w:szCs w:val="16"/>
        </w:rPr>
        <w:t xml:space="preserve"> return</w:t>
      </w:r>
      <w:r w:rsidR="001F34DF">
        <w:rPr>
          <w:rFonts w:asciiTheme="majorHAnsi" w:eastAsiaTheme="majorEastAsia" w:hAnsiTheme="majorHAnsi" w:cstheme="majorBidi"/>
          <w:bCs/>
          <w:color w:val="000000" w:themeColor="text1"/>
          <w:sz w:val="16"/>
          <w:szCs w:val="16"/>
        </w:rPr>
        <w:t>s</w:t>
      </w:r>
      <w:r w:rsidRPr="003A0367">
        <w:rPr>
          <w:rFonts w:asciiTheme="majorHAnsi" w:eastAsiaTheme="majorEastAsia" w:hAnsiTheme="majorHAnsi" w:cstheme="majorBidi"/>
          <w:bCs/>
          <w:color w:val="000000" w:themeColor="text1"/>
          <w:sz w:val="16"/>
          <w:szCs w:val="16"/>
        </w:rPr>
        <w:t>)</w:t>
      </w:r>
    </w:p>
    <w:p w14:paraId="130594FF" w14:textId="77777777" w:rsidR="00692DEF" w:rsidRPr="003A0367" w:rsidRDefault="00692DEF" w:rsidP="00692DEF">
      <w:pPr>
        <w:tabs>
          <w:tab w:val="left" w:pos="7050"/>
        </w:tabs>
        <w:spacing w:after="0"/>
        <w:rPr>
          <w:rFonts w:asciiTheme="majorHAnsi" w:eastAsiaTheme="majorEastAsia" w:hAnsiTheme="majorHAnsi" w:cstheme="majorBidi"/>
          <w:bCs/>
          <w:color w:val="000000" w:themeColor="text1"/>
          <w:sz w:val="16"/>
          <w:szCs w:val="16"/>
        </w:rPr>
      </w:pPr>
      <w:r w:rsidRPr="003A0367">
        <w:rPr>
          <w:rFonts w:asciiTheme="majorHAnsi" w:eastAsiaTheme="majorEastAsia" w:hAnsiTheme="majorHAnsi" w:cstheme="majorBidi"/>
          <w:bCs/>
          <w:color w:val="000000" w:themeColor="text1"/>
          <w:sz w:val="16"/>
          <w:szCs w:val="16"/>
        </w:rPr>
        <w:t>Note</w:t>
      </w:r>
      <w:r w:rsidR="00F7611E" w:rsidRPr="003A0367">
        <w:rPr>
          <w:rFonts w:asciiTheme="majorHAnsi" w:eastAsiaTheme="majorEastAsia" w:hAnsiTheme="majorHAnsi" w:cstheme="majorBidi"/>
          <w:bCs/>
          <w:color w:val="000000" w:themeColor="text1"/>
          <w:sz w:val="16"/>
          <w:szCs w:val="16"/>
        </w:rPr>
        <w:t>s</w:t>
      </w:r>
      <w:r w:rsidRPr="003A0367">
        <w:rPr>
          <w:rFonts w:asciiTheme="majorHAnsi" w:eastAsiaTheme="majorEastAsia" w:hAnsiTheme="majorHAnsi" w:cstheme="majorBidi"/>
          <w:bCs/>
          <w:color w:val="000000" w:themeColor="text1"/>
          <w:sz w:val="16"/>
          <w:szCs w:val="16"/>
        </w:rPr>
        <w:t xml:space="preserve">: </w:t>
      </w:r>
      <w:r w:rsidR="00F7611E" w:rsidRPr="003A0367">
        <w:rPr>
          <w:rFonts w:asciiTheme="majorHAnsi" w:eastAsiaTheme="majorEastAsia" w:hAnsiTheme="majorHAnsi" w:cstheme="majorBidi"/>
          <w:bCs/>
          <w:color w:val="000000" w:themeColor="text1"/>
          <w:sz w:val="16"/>
          <w:szCs w:val="16"/>
        </w:rPr>
        <w:t xml:space="preserve">1. </w:t>
      </w:r>
      <w:r w:rsidRPr="003A0367">
        <w:rPr>
          <w:rFonts w:asciiTheme="majorHAnsi" w:eastAsiaTheme="majorEastAsia" w:hAnsiTheme="majorHAnsi" w:cstheme="majorBidi"/>
          <w:bCs/>
          <w:color w:val="000000" w:themeColor="text1"/>
          <w:sz w:val="16"/>
          <w:szCs w:val="16"/>
        </w:rPr>
        <w:t xml:space="preserve">*Unmatched means that we could not find some taxpayers in one or more of data sets to match. </w:t>
      </w:r>
    </w:p>
    <w:p w14:paraId="5831AD83" w14:textId="77777777" w:rsidR="001F34DF" w:rsidRDefault="001F34DF" w:rsidP="00EB4657">
      <w:pPr>
        <w:spacing w:after="0"/>
        <w:rPr>
          <w:rFonts w:ascii="Cambria" w:eastAsia="Times New Roman" w:hAnsi="Cambria" w:cs="Helvetica"/>
          <w:color w:val="000000"/>
          <w:sz w:val="16"/>
          <w:szCs w:val="16"/>
          <w:lang w:eastAsia="ko-KR"/>
        </w:rPr>
      </w:pPr>
      <w:r>
        <w:rPr>
          <w:rFonts w:ascii="Cambria" w:eastAsia="Times New Roman" w:hAnsi="Cambria" w:cs="Helvetica"/>
          <w:color w:val="000000"/>
          <w:sz w:val="16"/>
          <w:szCs w:val="16"/>
          <w:lang w:eastAsia="ko-KR"/>
        </w:rPr>
        <w:t xml:space="preserve">             2. </w:t>
      </w:r>
      <w:r w:rsidR="00EB4657" w:rsidRPr="003A0367">
        <w:rPr>
          <w:rFonts w:ascii="Cambria" w:eastAsia="Times New Roman" w:hAnsi="Cambria" w:cs="Helvetica"/>
          <w:color w:val="000000"/>
          <w:sz w:val="16"/>
          <w:szCs w:val="16"/>
          <w:lang w:eastAsia="ko-KR"/>
        </w:rPr>
        <w:t xml:space="preserve">NOL </w:t>
      </w:r>
      <w:r w:rsidR="007D34AF" w:rsidRPr="003A0367">
        <w:rPr>
          <w:rFonts w:ascii="Cambria" w:eastAsia="Times New Roman" w:hAnsi="Cambria" w:cs="Helvetica"/>
          <w:color w:val="000000"/>
          <w:sz w:val="16"/>
          <w:szCs w:val="16"/>
          <w:lang w:eastAsia="ko-KR"/>
        </w:rPr>
        <w:t>denotes</w:t>
      </w:r>
      <w:r w:rsidR="00EB4657" w:rsidRPr="003A0367">
        <w:rPr>
          <w:rFonts w:ascii="Cambria" w:eastAsia="Times New Roman" w:hAnsi="Cambria" w:cs="Helvetica"/>
          <w:color w:val="000000"/>
          <w:sz w:val="16"/>
          <w:szCs w:val="16"/>
          <w:lang w:eastAsia="ko-KR"/>
        </w:rPr>
        <w:t xml:space="preserve"> Net Operating Loss</w:t>
      </w:r>
      <w:r w:rsidR="00F7611E" w:rsidRPr="003A0367">
        <w:rPr>
          <w:rFonts w:ascii="Cambria" w:eastAsia="Times New Roman" w:hAnsi="Cambria" w:cs="Helvetica"/>
          <w:color w:val="000000"/>
          <w:sz w:val="16"/>
          <w:szCs w:val="16"/>
          <w:lang w:eastAsia="ko-KR"/>
        </w:rPr>
        <w:t xml:space="preserve">. </w:t>
      </w:r>
    </w:p>
    <w:p w14:paraId="04DA613F" w14:textId="77777777" w:rsidR="00EB4657" w:rsidRPr="003A0367" w:rsidRDefault="001F34DF" w:rsidP="00EB4657">
      <w:pPr>
        <w:spacing w:after="0"/>
        <w:rPr>
          <w:rFonts w:ascii="Cambria" w:eastAsia="Times New Roman" w:hAnsi="Cambria" w:cs="Helvetica"/>
          <w:color w:val="000000"/>
          <w:sz w:val="16"/>
          <w:szCs w:val="16"/>
          <w:lang w:eastAsia="ko-KR"/>
        </w:rPr>
      </w:pPr>
      <w:r>
        <w:rPr>
          <w:rFonts w:ascii="Cambria" w:eastAsia="Times New Roman" w:hAnsi="Cambria" w:cs="Helvetica"/>
          <w:color w:val="000000"/>
          <w:sz w:val="16"/>
          <w:szCs w:val="16"/>
          <w:lang w:eastAsia="ko-KR"/>
        </w:rPr>
        <w:t xml:space="preserve">             3</w:t>
      </w:r>
      <w:r w:rsidR="00F7611E" w:rsidRPr="003A0367">
        <w:rPr>
          <w:rFonts w:ascii="Cambria" w:eastAsia="Times New Roman" w:hAnsi="Cambria" w:cs="Helvetica"/>
          <w:color w:val="000000"/>
          <w:sz w:val="16"/>
          <w:szCs w:val="16"/>
          <w:lang w:eastAsia="ko-KR"/>
        </w:rPr>
        <w:t xml:space="preserve">. The data is preliminary and subject to </w:t>
      </w:r>
      <w:r>
        <w:rPr>
          <w:rFonts w:ascii="Cambria" w:eastAsia="Times New Roman" w:hAnsi="Cambria" w:cs="Helvetica"/>
          <w:color w:val="000000"/>
          <w:sz w:val="16"/>
          <w:szCs w:val="16"/>
          <w:lang w:eastAsia="ko-KR"/>
        </w:rPr>
        <w:t>change</w:t>
      </w:r>
      <w:r w:rsidR="00F7611E" w:rsidRPr="003A0367">
        <w:rPr>
          <w:rFonts w:ascii="Cambria" w:eastAsia="Times New Roman" w:hAnsi="Cambria" w:cs="Helvetica"/>
          <w:color w:val="000000"/>
          <w:sz w:val="16"/>
          <w:szCs w:val="16"/>
          <w:lang w:eastAsia="ko-KR"/>
        </w:rPr>
        <w:t>.</w:t>
      </w:r>
    </w:p>
    <w:p w14:paraId="48D15B85" w14:textId="77777777" w:rsidR="0036505F" w:rsidRDefault="0036505F" w:rsidP="00291074">
      <w:pPr>
        <w:spacing w:after="0"/>
        <w:rPr>
          <w:rFonts w:asciiTheme="majorHAnsi" w:eastAsiaTheme="majorEastAsia" w:hAnsiTheme="majorHAnsi" w:cstheme="majorBidi"/>
          <w:bCs/>
          <w:color w:val="000000" w:themeColor="text1"/>
          <w:sz w:val="24"/>
          <w:szCs w:val="24"/>
        </w:rPr>
      </w:pPr>
    </w:p>
    <w:p w14:paraId="22B0C88C" w14:textId="77777777" w:rsidR="000C0B17" w:rsidRDefault="000C0B17" w:rsidP="00291074">
      <w:pPr>
        <w:spacing w:after="0"/>
        <w:rPr>
          <w:rFonts w:asciiTheme="majorHAnsi" w:eastAsiaTheme="majorEastAsia" w:hAnsiTheme="majorHAnsi" w:cstheme="majorBidi"/>
          <w:bCs/>
          <w:color w:val="000000" w:themeColor="text1"/>
          <w:sz w:val="24"/>
          <w:szCs w:val="24"/>
        </w:rPr>
      </w:pPr>
    </w:p>
    <w:p w14:paraId="730A646B" w14:textId="77777777" w:rsidR="00610020" w:rsidRPr="00A07439" w:rsidRDefault="00610020" w:rsidP="00610020">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70BB5A99" w14:textId="77777777" w:rsidR="00934AE2" w:rsidRDefault="00934AE2" w:rsidP="00934AE2">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reported the direct costs (to the Commonwealth, or to the residents and businesses who ultimately bear the costs when the Commonwealth cuts government spending or increase</w:t>
      </w:r>
      <w:r w:rsidR="00746248">
        <w:rPr>
          <w:rFonts w:asciiTheme="majorHAnsi" w:hAnsiTheme="majorHAnsi"/>
          <w:bCs/>
          <w:sz w:val="24"/>
          <w:szCs w:val="24"/>
        </w:rPr>
        <w:t>s</w:t>
      </w:r>
      <w:r>
        <w:rPr>
          <w:rFonts w:asciiTheme="majorHAnsi" w:hAnsiTheme="majorHAnsi"/>
          <w:bCs/>
          <w:sz w:val="24"/>
          <w:szCs w:val="24"/>
        </w:rPr>
        <w:t xml:space="preserve"> tax to finance the </w:t>
      </w:r>
      <w:r w:rsidR="00E353C3">
        <w:rPr>
          <w:rFonts w:asciiTheme="majorHAnsi" w:hAnsiTheme="majorHAnsi"/>
          <w:bCs/>
          <w:sz w:val="24"/>
          <w:szCs w:val="24"/>
        </w:rPr>
        <w:t>NOL deduction</w:t>
      </w:r>
      <w:r>
        <w:rPr>
          <w:rFonts w:asciiTheme="majorHAnsi" w:hAnsiTheme="majorHAnsi"/>
          <w:bCs/>
          <w:sz w:val="24"/>
          <w:szCs w:val="24"/>
        </w:rPr>
        <w:t>) and direct benefits (to taxpayers who claim the benefits) of this tax expenditure. Since the direct costs to the Commonwealth are the direct benefits to taxpayers, they are equal.</w:t>
      </w:r>
    </w:p>
    <w:p w14:paraId="5E8F97FE" w14:textId="77777777" w:rsidR="00934AE2" w:rsidRDefault="00934AE2" w:rsidP="00934AE2">
      <w:pPr>
        <w:tabs>
          <w:tab w:val="left" w:pos="7050"/>
        </w:tabs>
        <w:spacing w:after="0"/>
        <w:rPr>
          <w:rFonts w:asciiTheme="majorHAnsi" w:hAnsiTheme="majorHAnsi"/>
          <w:bCs/>
          <w:sz w:val="24"/>
          <w:szCs w:val="24"/>
        </w:rPr>
      </w:pPr>
    </w:p>
    <w:p w14:paraId="45C6C137" w14:textId="77777777" w:rsidR="00934AE2" w:rsidRDefault="00934AE2" w:rsidP="00934AE2">
      <w:pPr>
        <w:tabs>
          <w:tab w:val="left" w:pos="7050"/>
        </w:tabs>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t>However, when looking at the broader economy, there are, in addition to direct impacts, indirect and induced impacts on other residents and businesses in Massachusetts. See the appendix for more discussion.</w:t>
      </w:r>
    </w:p>
    <w:p w14:paraId="74EF41EE" w14:textId="77777777" w:rsidR="00934AE2" w:rsidRDefault="00934AE2" w:rsidP="00934AE2">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 </w:t>
      </w:r>
    </w:p>
    <w:p w14:paraId="19C13755" w14:textId="77777777" w:rsidR="00934AE2" w:rsidRDefault="00934AE2" w:rsidP="00934AE2">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lastRenderedPageBreak/>
        <w:t xml:space="preserve">To </w:t>
      </w:r>
      <w:r>
        <w:rPr>
          <w:rFonts w:asciiTheme="majorHAnsi" w:eastAsiaTheme="majorEastAsia" w:hAnsiTheme="majorHAnsi" w:cstheme="majorBidi"/>
          <w:bCs/>
          <w:color w:val="000000" w:themeColor="text1"/>
          <w:sz w:val="24"/>
          <w:szCs w:val="24"/>
        </w:rPr>
        <w:t>determine the net impact of the tax expenditure, i.e., the total benefits (including direct, indirect and induced benefits) offset by the total costs (including direct, indirect and induced costs)</w:t>
      </w:r>
      <w:r w:rsidRPr="00DF1213">
        <w:rPr>
          <w:rFonts w:asciiTheme="majorHAnsi" w:eastAsiaTheme="majorEastAsia" w:hAnsiTheme="majorHAnsi" w:cstheme="majorBidi"/>
          <w:bCs/>
          <w:color w:val="000000" w:themeColor="text1"/>
          <w:sz w:val="24"/>
          <w:szCs w:val="24"/>
        </w:rPr>
        <w:t xml:space="preserve">, we employed </w:t>
      </w:r>
      <w:r>
        <w:rPr>
          <w:rFonts w:asciiTheme="majorHAnsi" w:eastAsiaTheme="majorEastAsia" w:hAnsiTheme="majorHAnsi" w:cstheme="majorBidi"/>
          <w:bCs/>
          <w:color w:val="000000" w:themeColor="text1"/>
          <w:sz w:val="24"/>
          <w:szCs w:val="24"/>
        </w:rPr>
        <w:t>the model of “</w:t>
      </w:r>
      <w:r w:rsidRPr="00DF1213">
        <w:rPr>
          <w:rFonts w:asciiTheme="majorHAnsi" w:eastAsiaTheme="majorEastAsia" w:hAnsiTheme="majorHAnsi" w:cstheme="majorBidi"/>
          <w:bCs/>
          <w:color w:val="000000" w:themeColor="text1"/>
          <w:sz w:val="24"/>
          <w:szCs w:val="24"/>
        </w:rPr>
        <w:t>Tax-PI</w:t>
      </w:r>
      <w:r>
        <w:rPr>
          <w:rFonts w:asciiTheme="majorHAnsi" w:eastAsiaTheme="majorEastAsia" w:hAnsiTheme="majorHAnsi" w:cstheme="majorBidi"/>
          <w:bCs/>
          <w:color w:val="000000" w:themeColor="text1"/>
          <w:sz w:val="24"/>
          <w:szCs w:val="24"/>
        </w:rPr>
        <w:t>” developed by Regional Economic Models Incorporated (“REMI”).</w:t>
      </w:r>
      <w:r>
        <w:rPr>
          <w:rStyle w:val="FootnoteReference"/>
          <w:rFonts w:asciiTheme="majorHAnsi" w:eastAsiaTheme="majorEastAsia" w:hAnsiTheme="majorHAnsi"/>
          <w:bCs/>
          <w:color w:val="000000" w:themeColor="text1"/>
          <w:sz w:val="24"/>
          <w:szCs w:val="24"/>
        </w:rPr>
        <w:footnoteReference w:id="2"/>
      </w:r>
      <w:r>
        <w:rPr>
          <w:rFonts w:asciiTheme="majorHAnsi" w:eastAsiaTheme="majorEastAsia" w:hAnsiTheme="majorHAnsi" w:cstheme="majorBidi"/>
          <w:bCs/>
          <w:color w:val="000000" w:themeColor="text1"/>
          <w:sz w:val="24"/>
          <w:szCs w:val="24"/>
        </w:rPr>
        <w:t xml:space="preserve">  See the appendix for details.</w:t>
      </w:r>
    </w:p>
    <w:p w14:paraId="247472B3" w14:textId="77777777" w:rsidR="00F904DB" w:rsidRDefault="00F904DB" w:rsidP="00934AE2">
      <w:pPr>
        <w:spacing w:after="0"/>
        <w:rPr>
          <w:rFonts w:asciiTheme="majorHAnsi" w:hAnsiTheme="majorHAnsi"/>
          <w:bCs/>
          <w:sz w:val="24"/>
          <w:szCs w:val="23"/>
        </w:rPr>
      </w:pPr>
    </w:p>
    <w:p w14:paraId="2261070F" w14:textId="77777777" w:rsidR="0069275D" w:rsidRDefault="00934AE2" w:rsidP="00E00BFA">
      <w:pPr>
        <w:tabs>
          <w:tab w:val="left" w:pos="7050"/>
        </w:tabs>
        <w:spacing w:after="0"/>
        <w:rPr>
          <w:rFonts w:asciiTheme="majorHAnsi" w:hAnsiTheme="majorHAnsi"/>
          <w:bCs/>
          <w:sz w:val="24"/>
          <w:szCs w:val="23"/>
        </w:rPr>
      </w:pPr>
      <w:r>
        <w:rPr>
          <w:rFonts w:asciiTheme="majorHAnsi" w:hAnsiTheme="majorHAnsi"/>
          <w:bCs/>
          <w:sz w:val="24"/>
          <w:szCs w:val="23"/>
        </w:rPr>
        <w:t xml:space="preserve">The estimated net impact of the tax expenditure for fiscal years 2018 through 2022 are shown in </w:t>
      </w:r>
      <w:r w:rsidRPr="00A76DAE">
        <w:rPr>
          <w:rFonts w:asciiTheme="majorHAnsi" w:hAnsiTheme="majorHAnsi"/>
          <w:bCs/>
          <w:sz w:val="24"/>
          <w:szCs w:val="23"/>
        </w:rPr>
        <w:t xml:space="preserve">Tables </w:t>
      </w:r>
      <w:r w:rsidR="00E353C3">
        <w:rPr>
          <w:rFonts w:asciiTheme="majorHAnsi" w:hAnsiTheme="majorHAnsi"/>
          <w:bCs/>
          <w:sz w:val="24"/>
          <w:szCs w:val="23"/>
        </w:rPr>
        <w:t>8</w:t>
      </w:r>
      <w:r w:rsidRPr="00A76DAE">
        <w:rPr>
          <w:rFonts w:asciiTheme="majorHAnsi" w:hAnsiTheme="majorHAnsi"/>
          <w:bCs/>
          <w:sz w:val="24"/>
          <w:szCs w:val="23"/>
        </w:rPr>
        <w:t xml:space="preserve"> and </w:t>
      </w:r>
      <w:r w:rsidR="00E353C3">
        <w:rPr>
          <w:rFonts w:asciiTheme="majorHAnsi" w:hAnsiTheme="majorHAnsi"/>
          <w:bCs/>
          <w:sz w:val="24"/>
          <w:szCs w:val="23"/>
        </w:rPr>
        <w:t>9</w:t>
      </w:r>
      <w:r>
        <w:rPr>
          <w:rFonts w:asciiTheme="majorHAnsi" w:hAnsiTheme="majorHAnsi"/>
          <w:bCs/>
          <w:sz w:val="24"/>
          <w:szCs w:val="23"/>
        </w:rPr>
        <w:t>.  As</w:t>
      </w:r>
      <w:r w:rsidRPr="00A76DAE">
        <w:rPr>
          <w:rFonts w:asciiTheme="majorHAnsi" w:hAnsiTheme="majorHAnsi"/>
          <w:bCs/>
          <w:sz w:val="24"/>
          <w:szCs w:val="23"/>
        </w:rPr>
        <w:t xml:space="preserve"> show</w:t>
      </w:r>
      <w:r>
        <w:rPr>
          <w:rFonts w:asciiTheme="majorHAnsi" w:hAnsiTheme="majorHAnsi"/>
          <w:bCs/>
          <w:sz w:val="24"/>
          <w:szCs w:val="23"/>
        </w:rPr>
        <w:t>n,</w:t>
      </w:r>
      <w:r w:rsidRPr="00A76DAE">
        <w:rPr>
          <w:rFonts w:asciiTheme="majorHAnsi" w:hAnsiTheme="majorHAnsi"/>
          <w:bCs/>
          <w:sz w:val="24"/>
          <w:szCs w:val="23"/>
        </w:rPr>
        <w:t xml:space="preserve"> the </w:t>
      </w:r>
      <w:r w:rsidR="00E353C3">
        <w:rPr>
          <w:rFonts w:asciiTheme="majorHAnsi" w:hAnsiTheme="majorHAnsi"/>
          <w:bCs/>
          <w:sz w:val="24"/>
          <w:szCs w:val="23"/>
        </w:rPr>
        <w:t>NOL deduction</w:t>
      </w:r>
      <w:r w:rsidRPr="00A76DAE">
        <w:rPr>
          <w:rFonts w:asciiTheme="majorHAnsi" w:hAnsiTheme="majorHAnsi"/>
          <w:bCs/>
          <w:sz w:val="24"/>
          <w:szCs w:val="23"/>
        </w:rPr>
        <w:t xml:space="preserve"> combined with a cut in state government spending results in less economic </w:t>
      </w:r>
      <w:r w:rsidR="00746248" w:rsidRPr="00A76DAE">
        <w:rPr>
          <w:rFonts w:asciiTheme="majorHAnsi" w:hAnsiTheme="majorHAnsi"/>
          <w:bCs/>
          <w:sz w:val="24"/>
          <w:szCs w:val="23"/>
        </w:rPr>
        <w:t>activit</w:t>
      </w:r>
      <w:r w:rsidR="00746248">
        <w:rPr>
          <w:rFonts w:asciiTheme="majorHAnsi" w:hAnsiTheme="majorHAnsi"/>
          <w:bCs/>
          <w:sz w:val="24"/>
          <w:szCs w:val="23"/>
        </w:rPr>
        <w:t>y</w:t>
      </w:r>
      <w:r w:rsidRPr="00A76DAE">
        <w:rPr>
          <w:rFonts w:asciiTheme="majorHAnsi" w:hAnsiTheme="majorHAnsi"/>
          <w:bCs/>
          <w:sz w:val="24"/>
          <w:szCs w:val="23"/>
        </w:rPr>
        <w:t>, with real state GDP decreasing</w:t>
      </w:r>
      <w:r>
        <w:rPr>
          <w:rFonts w:asciiTheme="majorHAnsi" w:hAnsiTheme="majorHAnsi"/>
          <w:bCs/>
          <w:sz w:val="24"/>
          <w:szCs w:val="23"/>
        </w:rPr>
        <w:t xml:space="preserve"> by $</w:t>
      </w:r>
      <w:r w:rsidR="00F61218">
        <w:rPr>
          <w:rFonts w:asciiTheme="majorHAnsi" w:hAnsiTheme="majorHAnsi"/>
          <w:bCs/>
          <w:sz w:val="24"/>
          <w:szCs w:val="23"/>
        </w:rPr>
        <w:t>96</w:t>
      </w:r>
      <w:r>
        <w:rPr>
          <w:rFonts w:asciiTheme="majorHAnsi" w:hAnsiTheme="majorHAnsi"/>
          <w:bCs/>
          <w:sz w:val="24"/>
          <w:szCs w:val="23"/>
        </w:rPr>
        <w:t xml:space="preserve"> million-</w:t>
      </w:r>
      <w:r w:rsidRPr="00A76DAE">
        <w:rPr>
          <w:rFonts w:asciiTheme="majorHAnsi" w:hAnsiTheme="majorHAnsi"/>
          <w:bCs/>
          <w:sz w:val="24"/>
          <w:szCs w:val="23"/>
        </w:rPr>
        <w:t>$</w:t>
      </w:r>
      <w:r w:rsidR="00F61218">
        <w:rPr>
          <w:rFonts w:asciiTheme="majorHAnsi" w:hAnsiTheme="majorHAnsi"/>
          <w:bCs/>
          <w:sz w:val="24"/>
          <w:szCs w:val="23"/>
        </w:rPr>
        <w:t>147</w:t>
      </w:r>
      <w:r w:rsidRPr="00A76DAE">
        <w:rPr>
          <w:rFonts w:asciiTheme="majorHAnsi" w:hAnsiTheme="majorHAnsi"/>
          <w:bCs/>
          <w:sz w:val="24"/>
          <w:szCs w:val="23"/>
        </w:rPr>
        <w:t xml:space="preserve"> million. The net impact on total employment is negative</w:t>
      </w:r>
      <w:r>
        <w:rPr>
          <w:rFonts w:asciiTheme="majorHAnsi" w:hAnsiTheme="majorHAnsi"/>
          <w:bCs/>
          <w:sz w:val="24"/>
          <w:szCs w:val="23"/>
        </w:rPr>
        <w:t>,</w:t>
      </w:r>
      <w:r w:rsidRPr="00A76DAE">
        <w:rPr>
          <w:rFonts w:asciiTheme="majorHAnsi" w:hAnsiTheme="majorHAnsi"/>
          <w:bCs/>
          <w:sz w:val="24"/>
          <w:szCs w:val="23"/>
        </w:rPr>
        <w:t xml:space="preserve"> decreasing </w:t>
      </w:r>
      <w:r>
        <w:rPr>
          <w:rFonts w:asciiTheme="majorHAnsi" w:hAnsiTheme="majorHAnsi"/>
          <w:bCs/>
          <w:sz w:val="24"/>
          <w:szCs w:val="23"/>
        </w:rPr>
        <w:t xml:space="preserve">by </w:t>
      </w:r>
      <w:r w:rsidR="00F61218">
        <w:rPr>
          <w:rFonts w:asciiTheme="majorHAnsi" w:hAnsiTheme="majorHAnsi"/>
          <w:bCs/>
          <w:sz w:val="24"/>
          <w:szCs w:val="23"/>
        </w:rPr>
        <w:t>1,529 – 2,005</w:t>
      </w:r>
      <w:r w:rsidR="00F61218" w:rsidRPr="000C715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w:t>
      </w:r>
      <w:r>
        <w:rPr>
          <w:rFonts w:asciiTheme="majorHAnsi" w:hAnsiTheme="majorHAnsi"/>
          <w:bCs/>
          <w:sz w:val="24"/>
          <w:szCs w:val="23"/>
        </w:rPr>
        <w:t xml:space="preserve">net additional </w:t>
      </w:r>
      <w:r w:rsidRPr="00A76DAE">
        <w:rPr>
          <w:rFonts w:asciiTheme="majorHAnsi" w:hAnsiTheme="majorHAnsi"/>
          <w:bCs/>
          <w:sz w:val="24"/>
          <w:szCs w:val="23"/>
        </w:rPr>
        <w:t xml:space="preserve">impact on </w:t>
      </w:r>
      <w:r>
        <w:rPr>
          <w:rFonts w:asciiTheme="majorHAnsi" w:hAnsiTheme="majorHAnsi"/>
          <w:bCs/>
          <w:sz w:val="24"/>
          <w:szCs w:val="23"/>
        </w:rPr>
        <w:t xml:space="preserve">state </w:t>
      </w:r>
      <w:r w:rsidRPr="00A76DAE">
        <w:rPr>
          <w:rFonts w:asciiTheme="majorHAnsi" w:hAnsiTheme="majorHAnsi"/>
          <w:bCs/>
          <w:sz w:val="24"/>
          <w:szCs w:val="23"/>
        </w:rPr>
        <w:t>revenues</w:t>
      </w:r>
      <w:r>
        <w:rPr>
          <w:rStyle w:val="FootnoteReference"/>
          <w:rFonts w:asciiTheme="majorHAnsi" w:hAnsiTheme="majorHAnsi"/>
          <w:bCs/>
          <w:sz w:val="24"/>
          <w:szCs w:val="23"/>
        </w:rPr>
        <w:footnoteReference w:id="3"/>
      </w:r>
      <w:r w:rsidRPr="00A76DAE">
        <w:rPr>
          <w:rFonts w:asciiTheme="majorHAnsi" w:hAnsiTheme="majorHAnsi"/>
          <w:bCs/>
          <w:sz w:val="24"/>
          <w:szCs w:val="23"/>
        </w:rPr>
        <w:t xml:space="preserve">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00F61218" w:rsidRPr="000C715E">
        <w:rPr>
          <w:rFonts w:asciiTheme="majorHAnsi" w:hAnsiTheme="majorHAnsi"/>
          <w:bCs/>
          <w:sz w:val="24"/>
          <w:szCs w:val="23"/>
        </w:rPr>
        <w:t>$</w:t>
      </w:r>
      <w:r w:rsidR="00F61218">
        <w:rPr>
          <w:rFonts w:asciiTheme="majorHAnsi" w:hAnsiTheme="majorHAnsi"/>
          <w:bCs/>
          <w:sz w:val="24"/>
          <w:szCs w:val="23"/>
        </w:rPr>
        <w:t>3.</w:t>
      </w:r>
      <w:r w:rsidR="00F61218" w:rsidRPr="000C715E">
        <w:rPr>
          <w:rFonts w:asciiTheme="majorHAnsi" w:hAnsiTheme="majorHAnsi"/>
          <w:bCs/>
          <w:sz w:val="24"/>
          <w:szCs w:val="23"/>
        </w:rPr>
        <w:t>0 million to $</w:t>
      </w:r>
      <w:r w:rsidR="00F61218">
        <w:rPr>
          <w:rFonts w:asciiTheme="majorHAnsi" w:hAnsiTheme="majorHAnsi"/>
          <w:bCs/>
          <w:sz w:val="24"/>
          <w:szCs w:val="23"/>
        </w:rPr>
        <w:t>6.3</w:t>
      </w:r>
      <w:r w:rsidR="00F61218" w:rsidRPr="000C715E">
        <w:rPr>
          <w:rFonts w:asciiTheme="majorHAnsi" w:hAnsiTheme="majorHAnsi"/>
          <w:bCs/>
          <w:sz w:val="24"/>
          <w:szCs w:val="23"/>
        </w:rPr>
        <w:t xml:space="preserve"> </w:t>
      </w:r>
      <w:r w:rsidRPr="00A76DAE">
        <w:rPr>
          <w:rFonts w:asciiTheme="majorHAnsi" w:hAnsiTheme="majorHAnsi"/>
          <w:bCs/>
          <w:sz w:val="24"/>
          <w:szCs w:val="23"/>
        </w:rPr>
        <w:t>million annually.</w:t>
      </w:r>
    </w:p>
    <w:p w14:paraId="7F588F9B" w14:textId="77777777" w:rsidR="005F0335" w:rsidRDefault="005F0335" w:rsidP="00E00BFA">
      <w:pPr>
        <w:tabs>
          <w:tab w:val="left" w:pos="7050"/>
        </w:tabs>
        <w:spacing w:after="0"/>
        <w:rPr>
          <w:rFonts w:asciiTheme="majorHAnsi" w:hAnsiTheme="majorHAnsi"/>
          <w:bCs/>
          <w:sz w:val="24"/>
          <w:szCs w:val="23"/>
        </w:rPr>
      </w:pPr>
    </w:p>
    <w:p w14:paraId="038A2041" w14:textId="77777777" w:rsidR="00F904DB" w:rsidRDefault="00F904DB" w:rsidP="00F904DB">
      <w:pPr>
        <w:tabs>
          <w:tab w:val="left" w:pos="7050"/>
        </w:tabs>
        <w:spacing w:after="0"/>
        <w:rPr>
          <w:rFonts w:asciiTheme="majorHAnsi" w:hAnsiTheme="majorHAnsi"/>
          <w:bCs/>
          <w:sz w:val="24"/>
          <w:szCs w:val="23"/>
        </w:rPr>
      </w:pPr>
      <w:r w:rsidRPr="002F4285">
        <w:rPr>
          <w:rFonts w:asciiTheme="majorHAnsi" w:hAnsiTheme="majorHAnsi"/>
          <w:bCs/>
          <w:sz w:val="24"/>
          <w:szCs w:val="24"/>
        </w:rPr>
        <w:t>Because the tax expenditure has its own specific purpose, the net negative impacts do not necessarily imply that the tax expenditure is not desirable. T</w:t>
      </w:r>
      <w:r w:rsidRPr="002F4285">
        <w:rPr>
          <w:rFonts w:asciiTheme="majorHAnsi" w:eastAsiaTheme="majorEastAsia" w:hAnsiTheme="majorHAnsi" w:cstheme="majorBidi"/>
          <w:bCs/>
          <w:color w:val="000000" w:themeColor="text1"/>
          <w:sz w:val="24"/>
          <w:szCs w:val="24"/>
        </w:rPr>
        <w:t xml:space="preserve">he statute does not explicitly state the purpose of this tax expenditure; however, </w:t>
      </w:r>
      <w:r w:rsidRPr="008971BB">
        <w:rPr>
          <w:rFonts w:asciiTheme="majorHAnsi" w:eastAsiaTheme="majorEastAsia" w:hAnsiTheme="majorHAnsi" w:cstheme="majorBidi"/>
          <w:bCs/>
          <w:color w:val="000000" w:themeColor="text1"/>
          <w:sz w:val="24"/>
          <w:szCs w:val="24"/>
        </w:rPr>
        <w:t>we assume that the purpose is to</w:t>
      </w:r>
      <w:r w:rsidRPr="008971BB">
        <w:rPr>
          <w:rFonts w:asciiTheme="majorHAnsi" w:hAnsiTheme="majorHAnsi"/>
          <w:bCs/>
          <w:sz w:val="24"/>
          <w:szCs w:val="23"/>
        </w:rPr>
        <w:t xml:space="preserve"> </w:t>
      </w:r>
      <w:r w:rsidRPr="008971BB">
        <w:rPr>
          <w:rFonts w:asciiTheme="majorHAnsi" w:eastAsiaTheme="majorEastAsia" w:hAnsiTheme="majorHAnsi" w:cstheme="majorBidi"/>
          <w:bCs/>
          <w:color w:val="000000" w:themeColor="text1"/>
          <w:sz w:val="24"/>
          <w:szCs w:val="24"/>
        </w:rPr>
        <w:t>smooth over the effects of economic and business cycles on corporate taxes over multiple tax years</w:t>
      </w:r>
      <w:r w:rsidRPr="008971BB">
        <w:rPr>
          <w:rFonts w:asciiTheme="majorHAnsi" w:hAnsiTheme="majorHAnsi"/>
          <w:bCs/>
          <w:sz w:val="24"/>
          <w:szCs w:val="23"/>
        </w:rPr>
        <w:t xml:space="preserve"> as described above</w:t>
      </w:r>
      <w:r w:rsidRPr="002F4285">
        <w:rPr>
          <w:rFonts w:asciiTheme="majorHAnsi" w:hAnsiTheme="majorHAnsi"/>
          <w:bCs/>
          <w:sz w:val="24"/>
          <w:szCs w:val="23"/>
        </w:rPr>
        <w:t>.</w:t>
      </w:r>
    </w:p>
    <w:p w14:paraId="6504034D" w14:textId="77777777" w:rsidR="00F904DB" w:rsidRDefault="00F904DB" w:rsidP="00D555D6">
      <w:pPr>
        <w:tabs>
          <w:tab w:val="left" w:pos="7050"/>
        </w:tabs>
        <w:spacing w:after="0"/>
        <w:rPr>
          <w:rFonts w:asciiTheme="majorHAnsi" w:hAnsiTheme="majorHAnsi"/>
          <w:bCs/>
          <w:sz w:val="24"/>
          <w:szCs w:val="23"/>
        </w:rPr>
      </w:pPr>
    </w:p>
    <w:p w14:paraId="65FF88D2" w14:textId="77777777" w:rsidR="00DC615D" w:rsidRDefault="00DC615D" w:rsidP="00D555D6">
      <w:pPr>
        <w:tabs>
          <w:tab w:val="left" w:pos="7050"/>
        </w:tabs>
        <w:spacing w:after="0"/>
        <w:rPr>
          <w:rFonts w:asciiTheme="majorHAnsi" w:hAnsiTheme="majorHAnsi"/>
          <w:bCs/>
          <w:sz w:val="24"/>
          <w:szCs w:val="23"/>
        </w:rPr>
      </w:pPr>
    </w:p>
    <w:p w14:paraId="1730D70E" w14:textId="77777777" w:rsidR="00DC615D" w:rsidRDefault="00DC615D" w:rsidP="00D555D6">
      <w:pPr>
        <w:spacing w:after="0"/>
        <w:jc w:val="center"/>
        <w:rPr>
          <w:rFonts w:asciiTheme="majorHAnsi" w:eastAsiaTheme="majorEastAsia" w:hAnsiTheme="majorHAnsi" w:cstheme="majorBidi"/>
          <w:bCs/>
          <w:color w:val="000000" w:themeColor="text1"/>
          <w:sz w:val="24"/>
          <w:szCs w:val="24"/>
        </w:rPr>
      </w:pPr>
      <w:r>
        <w:rPr>
          <w:rFonts w:asciiTheme="majorHAnsi" w:hAnsiTheme="majorHAnsi"/>
          <w:b/>
          <w:sz w:val="24"/>
          <w:szCs w:val="24"/>
        </w:rPr>
        <w:t xml:space="preserve">Table </w:t>
      </w:r>
      <w:r w:rsidR="00E03A10">
        <w:rPr>
          <w:rFonts w:asciiTheme="majorHAnsi" w:hAnsiTheme="majorHAnsi"/>
          <w:b/>
          <w:sz w:val="24"/>
          <w:szCs w:val="24"/>
        </w:rPr>
        <w:t>8</w:t>
      </w:r>
      <w:r>
        <w:rPr>
          <w:rFonts w:asciiTheme="majorHAnsi" w:hAnsiTheme="majorHAnsi"/>
          <w:b/>
          <w:sz w:val="24"/>
          <w:szCs w:val="24"/>
        </w:rPr>
        <w:t xml:space="preserve">. Net Additional Revenue Impact of </w:t>
      </w:r>
      <w:r w:rsidR="00E03A10">
        <w:rPr>
          <w:rFonts w:asciiTheme="majorHAnsi" w:hAnsiTheme="majorHAnsi"/>
          <w:b/>
          <w:sz w:val="24"/>
          <w:szCs w:val="24"/>
        </w:rPr>
        <w:t>NOL Deduction*</w:t>
      </w:r>
      <w:r>
        <w:rPr>
          <w:rFonts w:asciiTheme="majorHAnsi" w:hAnsiTheme="majorHAnsi"/>
          <w:b/>
          <w:sz w:val="24"/>
          <w:szCs w:val="24"/>
        </w:rPr>
        <w:t xml:space="preserve"> </w:t>
      </w:r>
    </w:p>
    <w:tbl>
      <w:tblPr>
        <w:tblW w:w="9308" w:type="dxa"/>
        <w:tblLook w:val="04A0" w:firstRow="1" w:lastRow="0" w:firstColumn="1" w:lastColumn="0" w:noHBand="0" w:noVBand="1"/>
      </w:tblPr>
      <w:tblGrid>
        <w:gridCol w:w="3502"/>
        <w:gridCol w:w="1162"/>
        <w:gridCol w:w="1161"/>
        <w:gridCol w:w="1161"/>
        <w:gridCol w:w="1161"/>
        <w:gridCol w:w="1161"/>
      </w:tblGrid>
      <w:tr w:rsidR="00DC615D" w:rsidRPr="004261A0" w14:paraId="51825D6E" w14:textId="77777777" w:rsidTr="006B5573">
        <w:trPr>
          <w:trHeight w:val="500"/>
        </w:trPr>
        <w:tc>
          <w:tcPr>
            <w:tcW w:w="26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7B6E3BD" w14:textId="77777777" w:rsidR="00DC615D" w:rsidRPr="004261A0" w:rsidRDefault="00DC615D" w:rsidP="00D555D6">
            <w:pPr>
              <w:spacing w:after="0" w:line="240" w:lineRule="auto"/>
              <w:jc w:val="center"/>
              <w:rPr>
                <w:rFonts w:ascii="Cambria" w:eastAsia="Times New Roman" w:hAnsi="Cambria" w:cs="Helvetica"/>
                <w:sz w:val="20"/>
                <w:szCs w:val="20"/>
                <w:lang w:eastAsia="ko-KR"/>
              </w:rPr>
            </w:pPr>
            <w:r w:rsidRPr="004261A0">
              <w:rPr>
                <w:rFonts w:ascii="Cambria" w:eastAsia="Times New Roman" w:hAnsi="Cambria" w:cs="Helvetica"/>
                <w:sz w:val="20"/>
                <w:szCs w:val="20"/>
                <w:lang w:eastAsia="ko-KR"/>
              </w:rPr>
              <w:t>Fiscal Year</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4E4BB794" w14:textId="77777777" w:rsidR="00DC615D" w:rsidRPr="004261A0" w:rsidRDefault="00DC615D" w:rsidP="00D555D6">
            <w:pPr>
              <w:spacing w:after="0" w:line="240" w:lineRule="auto"/>
              <w:jc w:val="center"/>
              <w:rPr>
                <w:rFonts w:ascii="Cambria" w:eastAsia="Times New Roman" w:hAnsi="Cambria" w:cs="Helvetica"/>
                <w:sz w:val="20"/>
                <w:szCs w:val="20"/>
                <w:lang w:eastAsia="ko-KR"/>
              </w:rPr>
            </w:pPr>
            <w:r w:rsidRPr="004261A0">
              <w:rPr>
                <w:rFonts w:ascii="Cambria" w:eastAsia="Times New Roman" w:hAnsi="Cambria" w:cs="Helvetica"/>
                <w:sz w:val="20"/>
                <w:szCs w:val="20"/>
                <w:lang w:eastAsia="ko-KR"/>
              </w:rPr>
              <w:t>2018</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49CE9483" w14:textId="77777777" w:rsidR="00DC615D" w:rsidRPr="004261A0" w:rsidRDefault="00DC615D" w:rsidP="00D555D6">
            <w:pPr>
              <w:spacing w:after="0" w:line="240" w:lineRule="auto"/>
              <w:jc w:val="center"/>
              <w:rPr>
                <w:rFonts w:ascii="Cambria" w:eastAsia="Times New Roman" w:hAnsi="Cambria" w:cs="Helvetica"/>
                <w:sz w:val="20"/>
                <w:szCs w:val="20"/>
                <w:lang w:eastAsia="ko-KR"/>
              </w:rPr>
            </w:pPr>
            <w:r w:rsidRPr="004261A0">
              <w:rPr>
                <w:rFonts w:ascii="Cambria" w:eastAsia="Times New Roman" w:hAnsi="Cambria" w:cs="Helvetica"/>
                <w:sz w:val="20"/>
                <w:szCs w:val="20"/>
                <w:lang w:eastAsia="ko-KR"/>
              </w:rPr>
              <w:t>2019</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15244713" w14:textId="77777777" w:rsidR="00DC615D" w:rsidRPr="004261A0" w:rsidRDefault="00DC615D" w:rsidP="00D555D6">
            <w:pPr>
              <w:spacing w:after="0" w:line="240" w:lineRule="auto"/>
              <w:jc w:val="center"/>
              <w:rPr>
                <w:rFonts w:ascii="Cambria" w:eastAsia="Times New Roman" w:hAnsi="Cambria" w:cs="Helvetica"/>
                <w:sz w:val="20"/>
                <w:szCs w:val="20"/>
                <w:lang w:eastAsia="ko-KR"/>
              </w:rPr>
            </w:pPr>
            <w:r w:rsidRPr="004261A0">
              <w:rPr>
                <w:rFonts w:ascii="Cambria" w:eastAsia="Times New Roman" w:hAnsi="Cambria" w:cs="Helvetica"/>
                <w:sz w:val="20"/>
                <w:szCs w:val="20"/>
                <w:lang w:eastAsia="ko-KR"/>
              </w:rPr>
              <w:t>2020</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2BC76371" w14:textId="77777777" w:rsidR="00DC615D" w:rsidRPr="004261A0" w:rsidRDefault="00DC615D" w:rsidP="00D555D6">
            <w:pPr>
              <w:spacing w:after="0" w:line="240" w:lineRule="auto"/>
              <w:jc w:val="center"/>
              <w:rPr>
                <w:rFonts w:ascii="Cambria" w:eastAsia="Times New Roman" w:hAnsi="Cambria" w:cs="Helvetica"/>
                <w:sz w:val="20"/>
                <w:szCs w:val="20"/>
                <w:lang w:eastAsia="ko-KR"/>
              </w:rPr>
            </w:pPr>
            <w:r w:rsidRPr="004261A0">
              <w:rPr>
                <w:rFonts w:ascii="Cambria" w:eastAsia="Times New Roman" w:hAnsi="Cambria" w:cs="Helvetica"/>
                <w:sz w:val="20"/>
                <w:szCs w:val="20"/>
                <w:lang w:eastAsia="ko-KR"/>
              </w:rPr>
              <w:t>2021</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1B3EC117" w14:textId="77777777" w:rsidR="00DC615D" w:rsidRPr="004261A0" w:rsidRDefault="00DC615D" w:rsidP="00D555D6">
            <w:pPr>
              <w:spacing w:after="0" w:line="240" w:lineRule="auto"/>
              <w:jc w:val="center"/>
              <w:rPr>
                <w:rFonts w:ascii="Cambria" w:eastAsia="Times New Roman" w:hAnsi="Cambria" w:cs="Helvetica"/>
                <w:sz w:val="20"/>
                <w:szCs w:val="20"/>
                <w:lang w:eastAsia="ko-KR"/>
              </w:rPr>
            </w:pPr>
            <w:r w:rsidRPr="004261A0">
              <w:rPr>
                <w:rFonts w:ascii="Cambria" w:eastAsia="Times New Roman" w:hAnsi="Cambria" w:cs="Helvetica"/>
                <w:sz w:val="20"/>
                <w:szCs w:val="20"/>
                <w:lang w:eastAsia="ko-KR"/>
              </w:rPr>
              <w:t>2022</w:t>
            </w:r>
          </w:p>
        </w:tc>
      </w:tr>
      <w:tr w:rsidR="00646589" w:rsidRPr="004261A0" w14:paraId="5DC896C9" w14:textId="77777777" w:rsidTr="006B5573">
        <w:trPr>
          <w:trHeight w:val="5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1472925" w14:textId="77777777" w:rsidR="00646589" w:rsidRPr="004261A0" w:rsidRDefault="00646589" w:rsidP="00D555D6">
            <w:pPr>
              <w:spacing w:after="0" w:line="240" w:lineRule="auto"/>
              <w:rPr>
                <w:rFonts w:ascii="Cambria" w:eastAsia="Times New Roman" w:hAnsi="Cambria" w:cs="Helvetica"/>
                <w:sz w:val="20"/>
                <w:szCs w:val="20"/>
                <w:lang w:eastAsia="ko-KR"/>
              </w:rPr>
            </w:pPr>
            <w:r w:rsidRPr="004261A0">
              <w:rPr>
                <w:rFonts w:ascii="Cambria" w:eastAsia="Times New Roman" w:hAnsi="Cambria" w:cs="Helvetica"/>
                <w:sz w:val="20"/>
                <w:szCs w:val="20"/>
                <w:lang w:eastAsia="ko-KR"/>
              </w:rPr>
              <w:t>Net additional revenue impact ($000)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1E4B" w14:textId="77777777" w:rsidR="00646589" w:rsidRPr="004261A0"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-$3,015</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65129BE" w14:textId="77777777" w:rsidR="00646589" w:rsidRPr="004261A0"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-$6,247</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02BB39AA" w14:textId="77777777" w:rsidR="00646589" w:rsidRPr="004261A0"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-$6,258</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639FE7DA" w14:textId="77777777" w:rsidR="00646589" w:rsidRPr="004261A0"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-$6,121</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088E7FC6" w14:textId="77777777" w:rsidR="00646589" w:rsidRPr="004261A0"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-$5,901</w:t>
            </w:r>
          </w:p>
        </w:tc>
      </w:tr>
    </w:tbl>
    <w:p w14:paraId="734D7E46" w14:textId="77777777" w:rsidR="00E03A10" w:rsidRDefault="00E03A10" w:rsidP="00D555D6">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NOL deduction to balance budget</w:t>
      </w:r>
      <w:r w:rsidRPr="00304366">
        <w:rPr>
          <w:rFonts w:asciiTheme="majorHAnsi" w:hAnsiTheme="majorHAnsi"/>
          <w:bCs/>
          <w:sz w:val="20"/>
          <w:szCs w:val="20"/>
        </w:rPr>
        <w:t>.</w:t>
      </w:r>
    </w:p>
    <w:p w14:paraId="7EF23AC9" w14:textId="77777777" w:rsidR="00DC615D" w:rsidRDefault="00DC615D" w:rsidP="00D555D6">
      <w:pPr>
        <w:spacing w:after="0"/>
        <w:rPr>
          <w:rFonts w:asciiTheme="majorHAnsi" w:eastAsiaTheme="majorEastAsia" w:hAnsiTheme="majorHAnsi" w:cstheme="majorBidi"/>
          <w:noProof/>
          <w:color w:val="000000" w:themeColor="text1"/>
          <w:sz w:val="24"/>
          <w:szCs w:val="24"/>
        </w:rPr>
      </w:pPr>
    </w:p>
    <w:p w14:paraId="2DC63EDC" w14:textId="77777777" w:rsidR="005F0335" w:rsidRDefault="005F0335" w:rsidP="00D555D6">
      <w:pPr>
        <w:spacing w:after="0"/>
        <w:rPr>
          <w:rFonts w:asciiTheme="majorHAnsi" w:eastAsiaTheme="majorEastAsia" w:hAnsiTheme="majorHAnsi" w:cstheme="majorBidi"/>
          <w:noProof/>
          <w:color w:val="000000" w:themeColor="text1"/>
          <w:sz w:val="24"/>
          <w:szCs w:val="24"/>
        </w:rPr>
      </w:pPr>
    </w:p>
    <w:p w14:paraId="296651EB" w14:textId="77777777" w:rsidR="00DC615D" w:rsidRDefault="00DC615D" w:rsidP="00D555D6">
      <w:pPr>
        <w:spacing w:after="0"/>
        <w:jc w:val="center"/>
        <w:rPr>
          <w:rFonts w:asciiTheme="majorHAnsi" w:hAnsiTheme="majorHAnsi"/>
          <w:b/>
          <w:sz w:val="24"/>
          <w:szCs w:val="24"/>
        </w:rPr>
      </w:pPr>
      <w:r>
        <w:rPr>
          <w:rFonts w:asciiTheme="majorHAnsi" w:hAnsiTheme="majorHAnsi"/>
          <w:b/>
          <w:sz w:val="24"/>
          <w:szCs w:val="24"/>
        </w:rPr>
        <w:t xml:space="preserve">Table </w:t>
      </w:r>
      <w:r w:rsidR="00E03A10">
        <w:rPr>
          <w:rFonts w:asciiTheme="majorHAnsi" w:hAnsiTheme="majorHAnsi"/>
          <w:b/>
          <w:sz w:val="24"/>
          <w:szCs w:val="24"/>
        </w:rPr>
        <w:t>9</w:t>
      </w:r>
      <w:r>
        <w:rPr>
          <w:rFonts w:asciiTheme="majorHAnsi" w:hAnsiTheme="majorHAnsi"/>
          <w:b/>
          <w:sz w:val="24"/>
          <w:szCs w:val="24"/>
        </w:rPr>
        <w:t xml:space="preserve">. </w:t>
      </w:r>
      <w:r w:rsidR="00E03A10">
        <w:rPr>
          <w:rFonts w:asciiTheme="majorHAnsi" w:eastAsiaTheme="majorEastAsia" w:hAnsiTheme="majorHAnsi" w:cstheme="majorBidi"/>
          <w:b/>
          <w:color w:val="000000" w:themeColor="text1"/>
          <w:sz w:val="24"/>
          <w:szCs w:val="24"/>
        </w:rPr>
        <w:t>Net Economic Impacts of NOL Deduction by Selected Economic Measure*</w:t>
      </w:r>
    </w:p>
    <w:tbl>
      <w:tblPr>
        <w:tblW w:w="9350" w:type="dxa"/>
        <w:tblLook w:val="04A0" w:firstRow="1" w:lastRow="0" w:firstColumn="1" w:lastColumn="0" w:noHBand="0" w:noVBand="1"/>
      </w:tblPr>
      <w:tblGrid>
        <w:gridCol w:w="3801"/>
        <w:gridCol w:w="1109"/>
        <w:gridCol w:w="1110"/>
        <w:gridCol w:w="1110"/>
        <w:gridCol w:w="1110"/>
        <w:gridCol w:w="1110"/>
      </w:tblGrid>
      <w:tr w:rsidR="00DC615D" w:rsidRPr="00A5189E" w14:paraId="1223DD7A" w14:textId="77777777" w:rsidTr="00BA48FF">
        <w:trPr>
          <w:trHeight w:val="38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5616F99" w14:textId="77777777" w:rsidR="00DC615D" w:rsidRPr="00A5189E" w:rsidRDefault="00DC615D" w:rsidP="00D555D6">
            <w:pPr>
              <w:spacing w:after="0" w:line="240" w:lineRule="auto"/>
              <w:jc w:val="center"/>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Calendar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16032883" w14:textId="77777777" w:rsidR="00DC615D" w:rsidRPr="00A5189E" w:rsidRDefault="00DC615D" w:rsidP="00D555D6">
            <w:pPr>
              <w:spacing w:after="0" w:line="240" w:lineRule="auto"/>
              <w:jc w:val="center"/>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1235DA99" w14:textId="77777777" w:rsidR="00DC615D" w:rsidRPr="00A5189E" w:rsidRDefault="00DC615D" w:rsidP="00D555D6">
            <w:pPr>
              <w:spacing w:after="0" w:line="240" w:lineRule="auto"/>
              <w:jc w:val="center"/>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370FCB1E" w14:textId="77777777" w:rsidR="00DC615D" w:rsidRPr="00A5189E" w:rsidRDefault="00DC615D" w:rsidP="00D555D6">
            <w:pPr>
              <w:spacing w:after="0" w:line="240" w:lineRule="auto"/>
              <w:jc w:val="center"/>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73F005D4" w14:textId="77777777" w:rsidR="00DC615D" w:rsidRPr="00A5189E" w:rsidRDefault="00DC615D" w:rsidP="00D555D6">
            <w:pPr>
              <w:spacing w:after="0" w:line="240" w:lineRule="auto"/>
              <w:jc w:val="center"/>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5A1C7E3D" w14:textId="77777777" w:rsidR="00DC615D" w:rsidRPr="00A5189E" w:rsidRDefault="00DC615D" w:rsidP="00D555D6">
            <w:pPr>
              <w:spacing w:after="0" w:line="240" w:lineRule="auto"/>
              <w:jc w:val="center"/>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2022</w:t>
            </w:r>
          </w:p>
        </w:tc>
      </w:tr>
      <w:tr w:rsidR="00646589" w:rsidRPr="00A5189E" w14:paraId="112CEB44" w14:textId="77777777" w:rsidTr="00BA48FF">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4F459B4" w14:textId="77777777" w:rsidR="00646589" w:rsidRPr="00A5189E" w:rsidRDefault="00646589" w:rsidP="00D555D6">
            <w:pPr>
              <w:spacing w:after="0" w:line="240" w:lineRule="auto"/>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Impact on total employment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13B3"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F5A948B"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-1,890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21015C29"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-1,775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C394532"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-1,634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C2060C3"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-1,529</w:t>
            </w:r>
          </w:p>
        </w:tc>
      </w:tr>
      <w:tr w:rsidR="00646589" w:rsidRPr="00A5189E" w14:paraId="43F8168B" w14:textId="77777777" w:rsidTr="00BA48FF">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34A3BB1" w14:textId="77777777" w:rsidR="00646589" w:rsidRPr="00A5189E" w:rsidRDefault="00646589" w:rsidP="00D555D6">
            <w:pPr>
              <w:spacing w:after="0" w:line="240" w:lineRule="auto"/>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Impact on private non-farm employment</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1E09A51"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-136</w:t>
            </w:r>
          </w:p>
        </w:tc>
        <w:tc>
          <w:tcPr>
            <w:tcW w:w="1008" w:type="dxa"/>
            <w:tcBorders>
              <w:top w:val="nil"/>
              <w:left w:val="nil"/>
              <w:bottom w:val="single" w:sz="4" w:space="0" w:color="auto"/>
              <w:right w:val="single" w:sz="4" w:space="0" w:color="auto"/>
            </w:tcBorders>
            <w:shd w:val="clear" w:color="auto" w:fill="auto"/>
            <w:noWrap/>
            <w:vAlign w:val="center"/>
            <w:hideMark/>
          </w:tcPr>
          <w:p w14:paraId="308CE4EE"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57</w:t>
            </w:r>
          </w:p>
        </w:tc>
        <w:tc>
          <w:tcPr>
            <w:tcW w:w="1008" w:type="dxa"/>
            <w:tcBorders>
              <w:top w:val="nil"/>
              <w:left w:val="nil"/>
              <w:bottom w:val="single" w:sz="4" w:space="0" w:color="auto"/>
              <w:right w:val="single" w:sz="4" w:space="0" w:color="auto"/>
            </w:tcBorders>
            <w:shd w:val="clear" w:color="auto" w:fill="auto"/>
            <w:noWrap/>
            <w:vAlign w:val="center"/>
            <w:hideMark/>
          </w:tcPr>
          <w:p w14:paraId="28373E3A"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170</w:t>
            </w:r>
          </w:p>
        </w:tc>
        <w:tc>
          <w:tcPr>
            <w:tcW w:w="1008" w:type="dxa"/>
            <w:tcBorders>
              <w:top w:val="nil"/>
              <w:left w:val="nil"/>
              <w:bottom w:val="single" w:sz="4" w:space="0" w:color="auto"/>
              <w:right w:val="single" w:sz="4" w:space="0" w:color="auto"/>
            </w:tcBorders>
            <w:shd w:val="clear" w:color="auto" w:fill="auto"/>
            <w:noWrap/>
            <w:vAlign w:val="center"/>
            <w:hideMark/>
          </w:tcPr>
          <w:p w14:paraId="6A5B00A6"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282</w:t>
            </w:r>
          </w:p>
        </w:tc>
        <w:tc>
          <w:tcPr>
            <w:tcW w:w="1008" w:type="dxa"/>
            <w:tcBorders>
              <w:top w:val="nil"/>
              <w:left w:val="nil"/>
              <w:bottom w:val="single" w:sz="4" w:space="0" w:color="auto"/>
              <w:right w:val="single" w:sz="4" w:space="0" w:color="auto"/>
            </w:tcBorders>
            <w:shd w:val="clear" w:color="auto" w:fill="auto"/>
            <w:noWrap/>
            <w:vAlign w:val="center"/>
            <w:hideMark/>
          </w:tcPr>
          <w:p w14:paraId="4034C861"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363</w:t>
            </w:r>
          </w:p>
        </w:tc>
      </w:tr>
      <w:tr w:rsidR="00646589" w:rsidRPr="00A5189E" w14:paraId="13129B49" w14:textId="77777777" w:rsidTr="00BA48FF">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F859C27" w14:textId="77777777" w:rsidR="00646589" w:rsidRPr="00A5189E" w:rsidRDefault="00646589" w:rsidP="00D555D6">
            <w:pPr>
              <w:spacing w:after="0" w:line="240" w:lineRule="auto"/>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Impact on GDP ($000), real dollars (2012)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3C44CD9"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-$147,000</w:t>
            </w:r>
          </w:p>
        </w:tc>
        <w:tc>
          <w:tcPr>
            <w:tcW w:w="1008" w:type="dxa"/>
            <w:tcBorders>
              <w:top w:val="nil"/>
              <w:left w:val="nil"/>
              <w:bottom w:val="single" w:sz="4" w:space="0" w:color="auto"/>
              <w:right w:val="single" w:sz="4" w:space="0" w:color="auto"/>
            </w:tcBorders>
            <w:shd w:val="clear" w:color="auto" w:fill="auto"/>
            <w:noWrap/>
            <w:vAlign w:val="center"/>
            <w:hideMark/>
          </w:tcPr>
          <w:p w14:paraId="7CC50203"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-$133,000</w:t>
            </w:r>
          </w:p>
        </w:tc>
        <w:tc>
          <w:tcPr>
            <w:tcW w:w="1008" w:type="dxa"/>
            <w:tcBorders>
              <w:top w:val="nil"/>
              <w:left w:val="nil"/>
              <w:bottom w:val="single" w:sz="4" w:space="0" w:color="auto"/>
              <w:right w:val="single" w:sz="4" w:space="0" w:color="auto"/>
            </w:tcBorders>
            <w:shd w:val="clear" w:color="auto" w:fill="auto"/>
            <w:noWrap/>
            <w:vAlign w:val="center"/>
            <w:hideMark/>
          </w:tcPr>
          <w:p w14:paraId="2CEB1D7C"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-$121,000</w:t>
            </w:r>
          </w:p>
        </w:tc>
        <w:tc>
          <w:tcPr>
            <w:tcW w:w="1008" w:type="dxa"/>
            <w:tcBorders>
              <w:top w:val="nil"/>
              <w:left w:val="nil"/>
              <w:bottom w:val="single" w:sz="4" w:space="0" w:color="auto"/>
              <w:right w:val="single" w:sz="4" w:space="0" w:color="auto"/>
            </w:tcBorders>
            <w:shd w:val="clear" w:color="auto" w:fill="auto"/>
            <w:noWrap/>
            <w:vAlign w:val="center"/>
            <w:hideMark/>
          </w:tcPr>
          <w:p w14:paraId="52D6E334"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-$106,000</w:t>
            </w:r>
          </w:p>
        </w:tc>
        <w:tc>
          <w:tcPr>
            <w:tcW w:w="1008" w:type="dxa"/>
            <w:tcBorders>
              <w:top w:val="nil"/>
              <w:left w:val="nil"/>
              <w:bottom w:val="single" w:sz="4" w:space="0" w:color="auto"/>
              <w:right w:val="single" w:sz="4" w:space="0" w:color="auto"/>
            </w:tcBorders>
            <w:shd w:val="clear" w:color="auto" w:fill="auto"/>
            <w:noWrap/>
            <w:vAlign w:val="center"/>
            <w:hideMark/>
          </w:tcPr>
          <w:p w14:paraId="18D734D5"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-$96,000</w:t>
            </w:r>
          </w:p>
        </w:tc>
      </w:tr>
      <w:tr w:rsidR="00646589" w:rsidRPr="00A5189E" w14:paraId="25931D32" w14:textId="77777777" w:rsidTr="00BA48FF">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BDBF312" w14:textId="77777777" w:rsidR="00646589" w:rsidRPr="00A5189E" w:rsidRDefault="00646589" w:rsidP="00D555D6">
            <w:pPr>
              <w:spacing w:after="0" w:line="240" w:lineRule="auto"/>
              <w:rPr>
                <w:rFonts w:ascii="Cambria" w:eastAsia="Times New Roman" w:hAnsi="Cambria" w:cs="Helvetica"/>
                <w:sz w:val="20"/>
                <w:szCs w:val="20"/>
                <w:lang w:eastAsia="ko-KR"/>
              </w:rPr>
            </w:pPr>
            <w:r w:rsidRPr="00A5189E">
              <w:rPr>
                <w:rFonts w:ascii="Cambria" w:eastAsia="Times New Roman" w:hAnsi="Cambria" w:cs="Helvetica"/>
                <w:sz w:val="20"/>
                <w:szCs w:val="20"/>
                <w:lang w:eastAsia="ko-KR"/>
              </w:rPr>
              <w:t>Impact on personal income ($000)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008D22E"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-$139,000</w:t>
            </w:r>
          </w:p>
        </w:tc>
        <w:tc>
          <w:tcPr>
            <w:tcW w:w="1008" w:type="dxa"/>
            <w:tcBorders>
              <w:top w:val="nil"/>
              <w:left w:val="nil"/>
              <w:bottom w:val="single" w:sz="4" w:space="0" w:color="auto"/>
              <w:right w:val="single" w:sz="4" w:space="0" w:color="auto"/>
            </w:tcBorders>
            <w:shd w:val="clear" w:color="auto" w:fill="auto"/>
            <w:noWrap/>
            <w:vAlign w:val="center"/>
            <w:hideMark/>
          </w:tcPr>
          <w:p w14:paraId="7D7403FA"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-$145,000</w:t>
            </w:r>
          </w:p>
        </w:tc>
        <w:tc>
          <w:tcPr>
            <w:tcW w:w="1008" w:type="dxa"/>
            <w:tcBorders>
              <w:top w:val="nil"/>
              <w:left w:val="nil"/>
              <w:bottom w:val="single" w:sz="4" w:space="0" w:color="auto"/>
              <w:right w:val="single" w:sz="4" w:space="0" w:color="auto"/>
            </w:tcBorders>
            <w:shd w:val="clear" w:color="auto" w:fill="auto"/>
            <w:noWrap/>
            <w:vAlign w:val="center"/>
            <w:hideMark/>
          </w:tcPr>
          <w:p w14:paraId="66C982C8"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-$146,000</w:t>
            </w:r>
          </w:p>
        </w:tc>
        <w:tc>
          <w:tcPr>
            <w:tcW w:w="1008" w:type="dxa"/>
            <w:tcBorders>
              <w:top w:val="nil"/>
              <w:left w:val="nil"/>
              <w:bottom w:val="single" w:sz="4" w:space="0" w:color="auto"/>
              <w:right w:val="single" w:sz="4" w:space="0" w:color="auto"/>
            </w:tcBorders>
            <w:shd w:val="clear" w:color="auto" w:fill="auto"/>
            <w:noWrap/>
            <w:vAlign w:val="center"/>
            <w:hideMark/>
          </w:tcPr>
          <w:p w14:paraId="5BAB2153"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-$143,000</w:t>
            </w:r>
          </w:p>
        </w:tc>
        <w:tc>
          <w:tcPr>
            <w:tcW w:w="1008" w:type="dxa"/>
            <w:tcBorders>
              <w:top w:val="nil"/>
              <w:left w:val="nil"/>
              <w:bottom w:val="single" w:sz="4" w:space="0" w:color="auto"/>
              <w:right w:val="single" w:sz="4" w:space="0" w:color="auto"/>
            </w:tcBorders>
            <w:shd w:val="clear" w:color="auto" w:fill="auto"/>
            <w:noWrap/>
            <w:vAlign w:val="center"/>
            <w:hideMark/>
          </w:tcPr>
          <w:p w14:paraId="4F2A51DB" w14:textId="77777777" w:rsidR="00646589" w:rsidRPr="00A5189E" w:rsidRDefault="00646589" w:rsidP="00D555D6">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-$142,000</w:t>
            </w:r>
          </w:p>
        </w:tc>
      </w:tr>
    </w:tbl>
    <w:p w14:paraId="17D3CA74" w14:textId="77777777" w:rsidR="00E03A10" w:rsidRDefault="00E03A10" w:rsidP="00D555D6">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NOL deduction to balance budget</w:t>
      </w:r>
      <w:r w:rsidRPr="00304366">
        <w:rPr>
          <w:rFonts w:asciiTheme="majorHAnsi" w:hAnsiTheme="majorHAnsi"/>
          <w:bCs/>
          <w:sz w:val="20"/>
          <w:szCs w:val="20"/>
        </w:rPr>
        <w:t>.</w:t>
      </w:r>
    </w:p>
    <w:p w14:paraId="330A7BF7" w14:textId="77777777" w:rsidR="00610020" w:rsidRDefault="00610020" w:rsidP="00D555D6">
      <w:pPr>
        <w:tabs>
          <w:tab w:val="left" w:pos="7050"/>
        </w:tabs>
        <w:spacing w:after="0"/>
        <w:rPr>
          <w:rFonts w:asciiTheme="majorHAnsi" w:hAnsiTheme="majorHAnsi"/>
          <w:bCs/>
          <w:sz w:val="24"/>
          <w:szCs w:val="23"/>
        </w:rPr>
      </w:pPr>
    </w:p>
    <w:p w14:paraId="34427292" w14:textId="77777777" w:rsidR="00610020" w:rsidRDefault="00610020" w:rsidP="00D555D6">
      <w:pPr>
        <w:tabs>
          <w:tab w:val="left" w:pos="7050"/>
        </w:tabs>
        <w:spacing w:after="0"/>
        <w:rPr>
          <w:rFonts w:asciiTheme="majorHAnsi" w:hAnsiTheme="majorHAnsi"/>
          <w:bCs/>
          <w:sz w:val="24"/>
          <w:szCs w:val="23"/>
        </w:rPr>
      </w:pPr>
    </w:p>
    <w:p w14:paraId="74321B96" w14:textId="77777777" w:rsidR="00610020" w:rsidRPr="004C3153" w:rsidRDefault="00610020" w:rsidP="00D555D6">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41592D72" w14:textId="77777777" w:rsidR="00CD3E21" w:rsidRPr="006B5573" w:rsidRDefault="00B563AC" w:rsidP="00D555D6">
      <w:pPr>
        <w:tabs>
          <w:tab w:val="left" w:pos="7050"/>
        </w:tabs>
        <w:spacing w:after="0"/>
        <w:rPr>
          <w:rFonts w:asciiTheme="majorHAnsi" w:hAnsiTheme="majorHAnsi"/>
          <w:color w:val="00B0F0"/>
          <w:sz w:val="24"/>
          <w:szCs w:val="24"/>
        </w:rPr>
      </w:pPr>
      <w:r w:rsidRPr="008971BB">
        <w:rPr>
          <w:rFonts w:asciiTheme="majorHAnsi" w:hAnsiTheme="majorHAnsi"/>
          <w:bCs/>
          <w:color w:val="000000" w:themeColor="text1"/>
          <w:sz w:val="24"/>
          <w:szCs w:val="23"/>
        </w:rPr>
        <w:t xml:space="preserve">This is a popular and widely used deduction. </w:t>
      </w:r>
      <w:r w:rsidR="00CD3E21">
        <w:rPr>
          <w:rFonts w:asciiTheme="majorHAnsi" w:hAnsiTheme="majorHAnsi"/>
          <w:sz w:val="24"/>
          <w:szCs w:val="24"/>
        </w:rPr>
        <w:t>Most states allow a deduction for NOLs, but the terms of those deductions vary. New York, like Massachusetts, has a state</w:t>
      </w:r>
      <w:r w:rsidR="002B03C9">
        <w:rPr>
          <w:rFonts w:asciiTheme="majorHAnsi" w:hAnsiTheme="majorHAnsi"/>
          <w:sz w:val="24"/>
          <w:szCs w:val="24"/>
        </w:rPr>
        <w:t xml:space="preserve"> </w:t>
      </w:r>
      <w:r w:rsidR="00CD3E21">
        <w:rPr>
          <w:rFonts w:asciiTheme="majorHAnsi" w:hAnsiTheme="majorHAnsi"/>
          <w:sz w:val="24"/>
          <w:szCs w:val="24"/>
        </w:rPr>
        <w:t>specific NOL deduction that does not conform to the federal deduction, and allows 20 year</w:t>
      </w:r>
      <w:r w:rsidR="009901C0">
        <w:rPr>
          <w:rFonts w:asciiTheme="majorHAnsi" w:hAnsiTheme="majorHAnsi"/>
          <w:sz w:val="24"/>
          <w:szCs w:val="24"/>
        </w:rPr>
        <w:t>s</w:t>
      </w:r>
      <w:r w:rsidR="00CD3E21">
        <w:rPr>
          <w:rFonts w:asciiTheme="majorHAnsi" w:hAnsiTheme="majorHAnsi"/>
          <w:sz w:val="24"/>
          <w:szCs w:val="24"/>
        </w:rPr>
        <w:t xml:space="preserve"> carryforward. However, New York allows a carryback deduction for NOLs, which Massachusetts does not allow.</w:t>
      </w:r>
      <w:r w:rsidR="0094010B">
        <w:rPr>
          <w:rFonts w:asciiTheme="majorHAnsi" w:hAnsiTheme="majorHAnsi"/>
          <w:sz w:val="24"/>
          <w:szCs w:val="24"/>
        </w:rPr>
        <w:t xml:space="preserve"> </w:t>
      </w:r>
    </w:p>
    <w:p w14:paraId="1531543F" w14:textId="77777777" w:rsidR="0094010B" w:rsidRDefault="0094010B" w:rsidP="00D555D6">
      <w:pPr>
        <w:tabs>
          <w:tab w:val="left" w:pos="7050"/>
        </w:tabs>
        <w:spacing w:after="0"/>
        <w:rPr>
          <w:rFonts w:asciiTheme="majorHAnsi" w:hAnsiTheme="majorHAnsi"/>
          <w:sz w:val="24"/>
          <w:szCs w:val="24"/>
        </w:rPr>
      </w:pPr>
    </w:p>
    <w:p w14:paraId="2079A298" w14:textId="77777777" w:rsidR="0094010B" w:rsidRPr="00B563AC" w:rsidRDefault="00CD3E21" w:rsidP="00D555D6">
      <w:pPr>
        <w:tabs>
          <w:tab w:val="left" w:pos="7050"/>
        </w:tabs>
        <w:spacing w:after="0"/>
        <w:rPr>
          <w:rFonts w:asciiTheme="majorHAnsi" w:hAnsiTheme="majorHAnsi"/>
          <w:bCs/>
          <w:sz w:val="24"/>
          <w:szCs w:val="23"/>
        </w:rPr>
      </w:pPr>
      <w:r>
        <w:rPr>
          <w:rFonts w:asciiTheme="majorHAnsi" w:hAnsiTheme="majorHAnsi"/>
          <w:sz w:val="24"/>
          <w:szCs w:val="24"/>
        </w:rPr>
        <w:t>Connecticut also has a state</w:t>
      </w:r>
      <w:r w:rsidR="002B03C9">
        <w:rPr>
          <w:rFonts w:asciiTheme="majorHAnsi" w:hAnsiTheme="majorHAnsi"/>
          <w:sz w:val="24"/>
          <w:szCs w:val="24"/>
        </w:rPr>
        <w:t xml:space="preserve"> </w:t>
      </w:r>
      <w:r>
        <w:rPr>
          <w:rFonts w:asciiTheme="majorHAnsi" w:hAnsiTheme="majorHAnsi"/>
          <w:sz w:val="24"/>
          <w:szCs w:val="24"/>
        </w:rPr>
        <w:t>specific NOL deduction, which can be carried forward for</w:t>
      </w:r>
      <w:r w:rsidRPr="004A5A56">
        <w:rPr>
          <w:rFonts w:asciiTheme="majorHAnsi" w:hAnsiTheme="majorHAnsi"/>
          <w:sz w:val="24"/>
          <w:szCs w:val="24"/>
        </w:rPr>
        <w:t xml:space="preserve"> 20 years</w:t>
      </w:r>
      <w:r>
        <w:rPr>
          <w:rFonts w:asciiTheme="majorHAnsi" w:hAnsiTheme="majorHAnsi"/>
          <w:sz w:val="24"/>
          <w:szCs w:val="24"/>
        </w:rPr>
        <w:t>, as in Massachusetts.  Also like Massachusetts, Connecticut recognizes NOLs only from years the corporation was subject to tax in the state.</w:t>
      </w:r>
      <w:r w:rsidR="0094010B">
        <w:rPr>
          <w:rFonts w:asciiTheme="majorHAnsi" w:hAnsiTheme="majorHAnsi"/>
          <w:sz w:val="24"/>
          <w:szCs w:val="24"/>
        </w:rPr>
        <w:t xml:space="preserve"> </w:t>
      </w:r>
      <w:r w:rsidR="0094010B" w:rsidRPr="008971BB">
        <w:rPr>
          <w:rFonts w:asciiTheme="majorHAnsi" w:hAnsiTheme="majorHAnsi"/>
          <w:bCs/>
          <w:color w:val="000000" w:themeColor="text1"/>
          <w:sz w:val="24"/>
          <w:szCs w:val="23"/>
        </w:rPr>
        <w:t xml:space="preserve">Like federal law, prior year losses must be applied against income to the maximum extent possible and in a consecutive fashion during the carryover period, so that losses from the earliest years are used first. </w:t>
      </w:r>
    </w:p>
    <w:p w14:paraId="755F736A" w14:textId="77777777" w:rsidR="00CD3E21" w:rsidRDefault="00CD3E21" w:rsidP="00D555D6">
      <w:pPr>
        <w:tabs>
          <w:tab w:val="left" w:pos="7050"/>
        </w:tabs>
        <w:spacing w:after="0"/>
        <w:rPr>
          <w:rFonts w:asciiTheme="majorHAnsi" w:hAnsiTheme="majorHAnsi"/>
          <w:sz w:val="24"/>
          <w:szCs w:val="24"/>
        </w:rPr>
      </w:pPr>
    </w:p>
    <w:p w14:paraId="69DB8D4F" w14:textId="77777777" w:rsidR="0094010B" w:rsidRPr="008D115D" w:rsidRDefault="00CD3E21" w:rsidP="00D555D6">
      <w:pPr>
        <w:tabs>
          <w:tab w:val="left" w:pos="7050"/>
        </w:tabs>
        <w:spacing w:after="0"/>
        <w:rPr>
          <w:rFonts w:asciiTheme="majorHAnsi" w:hAnsiTheme="majorHAnsi"/>
          <w:bCs/>
          <w:color w:val="0000FF"/>
          <w:sz w:val="24"/>
          <w:szCs w:val="23"/>
        </w:rPr>
      </w:pPr>
      <w:r>
        <w:rPr>
          <w:rFonts w:asciiTheme="majorHAnsi" w:hAnsiTheme="majorHAnsi"/>
          <w:sz w:val="24"/>
          <w:szCs w:val="24"/>
        </w:rPr>
        <w:t>Rhode Island uses a modified version of the federal NOL deduction.  L</w:t>
      </w:r>
      <w:r w:rsidRPr="0023119A">
        <w:rPr>
          <w:rFonts w:asciiTheme="majorHAnsi" w:hAnsiTheme="majorHAnsi"/>
          <w:sz w:val="24"/>
          <w:szCs w:val="24"/>
        </w:rPr>
        <w:t xml:space="preserve">ike Massachusetts, </w:t>
      </w:r>
      <w:r>
        <w:rPr>
          <w:rFonts w:asciiTheme="majorHAnsi" w:hAnsiTheme="majorHAnsi"/>
          <w:sz w:val="24"/>
          <w:szCs w:val="24"/>
        </w:rPr>
        <w:t xml:space="preserve">Rhode Island </w:t>
      </w:r>
      <w:r w:rsidRPr="0023119A">
        <w:rPr>
          <w:rFonts w:asciiTheme="majorHAnsi" w:hAnsiTheme="majorHAnsi"/>
          <w:sz w:val="24"/>
          <w:szCs w:val="24"/>
        </w:rPr>
        <w:t>recognizes NOLs only from years the corporation was subject to tax in the state.</w:t>
      </w:r>
      <w:r>
        <w:rPr>
          <w:rFonts w:asciiTheme="majorHAnsi" w:hAnsiTheme="majorHAnsi"/>
          <w:sz w:val="24"/>
          <w:szCs w:val="24"/>
        </w:rPr>
        <w:t xml:space="preserve"> Rhode Island does not permit NOL carrybacks.  The carryforward period is limited to five years.  </w:t>
      </w:r>
    </w:p>
    <w:p w14:paraId="26C90DCE" w14:textId="77777777" w:rsidR="00B563AC" w:rsidRDefault="00B563AC" w:rsidP="00B563AC">
      <w:pPr>
        <w:tabs>
          <w:tab w:val="left" w:pos="7050"/>
        </w:tabs>
        <w:spacing w:after="0"/>
        <w:rPr>
          <w:rFonts w:asciiTheme="majorHAnsi" w:hAnsiTheme="majorHAnsi"/>
          <w:bCs/>
          <w:sz w:val="24"/>
          <w:szCs w:val="23"/>
        </w:rPr>
      </w:pPr>
    </w:p>
    <w:p w14:paraId="0A236637" w14:textId="77777777" w:rsidR="00AB0AFB" w:rsidRDefault="00AB0AFB" w:rsidP="00AB0AFB">
      <w:pPr>
        <w:tabs>
          <w:tab w:val="left" w:pos="7050"/>
        </w:tabs>
        <w:spacing w:after="0"/>
        <w:rPr>
          <w:rFonts w:asciiTheme="majorHAnsi" w:hAnsiTheme="majorHAnsi"/>
          <w:sz w:val="24"/>
          <w:szCs w:val="24"/>
        </w:rPr>
      </w:pPr>
      <w:r>
        <w:rPr>
          <w:rFonts w:asciiTheme="majorHAnsi" w:hAnsiTheme="majorHAnsi"/>
          <w:sz w:val="24"/>
          <w:szCs w:val="24"/>
        </w:rPr>
        <w:t xml:space="preserve">Maine generally conforms to the federal NOL provisions, but for </w:t>
      </w:r>
      <w:r w:rsidRPr="002F6525">
        <w:rPr>
          <w:rFonts w:asciiTheme="majorHAnsi" w:hAnsiTheme="majorHAnsi"/>
          <w:sz w:val="24"/>
          <w:szCs w:val="24"/>
        </w:rPr>
        <w:t>tax years ending after 2017</w:t>
      </w:r>
      <w:r>
        <w:rPr>
          <w:rFonts w:asciiTheme="majorHAnsi" w:hAnsiTheme="majorHAnsi"/>
          <w:sz w:val="24"/>
          <w:szCs w:val="24"/>
        </w:rPr>
        <w:t xml:space="preserve"> losses may be carried forward indefinitely, but not carried back, except in limited circumstances. </w:t>
      </w:r>
    </w:p>
    <w:p w14:paraId="0B14FF4F" w14:textId="77777777" w:rsidR="00A049E9" w:rsidRDefault="00A049E9" w:rsidP="00AB0AFB">
      <w:pPr>
        <w:tabs>
          <w:tab w:val="left" w:pos="7050"/>
        </w:tabs>
        <w:spacing w:after="0"/>
        <w:rPr>
          <w:rFonts w:asciiTheme="majorHAnsi" w:hAnsiTheme="majorHAnsi"/>
          <w:sz w:val="24"/>
          <w:szCs w:val="24"/>
        </w:rPr>
      </w:pPr>
    </w:p>
    <w:p w14:paraId="3F933D6F" w14:textId="77777777" w:rsidR="00AB0AFB" w:rsidRDefault="00AB0AFB" w:rsidP="00AB0AFB">
      <w:pPr>
        <w:tabs>
          <w:tab w:val="left" w:pos="7050"/>
        </w:tabs>
        <w:spacing w:after="0"/>
        <w:rPr>
          <w:rFonts w:asciiTheme="majorHAnsi" w:hAnsiTheme="majorHAnsi"/>
          <w:sz w:val="24"/>
          <w:szCs w:val="24"/>
        </w:rPr>
      </w:pPr>
      <w:r>
        <w:rPr>
          <w:rFonts w:asciiTheme="majorHAnsi" w:hAnsiTheme="majorHAnsi"/>
          <w:sz w:val="24"/>
          <w:szCs w:val="24"/>
        </w:rPr>
        <w:t xml:space="preserve">Vermont has decoupled from the federal NOL deduction and has created a state-specific deduction.   Vermont allows NOLs to be carried forward 10 years, and does not allow carrybacks.  </w:t>
      </w:r>
    </w:p>
    <w:p w14:paraId="0EA8ACF6" w14:textId="77777777" w:rsidR="00AB0AFB" w:rsidRPr="00B563AC" w:rsidRDefault="00AB0AFB" w:rsidP="00B563AC">
      <w:pPr>
        <w:tabs>
          <w:tab w:val="left" w:pos="7050"/>
        </w:tabs>
        <w:spacing w:after="0"/>
        <w:rPr>
          <w:rFonts w:asciiTheme="majorHAnsi" w:hAnsiTheme="majorHAnsi"/>
          <w:bCs/>
          <w:sz w:val="24"/>
          <w:szCs w:val="23"/>
        </w:rPr>
      </w:pPr>
    </w:p>
    <w:p w14:paraId="7800007A" w14:textId="77777777" w:rsidR="00B563AC" w:rsidRPr="008D115D" w:rsidRDefault="00B563AC" w:rsidP="00B563AC">
      <w:pPr>
        <w:tabs>
          <w:tab w:val="left" w:pos="7050"/>
        </w:tabs>
        <w:spacing w:after="0"/>
        <w:rPr>
          <w:rFonts w:asciiTheme="majorHAnsi" w:hAnsiTheme="majorHAnsi"/>
          <w:bCs/>
          <w:color w:val="0000FF"/>
          <w:sz w:val="24"/>
          <w:szCs w:val="23"/>
        </w:rPr>
      </w:pPr>
      <w:r w:rsidRPr="008971BB">
        <w:rPr>
          <w:rFonts w:asciiTheme="majorHAnsi" w:hAnsiTheme="majorHAnsi"/>
          <w:bCs/>
          <w:color w:val="000000" w:themeColor="text1"/>
          <w:sz w:val="24"/>
          <w:szCs w:val="23"/>
        </w:rPr>
        <w:t xml:space="preserve">Louisiana offers a net operating loss deduction. For returns filed on or after July 1, 2015, regardless of the tax year to which it relates, the deduction is equal to 72% of the available net operating loss, limited to 72 percent of net income. </w:t>
      </w:r>
    </w:p>
    <w:p w14:paraId="331F417B" w14:textId="77777777" w:rsidR="00B563AC" w:rsidRPr="006B5573" w:rsidRDefault="00B563AC" w:rsidP="00B563AC">
      <w:pPr>
        <w:tabs>
          <w:tab w:val="left" w:pos="7050"/>
        </w:tabs>
        <w:spacing w:after="0"/>
        <w:rPr>
          <w:rFonts w:asciiTheme="majorHAnsi" w:hAnsiTheme="majorHAnsi"/>
          <w:bCs/>
          <w:color w:val="00B0F0"/>
          <w:sz w:val="24"/>
          <w:szCs w:val="23"/>
        </w:rPr>
      </w:pPr>
    </w:p>
    <w:p w14:paraId="511FDA95" w14:textId="77777777" w:rsidR="00B563AC" w:rsidRPr="008D115D" w:rsidRDefault="00B563AC" w:rsidP="00B563AC">
      <w:pPr>
        <w:tabs>
          <w:tab w:val="left" w:pos="7050"/>
        </w:tabs>
        <w:spacing w:after="0"/>
        <w:rPr>
          <w:rFonts w:asciiTheme="majorHAnsi" w:hAnsiTheme="majorHAnsi"/>
          <w:bCs/>
          <w:color w:val="0000FF"/>
          <w:sz w:val="24"/>
          <w:szCs w:val="23"/>
        </w:rPr>
      </w:pPr>
      <w:r w:rsidRPr="008971BB">
        <w:rPr>
          <w:rFonts w:asciiTheme="majorHAnsi" w:hAnsiTheme="majorHAnsi"/>
          <w:bCs/>
          <w:color w:val="000000" w:themeColor="text1"/>
          <w:sz w:val="24"/>
          <w:szCs w:val="23"/>
        </w:rPr>
        <w:t>Colorado offers a net operating loss deduction. For any given tax year the deduction is the portion of the federal net operating loss allocated</w:t>
      </w:r>
      <w:r w:rsidR="005B1829" w:rsidRPr="008971BB">
        <w:rPr>
          <w:rFonts w:asciiTheme="majorHAnsi" w:hAnsiTheme="majorHAnsi"/>
          <w:bCs/>
          <w:color w:val="000000" w:themeColor="text1"/>
          <w:sz w:val="24"/>
          <w:szCs w:val="23"/>
        </w:rPr>
        <w:t xml:space="preserve"> </w:t>
      </w:r>
      <w:r w:rsidRPr="008971BB">
        <w:rPr>
          <w:rFonts w:asciiTheme="majorHAnsi" w:hAnsiTheme="majorHAnsi"/>
          <w:bCs/>
          <w:color w:val="000000" w:themeColor="text1"/>
          <w:sz w:val="24"/>
          <w:szCs w:val="23"/>
        </w:rPr>
        <w:t>and/or apportioned to Colorado. An NOL deduction is allowed in the same manner that it is allowed under the</w:t>
      </w:r>
      <w:r w:rsidR="00CD3E21" w:rsidRPr="008971BB">
        <w:rPr>
          <w:rFonts w:asciiTheme="majorHAnsi" w:hAnsiTheme="majorHAnsi"/>
          <w:bCs/>
          <w:color w:val="000000" w:themeColor="text1"/>
          <w:sz w:val="24"/>
          <w:szCs w:val="23"/>
        </w:rPr>
        <w:t xml:space="preserve"> </w:t>
      </w:r>
      <w:r w:rsidRPr="008971BB">
        <w:rPr>
          <w:rFonts w:asciiTheme="majorHAnsi" w:hAnsiTheme="majorHAnsi"/>
          <w:bCs/>
          <w:color w:val="000000" w:themeColor="text1"/>
          <w:sz w:val="24"/>
          <w:szCs w:val="23"/>
        </w:rPr>
        <w:t xml:space="preserve">internal revenue code unless subject to any state limitations. </w:t>
      </w:r>
    </w:p>
    <w:p w14:paraId="4E116A3C" w14:textId="77777777" w:rsidR="00610020" w:rsidRDefault="00610020" w:rsidP="00610020">
      <w:pPr>
        <w:tabs>
          <w:tab w:val="left" w:pos="7050"/>
        </w:tabs>
        <w:spacing w:after="0"/>
        <w:rPr>
          <w:rFonts w:asciiTheme="majorHAnsi" w:hAnsiTheme="majorHAnsi"/>
          <w:bCs/>
          <w:sz w:val="24"/>
          <w:szCs w:val="23"/>
        </w:rPr>
      </w:pPr>
    </w:p>
    <w:p w14:paraId="0D254D0D" w14:textId="77777777" w:rsidR="00610020" w:rsidRDefault="00610020" w:rsidP="00610020">
      <w:pPr>
        <w:tabs>
          <w:tab w:val="left" w:pos="7050"/>
        </w:tabs>
        <w:spacing w:after="0" w:line="240" w:lineRule="auto"/>
        <w:rPr>
          <w:rFonts w:asciiTheme="majorHAnsi" w:hAnsiTheme="majorHAnsi"/>
          <w:b/>
          <w:sz w:val="23"/>
          <w:szCs w:val="23"/>
        </w:rPr>
      </w:pPr>
    </w:p>
    <w:p w14:paraId="6B09A99C" w14:textId="77777777" w:rsidR="00610020" w:rsidRPr="00A07439" w:rsidRDefault="00610020" w:rsidP="00610020">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6CBCC738" w14:textId="77777777" w:rsidR="00934AE2" w:rsidRDefault="00934AE2" w:rsidP="00934AE2">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2133B1CC" w14:textId="77777777" w:rsidR="00AF6539" w:rsidRDefault="00AF6539" w:rsidP="00934AE2">
      <w:pPr>
        <w:tabs>
          <w:tab w:val="left" w:pos="7050"/>
        </w:tabs>
        <w:spacing w:after="0" w:line="240" w:lineRule="auto"/>
        <w:rPr>
          <w:rFonts w:asciiTheme="majorHAnsi" w:eastAsiaTheme="majorEastAsia" w:hAnsiTheme="majorHAnsi" w:cstheme="majorBidi"/>
          <w:bCs/>
          <w:color w:val="000000" w:themeColor="text1"/>
          <w:sz w:val="24"/>
          <w:szCs w:val="24"/>
        </w:rPr>
      </w:pPr>
    </w:p>
    <w:sdt>
      <w:sdtPr>
        <w:rPr>
          <w:rFonts w:asciiTheme="minorHAnsi" w:eastAsiaTheme="minorHAnsi" w:hAnsiTheme="minorHAnsi" w:cstheme="minorBidi"/>
          <w:color w:val="auto"/>
          <w:sz w:val="22"/>
          <w:szCs w:val="22"/>
        </w:rPr>
        <w:id w:val="-2039112277"/>
        <w:docPartObj>
          <w:docPartGallery w:val="Bibliographies"/>
          <w:docPartUnique/>
        </w:docPartObj>
      </w:sdtPr>
      <w:sdtEndPr/>
      <w:sdtContent>
        <w:p w14:paraId="57389BBA" w14:textId="4C1521D0" w:rsidR="00610020" w:rsidRDefault="00610020" w:rsidP="00610020">
          <w:pPr>
            <w:pStyle w:val="Heading1"/>
            <w:rPr>
              <w:color w:val="000000" w:themeColor="text1"/>
            </w:rPr>
          </w:pPr>
          <w:r w:rsidRPr="006B5573">
            <w:rPr>
              <w:color w:val="000000" w:themeColor="text1"/>
            </w:rPr>
            <w:t>References</w:t>
          </w:r>
        </w:p>
        <w:p w14:paraId="61BF0C5E" w14:textId="77777777" w:rsidR="00324D8C" w:rsidRPr="00324D8C" w:rsidRDefault="00324D8C" w:rsidP="00324D8C">
          <w:pPr>
            <w:rPr>
              <w:sz w:val="8"/>
              <w:szCs w:val="8"/>
            </w:rPr>
          </w:pPr>
        </w:p>
        <w:p w14:paraId="31BB0663" w14:textId="77777777" w:rsidR="009E73B9" w:rsidRPr="00C546F4" w:rsidRDefault="009E73B9" w:rsidP="009E73B9">
          <w:pPr>
            <w:pStyle w:val="Bibliography"/>
            <w:ind w:left="720" w:hanging="720"/>
            <w:rPr>
              <w:rFonts w:asciiTheme="majorHAnsi" w:hAnsiTheme="majorHAnsi"/>
              <w:noProof/>
              <w:sz w:val="24"/>
              <w:szCs w:val="24"/>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Pr>
              <w:rFonts w:asciiTheme="majorHAnsi" w:hAnsiTheme="majorHAnsi"/>
              <w:i/>
              <w:iCs/>
              <w:noProof/>
            </w:rPr>
            <w:t>,</w:t>
          </w:r>
          <w:r w:rsidRPr="00C546F4">
            <w:rPr>
              <w:rFonts w:asciiTheme="majorHAnsi" w:hAnsiTheme="majorHAnsi"/>
              <w:noProof/>
            </w:rPr>
            <w:t xml:space="preserve"> Economic Review, FEDERAL RESERVE BANK OF KANSAS CITY.</w:t>
          </w:r>
        </w:p>
        <w:sdt>
          <w:sdtPr>
            <w:rPr>
              <w:rFonts w:asciiTheme="majorHAnsi" w:hAnsiTheme="majorHAnsi"/>
            </w:rPr>
            <w:id w:val="1518730936"/>
            <w:bibliography/>
          </w:sdtPr>
          <w:sdtEndPr>
            <w:rPr>
              <w:rFonts w:asciiTheme="minorHAnsi" w:hAnsiTheme="minorHAnsi"/>
            </w:rPr>
          </w:sdtEndPr>
          <w:sdtContent>
            <w:sdt>
              <w:sdtPr>
                <w:rPr>
                  <w:rFonts w:asciiTheme="majorHAnsi" w:hAnsiTheme="majorHAnsi"/>
                </w:rPr>
                <w:id w:val="-619375087"/>
                <w:bibliography/>
              </w:sdtPr>
              <w:sdtEndPr>
                <w:rPr>
                  <w:rFonts w:asciiTheme="minorHAnsi" w:hAnsiTheme="minorHAnsi"/>
                </w:rPr>
              </w:sdtEndPr>
              <w:sdtContent>
                <w:p w14:paraId="6EF0D94E" w14:textId="77777777" w:rsidR="00070C55" w:rsidRPr="00070C55" w:rsidRDefault="00610020" w:rsidP="00070C55">
                  <w:pPr>
                    <w:pStyle w:val="Bibliography"/>
                    <w:ind w:left="720" w:hanging="720"/>
                    <w:rPr>
                      <w:rFonts w:asciiTheme="majorHAnsi" w:hAnsiTheme="majorHAnsi"/>
                      <w:noProof/>
                      <w:sz w:val="24"/>
                      <w:szCs w:val="24"/>
                    </w:rPr>
                  </w:pPr>
                  <w:r w:rsidRPr="00070C55">
                    <w:rPr>
                      <w:rFonts w:asciiTheme="majorHAnsi" w:hAnsiTheme="majorHAnsi"/>
                    </w:rPr>
                    <w:fldChar w:fldCharType="begin"/>
                  </w:r>
                  <w:r w:rsidRPr="00070C55">
                    <w:rPr>
                      <w:rFonts w:asciiTheme="majorHAnsi" w:hAnsiTheme="majorHAnsi"/>
                    </w:rPr>
                    <w:instrText xml:space="preserve"> BIBLIOGRAPHY </w:instrText>
                  </w:r>
                  <w:r w:rsidRPr="00070C55">
                    <w:rPr>
                      <w:rFonts w:asciiTheme="majorHAnsi" w:hAnsiTheme="majorHAnsi"/>
                    </w:rPr>
                    <w:fldChar w:fldCharType="separate"/>
                  </w:r>
                  <w:r w:rsidR="00070C55" w:rsidRPr="00070C55">
                    <w:rPr>
                      <w:rFonts w:asciiTheme="majorHAnsi" w:hAnsiTheme="majorHAnsi"/>
                      <w:noProof/>
                    </w:rPr>
                    <w:t xml:space="preserve">Keith R. Ihlanfeldt, David L. Sjoquist. (2001, August). Conducting an Analysis of Georgia’s Economic Development Tax Incentive Program. </w:t>
                  </w:r>
                  <w:r w:rsidR="00070C55" w:rsidRPr="00070C55">
                    <w:rPr>
                      <w:rFonts w:asciiTheme="majorHAnsi" w:hAnsiTheme="majorHAnsi"/>
                      <w:i/>
                      <w:iCs/>
                      <w:noProof/>
                    </w:rPr>
                    <w:t>ECONOMIC DEVELOPMENT QUARTERLY, 15</w:t>
                  </w:r>
                  <w:r w:rsidR="00070C55" w:rsidRPr="00070C55">
                    <w:rPr>
                      <w:rFonts w:asciiTheme="majorHAnsi" w:hAnsiTheme="majorHAnsi"/>
                      <w:noProof/>
                    </w:rPr>
                    <w:t>(3), 217-228.</w:t>
                  </w:r>
                </w:p>
                <w:p w14:paraId="28CD8145" w14:textId="77777777" w:rsidR="00070C55" w:rsidRDefault="00070C55" w:rsidP="00070C55">
                  <w:pPr>
                    <w:pStyle w:val="Bibliography"/>
                    <w:ind w:left="720" w:hanging="720"/>
                    <w:rPr>
                      <w:rFonts w:asciiTheme="majorHAnsi" w:hAnsiTheme="majorHAnsi"/>
                      <w:noProof/>
                    </w:rPr>
                  </w:pPr>
                  <w:r w:rsidRPr="00070C55">
                    <w:rPr>
                      <w:rFonts w:asciiTheme="majorHAnsi" w:hAnsiTheme="majorHAnsi"/>
                      <w:i/>
                      <w:iCs/>
                      <w:noProof/>
                    </w:rPr>
                    <w:t>MODELS: TAX-PI</w:t>
                  </w:r>
                  <w:r w:rsidRPr="00070C55">
                    <w:rPr>
                      <w:rFonts w:asciiTheme="majorHAnsi" w:hAnsiTheme="majorHAnsi"/>
                      <w:noProof/>
                    </w:rPr>
                    <w:t>. (n.d.). Retrieved from Regional Economic Models, Inc.: https://www.remi.com/model/tax-pi/</w:t>
                  </w:r>
                </w:p>
                <w:p w14:paraId="6EE4F853" w14:textId="77777777" w:rsidR="00070C55" w:rsidRPr="00070C55" w:rsidRDefault="00070C55" w:rsidP="00070C55">
                  <w:pPr>
                    <w:pStyle w:val="Bibliography"/>
                    <w:ind w:left="720" w:hanging="720"/>
                    <w:rPr>
                      <w:rFonts w:asciiTheme="majorHAnsi" w:hAnsiTheme="majorHAnsi"/>
                      <w:noProof/>
                    </w:rPr>
                  </w:pPr>
                  <w:r w:rsidRPr="00070C55">
                    <w:rPr>
                      <w:rFonts w:asciiTheme="majorHAnsi" w:hAnsiTheme="majorHAnsi"/>
                      <w:noProof/>
                    </w:rPr>
                    <w:t xml:space="preserve">Watson, G. (2020, May). </w:t>
                  </w:r>
                  <w:r w:rsidRPr="00070C55">
                    <w:rPr>
                      <w:rFonts w:asciiTheme="majorHAnsi" w:hAnsiTheme="majorHAnsi"/>
                      <w:i/>
                      <w:iCs/>
                      <w:noProof/>
                    </w:rPr>
                    <w:t>Advancing Net Operating Loss Deductions in Phase 4 Business Relief.</w:t>
                  </w:r>
                  <w:r w:rsidRPr="00070C55">
                    <w:rPr>
                      <w:rFonts w:asciiTheme="majorHAnsi" w:hAnsiTheme="majorHAnsi"/>
                      <w:noProof/>
                    </w:rPr>
                    <w:t xml:space="preserve"> Retrieved from FISCAL FACT: https://taxfoundation.org/phase-4-coronavirus-relief-net-operating-loss-business-relief/</w:t>
                  </w:r>
                </w:p>
                <w:p w14:paraId="61177432" w14:textId="77777777" w:rsidR="00610020" w:rsidRDefault="00610020" w:rsidP="00070C55">
                  <w:pPr>
                    <w:pStyle w:val="Bibliography"/>
                    <w:ind w:left="720" w:hanging="720"/>
                  </w:pPr>
                  <w:r w:rsidRPr="00070C55">
                    <w:rPr>
                      <w:rFonts w:asciiTheme="majorHAnsi" w:hAnsiTheme="majorHAnsi"/>
                      <w:b/>
                      <w:bCs/>
                      <w:noProof/>
                    </w:rPr>
                    <w:fldChar w:fldCharType="end"/>
                  </w:r>
                </w:p>
              </w:sdtContent>
            </w:sdt>
          </w:sdtContent>
        </w:sdt>
      </w:sdtContent>
    </w:sdt>
    <w:p w14:paraId="5BD19FAB" w14:textId="77777777" w:rsidR="006253F3" w:rsidRDefault="006253F3">
      <w:pPr>
        <w:rPr>
          <w:rFonts w:asciiTheme="majorHAnsi" w:hAnsiTheme="majorHAnsi"/>
          <w:b/>
          <w:sz w:val="32"/>
          <w:szCs w:val="32"/>
        </w:rPr>
      </w:pPr>
      <w:r>
        <w:rPr>
          <w:rFonts w:asciiTheme="majorHAnsi" w:hAnsiTheme="majorHAnsi"/>
          <w:b/>
          <w:sz w:val="32"/>
          <w:szCs w:val="32"/>
        </w:rPr>
        <w:br w:type="page"/>
      </w:r>
    </w:p>
    <w:p w14:paraId="13E7467B" w14:textId="77777777" w:rsidR="00EC1F73" w:rsidRPr="008C67C1" w:rsidRDefault="00EC1F73" w:rsidP="00EC1F73">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2A878A9E" w14:textId="77777777" w:rsidR="00EC1F73" w:rsidRDefault="00EC1F73" w:rsidP="00EC1F73">
      <w:pPr>
        <w:rPr>
          <w:rFonts w:asciiTheme="majorHAnsi" w:hAnsiTheme="majorHAnsi"/>
          <w:bCs/>
          <w:sz w:val="24"/>
          <w:szCs w:val="24"/>
        </w:rPr>
      </w:pPr>
      <w:r>
        <w:rPr>
          <w:rFonts w:asciiTheme="majorHAnsi" w:hAnsiTheme="majorHAnsi"/>
          <w:bCs/>
          <w:sz w:val="24"/>
          <w:szCs w:val="24"/>
        </w:rPr>
        <w:t>The text of the report discusse</w:t>
      </w:r>
      <w:r w:rsidR="00EE3614">
        <w:rPr>
          <w:rFonts w:asciiTheme="majorHAnsi" w:hAnsiTheme="majorHAnsi"/>
          <w:bCs/>
          <w:sz w:val="24"/>
          <w:szCs w:val="24"/>
        </w:rPr>
        <w:t>s</w:t>
      </w:r>
      <w:r>
        <w:rPr>
          <w:rFonts w:asciiTheme="majorHAnsi" w:hAnsiTheme="majorHAnsi"/>
          <w:bCs/>
          <w:sz w:val="24"/>
          <w:szCs w:val="24"/>
        </w:rPr>
        <w:t xml:space="preserve"> 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4"/>
      </w:r>
      <w:r>
        <w:rPr>
          <w:rFonts w:asciiTheme="majorHAnsi" w:hAnsiTheme="majorHAnsi"/>
          <w:bCs/>
          <w:sz w:val="24"/>
          <w:szCs w:val="24"/>
        </w:rPr>
        <w:t>) and direct benefits (to taxpayers who claim the benefits) of this tax expenditure. It also summarize</w:t>
      </w:r>
      <w:r w:rsidR="00EE3614">
        <w:rPr>
          <w:rFonts w:asciiTheme="majorHAnsi" w:hAnsiTheme="majorHAnsi"/>
          <w:bCs/>
          <w:sz w:val="24"/>
          <w:szCs w:val="24"/>
        </w:rPr>
        <w:t>s</w:t>
      </w:r>
      <w:r>
        <w:rPr>
          <w:rFonts w:asciiTheme="majorHAnsi" w:hAnsiTheme="majorHAnsi"/>
          <w:bCs/>
          <w:sz w:val="24"/>
          <w:szCs w:val="24"/>
        </w:rPr>
        <w:t xml:space="preserve"> indirect and induced costs and benefits associated with this tax expenditure.  This appendix will discuss the indirect and induced, as well as other costs and benefits in more detail.</w:t>
      </w:r>
    </w:p>
    <w:p w14:paraId="2CDD9023" w14:textId="77777777" w:rsidR="00EC1F73" w:rsidRDefault="00EC1F73" w:rsidP="00EC1F73">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4AEF6628" w14:textId="77777777" w:rsidR="00EC1F73" w:rsidRPr="00EB68D5" w:rsidRDefault="00EC1F73" w:rsidP="00EC1F73">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5D2EE565" w14:textId="77777777" w:rsidR="00EC1F73" w:rsidRDefault="00EC1F73" w:rsidP="00EC1F73">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w:t>
      </w:r>
      <w:r w:rsidR="00EE3614">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assuming </w:t>
      </w:r>
      <w:r w:rsidR="00EE3614">
        <w:rPr>
          <w:rFonts w:asciiTheme="majorHAnsi" w:eastAsiaTheme="majorEastAsia" w:hAnsiTheme="majorHAnsi" w:cstheme="majorBidi"/>
          <w:bCs/>
          <w:color w:val="000000" w:themeColor="text1"/>
          <w:sz w:val="24"/>
          <w:szCs w:val="24"/>
        </w:rPr>
        <w:t xml:space="preserve">that there is </w:t>
      </w:r>
      <w:r>
        <w:rPr>
          <w:rFonts w:asciiTheme="majorHAnsi" w:eastAsiaTheme="majorEastAsia" w:hAnsiTheme="majorHAnsi" w:cstheme="majorBidi"/>
          <w:bCs/>
          <w:color w:val="000000" w:themeColor="text1"/>
          <w:sz w:val="24"/>
          <w:szCs w:val="24"/>
        </w:rPr>
        <w:t>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001B0BBD" w:rsidRPr="00AF6539">
        <w:rPr>
          <w:rFonts w:asciiTheme="majorHAnsi" w:eastAsiaTheme="majorEastAsia" w:hAnsiTheme="majorHAnsi" w:cstheme="majorBidi"/>
          <w:b/>
          <w:color w:val="000000" w:themeColor="text1"/>
          <w:sz w:val="24"/>
          <w:szCs w:val="24"/>
        </w:rPr>
        <w:t>“</w:t>
      </w:r>
      <w:r w:rsidRPr="002E73F2">
        <w:rPr>
          <w:rFonts w:asciiTheme="majorHAnsi" w:eastAsiaTheme="majorEastAsia" w:hAnsiTheme="majorHAnsi" w:cstheme="majorBidi"/>
          <w:b/>
          <w:color w:val="000000" w:themeColor="text1"/>
          <w:sz w:val="24"/>
          <w:szCs w:val="24"/>
        </w:rPr>
        <w:t>opportunity cost</w:t>
      </w:r>
      <w:r w:rsidR="001B0BBD">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w:t>
      </w:r>
      <w:r w:rsidR="00EE3614">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not only the impact on the businesses and their employees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w:t>
      </w:r>
      <w:r>
        <w:rPr>
          <w:rStyle w:val="FootnoteReference"/>
          <w:rFonts w:asciiTheme="majorHAnsi" w:eastAsiaTheme="majorEastAsia" w:hAnsiTheme="majorHAnsi"/>
          <w:bCs/>
          <w:color w:val="000000" w:themeColor="text1"/>
          <w:sz w:val="24"/>
          <w:szCs w:val="24"/>
        </w:rPr>
        <w:footnoteReference w:id="5"/>
      </w:r>
      <w:r>
        <w:rPr>
          <w:rFonts w:asciiTheme="majorHAnsi" w:eastAsiaTheme="majorEastAsia" w:hAnsiTheme="majorHAnsi" w:cstheme="majorBidi"/>
          <w:bCs/>
          <w:color w:val="000000" w:themeColor="text1"/>
          <w:sz w:val="24"/>
          <w:szCs w:val="24"/>
        </w:rPr>
        <w:t xml:space="preserve"> </w:t>
      </w:r>
    </w:p>
    <w:p w14:paraId="6B233DDD"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42092FE3" w14:textId="77777777" w:rsidR="00EC1F73" w:rsidRDefault="00EC1F73" w:rsidP="00EC1F73">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 xml:space="preserve">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w:t>
      </w:r>
      <w:r w:rsidR="001B0BBD">
        <w:rPr>
          <w:rFonts w:asciiTheme="majorHAnsi" w:eastAsiaTheme="majorEastAsia" w:hAnsiTheme="majorHAnsi" w:cstheme="majorBidi"/>
          <w:bCs/>
          <w:color w:val="000000" w:themeColor="text1"/>
          <w:sz w:val="24"/>
          <w:szCs w:val="24"/>
        </w:rPr>
        <w:t>has</w:t>
      </w:r>
      <w:r>
        <w:rPr>
          <w:rFonts w:asciiTheme="majorHAnsi" w:eastAsiaTheme="majorEastAsia" w:hAnsiTheme="majorHAnsi" w:cstheme="majorBidi"/>
          <w:bCs/>
          <w:color w:val="000000" w:themeColor="text1"/>
          <w:sz w:val="24"/>
          <w:szCs w:val="24"/>
        </w:rPr>
        <w:t xml:space="preserve">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xml:space="preserve">, the reduced spending is assumed to </w:t>
      </w:r>
      <w:r w:rsidR="001B0BBD" w:rsidRPr="00DF1213">
        <w:rPr>
          <w:rFonts w:asciiTheme="majorHAnsi" w:eastAsiaTheme="majorEastAsia" w:hAnsiTheme="majorHAnsi" w:cstheme="majorBidi"/>
          <w:bCs/>
          <w:color w:val="000000" w:themeColor="text1"/>
          <w:sz w:val="24"/>
          <w:szCs w:val="24"/>
        </w:rPr>
        <w:t>be</w:t>
      </w:r>
      <w:r w:rsidR="001B0BBD">
        <w:rPr>
          <w:rFonts w:asciiTheme="majorHAnsi" w:eastAsiaTheme="majorEastAsia" w:hAnsiTheme="majorHAnsi" w:cstheme="majorBidi"/>
          <w:bCs/>
          <w:color w:val="000000" w:themeColor="text1"/>
          <w:sz w:val="24"/>
          <w:szCs w:val="24"/>
        </w:rPr>
        <w:t xml:space="preserve"> </w:t>
      </w:r>
      <w:r w:rsidR="004700E6">
        <w:rPr>
          <w:rFonts w:asciiTheme="majorHAnsi" w:eastAsiaTheme="majorEastAsia" w:hAnsiTheme="majorHAnsi" w:cstheme="majorBidi"/>
          <w:bCs/>
          <w:color w:val="000000" w:themeColor="text1"/>
          <w:sz w:val="24"/>
          <w:szCs w:val="24"/>
        </w:rPr>
        <w:t>proportionally</w:t>
      </w:r>
      <w:r w:rsidR="001B0BBD">
        <w:rPr>
          <w:rFonts w:asciiTheme="majorHAnsi" w:eastAsiaTheme="majorEastAsia" w:hAnsiTheme="majorHAnsi" w:cstheme="majorBidi"/>
          <w:bCs/>
          <w:color w:val="000000" w:themeColor="text1"/>
          <w:sz w:val="24"/>
          <w:szCs w:val="24"/>
        </w:rPr>
        <w:t xml:space="preserve"> distributed across</w:t>
      </w:r>
      <w:r w:rsidR="001B0BBD" w:rsidRPr="00DF1213">
        <w:rPr>
          <w:rFonts w:asciiTheme="majorHAnsi" w:eastAsiaTheme="majorEastAsia" w:hAnsiTheme="majorHAnsi" w:cstheme="majorBidi"/>
          <w:bCs/>
          <w:color w:val="000000" w:themeColor="text1"/>
          <w:sz w:val="24"/>
          <w:szCs w:val="24"/>
        </w:rPr>
        <w:t xml:space="preserve"> the Commonwealth’s </w:t>
      </w:r>
      <w:r w:rsidR="001B0BBD">
        <w:rPr>
          <w:rFonts w:asciiTheme="majorHAnsi" w:eastAsiaTheme="majorEastAsia" w:hAnsiTheme="majorHAnsi" w:cstheme="majorBidi"/>
          <w:bCs/>
          <w:color w:val="000000" w:themeColor="text1"/>
          <w:sz w:val="24"/>
          <w:szCs w:val="24"/>
        </w:rPr>
        <w:t xml:space="preserve">current </w:t>
      </w:r>
      <w:r w:rsidR="001B0BBD" w:rsidRPr="00DF1213">
        <w:rPr>
          <w:rFonts w:asciiTheme="majorHAnsi" w:eastAsiaTheme="majorEastAsia" w:hAnsiTheme="majorHAnsi" w:cstheme="majorBidi"/>
          <w:bCs/>
          <w:color w:val="000000" w:themeColor="text1"/>
          <w:sz w:val="24"/>
          <w:szCs w:val="24"/>
        </w:rPr>
        <w:t>expenditure</w:t>
      </w:r>
      <w:r w:rsidR="001B0BBD">
        <w:rPr>
          <w:rFonts w:asciiTheme="majorHAnsi" w:eastAsiaTheme="majorEastAsia" w:hAnsiTheme="majorHAnsi" w:cstheme="majorBidi"/>
          <w:bCs/>
          <w:color w:val="000000" w:themeColor="text1"/>
          <w:sz w:val="24"/>
          <w:szCs w:val="24"/>
        </w:rPr>
        <w:t>s</w:t>
      </w:r>
      <w:r w:rsidRPr="00DF1213">
        <w:rPr>
          <w:rFonts w:asciiTheme="majorHAnsi" w:eastAsiaTheme="majorEastAsia" w:hAnsiTheme="majorHAnsi" w:cstheme="majorBidi"/>
          <w:bCs/>
          <w:color w:val="000000" w:themeColor="text1"/>
          <w:sz w:val="24"/>
          <w:szCs w:val="24"/>
        </w:rPr>
        <w:t>.</w:t>
      </w:r>
    </w:p>
    <w:p w14:paraId="757EE0D1"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1F83AB76" w14:textId="77777777" w:rsidR="00EC1F73" w:rsidRPr="00E0511F" w:rsidRDefault="00EC1F73" w:rsidP="00EC1F73">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(direct, indirect and induced)</w:t>
      </w:r>
    </w:p>
    <w:p w14:paraId="19559953" w14:textId="77777777" w:rsidR="00EC1F73" w:rsidRDefault="00EC1F73" w:rsidP="00EC1F73">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03E7B543" w14:textId="77777777" w:rsidR="00EC1F73" w:rsidRDefault="00EC1F73" w:rsidP="00EC1F73">
      <w:pPr>
        <w:spacing w:after="0"/>
        <w:rPr>
          <w:rFonts w:asciiTheme="majorHAnsi" w:hAnsiTheme="majorHAnsi"/>
          <w:bCs/>
          <w:sz w:val="24"/>
          <w:szCs w:val="24"/>
        </w:rPr>
      </w:pPr>
    </w:p>
    <w:p w14:paraId="6B216FFA" w14:textId="60A6D660" w:rsidR="00EC1F73" w:rsidRDefault="00EC1F73" w:rsidP="00EC1F73">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w:t>
      </w:r>
      <w:r w:rsidR="00A94EEE">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with real state GDP declining </w:t>
      </w:r>
      <w:r>
        <w:rPr>
          <w:rFonts w:asciiTheme="majorHAnsi" w:eastAsiaTheme="majorEastAsia" w:hAnsiTheme="majorHAnsi" w:cstheme="majorBidi"/>
          <w:bCs/>
          <w:color w:val="000000" w:themeColor="text1"/>
          <w:sz w:val="24"/>
          <w:szCs w:val="24"/>
        </w:rPr>
        <w:t xml:space="preserve">by </w:t>
      </w:r>
      <w:r w:rsidR="00C52D6B" w:rsidRPr="00857C1A">
        <w:rPr>
          <w:rFonts w:asciiTheme="majorHAnsi" w:eastAsiaTheme="majorEastAsia" w:hAnsiTheme="majorHAnsi" w:cstheme="majorBidi"/>
          <w:bCs/>
          <w:color w:val="000000" w:themeColor="text1"/>
          <w:sz w:val="24"/>
          <w:szCs w:val="24"/>
        </w:rPr>
        <w:t>$</w:t>
      </w:r>
      <w:r w:rsidR="00C52D6B">
        <w:rPr>
          <w:rFonts w:asciiTheme="majorHAnsi" w:eastAsiaTheme="majorEastAsia" w:hAnsiTheme="majorHAnsi" w:cstheme="majorBidi"/>
          <w:bCs/>
          <w:color w:val="000000" w:themeColor="text1"/>
          <w:sz w:val="24"/>
          <w:szCs w:val="24"/>
        </w:rPr>
        <w:t>377</w:t>
      </w:r>
      <w:r w:rsidR="00C52D6B" w:rsidRPr="00857C1A">
        <w:rPr>
          <w:rFonts w:asciiTheme="majorHAnsi" w:eastAsiaTheme="majorEastAsia" w:hAnsiTheme="majorHAnsi" w:cstheme="majorBidi"/>
          <w:bCs/>
          <w:color w:val="000000" w:themeColor="text1"/>
          <w:sz w:val="24"/>
          <w:szCs w:val="24"/>
        </w:rPr>
        <w:t xml:space="preserve"> million</w:t>
      </w:r>
      <w:r w:rsidR="00C52D6B">
        <w:rPr>
          <w:rFonts w:asciiTheme="majorHAnsi" w:eastAsiaTheme="majorEastAsia" w:hAnsiTheme="majorHAnsi" w:cstheme="majorBidi"/>
          <w:bCs/>
          <w:color w:val="000000" w:themeColor="text1"/>
          <w:sz w:val="24"/>
          <w:szCs w:val="24"/>
        </w:rPr>
        <w:t xml:space="preserve"> </w:t>
      </w:r>
      <w:r w:rsidR="00C52D6B" w:rsidRPr="00857C1A">
        <w:rPr>
          <w:rFonts w:asciiTheme="majorHAnsi" w:eastAsiaTheme="majorEastAsia" w:hAnsiTheme="majorHAnsi" w:cstheme="majorBidi"/>
          <w:bCs/>
          <w:color w:val="000000" w:themeColor="text1"/>
          <w:sz w:val="24"/>
          <w:szCs w:val="24"/>
        </w:rPr>
        <w:t>-</w:t>
      </w:r>
      <w:r w:rsidR="00C52D6B">
        <w:rPr>
          <w:rFonts w:asciiTheme="majorHAnsi" w:eastAsiaTheme="majorEastAsia" w:hAnsiTheme="majorHAnsi" w:cstheme="majorBidi"/>
          <w:bCs/>
          <w:color w:val="000000" w:themeColor="text1"/>
          <w:sz w:val="24"/>
          <w:szCs w:val="24"/>
        </w:rPr>
        <w:t xml:space="preserve"> </w:t>
      </w:r>
      <w:r w:rsidR="00C52D6B" w:rsidRPr="00857C1A">
        <w:rPr>
          <w:rFonts w:asciiTheme="majorHAnsi" w:eastAsiaTheme="majorEastAsia" w:hAnsiTheme="majorHAnsi" w:cstheme="majorBidi"/>
          <w:bCs/>
          <w:color w:val="000000" w:themeColor="text1"/>
          <w:sz w:val="24"/>
          <w:szCs w:val="24"/>
        </w:rPr>
        <w:t>$</w:t>
      </w:r>
      <w:r w:rsidR="00C52D6B">
        <w:rPr>
          <w:rFonts w:asciiTheme="majorHAnsi" w:eastAsiaTheme="majorEastAsia" w:hAnsiTheme="majorHAnsi" w:cstheme="majorBidi"/>
          <w:bCs/>
          <w:color w:val="000000" w:themeColor="text1"/>
          <w:sz w:val="24"/>
          <w:szCs w:val="24"/>
        </w:rPr>
        <w:t>428</w:t>
      </w:r>
      <w:r w:rsidR="00C52D6B"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00C52D6B" w:rsidRPr="006B5573">
        <w:rPr>
          <w:rFonts w:asciiTheme="majorHAnsi" w:eastAsiaTheme="majorEastAsia" w:hAnsiTheme="majorHAnsi" w:cstheme="majorBidi"/>
          <w:bCs/>
          <w:color w:val="000000" w:themeColor="text1"/>
          <w:sz w:val="24"/>
          <w:szCs w:val="24"/>
        </w:rPr>
        <w:t>4,364</w:t>
      </w:r>
      <w:r w:rsidR="00C52D6B" w:rsidRPr="00857C1A">
        <w:rPr>
          <w:rFonts w:asciiTheme="majorHAnsi" w:eastAsiaTheme="majorEastAsia" w:hAnsiTheme="majorHAnsi" w:cstheme="majorBidi"/>
          <w:bCs/>
          <w:color w:val="000000" w:themeColor="text1"/>
          <w:sz w:val="24"/>
          <w:szCs w:val="24"/>
        </w:rPr>
        <w:t>-</w:t>
      </w:r>
      <w:r w:rsidR="00C52D6B">
        <w:rPr>
          <w:rFonts w:asciiTheme="majorHAnsi" w:eastAsiaTheme="majorEastAsia" w:hAnsiTheme="majorHAnsi" w:cstheme="majorBidi"/>
          <w:bCs/>
          <w:color w:val="000000" w:themeColor="text1"/>
          <w:sz w:val="24"/>
          <w:szCs w:val="24"/>
        </w:rPr>
        <w:t xml:space="preserve"> </w:t>
      </w:r>
      <w:r w:rsidR="00C52D6B" w:rsidRPr="006B5573">
        <w:rPr>
          <w:rFonts w:asciiTheme="majorHAnsi" w:eastAsiaTheme="majorEastAsia" w:hAnsiTheme="majorHAnsi" w:cstheme="majorBidi"/>
          <w:bCs/>
          <w:color w:val="000000" w:themeColor="text1"/>
          <w:sz w:val="24"/>
          <w:szCs w:val="24"/>
        </w:rPr>
        <w:t xml:space="preserve">4,859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annually. Lost economic activit</w:t>
      </w:r>
      <w:r w:rsidR="00A94EEE">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result</w:t>
      </w:r>
      <w:r w:rsidR="00A94EEE">
        <w:rPr>
          <w:rFonts w:asciiTheme="majorHAnsi" w:eastAsiaTheme="majorEastAsia" w:hAnsiTheme="majorHAnsi" w:cstheme="majorBidi"/>
          <w:bCs/>
          <w:color w:val="000000" w:themeColor="text1"/>
          <w:sz w:val="24"/>
          <w:szCs w:val="24"/>
        </w:rPr>
        <w:t>s</w:t>
      </w:r>
      <w:r w:rsidRPr="00D86973">
        <w:rPr>
          <w:rFonts w:asciiTheme="majorHAnsi" w:eastAsiaTheme="majorEastAsia" w:hAnsiTheme="majorHAnsi" w:cstheme="majorBidi"/>
          <w:bCs/>
          <w:color w:val="000000" w:themeColor="text1"/>
          <w:sz w:val="24"/>
          <w:szCs w:val="24"/>
        </w:rPr>
        <w:t xml:space="preserve">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 xml:space="preserve">revenues, ranging from </w:t>
      </w:r>
      <w:r w:rsidR="00C52D6B" w:rsidRPr="00857C1A">
        <w:rPr>
          <w:rFonts w:asciiTheme="majorHAnsi" w:eastAsiaTheme="majorEastAsia" w:hAnsiTheme="majorHAnsi" w:cstheme="majorBidi"/>
          <w:bCs/>
          <w:color w:val="000000" w:themeColor="text1"/>
          <w:sz w:val="24"/>
          <w:szCs w:val="24"/>
        </w:rPr>
        <w:t>$</w:t>
      </w:r>
      <w:r w:rsidR="00C52D6B">
        <w:rPr>
          <w:rFonts w:asciiTheme="majorHAnsi" w:eastAsiaTheme="majorEastAsia" w:hAnsiTheme="majorHAnsi" w:cstheme="majorBidi"/>
          <w:bCs/>
          <w:color w:val="000000" w:themeColor="text1"/>
          <w:sz w:val="24"/>
          <w:szCs w:val="24"/>
        </w:rPr>
        <w:t>8.0</w:t>
      </w:r>
      <w:r w:rsidR="00C52D6B" w:rsidRPr="00857C1A">
        <w:rPr>
          <w:rFonts w:asciiTheme="majorHAnsi" w:eastAsiaTheme="majorEastAsia" w:hAnsiTheme="majorHAnsi" w:cstheme="majorBidi"/>
          <w:bCs/>
          <w:color w:val="000000" w:themeColor="text1"/>
          <w:sz w:val="24"/>
          <w:szCs w:val="24"/>
        </w:rPr>
        <w:t xml:space="preserve"> million to $</w:t>
      </w:r>
      <w:r w:rsidR="00C52D6B">
        <w:rPr>
          <w:rFonts w:asciiTheme="majorHAnsi" w:eastAsiaTheme="majorEastAsia" w:hAnsiTheme="majorHAnsi" w:cstheme="majorBidi"/>
          <w:bCs/>
          <w:color w:val="000000" w:themeColor="text1"/>
          <w:sz w:val="24"/>
          <w:szCs w:val="24"/>
        </w:rPr>
        <w:t>23.2</w:t>
      </w:r>
      <w:r w:rsidR="00C52D6B"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 xml:space="preserve">Note that the revenue impact reported in Table A1 does not include the estimated direct impact of the tax expenditure from Table </w:t>
      </w:r>
      <w:r w:rsidR="00C52D6B">
        <w:rPr>
          <w:rFonts w:asciiTheme="majorHAnsi" w:eastAsiaTheme="majorEastAsia" w:hAnsiTheme="majorHAnsi" w:cstheme="majorBidi"/>
          <w:bCs/>
          <w:color w:val="000000" w:themeColor="text1"/>
          <w:sz w:val="24"/>
          <w:szCs w:val="24"/>
        </w:rPr>
        <w:t>3</w:t>
      </w:r>
      <w:r>
        <w:rPr>
          <w:rFonts w:asciiTheme="majorHAnsi" w:eastAsiaTheme="majorEastAsia" w:hAnsiTheme="majorHAnsi" w:cstheme="majorBidi"/>
          <w:bCs/>
          <w:color w:val="000000" w:themeColor="text1"/>
          <w:sz w:val="24"/>
          <w:szCs w:val="24"/>
        </w:rPr>
        <w:t>, but only the additional indirect/induced impact.</w:t>
      </w:r>
    </w:p>
    <w:p w14:paraId="7CD1C333" w14:textId="77777777" w:rsidR="00EC1F73" w:rsidRDefault="00EC1F73" w:rsidP="00EC1F73">
      <w:pPr>
        <w:spacing w:after="0"/>
        <w:rPr>
          <w:rFonts w:asciiTheme="majorHAnsi" w:hAnsiTheme="majorHAnsi"/>
          <w:bCs/>
          <w:sz w:val="24"/>
          <w:szCs w:val="24"/>
        </w:rPr>
      </w:pPr>
    </w:p>
    <w:p w14:paraId="163A85A0" w14:textId="77777777" w:rsidR="00EC1F73" w:rsidRDefault="00EC1F73" w:rsidP="00EC1F73">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EC1F73" w:rsidRPr="008B33E0" w14:paraId="3894F2C0" w14:textId="77777777" w:rsidTr="007F4B47">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E24F59C" w14:textId="77777777" w:rsidR="00EC1F73" w:rsidRPr="008B33E0" w:rsidRDefault="00EC1F73" w:rsidP="007F4B47">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4AEF3B23" w14:textId="77777777" w:rsidR="00EC1F73" w:rsidRPr="008B33E0" w:rsidRDefault="00EC1F73" w:rsidP="007F4B47">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56BC82E8" w14:textId="77777777" w:rsidR="00EC1F73" w:rsidRPr="008B33E0" w:rsidRDefault="00EC1F73" w:rsidP="007F4B47">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8F6EC47" w14:textId="77777777" w:rsidR="00EC1F73" w:rsidRPr="008B33E0" w:rsidRDefault="00EC1F73" w:rsidP="007F4B47">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53D32C25" w14:textId="77777777" w:rsidR="00EC1F73" w:rsidRPr="008B33E0" w:rsidRDefault="00EC1F73" w:rsidP="007F4B47">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75164CD" w14:textId="77777777" w:rsidR="00EC1F73" w:rsidRPr="008B33E0" w:rsidRDefault="00EC1F73" w:rsidP="007F4B47">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C52D6B" w:rsidRPr="008B33E0" w14:paraId="03AD2CF8" w14:textId="77777777" w:rsidTr="007F4B47">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45318744" w14:textId="77777777" w:rsidR="00C52D6B" w:rsidRPr="008B33E0" w:rsidRDefault="00C52D6B" w:rsidP="00C52D6B">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1B8A" w14:textId="77777777" w:rsidR="00C52D6B" w:rsidRPr="008B33E0"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-$8,041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7C703CD2" w14:textId="77777777" w:rsidR="00C52D6B" w:rsidRPr="008B33E0"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-$17,952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78DA2D43" w14:textId="77777777" w:rsidR="00C52D6B" w:rsidRPr="008B33E0"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-$20,598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65074F9C" w14:textId="77777777" w:rsidR="00C52D6B" w:rsidRPr="008B33E0"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-$22,381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6485FFA4" w14:textId="77777777" w:rsidR="00C52D6B" w:rsidRPr="008B33E0"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-$23,232</w:t>
            </w:r>
          </w:p>
        </w:tc>
      </w:tr>
    </w:tbl>
    <w:p w14:paraId="25A2D946" w14:textId="7B7B0ABF" w:rsidR="00EC1F73" w:rsidRPr="00304366" w:rsidRDefault="00EC1F73" w:rsidP="00EC1F73">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w:t>
      </w:r>
      <w:r w:rsidR="00A94EEE">
        <w:rPr>
          <w:rFonts w:asciiTheme="majorHAnsi" w:eastAsiaTheme="majorEastAsia" w:hAnsiTheme="majorHAnsi" w:cstheme="majorBidi"/>
          <w:bCs/>
          <w:color w:val="000000" w:themeColor="text1"/>
          <w:sz w:val="20"/>
          <w:szCs w:val="20"/>
        </w:rPr>
        <w:t>y</w:t>
      </w:r>
      <w:r w:rsidRPr="00304366">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the </w:t>
      </w:r>
      <w:r w:rsidR="00C52D6B">
        <w:rPr>
          <w:rFonts w:asciiTheme="majorHAnsi" w:eastAsiaTheme="majorEastAsia" w:hAnsiTheme="majorHAnsi" w:cstheme="majorBidi"/>
          <w:bCs/>
          <w:color w:val="000000" w:themeColor="text1"/>
          <w:sz w:val="20"/>
          <w:szCs w:val="20"/>
        </w:rPr>
        <w:t>NOL deduction</w:t>
      </w:r>
      <w:r w:rsidRPr="00304366">
        <w:rPr>
          <w:rFonts w:asciiTheme="majorHAnsi" w:eastAsiaTheme="majorEastAsia" w:hAnsiTheme="majorHAnsi" w:cstheme="majorBidi"/>
          <w:bCs/>
          <w:color w:val="000000" w:themeColor="text1"/>
          <w:sz w:val="20"/>
          <w:szCs w:val="20"/>
        </w:rPr>
        <w:t>.</w:t>
      </w:r>
    </w:p>
    <w:p w14:paraId="7376083A"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122682F2" w14:textId="77777777" w:rsidR="00EC1F73" w:rsidRDefault="00EC1F73" w:rsidP="00EC1F73">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due to Decreased Government Spending by Selected Economic Measure*</w:t>
      </w:r>
    </w:p>
    <w:tbl>
      <w:tblPr>
        <w:tblW w:w="9265" w:type="dxa"/>
        <w:jc w:val="center"/>
        <w:tblLook w:val="04A0" w:firstRow="1" w:lastRow="0" w:firstColumn="1" w:lastColumn="0" w:noHBand="0" w:noVBand="1"/>
      </w:tblPr>
      <w:tblGrid>
        <w:gridCol w:w="2735"/>
        <w:gridCol w:w="1323"/>
        <w:gridCol w:w="1323"/>
        <w:gridCol w:w="1323"/>
        <w:gridCol w:w="1323"/>
        <w:gridCol w:w="1238"/>
      </w:tblGrid>
      <w:tr w:rsidR="00EC1F73" w:rsidRPr="00DC336F" w14:paraId="37891F6C" w14:textId="77777777" w:rsidTr="007F4B47">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A7A4AB7" w14:textId="77777777" w:rsidR="00EC1F73" w:rsidRPr="00DC336F" w:rsidRDefault="00EC1F73" w:rsidP="007F4B47">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70912F49" w14:textId="77777777" w:rsidR="00EC1F73" w:rsidRPr="00DC336F" w:rsidRDefault="00EC1F73" w:rsidP="007F4B47">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0CCFF770" w14:textId="77777777" w:rsidR="00EC1F73" w:rsidRPr="00DC336F" w:rsidRDefault="00EC1F73" w:rsidP="007F4B47">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2154372A" w14:textId="77777777" w:rsidR="00EC1F73" w:rsidRPr="00DC336F" w:rsidRDefault="00EC1F73" w:rsidP="007F4B47">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36D517EE" w14:textId="77777777" w:rsidR="00EC1F73" w:rsidRPr="00DC336F" w:rsidRDefault="00EC1F73" w:rsidP="007F4B47">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38" w:type="dxa"/>
            <w:tcBorders>
              <w:top w:val="single" w:sz="4" w:space="0" w:color="auto"/>
              <w:left w:val="nil"/>
              <w:bottom w:val="single" w:sz="4" w:space="0" w:color="auto"/>
              <w:right w:val="single" w:sz="4" w:space="0" w:color="auto"/>
            </w:tcBorders>
            <w:shd w:val="clear" w:color="000000" w:fill="B7DEE8"/>
            <w:noWrap/>
            <w:vAlign w:val="center"/>
            <w:hideMark/>
          </w:tcPr>
          <w:p w14:paraId="2803DEDA" w14:textId="77777777" w:rsidR="00EC1F73" w:rsidRPr="00DC336F" w:rsidRDefault="00EC1F73" w:rsidP="007F4B47">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C52D6B" w:rsidRPr="00DC336F" w14:paraId="3F7AC910" w14:textId="77777777" w:rsidTr="007F4B47">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22873DFD" w14:textId="77777777" w:rsidR="00C52D6B" w:rsidRPr="00DC336F" w:rsidRDefault="00C52D6B" w:rsidP="00C52D6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DEE3"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-4,364</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7AB08B58"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-4,664</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1DEA9D9"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-4,859</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626E5D7"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-4,722</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C3430"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-4,530</w:t>
            </w:r>
          </w:p>
        </w:tc>
      </w:tr>
      <w:tr w:rsidR="00C52D6B" w:rsidRPr="00DC336F" w14:paraId="78223872" w14:textId="77777777" w:rsidTr="007F4B47">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64804A6B" w14:textId="77777777" w:rsidR="00C52D6B" w:rsidRPr="00DC336F" w:rsidRDefault="00C52D6B" w:rsidP="00C52D6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8B3E262"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-2,407</w:t>
            </w:r>
          </w:p>
        </w:tc>
        <w:tc>
          <w:tcPr>
            <w:tcW w:w="1323" w:type="dxa"/>
            <w:tcBorders>
              <w:top w:val="nil"/>
              <w:left w:val="nil"/>
              <w:bottom w:val="single" w:sz="4" w:space="0" w:color="auto"/>
              <w:right w:val="single" w:sz="4" w:space="0" w:color="auto"/>
            </w:tcBorders>
            <w:shd w:val="clear" w:color="auto" w:fill="auto"/>
            <w:noWrap/>
            <w:vAlign w:val="center"/>
            <w:hideMark/>
          </w:tcPr>
          <w:p w14:paraId="18009894"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-2,571</w:t>
            </w:r>
          </w:p>
        </w:tc>
        <w:tc>
          <w:tcPr>
            <w:tcW w:w="1323" w:type="dxa"/>
            <w:tcBorders>
              <w:top w:val="nil"/>
              <w:left w:val="nil"/>
              <w:bottom w:val="single" w:sz="4" w:space="0" w:color="auto"/>
              <w:right w:val="single" w:sz="4" w:space="0" w:color="auto"/>
            </w:tcBorders>
            <w:shd w:val="clear" w:color="auto" w:fill="auto"/>
            <w:noWrap/>
            <w:vAlign w:val="center"/>
            <w:hideMark/>
          </w:tcPr>
          <w:p w14:paraId="69EA2A79"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-2,689</w:t>
            </w:r>
          </w:p>
        </w:tc>
        <w:tc>
          <w:tcPr>
            <w:tcW w:w="1323" w:type="dxa"/>
            <w:tcBorders>
              <w:top w:val="nil"/>
              <w:left w:val="nil"/>
              <w:bottom w:val="single" w:sz="4" w:space="0" w:color="auto"/>
              <w:right w:val="single" w:sz="4" w:space="0" w:color="auto"/>
            </w:tcBorders>
            <w:shd w:val="clear" w:color="auto" w:fill="auto"/>
            <w:noWrap/>
            <w:vAlign w:val="center"/>
            <w:hideMark/>
          </w:tcPr>
          <w:p w14:paraId="576C5373"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-2,574</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71CA4767"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-2,411</w:t>
            </w:r>
          </w:p>
        </w:tc>
      </w:tr>
      <w:tr w:rsidR="00C52D6B" w:rsidRPr="00DC336F" w14:paraId="491F39E5" w14:textId="77777777" w:rsidTr="007F4B47">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53DC5B55" w14:textId="77777777" w:rsidR="00C52D6B" w:rsidRPr="00DC336F" w:rsidRDefault="00C52D6B" w:rsidP="00C52D6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7A8B7B3"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-$377,000</w:t>
            </w:r>
          </w:p>
        </w:tc>
        <w:tc>
          <w:tcPr>
            <w:tcW w:w="1323" w:type="dxa"/>
            <w:tcBorders>
              <w:top w:val="nil"/>
              <w:left w:val="nil"/>
              <w:bottom w:val="single" w:sz="4" w:space="0" w:color="auto"/>
              <w:right w:val="single" w:sz="4" w:space="0" w:color="auto"/>
            </w:tcBorders>
            <w:shd w:val="clear" w:color="auto" w:fill="auto"/>
            <w:noWrap/>
            <w:vAlign w:val="center"/>
            <w:hideMark/>
          </w:tcPr>
          <w:p w14:paraId="2E9C367B"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-$407,000</w:t>
            </w:r>
          </w:p>
        </w:tc>
        <w:tc>
          <w:tcPr>
            <w:tcW w:w="1323" w:type="dxa"/>
            <w:tcBorders>
              <w:top w:val="nil"/>
              <w:left w:val="nil"/>
              <w:bottom w:val="single" w:sz="4" w:space="0" w:color="auto"/>
              <w:right w:val="single" w:sz="4" w:space="0" w:color="auto"/>
            </w:tcBorders>
            <w:shd w:val="clear" w:color="auto" w:fill="auto"/>
            <w:noWrap/>
            <w:vAlign w:val="center"/>
            <w:hideMark/>
          </w:tcPr>
          <w:p w14:paraId="39E2C81A"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-$428,000</w:t>
            </w:r>
          </w:p>
        </w:tc>
        <w:tc>
          <w:tcPr>
            <w:tcW w:w="1323" w:type="dxa"/>
            <w:tcBorders>
              <w:top w:val="nil"/>
              <w:left w:val="nil"/>
              <w:bottom w:val="single" w:sz="4" w:space="0" w:color="auto"/>
              <w:right w:val="single" w:sz="4" w:space="0" w:color="auto"/>
            </w:tcBorders>
            <w:shd w:val="clear" w:color="auto" w:fill="auto"/>
            <w:noWrap/>
            <w:vAlign w:val="center"/>
            <w:hideMark/>
          </w:tcPr>
          <w:p w14:paraId="4C2368DB"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-$421,000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057A8A7B"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-$410,000</w:t>
            </w:r>
          </w:p>
        </w:tc>
      </w:tr>
      <w:tr w:rsidR="00C52D6B" w:rsidRPr="00DC336F" w14:paraId="7CF23181" w14:textId="77777777" w:rsidTr="007F4B47">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4DFCDC49" w14:textId="77777777" w:rsidR="00C52D6B" w:rsidRPr="00DC336F" w:rsidRDefault="00C52D6B" w:rsidP="00C52D6B">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89BAB0B"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-$314,000</w:t>
            </w:r>
          </w:p>
        </w:tc>
        <w:tc>
          <w:tcPr>
            <w:tcW w:w="1323" w:type="dxa"/>
            <w:tcBorders>
              <w:top w:val="nil"/>
              <w:left w:val="nil"/>
              <w:bottom w:val="single" w:sz="4" w:space="0" w:color="auto"/>
              <w:right w:val="single" w:sz="4" w:space="0" w:color="auto"/>
            </w:tcBorders>
            <w:shd w:val="clear" w:color="auto" w:fill="auto"/>
            <w:noWrap/>
            <w:vAlign w:val="center"/>
            <w:hideMark/>
          </w:tcPr>
          <w:p w14:paraId="06FDACA0"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-$372,000</w:t>
            </w:r>
          </w:p>
        </w:tc>
        <w:tc>
          <w:tcPr>
            <w:tcW w:w="1323" w:type="dxa"/>
            <w:tcBorders>
              <w:top w:val="nil"/>
              <w:left w:val="nil"/>
              <w:bottom w:val="single" w:sz="4" w:space="0" w:color="auto"/>
              <w:right w:val="single" w:sz="4" w:space="0" w:color="auto"/>
            </w:tcBorders>
            <w:shd w:val="clear" w:color="auto" w:fill="auto"/>
            <w:noWrap/>
            <w:vAlign w:val="center"/>
            <w:hideMark/>
          </w:tcPr>
          <w:p w14:paraId="4CD431B1"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-$420,000</w:t>
            </w:r>
          </w:p>
        </w:tc>
        <w:tc>
          <w:tcPr>
            <w:tcW w:w="1323" w:type="dxa"/>
            <w:tcBorders>
              <w:top w:val="nil"/>
              <w:left w:val="nil"/>
              <w:bottom w:val="single" w:sz="4" w:space="0" w:color="auto"/>
              <w:right w:val="single" w:sz="4" w:space="0" w:color="auto"/>
            </w:tcBorders>
            <w:shd w:val="clear" w:color="auto" w:fill="auto"/>
            <w:noWrap/>
            <w:vAlign w:val="center"/>
            <w:hideMark/>
          </w:tcPr>
          <w:p w14:paraId="03833CA7"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-$441,000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5CBA94FA" w14:textId="77777777" w:rsidR="00C52D6B" w:rsidRPr="00DC336F" w:rsidRDefault="00C52D6B" w:rsidP="00C52D6B">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-$454,000</w:t>
            </w:r>
          </w:p>
        </w:tc>
      </w:tr>
    </w:tbl>
    <w:p w14:paraId="72621746" w14:textId="3A58347A" w:rsidR="00EC1F73" w:rsidRPr="00304366" w:rsidRDefault="00EC1F73" w:rsidP="00EC1F73">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w:t>
      </w:r>
      <w:r w:rsidR="00A94EEE">
        <w:rPr>
          <w:rFonts w:asciiTheme="majorHAnsi" w:eastAsiaTheme="majorEastAsia" w:hAnsiTheme="majorHAnsi" w:cstheme="majorBidi"/>
          <w:bCs/>
          <w:color w:val="000000" w:themeColor="text1"/>
          <w:sz w:val="20"/>
          <w:szCs w:val="20"/>
        </w:rPr>
        <w:t>y</w:t>
      </w:r>
      <w:r w:rsidRPr="008A3AB7">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finance </w:t>
      </w:r>
      <w:r w:rsidRPr="00304366">
        <w:rPr>
          <w:rFonts w:asciiTheme="majorHAnsi" w:eastAsiaTheme="majorEastAsia" w:hAnsiTheme="majorHAnsi" w:cstheme="majorBidi"/>
          <w:bCs/>
          <w:color w:val="000000" w:themeColor="text1"/>
          <w:sz w:val="20"/>
          <w:szCs w:val="20"/>
        </w:rPr>
        <w:t xml:space="preserve">the </w:t>
      </w:r>
      <w:r w:rsidR="00C52D6B">
        <w:rPr>
          <w:rFonts w:asciiTheme="majorHAnsi" w:eastAsiaTheme="majorEastAsia" w:hAnsiTheme="majorHAnsi" w:cstheme="majorBidi"/>
          <w:bCs/>
          <w:color w:val="000000" w:themeColor="text1"/>
          <w:sz w:val="20"/>
          <w:szCs w:val="20"/>
        </w:rPr>
        <w:t>NOL deduction</w:t>
      </w:r>
      <w:r w:rsidRPr="00304366">
        <w:rPr>
          <w:rFonts w:asciiTheme="majorHAnsi" w:eastAsiaTheme="majorEastAsia" w:hAnsiTheme="majorHAnsi" w:cstheme="majorBidi"/>
          <w:bCs/>
          <w:color w:val="000000" w:themeColor="text1"/>
          <w:sz w:val="20"/>
          <w:szCs w:val="20"/>
        </w:rPr>
        <w:t>.</w:t>
      </w:r>
    </w:p>
    <w:p w14:paraId="3823CA8C" w14:textId="77777777" w:rsidR="00EC1F73" w:rsidRPr="008A3AB7" w:rsidRDefault="00EC1F73" w:rsidP="00EC1F73">
      <w:pPr>
        <w:spacing w:after="0"/>
        <w:rPr>
          <w:rFonts w:asciiTheme="majorHAnsi" w:eastAsiaTheme="majorEastAsia" w:hAnsiTheme="majorHAnsi" w:cstheme="majorBidi"/>
          <w:bCs/>
          <w:color w:val="000000" w:themeColor="text1"/>
          <w:sz w:val="20"/>
          <w:szCs w:val="20"/>
        </w:rPr>
      </w:pPr>
    </w:p>
    <w:p w14:paraId="501E28E9" w14:textId="77777777" w:rsidR="00EC1F73" w:rsidRDefault="00EC1F73" w:rsidP="00EC1F73">
      <w:pPr>
        <w:rPr>
          <w:rFonts w:asciiTheme="majorHAnsi" w:hAnsiTheme="majorHAnsi"/>
          <w:bCs/>
          <w:sz w:val="24"/>
          <w:szCs w:val="24"/>
        </w:rPr>
      </w:pPr>
    </w:p>
    <w:p w14:paraId="30145A7F" w14:textId="77777777" w:rsidR="00EC1F73" w:rsidRPr="00782E31" w:rsidRDefault="00EC1F73" w:rsidP="00EC1F73">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17E08A8A" w14:textId="77777777" w:rsidR="00EC1F73" w:rsidRDefault="00EC1F73" w:rsidP="00EC1F73">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cost savings due to the </w:t>
      </w:r>
      <w:r w:rsidR="00C52D6B">
        <w:rPr>
          <w:rFonts w:asciiTheme="majorHAnsi" w:eastAsiaTheme="majorEastAsia" w:hAnsiTheme="majorHAnsi" w:cstheme="majorBidi"/>
          <w:bCs/>
          <w:color w:val="000000" w:themeColor="text1"/>
          <w:sz w:val="24"/>
          <w:szCs w:val="24"/>
        </w:rPr>
        <w:t>NOL deduction</w:t>
      </w:r>
      <w:r>
        <w:rPr>
          <w:rFonts w:asciiTheme="majorHAnsi" w:eastAsiaTheme="majorEastAsia" w:hAnsiTheme="majorHAnsi" w:cstheme="majorBidi"/>
          <w:bCs/>
          <w:color w:val="000000" w:themeColor="text1"/>
          <w:sz w:val="24"/>
          <w:szCs w:val="24"/>
        </w:rPr>
        <w:t xml:space="preserve"> encourages the directly affected businesses to invest, expand, hire additional workers, etc. Such decisions would increase demand for </w:t>
      </w:r>
      <w:r>
        <w:rPr>
          <w:rFonts w:asciiTheme="majorHAnsi" w:eastAsiaTheme="majorEastAsia" w:hAnsiTheme="majorHAnsi" w:cstheme="majorBidi"/>
          <w:bCs/>
          <w:color w:val="000000" w:themeColor="text1"/>
          <w:sz w:val="24"/>
          <w:szCs w:val="24"/>
        </w:rPr>
        <w:lastRenderedPageBreak/>
        <w:t xml:space="preserve">goods and services provided by other individuals and businesses in the economy, or put another way, generate a “Multiplier Effect” (see discussion in the previous section) from the initial or direct benefits as reported in the text. As a result, the total benefits of the </w:t>
      </w:r>
      <w:r w:rsidR="00FE1B84">
        <w:rPr>
          <w:rFonts w:asciiTheme="majorHAnsi" w:eastAsiaTheme="majorEastAsia" w:hAnsiTheme="majorHAnsi" w:cstheme="majorBidi"/>
          <w:bCs/>
          <w:color w:val="000000" w:themeColor="text1"/>
          <w:sz w:val="24"/>
          <w:szCs w:val="24"/>
        </w:rPr>
        <w:t>NOL deduction</w:t>
      </w:r>
      <w:r>
        <w:rPr>
          <w:rFonts w:asciiTheme="majorHAnsi" w:eastAsiaTheme="majorEastAsia" w:hAnsiTheme="majorHAnsi" w:cstheme="majorBidi"/>
          <w:bCs/>
          <w:color w:val="000000" w:themeColor="text1"/>
          <w:sz w:val="24"/>
          <w:szCs w:val="24"/>
        </w:rPr>
        <w:t xml:space="preserve"> would be larger than the initial or direct benefits.</w:t>
      </w:r>
    </w:p>
    <w:p w14:paraId="1C2F7FCA"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65462FF0" w14:textId="77777777" w:rsidR="00EC1F73" w:rsidRDefault="00EC1F73" w:rsidP="00EC1F73">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benefits (direct, indirect and induced)</w:t>
      </w:r>
    </w:p>
    <w:p w14:paraId="50A9F5EF" w14:textId="77777777" w:rsidR="00EC1F73" w:rsidRDefault="00EC1F73" w:rsidP="00EC1F73">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741894">
        <w:rPr>
          <w:rFonts w:asciiTheme="majorHAnsi" w:eastAsiaTheme="majorEastAsia" w:hAnsiTheme="majorHAnsi" w:cstheme="majorBidi"/>
          <w:bCs/>
          <w:color w:val="000000" w:themeColor="text1"/>
          <w:sz w:val="24"/>
          <w:szCs w:val="24"/>
        </w:rPr>
        <w:t>NOL deduction</w:t>
      </w:r>
      <w:r>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noProof/>
          <w:color w:val="000000" w:themeColor="text1"/>
          <w:sz w:val="24"/>
          <w:szCs w:val="24"/>
        </w:rPr>
        <w:t xml:space="preserve">is reported in Table A3, and the economic benefit from the </w:t>
      </w:r>
      <w:r w:rsidR="00741894">
        <w:rPr>
          <w:rFonts w:asciiTheme="majorHAnsi" w:eastAsiaTheme="majorEastAsia" w:hAnsiTheme="majorHAnsi" w:cstheme="majorBidi"/>
          <w:noProof/>
          <w:color w:val="000000" w:themeColor="text1"/>
          <w:sz w:val="24"/>
          <w:szCs w:val="24"/>
        </w:rPr>
        <w:t>NOL deduction</w:t>
      </w:r>
      <w:r>
        <w:rPr>
          <w:rFonts w:asciiTheme="majorHAnsi" w:eastAsiaTheme="majorEastAsia" w:hAnsiTheme="majorHAnsi" w:cstheme="majorBidi"/>
          <w:noProof/>
          <w:color w:val="000000" w:themeColor="text1"/>
          <w:sz w:val="24"/>
          <w:szCs w:val="24"/>
        </w:rPr>
        <w:t xml:space="preserve"> is reflected in Table A4 below. The figures for 2018 and 2019 are estimates of benefits that the Massachusetts economy experienced and those for 2020, 2021 and 2022 are projections of the benefits that the Massachusetts economy will experience going forward.  </w:t>
      </w:r>
    </w:p>
    <w:p w14:paraId="234CB34F"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50879D3D" w14:textId="7A279EF0" w:rsidR="00EC1F73" w:rsidRDefault="00EC1F73" w:rsidP="00EC1F73">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A3</w:t>
      </w:r>
      <w:r w:rsidRPr="009E0158">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A4</w:t>
      </w:r>
      <w:r w:rsidRPr="009E0158">
        <w:rPr>
          <w:rFonts w:asciiTheme="majorHAnsi" w:eastAsiaTheme="majorEastAsia" w:hAnsiTheme="majorHAnsi" w:cstheme="majorBidi"/>
          <w:bCs/>
          <w:color w:val="000000" w:themeColor="text1"/>
          <w:sz w:val="24"/>
          <w:szCs w:val="24"/>
        </w:rPr>
        <w:t xml:space="preserve"> show that, the </w:t>
      </w:r>
      <w:r w:rsidR="00FE1B84">
        <w:rPr>
          <w:rFonts w:asciiTheme="majorHAnsi" w:eastAsiaTheme="majorEastAsia" w:hAnsiTheme="majorHAnsi" w:cstheme="majorBidi"/>
          <w:bCs/>
          <w:color w:val="000000" w:themeColor="text1"/>
          <w:sz w:val="24"/>
          <w:szCs w:val="24"/>
        </w:rPr>
        <w:t>NOL deduction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 xml:space="preserve">results in more economic </w:t>
      </w:r>
      <w:r w:rsidR="00634AC0" w:rsidRPr="009E0158">
        <w:rPr>
          <w:rFonts w:asciiTheme="majorHAnsi" w:eastAsiaTheme="majorEastAsia" w:hAnsiTheme="majorHAnsi" w:cstheme="majorBidi"/>
          <w:bCs/>
          <w:color w:val="000000" w:themeColor="text1"/>
          <w:sz w:val="24"/>
          <w:szCs w:val="24"/>
        </w:rPr>
        <w:t>activit</w:t>
      </w:r>
      <w:r w:rsidR="00634AC0">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2</w:t>
      </w:r>
      <w:r w:rsidR="004840A6">
        <w:rPr>
          <w:rFonts w:asciiTheme="majorHAnsi" w:eastAsiaTheme="majorEastAsia" w:hAnsiTheme="majorHAnsi" w:cstheme="majorBidi"/>
          <w:bCs/>
          <w:color w:val="000000" w:themeColor="text1"/>
          <w:sz w:val="24"/>
          <w:szCs w:val="24"/>
        </w:rPr>
        <w:t>30</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sidR="004840A6">
        <w:rPr>
          <w:rFonts w:asciiTheme="majorHAnsi" w:eastAsiaTheme="majorEastAsia" w:hAnsiTheme="majorHAnsi" w:cstheme="majorBidi"/>
          <w:bCs/>
          <w:color w:val="000000" w:themeColor="text1"/>
          <w:sz w:val="24"/>
          <w:szCs w:val="24"/>
        </w:rPr>
        <w:t>315</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 xml:space="preserve">by </w:t>
      </w:r>
      <w:r w:rsidR="004840A6">
        <w:rPr>
          <w:rFonts w:asciiTheme="majorHAnsi" w:eastAsiaTheme="majorEastAsia" w:hAnsiTheme="majorHAnsi" w:cstheme="majorBidi"/>
          <w:bCs/>
          <w:color w:val="000000" w:themeColor="text1"/>
          <w:sz w:val="24"/>
          <w:szCs w:val="24"/>
        </w:rPr>
        <w:t>2,359 – 3,088</w:t>
      </w:r>
      <w:r w:rsidR="004840A6"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annually. More economic activit</w:t>
      </w:r>
      <w:r w:rsidR="00634AC0">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result</w:t>
      </w:r>
      <w:r w:rsidR="00634AC0">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sidR="004840A6">
        <w:rPr>
          <w:rFonts w:asciiTheme="majorHAnsi" w:eastAsiaTheme="majorEastAsia" w:hAnsiTheme="majorHAnsi" w:cstheme="majorBidi"/>
          <w:bCs/>
          <w:color w:val="000000" w:themeColor="text1"/>
          <w:sz w:val="24"/>
          <w:szCs w:val="24"/>
        </w:rPr>
        <w:t>5</w:t>
      </w:r>
      <w:r>
        <w:rPr>
          <w:rFonts w:asciiTheme="majorHAnsi" w:eastAsiaTheme="majorEastAsia" w:hAnsiTheme="majorHAnsi" w:cstheme="majorBidi"/>
          <w:bCs/>
          <w:color w:val="000000" w:themeColor="text1"/>
          <w:sz w:val="24"/>
          <w:szCs w:val="24"/>
        </w:rPr>
        <w:t>.0</w:t>
      </w:r>
      <w:r w:rsidRPr="009E0158">
        <w:rPr>
          <w:rFonts w:asciiTheme="majorHAnsi" w:eastAsiaTheme="majorEastAsia" w:hAnsiTheme="majorHAnsi" w:cstheme="majorBidi"/>
          <w:bCs/>
          <w:color w:val="000000" w:themeColor="text1"/>
          <w:sz w:val="24"/>
          <w:szCs w:val="24"/>
        </w:rPr>
        <w:t xml:space="preserve"> million to $</w:t>
      </w:r>
      <w:r w:rsidR="004840A6">
        <w:rPr>
          <w:rFonts w:asciiTheme="majorHAnsi" w:eastAsiaTheme="majorEastAsia" w:hAnsiTheme="majorHAnsi" w:cstheme="majorBidi"/>
          <w:bCs/>
          <w:color w:val="000000" w:themeColor="text1"/>
          <w:sz w:val="24"/>
          <w:szCs w:val="24"/>
        </w:rPr>
        <w:t>17.3</w:t>
      </w:r>
      <w:r w:rsidRPr="009E0158">
        <w:rPr>
          <w:rFonts w:asciiTheme="majorHAnsi" w:eastAsiaTheme="majorEastAsia" w:hAnsiTheme="majorHAnsi" w:cstheme="majorBidi"/>
          <w:bCs/>
          <w:color w:val="000000" w:themeColor="text1"/>
          <w:sz w:val="24"/>
          <w:szCs w:val="24"/>
        </w:rPr>
        <w:t xml:space="preserve"> 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7DA80832"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324F5A9B" w14:textId="77777777" w:rsidR="00EC1F73" w:rsidRDefault="00EC1F73" w:rsidP="00EC1F73">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741894">
        <w:rPr>
          <w:rFonts w:asciiTheme="majorHAnsi" w:eastAsiaTheme="majorEastAsia" w:hAnsiTheme="majorHAnsi" w:cstheme="majorBidi"/>
          <w:b/>
          <w:color w:val="000000" w:themeColor="text1"/>
          <w:sz w:val="24"/>
          <w:szCs w:val="24"/>
        </w:rPr>
        <w:t>NOL Deduction</w:t>
      </w:r>
    </w:p>
    <w:tbl>
      <w:tblPr>
        <w:tblW w:w="9265" w:type="dxa"/>
        <w:tblLook w:val="04A0" w:firstRow="1" w:lastRow="0" w:firstColumn="1" w:lastColumn="0" w:noHBand="0" w:noVBand="1"/>
      </w:tblPr>
      <w:tblGrid>
        <w:gridCol w:w="3505"/>
        <w:gridCol w:w="1152"/>
        <w:gridCol w:w="1152"/>
        <w:gridCol w:w="1152"/>
        <w:gridCol w:w="1152"/>
        <w:gridCol w:w="1152"/>
      </w:tblGrid>
      <w:tr w:rsidR="00EC1F73" w:rsidRPr="006809CE" w14:paraId="25970880" w14:textId="77777777" w:rsidTr="007F4B47">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953AA47" w14:textId="77777777" w:rsidR="00EC1F73" w:rsidRPr="006809CE" w:rsidRDefault="00EC1F73" w:rsidP="007F4B4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09B82197" w14:textId="77777777" w:rsidR="00EC1F73" w:rsidRPr="006809CE" w:rsidRDefault="00EC1F73" w:rsidP="007F4B4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77ED4F61" w14:textId="77777777" w:rsidR="00EC1F73" w:rsidRPr="006809CE" w:rsidRDefault="00EC1F73" w:rsidP="007F4B4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60B3EE9" w14:textId="77777777" w:rsidR="00EC1F73" w:rsidRPr="006809CE" w:rsidRDefault="00EC1F73" w:rsidP="007F4B4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8796874" w14:textId="77777777" w:rsidR="00EC1F73" w:rsidRPr="006809CE" w:rsidRDefault="00EC1F73" w:rsidP="007F4B4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44A914FD" w14:textId="77777777" w:rsidR="00EC1F73" w:rsidRPr="006809CE" w:rsidRDefault="00EC1F73" w:rsidP="007F4B4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741894" w:rsidRPr="006809CE" w14:paraId="1954D177" w14:textId="77777777" w:rsidTr="007F4B47">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E2DE121" w14:textId="77777777" w:rsidR="00741894" w:rsidRPr="006809CE" w:rsidRDefault="00741894" w:rsidP="00741894">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8588" w14:textId="77777777" w:rsidR="00741894" w:rsidRPr="006809CE"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$5,026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4698461" w14:textId="77777777" w:rsidR="00741894" w:rsidRPr="006809CE"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$11,705</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F084C24" w14:textId="77777777" w:rsidR="00741894" w:rsidRPr="006809CE"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$14,340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C5DBED1" w14:textId="77777777" w:rsidR="00741894" w:rsidRPr="006809CE"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$16,260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36E4B8A" w14:textId="77777777" w:rsidR="00741894" w:rsidRPr="006809CE"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$17,331</w:t>
            </w:r>
          </w:p>
        </w:tc>
      </w:tr>
    </w:tbl>
    <w:p w14:paraId="65F47E05" w14:textId="77777777" w:rsidR="00EC1F73" w:rsidRDefault="00EC1F73" w:rsidP="00EC1F73">
      <w:pPr>
        <w:tabs>
          <w:tab w:val="left" w:pos="7050"/>
        </w:tabs>
        <w:spacing w:after="0"/>
        <w:rPr>
          <w:rFonts w:asciiTheme="majorHAnsi" w:hAnsiTheme="majorHAnsi"/>
          <w:sz w:val="24"/>
          <w:szCs w:val="24"/>
        </w:rPr>
      </w:pPr>
    </w:p>
    <w:p w14:paraId="6F938411" w14:textId="77777777" w:rsidR="00EC1F73" w:rsidRDefault="00EC1F73" w:rsidP="00EC1F73">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741894">
        <w:rPr>
          <w:rFonts w:asciiTheme="majorHAnsi" w:eastAsiaTheme="majorEastAsia" w:hAnsiTheme="majorHAnsi" w:cstheme="majorBidi"/>
          <w:b/>
          <w:color w:val="000000" w:themeColor="text1"/>
          <w:sz w:val="24"/>
          <w:szCs w:val="24"/>
        </w:rPr>
        <w:t>NOL Deduction</w:t>
      </w:r>
      <w:r>
        <w:rPr>
          <w:rFonts w:asciiTheme="majorHAnsi" w:eastAsiaTheme="majorEastAsia" w:hAnsiTheme="majorHAnsi" w:cstheme="majorBidi"/>
          <w:b/>
          <w:color w:val="000000" w:themeColor="text1"/>
          <w:sz w:val="24"/>
          <w:szCs w:val="24"/>
        </w:rPr>
        <w:t xml:space="preserve"> by Selected Economic Measure</w:t>
      </w:r>
    </w:p>
    <w:tbl>
      <w:tblPr>
        <w:tblW w:w="9350" w:type="dxa"/>
        <w:tblLook w:val="04A0" w:firstRow="1" w:lastRow="0" w:firstColumn="1" w:lastColumn="0" w:noHBand="0" w:noVBand="1"/>
      </w:tblPr>
      <w:tblGrid>
        <w:gridCol w:w="3234"/>
        <w:gridCol w:w="1224"/>
        <w:gridCol w:w="1223"/>
        <w:gridCol w:w="1223"/>
        <w:gridCol w:w="1223"/>
        <w:gridCol w:w="1223"/>
      </w:tblGrid>
      <w:tr w:rsidR="00EC1F73" w:rsidRPr="00A94F48" w14:paraId="374E26D1" w14:textId="77777777" w:rsidTr="004840A6">
        <w:trPr>
          <w:trHeight w:val="380"/>
        </w:trPr>
        <w:tc>
          <w:tcPr>
            <w:tcW w:w="270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93E82DB"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3E2EB6A5"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1219C6E"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217ADC30"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015DE812"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008" w:type="dxa"/>
            <w:tcBorders>
              <w:top w:val="single" w:sz="4" w:space="0" w:color="auto"/>
              <w:left w:val="nil"/>
              <w:bottom w:val="single" w:sz="4" w:space="0" w:color="auto"/>
              <w:right w:val="single" w:sz="4" w:space="0" w:color="auto"/>
            </w:tcBorders>
            <w:shd w:val="clear" w:color="000000" w:fill="B7DEE8"/>
            <w:noWrap/>
            <w:vAlign w:val="center"/>
            <w:hideMark/>
          </w:tcPr>
          <w:p w14:paraId="0A9CAAB9"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741894" w:rsidRPr="00A94F48" w14:paraId="60542229" w14:textId="77777777" w:rsidTr="004840A6">
        <w:trPr>
          <w:trHeight w:val="41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4C33FA54"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34F2"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2,359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7256E5E1"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2,774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ABDCAE6"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3,084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2E1D969F"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3,088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82D06"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3,001</w:t>
            </w:r>
          </w:p>
        </w:tc>
      </w:tr>
      <w:tr w:rsidR="00741894" w:rsidRPr="00A94F48" w14:paraId="49872E6F" w14:textId="77777777" w:rsidTr="004840A6">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16AF56B7"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F9E5975"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2,271</w:t>
            </w:r>
          </w:p>
        </w:tc>
        <w:tc>
          <w:tcPr>
            <w:tcW w:w="1008" w:type="dxa"/>
            <w:tcBorders>
              <w:top w:val="nil"/>
              <w:left w:val="nil"/>
              <w:bottom w:val="single" w:sz="4" w:space="0" w:color="auto"/>
              <w:right w:val="single" w:sz="4" w:space="0" w:color="auto"/>
            </w:tcBorders>
            <w:shd w:val="clear" w:color="auto" w:fill="auto"/>
            <w:noWrap/>
            <w:vAlign w:val="center"/>
            <w:hideMark/>
          </w:tcPr>
          <w:p w14:paraId="58DAD96F"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2,628</w:t>
            </w:r>
          </w:p>
        </w:tc>
        <w:tc>
          <w:tcPr>
            <w:tcW w:w="1008" w:type="dxa"/>
            <w:tcBorders>
              <w:top w:val="nil"/>
              <w:left w:val="nil"/>
              <w:bottom w:val="single" w:sz="4" w:space="0" w:color="auto"/>
              <w:right w:val="single" w:sz="4" w:space="0" w:color="auto"/>
            </w:tcBorders>
            <w:shd w:val="clear" w:color="auto" w:fill="auto"/>
            <w:noWrap/>
            <w:vAlign w:val="center"/>
            <w:hideMark/>
          </w:tcPr>
          <w:p w14:paraId="5ED461CC"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2,859</w:t>
            </w:r>
          </w:p>
        </w:tc>
        <w:tc>
          <w:tcPr>
            <w:tcW w:w="1008" w:type="dxa"/>
            <w:tcBorders>
              <w:top w:val="nil"/>
              <w:left w:val="nil"/>
              <w:bottom w:val="single" w:sz="4" w:space="0" w:color="auto"/>
              <w:right w:val="single" w:sz="4" w:space="0" w:color="auto"/>
            </w:tcBorders>
            <w:shd w:val="clear" w:color="auto" w:fill="auto"/>
            <w:noWrap/>
            <w:vAlign w:val="center"/>
            <w:hideMark/>
          </w:tcPr>
          <w:p w14:paraId="14B8AD39"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2,856</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BDA1C95"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2,774</w:t>
            </w:r>
          </w:p>
        </w:tc>
      </w:tr>
      <w:tr w:rsidR="00741894" w:rsidRPr="00A94F48" w14:paraId="003AA26E" w14:textId="77777777" w:rsidTr="004840A6">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620D3BE7"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0BFF61E"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$230,000</w:t>
            </w:r>
          </w:p>
        </w:tc>
        <w:tc>
          <w:tcPr>
            <w:tcW w:w="1008" w:type="dxa"/>
            <w:tcBorders>
              <w:top w:val="nil"/>
              <w:left w:val="nil"/>
              <w:bottom w:val="single" w:sz="4" w:space="0" w:color="auto"/>
              <w:right w:val="single" w:sz="4" w:space="0" w:color="auto"/>
            </w:tcBorders>
            <w:shd w:val="clear" w:color="auto" w:fill="auto"/>
            <w:noWrap/>
            <w:vAlign w:val="center"/>
            <w:hideMark/>
          </w:tcPr>
          <w:p w14:paraId="4F51B7A3"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$274,000</w:t>
            </w:r>
          </w:p>
        </w:tc>
        <w:tc>
          <w:tcPr>
            <w:tcW w:w="1008" w:type="dxa"/>
            <w:tcBorders>
              <w:top w:val="nil"/>
              <w:left w:val="nil"/>
              <w:bottom w:val="single" w:sz="4" w:space="0" w:color="auto"/>
              <w:right w:val="single" w:sz="4" w:space="0" w:color="auto"/>
            </w:tcBorders>
            <w:shd w:val="clear" w:color="auto" w:fill="auto"/>
            <w:noWrap/>
            <w:vAlign w:val="center"/>
            <w:hideMark/>
          </w:tcPr>
          <w:p w14:paraId="0CFEC0C9"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$307,000</w:t>
            </w:r>
          </w:p>
        </w:tc>
        <w:tc>
          <w:tcPr>
            <w:tcW w:w="1008" w:type="dxa"/>
            <w:tcBorders>
              <w:top w:val="nil"/>
              <w:left w:val="nil"/>
              <w:bottom w:val="single" w:sz="4" w:space="0" w:color="auto"/>
              <w:right w:val="single" w:sz="4" w:space="0" w:color="auto"/>
            </w:tcBorders>
            <w:shd w:val="clear" w:color="auto" w:fill="auto"/>
            <w:noWrap/>
            <w:vAlign w:val="center"/>
            <w:hideMark/>
          </w:tcPr>
          <w:p w14:paraId="243686F5"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$315,000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AE437B9"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$314,000</w:t>
            </w:r>
          </w:p>
        </w:tc>
      </w:tr>
      <w:tr w:rsidR="00741894" w:rsidRPr="00A94F48" w14:paraId="1BDCCA53" w14:textId="77777777" w:rsidTr="004840A6">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647610DA"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071728F"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$175,000</w:t>
            </w:r>
          </w:p>
        </w:tc>
        <w:tc>
          <w:tcPr>
            <w:tcW w:w="1008" w:type="dxa"/>
            <w:tcBorders>
              <w:top w:val="nil"/>
              <w:left w:val="nil"/>
              <w:bottom w:val="single" w:sz="4" w:space="0" w:color="auto"/>
              <w:right w:val="single" w:sz="4" w:space="0" w:color="auto"/>
            </w:tcBorders>
            <w:shd w:val="clear" w:color="auto" w:fill="auto"/>
            <w:noWrap/>
            <w:vAlign w:val="center"/>
            <w:hideMark/>
          </w:tcPr>
          <w:p w14:paraId="3B44A760"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$227,000</w:t>
            </w:r>
          </w:p>
        </w:tc>
        <w:tc>
          <w:tcPr>
            <w:tcW w:w="1008" w:type="dxa"/>
            <w:tcBorders>
              <w:top w:val="nil"/>
              <w:left w:val="nil"/>
              <w:bottom w:val="single" w:sz="4" w:space="0" w:color="auto"/>
              <w:right w:val="single" w:sz="4" w:space="0" w:color="auto"/>
            </w:tcBorders>
            <w:shd w:val="clear" w:color="auto" w:fill="auto"/>
            <w:noWrap/>
            <w:vAlign w:val="center"/>
            <w:hideMark/>
          </w:tcPr>
          <w:p w14:paraId="53D5D608"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$274,000</w:t>
            </w:r>
          </w:p>
        </w:tc>
        <w:tc>
          <w:tcPr>
            <w:tcW w:w="1008" w:type="dxa"/>
            <w:tcBorders>
              <w:top w:val="nil"/>
              <w:left w:val="nil"/>
              <w:bottom w:val="single" w:sz="4" w:space="0" w:color="auto"/>
              <w:right w:val="single" w:sz="4" w:space="0" w:color="auto"/>
            </w:tcBorders>
            <w:shd w:val="clear" w:color="auto" w:fill="auto"/>
            <w:noWrap/>
            <w:vAlign w:val="center"/>
            <w:hideMark/>
          </w:tcPr>
          <w:p w14:paraId="4D80C7AC"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$298,000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078F85C"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$312,000</w:t>
            </w:r>
          </w:p>
        </w:tc>
      </w:tr>
    </w:tbl>
    <w:p w14:paraId="004A9105" w14:textId="77777777" w:rsidR="00EC1F73" w:rsidRDefault="00EC1F73" w:rsidP="00EC1F73">
      <w:pPr>
        <w:rPr>
          <w:rFonts w:asciiTheme="majorHAnsi" w:hAnsiTheme="majorHAnsi"/>
          <w:bCs/>
          <w:sz w:val="24"/>
          <w:szCs w:val="24"/>
        </w:rPr>
      </w:pPr>
    </w:p>
    <w:p w14:paraId="47AA2F81" w14:textId="77777777" w:rsidR="00EC1F73" w:rsidRDefault="00EC1F73" w:rsidP="00EC1F73">
      <w:pPr>
        <w:rPr>
          <w:rFonts w:asciiTheme="majorHAnsi" w:hAnsiTheme="majorHAnsi"/>
          <w:b/>
          <w:sz w:val="24"/>
          <w:szCs w:val="24"/>
        </w:rPr>
      </w:pPr>
      <w:r w:rsidRPr="00782E31">
        <w:rPr>
          <w:rFonts w:asciiTheme="majorHAnsi" w:hAnsiTheme="majorHAnsi"/>
          <w:b/>
          <w:sz w:val="24"/>
          <w:szCs w:val="24"/>
        </w:rPr>
        <w:t>Comparison of costs and benefits</w:t>
      </w:r>
    </w:p>
    <w:p w14:paraId="66ED34AA" w14:textId="77777777" w:rsidR="00EC1F73" w:rsidRDefault="00313DA9" w:rsidP="00EC1F73">
      <w:pPr>
        <w:tabs>
          <w:tab w:val="left" w:pos="7050"/>
        </w:tabs>
        <w:spacing w:after="0"/>
        <w:rPr>
          <w:rFonts w:asciiTheme="majorHAnsi" w:hAnsiTheme="majorHAnsi"/>
          <w:bCs/>
          <w:sz w:val="24"/>
          <w:szCs w:val="23"/>
        </w:rPr>
      </w:pPr>
      <w:r>
        <w:rPr>
          <w:rFonts w:asciiTheme="majorHAnsi" w:hAnsiTheme="majorHAnsi"/>
          <w:bCs/>
          <w:sz w:val="24"/>
          <w:szCs w:val="23"/>
        </w:rPr>
        <w:t>Ignoring</w:t>
      </w:r>
      <w:r w:rsidR="00AF6539">
        <w:rPr>
          <w:rFonts w:asciiTheme="majorHAnsi" w:hAnsiTheme="majorHAnsi"/>
          <w:bCs/>
          <w:sz w:val="24"/>
          <w:szCs w:val="23"/>
        </w:rPr>
        <w:t xml:space="preserve"> </w:t>
      </w:r>
      <w:r w:rsidR="00EC1F73">
        <w:rPr>
          <w:rFonts w:asciiTheme="majorHAnsi" w:hAnsiTheme="majorHAnsi"/>
          <w:bCs/>
          <w:sz w:val="24"/>
          <w:szCs w:val="23"/>
        </w:rPr>
        <w:t xml:space="preserve">the opportunity cost of the tax incentive, total benefits are greater than costs. Considering the opportunity cost means asking what benefits would </w:t>
      </w:r>
      <w:r>
        <w:rPr>
          <w:rFonts w:asciiTheme="majorHAnsi" w:hAnsiTheme="majorHAnsi"/>
          <w:bCs/>
          <w:sz w:val="24"/>
          <w:szCs w:val="23"/>
        </w:rPr>
        <w:t>be reaped</w:t>
      </w:r>
      <w:r w:rsidR="00EC1F73">
        <w:rPr>
          <w:rFonts w:asciiTheme="majorHAnsi" w:hAnsiTheme="majorHAnsi"/>
          <w:bCs/>
          <w:sz w:val="24"/>
          <w:szCs w:val="23"/>
        </w:rPr>
        <w:t xml:space="preserve"> if the Commonwealth used </w:t>
      </w:r>
      <w:r>
        <w:rPr>
          <w:rFonts w:asciiTheme="majorHAnsi" w:hAnsiTheme="majorHAnsi"/>
          <w:bCs/>
          <w:sz w:val="24"/>
          <w:szCs w:val="23"/>
        </w:rPr>
        <w:t xml:space="preserve">the dollars spent on </w:t>
      </w:r>
      <w:r w:rsidR="00EC1F73">
        <w:rPr>
          <w:rFonts w:asciiTheme="majorHAnsi" w:hAnsiTheme="majorHAnsi"/>
          <w:bCs/>
          <w:sz w:val="24"/>
          <w:szCs w:val="23"/>
        </w:rPr>
        <w:t xml:space="preserve">the tax incentive for other purposes. </w:t>
      </w:r>
      <w:r>
        <w:rPr>
          <w:rFonts w:asciiTheme="majorHAnsi" w:hAnsiTheme="majorHAnsi"/>
          <w:bCs/>
          <w:sz w:val="24"/>
          <w:szCs w:val="23"/>
        </w:rPr>
        <w:t xml:space="preserve">Those dollars could be spent in many other ways, </w:t>
      </w:r>
      <w:r w:rsidR="00EC1F73">
        <w:rPr>
          <w:rFonts w:asciiTheme="majorHAnsi" w:hAnsiTheme="majorHAnsi"/>
          <w:bCs/>
          <w:sz w:val="24"/>
          <w:szCs w:val="23"/>
        </w:rPr>
        <w:t xml:space="preserve">and examining them is beyond the scope of the </w:t>
      </w:r>
      <w:r w:rsidR="00EC1F73">
        <w:rPr>
          <w:rFonts w:asciiTheme="majorHAnsi" w:hAnsiTheme="majorHAnsi"/>
          <w:bCs/>
          <w:sz w:val="24"/>
          <w:szCs w:val="23"/>
        </w:rPr>
        <w:lastRenderedPageBreak/>
        <w:t xml:space="preserve">current evaluation report.  Nonetheless, we reported net impacts of the tax incentive in Tables A5 and A6 below under the balanced budget requirement, which are the combined effects in Tables A1-A4. </w:t>
      </w:r>
    </w:p>
    <w:p w14:paraId="350A4CF4" w14:textId="77777777" w:rsidR="00EC1F73" w:rsidRDefault="00EC1F73" w:rsidP="00EC1F73">
      <w:pPr>
        <w:tabs>
          <w:tab w:val="left" w:pos="7050"/>
        </w:tabs>
        <w:spacing w:after="0"/>
        <w:rPr>
          <w:rFonts w:asciiTheme="majorHAnsi" w:hAnsiTheme="majorHAnsi"/>
          <w:bCs/>
          <w:sz w:val="24"/>
          <w:szCs w:val="23"/>
        </w:rPr>
      </w:pPr>
    </w:p>
    <w:p w14:paraId="6736F565" w14:textId="77777777" w:rsidR="00EC1F73" w:rsidRDefault="00EC1F73" w:rsidP="00EC1F73">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A5</w:t>
      </w:r>
      <w:r w:rsidRPr="00A76DAE">
        <w:rPr>
          <w:rFonts w:asciiTheme="majorHAnsi" w:hAnsiTheme="majorHAnsi"/>
          <w:bCs/>
          <w:sz w:val="24"/>
          <w:szCs w:val="23"/>
        </w:rPr>
        <w:t xml:space="preserve"> and </w:t>
      </w:r>
      <w:r>
        <w:rPr>
          <w:rFonts w:asciiTheme="majorHAnsi" w:hAnsiTheme="majorHAnsi"/>
          <w:bCs/>
          <w:sz w:val="24"/>
          <w:szCs w:val="23"/>
        </w:rPr>
        <w:t>A6</w:t>
      </w:r>
      <w:r w:rsidRPr="00A76DAE">
        <w:rPr>
          <w:rFonts w:asciiTheme="majorHAnsi" w:hAnsiTheme="majorHAnsi"/>
          <w:bCs/>
          <w:sz w:val="24"/>
          <w:szCs w:val="23"/>
        </w:rPr>
        <w:t xml:space="preserve"> show that the </w:t>
      </w:r>
      <w:r w:rsidR="00741894">
        <w:rPr>
          <w:rFonts w:asciiTheme="majorHAnsi" w:hAnsiTheme="majorHAnsi"/>
          <w:bCs/>
          <w:sz w:val="24"/>
          <w:szCs w:val="23"/>
        </w:rPr>
        <w:t>NOL deduction</w:t>
      </w:r>
      <w:r w:rsidRPr="00A76DAE">
        <w:rPr>
          <w:rFonts w:asciiTheme="majorHAnsi" w:hAnsiTheme="majorHAnsi"/>
          <w:bCs/>
          <w:sz w:val="24"/>
          <w:szCs w:val="23"/>
        </w:rPr>
        <w:t xml:space="preserve"> combined with a cut in state government spending results in less economic activit</w:t>
      </w:r>
      <w:r w:rsidR="00EE3614">
        <w:rPr>
          <w:rFonts w:asciiTheme="majorHAnsi" w:hAnsiTheme="majorHAnsi"/>
          <w:bCs/>
          <w:sz w:val="24"/>
          <w:szCs w:val="23"/>
        </w:rPr>
        <w:t>y</w:t>
      </w:r>
      <w:r w:rsidRPr="00A76DAE">
        <w:rPr>
          <w:rFonts w:asciiTheme="majorHAnsi" w:hAnsiTheme="majorHAnsi"/>
          <w:bCs/>
          <w:sz w:val="24"/>
          <w:szCs w:val="23"/>
        </w:rPr>
        <w:t>, with real state GDP decreasing</w:t>
      </w:r>
      <w:r>
        <w:rPr>
          <w:rFonts w:asciiTheme="majorHAnsi" w:hAnsiTheme="majorHAnsi"/>
          <w:bCs/>
          <w:sz w:val="24"/>
          <w:szCs w:val="23"/>
        </w:rPr>
        <w:t xml:space="preserve"> by $</w:t>
      </w:r>
      <w:r w:rsidR="00741894">
        <w:rPr>
          <w:rFonts w:asciiTheme="majorHAnsi" w:hAnsiTheme="majorHAnsi"/>
          <w:bCs/>
          <w:sz w:val="24"/>
          <w:szCs w:val="23"/>
        </w:rPr>
        <w:t xml:space="preserve">96 </w:t>
      </w:r>
      <w:r>
        <w:rPr>
          <w:rFonts w:asciiTheme="majorHAnsi" w:hAnsiTheme="majorHAnsi"/>
          <w:bCs/>
          <w:sz w:val="24"/>
          <w:szCs w:val="23"/>
        </w:rPr>
        <w:t>million-</w:t>
      </w:r>
      <w:r w:rsidRPr="00A76DAE">
        <w:rPr>
          <w:rFonts w:asciiTheme="majorHAnsi" w:hAnsiTheme="majorHAnsi"/>
          <w:bCs/>
          <w:sz w:val="24"/>
          <w:szCs w:val="23"/>
        </w:rPr>
        <w:t>$</w:t>
      </w:r>
      <w:r w:rsidR="00741894">
        <w:rPr>
          <w:rFonts w:asciiTheme="majorHAnsi" w:hAnsiTheme="majorHAnsi"/>
          <w:bCs/>
          <w:sz w:val="24"/>
          <w:szCs w:val="23"/>
        </w:rPr>
        <w:t>147</w:t>
      </w:r>
      <w:r w:rsidRPr="00A76DAE">
        <w:rPr>
          <w:rFonts w:asciiTheme="majorHAnsi" w:hAnsiTheme="majorHAnsi"/>
          <w:bCs/>
          <w:sz w:val="24"/>
          <w:szCs w:val="23"/>
        </w:rPr>
        <w:t xml:space="preserve"> million. The net impact on total employment is negative with total employment decreasing </w:t>
      </w:r>
      <w:r>
        <w:rPr>
          <w:rFonts w:asciiTheme="majorHAnsi" w:hAnsiTheme="majorHAnsi"/>
          <w:bCs/>
          <w:sz w:val="24"/>
          <w:szCs w:val="23"/>
        </w:rPr>
        <w:t xml:space="preserve">by </w:t>
      </w:r>
      <w:r w:rsidR="00741894">
        <w:rPr>
          <w:rFonts w:asciiTheme="majorHAnsi" w:hAnsiTheme="majorHAnsi"/>
          <w:bCs/>
          <w:sz w:val="24"/>
          <w:szCs w:val="23"/>
        </w:rPr>
        <w:t>1,529 – 2,005</w:t>
      </w:r>
      <w:r w:rsidR="00741894" w:rsidRPr="000C715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impact on </w:t>
      </w:r>
      <w:r>
        <w:rPr>
          <w:rFonts w:asciiTheme="majorHAnsi" w:hAnsiTheme="majorHAnsi"/>
          <w:bCs/>
          <w:sz w:val="24"/>
          <w:szCs w:val="23"/>
        </w:rPr>
        <w:t xml:space="preserve">state </w:t>
      </w:r>
      <w:r w:rsidRPr="00A76DAE">
        <w:rPr>
          <w:rFonts w:asciiTheme="majorHAnsi" w:hAnsiTheme="majorHAnsi"/>
          <w:bCs/>
          <w:sz w:val="24"/>
          <w:szCs w:val="23"/>
        </w:rPr>
        <w:t xml:space="preserve">revenues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00741894" w:rsidRPr="000C715E">
        <w:rPr>
          <w:rFonts w:asciiTheme="majorHAnsi" w:hAnsiTheme="majorHAnsi"/>
          <w:bCs/>
          <w:sz w:val="24"/>
          <w:szCs w:val="23"/>
        </w:rPr>
        <w:t>$</w:t>
      </w:r>
      <w:r w:rsidR="00741894">
        <w:rPr>
          <w:rFonts w:asciiTheme="majorHAnsi" w:hAnsiTheme="majorHAnsi"/>
          <w:bCs/>
          <w:sz w:val="24"/>
          <w:szCs w:val="23"/>
        </w:rPr>
        <w:t>3.</w:t>
      </w:r>
      <w:r w:rsidR="00741894" w:rsidRPr="000C715E">
        <w:rPr>
          <w:rFonts w:asciiTheme="majorHAnsi" w:hAnsiTheme="majorHAnsi"/>
          <w:bCs/>
          <w:sz w:val="24"/>
          <w:szCs w:val="23"/>
        </w:rPr>
        <w:t>0 million to $</w:t>
      </w:r>
      <w:r w:rsidR="00741894">
        <w:rPr>
          <w:rFonts w:asciiTheme="majorHAnsi" w:hAnsiTheme="majorHAnsi"/>
          <w:bCs/>
          <w:sz w:val="24"/>
          <w:szCs w:val="23"/>
        </w:rPr>
        <w:t>6.3</w:t>
      </w:r>
      <w:r w:rsidR="00741894" w:rsidRPr="000C715E">
        <w:rPr>
          <w:rFonts w:asciiTheme="majorHAnsi" w:hAnsiTheme="majorHAnsi"/>
          <w:bCs/>
          <w:sz w:val="24"/>
          <w:szCs w:val="23"/>
        </w:rPr>
        <w:t xml:space="preserve"> </w:t>
      </w:r>
      <w:r w:rsidRPr="00A76DAE">
        <w:rPr>
          <w:rFonts w:asciiTheme="majorHAnsi" w:hAnsiTheme="majorHAnsi"/>
          <w:bCs/>
          <w:sz w:val="24"/>
          <w:szCs w:val="23"/>
        </w:rPr>
        <w:t>million annually.</w:t>
      </w:r>
    </w:p>
    <w:p w14:paraId="42710BD8" w14:textId="77777777" w:rsidR="00EC1F73" w:rsidRDefault="00EC1F73" w:rsidP="00EC1F73">
      <w:pPr>
        <w:tabs>
          <w:tab w:val="left" w:pos="7050"/>
        </w:tabs>
        <w:spacing w:after="0"/>
        <w:rPr>
          <w:rFonts w:asciiTheme="majorHAnsi" w:hAnsiTheme="majorHAnsi"/>
          <w:bCs/>
          <w:sz w:val="24"/>
          <w:szCs w:val="23"/>
        </w:rPr>
      </w:pPr>
    </w:p>
    <w:p w14:paraId="05E02361" w14:textId="77777777" w:rsidR="002F4285" w:rsidRDefault="002F4285" w:rsidP="002F4285">
      <w:pPr>
        <w:tabs>
          <w:tab w:val="left" w:pos="7050"/>
        </w:tabs>
        <w:spacing w:after="0"/>
        <w:rPr>
          <w:rFonts w:asciiTheme="majorHAnsi" w:hAnsiTheme="majorHAnsi"/>
          <w:bCs/>
          <w:sz w:val="24"/>
          <w:szCs w:val="23"/>
        </w:rPr>
      </w:pPr>
      <w:r w:rsidRPr="002F4285">
        <w:rPr>
          <w:rFonts w:asciiTheme="majorHAnsi" w:hAnsiTheme="majorHAnsi"/>
          <w:bCs/>
          <w:sz w:val="24"/>
          <w:szCs w:val="24"/>
        </w:rPr>
        <w:t>Because the tax expenditure has its own specific purpose, the net negative impacts do not necessarily imply that the tax expenditure is not desirable. T</w:t>
      </w:r>
      <w:r w:rsidRPr="002F4285">
        <w:rPr>
          <w:rFonts w:asciiTheme="majorHAnsi" w:eastAsiaTheme="majorEastAsia" w:hAnsiTheme="majorHAnsi" w:cstheme="majorBidi"/>
          <w:bCs/>
          <w:color w:val="000000" w:themeColor="text1"/>
          <w:sz w:val="24"/>
          <w:szCs w:val="24"/>
        </w:rPr>
        <w:t xml:space="preserve">he statute does not explicitly state the purpose of this tax expenditure; however, </w:t>
      </w:r>
      <w:r w:rsidRPr="009504EF">
        <w:rPr>
          <w:rFonts w:asciiTheme="majorHAnsi" w:eastAsiaTheme="majorEastAsia" w:hAnsiTheme="majorHAnsi" w:cstheme="majorBidi"/>
          <w:bCs/>
          <w:color w:val="000000" w:themeColor="text1"/>
          <w:sz w:val="24"/>
          <w:szCs w:val="24"/>
        </w:rPr>
        <w:t>we assume that the purpose is to</w:t>
      </w:r>
      <w:r w:rsidRPr="009504EF">
        <w:rPr>
          <w:rFonts w:asciiTheme="majorHAnsi" w:hAnsiTheme="majorHAnsi"/>
          <w:bCs/>
          <w:sz w:val="24"/>
          <w:szCs w:val="23"/>
        </w:rPr>
        <w:t xml:space="preserve"> </w:t>
      </w:r>
      <w:r w:rsidRPr="009504EF">
        <w:rPr>
          <w:rFonts w:asciiTheme="majorHAnsi" w:eastAsiaTheme="majorEastAsia" w:hAnsiTheme="majorHAnsi" w:cstheme="majorBidi"/>
          <w:bCs/>
          <w:color w:val="000000" w:themeColor="text1"/>
          <w:sz w:val="24"/>
          <w:szCs w:val="24"/>
        </w:rPr>
        <w:t>smooth over the effects of economic and business cycles on corporate taxes over multiple tax years</w:t>
      </w:r>
      <w:r w:rsidRPr="009504EF">
        <w:rPr>
          <w:rFonts w:asciiTheme="majorHAnsi" w:hAnsiTheme="majorHAnsi"/>
          <w:bCs/>
          <w:sz w:val="24"/>
          <w:szCs w:val="23"/>
        </w:rPr>
        <w:t xml:space="preserve"> as described above</w:t>
      </w:r>
      <w:r w:rsidRPr="002F4285">
        <w:rPr>
          <w:rFonts w:asciiTheme="majorHAnsi" w:hAnsiTheme="majorHAnsi"/>
          <w:bCs/>
          <w:sz w:val="24"/>
          <w:szCs w:val="23"/>
        </w:rPr>
        <w:t>.</w:t>
      </w:r>
    </w:p>
    <w:p w14:paraId="02BA05C7" w14:textId="77777777" w:rsidR="00EC1F73" w:rsidRDefault="00EC1F73" w:rsidP="00EC1F73">
      <w:pPr>
        <w:tabs>
          <w:tab w:val="left" w:pos="7050"/>
        </w:tabs>
        <w:spacing w:after="0"/>
        <w:rPr>
          <w:rFonts w:asciiTheme="majorHAnsi" w:hAnsiTheme="majorHAnsi"/>
          <w:bCs/>
          <w:sz w:val="24"/>
          <w:szCs w:val="23"/>
        </w:rPr>
      </w:pPr>
      <w:r w:rsidDel="0047670C">
        <w:rPr>
          <w:rFonts w:asciiTheme="majorHAnsi" w:hAnsiTheme="majorHAnsi"/>
          <w:bCs/>
          <w:sz w:val="24"/>
          <w:szCs w:val="23"/>
        </w:rPr>
        <w:t xml:space="preserve"> </w:t>
      </w:r>
    </w:p>
    <w:p w14:paraId="357C45FC" w14:textId="77777777" w:rsidR="00EC1F73" w:rsidRDefault="00EC1F73" w:rsidP="00EC1F73">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w:t>
      </w:r>
      <w:r w:rsidR="00741894">
        <w:rPr>
          <w:rFonts w:asciiTheme="majorHAnsi" w:eastAsiaTheme="majorEastAsia" w:hAnsiTheme="majorHAnsi" w:cstheme="majorBidi"/>
          <w:b/>
          <w:color w:val="000000" w:themeColor="text1"/>
          <w:sz w:val="24"/>
          <w:szCs w:val="24"/>
        </w:rPr>
        <w:t>NOL Deduction</w:t>
      </w:r>
      <w:r>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EC1F73" w:rsidRPr="00E072E2" w14:paraId="3057E3F1" w14:textId="77777777" w:rsidTr="007F4B47">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B95B235" w14:textId="77777777" w:rsidR="00EC1F73" w:rsidRPr="00E072E2" w:rsidRDefault="00EC1F73" w:rsidP="007F4B4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38E28E0B" w14:textId="77777777" w:rsidR="00EC1F73" w:rsidRPr="00E072E2" w:rsidRDefault="00EC1F73" w:rsidP="007F4B4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66702053" w14:textId="77777777" w:rsidR="00EC1F73" w:rsidRPr="00E072E2" w:rsidRDefault="00EC1F73" w:rsidP="007F4B4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7694F24E" w14:textId="77777777" w:rsidR="00EC1F73" w:rsidRPr="00E072E2" w:rsidRDefault="00EC1F73" w:rsidP="007F4B4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B209897" w14:textId="77777777" w:rsidR="00EC1F73" w:rsidRPr="00E072E2" w:rsidRDefault="00EC1F73" w:rsidP="007F4B4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3C8AB53E" w14:textId="77777777" w:rsidR="00EC1F73" w:rsidRPr="00E072E2" w:rsidRDefault="00EC1F73" w:rsidP="007F4B4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741894" w:rsidRPr="00E072E2" w14:paraId="75902BB2" w14:textId="77777777" w:rsidTr="007F4B47">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36D054EA" w14:textId="77777777" w:rsidR="00741894" w:rsidRPr="00E072E2" w:rsidRDefault="00741894" w:rsidP="00741894">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66FF8" w14:textId="77777777" w:rsidR="00741894" w:rsidRPr="00E072E2"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-$3,015</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C126A91" w14:textId="77777777" w:rsidR="00741894" w:rsidRPr="00E072E2"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-$6,247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98EFEB1" w14:textId="77777777" w:rsidR="00741894" w:rsidRPr="00E072E2"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-$6,258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DCD80C0" w14:textId="77777777" w:rsidR="00741894" w:rsidRPr="00E072E2"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-$6,121</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FD12548" w14:textId="77777777" w:rsidR="00741894" w:rsidRPr="00E072E2"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-$5,901</w:t>
            </w:r>
          </w:p>
        </w:tc>
      </w:tr>
    </w:tbl>
    <w:p w14:paraId="36E94520" w14:textId="77777777" w:rsidR="00EC1F73" w:rsidRPr="00304366" w:rsidRDefault="00EC1F73" w:rsidP="00EC1F73">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 xml:space="preserve">the </w:t>
      </w:r>
      <w:r w:rsidR="00741894">
        <w:rPr>
          <w:rFonts w:asciiTheme="majorHAnsi" w:hAnsiTheme="majorHAnsi"/>
          <w:bCs/>
          <w:sz w:val="20"/>
          <w:szCs w:val="20"/>
        </w:rPr>
        <w:t>NOL deduction</w:t>
      </w:r>
      <w:r>
        <w:rPr>
          <w:rFonts w:asciiTheme="majorHAnsi" w:hAnsiTheme="majorHAnsi"/>
          <w:bCs/>
          <w:sz w:val="20"/>
          <w:szCs w:val="20"/>
        </w:rPr>
        <w:t xml:space="preserve"> to balance budget</w:t>
      </w:r>
      <w:r w:rsidRPr="00304366">
        <w:rPr>
          <w:rFonts w:asciiTheme="majorHAnsi" w:hAnsiTheme="majorHAnsi"/>
          <w:bCs/>
          <w:sz w:val="20"/>
          <w:szCs w:val="20"/>
        </w:rPr>
        <w:t>.</w:t>
      </w:r>
    </w:p>
    <w:p w14:paraId="2E0DA109" w14:textId="77777777" w:rsidR="00EC1F73" w:rsidRDefault="00EC1F73" w:rsidP="00EC1F73">
      <w:pPr>
        <w:tabs>
          <w:tab w:val="left" w:pos="7050"/>
        </w:tabs>
        <w:spacing w:after="0"/>
        <w:rPr>
          <w:rFonts w:asciiTheme="majorHAnsi" w:hAnsiTheme="majorHAnsi"/>
          <w:sz w:val="24"/>
          <w:szCs w:val="24"/>
        </w:rPr>
      </w:pPr>
    </w:p>
    <w:p w14:paraId="5BE7A9E3" w14:textId="77777777" w:rsidR="00EC1F73" w:rsidRDefault="00EC1F73" w:rsidP="00EC1F73">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A6</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Net Economic Impacts of </w:t>
      </w:r>
      <w:r w:rsidR="004E3A70">
        <w:rPr>
          <w:rFonts w:asciiTheme="majorHAnsi" w:eastAsiaTheme="majorEastAsia" w:hAnsiTheme="majorHAnsi" w:cstheme="majorBidi"/>
          <w:b/>
          <w:color w:val="000000" w:themeColor="text1"/>
          <w:sz w:val="24"/>
          <w:szCs w:val="24"/>
        </w:rPr>
        <w:t xml:space="preserve">NOL Deduction </w:t>
      </w: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EC1F73" w:rsidRPr="00A94F48" w14:paraId="17381309" w14:textId="77777777" w:rsidTr="007F4B47">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16D5E93"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3BD229EF"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089F8B52"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BB085EE"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E0EDDB0"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4B5BAE3C" w14:textId="77777777" w:rsidR="00EC1F73" w:rsidRPr="00A94F48" w:rsidRDefault="00EC1F73" w:rsidP="007F4B4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741894" w:rsidRPr="00A94F48" w14:paraId="16A73B3E" w14:textId="77777777" w:rsidTr="007F4B47">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5D3EEE93"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60FB"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-2,005</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63BC6662"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-1,890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4DB09857"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-1,775</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0AD11A2D"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-1,634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5D84A"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-1,529</w:t>
            </w:r>
          </w:p>
        </w:tc>
      </w:tr>
      <w:tr w:rsidR="00741894" w:rsidRPr="00A94F48" w14:paraId="659E2775" w14:textId="77777777" w:rsidTr="007F4B47">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28988162"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7DA8477E"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-136</w:t>
            </w:r>
          </w:p>
        </w:tc>
        <w:tc>
          <w:tcPr>
            <w:tcW w:w="1197" w:type="dxa"/>
            <w:tcBorders>
              <w:top w:val="nil"/>
              <w:left w:val="nil"/>
              <w:bottom w:val="single" w:sz="4" w:space="0" w:color="auto"/>
              <w:right w:val="single" w:sz="4" w:space="0" w:color="auto"/>
            </w:tcBorders>
            <w:shd w:val="clear" w:color="auto" w:fill="auto"/>
            <w:noWrap/>
            <w:vAlign w:val="center"/>
            <w:hideMark/>
          </w:tcPr>
          <w:p w14:paraId="3BCBA423"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57</w:t>
            </w:r>
          </w:p>
        </w:tc>
        <w:tc>
          <w:tcPr>
            <w:tcW w:w="1197" w:type="dxa"/>
            <w:tcBorders>
              <w:top w:val="nil"/>
              <w:left w:val="nil"/>
              <w:bottom w:val="single" w:sz="4" w:space="0" w:color="auto"/>
              <w:right w:val="single" w:sz="4" w:space="0" w:color="auto"/>
            </w:tcBorders>
            <w:shd w:val="clear" w:color="auto" w:fill="auto"/>
            <w:noWrap/>
            <w:vAlign w:val="center"/>
            <w:hideMark/>
          </w:tcPr>
          <w:p w14:paraId="0E6493D5"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170</w:t>
            </w:r>
          </w:p>
        </w:tc>
        <w:tc>
          <w:tcPr>
            <w:tcW w:w="1197" w:type="dxa"/>
            <w:tcBorders>
              <w:top w:val="nil"/>
              <w:left w:val="nil"/>
              <w:bottom w:val="single" w:sz="4" w:space="0" w:color="auto"/>
              <w:right w:val="single" w:sz="4" w:space="0" w:color="auto"/>
            </w:tcBorders>
            <w:shd w:val="clear" w:color="auto" w:fill="auto"/>
            <w:noWrap/>
            <w:vAlign w:val="center"/>
            <w:hideMark/>
          </w:tcPr>
          <w:p w14:paraId="4387FFEF"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3725E72"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363</w:t>
            </w:r>
          </w:p>
        </w:tc>
      </w:tr>
      <w:tr w:rsidR="00741894" w:rsidRPr="00A94F48" w14:paraId="41D81F0D" w14:textId="77777777" w:rsidTr="007F4B47">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F5CB0DB"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1F9BD58"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-$147,000</w:t>
            </w:r>
          </w:p>
        </w:tc>
        <w:tc>
          <w:tcPr>
            <w:tcW w:w="1197" w:type="dxa"/>
            <w:tcBorders>
              <w:top w:val="nil"/>
              <w:left w:val="nil"/>
              <w:bottom w:val="single" w:sz="4" w:space="0" w:color="auto"/>
              <w:right w:val="single" w:sz="4" w:space="0" w:color="auto"/>
            </w:tcBorders>
            <w:shd w:val="clear" w:color="auto" w:fill="auto"/>
            <w:noWrap/>
            <w:vAlign w:val="center"/>
            <w:hideMark/>
          </w:tcPr>
          <w:p w14:paraId="04E18F25"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-$133,000</w:t>
            </w:r>
          </w:p>
        </w:tc>
        <w:tc>
          <w:tcPr>
            <w:tcW w:w="1197" w:type="dxa"/>
            <w:tcBorders>
              <w:top w:val="nil"/>
              <w:left w:val="nil"/>
              <w:bottom w:val="single" w:sz="4" w:space="0" w:color="auto"/>
              <w:right w:val="single" w:sz="4" w:space="0" w:color="auto"/>
            </w:tcBorders>
            <w:shd w:val="clear" w:color="auto" w:fill="auto"/>
            <w:noWrap/>
            <w:vAlign w:val="center"/>
            <w:hideMark/>
          </w:tcPr>
          <w:p w14:paraId="5C3D3E6E"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-$121,000</w:t>
            </w:r>
          </w:p>
        </w:tc>
        <w:tc>
          <w:tcPr>
            <w:tcW w:w="1197" w:type="dxa"/>
            <w:tcBorders>
              <w:top w:val="nil"/>
              <w:left w:val="nil"/>
              <w:bottom w:val="single" w:sz="4" w:space="0" w:color="auto"/>
              <w:right w:val="single" w:sz="4" w:space="0" w:color="auto"/>
            </w:tcBorders>
            <w:shd w:val="clear" w:color="auto" w:fill="auto"/>
            <w:noWrap/>
            <w:vAlign w:val="center"/>
            <w:hideMark/>
          </w:tcPr>
          <w:p w14:paraId="3490E072"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-$106,000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4FF5121"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-$96,000</w:t>
            </w:r>
          </w:p>
        </w:tc>
      </w:tr>
      <w:tr w:rsidR="00741894" w:rsidRPr="00A94F48" w14:paraId="7B25E53F" w14:textId="77777777" w:rsidTr="007F4B47">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1B2C1B2E" w14:textId="77777777" w:rsidR="00741894" w:rsidRPr="00A94F48" w:rsidRDefault="00741894" w:rsidP="00741894">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61B64F1"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-$139,000</w:t>
            </w:r>
          </w:p>
        </w:tc>
        <w:tc>
          <w:tcPr>
            <w:tcW w:w="1197" w:type="dxa"/>
            <w:tcBorders>
              <w:top w:val="nil"/>
              <w:left w:val="nil"/>
              <w:bottom w:val="single" w:sz="4" w:space="0" w:color="auto"/>
              <w:right w:val="single" w:sz="4" w:space="0" w:color="auto"/>
            </w:tcBorders>
            <w:shd w:val="clear" w:color="auto" w:fill="auto"/>
            <w:noWrap/>
            <w:vAlign w:val="center"/>
            <w:hideMark/>
          </w:tcPr>
          <w:p w14:paraId="63FC31FD"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-$145,000</w:t>
            </w:r>
          </w:p>
        </w:tc>
        <w:tc>
          <w:tcPr>
            <w:tcW w:w="1197" w:type="dxa"/>
            <w:tcBorders>
              <w:top w:val="nil"/>
              <w:left w:val="nil"/>
              <w:bottom w:val="single" w:sz="4" w:space="0" w:color="auto"/>
              <w:right w:val="single" w:sz="4" w:space="0" w:color="auto"/>
            </w:tcBorders>
            <w:shd w:val="clear" w:color="auto" w:fill="auto"/>
            <w:noWrap/>
            <w:vAlign w:val="center"/>
            <w:hideMark/>
          </w:tcPr>
          <w:p w14:paraId="5D1698D7"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-$146,000</w:t>
            </w:r>
          </w:p>
        </w:tc>
        <w:tc>
          <w:tcPr>
            <w:tcW w:w="1197" w:type="dxa"/>
            <w:tcBorders>
              <w:top w:val="nil"/>
              <w:left w:val="nil"/>
              <w:bottom w:val="single" w:sz="4" w:space="0" w:color="auto"/>
              <w:right w:val="single" w:sz="4" w:space="0" w:color="auto"/>
            </w:tcBorders>
            <w:shd w:val="clear" w:color="auto" w:fill="auto"/>
            <w:noWrap/>
            <w:vAlign w:val="center"/>
            <w:hideMark/>
          </w:tcPr>
          <w:p w14:paraId="46F25974"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-$143,000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A5E9FD0" w14:textId="77777777" w:rsidR="00741894" w:rsidRPr="00A94F48" w:rsidRDefault="00741894" w:rsidP="00741894">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-$142,000</w:t>
            </w:r>
          </w:p>
        </w:tc>
      </w:tr>
    </w:tbl>
    <w:p w14:paraId="77D8974C" w14:textId="77777777" w:rsidR="00EC1F73" w:rsidRDefault="00EC1F73" w:rsidP="00EC1F73">
      <w:pPr>
        <w:tabs>
          <w:tab w:val="left" w:pos="7050"/>
        </w:tabs>
        <w:spacing w:after="0"/>
        <w:rPr>
          <w:rFonts w:asciiTheme="majorHAnsi" w:hAnsiTheme="majorHAnsi"/>
          <w:bCs/>
          <w:sz w:val="20"/>
          <w:szCs w:val="20"/>
        </w:rPr>
      </w:pPr>
      <w:r w:rsidRPr="00304366">
        <w:rPr>
          <w:rFonts w:asciiTheme="majorHAnsi" w:hAnsiTheme="majorHAnsi"/>
          <w:bCs/>
          <w:sz w:val="20"/>
          <w:szCs w:val="20"/>
        </w:rPr>
        <w:t xml:space="preserve">* </w:t>
      </w:r>
      <w:r w:rsidR="00741894" w:rsidRPr="00304366">
        <w:rPr>
          <w:rFonts w:asciiTheme="majorHAnsi" w:hAnsiTheme="majorHAnsi"/>
          <w:bCs/>
          <w:sz w:val="20"/>
          <w:szCs w:val="20"/>
        </w:rPr>
        <w:t>assuming state government spending is cut by the same amount as</w:t>
      </w:r>
      <w:r w:rsidR="00741894">
        <w:rPr>
          <w:rFonts w:asciiTheme="majorHAnsi" w:hAnsiTheme="majorHAnsi"/>
          <w:bCs/>
          <w:sz w:val="20"/>
          <w:szCs w:val="20"/>
        </w:rPr>
        <w:t xml:space="preserve"> the revenue loss due to</w:t>
      </w:r>
      <w:r w:rsidR="00741894" w:rsidRPr="00304366">
        <w:rPr>
          <w:rFonts w:asciiTheme="majorHAnsi" w:hAnsiTheme="majorHAnsi"/>
          <w:bCs/>
          <w:sz w:val="20"/>
          <w:szCs w:val="20"/>
        </w:rPr>
        <w:t xml:space="preserve"> </w:t>
      </w:r>
      <w:r w:rsidR="00741894">
        <w:rPr>
          <w:rFonts w:asciiTheme="majorHAnsi" w:hAnsiTheme="majorHAnsi"/>
          <w:bCs/>
          <w:sz w:val="20"/>
          <w:szCs w:val="20"/>
        </w:rPr>
        <w:t>the NOL deduction to balance budget</w:t>
      </w:r>
      <w:r w:rsidR="00741894" w:rsidRPr="00304366">
        <w:rPr>
          <w:rFonts w:asciiTheme="majorHAnsi" w:hAnsiTheme="majorHAnsi"/>
          <w:bCs/>
          <w:sz w:val="20"/>
          <w:szCs w:val="20"/>
        </w:rPr>
        <w:t>.</w:t>
      </w:r>
    </w:p>
    <w:p w14:paraId="4B3130BA" w14:textId="77777777" w:rsidR="00741894" w:rsidRDefault="00741894" w:rsidP="00EC1F73">
      <w:pPr>
        <w:tabs>
          <w:tab w:val="left" w:pos="7050"/>
        </w:tabs>
        <w:spacing w:after="0"/>
        <w:rPr>
          <w:rFonts w:asciiTheme="majorHAnsi" w:hAnsiTheme="majorHAnsi"/>
          <w:bCs/>
          <w:sz w:val="24"/>
          <w:szCs w:val="23"/>
        </w:rPr>
      </w:pPr>
    </w:p>
    <w:p w14:paraId="39271BA0" w14:textId="77777777" w:rsidR="00EC1F73" w:rsidRDefault="00EC1F73" w:rsidP="00EC1F73">
      <w:pPr>
        <w:tabs>
          <w:tab w:val="left" w:pos="7050"/>
        </w:tabs>
        <w:spacing w:after="0"/>
        <w:rPr>
          <w:rFonts w:asciiTheme="majorHAnsi" w:hAnsiTheme="majorHAnsi"/>
          <w:bCs/>
          <w:sz w:val="24"/>
          <w:szCs w:val="23"/>
        </w:rPr>
      </w:pPr>
    </w:p>
    <w:p w14:paraId="2C5B8A9D" w14:textId="77777777" w:rsidR="00EC1F73" w:rsidRPr="00782E31" w:rsidRDefault="00EC1F73" w:rsidP="00EC1F73">
      <w:pPr>
        <w:rPr>
          <w:rFonts w:asciiTheme="majorHAnsi" w:hAnsiTheme="majorHAnsi"/>
          <w:b/>
          <w:sz w:val="24"/>
          <w:szCs w:val="24"/>
        </w:rPr>
      </w:pPr>
      <w:r w:rsidRPr="00782E31">
        <w:rPr>
          <w:rFonts w:asciiTheme="majorHAnsi" w:hAnsiTheme="majorHAnsi"/>
          <w:b/>
          <w:sz w:val="24"/>
          <w:szCs w:val="24"/>
        </w:rPr>
        <w:t xml:space="preserve">Other </w:t>
      </w:r>
      <w:r>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r w:rsidRPr="00A046B8">
        <w:rPr>
          <w:rFonts w:asciiTheme="majorHAnsi" w:hAnsiTheme="majorHAnsi"/>
          <w:b/>
          <w:sz w:val="24"/>
          <w:szCs w:val="24"/>
        </w:rPr>
        <w:t xml:space="preserve">:  </w:t>
      </w:r>
    </w:p>
    <w:p w14:paraId="4EE1796F" w14:textId="77777777" w:rsidR="00EC1F73" w:rsidRPr="00A05217" w:rsidRDefault="00EC1F73" w:rsidP="00EC1F73">
      <w:pPr>
        <w:tabs>
          <w:tab w:val="left" w:pos="7050"/>
        </w:tabs>
        <w:spacing w:after="0"/>
        <w:rPr>
          <w:rFonts w:asciiTheme="majorHAnsi" w:hAnsiTheme="majorHAnsi"/>
          <w:bCs/>
          <w:sz w:val="24"/>
          <w:szCs w:val="23"/>
        </w:rPr>
      </w:pPr>
    </w:p>
    <w:p w14:paraId="3AFC6D58" w14:textId="77777777" w:rsidR="00EC1F73" w:rsidRDefault="00EC1F73" w:rsidP="00EC1F73">
      <w:pPr>
        <w:tabs>
          <w:tab w:val="left" w:pos="7050"/>
        </w:tabs>
        <w:spacing w:after="0"/>
        <w:rPr>
          <w:rFonts w:asciiTheme="majorHAnsi" w:hAnsiTheme="majorHAnsi"/>
          <w:bCs/>
          <w:sz w:val="24"/>
          <w:szCs w:val="23"/>
        </w:rPr>
      </w:pPr>
      <w:r>
        <w:rPr>
          <w:rFonts w:asciiTheme="majorHAnsi" w:hAnsiTheme="majorHAnsi"/>
          <w:bCs/>
          <w:sz w:val="24"/>
          <w:szCs w:val="23"/>
        </w:rPr>
        <w:lastRenderedPageBreak/>
        <w:t>Besides the additional costs and benefits quantified in the previous sections, t</w:t>
      </w:r>
      <w:r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of data </w:t>
      </w:r>
      <w:r>
        <w:rPr>
          <w:rFonts w:asciiTheme="majorHAnsi" w:hAnsiTheme="majorHAnsi"/>
          <w:bCs/>
          <w:sz w:val="24"/>
          <w:szCs w:val="23"/>
        </w:rPr>
        <w:t>or other challenges</w:t>
      </w:r>
      <w:r w:rsidRPr="00A05217">
        <w:rPr>
          <w:rFonts w:asciiTheme="majorHAnsi" w:hAnsiTheme="majorHAnsi"/>
          <w:bCs/>
          <w:sz w:val="24"/>
          <w:szCs w:val="23"/>
        </w:rPr>
        <w:t>.</w:t>
      </w:r>
      <w:r>
        <w:rPr>
          <w:rFonts w:asciiTheme="majorHAnsi" w:hAnsiTheme="majorHAnsi"/>
          <w:bCs/>
          <w:sz w:val="24"/>
          <w:szCs w:val="23"/>
        </w:rPr>
        <w:t xml:space="preserve"> In this section we will enumerate some of these costs and benefits.</w:t>
      </w:r>
    </w:p>
    <w:p w14:paraId="00FB9088" w14:textId="77777777" w:rsidR="00EC1F73" w:rsidRDefault="00EC1F73" w:rsidP="00EC1F73">
      <w:pPr>
        <w:tabs>
          <w:tab w:val="left" w:pos="7050"/>
        </w:tabs>
        <w:spacing w:after="0"/>
        <w:rPr>
          <w:rFonts w:asciiTheme="majorHAnsi" w:hAnsiTheme="majorHAnsi"/>
          <w:bCs/>
          <w:sz w:val="24"/>
          <w:szCs w:val="23"/>
        </w:rPr>
      </w:pPr>
    </w:p>
    <w:p w14:paraId="4DE4506D" w14:textId="77777777" w:rsidR="00EC1F73" w:rsidRDefault="00EC1F73" w:rsidP="00EC1F73">
      <w:pPr>
        <w:tabs>
          <w:tab w:val="left" w:pos="7050"/>
        </w:tabs>
        <w:spacing w:after="0"/>
        <w:rPr>
          <w:rFonts w:asciiTheme="majorHAnsi" w:hAnsiTheme="majorHAnsi"/>
          <w:bCs/>
          <w:sz w:val="24"/>
          <w:szCs w:val="23"/>
        </w:rPr>
      </w:pPr>
      <w:r w:rsidRPr="00A05217">
        <w:rPr>
          <w:rFonts w:asciiTheme="majorHAnsi" w:hAnsiTheme="majorHAnsi"/>
          <w:noProof/>
          <w:sz w:val="24"/>
          <w:szCs w:val="23"/>
        </w:rPr>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a published study for the state of Georgia</w:t>
      </w:r>
      <w:r w:rsidR="00313DA9">
        <w:rPr>
          <w:rFonts w:asciiTheme="majorHAnsi" w:hAnsiTheme="majorHAnsi"/>
          <w:bCs/>
          <w:sz w:val="24"/>
          <w:szCs w:val="23"/>
        </w:rPr>
        <w:t>,</w:t>
      </w:r>
      <w:r w:rsidRPr="00A05217">
        <w:rPr>
          <w:rFonts w:asciiTheme="majorHAnsi" w:hAnsiTheme="majorHAnsi"/>
          <w:bCs/>
          <w:sz w:val="24"/>
          <w:szCs w:val="23"/>
        </w:rPr>
        <w:t xml:space="preserve"> summarizes </w:t>
      </w:r>
      <w:r>
        <w:rPr>
          <w:rFonts w:asciiTheme="majorHAnsi" w:hAnsiTheme="majorHAnsi"/>
          <w:bCs/>
          <w:sz w:val="24"/>
          <w:szCs w:val="23"/>
        </w:rPr>
        <w:t>some of</w:t>
      </w:r>
      <w:r w:rsidR="00A94EEE">
        <w:rPr>
          <w:rFonts w:asciiTheme="majorHAnsi" w:hAnsiTheme="majorHAnsi"/>
          <w:bCs/>
          <w:sz w:val="24"/>
          <w:szCs w:val="23"/>
        </w:rPr>
        <w:t xml:space="preserve"> the</w:t>
      </w:r>
      <w:r>
        <w:rPr>
          <w:rFonts w:asciiTheme="majorHAnsi" w:hAnsiTheme="majorHAnsi"/>
          <w:bCs/>
          <w:sz w:val="24"/>
          <w:szCs w:val="23"/>
        </w:rPr>
        <w:t xml:space="preserve"> other costs and benefits as follows:  </w:t>
      </w:r>
    </w:p>
    <w:p w14:paraId="4AEE4715" w14:textId="77777777" w:rsidR="00EC1F73" w:rsidRDefault="00EC1F73" w:rsidP="00EC1F73">
      <w:pPr>
        <w:tabs>
          <w:tab w:val="left" w:pos="7050"/>
        </w:tabs>
        <w:spacing w:after="0"/>
        <w:rPr>
          <w:rFonts w:asciiTheme="majorHAnsi" w:hAnsiTheme="majorHAnsi"/>
          <w:bCs/>
          <w:sz w:val="24"/>
          <w:szCs w:val="23"/>
        </w:rPr>
      </w:pPr>
    </w:p>
    <w:p w14:paraId="3229BBA2" w14:textId="77777777" w:rsidR="00EC1F73" w:rsidRDefault="00EC1F73" w:rsidP="00EC1F73">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w:t>
      </w:r>
      <w:r w:rsidRPr="00E4532C">
        <w:rPr>
          <w:rFonts w:asciiTheme="majorHAnsi" w:hAnsiTheme="majorHAnsi"/>
          <w:bCs/>
          <w:sz w:val="24"/>
          <w:szCs w:val="23"/>
        </w:rPr>
        <w:t xml:space="preserve">Providing tax </w:t>
      </w:r>
      <w:r>
        <w:rPr>
          <w:rFonts w:asciiTheme="majorHAnsi" w:hAnsiTheme="majorHAnsi"/>
          <w:bCs/>
          <w:sz w:val="24"/>
          <w:szCs w:val="23"/>
        </w:rPr>
        <w:t xml:space="preserve">incentive such as </w:t>
      </w:r>
      <w:r w:rsidRPr="00E4532C">
        <w:rPr>
          <w:rFonts w:asciiTheme="majorHAnsi" w:hAnsiTheme="majorHAnsi"/>
          <w:bCs/>
          <w:sz w:val="24"/>
          <w:szCs w:val="23"/>
        </w:rPr>
        <w:t xml:space="preserve">credits to selected firms </w:t>
      </w:r>
      <w:r>
        <w:rPr>
          <w:rFonts w:asciiTheme="majorHAnsi" w:hAnsiTheme="majorHAnsi"/>
          <w:bCs/>
          <w:sz w:val="24"/>
          <w:szCs w:val="23"/>
        </w:rPr>
        <w:t>may d</w:t>
      </w:r>
      <w:r w:rsidRPr="00E4532C">
        <w:rPr>
          <w:rFonts w:asciiTheme="majorHAnsi" w:hAnsiTheme="majorHAnsi"/>
          <w:bCs/>
          <w:sz w:val="24"/>
          <w:szCs w:val="23"/>
        </w:rPr>
        <w:t>iminish</w:t>
      </w:r>
      <w:r>
        <w:rPr>
          <w:rFonts w:asciiTheme="majorHAnsi" w:hAnsiTheme="majorHAnsi"/>
          <w:bCs/>
          <w:sz w:val="24"/>
          <w:szCs w:val="23"/>
        </w:rPr>
        <w:t xml:space="preserve"> the </w:t>
      </w:r>
      <w:r w:rsidRPr="00E4532C">
        <w:rPr>
          <w:rFonts w:asciiTheme="majorHAnsi" w:hAnsiTheme="majorHAnsi"/>
          <w:bCs/>
          <w:sz w:val="24"/>
          <w:szCs w:val="23"/>
        </w:rPr>
        <w:t>competitiveness</w:t>
      </w:r>
      <w:r>
        <w:rPr>
          <w:rFonts w:asciiTheme="majorHAnsi" w:hAnsiTheme="majorHAnsi"/>
          <w:bCs/>
          <w:sz w:val="24"/>
          <w:szCs w:val="23"/>
        </w:rPr>
        <w:t xml:space="preserve"> </w:t>
      </w:r>
      <w:r w:rsidRPr="00E4532C">
        <w:rPr>
          <w:rFonts w:asciiTheme="majorHAnsi" w:hAnsiTheme="majorHAnsi"/>
          <w:bCs/>
          <w:sz w:val="24"/>
          <w:szCs w:val="23"/>
        </w:rPr>
        <w:t>for</w:t>
      </w:r>
      <w:r>
        <w:rPr>
          <w:rFonts w:asciiTheme="majorHAnsi" w:hAnsiTheme="majorHAnsi"/>
          <w:bCs/>
          <w:sz w:val="24"/>
          <w:szCs w:val="23"/>
        </w:rPr>
        <w:t xml:space="preserve"> </w:t>
      </w:r>
      <w:r w:rsidRPr="00E4532C">
        <w:rPr>
          <w:rFonts w:asciiTheme="majorHAnsi" w:hAnsiTheme="majorHAnsi"/>
          <w:bCs/>
          <w:sz w:val="24"/>
          <w:szCs w:val="23"/>
        </w:rPr>
        <w:t>existing</w:t>
      </w:r>
      <w:r>
        <w:rPr>
          <w:rFonts w:asciiTheme="majorHAnsi" w:hAnsiTheme="majorHAnsi"/>
          <w:bCs/>
          <w:sz w:val="24"/>
          <w:szCs w:val="23"/>
        </w:rPr>
        <w:t xml:space="preserve"> </w:t>
      </w:r>
      <w:r w:rsidRPr="00E4532C">
        <w:rPr>
          <w:rFonts w:asciiTheme="majorHAnsi" w:hAnsiTheme="majorHAnsi"/>
          <w:bCs/>
          <w:sz w:val="24"/>
          <w:szCs w:val="23"/>
        </w:rPr>
        <w:t>similar</w:t>
      </w:r>
      <w:r>
        <w:rPr>
          <w:rFonts w:asciiTheme="majorHAnsi" w:hAnsiTheme="majorHAnsi"/>
          <w:bCs/>
          <w:sz w:val="24"/>
          <w:szCs w:val="23"/>
        </w:rPr>
        <w:t xml:space="preserve"> </w:t>
      </w:r>
      <w:r w:rsidRPr="00E4532C">
        <w:rPr>
          <w:rFonts w:asciiTheme="majorHAnsi" w:hAnsiTheme="majorHAnsi"/>
          <w:bCs/>
          <w:sz w:val="24"/>
          <w:szCs w:val="23"/>
        </w:rPr>
        <w:t>firms.</w:t>
      </w:r>
      <w:r w:rsidRPr="00A05217">
        <w:rPr>
          <w:rFonts w:asciiTheme="majorHAnsi" w:hAnsiTheme="majorHAnsi"/>
          <w:bCs/>
          <w:sz w:val="24"/>
          <w:szCs w:val="23"/>
        </w:rPr>
        <w:t xml:space="preserve">  </w:t>
      </w:r>
    </w:p>
    <w:p w14:paraId="061008E0" w14:textId="77777777" w:rsidR="00EC1F73" w:rsidRDefault="00EC1F73" w:rsidP="00EC1F73">
      <w:pPr>
        <w:tabs>
          <w:tab w:val="left" w:pos="7050"/>
        </w:tabs>
        <w:spacing w:after="0"/>
        <w:rPr>
          <w:rFonts w:asciiTheme="majorHAnsi" w:hAnsiTheme="majorHAnsi"/>
          <w:bCs/>
          <w:sz w:val="24"/>
          <w:szCs w:val="23"/>
        </w:rPr>
      </w:pPr>
    </w:p>
    <w:p w14:paraId="303136BE" w14:textId="77777777" w:rsidR="00EC1F73" w:rsidRDefault="00EC1F73" w:rsidP="00EC1F73">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6B0DE7CB" w14:textId="77777777" w:rsidR="00EC1F73" w:rsidRDefault="00EC1F73" w:rsidP="00EC1F73">
      <w:pPr>
        <w:tabs>
          <w:tab w:val="left" w:pos="7050"/>
        </w:tabs>
        <w:spacing w:after="0"/>
        <w:rPr>
          <w:rFonts w:asciiTheme="majorHAnsi" w:hAnsiTheme="majorHAnsi"/>
          <w:bCs/>
          <w:sz w:val="24"/>
          <w:szCs w:val="23"/>
        </w:rPr>
      </w:pPr>
    </w:p>
    <w:p w14:paraId="0F824F9C" w14:textId="77777777" w:rsidR="00EC1F73" w:rsidRDefault="00EC1F73" w:rsidP="00EC1F73">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1534C6B3" w14:textId="77777777" w:rsidR="00EC1F73" w:rsidRDefault="00EC1F73" w:rsidP="00EC1F73">
      <w:pPr>
        <w:tabs>
          <w:tab w:val="left" w:pos="7050"/>
        </w:tabs>
        <w:spacing w:after="0"/>
        <w:rPr>
          <w:rFonts w:asciiTheme="majorHAnsi" w:hAnsiTheme="majorHAnsi"/>
          <w:bCs/>
          <w:sz w:val="24"/>
          <w:szCs w:val="23"/>
        </w:rPr>
      </w:pPr>
    </w:p>
    <w:p w14:paraId="24B78F41" w14:textId="77777777" w:rsidR="00EC1F73" w:rsidRDefault="00EC1F73" w:rsidP="00EC1F73">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r>
        <w:rPr>
          <w:rFonts w:asciiTheme="majorHAnsi" w:hAnsiTheme="majorHAnsi"/>
          <w:bCs/>
          <w:sz w:val="24"/>
          <w:szCs w:val="23"/>
        </w:rPr>
        <w:t xml:space="preserve"> </w:t>
      </w:r>
    </w:p>
    <w:p w14:paraId="30FF7C5E" w14:textId="77777777" w:rsidR="00EC1F73" w:rsidRDefault="00EC1F73" w:rsidP="00EC1F73">
      <w:pPr>
        <w:rPr>
          <w:rFonts w:asciiTheme="majorHAnsi" w:hAnsiTheme="majorHAnsi"/>
          <w:b/>
          <w:sz w:val="24"/>
          <w:szCs w:val="24"/>
        </w:rPr>
      </w:pPr>
    </w:p>
    <w:p w14:paraId="5452EE20" w14:textId="77777777" w:rsidR="00EC1F73" w:rsidRPr="00616EEB" w:rsidRDefault="00EC1F73" w:rsidP="00EC1F73">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 xml:space="preserve">Another hard to quantify cost is the administrative cost. The administrative cost attributable to this incentive should be relatively small because the Department of Revenue administers the </w:t>
      </w:r>
      <w:r w:rsidR="003E3EBC">
        <w:rPr>
          <w:rFonts w:asciiTheme="majorHAnsi" w:eastAsiaTheme="majorEastAsia" w:hAnsiTheme="majorHAnsi" w:cstheme="majorBidi"/>
          <w:bCs/>
          <w:color w:val="000000" w:themeColor="text1"/>
          <w:sz w:val="24"/>
          <w:szCs w:val="24"/>
        </w:rPr>
        <w:t>deduction</w:t>
      </w:r>
      <w:r>
        <w:rPr>
          <w:rFonts w:asciiTheme="majorHAnsi" w:eastAsiaTheme="majorEastAsia" w:hAnsiTheme="majorHAnsi" w:cstheme="majorBidi"/>
          <w:bCs/>
          <w:color w:val="000000" w:themeColor="text1"/>
          <w:sz w:val="24"/>
          <w:szCs w:val="24"/>
        </w:rPr>
        <w:t xml:space="preserve"> with existing staff as part of its overall mission. </w:t>
      </w:r>
    </w:p>
    <w:p w14:paraId="0C862283" w14:textId="77777777" w:rsidR="00EC1F73" w:rsidRDefault="00EC1F73" w:rsidP="00EC1F73">
      <w:pPr>
        <w:tabs>
          <w:tab w:val="left" w:pos="7050"/>
        </w:tabs>
        <w:spacing w:after="0"/>
        <w:rPr>
          <w:rFonts w:asciiTheme="majorHAnsi" w:hAnsiTheme="majorHAnsi"/>
          <w:bCs/>
          <w:sz w:val="24"/>
          <w:szCs w:val="23"/>
        </w:rPr>
      </w:pPr>
    </w:p>
    <w:p w14:paraId="10E6A9C0" w14:textId="77777777" w:rsidR="00EC1F73" w:rsidRPr="00782E31" w:rsidRDefault="00EC1F73" w:rsidP="00EC1F73">
      <w:pPr>
        <w:rPr>
          <w:rFonts w:asciiTheme="majorHAnsi" w:hAnsiTheme="majorHAnsi"/>
          <w:b/>
          <w:sz w:val="24"/>
          <w:szCs w:val="24"/>
        </w:rPr>
      </w:pPr>
      <w:r>
        <w:rPr>
          <w:rFonts w:asciiTheme="majorHAnsi" w:hAnsiTheme="majorHAnsi"/>
          <w:b/>
          <w:sz w:val="24"/>
          <w:szCs w:val="24"/>
        </w:rPr>
        <w:t>Other issues related to costs and benefits</w:t>
      </w:r>
    </w:p>
    <w:p w14:paraId="7C0ADA07" w14:textId="77777777" w:rsidR="00EC1F73" w:rsidRDefault="00EC1F73" w:rsidP="00EC1F73">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would flee from states of higher corporate taxes if all other considerable factors are not significantly different.  </w:t>
      </w:r>
    </w:p>
    <w:p w14:paraId="475B2FFC"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104CB0B0" w14:textId="77777777" w:rsidR="00EC1F73" w:rsidRDefault="00EC1F73" w:rsidP="00EC1F73">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 to 0.36%, that labor’s burden from the state corporate tax has trended upward over time due to increased global competition and increased competition among states to attract businesses, and that state corporate taxes reduce the wages of highly educated workers more than that of less-educated workers. </w:t>
      </w:r>
    </w:p>
    <w:p w14:paraId="6923171E" w14:textId="77777777" w:rsidR="00EC1F73" w:rsidRDefault="00EC1F73" w:rsidP="00EC1F73">
      <w:pPr>
        <w:spacing w:after="0"/>
        <w:rPr>
          <w:rFonts w:asciiTheme="majorHAnsi" w:eastAsiaTheme="majorEastAsia" w:hAnsiTheme="majorHAnsi" w:cstheme="majorBidi"/>
          <w:bCs/>
          <w:color w:val="000000" w:themeColor="text1"/>
          <w:sz w:val="24"/>
          <w:szCs w:val="24"/>
        </w:rPr>
      </w:pPr>
    </w:p>
    <w:p w14:paraId="023AC92C" w14:textId="231C3933" w:rsidR="00245D07" w:rsidRPr="00881147" w:rsidRDefault="005F54FB" w:rsidP="005F5E6B">
      <w:pPr>
        <w:spacing w:after="0"/>
        <w:rPr>
          <w:rFonts w:asciiTheme="majorHAnsi" w:hAnsiTheme="majorHAnsi"/>
          <w:b/>
          <w:sz w:val="24"/>
          <w:szCs w:val="24"/>
        </w:rPr>
      </w:pPr>
      <w:r>
        <w:rPr>
          <w:rFonts w:asciiTheme="majorHAnsi" w:eastAsiaTheme="majorEastAsia" w:hAnsiTheme="majorHAnsi" w:cstheme="majorBidi"/>
          <w:bCs/>
          <w:color w:val="000000" w:themeColor="text1"/>
          <w:sz w:val="24"/>
          <w:szCs w:val="24"/>
        </w:rPr>
        <w:lastRenderedPageBreak/>
        <w:t xml:space="preserve">As discussed in the report, the </w:t>
      </w:r>
      <w:r w:rsidR="003E3EBC">
        <w:rPr>
          <w:rFonts w:asciiTheme="majorHAnsi" w:eastAsiaTheme="majorEastAsia" w:hAnsiTheme="majorHAnsi" w:cstheme="majorBidi"/>
          <w:bCs/>
          <w:color w:val="000000" w:themeColor="text1"/>
          <w:sz w:val="24"/>
          <w:szCs w:val="24"/>
        </w:rPr>
        <w:t>NOL deduction</w:t>
      </w:r>
      <w:r w:rsidR="00EC1F73">
        <w:rPr>
          <w:rFonts w:asciiTheme="majorHAnsi" w:eastAsiaTheme="majorEastAsia" w:hAnsiTheme="majorHAnsi" w:cstheme="majorBidi"/>
          <w:bCs/>
          <w:color w:val="000000" w:themeColor="text1"/>
          <w:sz w:val="24"/>
          <w:szCs w:val="24"/>
        </w:rPr>
        <w:t xml:space="preserve"> </w:t>
      </w:r>
      <w:r w:rsidR="00CD2EBE">
        <w:rPr>
          <w:rFonts w:asciiTheme="majorHAnsi" w:eastAsiaTheme="majorEastAsia" w:hAnsiTheme="majorHAnsi" w:cstheme="majorBidi"/>
          <w:bCs/>
          <w:color w:val="000000" w:themeColor="text1"/>
          <w:sz w:val="24"/>
          <w:szCs w:val="24"/>
        </w:rPr>
        <w:t>reduc</w:t>
      </w:r>
      <w:r>
        <w:rPr>
          <w:rFonts w:asciiTheme="majorHAnsi" w:eastAsiaTheme="majorEastAsia" w:hAnsiTheme="majorHAnsi" w:cstheme="majorBidi"/>
          <w:bCs/>
          <w:color w:val="000000" w:themeColor="text1"/>
          <w:sz w:val="24"/>
          <w:szCs w:val="24"/>
        </w:rPr>
        <w:t>es</w:t>
      </w:r>
      <w:r w:rsidR="00CD2EBE">
        <w:rPr>
          <w:rFonts w:asciiTheme="majorHAnsi" w:eastAsiaTheme="majorEastAsia" w:hAnsiTheme="majorHAnsi" w:cstheme="majorBidi"/>
          <w:bCs/>
          <w:color w:val="000000" w:themeColor="text1"/>
          <w:sz w:val="24"/>
          <w:szCs w:val="24"/>
        </w:rPr>
        <w:t xml:space="preserve"> the effective tax rate </w:t>
      </w:r>
      <w:r>
        <w:rPr>
          <w:rFonts w:asciiTheme="majorHAnsi" w:eastAsiaTheme="majorEastAsia" w:hAnsiTheme="majorHAnsi" w:cstheme="majorBidi"/>
          <w:bCs/>
          <w:color w:val="000000" w:themeColor="text1"/>
          <w:sz w:val="24"/>
          <w:szCs w:val="24"/>
        </w:rPr>
        <w:t>of its direct beneficiaries</w:t>
      </w:r>
      <w:r w:rsidR="00EC1F73">
        <w:rPr>
          <w:rFonts w:asciiTheme="majorHAnsi" w:eastAsiaTheme="majorEastAsia" w:hAnsiTheme="majorHAnsi" w:cstheme="majorBidi"/>
          <w:bCs/>
          <w:color w:val="000000" w:themeColor="text1"/>
          <w:sz w:val="24"/>
          <w:szCs w:val="24"/>
        </w:rPr>
        <w:t xml:space="preserve">. </w:t>
      </w:r>
      <w:r w:rsidR="00CA63DD">
        <w:rPr>
          <w:rFonts w:asciiTheme="majorHAnsi" w:eastAsiaTheme="majorEastAsia" w:hAnsiTheme="majorHAnsi" w:cstheme="majorBidi"/>
          <w:bCs/>
          <w:color w:val="000000" w:themeColor="text1"/>
          <w:sz w:val="24"/>
          <w:szCs w:val="24"/>
        </w:rPr>
        <w:t>T</w:t>
      </w:r>
      <w:r w:rsidR="00EC1F73">
        <w:rPr>
          <w:rFonts w:asciiTheme="majorHAnsi" w:eastAsiaTheme="majorEastAsia" w:hAnsiTheme="majorHAnsi" w:cstheme="majorBidi"/>
          <w:bCs/>
          <w:color w:val="000000" w:themeColor="text1"/>
          <w:sz w:val="24"/>
          <w:szCs w:val="24"/>
        </w:rPr>
        <w:t xml:space="preserve">he findings imply that the incentive may have benefited workers who were employed by the corporations in the form of higher wages.  The incentive may have further benefited the shareholders and clients due to the growth of businesses.   </w:t>
      </w:r>
    </w:p>
    <w:sectPr w:rsidR="00245D07" w:rsidRPr="00881147" w:rsidSect="00ED4589">
      <w:headerReference w:type="even" r:id="rId14"/>
      <w:headerReference w:type="default" r:id="rId15"/>
      <w:foot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E2A7" w14:textId="77777777" w:rsidR="009A2347" w:rsidRDefault="009A2347" w:rsidP="00110E98">
      <w:pPr>
        <w:spacing w:after="0" w:line="240" w:lineRule="auto"/>
      </w:pPr>
      <w:r>
        <w:separator/>
      </w:r>
    </w:p>
  </w:endnote>
  <w:endnote w:type="continuationSeparator" w:id="0">
    <w:p w14:paraId="181DB534" w14:textId="77777777" w:rsidR="009A2347" w:rsidRDefault="009A2347"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A570" w14:textId="77777777" w:rsidR="008A362D" w:rsidRDefault="008A3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406BF157" w14:textId="77777777" w:rsidR="00A94EEE" w:rsidRDefault="00A94EEE">
        <w:pPr>
          <w:pStyle w:val="Footer"/>
          <w:jc w:val="center"/>
        </w:pPr>
        <w:r>
          <w:fldChar w:fldCharType="begin"/>
        </w:r>
        <w:r>
          <w:instrText xml:space="preserve"> PAGE   \* MERGEFORMAT </w:instrText>
        </w:r>
        <w:r>
          <w:fldChar w:fldCharType="separate"/>
        </w:r>
        <w:r w:rsidR="00CA63DD">
          <w:rPr>
            <w:noProof/>
          </w:rPr>
          <w:t>1</w:t>
        </w:r>
        <w:r>
          <w:rPr>
            <w:noProof/>
          </w:rPr>
          <w:fldChar w:fldCharType="end"/>
        </w:r>
      </w:p>
    </w:sdtContent>
  </w:sdt>
  <w:p w14:paraId="08166A87" w14:textId="77777777" w:rsidR="00A94EEE" w:rsidRDefault="00A94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4D30" w14:textId="77777777" w:rsidR="008A362D" w:rsidRDefault="008A36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57CA5305" w14:textId="77777777" w:rsidR="00A94EEE" w:rsidRPr="00B204AF" w:rsidRDefault="00A94EEE">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sidR="00CA63DD">
          <w:rPr>
            <w:rFonts w:asciiTheme="majorHAnsi" w:hAnsiTheme="majorHAnsi"/>
            <w:noProof/>
            <w:sz w:val="24"/>
          </w:rPr>
          <w:t>2</w:t>
        </w:r>
        <w:r w:rsidRPr="00B204AF">
          <w:rPr>
            <w:rFonts w:asciiTheme="majorHAnsi" w:hAnsiTheme="majorHAnsi"/>
            <w:noProof/>
            <w:sz w:val="24"/>
          </w:rPr>
          <w:fldChar w:fldCharType="end"/>
        </w:r>
      </w:p>
    </w:sdtContent>
  </w:sdt>
  <w:p w14:paraId="07DFBDD0" w14:textId="77777777" w:rsidR="00A94EEE" w:rsidRDefault="00A9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44659" w14:textId="77777777" w:rsidR="009A2347" w:rsidRDefault="009A2347" w:rsidP="00110E98">
      <w:pPr>
        <w:spacing w:after="0" w:line="240" w:lineRule="auto"/>
      </w:pPr>
      <w:r>
        <w:separator/>
      </w:r>
    </w:p>
  </w:footnote>
  <w:footnote w:type="continuationSeparator" w:id="0">
    <w:p w14:paraId="6DC71749" w14:textId="77777777" w:rsidR="009A2347" w:rsidRDefault="009A2347" w:rsidP="00110E98">
      <w:pPr>
        <w:spacing w:after="0" w:line="240" w:lineRule="auto"/>
      </w:pPr>
      <w:r>
        <w:continuationSeparator/>
      </w:r>
    </w:p>
  </w:footnote>
  <w:footnote w:id="1">
    <w:p w14:paraId="7933572C" w14:textId="77777777" w:rsidR="00A94EEE" w:rsidRDefault="00A94EEE" w:rsidP="00EC615E">
      <w:r>
        <w:rPr>
          <w:rStyle w:val="FootnoteReference"/>
        </w:rPr>
        <w:footnoteRef/>
      </w:r>
      <w:r>
        <w:t xml:space="preserve"> </w:t>
      </w:r>
      <w:r w:rsidRPr="00EC615E">
        <w:t xml:space="preserve"> </w:t>
      </w:r>
      <w:r w:rsidRPr="007A622C">
        <w:rPr>
          <w:rFonts w:ascii="Times New Roman" w:eastAsia="Times New Roman" w:hAnsi="Times New Roman" w:cs="Times New Roman"/>
          <w:sz w:val="20"/>
          <w:szCs w:val="20"/>
        </w:rPr>
        <w:t xml:space="preserve">Tables 5-7 show that there were 12,024 </w:t>
      </w:r>
      <w:r w:rsidRPr="003423BC">
        <w:rPr>
          <w:rFonts w:ascii="Times New Roman" w:eastAsia="Times New Roman" w:hAnsi="Times New Roman" w:cs="Times New Roman"/>
          <w:sz w:val="20"/>
          <w:szCs w:val="20"/>
          <w:u w:val="single"/>
        </w:rPr>
        <w:t>claimants</w:t>
      </w:r>
      <w:r w:rsidRPr="007A622C">
        <w:rPr>
          <w:rFonts w:ascii="Times New Roman" w:eastAsia="Times New Roman" w:hAnsi="Times New Roman" w:cs="Times New Roman"/>
          <w:sz w:val="20"/>
          <w:szCs w:val="20"/>
        </w:rPr>
        <w:t xml:space="preserve"> for the deduction in 2018, which is slightly lower than the 12,184 </w:t>
      </w:r>
      <w:r w:rsidRPr="003423BC">
        <w:rPr>
          <w:rFonts w:ascii="Times New Roman" w:eastAsia="Times New Roman" w:hAnsi="Times New Roman" w:cs="Times New Roman"/>
          <w:sz w:val="20"/>
          <w:szCs w:val="20"/>
          <w:u w:val="single"/>
        </w:rPr>
        <w:t>claims</w:t>
      </w:r>
      <w:r w:rsidRPr="007A622C">
        <w:rPr>
          <w:rFonts w:ascii="Times New Roman" w:eastAsia="Times New Roman" w:hAnsi="Times New Roman" w:cs="Times New Roman"/>
          <w:sz w:val="20"/>
          <w:szCs w:val="20"/>
        </w:rPr>
        <w:t xml:space="preserve"> reported in Table 4. The difference was due to the cases in which a claimant had more than one claims. For example, </w:t>
      </w:r>
      <w:r>
        <w:rPr>
          <w:rFonts w:ascii="Times New Roman" w:eastAsia="Times New Roman" w:hAnsi="Times New Roman" w:cs="Times New Roman"/>
          <w:sz w:val="20"/>
          <w:szCs w:val="20"/>
        </w:rPr>
        <w:t>a</w:t>
      </w:r>
      <w:r w:rsidRPr="007A622C">
        <w:rPr>
          <w:rFonts w:ascii="Times New Roman" w:eastAsia="Times New Roman" w:hAnsi="Times New Roman" w:cs="Times New Roman"/>
          <w:sz w:val="20"/>
          <w:szCs w:val="20"/>
        </w:rPr>
        <w:t xml:space="preserve"> taxpayer in a combined group </w:t>
      </w:r>
      <w:r>
        <w:rPr>
          <w:rFonts w:ascii="Times New Roman" w:eastAsia="Times New Roman" w:hAnsi="Times New Roman" w:cs="Times New Roman"/>
          <w:sz w:val="20"/>
          <w:szCs w:val="20"/>
        </w:rPr>
        <w:t xml:space="preserve">that incurred a loss </w:t>
      </w:r>
      <w:r w:rsidRPr="007A622C">
        <w:rPr>
          <w:rFonts w:ascii="Times New Roman" w:eastAsia="Times New Roman" w:hAnsi="Times New Roman" w:cs="Times New Roman"/>
          <w:sz w:val="20"/>
          <w:szCs w:val="20"/>
        </w:rPr>
        <w:t xml:space="preserve">may </w:t>
      </w:r>
      <w:r>
        <w:rPr>
          <w:rFonts w:ascii="Times New Roman" w:eastAsia="Times New Roman" w:hAnsi="Times New Roman" w:cs="Times New Roman"/>
          <w:sz w:val="20"/>
          <w:szCs w:val="20"/>
        </w:rPr>
        <w:t>use</w:t>
      </w:r>
      <w:r w:rsidRPr="007A622C">
        <w:rPr>
          <w:rFonts w:ascii="Times New Roman" w:eastAsia="Times New Roman" w:hAnsi="Times New Roman" w:cs="Times New Roman"/>
          <w:sz w:val="20"/>
          <w:szCs w:val="20"/>
        </w:rPr>
        <w:t xml:space="preserve"> part of the available deduction </w:t>
      </w:r>
      <w:r>
        <w:rPr>
          <w:rFonts w:ascii="Times New Roman" w:eastAsia="Times New Roman" w:hAnsi="Times New Roman" w:cs="Times New Roman"/>
          <w:sz w:val="20"/>
          <w:szCs w:val="20"/>
        </w:rPr>
        <w:t xml:space="preserve">itself, </w:t>
      </w:r>
      <w:r w:rsidRPr="007A622C">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then </w:t>
      </w:r>
      <w:r w:rsidRPr="007A622C">
        <w:rPr>
          <w:rFonts w:ascii="Times New Roman" w:eastAsia="Times New Roman" w:hAnsi="Times New Roman" w:cs="Times New Roman"/>
          <w:sz w:val="20"/>
          <w:szCs w:val="20"/>
        </w:rPr>
        <w:t xml:space="preserve">share the remainder with other members, in which </w:t>
      </w:r>
      <w:r>
        <w:rPr>
          <w:rFonts w:ascii="Times New Roman" w:eastAsia="Times New Roman" w:hAnsi="Times New Roman" w:cs="Times New Roman"/>
          <w:sz w:val="20"/>
          <w:szCs w:val="20"/>
        </w:rPr>
        <w:t xml:space="preserve">case </w:t>
      </w:r>
      <w:r w:rsidRPr="007A622C">
        <w:rPr>
          <w:rFonts w:ascii="Times New Roman" w:eastAsia="Times New Roman" w:hAnsi="Times New Roman" w:cs="Times New Roman"/>
          <w:sz w:val="20"/>
          <w:szCs w:val="20"/>
        </w:rPr>
        <w:t xml:space="preserve">the number of claims </w:t>
      </w:r>
      <w:r>
        <w:rPr>
          <w:rFonts w:ascii="Times New Roman" w:eastAsia="Times New Roman" w:hAnsi="Times New Roman" w:cs="Times New Roman"/>
          <w:sz w:val="20"/>
          <w:szCs w:val="20"/>
        </w:rPr>
        <w:t>would be</w:t>
      </w:r>
      <w:r w:rsidRPr="007A622C">
        <w:rPr>
          <w:rFonts w:ascii="Times New Roman" w:eastAsia="Times New Roman" w:hAnsi="Times New Roman" w:cs="Times New Roman"/>
          <w:sz w:val="20"/>
          <w:szCs w:val="20"/>
        </w:rPr>
        <w:t xml:space="preserve"> larger than the number of claimants (all claims are counted under the name of the member who incurred the loss).</w:t>
      </w:r>
    </w:p>
    <w:p w14:paraId="41A437D5" w14:textId="77777777" w:rsidR="00A94EEE" w:rsidRDefault="00A94EEE" w:rsidP="00356D91">
      <w:pPr>
        <w:pStyle w:val="FootnoteText"/>
      </w:pPr>
    </w:p>
    <w:p w14:paraId="53FEC22A" w14:textId="77777777" w:rsidR="00A94EEE" w:rsidRDefault="00A94EEE">
      <w:pPr>
        <w:pStyle w:val="FootnoteText"/>
      </w:pPr>
    </w:p>
  </w:footnote>
  <w:footnote w:id="2">
    <w:p w14:paraId="6F6BB2A7" w14:textId="77777777" w:rsidR="00A94EEE" w:rsidRDefault="00A94EEE" w:rsidP="00934AE2">
      <w:pPr>
        <w:pStyle w:val="FootnoteText"/>
      </w:pPr>
      <w:r>
        <w:rPr>
          <w:rStyle w:val="FootnoteReference"/>
        </w:rPr>
        <w:footnoteRef/>
      </w:r>
      <w:r>
        <w:t xml:space="preserve"> Regional Economic Models Inc. is a recognized leader in economic analysis at the state level.  See their website for background information and further details </w:t>
      </w:r>
      <w:hyperlink r:id="rId1" w:history="1">
        <w:r w:rsidRPr="0047089A">
          <w:rPr>
            <w:rStyle w:val="Hyperlink"/>
          </w:rPr>
          <w:t>https://www.remi.com/</w:t>
        </w:r>
      </w:hyperlink>
    </w:p>
  </w:footnote>
  <w:footnote w:id="3">
    <w:p w14:paraId="11B19201" w14:textId="77777777" w:rsidR="00A94EEE" w:rsidRDefault="00A94EEE" w:rsidP="00934AE2">
      <w:pPr>
        <w:pStyle w:val="FootnoteText"/>
      </w:pPr>
      <w:r>
        <w:rPr>
          <w:rStyle w:val="FootnoteReference"/>
        </w:rPr>
        <w:footnoteRef/>
      </w:r>
      <w:r>
        <w:t xml:space="preserve"> Including both tax and non-tax revenues </w:t>
      </w:r>
      <w:bookmarkStart w:id="2" w:name="_Hlk54708176"/>
      <w:r>
        <w:t xml:space="preserve">but excluding the revenue loss reported in Table </w:t>
      </w:r>
      <w:bookmarkEnd w:id="2"/>
      <w:r>
        <w:t>3.</w:t>
      </w:r>
    </w:p>
  </w:footnote>
  <w:footnote w:id="4">
    <w:p w14:paraId="643AE20A" w14:textId="77777777" w:rsidR="00A94EEE" w:rsidRDefault="00A94EEE" w:rsidP="00EC1F73">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5">
    <w:p w14:paraId="41FE83E2" w14:textId="77777777" w:rsidR="00A94EEE" w:rsidRDefault="00A94EEE" w:rsidP="00EC1F73">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2" w:history="1">
        <w:r>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DEA4" w14:textId="644BEEFF" w:rsidR="008A362D" w:rsidRDefault="008A362D">
    <w:pPr>
      <w:pStyle w:val="Header"/>
    </w:pPr>
    <w:r>
      <w:rPr>
        <w:noProof/>
      </w:rPr>
      <w:pict w14:anchorId="7B14B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4876" o:spid="_x0000_s819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2F58" w14:textId="5E1A3541" w:rsidR="00A94EEE" w:rsidRDefault="008A362D">
    <w:pPr>
      <w:pStyle w:val="Header"/>
    </w:pPr>
    <w:r>
      <w:rPr>
        <w:noProof/>
      </w:rPr>
      <w:pict w14:anchorId="63E4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4877" o:spid="_x0000_s819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BA3D" w14:textId="4A871E1D" w:rsidR="008A362D" w:rsidRDefault="008A362D">
    <w:pPr>
      <w:pStyle w:val="Header"/>
    </w:pPr>
    <w:r>
      <w:rPr>
        <w:noProof/>
      </w:rPr>
      <w:pict w14:anchorId="5D4F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4875"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B9EE" w14:textId="36D6C350" w:rsidR="008A362D" w:rsidRDefault="008A362D">
    <w:pPr>
      <w:pStyle w:val="Header"/>
    </w:pPr>
    <w:r>
      <w:rPr>
        <w:noProof/>
      </w:rPr>
      <w:pict w14:anchorId="7F59E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4879" o:spid="_x0000_s8197"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D8A0" w14:textId="45C883FB" w:rsidR="008A362D" w:rsidRDefault="008A362D">
    <w:pPr>
      <w:pStyle w:val="Header"/>
    </w:pPr>
    <w:r>
      <w:rPr>
        <w:noProof/>
      </w:rPr>
      <w:pict w14:anchorId="3BF1C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4880" o:spid="_x0000_s8198"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8479" w14:textId="33AF30EC" w:rsidR="008A362D" w:rsidRDefault="008A362D">
    <w:pPr>
      <w:pStyle w:val="Header"/>
    </w:pPr>
    <w:r>
      <w:rPr>
        <w:noProof/>
      </w:rPr>
      <w:pict w14:anchorId="532B0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064878" o:spid="_x0000_s8196"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921"/>
    <w:rsid w:val="0000728B"/>
    <w:rsid w:val="000110DB"/>
    <w:rsid w:val="0002402A"/>
    <w:rsid w:val="00045E5A"/>
    <w:rsid w:val="00046C6A"/>
    <w:rsid w:val="0004773E"/>
    <w:rsid w:val="000541F8"/>
    <w:rsid w:val="00054EFA"/>
    <w:rsid w:val="00060D04"/>
    <w:rsid w:val="0006601A"/>
    <w:rsid w:val="00066F7A"/>
    <w:rsid w:val="00070C55"/>
    <w:rsid w:val="0007436D"/>
    <w:rsid w:val="0008594B"/>
    <w:rsid w:val="000B3874"/>
    <w:rsid w:val="000B58D2"/>
    <w:rsid w:val="000C0B17"/>
    <w:rsid w:val="000C56D9"/>
    <w:rsid w:val="000C7A30"/>
    <w:rsid w:val="000D0633"/>
    <w:rsid w:val="000D2FF2"/>
    <w:rsid w:val="000D3ABD"/>
    <w:rsid w:val="000E439A"/>
    <w:rsid w:val="000E6703"/>
    <w:rsid w:val="000F0BD3"/>
    <w:rsid w:val="000F3809"/>
    <w:rsid w:val="000F6F17"/>
    <w:rsid w:val="001021FA"/>
    <w:rsid w:val="00104EAE"/>
    <w:rsid w:val="001052D6"/>
    <w:rsid w:val="00107835"/>
    <w:rsid w:val="00110E98"/>
    <w:rsid w:val="00121A03"/>
    <w:rsid w:val="00122D60"/>
    <w:rsid w:val="00127183"/>
    <w:rsid w:val="00127730"/>
    <w:rsid w:val="00130B1D"/>
    <w:rsid w:val="001352EF"/>
    <w:rsid w:val="0014107D"/>
    <w:rsid w:val="00141566"/>
    <w:rsid w:val="001441EE"/>
    <w:rsid w:val="001473FA"/>
    <w:rsid w:val="00151825"/>
    <w:rsid w:val="00157A66"/>
    <w:rsid w:val="00172344"/>
    <w:rsid w:val="00173FC9"/>
    <w:rsid w:val="00174870"/>
    <w:rsid w:val="00174F02"/>
    <w:rsid w:val="001801BC"/>
    <w:rsid w:val="001831CD"/>
    <w:rsid w:val="00183ABF"/>
    <w:rsid w:val="0019662B"/>
    <w:rsid w:val="001A321E"/>
    <w:rsid w:val="001A70DF"/>
    <w:rsid w:val="001B0BBD"/>
    <w:rsid w:val="001B1CD6"/>
    <w:rsid w:val="001C1BD3"/>
    <w:rsid w:val="001D4D15"/>
    <w:rsid w:val="001E4126"/>
    <w:rsid w:val="001F34DF"/>
    <w:rsid w:val="00201F33"/>
    <w:rsid w:val="00202B37"/>
    <w:rsid w:val="002116BE"/>
    <w:rsid w:val="0021229D"/>
    <w:rsid w:val="00215A4E"/>
    <w:rsid w:val="00227975"/>
    <w:rsid w:val="002304F6"/>
    <w:rsid w:val="00235025"/>
    <w:rsid w:val="00235B74"/>
    <w:rsid w:val="00241A57"/>
    <w:rsid w:val="0024217D"/>
    <w:rsid w:val="00245D07"/>
    <w:rsid w:val="002768F2"/>
    <w:rsid w:val="00282EBF"/>
    <w:rsid w:val="0028699E"/>
    <w:rsid w:val="00291074"/>
    <w:rsid w:val="002970B4"/>
    <w:rsid w:val="002A083F"/>
    <w:rsid w:val="002A54D6"/>
    <w:rsid w:val="002A71E8"/>
    <w:rsid w:val="002B03C9"/>
    <w:rsid w:val="002B1854"/>
    <w:rsid w:val="002B2DCA"/>
    <w:rsid w:val="002B5D1A"/>
    <w:rsid w:val="002D059A"/>
    <w:rsid w:val="002D74AE"/>
    <w:rsid w:val="002E078C"/>
    <w:rsid w:val="002E43FB"/>
    <w:rsid w:val="002E4CFF"/>
    <w:rsid w:val="002F10DB"/>
    <w:rsid w:val="002F4285"/>
    <w:rsid w:val="002F4E7D"/>
    <w:rsid w:val="002F5704"/>
    <w:rsid w:val="002F61D3"/>
    <w:rsid w:val="00301E08"/>
    <w:rsid w:val="00301F4F"/>
    <w:rsid w:val="003021EF"/>
    <w:rsid w:val="00313DA9"/>
    <w:rsid w:val="003178B6"/>
    <w:rsid w:val="003229C4"/>
    <w:rsid w:val="00324D8C"/>
    <w:rsid w:val="00327B31"/>
    <w:rsid w:val="003423BC"/>
    <w:rsid w:val="0034269E"/>
    <w:rsid w:val="00344841"/>
    <w:rsid w:val="003475C4"/>
    <w:rsid w:val="00355122"/>
    <w:rsid w:val="00355A51"/>
    <w:rsid w:val="00356D91"/>
    <w:rsid w:val="0036505F"/>
    <w:rsid w:val="00366FD6"/>
    <w:rsid w:val="0037550B"/>
    <w:rsid w:val="00380D5D"/>
    <w:rsid w:val="00387E8E"/>
    <w:rsid w:val="00393671"/>
    <w:rsid w:val="003A0367"/>
    <w:rsid w:val="003A3DAF"/>
    <w:rsid w:val="003B7915"/>
    <w:rsid w:val="003D2178"/>
    <w:rsid w:val="003E0D57"/>
    <w:rsid w:val="003E3EBC"/>
    <w:rsid w:val="003E71AD"/>
    <w:rsid w:val="003E7481"/>
    <w:rsid w:val="003F1D8A"/>
    <w:rsid w:val="003F3642"/>
    <w:rsid w:val="00424CC0"/>
    <w:rsid w:val="00424DA2"/>
    <w:rsid w:val="004261A0"/>
    <w:rsid w:val="00426C4D"/>
    <w:rsid w:val="004351B8"/>
    <w:rsid w:val="0043772E"/>
    <w:rsid w:val="00445263"/>
    <w:rsid w:val="004454E7"/>
    <w:rsid w:val="00446D07"/>
    <w:rsid w:val="00460844"/>
    <w:rsid w:val="00461AAC"/>
    <w:rsid w:val="004700E6"/>
    <w:rsid w:val="0047025D"/>
    <w:rsid w:val="00481E5A"/>
    <w:rsid w:val="004840A6"/>
    <w:rsid w:val="00485914"/>
    <w:rsid w:val="00485FBB"/>
    <w:rsid w:val="00486F3F"/>
    <w:rsid w:val="00490015"/>
    <w:rsid w:val="004961EA"/>
    <w:rsid w:val="00496293"/>
    <w:rsid w:val="004A1129"/>
    <w:rsid w:val="004A1E9F"/>
    <w:rsid w:val="004A1F65"/>
    <w:rsid w:val="004A3B69"/>
    <w:rsid w:val="004A5842"/>
    <w:rsid w:val="004B0D7F"/>
    <w:rsid w:val="004B14D0"/>
    <w:rsid w:val="004B333D"/>
    <w:rsid w:val="004B6D82"/>
    <w:rsid w:val="004C0367"/>
    <w:rsid w:val="004C45A3"/>
    <w:rsid w:val="004C68CC"/>
    <w:rsid w:val="004C743D"/>
    <w:rsid w:val="004D2E6F"/>
    <w:rsid w:val="004D35E2"/>
    <w:rsid w:val="004D54CC"/>
    <w:rsid w:val="004E0885"/>
    <w:rsid w:val="004E3436"/>
    <w:rsid w:val="004E3A70"/>
    <w:rsid w:val="004F06EC"/>
    <w:rsid w:val="004F734F"/>
    <w:rsid w:val="00503DFA"/>
    <w:rsid w:val="005116F8"/>
    <w:rsid w:val="00515EE7"/>
    <w:rsid w:val="00531B10"/>
    <w:rsid w:val="005326A2"/>
    <w:rsid w:val="005402F4"/>
    <w:rsid w:val="00542BDD"/>
    <w:rsid w:val="00543CF9"/>
    <w:rsid w:val="005529C5"/>
    <w:rsid w:val="00561608"/>
    <w:rsid w:val="00563404"/>
    <w:rsid w:val="0056464A"/>
    <w:rsid w:val="00565D22"/>
    <w:rsid w:val="00567D60"/>
    <w:rsid w:val="00576773"/>
    <w:rsid w:val="00597E96"/>
    <w:rsid w:val="005A0637"/>
    <w:rsid w:val="005A53F3"/>
    <w:rsid w:val="005B1829"/>
    <w:rsid w:val="005B1BBE"/>
    <w:rsid w:val="005C453E"/>
    <w:rsid w:val="005C6047"/>
    <w:rsid w:val="005E067D"/>
    <w:rsid w:val="005F0335"/>
    <w:rsid w:val="005F4FD2"/>
    <w:rsid w:val="005F54FB"/>
    <w:rsid w:val="005F5E6B"/>
    <w:rsid w:val="006016F3"/>
    <w:rsid w:val="0060633C"/>
    <w:rsid w:val="00610020"/>
    <w:rsid w:val="00617863"/>
    <w:rsid w:val="0062009A"/>
    <w:rsid w:val="00620540"/>
    <w:rsid w:val="006253F3"/>
    <w:rsid w:val="00634AC0"/>
    <w:rsid w:val="00646589"/>
    <w:rsid w:val="00646B09"/>
    <w:rsid w:val="00653724"/>
    <w:rsid w:val="00660BE3"/>
    <w:rsid w:val="0066146F"/>
    <w:rsid w:val="00664139"/>
    <w:rsid w:val="0067016C"/>
    <w:rsid w:val="006715BD"/>
    <w:rsid w:val="00673021"/>
    <w:rsid w:val="00676D55"/>
    <w:rsid w:val="00684F41"/>
    <w:rsid w:val="00685635"/>
    <w:rsid w:val="0069275D"/>
    <w:rsid w:val="00692DEF"/>
    <w:rsid w:val="006958A8"/>
    <w:rsid w:val="006A209C"/>
    <w:rsid w:val="006A2235"/>
    <w:rsid w:val="006B29CC"/>
    <w:rsid w:val="006B5573"/>
    <w:rsid w:val="006C0260"/>
    <w:rsid w:val="006C3121"/>
    <w:rsid w:val="006C4FB0"/>
    <w:rsid w:val="006C7FED"/>
    <w:rsid w:val="006D3563"/>
    <w:rsid w:val="006D5C62"/>
    <w:rsid w:val="006F1D0C"/>
    <w:rsid w:val="006F3B23"/>
    <w:rsid w:val="006F4DB1"/>
    <w:rsid w:val="006F5200"/>
    <w:rsid w:val="007117E0"/>
    <w:rsid w:val="00712B0F"/>
    <w:rsid w:val="007361C4"/>
    <w:rsid w:val="00741894"/>
    <w:rsid w:val="007422E2"/>
    <w:rsid w:val="0074239C"/>
    <w:rsid w:val="00746248"/>
    <w:rsid w:val="00751531"/>
    <w:rsid w:val="00763013"/>
    <w:rsid w:val="00771EBE"/>
    <w:rsid w:val="0077322A"/>
    <w:rsid w:val="00775E0F"/>
    <w:rsid w:val="00792E64"/>
    <w:rsid w:val="007A001B"/>
    <w:rsid w:val="007A3349"/>
    <w:rsid w:val="007A622C"/>
    <w:rsid w:val="007C134B"/>
    <w:rsid w:val="007C3ABD"/>
    <w:rsid w:val="007C5B84"/>
    <w:rsid w:val="007D34AF"/>
    <w:rsid w:val="007D476A"/>
    <w:rsid w:val="007D7249"/>
    <w:rsid w:val="007F147C"/>
    <w:rsid w:val="007F1706"/>
    <w:rsid w:val="007F39FE"/>
    <w:rsid w:val="007F4B47"/>
    <w:rsid w:val="008031DF"/>
    <w:rsid w:val="008042F8"/>
    <w:rsid w:val="00807E12"/>
    <w:rsid w:val="00811462"/>
    <w:rsid w:val="0081513C"/>
    <w:rsid w:val="008219D9"/>
    <w:rsid w:val="00822FF4"/>
    <w:rsid w:val="00824C87"/>
    <w:rsid w:val="008337C2"/>
    <w:rsid w:val="00834209"/>
    <w:rsid w:val="00835337"/>
    <w:rsid w:val="0083769B"/>
    <w:rsid w:val="008471E4"/>
    <w:rsid w:val="00851609"/>
    <w:rsid w:val="008549E1"/>
    <w:rsid w:val="00864632"/>
    <w:rsid w:val="008723B5"/>
    <w:rsid w:val="00874936"/>
    <w:rsid w:val="00876890"/>
    <w:rsid w:val="0087769D"/>
    <w:rsid w:val="00881147"/>
    <w:rsid w:val="00884D5D"/>
    <w:rsid w:val="00894C03"/>
    <w:rsid w:val="008971BB"/>
    <w:rsid w:val="008A00B6"/>
    <w:rsid w:val="008A362D"/>
    <w:rsid w:val="008A4317"/>
    <w:rsid w:val="008B6BBF"/>
    <w:rsid w:val="008B6D73"/>
    <w:rsid w:val="008C2341"/>
    <w:rsid w:val="008C36A7"/>
    <w:rsid w:val="008C5F0C"/>
    <w:rsid w:val="008D115D"/>
    <w:rsid w:val="008E3B18"/>
    <w:rsid w:val="008F0F4A"/>
    <w:rsid w:val="00907C7E"/>
    <w:rsid w:val="009157FD"/>
    <w:rsid w:val="009160E0"/>
    <w:rsid w:val="00921525"/>
    <w:rsid w:val="009223DE"/>
    <w:rsid w:val="00922D5E"/>
    <w:rsid w:val="00926820"/>
    <w:rsid w:val="009335DE"/>
    <w:rsid w:val="00934AE2"/>
    <w:rsid w:val="0094010B"/>
    <w:rsid w:val="00957601"/>
    <w:rsid w:val="00973004"/>
    <w:rsid w:val="00980685"/>
    <w:rsid w:val="009901C0"/>
    <w:rsid w:val="009A06D8"/>
    <w:rsid w:val="009A2347"/>
    <w:rsid w:val="009B0176"/>
    <w:rsid w:val="009B6FA2"/>
    <w:rsid w:val="009C0CE5"/>
    <w:rsid w:val="009C57C1"/>
    <w:rsid w:val="009D0D16"/>
    <w:rsid w:val="009E73B9"/>
    <w:rsid w:val="009F622F"/>
    <w:rsid w:val="00A005FF"/>
    <w:rsid w:val="00A00B7D"/>
    <w:rsid w:val="00A049E9"/>
    <w:rsid w:val="00A05833"/>
    <w:rsid w:val="00A07796"/>
    <w:rsid w:val="00A22159"/>
    <w:rsid w:val="00A24855"/>
    <w:rsid w:val="00A30CE8"/>
    <w:rsid w:val="00A36AB6"/>
    <w:rsid w:val="00A433EA"/>
    <w:rsid w:val="00A5189E"/>
    <w:rsid w:val="00A55220"/>
    <w:rsid w:val="00A6097D"/>
    <w:rsid w:val="00A71DF8"/>
    <w:rsid w:val="00A72D47"/>
    <w:rsid w:val="00A846CA"/>
    <w:rsid w:val="00A94CCD"/>
    <w:rsid w:val="00A94EEE"/>
    <w:rsid w:val="00AA49B4"/>
    <w:rsid w:val="00AB0AFB"/>
    <w:rsid w:val="00AB5DAA"/>
    <w:rsid w:val="00AD2A39"/>
    <w:rsid w:val="00AD4E83"/>
    <w:rsid w:val="00AD5201"/>
    <w:rsid w:val="00AE2686"/>
    <w:rsid w:val="00AE5458"/>
    <w:rsid w:val="00AE7CAB"/>
    <w:rsid w:val="00AF6539"/>
    <w:rsid w:val="00AF7AAB"/>
    <w:rsid w:val="00B02C8B"/>
    <w:rsid w:val="00B06DFD"/>
    <w:rsid w:val="00B1290A"/>
    <w:rsid w:val="00B143D2"/>
    <w:rsid w:val="00B204AF"/>
    <w:rsid w:val="00B20DFC"/>
    <w:rsid w:val="00B22F9D"/>
    <w:rsid w:val="00B233DD"/>
    <w:rsid w:val="00B25535"/>
    <w:rsid w:val="00B325E0"/>
    <w:rsid w:val="00B37DB1"/>
    <w:rsid w:val="00B42F81"/>
    <w:rsid w:val="00B45CB5"/>
    <w:rsid w:val="00B47E5D"/>
    <w:rsid w:val="00B511F1"/>
    <w:rsid w:val="00B563AC"/>
    <w:rsid w:val="00B607D8"/>
    <w:rsid w:val="00B6102E"/>
    <w:rsid w:val="00B74A67"/>
    <w:rsid w:val="00B77D67"/>
    <w:rsid w:val="00B80C28"/>
    <w:rsid w:val="00B81B29"/>
    <w:rsid w:val="00B9632F"/>
    <w:rsid w:val="00B97810"/>
    <w:rsid w:val="00BA48FF"/>
    <w:rsid w:val="00BB69B7"/>
    <w:rsid w:val="00BC348A"/>
    <w:rsid w:val="00BC6806"/>
    <w:rsid w:val="00BD18F4"/>
    <w:rsid w:val="00BD3224"/>
    <w:rsid w:val="00BE01E6"/>
    <w:rsid w:val="00BE4334"/>
    <w:rsid w:val="00BE652A"/>
    <w:rsid w:val="00BF2F55"/>
    <w:rsid w:val="00BF42CF"/>
    <w:rsid w:val="00BF7A3A"/>
    <w:rsid w:val="00C0213D"/>
    <w:rsid w:val="00C03B67"/>
    <w:rsid w:val="00C05357"/>
    <w:rsid w:val="00C07688"/>
    <w:rsid w:val="00C2040D"/>
    <w:rsid w:val="00C24414"/>
    <w:rsid w:val="00C26105"/>
    <w:rsid w:val="00C33926"/>
    <w:rsid w:val="00C41665"/>
    <w:rsid w:val="00C45852"/>
    <w:rsid w:val="00C52D6B"/>
    <w:rsid w:val="00C55640"/>
    <w:rsid w:val="00C744F3"/>
    <w:rsid w:val="00C75B10"/>
    <w:rsid w:val="00C76136"/>
    <w:rsid w:val="00C80216"/>
    <w:rsid w:val="00C80F22"/>
    <w:rsid w:val="00C83A31"/>
    <w:rsid w:val="00C86F65"/>
    <w:rsid w:val="00C8702B"/>
    <w:rsid w:val="00C947AF"/>
    <w:rsid w:val="00CA0391"/>
    <w:rsid w:val="00CA33CF"/>
    <w:rsid w:val="00CA404B"/>
    <w:rsid w:val="00CA63DD"/>
    <w:rsid w:val="00CB2992"/>
    <w:rsid w:val="00CB3AA7"/>
    <w:rsid w:val="00CC05CE"/>
    <w:rsid w:val="00CC208F"/>
    <w:rsid w:val="00CD2EBE"/>
    <w:rsid w:val="00CD30AD"/>
    <w:rsid w:val="00CD3E21"/>
    <w:rsid w:val="00CD6A74"/>
    <w:rsid w:val="00CF41DD"/>
    <w:rsid w:val="00D00EC2"/>
    <w:rsid w:val="00D03567"/>
    <w:rsid w:val="00D171B7"/>
    <w:rsid w:val="00D223AF"/>
    <w:rsid w:val="00D2449F"/>
    <w:rsid w:val="00D26C66"/>
    <w:rsid w:val="00D27042"/>
    <w:rsid w:val="00D3039D"/>
    <w:rsid w:val="00D363DB"/>
    <w:rsid w:val="00D4431A"/>
    <w:rsid w:val="00D458BD"/>
    <w:rsid w:val="00D551D7"/>
    <w:rsid w:val="00D555D6"/>
    <w:rsid w:val="00D60649"/>
    <w:rsid w:val="00D63D53"/>
    <w:rsid w:val="00D67046"/>
    <w:rsid w:val="00D6771A"/>
    <w:rsid w:val="00D73F36"/>
    <w:rsid w:val="00D80D2E"/>
    <w:rsid w:val="00D84284"/>
    <w:rsid w:val="00D861E9"/>
    <w:rsid w:val="00D93F11"/>
    <w:rsid w:val="00DA470A"/>
    <w:rsid w:val="00DA54C4"/>
    <w:rsid w:val="00DC2517"/>
    <w:rsid w:val="00DC615D"/>
    <w:rsid w:val="00DD6C7C"/>
    <w:rsid w:val="00DE0DA2"/>
    <w:rsid w:val="00DE633E"/>
    <w:rsid w:val="00DF5558"/>
    <w:rsid w:val="00E00BFA"/>
    <w:rsid w:val="00E00EC2"/>
    <w:rsid w:val="00E03007"/>
    <w:rsid w:val="00E03A10"/>
    <w:rsid w:val="00E11582"/>
    <w:rsid w:val="00E1223A"/>
    <w:rsid w:val="00E22EAF"/>
    <w:rsid w:val="00E25FFC"/>
    <w:rsid w:val="00E316E0"/>
    <w:rsid w:val="00E353C3"/>
    <w:rsid w:val="00E3566C"/>
    <w:rsid w:val="00E36AF1"/>
    <w:rsid w:val="00E40A25"/>
    <w:rsid w:val="00E42438"/>
    <w:rsid w:val="00E44A43"/>
    <w:rsid w:val="00E46013"/>
    <w:rsid w:val="00E671DE"/>
    <w:rsid w:val="00E75BAE"/>
    <w:rsid w:val="00E76186"/>
    <w:rsid w:val="00E92C1D"/>
    <w:rsid w:val="00EB0B4B"/>
    <w:rsid w:val="00EB20CC"/>
    <w:rsid w:val="00EB40E2"/>
    <w:rsid w:val="00EB4657"/>
    <w:rsid w:val="00EC1F73"/>
    <w:rsid w:val="00EC615E"/>
    <w:rsid w:val="00EC7D18"/>
    <w:rsid w:val="00ED3017"/>
    <w:rsid w:val="00ED3285"/>
    <w:rsid w:val="00ED422F"/>
    <w:rsid w:val="00ED4589"/>
    <w:rsid w:val="00EE22E3"/>
    <w:rsid w:val="00EE3614"/>
    <w:rsid w:val="00EF4AAA"/>
    <w:rsid w:val="00F00FF6"/>
    <w:rsid w:val="00F06243"/>
    <w:rsid w:val="00F065BC"/>
    <w:rsid w:val="00F076B1"/>
    <w:rsid w:val="00F22DAA"/>
    <w:rsid w:val="00F24AE3"/>
    <w:rsid w:val="00F24EE8"/>
    <w:rsid w:val="00F35382"/>
    <w:rsid w:val="00F3745E"/>
    <w:rsid w:val="00F4051E"/>
    <w:rsid w:val="00F51224"/>
    <w:rsid w:val="00F52367"/>
    <w:rsid w:val="00F61218"/>
    <w:rsid w:val="00F61FFE"/>
    <w:rsid w:val="00F63DA9"/>
    <w:rsid w:val="00F662E0"/>
    <w:rsid w:val="00F675D7"/>
    <w:rsid w:val="00F70FCE"/>
    <w:rsid w:val="00F7586D"/>
    <w:rsid w:val="00F7611E"/>
    <w:rsid w:val="00F82F4E"/>
    <w:rsid w:val="00F87A7F"/>
    <w:rsid w:val="00F904DB"/>
    <w:rsid w:val="00F940AC"/>
    <w:rsid w:val="00FA4824"/>
    <w:rsid w:val="00FC7795"/>
    <w:rsid w:val="00FD1C84"/>
    <w:rsid w:val="00FD509C"/>
    <w:rsid w:val="00FE1B84"/>
    <w:rsid w:val="00FE3911"/>
    <w:rsid w:val="00FE68EC"/>
    <w:rsid w:val="00FE6FE8"/>
    <w:rsid w:val="00FF0917"/>
    <w:rsid w:val="00FF6EFB"/>
    <w:rsid w:val="00FF7B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155FA15F"/>
  <w15:docId w15:val="{72059881-23FB-47CA-A05F-23DAE823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EC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styleId="Strong">
    <w:name w:val="Strong"/>
    <w:basedOn w:val="DefaultParagraphFont"/>
    <w:uiPriority w:val="22"/>
    <w:qFormat/>
    <w:rsid w:val="00F61FFE"/>
    <w:rPr>
      <w:b/>
      <w:bCs/>
    </w:rPr>
  </w:style>
  <w:style w:type="paragraph" w:styleId="NormalWeb">
    <w:name w:val="Normal (Web)"/>
    <w:basedOn w:val="Normal"/>
    <w:uiPriority w:val="99"/>
    <w:semiHidden/>
    <w:unhideWhenUsed/>
    <w:rsid w:val="00F61FF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ing1Char">
    <w:name w:val="Heading 1 Char"/>
    <w:basedOn w:val="DefaultParagraphFont"/>
    <w:link w:val="Heading1"/>
    <w:uiPriority w:val="9"/>
    <w:rsid w:val="00D00EC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00EC2"/>
  </w:style>
  <w:style w:type="paragraph" w:styleId="Revision">
    <w:name w:val="Revision"/>
    <w:hidden/>
    <w:uiPriority w:val="99"/>
    <w:semiHidden/>
    <w:rsid w:val="00AD4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774">
      <w:bodyDiv w:val="1"/>
      <w:marLeft w:val="0"/>
      <w:marRight w:val="0"/>
      <w:marTop w:val="0"/>
      <w:marBottom w:val="0"/>
      <w:divBdr>
        <w:top w:val="none" w:sz="0" w:space="0" w:color="auto"/>
        <w:left w:val="none" w:sz="0" w:space="0" w:color="auto"/>
        <w:bottom w:val="none" w:sz="0" w:space="0" w:color="auto"/>
        <w:right w:val="none" w:sz="0" w:space="0" w:color="auto"/>
      </w:divBdr>
    </w:div>
    <w:div w:id="94988154">
      <w:bodyDiv w:val="1"/>
      <w:marLeft w:val="0"/>
      <w:marRight w:val="0"/>
      <w:marTop w:val="0"/>
      <w:marBottom w:val="0"/>
      <w:divBdr>
        <w:top w:val="none" w:sz="0" w:space="0" w:color="auto"/>
        <w:left w:val="none" w:sz="0" w:space="0" w:color="auto"/>
        <w:bottom w:val="none" w:sz="0" w:space="0" w:color="auto"/>
        <w:right w:val="none" w:sz="0" w:space="0" w:color="auto"/>
      </w:divBdr>
    </w:div>
    <w:div w:id="112331929">
      <w:bodyDiv w:val="1"/>
      <w:marLeft w:val="0"/>
      <w:marRight w:val="0"/>
      <w:marTop w:val="0"/>
      <w:marBottom w:val="0"/>
      <w:divBdr>
        <w:top w:val="none" w:sz="0" w:space="0" w:color="auto"/>
        <w:left w:val="none" w:sz="0" w:space="0" w:color="auto"/>
        <w:bottom w:val="none" w:sz="0" w:space="0" w:color="auto"/>
        <w:right w:val="none" w:sz="0" w:space="0" w:color="auto"/>
      </w:divBdr>
    </w:div>
    <w:div w:id="179011241">
      <w:bodyDiv w:val="1"/>
      <w:marLeft w:val="0"/>
      <w:marRight w:val="0"/>
      <w:marTop w:val="0"/>
      <w:marBottom w:val="0"/>
      <w:divBdr>
        <w:top w:val="none" w:sz="0" w:space="0" w:color="auto"/>
        <w:left w:val="none" w:sz="0" w:space="0" w:color="auto"/>
        <w:bottom w:val="none" w:sz="0" w:space="0" w:color="auto"/>
        <w:right w:val="none" w:sz="0" w:space="0" w:color="auto"/>
      </w:divBdr>
    </w:div>
    <w:div w:id="207693998">
      <w:bodyDiv w:val="1"/>
      <w:marLeft w:val="0"/>
      <w:marRight w:val="0"/>
      <w:marTop w:val="0"/>
      <w:marBottom w:val="0"/>
      <w:divBdr>
        <w:top w:val="none" w:sz="0" w:space="0" w:color="auto"/>
        <w:left w:val="none" w:sz="0" w:space="0" w:color="auto"/>
        <w:bottom w:val="none" w:sz="0" w:space="0" w:color="auto"/>
        <w:right w:val="none" w:sz="0" w:space="0" w:color="auto"/>
      </w:divBdr>
      <w:divsChild>
        <w:div w:id="1580754805">
          <w:marLeft w:val="0"/>
          <w:marRight w:val="0"/>
          <w:marTop w:val="0"/>
          <w:marBottom w:val="0"/>
          <w:divBdr>
            <w:top w:val="none" w:sz="0" w:space="0" w:color="auto"/>
            <w:left w:val="none" w:sz="0" w:space="0" w:color="auto"/>
            <w:bottom w:val="none" w:sz="0" w:space="0" w:color="auto"/>
            <w:right w:val="none" w:sz="0" w:space="0" w:color="auto"/>
          </w:divBdr>
        </w:div>
      </w:divsChild>
    </w:div>
    <w:div w:id="277565682">
      <w:bodyDiv w:val="1"/>
      <w:marLeft w:val="0"/>
      <w:marRight w:val="0"/>
      <w:marTop w:val="0"/>
      <w:marBottom w:val="0"/>
      <w:divBdr>
        <w:top w:val="none" w:sz="0" w:space="0" w:color="auto"/>
        <w:left w:val="none" w:sz="0" w:space="0" w:color="auto"/>
        <w:bottom w:val="none" w:sz="0" w:space="0" w:color="auto"/>
        <w:right w:val="none" w:sz="0" w:space="0" w:color="auto"/>
      </w:divBdr>
    </w:div>
    <w:div w:id="279149149">
      <w:bodyDiv w:val="1"/>
      <w:marLeft w:val="0"/>
      <w:marRight w:val="0"/>
      <w:marTop w:val="0"/>
      <w:marBottom w:val="0"/>
      <w:divBdr>
        <w:top w:val="none" w:sz="0" w:space="0" w:color="auto"/>
        <w:left w:val="none" w:sz="0" w:space="0" w:color="auto"/>
        <w:bottom w:val="none" w:sz="0" w:space="0" w:color="auto"/>
        <w:right w:val="none" w:sz="0" w:space="0" w:color="auto"/>
      </w:divBdr>
    </w:div>
    <w:div w:id="295723412">
      <w:bodyDiv w:val="1"/>
      <w:marLeft w:val="0"/>
      <w:marRight w:val="0"/>
      <w:marTop w:val="0"/>
      <w:marBottom w:val="0"/>
      <w:divBdr>
        <w:top w:val="none" w:sz="0" w:space="0" w:color="auto"/>
        <w:left w:val="none" w:sz="0" w:space="0" w:color="auto"/>
        <w:bottom w:val="none" w:sz="0" w:space="0" w:color="auto"/>
        <w:right w:val="none" w:sz="0" w:space="0" w:color="auto"/>
      </w:divBdr>
    </w:div>
    <w:div w:id="347294097">
      <w:bodyDiv w:val="1"/>
      <w:marLeft w:val="0"/>
      <w:marRight w:val="0"/>
      <w:marTop w:val="0"/>
      <w:marBottom w:val="0"/>
      <w:divBdr>
        <w:top w:val="none" w:sz="0" w:space="0" w:color="auto"/>
        <w:left w:val="none" w:sz="0" w:space="0" w:color="auto"/>
        <w:bottom w:val="none" w:sz="0" w:space="0" w:color="auto"/>
        <w:right w:val="none" w:sz="0" w:space="0" w:color="auto"/>
      </w:divBdr>
    </w:div>
    <w:div w:id="361713677">
      <w:bodyDiv w:val="1"/>
      <w:marLeft w:val="0"/>
      <w:marRight w:val="0"/>
      <w:marTop w:val="0"/>
      <w:marBottom w:val="0"/>
      <w:divBdr>
        <w:top w:val="none" w:sz="0" w:space="0" w:color="auto"/>
        <w:left w:val="none" w:sz="0" w:space="0" w:color="auto"/>
        <w:bottom w:val="none" w:sz="0" w:space="0" w:color="auto"/>
        <w:right w:val="none" w:sz="0" w:space="0" w:color="auto"/>
      </w:divBdr>
    </w:div>
    <w:div w:id="366837250">
      <w:bodyDiv w:val="1"/>
      <w:marLeft w:val="0"/>
      <w:marRight w:val="0"/>
      <w:marTop w:val="0"/>
      <w:marBottom w:val="0"/>
      <w:divBdr>
        <w:top w:val="none" w:sz="0" w:space="0" w:color="auto"/>
        <w:left w:val="none" w:sz="0" w:space="0" w:color="auto"/>
        <w:bottom w:val="none" w:sz="0" w:space="0" w:color="auto"/>
        <w:right w:val="none" w:sz="0" w:space="0" w:color="auto"/>
      </w:divBdr>
    </w:div>
    <w:div w:id="380180718">
      <w:bodyDiv w:val="1"/>
      <w:marLeft w:val="0"/>
      <w:marRight w:val="0"/>
      <w:marTop w:val="0"/>
      <w:marBottom w:val="0"/>
      <w:divBdr>
        <w:top w:val="none" w:sz="0" w:space="0" w:color="auto"/>
        <w:left w:val="none" w:sz="0" w:space="0" w:color="auto"/>
        <w:bottom w:val="none" w:sz="0" w:space="0" w:color="auto"/>
        <w:right w:val="none" w:sz="0" w:space="0" w:color="auto"/>
      </w:divBdr>
    </w:div>
    <w:div w:id="457145889">
      <w:bodyDiv w:val="1"/>
      <w:marLeft w:val="0"/>
      <w:marRight w:val="0"/>
      <w:marTop w:val="0"/>
      <w:marBottom w:val="0"/>
      <w:divBdr>
        <w:top w:val="none" w:sz="0" w:space="0" w:color="auto"/>
        <w:left w:val="none" w:sz="0" w:space="0" w:color="auto"/>
        <w:bottom w:val="none" w:sz="0" w:space="0" w:color="auto"/>
        <w:right w:val="none" w:sz="0" w:space="0" w:color="auto"/>
      </w:divBdr>
    </w:div>
    <w:div w:id="552813460">
      <w:bodyDiv w:val="1"/>
      <w:marLeft w:val="0"/>
      <w:marRight w:val="0"/>
      <w:marTop w:val="0"/>
      <w:marBottom w:val="0"/>
      <w:divBdr>
        <w:top w:val="none" w:sz="0" w:space="0" w:color="auto"/>
        <w:left w:val="none" w:sz="0" w:space="0" w:color="auto"/>
        <w:bottom w:val="none" w:sz="0" w:space="0" w:color="auto"/>
        <w:right w:val="none" w:sz="0" w:space="0" w:color="auto"/>
      </w:divBdr>
    </w:div>
    <w:div w:id="624390376">
      <w:bodyDiv w:val="1"/>
      <w:marLeft w:val="0"/>
      <w:marRight w:val="0"/>
      <w:marTop w:val="0"/>
      <w:marBottom w:val="0"/>
      <w:divBdr>
        <w:top w:val="none" w:sz="0" w:space="0" w:color="auto"/>
        <w:left w:val="none" w:sz="0" w:space="0" w:color="auto"/>
        <w:bottom w:val="none" w:sz="0" w:space="0" w:color="auto"/>
        <w:right w:val="none" w:sz="0" w:space="0" w:color="auto"/>
      </w:divBdr>
    </w:div>
    <w:div w:id="787315533">
      <w:bodyDiv w:val="1"/>
      <w:marLeft w:val="0"/>
      <w:marRight w:val="0"/>
      <w:marTop w:val="0"/>
      <w:marBottom w:val="0"/>
      <w:divBdr>
        <w:top w:val="none" w:sz="0" w:space="0" w:color="auto"/>
        <w:left w:val="none" w:sz="0" w:space="0" w:color="auto"/>
        <w:bottom w:val="none" w:sz="0" w:space="0" w:color="auto"/>
        <w:right w:val="none" w:sz="0" w:space="0" w:color="auto"/>
      </w:divBdr>
    </w:div>
    <w:div w:id="814876299">
      <w:bodyDiv w:val="1"/>
      <w:marLeft w:val="0"/>
      <w:marRight w:val="0"/>
      <w:marTop w:val="0"/>
      <w:marBottom w:val="0"/>
      <w:divBdr>
        <w:top w:val="none" w:sz="0" w:space="0" w:color="auto"/>
        <w:left w:val="none" w:sz="0" w:space="0" w:color="auto"/>
        <w:bottom w:val="none" w:sz="0" w:space="0" w:color="auto"/>
        <w:right w:val="none" w:sz="0" w:space="0" w:color="auto"/>
      </w:divBdr>
    </w:div>
    <w:div w:id="902788188">
      <w:bodyDiv w:val="1"/>
      <w:marLeft w:val="0"/>
      <w:marRight w:val="0"/>
      <w:marTop w:val="0"/>
      <w:marBottom w:val="0"/>
      <w:divBdr>
        <w:top w:val="none" w:sz="0" w:space="0" w:color="auto"/>
        <w:left w:val="none" w:sz="0" w:space="0" w:color="auto"/>
        <w:bottom w:val="none" w:sz="0" w:space="0" w:color="auto"/>
        <w:right w:val="none" w:sz="0" w:space="0" w:color="auto"/>
      </w:divBdr>
    </w:div>
    <w:div w:id="913856408">
      <w:bodyDiv w:val="1"/>
      <w:marLeft w:val="0"/>
      <w:marRight w:val="0"/>
      <w:marTop w:val="0"/>
      <w:marBottom w:val="0"/>
      <w:divBdr>
        <w:top w:val="none" w:sz="0" w:space="0" w:color="auto"/>
        <w:left w:val="none" w:sz="0" w:space="0" w:color="auto"/>
        <w:bottom w:val="none" w:sz="0" w:space="0" w:color="auto"/>
        <w:right w:val="none" w:sz="0" w:space="0" w:color="auto"/>
      </w:divBdr>
    </w:div>
    <w:div w:id="934946620">
      <w:bodyDiv w:val="1"/>
      <w:marLeft w:val="0"/>
      <w:marRight w:val="0"/>
      <w:marTop w:val="0"/>
      <w:marBottom w:val="0"/>
      <w:divBdr>
        <w:top w:val="none" w:sz="0" w:space="0" w:color="auto"/>
        <w:left w:val="none" w:sz="0" w:space="0" w:color="auto"/>
        <w:bottom w:val="none" w:sz="0" w:space="0" w:color="auto"/>
        <w:right w:val="none" w:sz="0" w:space="0" w:color="auto"/>
      </w:divBdr>
    </w:div>
    <w:div w:id="962732566">
      <w:bodyDiv w:val="1"/>
      <w:marLeft w:val="0"/>
      <w:marRight w:val="0"/>
      <w:marTop w:val="0"/>
      <w:marBottom w:val="0"/>
      <w:divBdr>
        <w:top w:val="none" w:sz="0" w:space="0" w:color="auto"/>
        <w:left w:val="none" w:sz="0" w:space="0" w:color="auto"/>
        <w:bottom w:val="none" w:sz="0" w:space="0" w:color="auto"/>
        <w:right w:val="none" w:sz="0" w:space="0" w:color="auto"/>
      </w:divBdr>
    </w:div>
    <w:div w:id="966810642">
      <w:bodyDiv w:val="1"/>
      <w:marLeft w:val="0"/>
      <w:marRight w:val="0"/>
      <w:marTop w:val="0"/>
      <w:marBottom w:val="0"/>
      <w:divBdr>
        <w:top w:val="none" w:sz="0" w:space="0" w:color="auto"/>
        <w:left w:val="none" w:sz="0" w:space="0" w:color="auto"/>
        <w:bottom w:val="none" w:sz="0" w:space="0" w:color="auto"/>
        <w:right w:val="none" w:sz="0" w:space="0" w:color="auto"/>
      </w:divBdr>
    </w:div>
    <w:div w:id="1027560399">
      <w:bodyDiv w:val="1"/>
      <w:marLeft w:val="0"/>
      <w:marRight w:val="0"/>
      <w:marTop w:val="0"/>
      <w:marBottom w:val="0"/>
      <w:divBdr>
        <w:top w:val="none" w:sz="0" w:space="0" w:color="auto"/>
        <w:left w:val="none" w:sz="0" w:space="0" w:color="auto"/>
        <w:bottom w:val="none" w:sz="0" w:space="0" w:color="auto"/>
        <w:right w:val="none" w:sz="0" w:space="0" w:color="auto"/>
      </w:divBdr>
    </w:div>
    <w:div w:id="1063529086">
      <w:bodyDiv w:val="1"/>
      <w:marLeft w:val="0"/>
      <w:marRight w:val="0"/>
      <w:marTop w:val="0"/>
      <w:marBottom w:val="0"/>
      <w:divBdr>
        <w:top w:val="none" w:sz="0" w:space="0" w:color="auto"/>
        <w:left w:val="none" w:sz="0" w:space="0" w:color="auto"/>
        <w:bottom w:val="none" w:sz="0" w:space="0" w:color="auto"/>
        <w:right w:val="none" w:sz="0" w:space="0" w:color="auto"/>
      </w:divBdr>
    </w:div>
    <w:div w:id="1204100065">
      <w:bodyDiv w:val="1"/>
      <w:marLeft w:val="0"/>
      <w:marRight w:val="0"/>
      <w:marTop w:val="0"/>
      <w:marBottom w:val="0"/>
      <w:divBdr>
        <w:top w:val="none" w:sz="0" w:space="0" w:color="auto"/>
        <w:left w:val="none" w:sz="0" w:space="0" w:color="auto"/>
        <w:bottom w:val="none" w:sz="0" w:space="0" w:color="auto"/>
        <w:right w:val="none" w:sz="0" w:space="0" w:color="auto"/>
      </w:divBdr>
    </w:div>
    <w:div w:id="1402827720">
      <w:bodyDiv w:val="1"/>
      <w:marLeft w:val="0"/>
      <w:marRight w:val="0"/>
      <w:marTop w:val="0"/>
      <w:marBottom w:val="0"/>
      <w:divBdr>
        <w:top w:val="none" w:sz="0" w:space="0" w:color="auto"/>
        <w:left w:val="none" w:sz="0" w:space="0" w:color="auto"/>
        <w:bottom w:val="none" w:sz="0" w:space="0" w:color="auto"/>
        <w:right w:val="none" w:sz="0" w:space="0" w:color="auto"/>
      </w:divBdr>
    </w:div>
    <w:div w:id="1419448720">
      <w:bodyDiv w:val="1"/>
      <w:marLeft w:val="0"/>
      <w:marRight w:val="0"/>
      <w:marTop w:val="0"/>
      <w:marBottom w:val="0"/>
      <w:divBdr>
        <w:top w:val="none" w:sz="0" w:space="0" w:color="auto"/>
        <w:left w:val="none" w:sz="0" w:space="0" w:color="auto"/>
        <w:bottom w:val="none" w:sz="0" w:space="0" w:color="auto"/>
        <w:right w:val="none" w:sz="0" w:space="0" w:color="auto"/>
      </w:divBdr>
    </w:div>
    <w:div w:id="1471047978">
      <w:bodyDiv w:val="1"/>
      <w:marLeft w:val="0"/>
      <w:marRight w:val="0"/>
      <w:marTop w:val="0"/>
      <w:marBottom w:val="0"/>
      <w:divBdr>
        <w:top w:val="none" w:sz="0" w:space="0" w:color="auto"/>
        <w:left w:val="none" w:sz="0" w:space="0" w:color="auto"/>
        <w:bottom w:val="none" w:sz="0" w:space="0" w:color="auto"/>
        <w:right w:val="none" w:sz="0" w:space="0" w:color="auto"/>
      </w:divBdr>
    </w:div>
    <w:div w:id="1501657413">
      <w:bodyDiv w:val="1"/>
      <w:marLeft w:val="0"/>
      <w:marRight w:val="0"/>
      <w:marTop w:val="0"/>
      <w:marBottom w:val="0"/>
      <w:divBdr>
        <w:top w:val="none" w:sz="0" w:space="0" w:color="auto"/>
        <w:left w:val="none" w:sz="0" w:space="0" w:color="auto"/>
        <w:bottom w:val="none" w:sz="0" w:space="0" w:color="auto"/>
        <w:right w:val="none" w:sz="0" w:space="0" w:color="auto"/>
      </w:divBdr>
    </w:div>
    <w:div w:id="1510873627">
      <w:bodyDiv w:val="1"/>
      <w:marLeft w:val="0"/>
      <w:marRight w:val="0"/>
      <w:marTop w:val="0"/>
      <w:marBottom w:val="0"/>
      <w:divBdr>
        <w:top w:val="none" w:sz="0" w:space="0" w:color="auto"/>
        <w:left w:val="none" w:sz="0" w:space="0" w:color="auto"/>
        <w:bottom w:val="none" w:sz="0" w:space="0" w:color="auto"/>
        <w:right w:val="none" w:sz="0" w:space="0" w:color="auto"/>
      </w:divBdr>
    </w:div>
    <w:div w:id="1515849295">
      <w:bodyDiv w:val="1"/>
      <w:marLeft w:val="0"/>
      <w:marRight w:val="0"/>
      <w:marTop w:val="0"/>
      <w:marBottom w:val="0"/>
      <w:divBdr>
        <w:top w:val="none" w:sz="0" w:space="0" w:color="auto"/>
        <w:left w:val="none" w:sz="0" w:space="0" w:color="auto"/>
        <w:bottom w:val="none" w:sz="0" w:space="0" w:color="auto"/>
        <w:right w:val="none" w:sz="0" w:space="0" w:color="auto"/>
      </w:divBdr>
    </w:div>
    <w:div w:id="1518538120">
      <w:bodyDiv w:val="1"/>
      <w:marLeft w:val="0"/>
      <w:marRight w:val="0"/>
      <w:marTop w:val="0"/>
      <w:marBottom w:val="0"/>
      <w:divBdr>
        <w:top w:val="none" w:sz="0" w:space="0" w:color="auto"/>
        <w:left w:val="none" w:sz="0" w:space="0" w:color="auto"/>
        <w:bottom w:val="none" w:sz="0" w:space="0" w:color="auto"/>
        <w:right w:val="none" w:sz="0" w:space="0" w:color="auto"/>
      </w:divBdr>
    </w:div>
    <w:div w:id="1576012285">
      <w:bodyDiv w:val="1"/>
      <w:marLeft w:val="0"/>
      <w:marRight w:val="0"/>
      <w:marTop w:val="0"/>
      <w:marBottom w:val="0"/>
      <w:divBdr>
        <w:top w:val="none" w:sz="0" w:space="0" w:color="auto"/>
        <w:left w:val="none" w:sz="0" w:space="0" w:color="auto"/>
        <w:bottom w:val="none" w:sz="0" w:space="0" w:color="auto"/>
        <w:right w:val="none" w:sz="0" w:space="0" w:color="auto"/>
      </w:divBdr>
    </w:div>
    <w:div w:id="1629890483">
      <w:bodyDiv w:val="1"/>
      <w:marLeft w:val="0"/>
      <w:marRight w:val="0"/>
      <w:marTop w:val="0"/>
      <w:marBottom w:val="0"/>
      <w:divBdr>
        <w:top w:val="none" w:sz="0" w:space="0" w:color="auto"/>
        <w:left w:val="none" w:sz="0" w:space="0" w:color="auto"/>
        <w:bottom w:val="none" w:sz="0" w:space="0" w:color="auto"/>
        <w:right w:val="none" w:sz="0" w:space="0" w:color="auto"/>
      </w:divBdr>
    </w:div>
    <w:div w:id="1744720901">
      <w:bodyDiv w:val="1"/>
      <w:marLeft w:val="0"/>
      <w:marRight w:val="0"/>
      <w:marTop w:val="0"/>
      <w:marBottom w:val="0"/>
      <w:divBdr>
        <w:top w:val="none" w:sz="0" w:space="0" w:color="auto"/>
        <w:left w:val="none" w:sz="0" w:space="0" w:color="auto"/>
        <w:bottom w:val="none" w:sz="0" w:space="0" w:color="auto"/>
        <w:right w:val="none" w:sz="0" w:space="0" w:color="auto"/>
      </w:divBdr>
    </w:div>
    <w:div w:id="1746107854">
      <w:bodyDiv w:val="1"/>
      <w:marLeft w:val="0"/>
      <w:marRight w:val="0"/>
      <w:marTop w:val="0"/>
      <w:marBottom w:val="0"/>
      <w:divBdr>
        <w:top w:val="none" w:sz="0" w:space="0" w:color="auto"/>
        <w:left w:val="none" w:sz="0" w:space="0" w:color="auto"/>
        <w:bottom w:val="none" w:sz="0" w:space="0" w:color="auto"/>
        <w:right w:val="none" w:sz="0" w:space="0" w:color="auto"/>
      </w:divBdr>
    </w:div>
    <w:div w:id="1801343647">
      <w:bodyDiv w:val="1"/>
      <w:marLeft w:val="0"/>
      <w:marRight w:val="0"/>
      <w:marTop w:val="0"/>
      <w:marBottom w:val="0"/>
      <w:divBdr>
        <w:top w:val="none" w:sz="0" w:space="0" w:color="auto"/>
        <w:left w:val="none" w:sz="0" w:space="0" w:color="auto"/>
        <w:bottom w:val="none" w:sz="0" w:space="0" w:color="auto"/>
        <w:right w:val="none" w:sz="0" w:space="0" w:color="auto"/>
      </w:divBdr>
    </w:div>
    <w:div w:id="1830557786">
      <w:bodyDiv w:val="1"/>
      <w:marLeft w:val="0"/>
      <w:marRight w:val="0"/>
      <w:marTop w:val="0"/>
      <w:marBottom w:val="0"/>
      <w:divBdr>
        <w:top w:val="none" w:sz="0" w:space="0" w:color="auto"/>
        <w:left w:val="none" w:sz="0" w:space="0" w:color="auto"/>
        <w:bottom w:val="none" w:sz="0" w:space="0" w:color="auto"/>
        <w:right w:val="none" w:sz="0" w:space="0" w:color="auto"/>
      </w:divBdr>
    </w:div>
    <w:div w:id="1977954587">
      <w:bodyDiv w:val="1"/>
      <w:marLeft w:val="0"/>
      <w:marRight w:val="0"/>
      <w:marTop w:val="0"/>
      <w:marBottom w:val="0"/>
      <w:divBdr>
        <w:top w:val="none" w:sz="0" w:space="0" w:color="auto"/>
        <w:left w:val="none" w:sz="0" w:space="0" w:color="auto"/>
        <w:bottom w:val="none" w:sz="0" w:space="0" w:color="auto"/>
        <w:right w:val="none" w:sz="0" w:space="0" w:color="auto"/>
      </w:divBdr>
    </w:div>
    <w:div w:id="1988314034">
      <w:bodyDiv w:val="1"/>
      <w:marLeft w:val="0"/>
      <w:marRight w:val="0"/>
      <w:marTop w:val="0"/>
      <w:marBottom w:val="0"/>
      <w:divBdr>
        <w:top w:val="none" w:sz="0" w:space="0" w:color="auto"/>
        <w:left w:val="none" w:sz="0" w:space="0" w:color="auto"/>
        <w:bottom w:val="none" w:sz="0" w:space="0" w:color="auto"/>
        <w:right w:val="none" w:sz="0" w:space="0" w:color="auto"/>
      </w:divBdr>
    </w:div>
    <w:div w:id="1997957909">
      <w:bodyDiv w:val="1"/>
      <w:marLeft w:val="0"/>
      <w:marRight w:val="0"/>
      <w:marTop w:val="0"/>
      <w:marBottom w:val="0"/>
      <w:divBdr>
        <w:top w:val="none" w:sz="0" w:space="0" w:color="auto"/>
        <w:left w:val="none" w:sz="0" w:space="0" w:color="auto"/>
        <w:bottom w:val="none" w:sz="0" w:space="0" w:color="auto"/>
        <w:right w:val="none" w:sz="0" w:space="0" w:color="auto"/>
      </w:divBdr>
    </w:div>
    <w:div w:id="2117209209">
      <w:bodyDiv w:val="1"/>
      <w:marLeft w:val="0"/>
      <w:marRight w:val="0"/>
      <w:marTop w:val="0"/>
      <w:marBottom w:val="0"/>
      <w:divBdr>
        <w:top w:val="none" w:sz="0" w:space="0" w:color="auto"/>
        <w:left w:val="none" w:sz="0" w:space="0" w:color="auto"/>
        <w:bottom w:val="none" w:sz="0" w:space="0" w:color="auto"/>
        <w:right w:val="none" w:sz="0" w:space="0" w:color="auto"/>
      </w:divBdr>
    </w:div>
    <w:div w:id="21229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ilw.com/seminars/JohnNeillCitation.pdf" TargetMode="External"/><Relationship Id="rId1" Type="http://schemas.openxmlformats.org/officeDocument/2006/relationships/hyperlink" Target="https://www.r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Wat20</b:Tag>
    <b:SourceType>DocumentFromInternetSite</b:SourceType>
    <b:Guid>{2A52C726-0E88-444C-B305-C1D08B464D03}</b:Guid>
    <b:Title>Advancing Net Operating Loss Deductions in Phase 4 Business Relief</b:Title>
    <b:Year>2020</b:Year>
    <b:Month>May</b:Month>
    <b:Publisher>Tax Foundation</b:Publisher>
    <b:URL>https://taxfoundation.org/phase-4-coronavirus-relief-net-operating-loss-business-relief/</b:URL>
    <b:Institution>Tax Foundation</b:Institution>
    <b:Author>
      <b:Author>
        <b:NameList>
          <b:Person>
            <b:Last>Watson</b:Last>
            <b:First>Garrett</b:First>
          </b:Person>
        </b:NameList>
      </b:Author>
    </b:Author>
    <b:PeriodicalTitle>FISCAL  FACT</b:PeriodicalTitle>
    <b:Issue>707</b:Issue>
    <b:InternetSiteTitle>FISCAL FACT</b:InternetSiteTitle>
    <b:RefOrder>1</b:RefOrder>
  </b:Source>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2</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3</b:RefOrder>
  </b:Source>
  <b:Source>
    <b:Tag>MOD</b:Tag>
    <b:SourceType>InternetSite</b:SourceType>
    <b:Guid>{BCEA689A-4171-43CD-A07E-1F467FC70C08}</b:Guid>
    <b:Title>MODELS: TAX-PI</b:Title>
    <b:InternetSiteTitle>Regional Economic Models, Inc.</b:InternetSiteTitle>
    <b:URL>https://www.remi.com/model/tax-pi/</b:URL>
    <b:RefOrder>4</b:RefOrder>
  </b:Source>
  <b:Source>
    <b:Tag>Mur18</b:Tag>
    <b:SourceType>Report</b:SourceType>
    <b:Guid>{4B83DC72-065F-E940-B9E1-1F29F1C06CC4}</b:Guid>
    <b:Author>
      <b:Author>
        <b:NameList>
          <b:Person>
            <b:Last>Murphy</b:Last>
            <b:First>Michael</b:First>
          </b:Person>
          <b:Person>
            <b:Last>Dilworth</b:Last>
            <b:First>Dan</b:First>
          </b:Person>
          <b:Person>
            <b:Last>Naples</b:Last>
            <b:First>Anthony</b:First>
          </b:Person>
          <b:Person>
            <b:Last>Lederman</b:Last>
            <b:First>William</b:First>
          </b:Person>
          <b:Person>
            <b:Last>Wetzel</b:Last>
            <b:First>Chris</b:First>
          </b:Person>
          <b:Person>
            <b:Last>Wisnieski</b:Last>
            <b:First>Evelyn</b:First>
          </b:Person>
          <b:Person>
            <b:Last>Bordieri</b:Last>
            <b:First>Anne</b:First>
          </b:Person>
        </b:NameList>
      </b:Author>
    </b:Author>
    <b:Title>Connecticut Tax Expenditure Report</b:Title>
    <b:Year>2018</b:Year>
    <b:Publisher>Office of Fiscal Analysis</b:Publisher>
    <b:City>Connecticut </b:City>
    <b:RefOrder>1</b:RefOrder>
  </b:Source>
  <b:Source>
    <b:Tag>Nee18</b:Tag>
    <b:SourceType>Report</b:SourceType>
    <b:Guid>{53E30C77-799E-A745-9AB9-3815F031EB8C}</b:Guid>
    <b:Author>
      <b:Author>
        <b:NameList>
          <b:Person>
            <b:Last>Savage</b:Last>
            <b:First>Neena</b:First>
            <b:Middle>Sinha</b:Middle>
          </b:Person>
          <b:Person>
            <b:Last>Canole</b:Last>
            <b:First>Michael</b:First>
          </b:Person>
          <b:Person>
            <b:Last>Dube</b:Last>
            <b:First>Donna</b:First>
          </b:Person>
          <b:Person>
            <b:Last>Salib-Iafrate</b:Last>
            <b:First>Theriza</b:First>
          </b:Person>
          <b:Person>
            <b:Last>Marr</b:Last>
            <b:First>Theodore</b:First>
          </b:Person>
          <b:Person>
            <b:Last>Bautista</b:Last>
            <b:First>Marlen</b:First>
          </b:Person>
          <b:Person>
            <b:Last>Coia</b:Last>
            <b:First>Richard</b:First>
          </b:Person>
          <b:Person>
            <b:Last>Lebeuf</b:Last>
            <b:First>Leo</b:First>
          </b:Person>
        </b:NameList>
      </b:Author>
    </b:Author>
    <b:Title>Tax Expenditure Report</b:Title>
    <b:Publisher>Office of Revenue Analysis</b:Publisher>
    <b:City>Rhode Island</b:City>
    <b:Year>2018</b:Year>
    <b:RefOrder>7</b:RefOrder>
  </b:Source>
  <b:Source>
    <b:Tag>New19</b:Tag>
    <b:SourceType>Report</b:SourceType>
    <b:Guid>{2E1D19F4-3FE1-374B-85D4-C598885A50B7}</b:Guid>
    <b:Author>
      <b:Author>
        <b:Corporate>Administration, New Hampshire Department of Revenue</b:Corporate>
      </b:Author>
    </b:Author>
    <b:Title>Tax Expenditure and potential Liability Report</b:Title>
    <b:Publisher>New Hampshire Department of Revenue Administration</b:Publisher>
    <b:City>New Hampshire</b:City>
    <b:Year>2019</b:Year>
    <b:RefOrder>8</b:RefOrder>
  </b:Source>
  <b:Source>
    <b:Tag>Lou19</b:Tag>
    <b:SourceType>Report</b:SourceType>
    <b:Guid>{21066D06-8FFE-034B-AEC4-9F300825CC9F}</b:Guid>
    <b:Author>
      <b:Author>
        <b:Corporate>Lousiana Department of Revenue</b:Corporate>
      </b:Author>
    </b:Author>
    <b:Title>State of Lousiana Tax Exemption Budget 2019-2020</b:Title>
    <b:Publisher>Lousiana Department of Revenue</b:Publisher>
    <b:City>Lousiana</b:City>
    <b:Year>2019</b:Year>
    <b:RefOrder>4</b:RefOrder>
  </b:Source>
</b:Sources>
</file>

<file path=customXml/itemProps1.xml><?xml version="1.0" encoding="utf-8"?>
<ds:datastoreItem xmlns:ds="http://schemas.openxmlformats.org/officeDocument/2006/customXml" ds:itemID="{18332913-1516-4E6D-BA85-E48DAF32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4657</Words>
  <Characters>26551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Pokharel</dc:creator>
  <cp:keywords/>
  <dc:description/>
  <cp:lastModifiedBy>Tansey, Ellen (DOR)</cp:lastModifiedBy>
  <cp:revision>2</cp:revision>
  <cp:lastPrinted>2020-01-28T19:08:00Z</cp:lastPrinted>
  <dcterms:created xsi:type="dcterms:W3CDTF">2020-12-23T17:25:00Z</dcterms:created>
  <dcterms:modified xsi:type="dcterms:W3CDTF">2020-12-23T17:25:00Z</dcterms:modified>
</cp:coreProperties>
</file>