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ediumList1-Accent2"/>
        <w:tblW w:w="0" w:type="auto"/>
        <w:tblLook w:val="04A0" w:firstRow="1" w:lastRow="0" w:firstColumn="1" w:lastColumn="0" w:noHBand="0" w:noVBand="1"/>
      </w:tblPr>
      <w:tblGrid>
        <w:gridCol w:w="9360"/>
      </w:tblGrid>
      <w:tr w:rsidR="005B1BBE" w:rsidRPr="002C2079" w14:paraId="4FF4279A" w14:textId="77777777" w:rsidTr="00E31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6F28BC7" w14:textId="77777777" w:rsidR="008C2341" w:rsidRDefault="005B1BBE" w:rsidP="008C2341">
            <w:pPr>
              <w:jc w:val="center"/>
              <w:rPr>
                <w:color w:val="150399"/>
                <w:sz w:val="28"/>
                <w:szCs w:val="28"/>
              </w:rPr>
            </w:pPr>
            <w:r w:rsidRPr="002C2079">
              <w:rPr>
                <w:rFonts w:cs="Times New Roman"/>
                <w:sz w:val="24"/>
              </w:rPr>
              <w:br w:type="page"/>
            </w:r>
            <w:r w:rsidR="008C2341" w:rsidRPr="008C2341">
              <w:rPr>
                <w:color w:val="150399"/>
                <w:sz w:val="28"/>
                <w:szCs w:val="28"/>
              </w:rPr>
              <w:t xml:space="preserve">PROPOSED MASSACHUSETTS TAX EXPENDITURES </w:t>
            </w:r>
          </w:p>
          <w:p w14:paraId="02CD582E" w14:textId="41E910FB" w:rsidR="005B1BBE" w:rsidRPr="008C2341" w:rsidRDefault="008C2341" w:rsidP="008C2341">
            <w:pPr>
              <w:jc w:val="center"/>
              <w:rPr>
                <w:b w:val="0"/>
                <w:bCs w:val="0"/>
                <w:color w:val="150399"/>
                <w:sz w:val="28"/>
                <w:szCs w:val="28"/>
              </w:rPr>
            </w:pPr>
            <w:r w:rsidRPr="008C2341">
              <w:rPr>
                <w:color w:val="150399"/>
                <w:sz w:val="28"/>
                <w:szCs w:val="28"/>
              </w:rPr>
              <w:t>EVALUATION SUMMARY</w:t>
            </w:r>
            <w:r>
              <w:rPr>
                <w:color w:val="150399"/>
                <w:sz w:val="28"/>
                <w:szCs w:val="28"/>
              </w:rPr>
              <w:t xml:space="preserve"> </w:t>
            </w:r>
          </w:p>
          <w:p w14:paraId="1ABC96DC" w14:textId="77777777" w:rsidR="004B14D0" w:rsidRPr="004B14D0" w:rsidRDefault="004B14D0" w:rsidP="00565D22">
            <w:pPr>
              <w:rPr>
                <w:color w:val="150399"/>
                <w:sz w:val="28"/>
                <w:szCs w:val="28"/>
              </w:rPr>
            </w:pPr>
          </w:p>
        </w:tc>
      </w:tr>
      <w:tr w:rsidR="005B1BBE" w:rsidRPr="002C2079" w14:paraId="6D0BE6E1" w14:textId="77777777" w:rsidTr="00E31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4A019D5" w14:textId="77777777" w:rsidR="005B1BBE" w:rsidRPr="002C2079" w:rsidRDefault="005B1BBE" w:rsidP="005B1BBE">
            <w:pPr>
              <w:jc w:val="center"/>
              <w:rPr>
                <w:rFonts w:asciiTheme="majorHAnsi" w:hAnsiTheme="majorHAnsi"/>
              </w:rPr>
            </w:pPr>
            <w:r w:rsidRPr="002C2079">
              <w:rPr>
                <w:rFonts w:asciiTheme="majorHAnsi" w:hAnsiTheme="majorHAnsi"/>
                <w:sz w:val="28"/>
                <w:szCs w:val="28"/>
              </w:rPr>
              <w:t>EVALUATION YEAR: 2020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53"/>
      </w:tblGrid>
      <w:tr w:rsidR="005B1BBE" w:rsidRPr="002C2079" w14:paraId="637010E8" w14:textId="77777777" w:rsidTr="00EB03B5">
        <w:trPr>
          <w:trHeight w:val="360"/>
        </w:trPr>
        <w:tc>
          <w:tcPr>
            <w:tcW w:w="4707" w:type="dxa"/>
          </w:tcPr>
          <w:p w14:paraId="7CA53228" w14:textId="77777777" w:rsidR="005B1BBE" w:rsidRPr="002C2079" w:rsidRDefault="005B1BBE" w:rsidP="005B1BBE">
            <w:pPr>
              <w:tabs>
                <w:tab w:val="left" w:pos="7050"/>
              </w:tabs>
              <w:rPr>
                <w:rFonts w:asciiTheme="majorHAnsi" w:hAnsiTheme="majorHAnsi"/>
              </w:rPr>
            </w:pPr>
          </w:p>
        </w:tc>
        <w:tc>
          <w:tcPr>
            <w:tcW w:w="4653" w:type="dxa"/>
          </w:tcPr>
          <w:p w14:paraId="68822270" w14:textId="77777777" w:rsidR="005B1BBE" w:rsidRPr="002C2079" w:rsidRDefault="005B1BBE" w:rsidP="005B1BBE">
            <w:pPr>
              <w:tabs>
                <w:tab w:val="left" w:pos="7050"/>
              </w:tabs>
              <w:rPr>
                <w:rFonts w:asciiTheme="majorHAnsi" w:hAnsiTheme="majorHAnsi"/>
              </w:rPr>
            </w:pPr>
          </w:p>
        </w:tc>
      </w:tr>
      <w:tr w:rsidR="005B1BBE" w:rsidRPr="002C2079" w14:paraId="6B1F8B70" w14:textId="77777777" w:rsidTr="00EB03B5">
        <w:tc>
          <w:tcPr>
            <w:tcW w:w="4707" w:type="dxa"/>
          </w:tcPr>
          <w:p w14:paraId="5D457589" w14:textId="77777777" w:rsidR="005B1BBE" w:rsidRPr="002C2079" w:rsidRDefault="005B1BBE" w:rsidP="005B1BBE">
            <w:pPr>
              <w:tabs>
                <w:tab w:val="left" w:pos="7050"/>
              </w:tabs>
              <w:rPr>
                <w:rFonts w:asciiTheme="majorHAnsi" w:eastAsiaTheme="majorEastAsia" w:hAnsiTheme="majorHAnsi" w:cstheme="majorBidi"/>
                <w:b/>
                <w:bCs/>
                <w:color w:val="000000" w:themeColor="text1"/>
              </w:rPr>
            </w:pPr>
            <w:r w:rsidRPr="002C2079">
              <w:rPr>
                <w:rFonts w:asciiTheme="majorHAnsi" w:eastAsiaTheme="majorEastAsia" w:hAnsiTheme="majorHAnsi" w:cstheme="majorBidi"/>
                <w:b/>
                <w:bCs/>
                <w:color w:val="000000" w:themeColor="text1"/>
              </w:rPr>
              <w:t>TAX EXPENDITURE TITLE</w:t>
            </w:r>
          </w:p>
          <w:p w14:paraId="4CBB0021" w14:textId="77777777" w:rsidR="005B1BBE" w:rsidRPr="002C2079" w:rsidRDefault="005B1BBE" w:rsidP="005B1BBE">
            <w:pPr>
              <w:tabs>
                <w:tab w:val="left" w:pos="7050"/>
              </w:tabs>
              <w:rPr>
                <w:rFonts w:asciiTheme="majorHAnsi" w:hAnsiTheme="majorHAnsi"/>
              </w:rPr>
            </w:pPr>
          </w:p>
        </w:tc>
        <w:tc>
          <w:tcPr>
            <w:tcW w:w="4653" w:type="dxa"/>
          </w:tcPr>
          <w:p w14:paraId="64A09E47" w14:textId="63D116CD" w:rsidR="005B1BBE" w:rsidRPr="002C2079" w:rsidRDefault="00D7324F" w:rsidP="005B1BBE">
            <w:pPr>
              <w:tabs>
                <w:tab w:val="left" w:pos="7050"/>
              </w:tabs>
              <w:rPr>
                <w:rFonts w:asciiTheme="majorHAnsi" w:hAnsiTheme="majorHAnsi"/>
              </w:rPr>
            </w:pPr>
            <w:r w:rsidRPr="00D7324F">
              <w:rPr>
                <w:rFonts w:asciiTheme="majorHAnsi" w:hAnsiTheme="majorHAnsi"/>
              </w:rPr>
              <w:t>Unequal Weighting of Sales, Payroll, and Property in the Apportionment Formula</w:t>
            </w:r>
          </w:p>
          <w:p w14:paraId="00E4F88B" w14:textId="77777777" w:rsidR="005B1BBE" w:rsidRPr="002C2079" w:rsidRDefault="005B1BBE" w:rsidP="005B1BBE">
            <w:pPr>
              <w:tabs>
                <w:tab w:val="left" w:pos="7050"/>
              </w:tabs>
              <w:rPr>
                <w:rFonts w:asciiTheme="majorHAnsi" w:hAnsiTheme="majorHAnsi"/>
              </w:rPr>
            </w:pPr>
          </w:p>
        </w:tc>
      </w:tr>
      <w:tr w:rsidR="005B1BBE" w:rsidRPr="002C2079" w14:paraId="6058480A" w14:textId="77777777" w:rsidTr="00EB03B5">
        <w:tc>
          <w:tcPr>
            <w:tcW w:w="4707" w:type="dxa"/>
          </w:tcPr>
          <w:p w14:paraId="34354891" w14:textId="77777777" w:rsidR="005B1BBE" w:rsidRPr="002C2079" w:rsidRDefault="005B1BBE" w:rsidP="005B1BBE">
            <w:pPr>
              <w:tabs>
                <w:tab w:val="left" w:pos="7050"/>
              </w:tabs>
              <w:rPr>
                <w:rFonts w:asciiTheme="majorHAnsi" w:eastAsiaTheme="majorEastAsia" w:hAnsiTheme="majorHAnsi" w:cstheme="majorBidi"/>
                <w:b/>
                <w:bCs/>
                <w:color w:val="000000" w:themeColor="text1"/>
              </w:rPr>
            </w:pPr>
            <w:r w:rsidRPr="002C2079">
              <w:rPr>
                <w:rFonts w:asciiTheme="majorHAnsi" w:eastAsiaTheme="majorEastAsia" w:hAnsiTheme="majorHAnsi" w:cstheme="majorBidi"/>
                <w:b/>
                <w:bCs/>
                <w:color w:val="000000" w:themeColor="text1"/>
              </w:rPr>
              <w:t>TAX EXPENDITURE NUMBER</w:t>
            </w:r>
          </w:p>
          <w:p w14:paraId="7B2DB1DF" w14:textId="77777777" w:rsidR="005B1BBE" w:rsidRPr="002C2079" w:rsidRDefault="005B1BBE" w:rsidP="005B1BBE">
            <w:pPr>
              <w:tabs>
                <w:tab w:val="left" w:pos="7050"/>
              </w:tabs>
              <w:rPr>
                <w:rFonts w:asciiTheme="majorHAnsi" w:hAnsiTheme="majorHAnsi"/>
              </w:rPr>
            </w:pPr>
          </w:p>
        </w:tc>
        <w:tc>
          <w:tcPr>
            <w:tcW w:w="4653" w:type="dxa"/>
          </w:tcPr>
          <w:p w14:paraId="230DB7FE" w14:textId="0782017A" w:rsidR="005B1BBE" w:rsidRPr="002C2079" w:rsidRDefault="00D7324F" w:rsidP="005B1BBE">
            <w:pPr>
              <w:tabs>
                <w:tab w:val="left" w:pos="7050"/>
              </w:tabs>
              <w:rPr>
                <w:rFonts w:asciiTheme="majorHAnsi" w:hAnsiTheme="majorHAnsi"/>
              </w:rPr>
            </w:pPr>
            <w:r>
              <w:rPr>
                <w:rFonts w:asciiTheme="majorHAnsi" w:hAnsiTheme="majorHAnsi"/>
              </w:rPr>
              <w:t>2.401</w:t>
            </w:r>
          </w:p>
        </w:tc>
      </w:tr>
      <w:tr w:rsidR="005B1BBE" w:rsidRPr="002C2079" w14:paraId="6668BF82" w14:textId="77777777" w:rsidTr="00EB03B5">
        <w:tc>
          <w:tcPr>
            <w:tcW w:w="4707" w:type="dxa"/>
          </w:tcPr>
          <w:p w14:paraId="35D08D63" w14:textId="77777777" w:rsidR="005B1BBE" w:rsidRPr="002C2079" w:rsidRDefault="005B1BBE" w:rsidP="005B1BBE">
            <w:pPr>
              <w:tabs>
                <w:tab w:val="left" w:pos="7050"/>
              </w:tabs>
              <w:rPr>
                <w:rFonts w:asciiTheme="majorHAnsi" w:eastAsiaTheme="majorEastAsia" w:hAnsiTheme="majorHAnsi" w:cstheme="majorBidi"/>
                <w:b/>
                <w:bCs/>
                <w:color w:val="000000" w:themeColor="text1"/>
              </w:rPr>
            </w:pPr>
            <w:r w:rsidRPr="002C2079">
              <w:rPr>
                <w:rFonts w:asciiTheme="majorHAnsi" w:eastAsiaTheme="majorEastAsia" w:hAnsiTheme="majorHAnsi" w:cstheme="majorBidi"/>
                <w:b/>
                <w:bCs/>
                <w:color w:val="000000" w:themeColor="text1"/>
              </w:rPr>
              <w:t>TAX EXPENDITURE CATEGORY</w:t>
            </w:r>
          </w:p>
          <w:p w14:paraId="1CCCDC12" w14:textId="77777777" w:rsidR="005B1BBE" w:rsidRPr="002C2079" w:rsidRDefault="005B1BBE" w:rsidP="005B1BBE">
            <w:pPr>
              <w:tabs>
                <w:tab w:val="left" w:pos="7050"/>
              </w:tabs>
              <w:rPr>
                <w:rFonts w:asciiTheme="majorHAnsi" w:hAnsiTheme="majorHAnsi"/>
              </w:rPr>
            </w:pPr>
          </w:p>
        </w:tc>
        <w:tc>
          <w:tcPr>
            <w:tcW w:w="4653" w:type="dxa"/>
          </w:tcPr>
          <w:p w14:paraId="552B753A" w14:textId="2973BC2A" w:rsidR="005B1BBE" w:rsidRPr="002C2079" w:rsidRDefault="00200C7C" w:rsidP="005B1BBE">
            <w:pPr>
              <w:tabs>
                <w:tab w:val="left" w:pos="7050"/>
              </w:tabs>
              <w:rPr>
                <w:rFonts w:asciiTheme="majorHAnsi" w:hAnsiTheme="majorHAnsi"/>
                <w:i/>
              </w:rPr>
            </w:pPr>
            <w:r>
              <w:rPr>
                <w:rFonts w:asciiTheme="majorHAnsi" w:hAnsiTheme="majorHAnsi"/>
              </w:rPr>
              <w:t xml:space="preserve">Unequal weighting of Sales, Payroll, and Property in apportionment of </w:t>
            </w:r>
            <w:r w:rsidR="008C2341">
              <w:rPr>
                <w:rFonts w:asciiTheme="majorHAnsi" w:hAnsiTheme="majorHAnsi"/>
                <w:i/>
              </w:rPr>
              <w:t xml:space="preserve">corporate </w:t>
            </w:r>
            <w:r w:rsidR="00E715C9">
              <w:rPr>
                <w:rFonts w:asciiTheme="majorHAnsi" w:hAnsiTheme="majorHAnsi"/>
                <w:i/>
              </w:rPr>
              <w:t>income</w:t>
            </w:r>
          </w:p>
          <w:p w14:paraId="7F3D1C04" w14:textId="77777777" w:rsidR="005B1BBE" w:rsidRPr="002C2079" w:rsidRDefault="005B1BBE" w:rsidP="005B1BBE">
            <w:pPr>
              <w:tabs>
                <w:tab w:val="left" w:pos="7050"/>
              </w:tabs>
              <w:rPr>
                <w:rFonts w:asciiTheme="majorHAnsi" w:hAnsiTheme="majorHAnsi"/>
              </w:rPr>
            </w:pPr>
          </w:p>
        </w:tc>
      </w:tr>
      <w:tr w:rsidR="005B1BBE" w:rsidRPr="002C2079" w14:paraId="7391BA93" w14:textId="77777777" w:rsidTr="00EB03B5">
        <w:tc>
          <w:tcPr>
            <w:tcW w:w="4707" w:type="dxa"/>
          </w:tcPr>
          <w:p w14:paraId="5B87DA62" w14:textId="77777777" w:rsidR="005B1BBE" w:rsidRPr="002C2079" w:rsidRDefault="005B1BBE" w:rsidP="005B1BBE">
            <w:pPr>
              <w:tabs>
                <w:tab w:val="left" w:pos="7050"/>
              </w:tabs>
              <w:rPr>
                <w:rFonts w:asciiTheme="majorHAnsi" w:eastAsiaTheme="majorEastAsia" w:hAnsiTheme="majorHAnsi" w:cstheme="majorBidi"/>
                <w:b/>
                <w:bCs/>
                <w:color w:val="000000" w:themeColor="text1"/>
              </w:rPr>
            </w:pPr>
            <w:r w:rsidRPr="002C2079">
              <w:rPr>
                <w:rFonts w:asciiTheme="majorHAnsi" w:eastAsiaTheme="majorEastAsia" w:hAnsiTheme="majorHAnsi" w:cstheme="majorBidi"/>
                <w:b/>
                <w:bCs/>
                <w:color w:val="000000" w:themeColor="text1"/>
              </w:rPr>
              <w:t>TAX TYPE</w:t>
            </w:r>
          </w:p>
          <w:p w14:paraId="05D1BA9F" w14:textId="77777777" w:rsidR="005B1BBE" w:rsidRPr="002C2079" w:rsidRDefault="005B1BBE" w:rsidP="005B1BBE">
            <w:pPr>
              <w:tabs>
                <w:tab w:val="left" w:pos="7050"/>
              </w:tabs>
              <w:rPr>
                <w:rFonts w:asciiTheme="majorHAnsi" w:hAnsiTheme="majorHAnsi"/>
              </w:rPr>
            </w:pPr>
          </w:p>
        </w:tc>
        <w:tc>
          <w:tcPr>
            <w:tcW w:w="4653" w:type="dxa"/>
          </w:tcPr>
          <w:p w14:paraId="102B98CD" w14:textId="59CCEBB6" w:rsidR="00565D22" w:rsidRPr="002C2079" w:rsidRDefault="0070557F" w:rsidP="005B1BBE">
            <w:pPr>
              <w:tabs>
                <w:tab w:val="left" w:pos="7050"/>
              </w:tabs>
              <w:rPr>
                <w:rFonts w:asciiTheme="majorHAnsi" w:hAnsiTheme="majorHAnsi"/>
              </w:rPr>
            </w:pPr>
            <w:r w:rsidRPr="0070557F">
              <w:rPr>
                <w:rFonts w:asciiTheme="majorHAnsi" w:hAnsiTheme="majorHAnsi"/>
              </w:rPr>
              <w:t>Corporate excise tax</w:t>
            </w:r>
          </w:p>
        </w:tc>
      </w:tr>
      <w:tr w:rsidR="005B1BBE" w:rsidRPr="002C2079" w14:paraId="5A641EB7" w14:textId="77777777" w:rsidTr="00EB03B5">
        <w:tc>
          <w:tcPr>
            <w:tcW w:w="4707" w:type="dxa"/>
          </w:tcPr>
          <w:p w14:paraId="38AF8BE5" w14:textId="77777777" w:rsidR="005B1BBE" w:rsidRPr="002C2079" w:rsidRDefault="005B1BBE" w:rsidP="005B1BBE">
            <w:pPr>
              <w:tabs>
                <w:tab w:val="left" w:pos="7050"/>
              </w:tabs>
              <w:rPr>
                <w:rFonts w:asciiTheme="majorHAnsi" w:eastAsiaTheme="majorEastAsia" w:hAnsiTheme="majorHAnsi" w:cstheme="majorBidi"/>
                <w:b/>
                <w:bCs/>
                <w:color w:val="000000" w:themeColor="text1"/>
              </w:rPr>
            </w:pPr>
            <w:r w:rsidRPr="002C2079">
              <w:rPr>
                <w:rFonts w:asciiTheme="majorHAnsi" w:eastAsiaTheme="majorEastAsia" w:hAnsiTheme="majorHAnsi" w:cstheme="majorBidi"/>
                <w:b/>
                <w:bCs/>
                <w:color w:val="000000" w:themeColor="text1"/>
              </w:rPr>
              <w:t>LEGAL REFERENCE</w:t>
            </w:r>
          </w:p>
          <w:p w14:paraId="419698A6" w14:textId="77777777" w:rsidR="005B1BBE" w:rsidRPr="002C2079" w:rsidRDefault="005B1BBE" w:rsidP="005B1BBE">
            <w:pPr>
              <w:tabs>
                <w:tab w:val="left" w:pos="7050"/>
              </w:tabs>
              <w:rPr>
                <w:rFonts w:asciiTheme="majorHAnsi" w:hAnsiTheme="majorHAnsi"/>
              </w:rPr>
            </w:pPr>
          </w:p>
        </w:tc>
        <w:tc>
          <w:tcPr>
            <w:tcW w:w="4653" w:type="dxa"/>
          </w:tcPr>
          <w:p w14:paraId="24CFFE86" w14:textId="4F814969" w:rsidR="005B1BBE" w:rsidRPr="002C2079" w:rsidRDefault="0048234B" w:rsidP="005B1BBE">
            <w:pPr>
              <w:tabs>
                <w:tab w:val="left" w:pos="7050"/>
              </w:tabs>
              <w:rPr>
                <w:rFonts w:asciiTheme="majorHAnsi" w:hAnsiTheme="majorHAnsi"/>
              </w:rPr>
            </w:pPr>
            <w:r w:rsidRPr="0048234B">
              <w:rPr>
                <w:rFonts w:asciiTheme="majorHAnsi" w:hAnsiTheme="majorHAnsi"/>
              </w:rPr>
              <w:t>M.G.L. c. 63, § 38 (c), (k), (l), (m)</w:t>
            </w:r>
          </w:p>
        </w:tc>
      </w:tr>
      <w:tr w:rsidR="005B1BBE" w:rsidRPr="002C2079" w14:paraId="7F8FE1E6" w14:textId="77777777" w:rsidTr="00EB03B5">
        <w:tc>
          <w:tcPr>
            <w:tcW w:w="4707" w:type="dxa"/>
          </w:tcPr>
          <w:p w14:paraId="4DFB299F" w14:textId="77777777" w:rsidR="005B1BBE" w:rsidRPr="002C2079" w:rsidRDefault="005B1BBE" w:rsidP="005B1BBE">
            <w:pPr>
              <w:tabs>
                <w:tab w:val="left" w:pos="7050"/>
              </w:tabs>
              <w:rPr>
                <w:rFonts w:asciiTheme="majorHAnsi" w:eastAsiaTheme="majorEastAsia" w:hAnsiTheme="majorHAnsi" w:cstheme="majorBidi"/>
                <w:b/>
                <w:bCs/>
                <w:color w:val="000000" w:themeColor="text1"/>
              </w:rPr>
            </w:pPr>
            <w:r w:rsidRPr="002C2079">
              <w:rPr>
                <w:rFonts w:asciiTheme="majorHAnsi" w:eastAsiaTheme="majorEastAsia" w:hAnsiTheme="majorHAnsi" w:cstheme="majorBidi"/>
                <w:b/>
                <w:bCs/>
                <w:color w:val="000000" w:themeColor="text1"/>
              </w:rPr>
              <w:t>YEAR ENACTED</w:t>
            </w:r>
          </w:p>
          <w:p w14:paraId="37789C1E" w14:textId="77777777" w:rsidR="005B1BBE" w:rsidRPr="002C2079" w:rsidRDefault="005B1BBE" w:rsidP="005B1BBE">
            <w:pPr>
              <w:tabs>
                <w:tab w:val="left" w:pos="7050"/>
              </w:tabs>
              <w:rPr>
                <w:rFonts w:asciiTheme="majorHAnsi" w:hAnsiTheme="majorHAnsi"/>
              </w:rPr>
            </w:pPr>
          </w:p>
        </w:tc>
        <w:tc>
          <w:tcPr>
            <w:tcW w:w="4653" w:type="dxa"/>
          </w:tcPr>
          <w:p w14:paraId="6391BC1D" w14:textId="583913A3" w:rsidR="005B1BBE" w:rsidRDefault="00777101" w:rsidP="005B1BBE">
            <w:pPr>
              <w:tabs>
                <w:tab w:val="left" w:pos="7050"/>
              </w:tabs>
              <w:rPr>
                <w:rFonts w:asciiTheme="majorHAnsi" w:hAnsiTheme="majorHAnsi"/>
              </w:rPr>
            </w:pPr>
            <w:r>
              <w:rPr>
                <w:rFonts w:asciiTheme="majorHAnsi" w:hAnsiTheme="majorHAnsi"/>
              </w:rPr>
              <w:t>1976</w:t>
            </w:r>
            <w:r w:rsidR="00E715C9">
              <w:rPr>
                <w:rFonts w:asciiTheme="majorHAnsi" w:hAnsiTheme="majorHAnsi"/>
              </w:rPr>
              <w:t xml:space="preserve"> </w:t>
            </w:r>
            <w:r>
              <w:rPr>
                <w:rFonts w:asciiTheme="majorHAnsi" w:hAnsiTheme="majorHAnsi"/>
              </w:rPr>
              <w:t>(Double-weighted sales), 1996</w:t>
            </w:r>
            <w:r w:rsidR="00E715C9">
              <w:rPr>
                <w:rFonts w:asciiTheme="majorHAnsi" w:hAnsiTheme="majorHAnsi"/>
              </w:rPr>
              <w:t xml:space="preserve"> </w:t>
            </w:r>
            <w:r>
              <w:rPr>
                <w:rFonts w:asciiTheme="majorHAnsi" w:hAnsiTheme="majorHAnsi"/>
              </w:rPr>
              <w:t>(Single sales</w:t>
            </w:r>
            <w:r w:rsidR="00FD5B69">
              <w:rPr>
                <w:rFonts w:asciiTheme="majorHAnsi" w:hAnsiTheme="majorHAnsi"/>
              </w:rPr>
              <w:t xml:space="preserve"> for Section 38 manufacturers and mutual fund service corporations</w:t>
            </w:r>
            <w:r>
              <w:rPr>
                <w:rFonts w:asciiTheme="majorHAnsi" w:hAnsiTheme="majorHAnsi"/>
              </w:rPr>
              <w:t>)</w:t>
            </w:r>
          </w:p>
          <w:p w14:paraId="2909FF32" w14:textId="217A1559" w:rsidR="006F4F83" w:rsidRPr="002C2079" w:rsidRDefault="006F4F83" w:rsidP="005B1BBE">
            <w:pPr>
              <w:tabs>
                <w:tab w:val="left" w:pos="7050"/>
              </w:tabs>
              <w:rPr>
                <w:rFonts w:asciiTheme="majorHAnsi" w:hAnsiTheme="majorHAnsi"/>
              </w:rPr>
            </w:pPr>
          </w:p>
        </w:tc>
      </w:tr>
      <w:tr w:rsidR="005B1BBE" w:rsidRPr="002C2079" w14:paraId="6D4A36CA" w14:textId="77777777" w:rsidTr="00EB03B5">
        <w:tc>
          <w:tcPr>
            <w:tcW w:w="4707" w:type="dxa"/>
          </w:tcPr>
          <w:p w14:paraId="4DDA325C" w14:textId="77777777" w:rsidR="005B1BBE" w:rsidRPr="002C2079" w:rsidRDefault="005B1BBE" w:rsidP="005B1BBE">
            <w:pPr>
              <w:tabs>
                <w:tab w:val="left" w:pos="7050"/>
              </w:tabs>
              <w:rPr>
                <w:rFonts w:asciiTheme="majorHAnsi" w:hAnsiTheme="majorHAnsi"/>
              </w:rPr>
            </w:pPr>
            <w:r w:rsidRPr="002C2079">
              <w:rPr>
                <w:rFonts w:asciiTheme="majorHAnsi" w:eastAsiaTheme="majorEastAsia" w:hAnsiTheme="majorHAnsi" w:cstheme="majorBidi"/>
                <w:b/>
                <w:bCs/>
                <w:color w:val="000000" w:themeColor="text1"/>
              </w:rPr>
              <w:t>REPEAL/EXPIRATION DATE</w:t>
            </w:r>
          </w:p>
        </w:tc>
        <w:tc>
          <w:tcPr>
            <w:tcW w:w="4653" w:type="dxa"/>
          </w:tcPr>
          <w:p w14:paraId="51D64887" w14:textId="27D967C6" w:rsidR="005B1BBE" w:rsidRDefault="00777101" w:rsidP="00852F07">
            <w:pPr>
              <w:tabs>
                <w:tab w:val="left" w:pos="7050"/>
              </w:tabs>
              <w:rPr>
                <w:rFonts w:asciiTheme="majorHAnsi" w:hAnsiTheme="majorHAnsi"/>
              </w:rPr>
            </w:pPr>
            <w:r>
              <w:rPr>
                <w:rFonts w:asciiTheme="majorHAnsi" w:hAnsiTheme="majorHAnsi"/>
              </w:rPr>
              <w:t>None</w:t>
            </w:r>
          </w:p>
          <w:p w14:paraId="6D0ED690" w14:textId="222A74F9" w:rsidR="00852F07" w:rsidRPr="002C2079" w:rsidRDefault="00852F07" w:rsidP="00852F07">
            <w:pPr>
              <w:tabs>
                <w:tab w:val="left" w:pos="7050"/>
              </w:tabs>
              <w:rPr>
                <w:rFonts w:asciiTheme="majorHAnsi" w:hAnsiTheme="majorHAnsi"/>
              </w:rPr>
            </w:pPr>
          </w:p>
        </w:tc>
      </w:tr>
      <w:tr w:rsidR="00EB03B5" w:rsidRPr="002C2079" w14:paraId="10D03C08" w14:textId="77777777" w:rsidTr="00EB03B5">
        <w:tc>
          <w:tcPr>
            <w:tcW w:w="4707" w:type="dxa"/>
          </w:tcPr>
          <w:p w14:paraId="5324D38D" w14:textId="77777777" w:rsidR="00EB03B5" w:rsidRPr="002C2079" w:rsidRDefault="00EB03B5" w:rsidP="00EB03B5">
            <w:pPr>
              <w:tabs>
                <w:tab w:val="left" w:pos="7050"/>
              </w:tabs>
              <w:rPr>
                <w:rFonts w:asciiTheme="majorHAnsi" w:eastAsiaTheme="majorEastAsia" w:hAnsiTheme="majorHAnsi" w:cstheme="majorBidi"/>
                <w:b/>
                <w:bCs/>
                <w:color w:val="000000" w:themeColor="text1"/>
              </w:rPr>
            </w:pPr>
            <w:r w:rsidRPr="002C2079">
              <w:rPr>
                <w:rFonts w:asciiTheme="majorHAnsi" w:eastAsiaTheme="majorEastAsia" w:hAnsiTheme="majorHAnsi" w:cstheme="majorBidi"/>
                <w:b/>
                <w:bCs/>
                <w:color w:val="000000" w:themeColor="text1"/>
              </w:rPr>
              <w:t>ANNUAL REVENUE IMPACT</w:t>
            </w:r>
          </w:p>
          <w:p w14:paraId="46D49EEA" w14:textId="77777777" w:rsidR="00EB03B5" w:rsidRPr="002C2079" w:rsidRDefault="00EB03B5" w:rsidP="00EB03B5">
            <w:pPr>
              <w:tabs>
                <w:tab w:val="left" w:pos="7050"/>
              </w:tabs>
              <w:rPr>
                <w:rFonts w:asciiTheme="majorHAnsi" w:hAnsiTheme="majorHAnsi"/>
              </w:rPr>
            </w:pPr>
          </w:p>
        </w:tc>
        <w:tc>
          <w:tcPr>
            <w:tcW w:w="4653" w:type="dxa"/>
          </w:tcPr>
          <w:p w14:paraId="6DFA22B4" w14:textId="1461E3F7" w:rsidR="00EB03B5" w:rsidRDefault="00EB03B5" w:rsidP="00EB03B5">
            <w:pPr>
              <w:tabs>
                <w:tab w:val="left" w:pos="7050"/>
              </w:tabs>
              <w:rPr>
                <w:rFonts w:asciiTheme="majorHAnsi" w:hAnsiTheme="majorHAnsi"/>
              </w:rPr>
            </w:pPr>
            <w:r w:rsidRPr="002C2079">
              <w:rPr>
                <w:rFonts w:asciiTheme="majorHAnsi" w:hAnsiTheme="majorHAnsi"/>
              </w:rPr>
              <w:t>Tax loss of $</w:t>
            </w:r>
            <w:r w:rsidR="00C310E0">
              <w:rPr>
                <w:rFonts w:asciiTheme="majorHAnsi" w:hAnsiTheme="majorHAnsi"/>
              </w:rPr>
              <w:t>397.8</w:t>
            </w:r>
            <w:r w:rsidR="0055014B">
              <w:rPr>
                <w:rFonts w:asciiTheme="majorHAnsi" w:hAnsiTheme="majorHAnsi"/>
              </w:rPr>
              <w:t xml:space="preserve"> – $</w:t>
            </w:r>
            <w:r w:rsidR="00C310E0">
              <w:rPr>
                <w:rFonts w:asciiTheme="majorHAnsi" w:hAnsiTheme="majorHAnsi"/>
              </w:rPr>
              <w:t>439.4</w:t>
            </w:r>
            <w:r>
              <w:rPr>
                <w:rFonts w:asciiTheme="majorHAnsi" w:hAnsiTheme="majorHAnsi"/>
              </w:rPr>
              <w:t xml:space="preserve"> </w:t>
            </w:r>
            <w:r w:rsidRPr="002C2079">
              <w:rPr>
                <w:rFonts w:asciiTheme="majorHAnsi" w:hAnsiTheme="majorHAnsi"/>
              </w:rPr>
              <w:t xml:space="preserve">million </w:t>
            </w:r>
            <w:r w:rsidR="002A4FD4">
              <w:rPr>
                <w:rFonts w:asciiTheme="majorHAnsi" w:hAnsiTheme="majorHAnsi"/>
              </w:rPr>
              <w:t xml:space="preserve">per year during </w:t>
            </w:r>
            <w:r w:rsidRPr="002C2079">
              <w:rPr>
                <w:rFonts w:asciiTheme="majorHAnsi" w:hAnsiTheme="majorHAnsi"/>
              </w:rPr>
              <w:t>FY1</w:t>
            </w:r>
            <w:r>
              <w:rPr>
                <w:rFonts w:asciiTheme="majorHAnsi" w:hAnsiTheme="majorHAnsi"/>
              </w:rPr>
              <w:t>8</w:t>
            </w:r>
            <w:r w:rsidRPr="002C2079">
              <w:rPr>
                <w:rFonts w:asciiTheme="majorHAnsi" w:hAnsiTheme="majorHAnsi"/>
              </w:rPr>
              <w:t>-FY2</w:t>
            </w:r>
            <w:r>
              <w:rPr>
                <w:rFonts w:asciiTheme="majorHAnsi" w:hAnsiTheme="majorHAnsi"/>
              </w:rPr>
              <w:t>2</w:t>
            </w:r>
          </w:p>
          <w:p w14:paraId="65E156EA" w14:textId="7F5B55DE" w:rsidR="007F67B7" w:rsidRPr="002C2079" w:rsidRDefault="007F67B7" w:rsidP="00EB03B5">
            <w:pPr>
              <w:tabs>
                <w:tab w:val="left" w:pos="7050"/>
              </w:tabs>
              <w:rPr>
                <w:rFonts w:asciiTheme="majorHAnsi" w:hAnsiTheme="majorHAnsi"/>
              </w:rPr>
            </w:pPr>
          </w:p>
        </w:tc>
      </w:tr>
      <w:tr w:rsidR="00EB03B5" w:rsidRPr="002C2079" w14:paraId="1B2C5553" w14:textId="77777777" w:rsidTr="00EB03B5">
        <w:tc>
          <w:tcPr>
            <w:tcW w:w="4707" w:type="dxa"/>
          </w:tcPr>
          <w:p w14:paraId="1F9BBD66" w14:textId="77777777" w:rsidR="00EB03B5" w:rsidRPr="002C2079" w:rsidRDefault="00EB03B5" w:rsidP="00EB03B5">
            <w:pPr>
              <w:tabs>
                <w:tab w:val="left" w:pos="7050"/>
              </w:tabs>
              <w:rPr>
                <w:rFonts w:asciiTheme="majorHAnsi" w:hAnsiTheme="majorHAnsi"/>
              </w:rPr>
            </w:pPr>
            <w:r w:rsidRPr="002C2079">
              <w:rPr>
                <w:rFonts w:asciiTheme="majorHAnsi" w:eastAsiaTheme="majorEastAsia" w:hAnsiTheme="majorHAnsi" w:cstheme="majorBidi"/>
                <w:b/>
                <w:bCs/>
                <w:color w:val="000000" w:themeColor="text1"/>
              </w:rPr>
              <w:t xml:space="preserve">NUMBER OF TAXPAYERS </w:t>
            </w:r>
          </w:p>
        </w:tc>
        <w:tc>
          <w:tcPr>
            <w:tcW w:w="4653" w:type="dxa"/>
          </w:tcPr>
          <w:p w14:paraId="34BDB843" w14:textId="0A73315B" w:rsidR="00EB03B5" w:rsidRPr="002C2079" w:rsidRDefault="00C81638" w:rsidP="00EB03B5">
            <w:pPr>
              <w:tabs>
                <w:tab w:val="left" w:pos="7050"/>
              </w:tabs>
              <w:rPr>
                <w:rFonts w:asciiTheme="majorHAnsi" w:eastAsiaTheme="majorEastAsia" w:hAnsiTheme="majorHAnsi" w:cstheme="majorBidi"/>
                <w:bCs/>
                <w:color w:val="000000" w:themeColor="text1"/>
              </w:rPr>
            </w:pPr>
            <w:r>
              <w:rPr>
                <w:rFonts w:asciiTheme="majorHAnsi" w:eastAsiaTheme="majorEastAsia" w:hAnsiTheme="majorHAnsi" w:cstheme="majorBidi"/>
                <w:bCs/>
                <w:color w:val="000000" w:themeColor="text1"/>
              </w:rPr>
              <w:t>In tax year 201</w:t>
            </w:r>
            <w:r w:rsidR="002630C2">
              <w:rPr>
                <w:rFonts w:asciiTheme="majorHAnsi" w:eastAsiaTheme="majorEastAsia" w:hAnsiTheme="majorHAnsi" w:cstheme="majorBidi"/>
                <w:bCs/>
                <w:color w:val="000000" w:themeColor="text1"/>
              </w:rPr>
              <w:t>7</w:t>
            </w:r>
            <w:r>
              <w:rPr>
                <w:rFonts w:asciiTheme="majorHAnsi" w:eastAsiaTheme="majorEastAsia" w:hAnsiTheme="majorHAnsi" w:cstheme="majorBidi"/>
                <w:bCs/>
                <w:color w:val="000000" w:themeColor="text1"/>
              </w:rPr>
              <w:t xml:space="preserve">, </w:t>
            </w:r>
            <w:r w:rsidR="0052661C">
              <w:rPr>
                <w:rFonts w:asciiTheme="majorHAnsi" w:eastAsiaTheme="majorEastAsia" w:hAnsiTheme="majorHAnsi" w:cstheme="majorBidi"/>
                <w:bCs/>
                <w:color w:val="000000" w:themeColor="text1"/>
              </w:rPr>
              <w:t>7,049</w:t>
            </w:r>
            <w:r>
              <w:rPr>
                <w:rFonts w:asciiTheme="majorHAnsi" w:eastAsiaTheme="majorEastAsia" w:hAnsiTheme="majorHAnsi" w:cstheme="majorBidi"/>
                <w:bCs/>
                <w:color w:val="000000" w:themeColor="text1"/>
              </w:rPr>
              <w:t xml:space="preserve"> taxpayers benefited from the current apportionment formula</w:t>
            </w:r>
            <w:r w:rsidR="009768F1">
              <w:rPr>
                <w:rFonts w:asciiTheme="majorHAnsi" w:eastAsiaTheme="majorEastAsia" w:hAnsiTheme="majorHAnsi" w:cstheme="majorBidi"/>
                <w:bCs/>
                <w:color w:val="000000" w:themeColor="text1"/>
              </w:rPr>
              <w:t>s</w:t>
            </w:r>
            <w:r>
              <w:rPr>
                <w:rFonts w:asciiTheme="majorHAnsi" w:eastAsiaTheme="majorEastAsia" w:hAnsiTheme="majorHAnsi" w:cstheme="majorBidi"/>
                <w:bCs/>
                <w:color w:val="000000" w:themeColor="text1"/>
              </w:rPr>
              <w:t>.</w:t>
            </w:r>
            <w:r w:rsidR="002A4FD4">
              <w:rPr>
                <w:rFonts w:asciiTheme="majorHAnsi" w:eastAsiaTheme="majorEastAsia" w:hAnsiTheme="majorHAnsi" w:cstheme="majorBidi"/>
                <w:bCs/>
                <w:color w:val="000000" w:themeColor="text1"/>
              </w:rPr>
              <w:t xml:space="preserve"> </w:t>
            </w:r>
          </w:p>
          <w:p w14:paraId="6D52C3BF" w14:textId="77777777" w:rsidR="00EB03B5" w:rsidRPr="002C2079" w:rsidRDefault="00EB03B5" w:rsidP="00EB03B5">
            <w:pPr>
              <w:tabs>
                <w:tab w:val="left" w:pos="7050"/>
              </w:tabs>
              <w:rPr>
                <w:rFonts w:asciiTheme="majorHAnsi" w:hAnsiTheme="majorHAnsi"/>
              </w:rPr>
            </w:pPr>
          </w:p>
        </w:tc>
      </w:tr>
      <w:tr w:rsidR="00EB03B5" w:rsidRPr="002C2079" w14:paraId="7E0EA957" w14:textId="77777777" w:rsidTr="00EB03B5">
        <w:tc>
          <w:tcPr>
            <w:tcW w:w="4707" w:type="dxa"/>
          </w:tcPr>
          <w:p w14:paraId="0ED20A07" w14:textId="77777777" w:rsidR="00EB03B5" w:rsidRPr="002C2079" w:rsidRDefault="00EB03B5" w:rsidP="00EB03B5">
            <w:pPr>
              <w:tabs>
                <w:tab w:val="left" w:pos="7050"/>
              </w:tabs>
              <w:rPr>
                <w:rFonts w:asciiTheme="majorHAnsi" w:hAnsiTheme="majorHAnsi"/>
              </w:rPr>
            </w:pPr>
            <w:bookmarkStart w:id="0" w:name="_Hlk60916515"/>
            <w:r w:rsidRPr="002C2079">
              <w:rPr>
                <w:rFonts w:asciiTheme="majorHAnsi" w:eastAsiaTheme="majorEastAsia" w:hAnsiTheme="majorHAnsi" w:cstheme="majorBidi"/>
                <w:b/>
                <w:bCs/>
                <w:color w:val="000000" w:themeColor="text1"/>
              </w:rPr>
              <w:t>AVERAGE TAXPAYER BENEFIT</w:t>
            </w:r>
          </w:p>
        </w:tc>
        <w:tc>
          <w:tcPr>
            <w:tcW w:w="4653" w:type="dxa"/>
          </w:tcPr>
          <w:p w14:paraId="2311D46A" w14:textId="00393380" w:rsidR="00EB03B5" w:rsidRPr="002C2079" w:rsidRDefault="000B016F" w:rsidP="00EB03B5">
            <w:pPr>
              <w:tabs>
                <w:tab w:val="left" w:pos="7050"/>
              </w:tabs>
              <w:rPr>
                <w:rFonts w:asciiTheme="majorHAnsi" w:hAnsiTheme="majorHAnsi"/>
              </w:rPr>
            </w:pPr>
            <w:r>
              <w:rPr>
                <w:rFonts w:asciiTheme="majorHAnsi" w:eastAsiaTheme="majorEastAsia" w:hAnsiTheme="majorHAnsi" w:cstheme="majorBidi"/>
                <w:bCs/>
                <w:color w:val="000000" w:themeColor="text1"/>
              </w:rPr>
              <w:t xml:space="preserve">About </w:t>
            </w:r>
            <w:r w:rsidR="00EB03B5" w:rsidRPr="002C2079">
              <w:rPr>
                <w:rFonts w:asciiTheme="majorHAnsi" w:eastAsiaTheme="majorEastAsia" w:hAnsiTheme="majorHAnsi" w:cstheme="majorBidi"/>
                <w:bCs/>
                <w:color w:val="000000" w:themeColor="text1"/>
              </w:rPr>
              <w:t>$</w:t>
            </w:r>
            <w:r w:rsidR="0052661C">
              <w:rPr>
                <w:rFonts w:asciiTheme="majorHAnsi" w:eastAsiaTheme="majorEastAsia" w:hAnsiTheme="majorHAnsi" w:cstheme="majorBidi"/>
                <w:bCs/>
                <w:color w:val="000000" w:themeColor="text1"/>
              </w:rPr>
              <w:t>78</w:t>
            </w:r>
            <w:r w:rsidR="009A28D5">
              <w:rPr>
                <w:rFonts w:asciiTheme="majorHAnsi" w:eastAsiaTheme="majorEastAsia" w:hAnsiTheme="majorHAnsi" w:cstheme="majorBidi"/>
                <w:bCs/>
                <w:color w:val="000000" w:themeColor="text1"/>
              </w:rPr>
              <w:t>,000</w:t>
            </w:r>
            <w:r w:rsidR="002701A2">
              <w:rPr>
                <w:rFonts w:asciiTheme="majorHAnsi" w:eastAsiaTheme="majorEastAsia" w:hAnsiTheme="majorHAnsi" w:cstheme="majorBidi"/>
                <w:bCs/>
                <w:color w:val="000000" w:themeColor="text1"/>
              </w:rPr>
              <w:t xml:space="preserve"> </w:t>
            </w:r>
            <w:r w:rsidR="00EB03B5" w:rsidRPr="002C2079">
              <w:rPr>
                <w:rFonts w:asciiTheme="majorHAnsi" w:eastAsiaTheme="majorEastAsia" w:hAnsiTheme="majorHAnsi" w:cstheme="majorBidi"/>
                <w:bCs/>
                <w:color w:val="000000" w:themeColor="text1"/>
              </w:rPr>
              <w:t>per</w:t>
            </w:r>
            <w:r w:rsidR="00C81638">
              <w:rPr>
                <w:rFonts w:asciiTheme="majorHAnsi" w:eastAsiaTheme="majorEastAsia" w:hAnsiTheme="majorHAnsi" w:cstheme="majorBidi"/>
                <w:bCs/>
                <w:color w:val="000000" w:themeColor="text1"/>
              </w:rPr>
              <w:t xml:space="preserve"> positively</w:t>
            </w:r>
            <w:r w:rsidR="00EB03B5" w:rsidRPr="002C2079">
              <w:rPr>
                <w:rFonts w:asciiTheme="majorHAnsi" w:eastAsiaTheme="majorEastAsia" w:hAnsiTheme="majorHAnsi" w:cstheme="majorBidi"/>
                <w:bCs/>
                <w:color w:val="000000" w:themeColor="text1"/>
              </w:rPr>
              <w:t xml:space="preserve"> </w:t>
            </w:r>
            <w:r>
              <w:rPr>
                <w:rFonts w:asciiTheme="majorHAnsi" w:eastAsiaTheme="majorEastAsia" w:hAnsiTheme="majorHAnsi" w:cstheme="majorBidi"/>
                <w:bCs/>
                <w:color w:val="000000" w:themeColor="text1"/>
              </w:rPr>
              <w:t>impacted filer (</w:t>
            </w:r>
            <w:r w:rsidR="002630C2">
              <w:rPr>
                <w:rFonts w:asciiTheme="majorHAnsi" w:eastAsiaTheme="majorEastAsia" w:hAnsiTheme="majorHAnsi" w:cstheme="majorBidi"/>
                <w:bCs/>
                <w:color w:val="000000" w:themeColor="text1"/>
              </w:rPr>
              <w:t xml:space="preserve">tax year </w:t>
            </w:r>
            <w:r>
              <w:rPr>
                <w:rFonts w:asciiTheme="majorHAnsi" w:eastAsiaTheme="majorEastAsia" w:hAnsiTheme="majorHAnsi" w:cstheme="majorBidi"/>
                <w:bCs/>
                <w:color w:val="000000" w:themeColor="text1"/>
              </w:rPr>
              <w:t>201</w:t>
            </w:r>
            <w:r w:rsidR="002630C2">
              <w:rPr>
                <w:rFonts w:asciiTheme="majorHAnsi" w:eastAsiaTheme="majorEastAsia" w:hAnsiTheme="majorHAnsi" w:cstheme="majorBidi"/>
                <w:bCs/>
                <w:color w:val="000000" w:themeColor="text1"/>
              </w:rPr>
              <w:t>7</w:t>
            </w:r>
            <w:r>
              <w:rPr>
                <w:rFonts w:asciiTheme="majorHAnsi" w:eastAsiaTheme="majorEastAsia" w:hAnsiTheme="majorHAnsi" w:cstheme="majorBidi"/>
                <w:bCs/>
                <w:color w:val="000000" w:themeColor="text1"/>
              </w:rPr>
              <w:t>)</w:t>
            </w:r>
            <w:r w:rsidR="00EB03B5" w:rsidRPr="002C2079">
              <w:rPr>
                <w:rFonts w:asciiTheme="majorHAnsi" w:eastAsiaTheme="majorEastAsia" w:hAnsiTheme="majorHAnsi" w:cstheme="majorBidi"/>
                <w:bCs/>
                <w:color w:val="000000" w:themeColor="text1"/>
              </w:rPr>
              <w:t xml:space="preserve"> </w:t>
            </w:r>
          </w:p>
        </w:tc>
      </w:tr>
      <w:bookmarkEnd w:id="0"/>
    </w:tbl>
    <w:p w14:paraId="28191992" w14:textId="77777777" w:rsidR="00565D22" w:rsidRDefault="00565D22">
      <w:pPr>
        <w:rPr>
          <w:b/>
          <w:bCs/>
        </w:rPr>
      </w:pPr>
    </w:p>
    <w:tbl>
      <w:tblPr>
        <w:tblStyle w:val="TableGrid"/>
        <w:tblW w:w="0" w:type="auto"/>
        <w:tblLook w:val="04A0" w:firstRow="1" w:lastRow="0" w:firstColumn="1" w:lastColumn="0" w:noHBand="0" w:noVBand="1"/>
      </w:tblPr>
      <w:tblGrid>
        <w:gridCol w:w="4677"/>
        <w:gridCol w:w="4673"/>
      </w:tblGrid>
      <w:tr w:rsidR="008817D0" w:rsidRPr="0018305E" w14:paraId="00F869F1" w14:textId="77777777" w:rsidTr="007F7209">
        <w:tc>
          <w:tcPr>
            <w:tcW w:w="4788" w:type="dxa"/>
          </w:tcPr>
          <w:p w14:paraId="1CA5F98A" w14:textId="77777777" w:rsidR="00565D22" w:rsidRPr="00EE5936" w:rsidRDefault="00565D22" w:rsidP="00565D22">
            <w:pPr>
              <w:tabs>
                <w:tab w:val="left" w:pos="7050"/>
              </w:tabs>
              <w:rPr>
                <w:rFonts w:asciiTheme="majorHAnsi" w:eastAsiaTheme="majorEastAsia" w:hAnsiTheme="majorHAnsi" w:cstheme="majorBidi"/>
                <w:b/>
                <w:bCs/>
                <w:color w:val="000000" w:themeColor="text1"/>
              </w:rPr>
            </w:pPr>
            <w:r w:rsidRPr="00EE5936">
              <w:rPr>
                <w:rFonts w:asciiTheme="majorHAnsi" w:eastAsiaTheme="majorEastAsia" w:hAnsiTheme="majorHAnsi" w:cstheme="majorBidi"/>
                <w:b/>
                <w:bCs/>
                <w:color w:val="000000" w:themeColor="text1"/>
              </w:rPr>
              <w:t>Description of the Tax Expenditure:</w:t>
            </w:r>
          </w:p>
          <w:p w14:paraId="386CA250" w14:textId="55E4661B" w:rsidR="00565D22" w:rsidRPr="0018305E" w:rsidRDefault="00680372" w:rsidP="00565D22">
            <w:pPr>
              <w:tabs>
                <w:tab w:val="left" w:pos="7050"/>
              </w:tabs>
              <w:rPr>
                <w:rFonts w:asciiTheme="majorHAnsi" w:eastAsiaTheme="majorEastAsia" w:hAnsiTheme="majorHAnsi" w:cstheme="majorBidi"/>
                <w:b/>
                <w:bCs/>
                <w:color w:val="000000" w:themeColor="text1"/>
                <w:sz w:val="18"/>
                <w:szCs w:val="18"/>
              </w:rPr>
            </w:pPr>
            <w:r w:rsidRPr="00EE5936">
              <w:rPr>
                <w:rFonts w:asciiTheme="majorHAnsi" w:eastAsiaTheme="majorEastAsia" w:hAnsiTheme="majorHAnsi" w:cstheme="majorBidi"/>
                <w:bCs/>
                <w:color w:val="000000" w:themeColor="text1"/>
              </w:rPr>
              <w:t xml:space="preserve">Instead of an equal weighting of </w:t>
            </w:r>
            <w:r w:rsidR="00FD5B69">
              <w:rPr>
                <w:rFonts w:asciiTheme="majorHAnsi" w:eastAsiaTheme="majorEastAsia" w:hAnsiTheme="majorHAnsi" w:cstheme="majorBidi"/>
                <w:bCs/>
                <w:color w:val="000000" w:themeColor="text1"/>
              </w:rPr>
              <w:t xml:space="preserve">the </w:t>
            </w:r>
            <w:r w:rsidRPr="00EE5936">
              <w:rPr>
                <w:rFonts w:asciiTheme="majorHAnsi" w:eastAsiaTheme="majorEastAsia" w:hAnsiTheme="majorHAnsi" w:cstheme="majorBidi"/>
                <w:bCs/>
                <w:color w:val="000000" w:themeColor="text1"/>
              </w:rPr>
              <w:t xml:space="preserve">property, payroll and sales </w:t>
            </w:r>
            <w:r w:rsidR="00FD5B69">
              <w:rPr>
                <w:rFonts w:asciiTheme="majorHAnsi" w:eastAsiaTheme="majorEastAsia" w:hAnsiTheme="majorHAnsi" w:cstheme="majorBidi"/>
                <w:bCs/>
                <w:color w:val="000000" w:themeColor="text1"/>
              </w:rPr>
              <w:t xml:space="preserve">factors </w:t>
            </w:r>
            <w:r w:rsidRPr="00EE5936">
              <w:rPr>
                <w:rFonts w:asciiTheme="majorHAnsi" w:eastAsiaTheme="majorEastAsia" w:hAnsiTheme="majorHAnsi" w:cstheme="majorBidi"/>
                <w:bCs/>
                <w:color w:val="000000" w:themeColor="text1"/>
              </w:rPr>
              <w:t>in the corporate apportionment formula, Massachusetts generally gives double weight to the sales factor, and</w:t>
            </w:r>
            <w:r w:rsidR="008817D0">
              <w:rPr>
                <w:rFonts w:asciiTheme="majorHAnsi" w:eastAsiaTheme="majorEastAsia" w:hAnsiTheme="majorHAnsi" w:cstheme="majorBidi"/>
                <w:bCs/>
                <w:color w:val="000000" w:themeColor="text1"/>
              </w:rPr>
              <w:t xml:space="preserve"> eliminates</w:t>
            </w:r>
            <w:r w:rsidR="00383C53">
              <w:rPr>
                <w:rFonts w:asciiTheme="majorHAnsi" w:eastAsiaTheme="majorEastAsia" w:hAnsiTheme="majorHAnsi" w:cstheme="majorBidi"/>
                <w:bCs/>
                <w:color w:val="000000" w:themeColor="text1"/>
              </w:rPr>
              <w:t xml:space="preserve"> the property and payroll factors </w:t>
            </w:r>
            <w:r w:rsidR="008817D0">
              <w:rPr>
                <w:rFonts w:asciiTheme="majorHAnsi" w:eastAsiaTheme="majorEastAsia" w:hAnsiTheme="majorHAnsi" w:cstheme="majorBidi"/>
                <w:bCs/>
                <w:color w:val="000000" w:themeColor="text1"/>
              </w:rPr>
              <w:t xml:space="preserve">entirely </w:t>
            </w:r>
            <w:r w:rsidRPr="00EE5936">
              <w:rPr>
                <w:rFonts w:asciiTheme="majorHAnsi" w:eastAsiaTheme="majorEastAsia" w:hAnsiTheme="majorHAnsi" w:cstheme="majorBidi"/>
                <w:bCs/>
                <w:color w:val="000000" w:themeColor="text1"/>
              </w:rPr>
              <w:t>for some types of corporation</w:t>
            </w:r>
            <w:r w:rsidR="008817D0">
              <w:rPr>
                <w:rFonts w:asciiTheme="majorHAnsi" w:eastAsiaTheme="majorEastAsia" w:hAnsiTheme="majorHAnsi" w:cstheme="majorBidi"/>
                <w:bCs/>
                <w:color w:val="000000" w:themeColor="text1"/>
              </w:rPr>
              <w:t xml:space="preserve">s </w:t>
            </w:r>
            <w:r w:rsidRPr="00EE5936">
              <w:rPr>
                <w:rFonts w:asciiTheme="majorHAnsi" w:eastAsiaTheme="majorEastAsia" w:hAnsiTheme="majorHAnsi" w:cstheme="majorBidi"/>
                <w:bCs/>
                <w:color w:val="000000" w:themeColor="text1"/>
              </w:rPr>
              <w:t xml:space="preserve"> ( single-sales factor apportionment).</w:t>
            </w:r>
            <w:r w:rsidRPr="0018305E">
              <w:rPr>
                <w:rFonts w:asciiTheme="majorHAnsi" w:eastAsiaTheme="majorEastAsia" w:hAnsiTheme="majorHAnsi" w:cstheme="majorBidi"/>
                <w:bCs/>
                <w:color w:val="000000" w:themeColor="text1"/>
                <w:sz w:val="18"/>
                <w:szCs w:val="18"/>
              </w:rPr>
              <w:t xml:space="preserve">  </w:t>
            </w:r>
          </w:p>
        </w:tc>
        <w:tc>
          <w:tcPr>
            <w:tcW w:w="4788" w:type="dxa"/>
          </w:tcPr>
          <w:p w14:paraId="3C22CA10" w14:textId="77777777" w:rsidR="00565D22" w:rsidRPr="00EE5936" w:rsidRDefault="00565D22" w:rsidP="00565D22">
            <w:pPr>
              <w:tabs>
                <w:tab w:val="left" w:pos="7050"/>
              </w:tabs>
              <w:rPr>
                <w:rFonts w:asciiTheme="majorHAnsi" w:eastAsiaTheme="majorEastAsia" w:hAnsiTheme="majorHAnsi" w:cstheme="majorBidi"/>
                <w:b/>
                <w:bCs/>
                <w:color w:val="000000" w:themeColor="text1"/>
              </w:rPr>
            </w:pPr>
            <w:r w:rsidRPr="00EE5936">
              <w:rPr>
                <w:rFonts w:asciiTheme="majorHAnsi" w:eastAsiaTheme="majorEastAsia" w:hAnsiTheme="majorHAnsi" w:cstheme="majorBidi"/>
                <w:b/>
                <w:bCs/>
                <w:color w:val="000000" w:themeColor="text1"/>
              </w:rPr>
              <w:t>Is the purpose defined in the statute?</w:t>
            </w:r>
          </w:p>
          <w:p w14:paraId="48AA40D3" w14:textId="77777777" w:rsidR="006F4F83" w:rsidRDefault="007F7209" w:rsidP="008817D0">
            <w:pPr>
              <w:rPr>
                <w:rFonts w:asciiTheme="majorHAnsi" w:eastAsiaTheme="majorEastAsia" w:hAnsiTheme="majorHAnsi" w:cstheme="majorBidi"/>
                <w:bCs/>
                <w:color w:val="000000" w:themeColor="text1"/>
              </w:rPr>
            </w:pPr>
            <w:r w:rsidRPr="00EE5936">
              <w:rPr>
                <w:rFonts w:asciiTheme="majorHAnsi" w:eastAsiaTheme="majorEastAsia" w:hAnsiTheme="majorHAnsi" w:cstheme="majorBidi"/>
                <w:bCs/>
                <w:color w:val="000000" w:themeColor="text1"/>
              </w:rPr>
              <w:t xml:space="preserve">The statute does not explicitly state the purpose of this tax expenditure.  </w:t>
            </w:r>
            <w:r w:rsidR="00603FF2">
              <w:rPr>
                <w:rFonts w:asciiTheme="majorHAnsi" w:eastAsiaTheme="majorEastAsia" w:hAnsiTheme="majorHAnsi" w:cstheme="majorBidi"/>
                <w:bCs/>
                <w:color w:val="000000" w:themeColor="text1"/>
              </w:rPr>
              <w:t>With equal weighting of</w:t>
            </w:r>
            <w:r w:rsidR="002E01AD">
              <w:rPr>
                <w:rFonts w:asciiTheme="majorHAnsi" w:eastAsiaTheme="majorEastAsia" w:hAnsiTheme="majorHAnsi" w:cstheme="majorBidi"/>
                <w:bCs/>
                <w:color w:val="000000" w:themeColor="text1"/>
              </w:rPr>
              <w:t xml:space="preserve"> the property, </w:t>
            </w:r>
            <w:proofErr w:type="gramStart"/>
            <w:r w:rsidR="002E01AD">
              <w:rPr>
                <w:rFonts w:asciiTheme="majorHAnsi" w:eastAsiaTheme="majorEastAsia" w:hAnsiTheme="majorHAnsi" w:cstheme="majorBidi"/>
                <w:bCs/>
                <w:color w:val="000000" w:themeColor="text1"/>
              </w:rPr>
              <w:t>payroll</w:t>
            </w:r>
            <w:proofErr w:type="gramEnd"/>
            <w:r w:rsidR="002E01AD">
              <w:rPr>
                <w:rFonts w:asciiTheme="majorHAnsi" w:eastAsiaTheme="majorEastAsia" w:hAnsiTheme="majorHAnsi" w:cstheme="majorBidi"/>
                <w:bCs/>
                <w:color w:val="000000" w:themeColor="text1"/>
              </w:rPr>
              <w:t xml:space="preserve"> and sales factors</w:t>
            </w:r>
            <w:r w:rsidR="003A36B6">
              <w:rPr>
                <w:rFonts w:asciiTheme="majorHAnsi" w:eastAsiaTheme="majorEastAsia" w:hAnsiTheme="majorHAnsi" w:cstheme="majorBidi"/>
                <w:bCs/>
                <w:color w:val="000000" w:themeColor="text1"/>
              </w:rPr>
              <w:t>, locating property or employees in a state increases a corporation’s apportionment in the state, thereby increasing its tax.  Reduc</w:t>
            </w:r>
            <w:r w:rsidR="008817D0">
              <w:rPr>
                <w:rFonts w:asciiTheme="majorHAnsi" w:eastAsiaTheme="majorEastAsia" w:hAnsiTheme="majorHAnsi" w:cstheme="majorBidi"/>
                <w:bCs/>
                <w:color w:val="000000" w:themeColor="text1"/>
              </w:rPr>
              <w:t xml:space="preserve">ing or eliminating the impact of property and employees on apportionment encourages corporations to increase or maintain their physical plant and workforce in the state.  </w:t>
            </w:r>
          </w:p>
          <w:p w14:paraId="3A9BAAE8" w14:textId="25FF27E5" w:rsidR="00A5773A" w:rsidRPr="00EE5936" w:rsidRDefault="00A5773A" w:rsidP="008817D0">
            <w:pPr>
              <w:rPr>
                <w:b/>
                <w:bCs/>
              </w:rPr>
            </w:pPr>
          </w:p>
        </w:tc>
      </w:tr>
      <w:tr w:rsidR="008817D0" w:rsidRPr="0018305E" w14:paraId="43B96A3B" w14:textId="77777777" w:rsidTr="007F7209">
        <w:tc>
          <w:tcPr>
            <w:tcW w:w="4788" w:type="dxa"/>
          </w:tcPr>
          <w:p w14:paraId="564EFF48" w14:textId="77777777" w:rsidR="009768F1" w:rsidRPr="00003921" w:rsidRDefault="009768F1" w:rsidP="009768F1">
            <w:pPr>
              <w:tabs>
                <w:tab w:val="left" w:pos="7050"/>
              </w:tabs>
              <w:rPr>
                <w:rFonts w:asciiTheme="majorHAnsi" w:eastAsiaTheme="majorEastAsia" w:hAnsiTheme="majorHAnsi" w:cstheme="majorBidi"/>
                <w:b/>
                <w:bCs/>
                <w:color w:val="000000" w:themeColor="text1"/>
                <w:sz w:val="24"/>
              </w:rPr>
            </w:pPr>
            <w:r>
              <w:rPr>
                <w:rFonts w:asciiTheme="majorHAnsi" w:eastAsiaTheme="majorEastAsia" w:hAnsiTheme="majorHAnsi" w:cstheme="majorBidi"/>
                <w:b/>
                <w:bCs/>
                <w:color w:val="000000" w:themeColor="text1"/>
                <w:sz w:val="24"/>
              </w:rPr>
              <w:t>What are the policy goals of the expenditure?</w:t>
            </w:r>
          </w:p>
          <w:p w14:paraId="5504E5FE" w14:textId="77F2805F" w:rsidR="00565D22" w:rsidRPr="00EE5936" w:rsidRDefault="00FD5B69" w:rsidP="00565D22">
            <w:pPr>
              <w:rPr>
                <w:b/>
                <w:bCs/>
              </w:rPr>
            </w:pPr>
            <w:r>
              <w:rPr>
                <w:rFonts w:asciiTheme="majorHAnsi" w:eastAsiaTheme="majorEastAsia" w:hAnsiTheme="majorHAnsi" w:cstheme="majorBidi"/>
                <w:bCs/>
                <w:color w:val="000000" w:themeColor="text1"/>
              </w:rPr>
              <w:lastRenderedPageBreak/>
              <w:t xml:space="preserve">To </w:t>
            </w:r>
            <w:r w:rsidR="008817D0">
              <w:rPr>
                <w:rFonts w:asciiTheme="majorHAnsi" w:eastAsiaTheme="majorEastAsia" w:hAnsiTheme="majorHAnsi" w:cstheme="majorBidi"/>
                <w:bCs/>
                <w:color w:val="000000" w:themeColor="text1"/>
              </w:rPr>
              <w:t xml:space="preserve">encourage corporations to increase or maintain property and workforce in Massachusetts by eliminating or diminishing </w:t>
            </w:r>
            <w:r w:rsidR="00615758">
              <w:rPr>
                <w:rFonts w:asciiTheme="majorHAnsi" w:eastAsiaTheme="majorEastAsia" w:hAnsiTheme="majorHAnsi" w:cstheme="majorBidi"/>
                <w:bCs/>
                <w:color w:val="000000" w:themeColor="text1"/>
              </w:rPr>
              <w:t xml:space="preserve">the effect of the property and payroll factors on Massachusetts apportionment.  </w:t>
            </w:r>
          </w:p>
        </w:tc>
        <w:tc>
          <w:tcPr>
            <w:tcW w:w="4788" w:type="dxa"/>
          </w:tcPr>
          <w:p w14:paraId="2CBC8FBC" w14:textId="77777777" w:rsidR="00565D22" w:rsidRPr="00EE5936" w:rsidRDefault="00565D22" w:rsidP="00565D22">
            <w:pPr>
              <w:tabs>
                <w:tab w:val="left" w:pos="7050"/>
              </w:tabs>
              <w:rPr>
                <w:rFonts w:asciiTheme="majorHAnsi" w:eastAsiaTheme="majorEastAsia" w:hAnsiTheme="majorHAnsi" w:cstheme="majorBidi"/>
                <w:b/>
                <w:bCs/>
                <w:color w:val="000000" w:themeColor="text1"/>
              </w:rPr>
            </w:pPr>
            <w:r w:rsidRPr="00EE5936">
              <w:rPr>
                <w:rFonts w:asciiTheme="majorHAnsi" w:eastAsiaTheme="majorEastAsia" w:hAnsiTheme="majorHAnsi" w:cstheme="majorBidi"/>
                <w:b/>
                <w:bCs/>
                <w:color w:val="000000" w:themeColor="text1"/>
              </w:rPr>
              <w:lastRenderedPageBreak/>
              <w:t>Are there other states with a similar Tax Expenditure?</w:t>
            </w:r>
          </w:p>
          <w:p w14:paraId="563437B3" w14:textId="77777777" w:rsidR="00680372" w:rsidRPr="00EE5936" w:rsidRDefault="00680372" w:rsidP="00680372">
            <w:pPr>
              <w:tabs>
                <w:tab w:val="left" w:pos="7050"/>
              </w:tabs>
              <w:rPr>
                <w:rFonts w:asciiTheme="majorHAnsi" w:eastAsiaTheme="majorEastAsia" w:hAnsiTheme="majorHAnsi" w:cstheme="majorBidi"/>
                <w:bCs/>
                <w:color w:val="000000" w:themeColor="text1"/>
              </w:rPr>
            </w:pPr>
            <w:r w:rsidRPr="00EE5936">
              <w:rPr>
                <w:rFonts w:asciiTheme="majorHAnsi" w:eastAsiaTheme="majorEastAsia" w:hAnsiTheme="majorHAnsi" w:cstheme="majorBidi"/>
                <w:bCs/>
                <w:color w:val="000000" w:themeColor="text1"/>
              </w:rPr>
              <w:lastRenderedPageBreak/>
              <w:t>The following are general rules – note that there are industry-specific exceptions in most states, including Massachusetts.</w:t>
            </w:r>
          </w:p>
          <w:p w14:paraId="2C49A0AD" w14:textId="77777777" w:rsidR="00680372" w:rsidRPr="00EE5936" w:rsidRDefault="00680372" w:rsidP="00680372">
            <w:pPr>
              <w:tabs>
                <w:tab w:val="left" w:pos="7050"/>
              </w:tabs>
              <w:rPr>
                <w:rFonts w:asciiTheme="majorHAnsi" w:eastAsiaTheme="majorEastAsia" w:hAnsiTheme="majorHAnsi" w:cstheme="majorBidi"/>
                <w:bCs/>
                <w:color w:val="000000" w:themeColor="text1"/>
              </w:rPr>
            </w:pPr>
          </w:p>
          <w:p w14:paraId="1FA5CDBD" w14:textId="2C938351" w:rsidR="00680372" w:rsidRPr="00EE5936" w:rsidRDefault="00680372" w:rsidP="00680372">
            <w:pPr>
              <w:tabs>
                <w:tab w:val="left" w:pos="7050"/>
              </w:tabs>
              <w:rPr>
                <w:rFonts w:asciiTheme="majorHAnsi" w:eastAsiaTheme="majorEastAsia" w:hAnsiTheme="majorHAnsi" w:cstheme="majorBidi"/>
                <w:bCs/>
                <w:color w:val="000000" w:themeColor="text1"/>
              </w:rPr>
            </w:pPr>
            <w:r w:rsidRPr="00EE5936">
              <w:rPr>
                <w:rFonts w:asciiTheme="majorHAnsi" w:eastAsiaTheme="majorEastAsia" w:hAnsiTheme="majorHAnsi" w:cstheme="majorBidi"/>
                <w:bCs/>
                <w:color w:val="000000" w:themeColor="text1"/>
              </w:rPr>
              <w:t xml:space="preserve">New York:  </w:t>
            </w:r>
            <w:r w:rsidR="008817D0">
              <w:rPr>
                <w:rFonts w:asciiTheme="majorHAnsi" w:eastAsiaTheme="majorEastAsia" w:hAnsiTheme="majorHAnsi" w:cstheme="majorBidi"/>
                <w:bCs/>
                <w:color w:val="000000" w:themeColor="text1"/>
              </w:rPr>
              <w:t>sales</w:t>
            </w:r>
            <w:r w:rsidRPr="00EE5936">
              <w:rPr>
                <w:rFonts w:asciiTheme="majorHAnsi" w:eastAsiaTheme="majorEastAsia" w:hAnsiTheme="majorHAnsi" w:cstheme="majorBidi"/>
                <w:bCs/>
                <w:color w:val="000000" w:themeColor="text1"/>
              </w:rPr>
              <w:t xml:space="preserve"> factor only </w:t>
            </w:r>
          </w:p>
          <w:p w14:paraId="36D28AAD" w14:textId="77777777" w:rsidR="00680372" w:rsidRPr="00EE5936" w:rsidRDefault="00680372" w:rsidP="00680372">
            <w:pPr>
              <w:tabs>
                <w:tab w:val="left" w:pos="7050"/>
              </w:tabs>
              <w:rPr>
                <w:rFonts w:asciiTheme="majorHAnsi" w:eastAsiaTheme="majorEastAsia" w:hAnsiTheme="majorHAnsi" w:cstheme="majorBidi"/>
                <w:bCs/>
                <w:color w:val="000000" w:themeColor="text1"/>
              </w:rPr>
            </w:pPr>
            <w:r w:rsidRPr="00EE5936">
              <w:rPr>
                <w:rFonts w:asciiTheme="majorHAnsi" w:eastAsiaTheme="majorEastAsia" w:hAnsiTheme="majorHAnsi" w:cstheme="majorBidi"/>
                <w:bCs/>
                <w:color w:val="000000" w:themeColor="text1"/>
              </w:rPr>
              <w:t>Connecticut:  sales factor only</w:t>
            </w:r>
          </w:p>
          <w:p w14:paraId="461EDF78" w14:textId="77777777" w:rsidR="00680372" w:rsidRPr="00EE5936" w:rsidRDefault="00680372" w:rsidP="00680372">
            <w:pPr>
              <w:tabs>
                <w:tab w:val="left" w:pos="7050"/>
              </w:tabs>
              <w:rPr>
                <w:rFonts w:asciiTheme="majorHAnsi" w:eastAsiaTheme="majorEastAsia" w:hAnsiTheme="majorHAnsi" w:cstheme="majorBidi"/>
                <w:bCs/>
                <w:color w:val="000000" w:themeColor="text1"/>
              </w:rPr>
            </w:pPr>
            <w:r w:rsidRPr="00EE5936">
              <w:rPr>
                <w:rFonts w:asciiTheme="majorHAnsi" w:eastAsiaTheme="majorEastAsia" w:hAnsiTheme="majorHAnsi" w:cstheme="majorBidi"/>
                <w:bCs/>
                <w:color w:val="000000" w:themeColor="text1"/>
              </w:rPr>
              <w:t>Rhode Island:  sales factor only</w:t>
            </w:r>
          </w:p>
          <w:p w14:paraId="296FE985" w14:textId="77777777" w:rsidR="00680372" w:rsidRPr="00EE5936" w:rsidRDefault="00680372" w:rsidP="00680372">
            <w:pPr>
              <w:tabs>
                <w:tab w:val="left" w:pos="7050"/>
              </w:tabs>
              <w:rPr>
                <w:rFonts w:asciiTheme="majorHAnsi" w:eastAsiaTheme="majorEastAsia" w:hAnsiTheme="majorHAnsi" w:cstheme="majorBidi"/>
                <w:bCs/>
                <w:color w:val="000000" w:themeColor="text1"/>
              </w:rPr>
            </w:pPr>
            <w:r w:rsidRPr="00EE5936">
              <w:rPr>
                <w:rFonts w:asciiTheme="majorHAnsi" w:eastAsiaTheme="majorEastAsia" w:hAnsiTheme="majorHAnsi" w:cstheme="majorBidi"/>
                <w:bCs/>
                <w:color w:val="000000" w:themeColor="text1"/>
              </w:rPr>
              <w:t>Maine:  sales factor only</w:t>
            </w:r>
          </w:p>
          <w:p w14:paraId="455E4E82" w14:textId="77777777" w:rsidR="00680372" w:rsidRPr="00EE5936" w:rsidRDefault="00680372" w:rsidP="00680372">
            <w:pPr>
              <w:tabs>
                <w:tab w:val="left" w:pos="7050"/>
              </w:tabs>
              <w:rPr>
                <w:rFonts w:asciiTheme="majorHAnsi" w:eastAsiaTheme="majorEastAsia" w:hAnsiTheme="majorHAnsi" w:cstheme="majorBidi"/>
                <w:bCs/>
                <w:color w:val="000000" w:themeColor="text1"/>
              </w:rPr>
            </w:pPr>
            <w:r w:rsidRPr="00EE5936">
              <w:rPr>
                <w:rFonts w:asciiTheme="majorHAnsi" w:eastAsiaTheme="majorEastAsia" w:hAnsiTheme="majorHAnsi" w:cstheme="majorBidi"/>
                <w:bCs/>
                <w:color w:val="000000" w:themeColor="text1"/>
              </w:rPr>
              <w:t>New Hampshire:  double-weighted sales</w:t>
            </w:r>
          </w:p>
          <w:p w14:paraId="37F817E4" w14:textId="5891162D" w:rsidR="00565D22" w:rsidRPr="00EE5936" w:rsidRDefault="00680372" w:rsidP="00680372">
            <w:pPr>
              <w:tabs>
                <w:tab w:val="left" w:pos="7050"/>
              </w:tabs>
              <w:rPr>
                <w:rFonts w:asciiTheme="majorHAnsi" w:eastAsiaTheme="majorEastAsia" w:hAnsiTheme="majorHAnsi" w:cstheme="majorBidi"/>
                <w:bCs/>
                <w:color w:val="000000" w:themeColor="text1"/>
              </w:rPr>
            </w:pPr>
            <w:r w:rsidRPr="00EE5936">
              <w:rPr>
                <w:rFonts w:asciiTheme="majorHAnsi" w:eastAsiaTheme="majorEastAsia" w:hAnsiTheme="majorHAnsi" w:cstheme="majorBidi"/>
                <w:bCs/>
                <w:color w:val="000000" w:themeColor="text1"/>
              </w:rPr>
              <w:t>Vermont:  double</w:t>
            </w:r>
            <w:r w:rsidR="004174C0">
              <w:rPr>
                <w:rFonts w:asciiTheme="majorHAnsi" w:eastAsiaTheme="majorEastAsia" w:hAnsiTheme="majorHAnsi" w:cstheme="majorBidi"/>
                <w:bCs/>
                <w:color w:val="000000" w:themeColor="text1"/>
              </w:rPr>
              <w:t>-</w:t>
            </w:r>
            <w:r w:rsidRPr="00EE5936">
              <w:rPr>
                <w:rFonts w:asciiTheme="majorHAnsi" w:eastAsiaTheme="majorEastAsia" w:hAnsiTheme="majorHAnsi" w:cstheme="majorBidi"/>
                <w:bCs/>
                <w:color w:val="000000" w:themeColor="text1"/>
              </w:rPr>
              <w:t>weighted sales</w:t>
            </w:r>
          </w:p>
        </w:tc>
      </w:tr>
    </w:tbl>
    <w:tbl>
      <w:tblPr>
        <w:tblStyle w:val="MediumList1-Accent2"/>
        <w:tblW w:w="0" w:type="auto"/>
        <w:tblLook w:val="04A0" w:firstRow="1" w:lastRow="0" w:firstColumn="1" w:lastColumn="0" w:noHBand="0" w:noVBand="1"/>
      </w:tblPr>
      <w:tblGrid>
        <w:gridCol w:w="9360"/>
      </w:tblGrid>
      <w:tr w:rsidR="00F065BC" w:rsidRPr="0018305E" w14:paraId="41A0E702" w14:textId="77777777" w:rsidTr="00515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2495078" w14:textId="2E013D9B" w:rsidR="00F065BC" w:rsidRPr="0018305E" w:rsidRDefault="00F065BC" w:rsidP="00F065BC">
            <w:pPr>
              <w:rPr>
                <w:sz w:val="18"/>
                <w:szCs w:val="18"/>
              </w:rPr>
            </w:pPr>
          </w:p>
        </w:tc>
      </w:tr>
      <w:tr w:rsidR="004B14D0" w:rsidRPr="0018305E" w14:paraId="0B2353BC" w14:textId="77777777" w:rsidTr="00515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8" w:space="0" w:color="C0504D" w:themeColor="accent2"/>
              <w:bottom w:val="single" w:sz="8" w:space="0" w:color="C0504D" w:themeColor="accent2"/>
            </w:tcBorders>
            <w:shd w:val="clear" w:color="auto" w:fill="B6DDE8" w:themeFill="accent5" w:themeFillTint="66"/>
          </w:tcPr>
          <w:p w14:paraId="54CB0247" w14:textId="77777777" w:rsidR="004B14D0" w:rsidRPr="0018305E" w:rsidRDefault="004B14D0" w:rsidP="00F065BC">
            <w:pPr>
              <w:rPr>
                <w:rFonts w:asciiTheme="majorHAnsi" w:hAnsiTheme="majorHAnsi"/>
                <w:sz w:val="18"/>
                <w:szCs w:val="18"/>
              </w:rPr>
            </w:pPr>
            <w:r w:rsidRPr="0018305E">
              <w:rPr>
                <w:sz w:val="18"/>
                <w:szCs w:val="18"/>
                <w:highlight w:val="cyan"/>
              </w:rPr>
              <w:t>Conclusion/Recommendations: [To be</w:t>
            </w:r>
            <w:r w:rsidR="00F065BC" w:rsidRPr="0018305E">
              <w:rPr>
                <w:sz w:val="18"/>
                <w:szCs w:val="18"/>
                <w:highlight w:val="cyan"/>
              </w:rPr>
              <w:t xml:space="preserve"> Entered by TERC]</w:t>
            </w:r>
          </w:p>
        </w:tc>
      </w:tr>
    </w:tbl>
    <w:p w14:paraId="65500306" w14:textId="77777777" w:rsidR="005B1BBE" w:rsidRDefault="005B1BBE" w:rsidP="00E31C4A">
      <w:pPr>
        <w:rPr>
          <w:rFonts w:asciiTheme="majorHAnsi" w:hAnsiTheme="majorHAnsi"/>
        </w:rPr>
      </w:pPr>
    </w:p>
    <w:p w14:paraId="7EB87A5E" w14:textId="0BF0A87C" w:rsidR="006F4F83" w:rsidRDefault="006F4F83">
      <w:r>
        <w:br w:type="page"/>
      </w:r>
    </w:p>
    <w:p w14:paraId="2A7C60EF" w14:textId="77777777" w:rsidR="005B1BBE" w:rsidRPr="00B22F40" w:rsidRDefault="005B1BBE" w:rsidP="005B1BBE">
      <w:pPr>
        <w:sectPr w:rsidR="005B1BBE" w:rsidRPr="00B22F40" w:rsidSect="00130D9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267" w:left="1440" w:header="720" w:footer="720" w:gutter="0"/>
          <w:cols w:space="720"/>
          <w:docGrid w:linePitch="360"/>
        </w:sectPr>
      </w:pPr>
    </w:p>
    <w:p w14:paraId="7775DB80" w14:textId="77777777" w:rsidR="00291074" w:rsidRPr="00A07439" w:rsidRDefault="00291074" w:rsidP="00291074">
      <w:pPr>
        <w:tabs>
          <w:tab w:val="left" w:pos="7050"/>
        </w:tabs>
        <w:spacing w:after="0"/>
        <w:rPr>
          <w:rFonts w:asciiTheme="majorHAnsi" w:hAnsiTheme="majorHAnsi"/>
          <w:b/>
          <w:color w:val="E36C0A" w:themeColor="accent6" w:themeShade="BF"/>
          <w:sz w:val="28"/>
          <w:szCs w:val="28"/>
        </w:rPr>
      </w:pPr>
      <w:r w:rsidRPr="00A07439">
        <w:rPr>
          <w:rFonts w:asciiTheme="majorHAnsi" w:hAnsiTheme="majorHAnsi"/>
          <w:b/>
          <w:color w:val="E36C0A" w:themeColor="accent6" w:themeShade="BF"/>
          <w:sz w:val="28"/>
          <w:szCs w:val="28"/>
        </w:rPr>
        <w:lastRenderedPageBreak/>
        <w:t>INTRODUCTION</w:t>
      </w:r>
    </w:p>
    <w:p w14:paraId="1A2D271C" w14:textId="20322F92" w:rsidR="00680372" w:rsidRPr="00680372" w:rsidRDefault="00680372" w:rsidP="00680372">
      <w:pPr>
        <w:tabs>
          <w:tab w:val="left" w:pos="7050"/>
        </w:tabs>
        <w:spacing w:after="0"/>
        <w:rPr>
          <w:rFonts w:asciiTheme="majorHAnsi" w:hAnsiTheme="majorHAnsi"/>
          <w:sz w:val="24"/>
          <w:szCs w:val="24"/>
        </w:rPr>
      </w:pPr>
      <w:r w:rsidRPr="00680372">
        <w:rPr>
          <w:rFonts w:asciiTheme="majorHAnsi" w:hAnsiTheme="majorHAnsi"/>
          <w:sz w:val="24"/>
          <w:szCs w:val="24"/>
        </w:rPr>
        <w:t xml:space="preserve">Apportionment formulas are used throughout the country to determine the share of a multistate corporation’s income that an individual state may tax.  </w:t>
      </w:r>
      <w:r w:rsidR="00615758">
        <w:rPr>
          <w:rFonts w:asciiTheme="majorHAnsi" w:hAnsiTheme="majorHAnsi"/>
          <w:sz w:val="24"/>
          <w:szCs w:val="24"/>
        </w:rPr>
        <w:t>Massachusetts employs such formula</w:t>
      </w:r>
      <w:r w:rsidR="00AE67BA">
        <w:rPr>
          <w:rFonts w:asciiTheme="majorHAnsi" w:hAnsiTheme="majorHAnsi"/>
          <w:sz w:val="24"/>
          <w:szCs w:val="24"/>
        </w:rPr>
        <w:t>s</w:t>
      </w:r>
      <w:r w:rsidR="00615758">
        <w:rPr>
          <w:rFonts w:asciiTheme="majorHAnsi" w:hAnsiTheme="majorHAnsi"/>
          <w:sz w:val="24"/>
          <w:szCs w:val="24"/>
        </w:rPr>
        <w:t>.  C</w:t>
      </w:r>
      <w:r w:rsidRPr="00680372">
        <w:rPr>
          <w:rFonts w:asciiTheme="majorHAnsi" w:hAnsiTheme="majorHAnsi"/>
          <w:sz w:val="24"/>
          <w:szCs w:val="24"/>
        </w:rPr>
        <w:t xml:space="preserve">orporations with a presence </w:t>
      </w:r>
      <w:r w:rsidR="00615758">
        <w:rPr>
          <w:rFonts w:asciiTheme="majorHAnsi" w:hAnsiTheme="majorHAnsi"/>
          <w:sz w:val="24"/>
          <w:szCs w:val="24"/>
        </w:rPr>
        <w:t xml:space="preserve">both </w:t>
      </w:r>
      <w:r w:rsidRPr="00680372">
        <w:rPr>
          <w:rFonts w:asciiTheme="majorHAnsi" w:hAnsiTheme="majorHAnsi"/>
          <w:sz w:val="24"/>
          <w:szCs w:val="24"/>
        </w:rPr>
        <w:t xml:space="preserve">in Massachusetts and </w:t>
      </w:r>
      <w:r w:rsidR="00615758">
        <w:rPr>
          <w:rFonts w:asciiTheme="majorHAnsi" w:hAnsiTheme="majorHAnsi"/>
          <w:sz w:val="24"/>
          <w:szCs w:val="24"/>
        </w:rPr>
        <w:t xml:space="preserve">in </w:t>
      </w:r>
      <w:r w:rsidRPr="00680372">
        <w:rPr>
          <w:rFonts w:asciiTheme="majorHAnsi" w:hAnsiTheme="majorHAnsi"/>
          <w:sz w:val="24"/>
          <w:szCs w:val="24"/>
        </w:rPr>
        <w:t>other states generally apportion income to the Commonwealth using a three-factor apportionment formula.  A corporation’s sales, payroll, and property in Massachusetts are compared to those outside Massachusetts</w:t>
      </w:r>
      <w:r w:rsidR="00615758">
        <w:rPr>
          <w:rFonts w:asciiTheme="majorHAnsi" w:hAnsiTheme="majorHAnsi"/>
          <w:sz w:val="24"/>
          <w:szCs w:val="24"/>
        </w:rPr>
        <w:t xml:space="preserve"> and the resulting percentage is applied to total income to determine income taxable in the Commonwealth. </w:t>
      </w:r>
      <w:r w:rsidRPr="00680372">
        <w:rPr>
          <w:rFonts w:asciiTheme="majorHAnsi" w:hAnsiTheme="majorHAnsi"/>
          <w:sz w:val="24"/>
          <w:szCs w:val="24"/>
        </w:rPr>
        <w:t xml:space="preserve">  </w:t>
      </w:r>
    </w:p>
    <w:p w14:paraId="51422DB8" w14:textId="77777777" w:rsidR="00680372" w:rsidRPr="00680372" w:rsidRDefault="00680372" w:rsidP="00680372">
      <w:pPr>
        <w:tabs>
          <w:tab w:val="left" w:pos="7050"/>
        </w:tabs>
        <w:spacing w:after="0"/>
        <w:rPr>
          <w:rFonts w:asciiTheme="majorHAnsi" w:hAnsiTheme="majorHAnsi"/>
          <w:sz w:val="24"/>
          <w:szCs w:val="24"/>
        </w:rPr>
      </w:pPr>
    </w:p>
    <w:p w14:paraId="72E0CFCC" w14:textId="6A5D8CEA" w:rsidR="00680372" w:rsidRPr="00680372" w:rsidRDefault="00680372" w:rsidP="00680372">
      <w:pPr>
        <w:tabs>
          <w:tab w:val="left" w:pos="7050"/>
        </w:tabs>
        <w:spacing w:after="0"/>
        <w:rPr>
          <w:rFonts w:asciiTheme="majorHAnsi" w:hAnsiTheme="majorHAnsi"/>
          <w:sz w:val="24"/>
          <w:szCs w:val="24"/>
        </w:rPr>
      </w:pPr>
      <w:r w:rsidRPr="00680372">
        <w:rPr>
          <w:rFonts w:asciiTheme="majorHAnsi" w:hAnsiTheme="majorHAnsi"/>
          <w:sz w:val="24"/>
          <w:szCs w:val="24"/>
        </w:rPr>
        <w:t xml:space="preserve">Double-Weighted Sales </w:t>
      </w:r>
      <w:r w:rsidR="00094767">
        <w:rPr>
          <w:rFonts w:asciiTheme="majorHAnsi" w:hAnsiTheme="majorHAnsi"/>
          <w:sz w:val="24"/>
          <w:szCs w:val="24"/>
        </w:rPr>
        <w:t>F</w:t>
      </w:r>
      <w:r w:rsidR="00403889">
        <w:rPr>
          <w:rFonts w:asciiTheme="majorHAnsi" w:hAnsiTheme="majorHAnsi"/>
          <w:sz w:val="24"/>
          <w:szCs w:val="24"/>
        </w:rPr>
        <w:t>actor</w:t>
      </w:r>
    </w:p>
    <w:p w14:paraId="3590AACA" w14:textId="64F45AC9" w:rsidR="00680372" w:rsidRPr="00680372" w:rsidRDefault="00680372" w:rsidP="00680372">
      <w:pPr>
        <w:tabs>
          <w:tab w:val="left" w:pos="7050"/>
        </w:tabs>
        <w:spacing w:after="0"/>
        <w:rPr>
          <w:rFonts w:asciiTheme="majorHAnsi" w:hAnsiTheme="majorHAnsi"/>
          <w:sz w:val="24"/>
          <w:szCs w:val="24"/>
        </w:rPr>
      </w:pPr>
      <w:r w:rsidRPr="00680372">
        <w:rPr>
          <w:rFonts w:asciiTheme="majorHAnsi" w:hAnsiTheme="majorHAnsi"/>
          <w:sz w:val="24"/>
          <w:szCs w:val="24"/>
        </w:rPr>
        <w:t>An apportionment calculation that count</w:t>
      </w:r>
      <w:r w:rsidR="00615758">
        <w:rPr>
          <w:rFonts w:asciiTheme="majorHAnsi" w:hAnsiTheme="majorHAnsi"/>
          <w:sz w:val="24"/>
          <w:szCs w:val="24"/>
        </w:rPr>
        <w:t xml:space="preserve">s </w:t>
      </w:r>
      <w:r w:rsidRPr="00680372">
        <w:rPr>
          <w:rFonts w:asciiTheme="majorHAnsi" w:hAnsiTheme="majorHAnsi"/>
          <w:sz w:val="24"/>
          <w:szCs w:val="24"/>
        </w:rPr>
        <w:t xml:space="preserve">the sales factor twice (so-called “double-weighted sales”) was adopted for most business corporations beginning with taxable years ending on or after December 31, 1976. </w:t>
      </w:r>
      <w:r w:rsidR="00615758">
        <w:rPr>
          <w:rFonts w:asciiTheme="majorHAnsi" w:hAnsiTheme="majorHAnsi"/>
          <w:sz w:val="24"/>
          <w:szCs w:val="24"/>
        </w:rPr>
        <w:t xml:space="preserve">Companies </w:t>
      </w:r>
      <w:r w:rsidRPr="00680372">
        <w:rPr>
          <w:rFonts w:asciiTheme="majorHAnsi" w:hAnsiTheme="majorHAnsi"/>
          <w:sz w:val="24"/>
          <w:szCs w:val="24"/>
        </w:rPr>
        <w:t xml:space="preserve">with property and payroll in Massachusetts </w:t>
      </w:r>
      <w:r w:rsidR="00615758">
        <w:rPr>
          <w:rFonts w:asciiTheme="majorHAnsi" w:hAnsiTheme="majorHAnsi"/>
          <w:sz w:val="24"/>
          <w:szCs w:val="24"/>
        </w:rPr>
        <w:t xml:space="preserve">and sales in other states </w:t>
      </w:r>
      <w:r w:rsidRPr="00680372">
        <w:rPr>
          <w:rFonts w:asciiTheme="majorHAnsi" w:hAnsiTheme="majorHAnsi"/>
          <w:sz w:val="24"/>
          <w:szCs w:val="24"/>
        </w:rPr>
        <w:t>tend to benefit from an apportionment formula that weights sales more heavily than the other factors. On the other hand, businesses located outside of the state with a large volume of sales into Massachusetts are hurt by double-weighted sales</w:t>
      </w:r>
      <w:r w:rsidR="00A41E49">
        <w:rPr>
          <w:rFonts w:asciiTheme="majorHAnsi" w:hAnsiTheme="majorHAnsi"/>
          <w:sz w:val="24"/>
          <w:szCs w:val="24"/>
        </w:rPr>
        <w:t xml:space="preserve"> factor </w:t>
      </w:r>
      <w:r w:rsidR="00B02B52">
        <w:rPr>
          <w:rFonts w:asciiTheme="majorHAnsi" w:hAnsiTheme="majorHAnsi"/>
          <w:sz w:val="24"/>
          <w:szCs w:val="24"/>
        </w:rPr>
        <w:t>formula</w:t>
      </w:r>
      <w:r w:rsidRPr="00680372">
        <w:rPr>
          <w:rFonts w:asciiTheme="majorHAnsi" w:hAnsiTheme="majorHAnsi"/>
          <w:sz w:val="24"/>
          <w:szCs w:val="24"/>
        </w:rPr>
        <w:t xml:space="preserve">. On balance, </w:t>
      </w:r>
      <w:r w:rsidR="00AE67BA">
        <w:rPr>
          <w:rFonts w:asciiTheme="majorHAnsi" w:hAnsiTheme="majorHAnsi"/>
          <w:sz w:val="24"/>
          <w:szCs w:val="24"/>
        </w:rPr>
        <w:t xml:space="preserve">apportionment with </w:t>
      </w:r>
      <w:r w:rsidRPr="00680372">
        <w:rPr>
          <w:rFonts w:asciiTheme="majorHAnsi" w:hAnsiTheme="majorHAnsi"/>
          <w:sz w:val="24"/>
          <w:szCs w:val="24"/>
        </w:rPr>
        <w:t>double-weighted sales</w:t>
      </w:r>
      <w:r w:rsidR="00AE67BA">
        <w:rPr>
          <w:rFonts w:asciiTheme="majorHAnsi" w:hAnsiTheme="majorHAnsi"/>
          <w:sz w:val="24"/>
          <w:szCs w:val="24"/>
        </w:rPr>
        <w:t xml:space="preserve"> factor</w:t>
      </w:r>
      <w:r w:rsidRPr="00680372">
        <w:rPr>
          <w:rFonts w:asciiTheme="majorHAnsi" w:hAnsiTheme="majorHAnsi"/>
          <w:sz w:val="24"/>
          <w:szCs w:val="24"/>
        </w:rPr>
        <w:t xml:space="preserve"> is a</w:t>
      </w:r>
      <w:r w:rsidR="00615758">
        <w:rPr>
          <w:rFonts w:asciiTheme="majorHAnsi" w:hAnsiTheme="majorHAnsi"/>
          <w:sz w:val="24"/>
          <w:szCs w:val="24"/>
        </w:rPr>
        <w:t xml:space="preserve"> tax</w:t>
      </w:r>
      <w:r w:rsidRPr="00680372">
        <w:rPr>
          <w:rFonts w:asciiTheme="majorHAnsi" w:hAnsiTheme="majorHAnsi"/>
          <w:sz w:val="24"/>
          <w:szCs w:val="24"/>
        </w:rPr>
        <w:t xml:space="preserve"> expenditure.</w:t>
      </w:r>
    </w:p>
    <w:p w14:paraId="09F4CD98" w14:textId="77777777" w:rsidR="00680372" w:rsidRPr="00680372" w:rsidRDefault="00680372" w:rsidP="00680372">
      <w:pPr>
        <w:tabs>
          <w:tab w:val="left" w:pos="7050"/>
        </w:tabs>
        <w:spacing w:after="0"/>
        <w:rPr>
          <w:rFonts w:asciiTheme="majorHAnsi" w:hAnsiTheme="majorHAnsi"/>
          <w:sz w:val="24"/>
          <w:szCs w:val="24"/>
        </w:rPr>
      </w:pPr>
    </w:p>
    <w:p w14:paraId="0F7FFB44" w14:textId="77777777" w:rsidR="00680372" w:rsidRPr="00680372" w:rsidRDefault="00680372" w:rsidP="00680372">
      <w:pPr>
        <w:tabs>
          <w:tab w:val="left" w:pos="7050"/>
        </w:tabs>
        <w:spacing w:after="0"/>
        <w:rPr>
          <w:rFonts w:asciiTheme="majorHAnsi" w:hAnsiTheme="majorHAnsi"/>
          <w:sz w:val="24"/>
          <w:szCs w:val="24"/>
        </w:rPr>
      </w:pPr>
      <w:r w:rsidRPr="00680372">
        <w:rPr>
          <w:rFonts w:asciiTheme="majorHAnsi" w:hAnsiTheme="majorHAnsi"/>
          <w:sz w:val="24"/>
          <w:szCs w:val="24"/>
        </w:rPr>
        <w:t>Single-Sales Factor</w:t>
      </w:r>
    </w:p>
    <w:p w14:paraId="3BD71846" w14:textId="7F1C9BFA" w:rsidR="00680372" w:rsidRPr="00680372" w:rsidRDefault="00680372" w:rsidP="00680372">
      <w:pPr>
        <w:tabs>
          <w:tab w:val="left" w:pos="7050"/>
        </w:tabs>
        <w:spacing w:after="0"/>
        <w:rPr>
          <w:rFonts w:asciiTheme="majorHAnsi" w:hAnsiTheme="majorHAnsi"/>
          <w:sz w:val="24"/>
          <w:szCs w:val="24"/>
        </w:rPr>
      </w:pPr>
      <w:r w:rsidRPr="00680372">
        <w:rPr>
          <w:rFonts w:asciiTheme="majorHAnsi" w:hAnsiTheme="majorHAnsi"/>
          <w:sz w:val="24"/>
          <w:szCs w:val="24"/>
        </w:rPr>
        <w:t>Certain corporations are permitted to apportion their income using only the sales factor (so-called “single-sales factor”</w:t>
      </w:r>
      <w:r w:rsidR="00615758">
        <w:rPr>
          <w:rFonts w:asciiTheme="majorHAnsi" w:hAnsiTheme="majorHAnsi"/>
          <w:sz w:val="24"/>
          <w:szCs w:val="24"/>
        </w:rPr>
        <w:t xml:space="preserve"> apportionment</w:t>
      </w:r>
      <w:r w:rsidRPr="00680372">
        <w:rPr>
          <w:rFonts w:asciiTheme="majorHAnsi" w:hAnsiTheme="majorHAnsi"/>
          <w:sz w:val="24"/>
          <w:szCs w:val="24"/>
        </w:rPr>
        <w:t xml:space="preserve">).  </w:t>
      </w:r>
    </w:p>
    <w:p w14:paraId="45CB1497" w14:textId="77777777" w:rsidR="00680372" w:rsidRPr="00680372" w:rsidRDefault="00680372" w:rsidP="00680372">
      <w:pPr>
        <w:tabs>
          <w:tab w:val="left" w:pos="7050"/>
        </w:tabs>
        <w:spacing w:after="0"/>
        <w:rPr>
          <w:rFonts w:asciiTheme="majorHAnsi" w:hAnsiTheme="majorHAnsi"/>
          <w:sz w:val="24"/>
          <w:szCs w:val="24"/>
        </w:rPr>
      </w:pPr>
    </w:p>
    <w:p w14:paraId="1AE1B28F" w14:textId="4C38F1FB" w:rsidR="00680372" w:rsidRPr="00680372" w:rsidRDefault="00680372" w:rsidP="00680372">
      <w:pPr>
        <w:tabs>
          <w:tab w:val="left" w:pos="7050"/>
        </w:tabs>
        <w:spacing w:after="0"/>
        <w:rPr>
          <w:rFonts w:asciiTheme="majorHAnsi" w:hAnsiTheme="majorHAnsi"/>
          <w:sz w:val="24"/>
          <w:szCs w:val="24"/>
        </w:rPr>
      </w:pPr>
      <w:r w:rsidRPr="00680372">
        <w:rPr>
          <w:rFonts w:asciiTheme="majorHAnsi" w:hAnsiTheme="majorHAnsi"/>
          <w:sz w:val="24"/>
          <w:szCs w:val="24"/>
        </w:rPr>
        <w:t xml:space="preserve">Eligible defense corporations </w:t>
      </w:r>
      <w:r w:rsidR="00457817">
        <w:rPr>
          <w:rFonts w:asciiTheme="majorHAnsi" w:hAnsiTheme="majorHAnsi"/>
          <w:sz w:val="24"/>
          <w:szCs w:val="24"/>
        </w:rPr>
        <w:t>were permitted to</w:t>
      </w:r>
      <w:r w:rsidRPr="00680372">
        <w:rPr>
          <w:rFonts w:asciiTheme="majorHAnsi" w:hAnsiTheme="majorHAnsi"/>
          <w:sz w:val="24"/>
          <w:szCs w:val="24"/>
        </w:rPr>
        <w:t xml:space="preserve"> apportion using a single-sales factor formula </w:t>
      </w:r>
      <w:r w:rsidR="00457817">
        <w:rPr>
          <w:rFonts w:asciiTheme="majorHAnsi" w:hAnsiTheme="majorHAnsi"/>
          <w:sz w:val="24"/>
          <w:szCs w:val="24"/>
        </w:rPr>
        <w:t xml:space="preserve">starting in </w:t>
      </w:r>
      <w:r w:rsidRPr="00680372">
        <w:rPr>
          <w:rFonts w:asciiTheme="majorHAnsi" w:hAnsiTheme="majorHAnsi"/>
          <w:sz w:val="24"/>
          <w:szCs w:val="24"/>
        </w:rPr>
        <w:t xml:space="preserve">1996.  Single-sales factor </w:t>
      </w:r>
      <w:r w:rsidR="00457817">
        <w:rPr>
          <w:rFonts w:asciiTheme="majorHAnsi" w:hAnsiTheme="majorHAnsi"/>
          <w:sz w:val="24"/>
          <w:szCs w:val="24"/>
        </w:rPr>
        <w:t xml:space="preserve">apportionment </w:t>
      </w:r>
      <w:r w:rsidRPr="00680372">
        <w:rPr>
          <w:rFonts w:asciiTheme="majorHAnsi" w:hAnsiTheme="majorHAnsi"/>
          <w:sz w:val="24"/>
          <w:szCs w:val="24"/>
        </w:rPr>
        <w:t xml:space="preserve">was extended to other qualified manufacturers </w:t>
      </w:r>
      <w:r w:rsidR="00ED0296">
        <w:rPr>
          <w:rFonts w:asciiTheme="majorHAnsi" w:hAnsiTheme="majorHAnsi"/>
          <w:sz w:val="24"/>
          <w:szCs w:val="24"/>
        </w:rPr>
        <w:t xml:space="preserve">(referred to in this report as “section 38 manufacturers”) </w:t>
      </w:r>
      <w:r w:rsidR="00457817">
        <w:rPr>
          <w:rFonts w:asciiTheme="majorHAnsi" w:hAnsiTheme="majorHAnsi"/>
          <w:sz w:val="24"/>
          <w:szCs w:val="24"/>
        </w:rPr>
        <w:t>in</w:t>
      </w:r>
      <w:r w:rsidRPr="00680372">
        <w:rPr>
          <w:rFonts w:asciiTheme="majorHAnsi" w:hAnsiTheme="majorHAnsi"/>
          <w:sz w:val="24"/>
          <w:szCs w:val="24"/>
        </w:rPr>
        <w:t xml:space="preserve"> 2000. </w:t>
      </w:r>
      <w:r w:rsidR="008B1BA8">
        <w:rPr>
          <w:rFonts w:asciiTheme="majorHAnsi" w:hAnsiTheme="majorHAnsi"/>
          <w:sz w:val="24"/>
          <w:szCs w:val="24"/>
        </w:rPr>
        <w:t xml:space="preserve"> Starting in</w:t>
      </w:r>
      <w:r w:rsidRPr="00680372">
        <w:rPr>
          <w:rFonts w:asciiTheme="majorHAnsi" w:hAnsiTheme="majorHAnsi"/>
          <w:sz w:val="24"/>
          <w:szCs w:val="24"/>
        </w:rPr>
        <w:t xml:space="preserve"> 1997, corporations that perform services for </w:t>
      </w:r>
      <w:r w:rsidR="00527275">
        <w:rPr>
          <w:rFonts w:asciiTheme="majorHAnsi" w:hAnsiTheme="majorHAnsi"/>
          <w:sz w:val="24"/>
          <w:szCs w:val="24"/>
        </w:rPr>
        <w:t xml:space="preserve">a </w:t>
      </w:r>
      <w:r w:rsidRPr="00680372">
        <w:rPr>
          <w:rFonts w:asciiTheme="majorHAnsi" w:hAnsiTheme="majorHAnsi"/>
          <w:sz w:val="24"/>
          <w:szCs w:val="24"/>
        </w:rPr>
        <w:t xml:space="preserve">mutual fund </w:t>
      </w:r>
      <w:proofErr w:type="gramStart"/>
      <w:r w:rsidRPr="00680372">
        <w:rPr>
          <w:rFonts w:asciiTheme="majorHAnsi" w:hAnsiTheme="majorHAnsi"/>
          <w:sz w:val="24"/>
          <w:szCs w:val="24"/>
        </w:rPr>
        <w:t>are allowed to</w:t>
      </w:r>
      <w:proofErr w:type="gramEnd"/>
      <w:r w:rsidRPr="00680372">
        <w:rPr>
          <w:rFonts w:asciiTheme="majorHAnsi" w:hAnsiTheme="majorHAnsi"/>
          <w:sz w:val="24"/>
          <w:szCs w:val="24"/>
        </w:rPr>
        <w:t xml:space="preserve"> apportion their income to Massachusetts based solely on the percentage of </w:t>
      </w:r>
      <w:r w:rsidR="008B1BA8">
        <w:rPr>
          <w:rFonts w:asciiTheme="majorHAnsi" w:hAnsiTheme="majorHAnsi"/>
          <w:sz w:val="24"/>
          <w:szCs w:val="24"/>
        </w:rPr>
        <w:t xml:space="preserve">the mutual fund’s </w:t>
      </w:r>
      <w:r w:rsidR="00527275">
        <w:rPr>
          <w:rFonts w:asciiTheme="majorHAnsi" w:hAnsiTheme="majorHAnsi"/>
          <w:sz w:val="24"/>
          <w:szCs w:val="24"/>
        </w:rPr>
        <w:t xml:space="preserve">shareholders that are </w:t>
      </w:r>
      <w:r w:rsidRPr="00680372">
        <w:rPr>
          <w:rFonts w:asciiTheme="majorHAnsi" w:hAnsiTheme="majorHAnsi"/>
          <w:sz w:val="24"/>
          <w:szCs w:val="24"/>
        </w:rPr>
        <w:t>Massachusetts residents.</w:t>
      </w:r>
    </w:p>
    <w:p w14:paraId="5F8BD949" w14:textId="77777777" w:rsidR="00680372" w:rsidRPr="00680372" w:rsidRDefault="00680372" w:rsidP="00680372">
      <w:pPr>
        <w:tabs>
          <w:tab w:val="left" w:pos="7050"/>
        </w:tabs>
        <w:spacing w:after="0"/>
        <w:rPr>
          <w:rFonts w:asciiTheme="majorHAnsi" w:hAnsiTheme="majorHAnsi"/>
          <w:sz w:val="24"/>
          <w:szCs w:val="24"/>
        </w:rPr>
      </w:pPr>
    </w:p>
    <w:p w14:paraId="77E559ED" w14:textId="4057BBBF" w:rsidR="00A317AE" w:rsidRPr="00003FFA" w:rsidRDefault="00680372" w:rsidP="00680372">
      <w:pPr>
        <w:tabs>
          <w:tab w:val="left" w:pos="7050"/>
        </w:tabs>
        <w:spacing w:after="0"/>
        <w:rPr>
          <w:rFonts w:asciiTheme="majorHAnsi" w:hAnsiTheme="majorHAnsi"/>
          <w:sz w:val="24"/>
          <w:szCs w:val="24"/>
        </w:rPr>
      </w:pPr>
      <w:r w:rsidRPr="00680372">
        <w:rPr>
          <w:rFonts w:asciiTheme="majorHAnsi" w:hAnsiTheme="majorHAnsi"/>
          <w:sz w:val="24"/>
          <w:szCs w:val="24"/>
        </w:rPr>
        <w:t>As is the case with double-weighted sales</w:t>
      </w:r>
      <w:r w:rsidR="001D0C79">
        <w:rPr>
          <w:rFonts w:asciiTheme="majorHAnsi" w:hAnsiTheme="majorHAnsi"/>
          <w:sz w:val="24"/>
          <w:szCs w:val="24"/>
        </w:rPr>
        <w:t xml:space="preserve"> factor</w:t>
      </w:r>
      <w:r w:rsidRPr="00680372">
        <w:rPr>
          <w:rFonts w:asciiTheme="majorHAnsi" w:hAnsiTheme="majorHAnsi"/>
          <w:sz w:val="24"/>
          <w:szCs w:val="24"/>
        </w:rPr>
        <w:t xml:space="preserve">, not all corporations that apportion using single-sales factor benefit from the rule, </w:t>
      </w:r>
      <w:proofErr w:type="gramStart"/>
      <w:r w:rsidRPr="00680372">
        <w:rPr>
          <w:rFonts w:asciiTheme="majorHAnsi" w:hAnsiTheme="majorHAnsi"/>
          <w:sz w:val="24"/>
          <w:szCs w:val="24"/>
        </w:rPr>
        <w:t>in particular those</w:t>
      </w:r>
      <w:proofErr w:type="gramEnd"/>
      <w:r w:rsidRPr="00680372">
        <w:rPr>
          <w:rFonts w:asciiTheme="majorHAnsi" w:hAnsiTheme="majorHAnsi"/>
          <w:sz w:val="24"/>
          <w:szCs w:val="24"/>
        </w:rPr>
        <w:t xml:space="preserve"> that are located outside of Massachusetts. However, on balance</w:t>
      </w:r>
      <w:r w:rsidR="00343908">
        <w:rPr>
          <w:rFonts w:asciiTheme="majorHAnsi" w:hAnsiTheme="majorHAnsi"/>
          <w:sz w:val="24"/>
          <w:szCs w:val="24"/>
        </w:rPr>
        <w:t>,</w:t>
      </w:r>
      <w:r w:rsidRPr="00680372">
        <w:rPr>
          <w:rFonts w:asciiTheme="majorHAnsi" w:hAnsiTheme="majorHAnsi"/>
          <w:sz w:val="24"/>
          <w:szCs w:val="24"/>
        </w:rPr>
        <w:t xml:space="preserve"> single-sales factor</w:t>
      </w:r>
      <w:r w:rsidR="009976CF">
        <w:rPr>
          <w:rFonts w:asciiTheme="majorHAnsi" w:hAnsiTheme="majorHAnsi"/>
          <w:sz w:val="24"/>
          <w:szCs w:val="24"/>
        </w:rPr>
        <w:t xml:space="preserve"> apportionment</w:t>
      </w:r>
      <w:r w:rsidRPr="00680372">
        <w:rPr>
          <w:rFonts w:asciiTheme="majorHAnsi" w:hAnsiTheme="majorHAnsi"/>
          <w:sz w:val="24"/>
          <w:szCs w:val="24"/>
        </w:rPr>
        <w:t xml:space="preserve"> is a </w:t>
      </w:r>
      <w:r w:rsidR="001D0C79">
        <w:rPr>
          <w:rFonts w:asciiTheme="majorHAnsi" w:hAnsiTheme="majorHAnsi"/>
          <w:sz w:val="24"/>
          <w:szCs w:val="24"/>
        </w:rPr>
        <w:t xml:space="preserve">tax </w:t>
      </w:r>
      <w:r w:rsidRPr="00680372">
        <w:rPr>
          <w:rFonts w:asciiTheme="majorHAnsi" w:hAnsiTheme="majorHAnsi"/>
          <w:sz w:val="24"/>
          <w:szCs w:val="24"/>
        </w:rPr>
        <w:t>expenditure.</w:t>
      </w:r>
    </w:p>
    <w:p w14:paraId="1ABD5303" w14:textId="77777777" w:rsidR="00E970CC" w:rsidRDefault="00E970CC" w:rsidP="00E970CC">
      <w:pPr>
        <w:tabs>
          <w:tab w:val="left" w:pos="7050"/>
        </w:tabs>
        <w:spacing w:after="0"/>
        <w:rPr>
          <w:rFonts w:asciiTheme="majorHAnsi" w:hAnsiTheme="majorHAnsi"/>
          <w:sz w:val="24"/>
          <w:szCs w:val="24"/>
        </w:rPr>
      </w:pPr>
    </w:p>
    <w:p w14:paraId="0DF38A0A" w14:textId="77777777" w:rsidR="006D622A" w:rsidRDefault="006D622A" w:rsidP="00291074">
      <w:pPr>
        <w:tabs>
          <w:tab w:val="left" w:pos="7050"/>
        </w:tabs>
        <w:spacing w:after="0"/>
        <w:rPr>
          <w:rFonts w:asciiTheme="majorHAnsi" w:hAnsiTheme="majorHAnsi"/>
          <w:sz w:val="24"/>
          <w:szCs w:val="24"/>
        </w:rPr>
      </w:pPr>
    </w:p>
    <w:p w14:paraId="1BF7B28F" w14:textId="529600C9" w:rsidR="00291074" w:rsidRPr="00A07439" w:rsidRDefault="002D2430" w:rsidP="00291074">
      <w:pPr>
        <w:tabs>
          <w:tab w:val="left" w:pos="7050"/>
        </w:tabs>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POLICY GOAL</w:t>
      </w:r>
      <w:r w:rsidR="001E7804">
        <w:rPr>
          <w:rFonts w:asciiTheme="majorHAnsi" w:hAnsiTheme="majorHAnsi"/>
          <w:b/>
          <w:color w:val="E36C0A" w:themeColor="accent6" w:themeShade="BF"/>
          <w:sz w:val="28"/>
          <w:szCs w:val="28"/>
        </w:rPr>
        <w:t>S</w:t>
      </w:r>
    </w:p>
    <w:p w14:paraId="386D8B44" w14:textId="7C6D5EA1" w:rsidR="00291074" w:rsidRDefault="00680372" w:rsidP="00291074">
      <w:pPr>
        <w:tabs>
          <w:tab w:val="left" w:pos="7050"/>
        </w:tabs>
        <w:spacing w:after="0"/>
        <w:rPr>
          <w:rFonts w:asciiTheme="majorHAnsi" w:eastAsiaTheme="majorEastAsia" w:hAnsiTheme="majorHAnsi" w:cstheme="majorBidi"/>
          <w:bCs/>
          <w:color w:val="000000" w:themeColor="text1"/>
          <w:sz w:val="24"/>
          <w:szCs w:val="24"/>
        </w:rPr>
      </w:pPr>
      <w:r w:rsidRPr="00680372">
        <w:rPr>
          <w:rFonts w:asciiTheme="majorHAnsi" w:eastAsiaTheme="majorEastAsia" w:hAnsiTheme="majorHAnsi" w:cstheme="majorBidi"/>
          <w:bCs/>
          <w:color w:val="000000" w:themeColor="text1"/>
          <w:sz w:val="24"/>
          <w:szCs w:val="24"/>
        </w:rPr>
        <w:t xml:space="preserve">The statute does not explicitly state the purpose of this tax expenditure.  The theory behind reducing or eliminating the consideration of property and payroll in </w:t>
      </w:r>
      <w:r w:rsidR="00527275">
        <w:rPr>
          <w:rFonts w:asciiTheme="majorHAnsi" w:eastAsiaTheme="majorEastAsia" w:hAnsiTheme="majorHAnsi" w:cstheme="majorBidi"/>
          <w:bCs/>
          <w:color w:val="000000" w:themeColor="text1"/>
          <w:sz w:val="24"/>
          <w:szCs w:val="24"/>
        </w:rPr>
        <w:t>determining</w:t>
      </w:r>
      <w:r w:rsidRPr="00680372">
        <w:rPr>
          <w:rFonts w:asciiTheme="majorHAnsi" w:eastAsiaTheme="majorEastAsia" w:hAnsiTheme="majorHAnsi" w:cstheme="majorBidi"/>
          <w:bCs/>
          <w:color w:val="000000" w:themeColor="text1"/>
          <w:sz w:val="24"/>
          <w:szCs w:val="24"/>
        </w:rPr>
        <w:t xml:space="preserve"> a state </w:t>
      </w:r>
      <w:r w:rsidRPr="00680372">
        <w:rPr>
          <w:rFonts w:asciiTheme="majorHAnsi" w:eastAsiaTheme="majorEastAsia" w:hAnsiTheme="majorHAnsi" w:cstheme="majorBidi"/>
          <w:bCs/>
          <w:color w:val="000000" w:themeColor="text1"/>
          <w:sz w:val="24"/>
          <w:szCs w:val="24"/>
        </w:rPr>
        <w:lastRenderedPageBreak/>
        <w:t xml:space="preserve">apportionment formula is to encourage corporations to increase </w:t>
      </w:r>
      <w:r w:rsidR="000044C6">
        <w:rPr>
          <w:rFonts w:asciiTheme="majorHAnsi" w:eastAsiaTheme="majorEastAsia" w:hAnsiTheme="majorHAnsi" w:cstheme="majorBidi"/>
          <w:bCs/>
          <w:color w:val="000000" w:themeColor="text1"/>
          <w:sz w:val="24"/>
          <w:szCs w:val="24"/>
        </w:rPr>
        <w:t xml:space="preserve">or maintain </w:t>
      </w:r>
      <w:r w:rsidRPr="00680372">
        <w:rPr>
          <w:rFonts w:asciiTheme="majorHAnsi" w:eastAsiaTheme="majorEastAsia" w:hAnsiTheme="majorHAnsi" w:cstheme="majorBidi"/>
          <w:bCs/>
          <w:color w:val="000000" w:themeColor="text1"/>
          <w:sz w:val="24"/>
          <w:szCs w:val="24"/>
        </w:rPr>
        <w:t>their physical footprint</w:t>
      </w:r>
      <w:r w:rsidR="00DF73F0">
        <w:rPr>
          <w:rFonts w:asciiTheme="majorHAnsi" w:eastAsiaTheme="majorEastAsia" w:hAnsiTheme="majorHAnsi" w:cstheme="majorBidi"/>
          <w:bCs/>
          <w:color w:val="000000" w:themeColor="text1"/>
          <w:sz w:val="24"/>
          <w:szCs w:val="24"/>
        </w:rPr>
        <w:t xml:space="preserve"> and employment</w:t>
      </w:r>
      <w:r w:rsidRPr="00680372">
        <w:rPr>
          <w:rFonts w:asciiTheme="majorHAnsi" w:eastAsiaTheme="majorEastAsia" w:hAnsiTheme="majorHAnsi" w:cstheme="majorBidi"/>
          <w:bCs/>
          <w:color w:val="000000" w:themeColor="text1"/>
          <w:sz w:val="24"/>
          <w:szCs w:val="24"/>
        </w:rPr>
        <w:t xml:space="preserve"> in a state </w:t>
      </w:r>
      <w:r w:rsidR="000044C6">
        <w:rPr>
          <w:rFonts w:asciiTheme="majorHAnsi" w:eastAsiaTheme="majorEastAsia" w:hAnsiTheme="majorHAnsi" w:cstheme="majorBidi"/>
          <w:bCs/>
          <w:color w:val="000000" w:themeColor="text1"/>
          <w:sz w:val="24"/>
          <w:szCs w:val="24"/>
        </w:rPr>
        <w:t xml:space="preserve">by giving </w:t>
      </w:r>
      <w:r w:rsidRPr="00680372">
        <w:rPr>
          <w:rFonts w:asciiTheme="majorHAnsi" w:eastAsiaTheme="majorEastAsia" w:hAnsiTheme="majorHAnsi" w:cstheme="majorBidi"/>
          <w:bCs/>
          <w:color w:val="000000" w:themeColor="text1"/>
          <w:sz w:val="24"/>
          <w:szCs w:val="24"/>
        </w:rPr>
        <w:t xml:space="preserve">those items less weight </w:t>
      </w:r>
      <w:r w:rsidR="000044C6">
        <w:rPr>
          <w:rFonts w:asciiTheme="majorHAnsi" w:eastAsiaTheme="majorEastAsia" w:hAnsiTheme="majorHAnsi" w:cstheme="majorBidi"/>
          <w:bCs/>
          <w:color w:val="000000" w:themeColor="text1"/>
          <w:sz w:val="24"/>
          <w:szCs w:val="24"/>
        </w:rPr>
        <w:t xml:space="preserve">in the formula.  </w:t>
      </w:r>
    </w:p>
    <w:p w14:paraId="4334574C" w14:textId="026D94BB" w:rsidR="00680372" w:rsidRDefault="00680372" w:rsidP="00291074">
      <w:pPr>
        <w:tabs>
          <w:tab w:val="left" w:pos="7050"/>
        </w:tabs>
        <w:spacing w:after="0"/>
        <w:rPr>
          <w:rFonts w:asciiTheme="majorHAnsi" w:eastAsiaTheme="majorEastAsia" w:hAnsiTheme="majorHAnsi" w:cstheme="majorBidi"/>
          <w:bCs/>
          <w:color w:val="000000" w:themeColor="text1"/>
          <w:sz w:val="24"/>
          <w:szCs w:val="24"/>
        </w:rPr>
      </w:pPr>
    </w:p>
    <w:p w14:paraId="503C6DEC" w14:textId="77777777" w:rsidR="00E970CC" w:rsidRDefault="00E970CC" w:rsidP="00E970CC">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noProof/>
          <w:color w:val="000000" w:themeColor="text1"/>
          <w:sz w:val="24"/>
          <w:szCs w:val="24"/>
        </w:rPr>
        <w:t>Arel-Bundock and Parinandi (</w:t>
      </w:r>
      <w:r w:rsidRPr="00BA1CE8">
        <w:rPr>
          <w:rFonts w:asciiTheme="majorHAnsi" w:eastAsiaTheme="majorEastAsia" w:hAnsiTheme="majorHAnsi" w:cstheme="majorBidi"/>
          <w:noProof/>
          <w:color w:val="000000" w:themeColor="text1"/>
          <w:sz w:val="24"/>
          <w:szCs w:val="24"/>
        </w:rPr>
        <w:t>2018)</w:t>
      </w:r>
      <w:r>
        <w:rPr>
          <w:rFonts w:asciiTheme="majorHAnsi" w:eastAsiaTheme="majorEastAsia" w:hAnsiTheme="majorHAnsi" w:cstheme="majorBidi"/>
          <w:noProof/>
          <w:color w:val="000000" w:themeColor="text1"/>
          <w:sz w:val="24"/>
          <w:szCs w:val="24"/>
        </w:rPr>
        <w:t xml:space="preserve"> explain the characteristics of formulary apportionment as follows: A</w:t>
      </w:r>
      <w:r w:rsidRPr="00903F0F">
        <w:rPr>
          <w:rFonts w:asciiTheme="majorHAnsi" w:eastAsiaTheme="majorEastAsia" w:hAnsiTheme="majorHAnsi" w:cstheme="majorBidi"/>
          <w:bCs/>
          <w:color w:val="000000" w:themeColor="text1"/>
          <w:sz w:val="24"/>
          <w:szCs w:val="24"/>
        </w:rPr>
        <w:t xml:space="preserve"> corporate income tax that is </w:t>
      </w:r>
      <w:r>
        <w:rPr>
          <w:rFonts w:asciiTheme="majorHAnsi" w:eastAsiaTheme="majorEastAsia" w:hAnsiTheme="majorHAnsi" w:cstheme="majorBidi"/>
          <w:bCs/>
          <w:color w:val="000000" w:themeColor="text1"/>
          <w:sz w:val="24"/>
          <w:szCs w:val="24"/>
        </w:rPr>
        <w:t xml:space="preserve">allocated </w:t>
      </w:r>
      <w:r w:rsidRPr="00903F0F">
        <w:rPr>
          <w:rFonts w:asciiTheme="majorHAnsi" w:eastAsiaTheme="majorEastAsia" w:hAnsiTheme="majorHAnsi" w:cstheme="majorBidi"/>
          <w:bCs/>
          <w:color w:val="000000" w:themeColor="text1"/>
          <w:sz w:val="24"/>
          <w:szCs w:val="24"/>
        </w:rPr>
        <w:t xml:space="preserve">using </w:t>
      </w:r>
      <w:r>
        <w:rPr>
          <w:rFonts w:asciiTheme="majorHAnsi" w:eastAsiaTheme="majorEastAsia" w:hAnsiTheme="majorHAnsi" w:cstheme="majorBidi"/>
          <w:bCs/>
          <w:color w:val="000000" w:themeColor="text1"/>
          <w:sz w:val="24"/>
          <w:szCs w:val="24"/>
        </w:rPr>
        <w:t xml:space="preserve">an additive apportionment formula </w:t>
      </w:r>
      <w:proofErr w:type="gramStart"/>
      <w:r w:rsidRPr="00903F0F">
        <w:rPr>
          <w:rFonts w:asciiTheme="majorHAnsi" w:eastAsiaTheme="majorEastAsia" w:hAnsiTheme="majorHAnsi" w:cstheme="majorBidi"/>
          <w:bCs/>
          <w:color w:val="000000" w:themeColor="text1"/>
          <w:sz w:val="24"/>
          <w:szCs w:val="24"/>
        </w:rPr>
        <w:t>can be seen as</w:t>
      </w:r>
      <w:proofErr w:type="gramEnd"/>
      <w:r w:rsidRPr="00903F0F">
        <w:rPr>
          <w:rFonts w:asciiTheme="majorHAnsi" w:eastAsiaTheme="majorEastAsia" w:hAnsiTheme="majorHAnsi" w:cstheme="majorBidi"/>
          <w:bCs/>
          <w:color w:val="000000" w:themeColor="text1"/>
          <w:sz w:val="24"/>
          <w:szCs w:val="24"/>
        </w:rPr>
        <w:t xml:space="preserve"> three separate taxes</w:t>
      </w:r>
      <w:r>
        <w:rPr>
          <w:rFonts w:asciiTheme="majorHAnsi" w:eastAsiaTheme="majorEastAsia" w:hAnsiTheme="majorHAnsi" w:cstheme="majorBidi"/>
          <w:bCs/>
          <w:color w:val="000000" w:themeColor="text1"/>
          <w:sz w:val="24"/>
          <w:szCs w:val="24"/>
        </w:rPr>
        <w:t xml:space="preserve"> based</w:t>
      </w:r>
      <w:r w:rsidRPr="00903F0F">
        <w:rPr>
          <w:rFonts w:asciiTheme="majorHAnsi" w:eastAsiaTheme="majorEastAsia" w:hAnsiTheme="majorHAnsi" w:cstheme="majorBidi"/>
          <w:bCs/>
          <w:color w:val="000000" w:themeColor="text1"/>
          <w:sz w:val="24"/>
          <w:szCs w:val="24"/>
        </w:rPr>
        <w:t xml:space="preserve"> on th</w:t>
      </w:r>
      <w:r>
        <w:rPr>
          <w:rFonts w:asciiTheme="majorHAnsi" w:eastAsiaTheme="majorEastAsia" w:hAnsiTheme="majorHAnsi" w:cstheme="majorBidi"/>
          <w:bCs/>
          <w:color w:val="000000" w:themeColor="text1"/>
          <w:sz w:val="24"/>
          <w:szCs w:val="24"/>
        </w:rPr>
        <w:t>ose factors</w:t>
      </w:r>
      <w:r w:rsidRPr="00903F0F">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I</w:t>
      </w:r>
      <w:r w:rsidRPr="00903F0F">
        <w:rPr>
          <w:rFonts w:asciiTheme="majorHAnsi" w:eastAsiaTheme="majorEastAsia" w:hAnsiTheme="majorHAnsi" w:cstheme="majorBidi"/>
          <w:bCs/>
          <w:color w:val="000000" w:themeColor="text1"/>
          <w:sz w:val="24"/>
          <w:szCs w:val="24"/>
        </w:rPr>
        <w:t xml:space="preserve">ncreasing the sales weight </w:t>
      </w:r>
      <w:r>
        <w:rPr>
          <w:rFonts w:asciiTheme="majorHAnsi" w:eastAsiaTheme="majorEastAsia" w:hAnsiTheme="majorHAnsi" w:cstheme="majorBidi"/>
          <w:bCs/>
          <w:color w:val="000000" w:themeColor="text1"/>
          <w:sz w:val="24"/>
          <w:szCs w:val="24"/>
        </w:rPr>
        <w:t xml:space="preserve">results in turning </w:t>
      </w:r>
      <w:r w:rsidRPr="00903F0F">
        <w:rPr>
          <w:rFonts w:asciiTheme="majorHAnsi" w:eastAsiaTheme="majorEastAsia" w:hAnsiTheme="majorHAnsi" w:cstheme="majorBidi"/>
          <w:bCs/>
          <w:color w:val="000000" w:themeColor="text1"/>
          <w:sz w:val="24"/>
          <w:szCs w:val="24"/>
        </w:rPr>
        <w:t xml:space="preserve">the </w:t>
      </w:r>
      <w:r>
        <w:rPr>
          <w:rFonts w:asciiTheme="majorHAnsi" w:eastAsiaTheme="majorEastAsia" w:hAnsiTheme="majorHAnsi" w:cstheme="majorBidi"/>
          <w:bCs/>
          <w:color w:val="000000" w:themeColor="text1"/>
          <w:sz w:val="24"/>
          <w:szCs w:val="24"/>
        </w:rPr>
        <w:t xml:space="preserve">income measure of the </w:t>
      </w:r>
      <w:r w:rsidRPr="00903F0F">
        <w:rPr>
          <w:rFonts w:asciiTheme="majorHAnsi" w:eastAsiaTheme="majorEastAsia" w:hAnsiTheme="majorHAnsi" w:cstheme="majorBidi"/>
          <w:bCs/>
          <w:color w:val="000000" w:themeColor="text1"/>
          <w:sz w:val="24"/>
          <w:szCs w:val="24"/>
        </w:rPr>
        <w:t xml:space="preserve">corporate </w:t>
      </w:r>
      <w:r>
        <w:rPr>
          <w:rFonts w:asciiTheme="majorHAnsi" w:eastAsiaTheme="majorEastAsia" w:hAnsiTheme="majorHAnsi" w:cstheme="majorBidi"/>
          <w:bCs/>
          <w:color w:val="000000" w:themeColor="text1"/>
          <w:sz w:val="24"/>
          <w:szCs w:val="24"/>
        </w:rPr>
        <w:t>excise tax</w:t>
      </w:r>
      <w:r w:rsidRPr="00903F0F">
        <w:rPr>
          <w:rFonts w:asciiTheme="majorHAnsi" w:eastAsiaTheme="majorEastAsia" w:hAnsiTheme="majorHAnsi" w:cstheme="majorBidi"/>
          <w:bCs/>
          <w:color w:val="000000" w:themeColor="text1"/>
          <w:sz w:val="24"/>
          <w:szCs w:val="24"/>
        </w:rPr>
        <w:t xml:space="preserve"> into a</w:t>
      </w:r>
      <w:r>
        <w:rPr>
          <w:rFonts w:asciiTheme="majorHAnsi" w:eastAsiaTheme="majorEastAsia" w:hAnsiTheme="majorHAnsi" w:cstheme="majorBidi"/>
          <w:bCs/>
          <w:color w:val="000000" w:themeColor="text1"/>
          <w:sz w:val="24"/>
          <w:szCs w:val="24"/>
        </w:rPr>
        <w:t xml:space="preserve"> sort of</w:t>
      </w:r>
      <w:r w:rsidRPr="00903F0F">
        <w:rPr>
          <w:rFonts w:asciiTheme="majorHAnsi" w:eastAsiaTheme="majorEastAsia" w:hAnsiTheme="majorHAnsi" w:cstheme="majorBidi"/>
          <w:bCs/>
          <w:color w:val="000000" w:themeColor="text1"/>
          <w:sz w:val="24"/>
          <w:szCs w:val="24"/>
        </w:rPr>
        <w:t xml:space="preserve"> sales tax.</w:t>
      </w:r>
      <w:r>
        <w:rPr>
          <w:rFonts w:asciiTheme="majorHAnsi" w:eastAsiaTheme="majorEastAsia" w:hAnsiTheme="majorHAnsi" w:cstheme="majorBidi"/>
          <w:bCs/>
          <w:color w:val="000000" w:themeColor="text1"/>
          <w:sz w:val="24"/>
          <w:szCs w:val="24"/>
        </w:rPr>
        <w:t xml:space="preserve"> T</w:t>
      </w:r>
      <w:r w:rsidRPr="00903F0F">
        <w:rPr>
          <w:rFonts w:asciiTheme="majorHAnsi" w:eastAsiaTheme="majorEastAsia" w:hAnsiTheme="majorHAnsi" w:cstheme="majorBidi"/>
          <w:bCs/>
          <w:color w:val="000000" w:themeColor="text1"/>
          <w:sz w:val="24"/>
          <w:szCs w:val="24"/>
        </w:rPr>
        <w:t xml:space="preserve">his could have </w:t>
      </w:r>
      <w:r>
        <w:rPr>
          <w:rFonts w:asciiTheme="majorHAnsi" w:eastAsiaTheme="majorEastAsia" w:hAnsiTheme="majorHAnsi" w:cstheme="majorBidi"/>
          <w:bCs/>
          <w:color w:val="000000" w:themeColor="text1"/>
          <w:sz w:val="24"/>
          <w:szCs w:val="24"/>
        </w:rPr>
        <w:t xml:space="preserve">regressive </w:t>
      </w:r>
      <w:r w:rsidRPr="00903F0F">
        <w:rPr>
          <w:rFonts w:asciiTheme="majorHAnsi" w:eastAsiaTheme="majorEastAsia" w:hAnsiTheme="majorHAnsi" w:cstheme="majorBidi"/>
          <w:bCs/>
          <w:color w:val="000000" w:themeColor="text1"/>
          <w:sz w:val="24"/>
          <w:szCs w:val="24"/>
        </w:rPr>
        <w:t xml:space="preserve">distributional </w:t>
      </w:r>
      <w:proofErr w:type="gramStart"/>
      <w:r>
        <w:rPr>
          <w:rFonts w:asciiTheme="majorHAnsi" w:eastAsiaTheme="majorEastAsia" w:hAnsiTheme="majorHAnsi" w:cstheme="majorBidi"/>
          <w:bCs/>
          <w:color w:val="000000" w:themeColor="text1"/>
          <w:sz w:val="24"/>
          <w:szCs w:val="24"/>
        </w:rPr>
        <w:t>effects</w:t>
      </w:r>
      <w:r w:rsidRPr="00903F0F">
        <w:rPr>
          <w:rFonts w:asciiTheme="majorHAnsi" w:eastAsiaTheme="majorEastAsia" w:hAnsiTheme="majorHAnsi" w:cstheme="majorBidi"/>
          <w:bCs/>
          <w:color w:val="000000" w:themeColor="text1"/>
          <w:sz w:val="24"/>
          <w:szCs w:val="24"/>
        </w:rPr>
        <w:t>, because</w:t>
      </w:r>
      <w:proofErr w:type="gramEnd"/>
      <w:r w:rsidRPr="00903F0F">
        <w:rPr>
          <w:rFonts w:asciiTheme="majorHAnsi" w:eastAsiaTheme="majorEastAsia" w:hAnsiTheme="majorHAnsi" w:cstheme="majorBidi"/>
          <w:bCs/>
          <w:color w:val="000000" w:themeColor="text1"/>
          <w:sz w:val="24"/>
          <w:szCs w:val="24"/>
        </w:rPr>
        <w:t xml:space="preserve"> sales taxes </w:t>
      </w:r>
      <w:r>
        <w:rPr>
          <w:rFonts w:asciiTheme="majorHAnsi" w:eastAsiaTheme="majorEastAsia" w:hAnsiTheme="majorHAnsi" w:cstheme="majorBidi"/>
          <w:bCs/>
          <w:color w:val="000000" w:themeColor="text1"/>
          <w:sz w:val="24"/>
          <w:szCs w:val="24"/>
        </w:rPr>
        <w:t xml:space="preserve">are </w:t>
      </w:r>
      <w:r w:rsidRPr="00903F0F">
        <w:rPr>
          <w:rFonts w:asciiTheme="majorHAnsi" w:eastAsiaTheme="majorEastAsia" w:hAnsiTheme="majorHAnsi" w:cstheme="majorBidi"/>
          <w:bCs/>
          <w:color w:val="000000" w:themeColor="text1"/>
          <w:sz w:val="24"/>
          <w:szCs w:val="24"/>
        </w:rPr>
        <w:t>regressive</w:t>
      </w:r>
      <w:r>
        <w:rPr>
          <w:rFonts w:asciiTheme="majorHAnsi" w:eastAsiaTheme="majorEastAsia" w:hAnsiTheme="majorHAnsi" w:cstheme="majorBidi"/>
          <w:bCs/>
          <w:color w:val="000000" w:themeColor="text1"/>
          <w:sz w:val="24"/>
          <w:szCs w:val="24"/>
        </w:rPr>
        <w:t xml:space="preserve"> in general</w:t>
      </w:r>
      <w:r w:rsidRPr="00903F0F">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T</w:t>
      </w:r>
      <w:r w:rsidRPr="00903F0F">
        <w:rPr>
          <w:rFonts w:asciiTheme="majorHAnsi" w:eastAsiaTheme="majorEastAsia" w:hAnsiTheme="majorHAnsi" w:cstheme="majorBidi"/>
          <w:bCs/>
          <w:color w:val="000000" w:themeColor="text1"/>
          <w:sz w:val="24"/>
          <w:szCs w:val="24"/>
        </w:rPr>
        <w:t>he payroll and property weights</w:t>
      </w:r>
      <w:r>
        <w:rPr>
          <w:rFonts w:asciiTheme="majorHAnsi" w:eastAsiaTheme="majorEastAsia" w:hAnsiTheme="majorHAnsi" w:cstheme="majorBidi"/>
          <w:bCs/>
          <w:color w:val="000000" w:themeColor="text1"/>
          <w:sz w:val="24"/>
          <w:szCs w:val="24"/>
        </w:rPr>
        <w:t xml:space="preserve"> </w:t>
      </w:r>
      <w:r w:rsidRPr="00903F0F">
        <w:rPr>
          <w:rFonts w:asciiTheme="majorHAnsi" w:eastAsiaTheme="majorEastAsia" w:hAnsiTheme="majorHAnsi" w:cstheme="majorBidi"/>
          <w:bCs/>
          <w:color w:val="000000" w:themeColor="text1"/>
          <w:sz w:val="24"/>
          <w:szCs w:val="24"/>
        </w:rPr>
        <w:t>can</w:t>
      </w:r>
      <w:r>
        <w:rPr>
          <w:rFonts w:asciiTheme="majorHAnsi" w:eastAsiaTheme="majorEastAsia" w:hAnsiTheme="majorHAnsi" w:cstheme="majorBidi"/>
          <w:bCs/>
          <w:color w:val="000000" w:themeColor="text1"/>
          <w:sz w:val="24"/>
          <w:szCs w:val="24"/>
        </w:rPr>
        <w:t xml:space="preserve"> </w:t>
      </w:r>
      <w:r w:rsidRPr="00903F0F">
        <w:rPr>
          <w:rFonts w:asciiTheme="majorHAnsi" w:eastAsiaTheme="majorEastAsia" w:hAnsiTheme="majorHAnsi" w:cstheme="majorBidi"/>
          <w:bCs/>
          <w:color w:val="000000" w:themeColor="text1"/>
          <w:sz w:val="24"/>
          <w:szCs w:val="24"/>
        </w:rPr>
        <w:t xml:space="preserve">be viewed as </w:t>
      </w:r>
      <w:r>
        <w:rPr>
          <w:rFonts w:asciiTheme="majorHAnsi" w:eastAsiaTheme="majorEastAsia" w:hAnsiTheme="majorHAnsi" w:cstheme="majorBidi"/>
          <w:bCs/>
          <w:color w:val="000000" w:themeColor="text1"/>
          <w:sz w:val="24"/>
          <w:szCs w:val="24"/>
        </w:rPr>
        <w:t xml:space="preserve">similar to </w:t>
      </w:r>
      <w:r w:rsidRPr="00903F0F">
        <w:rPr>
          <w:rFonts w:asciiTheme="majorHAnsi" w:eastAsiaTheme="majorEastAsia" w:hAnsiTheme="majorHAnsi" w:cstheme="majorBidi"/>
          <w:bCs/>
          <w:color w:val="000000" w:themeColor="text1"/>
          <w:sz w:val="24"/>
          <w:szCs w:val="24"/>
        </w:rPr>
        <w:t>taxes on employment and capital</w:t>
      </w:r>
      <w:r>
        <w:rPr>
          <w:rFonts w:asciiTheme="majorHAnsi" w:eastAsiaTheme="majorEastAsia" w:hAnsiTheme="majorHAnsi" w:cstheme="majorBidi"/>
          <w:bCs/>
          <w:color w:val="000000" w:themeColor="text1"/>
          <w:sz w:val="24"/>
          <w:szCs w:val="24"/>
        </w:rPr>
        <w:t xml:space="preserve"> respectively, which implies </w:t>
      </w:r>
      <w:r w:rsidRPr="00903F0F">
        <w:rPr>
          <w:rFonts w:asciiTheme="majorHAnsi" w:eastAsiaTheme="majorEastAsia" w:hAnsiTheme="majorHAnsi" w:cstheme="majorBidi"/>
          <w:bCs/>
          <w:color w:val="000000" w:themeColor="text1"/>
          <w:sz w:val="24"/>
          <w:szCs w:val="24"/>
        </w:rPr>
        <w:t>that high payroll and property formula weights could discourage ﬁrms from expanding their production operations in states that use an equal-weights formula</w:t>
      </w:r>
      <w:r>
        <w:rPr>
          <w:rFonts w:asciiTheme="majorHAnsi" w:eastAsiaTheme="majorEastAsia" w:hAnsiTheme="majorHAnsi" w:cstheme="majorBidi"/>
          <w:bCs/>
          <w:color w:val="000000" w:themeColor="text1"/>
          <w:sz w:val="24"/>
          <w:szCs w:val="24"/>
        </w:rPr>
        <w:t xml:space="preserve">, while </w:t>
      </w:r>
      <w:r w:rsidRPr="00903F0F">
        <w:rPr>
          <w:rFonts w:asciiTheme="majorHAnsi" w:eastAsiaTheme="majorEastAsia" w:hAnsiTheme="majorHAnsi" w:cstheme="majorBidi"/>
          <w:bCs/>
          <w:color w:val="000000" w:themeColor="text1"/>
          <w:sz w:val="24"/>
          <w:szCs w:val="24"/>
        </w:rPr>
        <w:t>increasing the sales weight and reducing the payroll and property weights could attract investment in capital and labor.</w:t>
      </w:r>
    </w:p>
    <w:p w14:paraId="40EF82E1" w14:textId="77777777" w:rsidR="00E970CC" w:rsidRDefault="00E970CC" w:rsidP="00291074">
      <w:pPr>
        <w:tabs>
          <w:tab w:val="left" w:pos="7050"/>
        </w:tabs>
        <w:spacing w:after="0"/>
        <w:rPr>
          <w:rFonts w:asciiTheme="majorHAnsi" w:eastAsiaTheme="majorEastAsia" w:hAnsiTheme="majorHAnsi" w:cstheme="majorBidi"/>
          <w:bCs/>
          <w:color w:val="000000" w:themeColor="text1"/>
          <w:sz w:val="24"/>
          <w:szCs w:val="24"/>
        </w:rPr>
      </w:pPr>
    </w:p>
    <w:p w14:paraId="5E27FB9E" w14:textId="77777777" w:rsidR="00680372" w:rsidRDefault="00680372" w:rsidP="00291074">
      <w:pPr>
        <w:tabs>
          <w:tab w:val="left" w:pos="7050"/>
        </w:tabs>
        <w:spacing w:after="0"/>
        <w:rPr>
          <w:rFonts w:asciiTheme="majorHAnsi" w:eastAsiaTheme="majorEastAsia" w:hAnsiTheme="majorHAnsi" w:cstheme="majorBidi"/>
          <w:bCs/>
          <w:color w:val="000000" w:themeColor="text1"/>
          <w:sz w:val="24"/>
          <w:szCs w:val="24"/>
        </w:rPr>
      </w:pPr>
    </w:p>
    <w:p w14:paraId="0104E77A" w14:textId="265C6C1D" w:rsidR="00836462" w:rsidRPr="00A07439" w:rsidRDefault="001E7804" w:rsidP="00836462">
      <w:pPr>
        <w:tabs>
          <w:tab w:val="left" w:pos="7050"/>
        </w:tabs>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 xml:space="preserve">DIRECT </w:t>
      </w:r>
      <w:r w:rsidR="00836462" w:rsidRPr="00A07439">
        <w:rPr>
          <w:rFonts w:asciiTheme="majorHAnsi" w:hAnsiTheme="majorHAnsi"/>
          <w:b/>
          <w:color w:val="E36C0A" w:themeColor="accent6" w:themeShade="BF"/>
          <w:sz w:val="28"/>
          <w:szCs w:val="28"/>
        </w:rPr>
        <w:t xml:space="preserve">COSTS </w:t>
      </w:r>
    </w:p>
    <w:p w14:paraId="26B4147C" w14:textId="22C3C61D" w:rsidR="00E673A2" w:rsidRDefault="00371FF8" w:rsidP="00291074">
      <w:pPr>
        <w:spacing w:after="0"/>
        <w:rPr>
          <w:rFonts w:asciiTheme="majorHAnsi" w:eastAsiaTheme="majorEastAsia" w:hAnsiTheme="majorHAnsi" w:cstheme="majorBidi"/>
          <w:bCs/>
          <w:color w:val="000000" w:themeColor="text1"/>
          <w:sz w:val="24"/>
          <w:szCs w:val="24"/>
        </w:rPr>
      </w:pPr>
      <w:r w:rsidRPr="00D137A5">
        <w:rPr>
          <w:rFonts w:asciiTheme="majorHAnsi" w:eastAsiaTheme="majorEastAsia" w:hAnsiTheme="majorHAnsi" w:cstheme="majorBidi"/>
          <w:bCs/>
          <w:color w:val="000000" w:themeColor="text1"/>
          <w:sz w:val="24"/>
          <w:szCs w:val="24"/>
        </w:rPr>
        <w:t xml:space="preserve">Higher sales </w:t>
      </w:r>
      <w:r w:rsidR="000044C6">
        <w:rPr>
          <w:rFonts w:asciiTheme="majorHAnsi" w:eastAsiaTheme="majorEastAsia" w:hAnsiTheme="majorHAnsi" w:cstheme="majorBidi"/>
          <w:bCs/>
          <w:color w:val="000000" w:themeColor="text1"/>
          <w:sz w:val="24"/>
          <w:szCs w:val="24"/>
        </w:rPr>
        <w:t xml:space="preserve">factor </w:t>
      </w:r>
      <w:r w:rsidRPr="00D137A5">
        <w:rPr>
          <w:rFonts w:asciiTheme="majorHAnsi" w:eastAsiaTheme="majorEastAsia" w:hAnsiTheme="majorHAnsi" w:cstheme="majorBidi"/>
          <w:bCs/>
          <w:color w:val="000000" w:themeColor="text1"/>
          <w:sz w:val="24"/>
          <w:szCs w:val="24"/>
        </w:rPr>
        <w:t>weight</w:t>
      </w:r>
      <w:r w:rsidR="000044C6">
        <w:rPr>
          <w:rFonts w:asciiTheme="majorHAnsi" w:eastAsiaTheme="majorEastAsia" w:hAnsiTheme="majorHAnsi" w:cstheme="majorBidi"/>
          <w:bCs/>
          <w:color w:val="000000" w:themeColor="text1"/>
          <w:sz w:val="24"/>
          <w:szCs w:val="24"/>
        </w:rPr>
        <w:t>ing</w:t>
      </w:r>
      <w:r w:rsidRPr="00D137A5">
        <w:rPr>
          <w:rFonts w:asciiTheme="majorHAnsi" w:eastAsiaTheme="majorEastAsia" w:hAnsiTheme="majorHAnsi" w:cstheme="majorBidi"/>
          <w:bCs/>
          <w:color w:val="000000" w:themeColor="text1"/>
          <w:sz w:val="24"/>
          <w:szCs w:val="24"/>
        </w:rPr>
        <w:t xml:space="preserve"> </w:t>
      </w:r>
      <w:r w:rsidR="000044C6">
        <w:rPr>
          <w:rFonts w:asciiTheme="majorHAnsi" w:eastAsiaTheme="majorEastAsia" w:hAnsiTheme="majorHAnsi" w:cstheme="majorBidi"/>
          <w:bCs/>
          <w:color w:val="000000" w:themeColor="text1"/>
          <w:sz w:val="24"/>
          <w:szCs w:val="24"/>
        </w:rPr>
        <w:t xml:space="preserve">is </w:t>
      </w:r>
      <w:r w:rsidR="009768F1">
        <w:rPr>
          <w:rFonts w:asciiTheme="majorHAnsi" w:eastAsiaTheme="majorEastAsia" w:hAnsiTheme="majorHAnsi" w:cstheme="majorBidi"/>
          <w:bCs/>
          <w:color w:val="000000" w:themeColor="text1"/>
          <w:sz w:val="24"/>
          <w:szCs w:val="24"/>
        </w:rPr>
        <w:t xml:space="preserve">generally </w:t>
      </w:r>
      <w:r w:rsidRPr="00D137A5">
        <w:rPr>
          <w:rFonts w:asciiTheme="majorHAnsi" w:eastAsiaTheme="majorEastAsia" w:hAnsiTheme="majorHAnsi" w:cstheme="majorBidi"/>
          <w:bCs/>
          <w:color w:val="000000" w:themeColor="text1"/>
          <w:sz w:val="24"/>
          <w:szCs w:val="24"/>
        </w:rPr>
        <w:t xml:space="preserve">associated with lower </w:t>
      </w:r>
      <w:r w:rsidR="00AF07C1">
        <w:rPr>
          <w:rFonts w:asciiTheme="majorHAnsi" w:eastAsiaTheme="majorEastAsia" w:hAnsiTheme="majorHAnsi" w:cstheme="majorBidi"/>
          <w:bCs/>
          <w:color w:val="000000" w:themeColor="text1"/>
          <w:sz w:val="24"/>
          <w:szCs w:val="24"/>
        </w:rPr>
        <w:t xml:space="preserve">tax </w:t>
      </w:r>
      <w:r w:rsidRPr="00D137A5">
        <w:rPr>
          <w:rFonts w:asciiTheme="majorHAnsi" w:eastAsiaTheme="majorEastAsia" w:hAnsiTheme="majorHAnsi" w:cstheme="majorBidi"/>
          <w:bCs/>
          <w:color w:val="000000" w:themeColor="text1"/>
          <w:sz w:val="24"/>
          <w:szCs w:val="24"/>
        </w:rPr>
        <w:t>revenues</w:t>
      </w:r>
      <w:r w:rsidR="00C51AC7">
        <w:rPr>
          <w:rFonts w:asciiTheme="majorHAnsi" w:eastAsiaTheme="majorEastAsia" w:hAnsiTheme="majorHAnsi" w:cstheme="majorBidi"/>
          <w:bCs/>
          <w:color w:val="000000" w:themeColor="text1"/>
          <w:sz w:val="24"/>
          <w:szCs w:val="24"/>
        </w:rPr>
        <w:t>, as</w:t>
      </w:r>
      <w:r w:rsidR="00DF73F0">
        <w:rPr>
          <w:rFonts w:asciiTheme="majorHAnsi" w:eastAsiaTheme="majorEastAsia" w:hAnsiTheme="majorHAnsi" w:cstheme="majorBidi"/>
          <w:bCs/>
          <w:color w:val="000000" w:themeColor="text1"/>
          <w:sz w:val="24"/>
          <w:szCs w:val="24"/>
        </w:rPr>
        <w:t xml:space="preserve"> </w:t>
      </w:r>
      <w:r w:rsidR="009768F1">
        <w:rPr>
          <w:rFonts w:asciiTheme="majorHAnsi" w:eastAsiaTheme="majorEastAsia" w:hAnsiTheme="majorHAnsi" w:cstheme="majorBidi"/>
          <w:bCs/>
          <w:color w:val="000000" w:themeColor="text1"/>
          <w:sz w:val="24"/>
          <w:szCs w:val="24"/>
        </w:rPr>
        <w:t>confirmed by empirical studies</w:t>
      </w:r>
      <w:r w:rsidR="00C51AC7">
        <w:rPr>
          <w:rFonts w:asciiTheme="majorHAnsi" w:eastAsiaTheme="majorEastAsia" w:hAnsiTheme="majorHAnsi" w:cstheme="majorBidi"/>
          <w:bCs/>
          <w:color w:val="000000" w:themeColor="text1"/>
          <w:sz w:val="24"/>
          <w:szCs w:val="24"/>
        </w:rPr>
        <w:t xml:space="preserve"> </w:t>
      </w:r>
      <w:r w:rsidR="009768F1">
        <w:rPr>
          <w:rFonts w:asciiTheme="majorHAnsi" w:eastAsiaTheme="majorEastAsia" w:hAnsiTheme="majorHAnsi" w:cstheme="majorBidi"/>
          <w:bCs/>
          <w:color w:val="000000" w:themeColor="text1"/>
          <w:sz w:val="24"/>
          <w:szCs w:val="24"/>
        </w:rPr>
        <w:t>(</w:t>
      </w:r>
      <w:r w:rsidR="002630C2">
        <w:rPr>
          <w:rFonts w:asciiTheme="majorHAnsi" w:eastAsiaTheme="majorEastAsia" w:hAnsiTheme="majorHAnsi" w:cstheme="majorBidi"/>
          <w:bCs/>
          <w:color w:val="000000" w:themeColor="text1"/>
          <w:sz w:val="24"/>
          <w:szCs w:val="24"/>
        </w:rPr>
        <w:t xml:space="preserve">for example, </w:t>
      </w:r>
      <w:r w:rsidR="00C51AC7" w:rsidRPr="00BA1CE8">
        <w:rPr>
          <w:rFonts w:asciiTheme="majorHAnsi" w:eastAsiaTheme="majorEastAsia" w:hAnsiTheme="majorHAnsi" w:cstheme="majorBidi"/>
          <w:noProof/>
          <w:color w:val="000000" w:themeColor="text1"/>
          <w:sz w:val="24"/>
          <w:szCs w:val="24"/>
        </w:rPr>
        <w:t>Clausing</w:t>
      </w:r>
      <w:r w:rsidR="008800ED">
        <w:rPr>
          <w:rFonts w:asciiTheme="majorHAnsi" w:eastAsiaTheme="majorEastAsia" w:hAnsiTheme="majorHAnsi" w:cstheme="majorBidi"/>
          <w:noProof/>
          <w:color w:val="000000" w:themeColor="text1"/>
          <w:sz w:val="24"/>
          <w:szCs w:val="24"/>
        </w:rPr>
        <w:t xml:space="preserve"> </w:t>
      </w:r>
      <w:r w:rsidR="00C51AC7">
        <w:rPr>
          <w:rFonts w:asciiTheme="majorHAnsi" w:eastAsiaTheme="majorEastAsia" w:hAnsiTheme="majorHAnsi" w:cstheme="majorBidi"/>
          <w:noProof/>
          <w:color w:val="000000" w:themeColor="text1"/>
          <w:sz w:val="24"/>
          <w:szCs w:val="24"/>
        </w:rPr>
        <w:t>(</w:t>
      </w:r>
      <w:r w:rsidR="00C51AC7" w:rsidRPr="00BA1CE8">
        <w:rPr>
          <w:rFonts w:asciiTheme="majorHAnsi" w:eastAsiaTheme="majorEastAsia" w:hAnsiTheme="majorHAnsi" w:cstheme="majorBidi"/>
          <w:noProof/>
          <w:color w:val="000000" w:themeColor="text1"/>
          <w:sz w:val="24"/>
          <w:szCs w:val="24"/>
        </w:rPr>
        <w:t>2016)</w:t>
      </w:r>
      <w:r w:rsidRPr="006D622A">
        <w:rPr>
          <w:rFonts w:asciiTheme="majorHAnsi" w:eastAsiaTheme="majorEastAsia" w:hAnsiTheme="majorHAnsi" w:cstheme="majorBidi"/>
          <w:bCs/>
          <w:color w:val="000000" w:themeColor="text1"/>
          <w:sz w:val="24"/>
          <w:szCs w:val="24"/>
        </w:rPr>
        <w:t xml:space="preserve"> </w:t>
      </w:r>
      <w:r w:rsidR="00C51AC7">
        <w:rPr>
          <w:rFonts w:asciiTheme="majorHAnsi" w:eastAsiaTheme="majorEastAsia" w:hAnsiTheme="majorHAnsi" w:cstheme="majorBidi"/>
          <w:bCs/>
          <w:color w:val="000000" w:themeColor="text1"/>
          <w:sz w:val="24"/>
          <w:szCs w:val="24"/>
        </w:rPr>
        <w:t xml:space="preserve">and </w:t>
      </w:r>
      <w:r w:rsidR="008800ED">
        <w:rPr>
          <w:rFonts w:asciiTheme="majorHAnsi" w:eastAsiaTheme="majorEastAsia" w:hAnsiTheme="majorHAnsi" w:cstheme="majorBidi"/>
          <w:noProof/>
          <w:color w:val="000000" w:themeColor="text1"/>
          <w:sz w:val="24"/>
          <w:szCs w:val="24"/>
        </w:rPr>
        <w:t>Arel-Bundock</w:t>
      </w:r>
      <w:r w:rsidR="00C51AC7">
        <w:rPr>
          <w:rFonts w:asciiTheme="majorHAnsi" w:eastAsiaTheme="majorEastAsia" w:hAnsiTheme="majorHAnsi" w:cstheme="majorBidi"/>
          <w:noProof/>
          <w:color w:val="000000" w:themeColor="text1"/>
          <w:sz w:val="24"/>
          <w:szCs w:val="24"/>
        </w:rPr>
        <w:t xml:space="preserve"> and </w:t>
      </w:r>
      <w:r w:rsidR="008800ED">
        <w:rPr>
          <w:rFonts w:asciiTheme="majorHAnsi" w:eastAsiaTheme="majorEastAsia" w:hAnsiTheme="majorHAnsi" w:cstheme="majorBidi"/>
          <w:noProof/>
          <w:color w:val="000000" w:themeColor="text1"/>
          <w:sz w:val="24"/>
          <w:szCs w:val="24"/>
        </w:rPr>
        <w:t xml:space="preserve">Parinandi </w:t>
      </w:r>
      <w:r w:rsidR="00C51AC7">
        <w:rPr>
          <w:rFonts w:asciiTheme="majorHAnsi" w:eastAsiaTheme="majorEastAsia" w:hAnsiTheme="majorHAnsi" w:cstheme="majorBidi"/>
          <w:noProof/>
          <w:color w:val="000000" w:themeColor="text1"/>
          <w:sz w:val="24"/>
          <w:szCs w:val="24"/>
        </w:rPr>
        <w:t>(</w:t>
      </w:r>
      <w:r w:rsidR="00C51AC7" w:rsidRPr="00BA1CE8">
        <w:rPr>
          <w:rFonts w:asciiTheme="majorHAnsi" w:eastAsiaTheme="majorEastAsia" w:hAnsiTheme="majorHAnsi" w:cstheme="majorBidi"/>
          <w:noProof/>
          <w:color w:val="000000" w:themeColor="text1"/>
          <w:sz w:val="24"/>
          <w:szCs w:val="24"/>
        </w:rPr>
        <w:t>2018)</w:t>
      </w:r>
      <w:r w:rsidR="009768F1">
        <w:rPr>
          <w:rFonts w:asciiTheme="majorHAnsi" w:eastAsiaTheme="majorEastAsia" w:hAnsiTheme="majorHAnsi" w:cstheme="majorBidi"/>
          <w:noProof/>
          <w:color w:val="000000" w:themeColor="text1"/>
          <w:sz w:val="24"/>
          <w:szCs w:val="24"/>
        </w:rPr>
        <w:t>)</w:t>
      </w:r>
      <w:r w:rsidR="00C51AC7">
        <w:rPr>
          <w:rFonts w:asciiTheme="majorHAnsi" w:eastAsiaTheme="majorEastAsia" w:hAnsiTheme="majorHAnsi" w:cstheme="majorBidi"/>
          <w:noProof/>
          <w:color w:val="000000" w:themeColor="text1"/>
          <w:sz w:val="24"/>
          <w:szCs w:val="24"/>
        </w:rPr>
        <w:t xml:space="preserve">. </w:t>
      </w:r>
      <w:r w:rsidR="009768F1">
        <w:rPr>
          <w:rFonts w:asciiTheme="majorHAnsi" w:eastAsiaTheme="majorEastAsia" w:hAnsiTheme="majorHAnsi" w:cstheme="majorBidi"/>
          <w:noProof/>
          <w:color w:val="000000" w:themeColor="text1"/>
          <w:sz w:val="24"/>
          <w:szCs w:val="24"/>
        </w:rPr>
        <w:t xml:space="preserve">For Massachusetts, </w:t>
      </w:r>
      <w:r w:rsidR="009768F1">
        <w:rPr>
          <w:rFonts w:asciiTheme="majorHAnsi" w:eastAsiaTheme="majorEastAsia" w:hAnsiTheme="majorHAnsi" w:cstheme="majorBidi"/>
          <w:bCs/>
          <w:color w:val="000000" w:themeColor="text1"/>
          <w:sz w:val="24"/>
          <w:szCs w:val="24"/>
        </w:rPr>
        <w:t>t</w:t>
      </w:r>
      <w:r w:rsidR="006D622A" w:rsidRPr="006D622A">
        <w:rPr>
          <w:rFonts w:asciiTheme="majorHAnsi" w:eastAsiaTheme="majorEastAsia" w:hAnsiTheme="majorHAnsi" w:cstheme="majorBidi"/>
          <w:bCs/>
          <w:color w:val="000000" w:themeColor="text1"/>
          <w:sz w:val="24"/>
          <w:szCs w:val="24"/>
        </w:rPr>
        <w:t>he revenue loss</w:t>
      </w:r>
      <w:r w:rsidR="00130D9D">
        <w:rPr>
          <w:rFonts w:asciiTheme="majorHAnsi" w:eastAsiaTheme="majorEastAsia" w:hAnsiTheme="majorHAnsi" w:cstheme="majorBidi"/>
          <w:bCs/>
          <w:color w:val="000000" w:themeColor="text1"/>
          <w:sz w:val="24"/>
          <w:szCs w:val="24"/>
        </w:rPr>
        <w:t xml:space="preserve"> resulting from </w:t>
      </w:r>
      <w:r w:rsidR="00B47018">
        <w:rPr>
          <w:rFonts w:asciiTheme="majorHAnsi" w:eastAsiaTheme="majorEastAsia" w:hAnsiTheme="majorHAnsi" w:cstheme="majorBidi"/>
          <w:bCs/>
          <w:color w:val="000000" w:themeColor="text1"/>
          <w:sz w:val="24"/>
          <w:szCs w:val="24"/>
        </w:rPr>
        <w:t xml:space="preserve">formulas </w:t>
      </w:r>
      <w:r w:rsidR="00D739DA">
        <w:rPr>
          <w:rFonts w:asciiTheme="majorHAnsi" w:eastAsiaTheme="majorEastAsia" w:hAnsiTheme="majorHAnsi" w:cstheme="majorBidi"/>
          <w:bCs/>
          <w:color w:val="000000" w:themeColor="text1"/>
          <w:sz w:val="24"/>
          <w:szCs w:val="24"/>
        </w:rPr>
        <w:t>with</w:t>
      </w:r>
      <w:r w:rsidR="000044C6">
        <w:rPr>
          <w:rFonts w:asciiTheme="majorHAnsi" w:eastAsiaTheme="majorEastAsia" w:hAnsiTheme="majorHAnsi" w:cstheme="majorBidi"/>
          <w:bCs/>
          <w:color w:val="000000" w:themeColor="text1"/>
          <w:sz w:val="24"/>
          <w:szCs w:val="24"/>
        </w:rPr>
        <w:t xml:space="preserve"> a higher</w:t>
      </w:r>
      <w:r w:rsidR="00944ACD">
        <w:rPr>
          <w:rFonts w:asciiTheme="majorHAnsi" w:eastAsiaTheme="majorEastAsia" w:hAnsiTheme="majorHAnsi" w:cstheme="majorBidi"/>
          <w:bCs/>
          <w:color w:val="000000" w:themeColor="text1"/>
          <w:sz w:val="24"/>
          <w:szCs w:val="24"/>
        </w:rPr>
        <w:t xml:space="preserve"> </w:t>
      </w:r>
      <w:r w:rsidR="00B47018">
        <w:rPr>
          <w:rFonts w:asciiTheme="majorHAnsi" w:eastAsiaTheme="majorEastAsia" w:hAnsiTheme="majorHAnsi" w:cstheme="majorBidi"/>
          <w:bCs/>
          <w:color w:val="000000" w:themeColor="text1"/>
          <w:sz w:val="24"/>
          <w:szCs w:val="24"/>
        </w:rPr>
        <w:t>weighted sales factor</w:t>
      </w:r>
      <w:r w:rsidR="00944ACD">
        <w:rPr>
          <w:rFonts w:asciiTheme="majorHAnsi" w:eastAsiaTheme="majorEastAsia" w:hAnsiTheme="majorHAnsi" w:cstheme="majorBidi"/>
          <w:bCs/>
          <w:color w:val="000000" w:themeColor="text1"/>
          <w:sz w:val="24"/>
          <w:szCs w:val="24"/>
        </w:rPr>
        <w:t xml:space="preserve"> (</w:t>
      </w:r>
      <w:r w:rsidR="00944ACD" w:rsidRPr="00944ACD">
        <w:rPr>
          <w:rFonts w:asciiTheme="majorHAnsi" w:eastAsiaTheme="majorEastAsia" w:hAnsiTheme="majorHAnsi" w:cstheme="majorBidi"/>
          <w:bCs/>
          <w:color w:val="000000" w:themeColor="text1"/>
          <w:sz w:val="24"/>
          <w:szCs w:val="24"/>
        </w:rPr>
        <w:t>double-weighted sales</w:t>
      </w:r>
      <w:r w:rsidR="005E4012" w:rsidRPr="005E4012">
        <w:rPr>
          <w:rFonts w:asciiTheme="majorHAnsi" w:eastAsiaTheme="majorEastAsia" w:hAnsiTheme="majorHAnsi" w:cstheme="majorBidi"/>
          <w:bCs/>
          <w:color w:val="000000" w:themeColor="text1"/>
          <w:sz w:val="24"/>
          <w:szCs w:val="24"/>
        </w:rPr>
        <w:t xml:space="preserve"> </w:t>
      </w:r>
      <w:r w:rsidR="005E4012">
        <w:rPr>
          <w:rFonts w:asciiTheme="majorHAnsi" w:eastAsiaTheme="majorEastAsia" w:hAnsiTheme="majorHAnsi" w:cstheme="majorBidi"/>
          <w:bCs/>
          <w:color w:val="000000" w:themeColor="text1"/>
          <w:sz w:val="24"/>
          <w:szCs w:val="24"/>
        </w:rPr>
        <w:t>factor</w:t>
      </w:r>
      <w:r w:rsidR="00944ACD" w:rsidRPr="00944ACD">
        <w:rPr>
          <w:rFonts w:asciiTheme="majorHAnsi" w:eastAsiaTheme="majorEastAsia" w:hAnsiTheme="majorHAnsi" w:cstheme="majorBidi"/>
          <w:bCs/>
          <w:color w:val="000000" w:themeColor="text1"/>
          <w:sz w:val="24"/>
          <w:szCs w:val="24"/>
        </w:rPr>
        <w:t xml:space="preserve"> or single-sales factor</w:t>
      </w:r>
      <w:r w:rsidR="00944ACD">
        <w:rPr>
          <w:rFonts w:asciiTheme="majorHAnsi" w:eastAsiaTheme="majorEastAsia" w:hAnsiTheme="majorHAnsi" w:cstheme="majorBidi"/>
          <w:bCs/>
          <w:color w:val="000000" w:themeColor="text1"/>
          <w:sz w:val="24"/>
          <w:szCs w:val="24"/>
        </w:rPr>
        <w:t>)</w:t>
      </w:r>
      <w:r w:rsidR="00130D9D" w:rsidRPr="00EB1DDD">
        <w:rPr>
          <w:rFonts w:asciiTheme="majorHAnsi" w:hAnsiTheme="majorHAnsi"/>
          <w:sz w:val="24"/>
          <w:szCs w:val="24"/>
        </w:rPr>
        <w:t xml:space="preserve"> </w:t>
      </w:r>
      <w:r w:rsidR="006D622A" w:rsidRPr="006D622A">
        <w:rPr>
          <w:rFonts w:asciiTheme="majorHAnsi" w:eastAsiaTheme="majorEastAsia" w:hAnsiTheme="majorHAnsi" w:cstheme="majorBidi"/>
          <w:bCs/>
          <w:color w:val="000000" w:themeColor="text1"/>
          <w:sz w:val="24"/>
          <w:szCs w:val="24"/>
        </w:rPr>
        <w:t>is e</w:t>
      </w:r>
      <w:r w:rsidR="009B6FEF">
        <w:rPr>
          <w:rFonts w:asciiTheme="majorHAnsi" w:eastAsiaTheme="majorEastAsia" w:hAnsiTheme="majorHAnsi" w:cstheme="majorBidi"/>
          <w:bCs/>
          <w:color w:val="000000" w:themeColor="text1"/>
          <w:sz w:val="24"/>
          <w:szCs w:val="24"/>
        </w:rPr>
        <w:t>stimated</w:t>
      </w:r>
      <w:r w:rsidR="006D622A" w:rsidRPr="006D622A">
        <w:rPr>
          <w:rFonts w:asciiTheme="majorHAnsi" w:eastAsiaTheme="majorEastAsia" w:hAnsiTheme="majorHAnsi" w:cstheme="majorBidi"/>
          <w:bCs/>
          <w:color w:val="000000" w:themeColor="text1"/>
          <w:sz w:val="24"/>
          <w:szCs w:val="24"/>
        </w:rPr>
        <w:t xml:space="preserve"> to be $</w:t>
      </w:r>
      <w:r w:rsidR="00C310E0">
        <w:rPr>
          <w:rFonts w:asciiTheme="majorHAnsi" w:eastAsiaTheme="majorEastAsia" w:hAnsiTheme="majorHAnsi" w:cstheme="majorBidi"/>
          <w:bCs/>
          <w:color w:val="000000" w:themeColor="text1"/>
          <w:sz w:val="24"/>
          <w:szCs w:val="24"/>
        </w:rPr>
        <w:t>397.8</w:t>
      </w:r>
      <w:r w:rsidR="006D622A" w:rsidRPr="006D622A">
        <w:rPr>
          <w:rFonts w:asciiTheme="majorHAnsi" w:eastAsiaTheme="majorEastAsia" w:hAnsiTheme="majorHAnsi" w:cstheme="majorBidi"/>
          <w:bCs/>
          <w:color w:val="000000" w:themeColor="text1"/>
          <w:sz w:val="24"/>
          <w:szCs w:val="24"/>
        </w:rPr>
        <w:t xml:space="preserve"> - $</w:t>
      </w:r>
      <w:r w:rsidR="00C310E0">
        <w:rPr>
          <w:rFonts w:asciiTheme="majorHAnsi" w:eastAsiaTheme="majorEastAsia" w:hAnsiTheme="majorHAnsi" w:cstheme="majorBidi"/>
          <w:bCs/>
          <w:color w:val="000000" w:themeColor="text1"/>
          <w:sz w:val="24"/>
          <w:szCs w:val="24"/>
        </w:rPr>
        <w:t>439.4</w:t>
      </w:r>
      <w:r w:rsidR="000735D2">
        <w:rPr>
          <w:rFonts w:asciiTheme="majorHAnsi" w:eastAsiaTheme="majorEastAsia" w:hAnsiTheme="majorHAnsi" w:cstheme="majorBidi"/>
          <w:bCs/>
          <w:color w:val="000000" w:themeColor="text1"/>
          <w:sz w:val="24"/>
          <w:szCs w:val="24"/>
        </w:rPr>
        <w:t xml:space="preserve"> </w:t>
      </w:r>
      <w:r w:rsidR="006D622A" w:rsidRPr="006D622A">
        <w:rPr>
          <w:rFonts w:asciiTheme="majorHAnsi" w:eastAsiaTheme="majorEastAsia" w:hAnsiTheme="majorHAnsi" w:cstheme="majorBidi"/>
          <w:bCs/>
          <w:color w:val="000000" w:themeColor="text1"/>
          <w:sz w:val="24"/>
          <w:szCs w:val="24"/>
        </w:rPr>
        <w:t xml:space="preserve">million annually during FY18-FY22.  </w:t>
      </w:r>
      <w:r w:rsidR="00130D9D">
        <w:rPr>
          <w:rFonts w:asciiTheme="majorHAnsi" w:eastAsiaTheme="majorEastAsia" w:hAnsiTheme="majorHAnsi" w:cstheme="majorBidi"/>
          <w:bCs/>
          <w:color w:val="000000" w:themeColor="text1"/>
          <w:sz w:val="24"/>
          <w:szCs w:val="24"/>
        </w:rPr>
        <w:t xml:space="preserve">See Table </w:t>
      </w:r>
      <w:r w:rsidR="009768F1">
        <w:rPr>
          <w:rFonts w:asciiTheme="majorHAnsi" w:eastAsiaTheme="majorEastAsia" w:hAnsiTheme="majorHAnsi" w:cstheme="majorBidi"/>
          <w:bCs/>
          <w:color w:val="000000" w:themeColor="text1"/>
          <w:sz w:val="24"/>
          <w:szCs w:val="24"/>
        </w:rPr>
        <w:t>1</w:t>
      </w:r>
      <w:r w:rsidR="00130D9D">
        <w:rPr>
          <w:rFonts w:asciiTheme="majorHAnsi" w:eastAsiaTheme="majorEastAsia" w:hAnsiTheme="majorHAnsi" w:cstheme="majorBidi"/>
          <w:bCs/>
          <w:color w:val="000000" w:themeColor="text1"/>
          <w:sz w:val="24"/>
          <w:szCs w:val="24"/>
        </w:rPr>
        <w:t xml:space="preserve">. The estimates are based on several factors, including historical </w:t>
      </w:r>
      <w:r w:rsidR="00B47018">
        <w:rPr>
          <w:rFonts w:asciiTheme="majorHAnsi" w:eastAsiaTheme="majorEastAsia" w:hAnsiTheme="majorHAnsi" w:cstheme="majorBidi"/>
          <w:bCs/>
          <w:color w:val="000000" w:themeColor="text1"/>
          <w:sz w:val="24"/>
          <w:szCs w:val="24"/>
        </w:rPr>
        <w:t>tax return data</w:t>
      </w:r>
      <w:r w:rsidR="00130D9D">
        <w:rPr>
          <w:rFonts w:asciiTheme="majorHAnsi" w:eastAsiaTheme="majorEastAsia" w:hAnsiTheme="majorHAnsi" w:cstheme="majorBidi"/>
          <w:bCs/>
          <w:color w:val="000000" w:themeColor="text1"/>
          <w:sz w:val="24"/>
          <w:szCs w:val="24"/>
        </w:rPr>
        <w:t xml:space="preserve">, economic forecasts, and </w:t>
      </w:r>
      <w:r w:rsidR="000044C6">
        <w:rPr>
          <w:rFonts w:asciiTheme="majorHAnsi" w:eastAsiaTheme="majorEastAsia" w:hAnsiTheme="majorHAnsi" w:cstheme="majorBidi"/>
          <w:bCs/>
          <w:color w:val="000000" w:themeColor="text1"/>
          <w:sz w:val="24"/>
          <w:szCs w:val="24"/>
        </w:rPr>
        <w:t>the statutory provisions applicab</w:t>
      </w:r>
      <w:r w:rsidR="00D07D1B">
        <w:rPr>
          <w:rFonts w:asciiTheme="majorHAnsi" w:eastAsiaTheme="majorEastAsia" w:hAnsiTheme="majorHAnsi" w:cstheme="majorBidi"/>
          <w:bCs/>
          <w:color w:val="000000" w:themeColor="text1"/>
          <w:sz w:val="24"/>
          <w:szCs w:val="24"/>
        </w:rPr>
        <w:t>le to each year.</w:t>
      </w:r>
    </w:p>
    <w:p w14:paraId="788A4AB4" w14:textId="78433CDF" w:rsidR="00F51224" w:rsidRDefault="00F51224" w:rsidP="004B14D0">
      <w:pPr>
        <w:spacing w:after="0"/>
        <w:rPr>
          <w:rFonts w:asciiTheme="majorHAnsi" w:hAnsiTheme="majorHAnsi"/>
          <w:sz w:val="24"/>
          <w:szCs w:val="24"/>
          <w:highlight w:val="cyan"/>
        </w:rPr>
      </w:pPr>
    </w:p>
    <w:p w14:paraId="3962229D" w14:textId="77777777" w:rsidR="00A24F56" w:rsidRDefault="0077589F" w:rsidP="00EE5936">
      <w:pPr>
        <w:spacing w:after="0"/>
        <w:jc w:val="center"/>
        <w:rPr>
          <w:rFonts w:asciiTheme="majorHAnsi" w:eastAsiaTheme="majorEastAsia" w:hAnsiTheme="majorHAnsi" w:cstheme="majorBidi"/>
          <w:b/>
          <w:color w:val="000000" w:themeColor="text1"/>
          <w:sz w:val="24"/>
          <w:szCs w:val="24"/>
        </w:rPr>
      </w:pPr>
      <w:r w:rsidRPr="00B726D0">
        <w:rPr>
          <w:rFonts w:asciiTheme="majorHAnsi" w:eastAsiaTheme="majorEastAsia" w:hAnsiTheme="majorHAnsi" w:cstheme="majorBidi"/>
          <w:b/>
          <w:color w:val="000000" w:themeColor="text1"/>
          <w:sz w:val="24"/>
          <w:szCs w:val="24"/>
        </w:rPr>
        <w:t>Table 1. Tax Revenue Loss Estimates for</w:t>
      </w:r>
      <w:r w:rsidR="00A435D1">
        <w:rPr>
          <w:rFonts w:asciiTheme="majorHAnsi" w:eastAsiaTheme="majorEastAsia" w:hAnsiTheme="majorHAnsi" w:cstheme="majorBidi"/>
          <w:b/>
          <w:color w:val="000000" w:themeColor="text1"/>
          <w:sz w:val="24"/>
          <w:szCs w:val="24"/>
        </w:rPr>
        <w:t xml:space="preserve"> Formulas </w:t>
      </w:r>
      <w:r w:rsidR="00D739DA">
        <w:rPr>
          <w:rFonts w:asciiTheme="majorHAnsi" w:eastAsiaTheme="majorEastAsia" w:hAnsiTheme="majorHAnsi" w:cstheme="majorBidi"/>
          <w:b/>
          <w:color w:val="000000" w:themeColor="text1"/>
          <w:sz w:val="24"/>
          <w:szCs w:val="24"/>
        </w:rPr>
        <w:t>with</w:t>
      </w:r>
      <w:r w:rsidRPr="00B726D0">
        <w:rPr>
          <w:rFonts w:asciiTheme="majorHAnsi" w:eastAsiaTheme="majorEastAsia" w:hAnsiTheme="majorHAnsi" w:cstheme="majorBidi"/>
          <w:b/>
          <w:color w:val="000000" w:themeColor="text1"/>
          <w:sz w:val="24"/>
          <w:szCs w:val="24"/>
        </w:rPr>
        <w:t xml:space="preserve"> </w:t>
      </w:r>
    </w:p>
    <w:p w14:paraId="7FEA1F85" w14:textId="1EAF3E76" w:rsidR="0077589F" w:rsidRPr="00B726D0" w:rsidRDefault="0079481F" w:rsidP="00EE5936">
      <w:pPr>
        <w:spacing w:after="0"/>
        <w:jc w:val="cente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Higher</w:t>
      </w:r>
      <w:r w:rsidRPr="0077589F">
        <w:rPr>
          <w:rFonts w:asciiTheme="majorHAnsi" w:eastAsiaTheme="majorEastAsia" w:hAnsiTheme="majorHAnsi" w:cstheme="majorBidi"/>
          <w:b/>
          <w:color w:val="000000" w:themeColor="text1"/>
          <w:sz w:val="24"/>
          <w:szCs w:val="24"/>
        </w:rPr>
        <w:t xml:space="preserve"> </w:t>
      </w:r>
      <w:r w:rsidR="0077589F" w:rsidRPr="0077589F">
        <w:rPr>
          <w:rFonts w:asciiTheme="majorHAnsi" w:eastAsiaTheme="majorEastAsia" w:hAnsiTheme="majorHAnsi" w:cstheme="majorBidi"/>
          <w:b/>
          <w:color w:val="000000" w:themeColor="text1"/>
          <w:sz w:val="24"/>
          <w:szCs w:val="24"/>
        </w:rPr>
        <w:t>Weight</w:t>
      </w:r>
      <w:r w:rsidR="00A435D1">
        <w:rPr>
          <w:rFonts w:asciiTheme="majorHAnsi" w:eastAsiaTheme="majorEastAsia" w:hAnsiTheme="majorHAnsi" w:cstheme="majorBidi"/>
          <w:b/>
          <w:color w:val="000000" w:themeColor="text1"/>
          <w:sz w:val="24"/>
          <w:szCs w:val="24"/>
        </w:rPr>
        <w:t xml:space="preserve">ed </w:t>
      </w:r>
      <w:r w:rsidR="0077589F" w:rsidRPr="0077589F">
        <w:rPr>
          <w:rFonts w:asciiTheme="majorHAnsi" w:eastAsiaTheme="majorEastAsia" w:hAnsiTheme="majorHAnsi" w:cstheme="majorBidi"/>
          <w:b/>
          <w:color w:val="000000" w:themeColor="text1"/>
          <w:sz w:val="24"/>
          <w:szCs w:val="24"/>
        </w:rPr>
        <w:t>Sales Factor</w:t>
      </w:r>
    </w:p>
    <w:tbl>
      <w:tblPr>
        <w:tblW w:w="8340" w:type="dxa"/>
        <w:jc w:val="center"/>
        <w:tblLook w:val="04A0" w:firstRow="1" w:lastRow="0" w:firstColumn="1" w:lastColumn="0" w:noHBand="0" w:noVBand="1"/>
      </w:tblPr>
      <w:tblGrid>
        <w:gridCol w:w="3240"/>
        <w:gridCol w:w="1020"/>
        <w:gridCol w:w="1020"/>
        <w:gridCol w:w="1020"/>
        <w:gridCol w:w="1020"/>
        <w:gridCol w:w="1020"/>
      </w:tblGrid>
      <w:tr w:rsidR="009A28D5" w:rsidRPr="0077589F" w14:paraId="4AB066C4" w14:textId="77777777" w:rsidTr="00D15853">
        <w:trPr>
          <w:trHeight w:val="360"/>
          <w:jc w:val="center"/>
        </w:trPr>
        <w:tc>
          <w:tcPr>
            <w:tcW w:w="3240" w:type="dxa"/>
            <w:tcBorders>
              <w:top w:val="single" w:sz="4" w:space="0" w:color="auto"/>
              <w:left w:val="single" w:sz="4" w:space="0" w:color="auto"/>
              <w:bottom w:val="single" w:sz="4" w:space="0" w:color="auto"/>
              <w:right w:val="single" w:sz="4" w:space="0" w:color="auto"/>
            </w:tcBorders>
            <w:shd w:val="clear" w:color="000000" w:fill="B6DDE8" w:themeFill="accent5" w:themeFillTint="66"/>
            <w:vAlign w:val="center"/>
            <w:hideMark/>
          </w:tcPr>
          <w:p w14:paraId="68B5FC08" w14:textId="77777777" w:rsidR="0077589F" w:rsidRPr="0077589F" w:rsidRDefault="0077589F" w:rsidP="0077589F">
            <w:pPr>
              <w:spacing w:after="0" w:line="240" w:lineRule="auto"/>
              <w:jc w:val="center"/>
              <w:rPr>
                <w:rFonts w:ascii="Cambria" w:eastAsia="Times New Roman" w:hAnsi="Cambria" w:cs="Helvetica"/>
                <w:sz w:val="20"/>
                <w:szCs w:val="20"/>
                <w:lang w:eastAsia="ko-KR"/>
              </w:rPr>
            </w:pPr>
            <w:r w:rsidRPr="0077589F">
              <w:rPr>
                <w:rFonts w:ascii="Cambria" w:eastAsia="Times New Roman" w:hAnsi="Cambria" w:cs="Helvetica"/>
                <w:sz w:val="20"/>
                <w:szCs w:val="20"/>
                <w:lang w:eastAsia="ko-KR"/>
              </w:rPr>
              <w:t xml:space="preserve">Fiscal Year </w:t>
            </w:r>
          </w:p>
        </w:tc>
        <w:tc>
          <w:tcPr>
            <w:tcW w:w="1020"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14:paraId="2892B1A0" w14:textId="77777777" w:rsidR="0077589F" w:rsidRPr="0077589F" w:rsidRDefault="0077589F" w:rsidP="0077589F">
            <w:pPr>
              <w:spacing w:after="0" w:line="240" w:lineRule="auto"/>
              <w:jc w:val="center"/>
              <w:rPr>
                <w:rFonts w:ascii="Cambria" w:eastAsia="Times New Roman" w:hAnsi="Cambria" w:cs="Helvetica"/>
                <w:sz w:val="20"/>
                <w:szCs w:val="20"/>
                <w:lang w:eastAsia="ko-KR"/>
              </w:rPr>
            </w:pPr>
            <w:r w:rsidRPr="0077589F">
              <w:rPr>
                <w:rFonts w:ascii="Cambria" w:eastAsia="Times New Roman" w:hAnsi="Cambria" w:cs="Helvetica"/>
                <w:sz w:val="20"/>
                <w:szCs w:val="20"/>
                <w:lang w:eastAsia="ko-KR"/>
              </w:rPr>
              <w:t>2018</w:t>
            </w:r>
          </w:p>
        </w:tc>
        <w:tc>
          <w:tcPr>
            <w:tcW w:w="1020"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14:paraId="1EB4FE20" w14:textId="77777777" w:rsidR="0077589F" w:rsidRPr="0077589F" w:rsidRDefault="0077589F" w:rsidP="0077589F">
            <w:pPr>
              <w:spacing w:after="0" w:line="240" w:lineRule="auto"/>
              <w:jc w:val="center"/>
              <w:rPr>
                <w:rFonts w:ascii="Cambria" w:eastAsia="Times New Roman" w:hAnsi="Cambria" w:cs="Helvetica"/>
                <w:sz w:val="20"/>
                <w:szCs w:val="20"/>
                <w:lang w:eastAsia="ko-KR"/>
              </w:rPr>
            </w:pPr>
            <w:r w:rsidRPr="0077589F">
              <w:rPr>
                <w:rFonts w:ascii="Cambria" w:eastAsia="Times New Roman" w:hAnsi="Cambria" w:cs="Helvetica"/>
                <w:sz w:val="20"/>
                <w:szCs w:val="20"/>
                <w:lang w:eastAsia="ko-KR"/>
              </w:rPr>
              <w:t>2019</w:t>
            </w:r>
          </w:p>
        </w:tc>
        <w:tc>
          <w:tcPr>
            <w:tcW w:w="1020"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14:paraId="2085D18B" w14:textId="77777777" w:rsidR="0077589F" w:rsidRPr="0077589F" w:rsidRDefault="0077589F" w:rsidP="0077589F">
            <w:pPr>
              <w:spacing w:after="0" w:line="240" w:lineRule="auto"/>
              <w:jc w:val="center"/>
              <w:rPr>
                <w:rFonts w:ascii="Cambria" w:eastAsia="Times New Roman" w:hAnsi="Cambria" w:cs="Helvetica"/>
                <w:sz w:val="20"/>
                <w:szCs w:val="20"/>
                <w:lang w:eastAsia="ko-KR"/>
              </w:rPr>
            </w:pPr>
            <w:r w:rsidRPr="0077589F">
              <w:rPr>
                <w:rFonts w:ascii="Cambria" w:eastAsia="Times New Roman" w:hAnsi="Cambria" w:cs="Helvetica"/>
                <w:sz w:val="20"/>
                <w:szCs w:val="20"/>
                <w:lang w:eastAsia="ko-KR"/>
              </w:rPr>
              <w:t>2020</w:t>
            </w:r>
          </w:p>
        </w:tc>
        <w:tc>
          <w:tcPr>
            <w:tcW w:w="1020"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14:paraId="48C472A6" w14:textId="77777777" w:rsidR="0077589F" w:rsidRPr="0077589F" w:rsidRDefault="0077589F" w:rsidP="0077589F">
            <w:pPr>
              <w:spacing w:after="0" w:line="240" w:lineRule="auto"/>
              <w:jc w:val="center"/>
              <w:rPr>
                <w:rFonts w:ascii="Cambria" w:eastAsia="Times New Roman" w:hAnsi="Cambria" w:cs="Helvetica"/>
                <w:sz w:val="20"/>
                <w:szCs w:val="20"/>
                <w:lang w:eastAsia="ko-KR"/>
              </w:rPr>
            </w:pPr>
            <w:r w:rsidRPr="0077589F">
              <w:rPr>
                <w:rFonts w:ascii="Cambria" w:eastAsia="Times New Roman" w:hAnsi="Cambria" w:cs="Helvetica"/>
                <w:sz w:val="20"/>
                <w:szCs w:val="20"/>
                <w:lang w:eastAsia="ko-KR"/>
              </w:rPr>
              <w:t>2021</w:t>
            </w:r>
          </w:p>
        </w:tc>
        <w:tc>
          <w:tcPr>
            <w:tcW w:w="1020"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14:paraId="336F2A24" w14:textId="77777777" w:rsidR="0077589F" w:rsidRPr="0077589F" w:rsidRDefault="0077589F" w:rsidP="0077589F">
            <w:pPr>
              <w:spacing w:after="0" w:line="240" w:lineRule="auto"/>
              <w:jc w:val="center"/>
              <w:rPr>
                <w:rFonts w:ascii="Cambria" w:eastAsia="Times New Roman" w:hAnsi="Cambria" w:cs="Helvetica"/>
                <w:sz w:val="20"/>
                <w:szCs w:val="20"/>
                <w:lang w:eastAsia="ko-KR"/>
              </w:rPr>
            </w:pPr>
            <w:r w:rsidRPr="0077589F">
              <w:rPr>
                <w:rFonts w:ascii="Cambria" w:eastAsia="Times New Roman" w:hAnsi="Cambria" w:cs="Helvetica"/>
                <w:sz w:val="20"/>
                <w:szCs w:val="20"/>
                <w:lang w:eastAsia="ko-KR"/>
              </w:rPr>
              <w:t>2022</w:t>
            </w:r>
          </w:p>
        </w:tc>
      </w:tr>
      <w:tr w:rsidR="00D15853" w:rsidRPr="0077589F" w14:paraId="12E15B4E" w14:textId="77777777" w:rsidTr="00D15853">
        <w:trPr>
          <w:trHeight w:val="720"/>
          <w:jc w:val="center"/>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66215D4E" w14:textId="77777777" w:rsidR="00D15853" w:rsidRDefault="00D15853" w:rsidP="00D15853">
            <w:pPr>
              <w:spacing w:after="0" w:line="240" w:lineRule="auto"/>
              <w:jc w:val="center"/>
              <w:rPr>
                <w:rFonts w:ascii="Cambria" w:eastAsia="Times New Roman" w:hAnsi="Cambria" w:cs="Arial"/>
                <w:sz w:val="20"/>
                <w:szCs w:val="20"/>
                <w:lang w:eastAsia="ko-KR"/>
              </w:rPr>
            </w:pPr>
            <w:r w:rsidRPr="00CD3A6C">
              <w:rPr>
                <w:rFonts w:ascii="Cambria" w:eastAsia="Times New Roman" w:hAnsi="Cambria" w:cs="Arial"/>
                <w:sz w:val="20"/>
                <w:szCs w:val="20"/>
                <w:lang w:eastAsia="ko-KR"/>
              </w:rPr>
              <w:t>Estimate</w:t>
            </w:r>
            <w:r>
              <w:rPr>
                <w:rFonts w:ascii="Cambria" w:eastAsia="Times New Roman" w:hAnsi="Cambria" w:cs="Arial"/>
                <w:sz w:val="20"/>
                <w:szCs w:val="20"/>
                <w:lang w:eastAsia="ko-KR"/>
              </w:rPr>
              <w:t>d Revenue Loss</w:t>
            </w:r>
          </w:p>
          <w:p w14:paraId="6C63562D" w14:textId="65C588E3" w:rsidR="00D15853" w:rsidRPr="0077589F" w:rsidRDefault="00D15853" w:rsidP="00D15853">
            <w:pPr>
              <w:spacing w:after="0" w:line="240" w:lineRule="auto"/>
              <w:jc w:val="center"/>
              <w:rPr>
                <w:rFonts w:ascii="Cambria" w:eastAsia="Times New Roman" w:hAnsi="Cambria" w:cs="Helvetica"/>
                <w:sz w:val="20"/>
                <w:szCs w:val="20"/>
                <w:lang w:eastAsia="ko-KR"/>
              </w:rPr>
            </w:pPr>
            <w:r>
              <w:rPr>
                <w:rFonts w:ascii="Cambria" w:eastAsia="Times New Roman" w:hAnsi="Cambria" w:cs="Arial"/>
                <w:sz w:val="20"/>
                <w:szCs w:val="20"/>
                <w:lang w:eastAsia="ko-KR"/>
              </w:rPr>
              <w:t xml:space="preserve"> </w:t>
            </w:r>
            <w:r w:rsidRPr="00CD3A6C">
              <w:rPr>
                <w:rFonts w:ascii="Cambria" w:eastAsia="Times New Roman" w:hAnsi="Cambria" w:cs="Arial"/>
                <w:sz w:val="20"/>
                <w:szCs w:val="20"/>
                <w:lang w:eastAsia="ko-KR"/>
              </w:rPr>
              <w:t>($Million)</w:t>
            </w:r>
          </w:p>
        </w:tc>
        <w:tc>
          <w:tcPr>
            <w:tcW w:w="1020" w:type="dxa"/>
            <w:tcBorders>
              <w:top w:val="nil"/>
              <w:left w:val="nil"/>
              <w:bottom w:val="single" w:sz="4" w:space="0" w:color="auto"/>
              <w:right w:val="single" w:sz="4" w:space="0" w:color="auto"/>
            </w:tcBorders>
            <w:shd w:val="clear" w:color="auto" w:fill="auto"/>
            <w:noWrap/>
            <w:vAlign w:val="center"/>
            <w:hideMark/>
          </w:tcPr>
          <w:p w14:paraId="39EDE88B" w14:textId="0B32457E" w:rsidR="00D15853" w:rsidRPr="0077589F" w:rsidRDefault="00D15853" w:rsidP="00D15853">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$397.8</w:t>
            </w:r>
          </w:p>
        </w:tc>
        <w:tc>
          <w:tcPr>
            <w:tcW w:w="1020" w:type="dxa"/>
            <w:tcBorders>
              <w:top w:val="nil"/>
              <w:left w:val="nil"/>
              <w:bottom w:val="single" w:sz="4" w:space="0" w:color="auto"/>
              <w:right w:val="single" w:sz="4" w:space="0" w:color="auto"/>
            </w:tcBorders>
            <w:shd w:val="clear" w:color="auto" w:fill="auto"/>
            <w:noWrap/>
            <w:vAlign w:val="center"/>
            <w:hideMark/>
          </w:tcPr>
          <w:p w14:paraId="76FF016C" w14:textId="086FD2EB" w:rsidR="00D15853" w:rsidRPr="0077589F" w:rsidRDefault="00D15853" w:rsidP="00D15853">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$407.8</w:t>
            </w:r>
          </w:p>
        </w:tc>
        <w:tc>
          <w:tcPr>
            <w:tcW w:w="1020" w:type="dxa"/>
            <w:tcBorders>
              <w:top w:val="nil"/>
              <w:left w:val="nil"/>
              <w:bottom w:val="single" w:sz="4" w:space="0" w:color="auto"/>
              <w:right w:val="single" w:sz="4" w:space="0" w:color="auto"/>
            </w:tcBorders>
            <w:shd w:val="clear" w:color="auto" w:fill="auto"/>
            <w:noWrap/>
            <w:vAlign w:val="center"/>
            <w:hideMark/>
          </w:tcPr>
          <w:p w14:paraId="2FE67FC6" w14:textId="72303122" w:rsidR="00D15853" w:rsidRPr="0077589F" w:rsidRDefault="00D15853" w:rsidP="00D15853">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$418.2</w:t>
            </w:r>
          </w:p>
        </w:tc>
        <w:tc>
          <w:tcPr>
            <w:tcW w:w="1020" w:type="dxa"/>
            <w:tcBorders>
              <w:top w:val="nil"/>
              <w:left w:val="nil"/>
              <w:bottom w:val="single" w:sz="4" w:space="0" w:color="auto"/>
              <w:right w:val="single" w:sz="4" w:space="0" w:color="auto"/>
            </w:tcBorders>
            <w:shd w:val="clear" w:color="auto" w:fill="auto"/>
            <w:noWrap/>
            <w:vAlign w:val="center"/>
            <w:hideMark/>
          </w:tcPr>
          <w:p w14:paraId="38C0AC5E" w14:textId="6A0EF880" w:rsidR="00D15853" w:rsidRPr="0077589F" w:rsidRDefault="00D15853" w:rsidP="00D15853">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$428.7</w:t>
            </w:r>
          </w:p>
        </w:tc>
        <w:tc>
          <w:tcPr>
            <w:tcW w:w="1020" w:type="dxa"/>
            <w:tcBorders>
              <w:top w:val="nil"/>
              <w:left w:val="nil"/>
              <w:bottom w:val="single" w:sz="4" w:space="0" w:color="auto"/>
              <w:right w:val="single" w:sz="4" w:space="0" w:color="auto"/>
            </w:tcBorders>
            <w:shd w:val="clear" w:color="auto" w:fill="auto"/>
            <w:noWrap/>
            <w:vAlign w:val="center"/>
            <w:hideMark/>
          </w:tcPr>
          <w:p w14:paraId="52A15908" w14:textId="17DE550E" w:rsidR="00D15853" w:rsidRPr="0077589F" w:rsidRDefault="00D15853" w:rsidP="00D15853">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$439.4</w:t>
            </w:r>
          </w:p>
        </w:tc>
      </w:tr>
    </w:tbl>
    <w:p w14:paraId="151160C6" w14:textId="56BA4B51" w:rsidR="00D86973" w:rsidRDefault="00D86973" w:rsidP="00621CBB">
      <w:pPr>
        <w:spacing w:after="0"/>
        <w:rPr>
          <w:rFonts w:asciiTheme="majorHAnsi" w:eastAsiaTheme="majorEastAsia" w:hAnsiTheme="majorHAnsi" w:cstheme="majorBidi"/>
          <w:bCs/>
          <w:color w:val="000000" w:themeColor="text1"/>
          <w:sz w:val="24"/>
          <w:szCs w:val="24"/>
        </w:rPr>
      </w:pPr>
    </w:p>
    <w:p w14:paraId="59BF0229" w14:textId="77777777" w:rsidR="00652F48" w:rsidRDefault="00652F48" w:rsidP="004B14D0">
      <w:pPr>
        <w:spacing w:after="0"/>
        <w:rPr>
          <w:rFonts w:asciiTheme="majorHAnsi" w:hAnsiTheme="majorHAnsi"/>
          <w:sz w:val="24"/>
          <w:szCs w:val="24"/>
          <w:highlight w:val="cyan"/>
        </w:rPr>
      </w:pPr>
    </w:p>
    <w:p w14:paraId="1F25E244" w14:textId="7637534B" w:rsidR="005529C5" w:rsidRDefault="001E7804" w:rsidP="00961FF0">
      <w:pPr>
        <w:tabs>
          <w:tab w:val="left" w:pos="7050"/>
        </w:tabs>
        <w:spacing w:after="0"/>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t xml:space="preserve">DIRECT </w:t>
      </w:r>
      <w:r w:rsidR="005529C5" w:rsidRPr="005529C5">
        <w:rPr>
          <w:rFonts w:asciiTheme="majorHAnsi" w:hAnsiTheme="majorHAnsi"/>
          <w:b/>
          <w:color w:val="E36C0A" w:themeColor="accent6" w:themeShade="BF"/>
          <w:sz w:val="28"/>
          <w:szCs w:val="28"/>
        </w:rPr>
        <w:t>BENEFITS</w:t>
      </w:r>
    </w:p>
    <w:p w14:paraId="1E58881C" w14:textId="4E7FD9BE" w:rsidR="00A435D1" w:rsidRDefault="00C124D1" w:rsidP="00B578C2">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Direct </w:t>
      </w:r>
      <w:r w:rsidRPr="004A1F65">
        <w:rPr>
          <w:rFonts w:asciiTheme="majorHAnsi" w:eastAsiaTheme="majorEastAsia" w:hAnsiTheme="majorHAnsi" w:cstheme="majorBidi"/>
          <w:bCs/>
          <w:color w:val="000000" w:themeColor="text1"/>
          <w:sz w:val="24"/>
          <w:szCs w:val="24"/>
        </w:rPr>
        <w:t xml:space="preserve">beneficiaries of </w:t>
      </w:r>
      <w:r w:rsidR="00D739DA">
        <w:rPr>
          <w:rFonts w:asciiTheme="majorHAnsi" w:eastAsiaTheme="majorEastAsia" w:hAnsiTheme="majorHAnsi" w:cstheme="majorBidi"/>
          <w:bCs/>
          <w:color w:val="000000" w:themeColor="text1"/>
          <w:sz w:val="24"/>
          <w:szCs w:val="24"/>
        </w:rPr>
        <w:t>this tax expenditure</w:t>
      </w:r>
      <w:r w:rsidRPr="004A1F65">
        <w:rPr>
          <w:rFonts w:asciiTheme="majorHAnsi" w:eastAsiaTheme="majorEastAsia" w:hAnsiTheme="majorHAnsi" w:cstheme="majorBidi"/>
          <w:bCs/>
          <w:color w:val="000000" w:themeColor="text1"/>
          <w:sz w:val="24"/>
          <w:szCs w:val="24"/>
        </w:rPr>
        <w:t xml:space="preserve"> are </w:t>
      </w:r>
      <w:r>
        <w:rPr>
          <w:rFonts w:asciiTheme="majorHAnsi" w:eastAsiaTheme="majorEastAsia" w:hAnsiTheme="majorHAnsi" w:cstheme="majorBidi"/>
          <w:bCs/>
          <w:color w:val="000000" w:themeColor="text1"/>
          <w:sz w:val="24"/>
          <w:szCs w:val="24"/>
        </w:rPr>
        <w:t>c</w:t>
      </w:r>
      <w:r w:rsidRPr="004A1F65">
        <w:rPr>
          <w:rFonts w:asciiTheme="majorHAnsi" w:eastAsiaTheme="majorEastAsia" w:hAnsiTheme="majorHAnsi" w:cstheme="majorBidi"/>
          <w:bCs/>
          <w:color w:val="000000" w:themeColor="text1"/>
          <w:sz w:val="24"/>
          <w:szCs w:val="24"/>
        </w:rPr>
        <w:t xml:space="preserve">orporations </w:t>
      </w:r>
      <w:r w:rsidR="00EB2096">
        <w:rPr>
          <w:rFonts w:asciiTheme="majorHAnsi" w:eastAsiaTheme="majorEastAsia" w:hAnsiTheme="majorHAnsi" w:cstheme="majorBidi"/>
          <w:bCs/>
          <w:color w:val="000000" w:themeColor="text1"/>
          <w:sz w:val="24"/>
          <w:szCs w:val="24"/>
        </w:rPr>
        <w:t>that</w:t>
      </w:r>
      <w:r w:rsidR="00A435D1">
        <w:rPr>
          <w:rFonts w:asciiTheme="majorHAnsi" w:eastAsiaTheme="majorEastAsia" w:hAnsiTheme="majorHAnsi" w:cstheme="majorBidi"/>
          <w:bCs/>
          <w:color w:val="000000" w:themeColor="text1"/>
          <w:sz w:val="24"/>
          <w:szCs w:val="24"/>
        </w:rPr>
        <w:t xml:space="preserve"> </w:t>
      </w:r>
      <w:r w:rsidR="00D739DA">
        <w:rPr>
          <w:rFonts w:asciiTheme="majorHAnsi" w:eastAsiaTheme="majorEastAsia" w:hAnsiTheme="majorHAnsi" w:cstheme="majorBidi"/>
          <w:bCs/>
          <w:color w:val="000000" w:themeColor="text1"/>
          <w:sz w:val="24"/>
          <w:szCs w:val="24"/>
        </w:rPr>
        <w:t>owe</w:t>
      </w:r>
      <w:r w:rsidR="00A435D1">
        <w:rPr>
          <w:rFonts w:asciiTheme="majorHAnsi" w:eastAsiaTheme="majorEastAsia" w:hAnsiTheme="majorHAnsi" w:cstheme="majorBidi"/>
          <w:bCs/>
          <w:color w:val="000000" w:themeColor="text1"/>
          <w:sz w:val="24"/>
          <w:szCs w:val="24"/>
        </w:rPr>
        <w:t xml:space="preserve"> less </w:t>
      </w:r>
      <w:r w:rsidR="00D739DA">
        <w:rPr>
          <w:rFonts w:asciiTheme="majorHAnsi" w:eastAsiaTheme="majorEastAsia" w:hAnsiTheme="majorHAnsi" w:cstheme="majorBidi"/>
          <w:bCs/>
          <w:color w:val="000000" w:themeColor="text1"/>
          <w:sz w:val="24"/>
          <w:szCs w:val="24"/>
        </w:rPr>
        <w:t xml:space="preserve">tax </w:t>
      </w:r>
      <w:r w:rsidR="00A435D1">
        <w:rPr>
          <w:rFonts w:asciiTheme="majorHAnsi" w:eastAsiaTheme="majorEastAsia" w:hAnsiTheme="majorHAnsi" w:cstheme="majorBidi"/>
          <w:bCs/>
          <w:color w:val="000000" w:themeColor="text1"/>
          <w:sz w:val="24"/>
          <w:szCs w:val="24"/>
        </w:rPr>
        <w:t xml:space="preserve">using formulas </w:t>
      </w:r>
      <w:r>
        <w:rPr>
          <w:rFonts w:asciiTheme="majorHAnsi" w:eastAsiaTheme="majorEastAsia" w:hAnsiTheme="majorHAnsi" w:cstheme="majorBidi"/>
          <w:bCs/>
          <w:color w:val="000000" w:themeColor="text1"/>
          <w:sz w:val="24"/>
          <w:szCs w:val="24"/>
        </w:rPr>
        <w:t xml:space="preserve">with </w:t>
      </w:r>
      <w:r w:rsidR="00D07D1B">
        <w:rPr>
          <w:rFonts w:asciiTheme="majorHAnsi" w:eastAsiaTheme="majorEastAsia" w:hAnsiTheme="majorHAnsi" w:cstheme="majorBidi"/>
          <w:bCs/>
          <w:color w:val="000000" w:themeColor="text1"/>
          <w:sz w:val="24"/>
          <w:szCs w:val="24"/>
        </w:rPr>
        <w:t xml:space="preserve">higher </w:t>
      </w:r>
      <w:r w:rsidR="00A435D1">
        <w:rPr>
          <w:rFonts w:asciiTheme="majorHAnsi" w:eastAsiaTheme="majorEastAsia" w:hAnsiTheme="majorHAnsi" w:cstheme="majorBidi"/>
          <w:bCs/>
          <w:color w:val="000000" w:themeColor="text1"/>
          <w:sz w:val="24"/>
          <w:szCs w:val="24"/>
        </w:rPr>
        <w:t xml:space="preserve">weighted </w:t>
      </w:r>
      <w:r>
        <w:rPr>
          <w:rFonts w:asciiTheme="majorHAnsi" w:eastAsiaTheme="majorEastAsia" w:hAnsiTheme="majorHAnsi" w:cstheme="majorBidi"/>
          <w:bCs/>
          <w:color w:val="000000" w:themeColor="text1"/>
          <w:sz w:val="24"/>
          <w:szCs w:val="24"/>
        </w:rPr>
        <w:t>sales factor</w:t>
      </w:r>
      <w:r w:rsidR="002F6673">
        <w:rPr>
          <w:rFonts w:asciiTheme="majorHAnsi" w:eastAsiaTheme="majorEastAsia" w:hAnsiTheme="majorHAnsi" w:cstheme="majorBidi"/>
          <w:bCs/>
          <w:color w:val="000000" w:themeColor="text1"/>
          <w:sz w:val="24"/>
          <w:szCs w:val="24"/>
        </w:rPr>
        <w:t xml:space="preserve"> </w:t>
      </w:r>
      <w:r w:rsidR="00EB2096">
        <w:rPr>
          <w:rFonts w:asciiTheme="majorHAnsi" w:eastAsiaTheme="majorEastAsia" w:hAnsiTheme="majorHAnsi" w:cstheme="majorBidi"/>
          <w:bCs/>
          <w:color w:val="000000" w:themeColor="text1"/>
          <w:sz w:val="24"/>
          <w:szCs w:val="24"/>
        </w:rPr>
        <w:t xml:space="preserve">than </w:t>
      </w:r>
      <w:r w:rsidR="00847706">
        <w:rPr>
          <w:rFonts w:asciiTheme="majorHAnsi" w:eastAsiaTheme="majorEastAsia" w:hAnsiTheme="majorHAnsi" w:cstheme="majorBidi"/>
          <w:bCs/>
          <w:color w:val="000000" w:themeColor="text1"/>
          <w:sz w:val="24"/>
          <w:szCs w:val="24"/>
        </w:rPr>
        <w:t xml:space="preserve">using </w:t>
      </w:r>
      <w:r w:rsidR="00EB2096">
        <w:rPr>
          <w:rFonts w:asciiTheme="majorHAnsi" w:eastAsiaTheme="majorEastAsia" w:hAnsiTheme="majorHAnsi" w:cstheme="majorBidi"/>
          <w:bCs/>
          <w:color w:val="000000" w:themeColor="text1"/>
          <w:sz w:val="24"/>
          <w:szCs w:val="24"/>
        </w:rPr>
        <w:t>formulas weighting the factors</w:t>
      </w:r>
      <w:r w:rsidR="002F6673">
        <w:rPr>
          <w:rFonts w:asciiTheme="majorHAnsi" w:eastAsiaTheme="majorEastAsia" w:hAnsiTheme="majorHAnsi" w:cstheme="majorBidi"/>
          <w:bCs/>
          <w:color w:val="000000" w:themeColor="text1"/>
          <w:sz w:val="24"/>
          <w:szCs w:val="24"/>
        </w:rPr>
        <w:t xml:space="preserve"> equal</w:t>
      </w:r>
      <w:r w:rsidR="00EB2096">
        <w:rPr>
          <w:rFonts w:asciiTheme="majorHAnsi" w:eastAsiaTheme="majorEastAsia" w:hAnsiTheme="majorHAnsi" w:cstheme="majorBidi"/>
          <w:bCs/>
          <w:color w:val="000000" w:themeColor="text1"/>
          <w:sz w:val="24"/>
          <w:szCs w:val="24"/>
        </w:rPr>
        <w:t>ly</w:t>
      </w:r>
      <w:r w:rsidR="00383C53">
        <w:rPr>
          <w:rFonts w:asciiTheme="majorHAnsi" w:eastAsiaTheme="majorEastAsia" w:hAnsiTheme="majorHAnsi" w:cstheme="majorBidi"/>
          <w:bCs/>
          <w:color w:val="000000" w:themeColor="text1"/>
          <w:sz w:val="24"/>
          <w:szCs w:val="24"/>
        </w:rPr>
        <w:t xml:space="preserve">. </w:t>
      </w:r>
      <w:r w:rsidR="00EB2096">
        <w:rPr>
          <w:rFonts w:asciiTheme="majorHAnsi" w:eastAsiaTheme="majorEastAsia" w:hAnsiTheme="majorHAnsi" w:cstheme="majorBidi"/>
          <w:bCs/>
          <w:color w:val="000000" w:themeColor="text1"/>
          <w:sz w:val="24"/>
          <w:szCs w:val="24"/>
        </w:rPr>
        <w:t>Note that,</w:t>
      </w:r>
      <w:r w:rsidR="00A435D1">
        <w:rPr>
          <w:rFonts w:asciiTheme="majorHAnsi" w:eastAsiaTheme="majorEastAsia" w:hAnsiTheme="majorHAnsi" w:cstheme="majorBidi"/>
          <w:bCs/>
          <w:color w:val="000000" w:themeColor="text1"/>
          <w:sz w:val="24"/>
          <w:szCs w:val="24"/>
        </w:rPr>
        <w:t xml:space="preserve"> depending on other apportionment factors</w:t>
      </w:r>
      <w:r w:rsidR="00351EF0">
        <w:rPr>
          <w:rFonts w:asciiTheme="majorHAnsi" w:eastAsiaTheme="majorEastAsia" w:hAnsiTheme="majorHAnsi" w:cstheme="majorBidi"/>
          <w:bCs/>
          <w:color w:val="000000" w:themeColor="text1"/>
          <w:sz w:val="24"/>
          <w:szCs w:val="24"/>
        </w:rPr>
        <w:t xml:space="preserve"> (generally property and payroll)</w:t>
      </w:r>
      <w:r w:rsidR="00A435D1">
        <w:rPr>
          <w:rFonts w:asciiTheme="majorHAnsi" w:eastAsiaTheme="majorEastAsia" w:hAnsiTheme="majorHAnsi" w:cstheme="majorBidi"/>
          <w:bCs/>
          <w:color w:val="000000" w:themeColor="text1"/>
          <w:sz w:val="24"/>
          <w:szCs w:val="24"/>
        </w:rPr>
        <w:t xml:space="preserve">, some corporations may </w:t>
      </w:r>
      <w:r w:rsidR="00D739DA">
        <w:rPr>
          <w:rFonts w:asciiTheme="majorHAnsi" w:eastAsiaTheme="majorEastAsia" w:hAnsiTheme="majorHAnsi" w:cstheme="majorBidi"/>
          <w:bCs/>
          <w:color w:val="000000" w:themeColor="text1"/>
          <w:sz w:val="24"/>
          <w:szCs w:val="24"/>
        </w:rPr>
        <w:t>owe</w:t>
      </w:r>
      <w:r w:rsidR="00A435D1">
        <w:rPr>
          <w:rFonts w:asciiTheme="majorHAnsi" w:eastAsiaTheme="majorEastAsia" w:hAnsiTheme="majorHAnsi" w:cstheme="majorBidi"/>
          <w:bCs/>
          <w:color w:val="000000" w:themeColor="text1"/>
          <w:sz w:val="24"/>
          <w:szCs w:val="24"/>
        </w:rPr>
        <w:t xml:space="preserve"> more</w:t>
      </w:r>
      <w:r w:rsidR="00D739DA">
        <w:rPr>
          <w:rFonts w:asciiTheme="majorHAnsi" w:eastAsiaTheme="majorEastAsia" w:hAnsiTheme="majorHAnsi" w:cstheme="majorBidi"/>
          <w:bCs/>
          <w:color w:val="000000" w:themeColor="text1"/>
          <w:sz w:val="24"/>
          <w:szCs w:val="24"/>
        </w:rPr>
        <w:t xml:space="preserve"> tax</w:t>
      </w:r>
      <w:r w:rsidR="00A435D1">
        <w:rPr>
          <w:rFonts w:asciiTheme="majorHAnsi" w:eastAsiaTheme="majorEastAsia" w:hAnsiTheme="majorHAnsi" w:cstheme="majorBidi"/>
          <w:bCs/>
          <w:color w:val="000000" w:themeColor="text1"/>
          <w:sz w:val="24"/>
          <w:szCs w:val="24"/>
        </w:rPr>
        <w:t xml:space="preserve"> using formulas with </w:t>
      </w:r>
      <w:r w:rsidR="00351EF0">
        <w:rPr>
          <w:rFonts w:asciiTheme="majorHAnsi" w:eastAsiaTheme="majorEastAsia" w:hAnsiTheme="majorHAnsi" w:cstheme="majorBidi"/>
          <w:bCs/>
          <w:color w:val="000000" w:themeColor="text1"/>
          <w:sz w:val="24"/>
          <w:szCs w:val="24"/>
        </w:rPr>
        <w:t xml:space="preserve">higher </w:t>
      </w:r>
      <w:r w:rsidR="00A435D1">
        <w:rPr>
          <w:rFonts w:asciiTheme="majorHAnsi" w:eastAsiaTheme="majorEastAsia" w:hAnsiTheme="majorHAnsi" w:cstheme="majorBidi"/>
          <w:bCs/>
          <w:color w:val="000000" w:themeColor="text1"/>
          <w:sz w:val="24"/>
          <w:szCs w:val="24"/>
        </w:rPr>
        <w:t>weighted sales factor</w:t>
      </w:r>
      <w:r w:rsidR="00A435D1" w:rsidRPr="004A1F65">
        <w:rPr>
          <w:rFonts w:asciiTheme="majorHAnsi" w:eastAsiaTheme="majorEastAsia" w:hAnsiTheme="majorHAnsi" w:cstheme="majorBidi"/>
          <w:bCs/>
          <w:color w:val="000000" w:themeColor="text1"/>
          <w:sz w:val="24"/>
          <w:szCs w:val="24"/>
        </w:rPr>
        <w:t>.</w:t>
      </w:r>
      <w:r w:rsidR="00A435D1">
        <w:rPr>
          <w:rFonts w:asciiTheme="majorHAnsi" w:eastAsiaTheme="majorEastAsia" w:hAnsiTheme="majorHAnsi" w:cstheme="majorBidi"/>
          <w:bCs/>
          <w:color w:val="000000" w:themeColor="text1"/>
          <w:sz w:val="24"/>
          <w:szCs w:val="24"/>
        </w:rPr>
        <w:t xml:space="preserve"> Also note that c</w:t>
      </w:r>
      <w:r w:rsidR="008D3142">
        <w:rPr>
          <w:rFonts w:asciiTheme="majorHAnsi" w:eastAsiaTheme="majorEastAsia" w:hAnsiTheme="majorHAnsi" w:cstheme="majorBidi"/>
          <w:bCs/>
          <w:color w:val="000000" w:themeColor="text1"/>
          <w:sz w:val="24"/>
          <w:szCs w:val="24"/>
        </w:rPr>
        <w:t>orporations that file financial institution tax</w:t>
      </w:r>
      <w:r w:rsidR="00ED316F">
        <w:rPr>
          <w:rFonts w:asciiTheme="majorHAnsi" w:eastAsiaTheme="majorEastAsia" w:hAnsiTheme="majorHAnsi" w:cstheme="majorBidi"/>
          <w:bCs/>
          <w:color w:val="000000" w:themeColor="text1"/>
          <w:sz w:val="24"/>
          <w:szCs w:val="24"/>
        </w:rPr>
        <w:t xml:space="preserve"> return</w:t>
      </w:r>
      <w:r w:rsidR="00351EF0">
        <w:rPr>
          <w:rFonts w:asciiTheme="majorHAnsi" w:eastAsiaTheme="majorEastAsia" w:hAnsiTheme="majorHAnsi" w:cstheme="majorBidi"/>
          <w:bCs/>
          <w:color w:val="000000" w:themeColor="text1"/>
          <w:sz w:val="24"/>
          <w:szCs w:val="24"/>
        </w:rPr>
        <w:t>s</w:t>
      </w:r>
      <w:r w:rsidR="008D3142">
        <w:rPr>
          <w:rFonts w:asciiTheme="majorHAnsi" w:eastAsiaTheme="majorEastAsia" w:hAnsiTheme="majorHAnsi" w:cstheme="majorBidi"/>
          <w:bCs/>
          <w:color w:val="000000" w:themeColor="text1"/>
          <w:sz w:val="24"/>
          <w:szCs w:val="24"/>
        </w:rPr>
        <w:t xml:space="preserve"> </w:t>
      </w:r>
      <w:r w:rsidR="004C1E24">
        <w:rPr>
          <w:rFonts w:asciiTheme="majorHAnsi" w:eastAsiaTheme="majorEastAsia" w:hAnsiTheme="majorHAnsi" w:cstheme="majorBidi"/>
          <w:bCs/>
          <w:color w:val="000000" w:themeColor="text1"/>
          <w:sz w:val="24"/>
          <w:szCs w:val="24"/>
        </w:rPr>
        <w:t xml:space="preserve">must follow </w:t>
      </w:r>
      <w:r w:rsidR="00351EF0">
        <w:rPr>
          <w:rFonts w:asciiTheme="majorHAnsi" w:eastAsiaTheme="majorEastAsia" w:hAnsiTheme="majorHAnsi" w:cstheme="majorBidi"/>
          <w:bCs/>
          <w:color w:val="000000" w:themeColor="text1"/>
          <w:sz w:val="24"/>
          <w:szCs w:val="24"/>
        </w:rPr>
        <w:t xml:space="preserve">a </w:t>
      </w:r>
      <w:r w:rsidR="00351EF0">
        <w:rPr>
          <w:rFonts w:asciiTheme="majorHAnsi" w:eastAsiaTheme="majorEastAsia" w:hAnsiTheme="majorHAnsi" w:cstheme="majorBidi"/>
          <w:bCs/>
          <w:color w:val="000000" w:themeColor="text1"/>
          <w:sz w:val="24"/>
          <w:szCs w:val="24"/>
        </w:rPr>
        <w:lastRenderedPageBreak/>
        <w:t>three</w:t>
      </w:r>
      <w:r w:rsidR="00EB2096">
        <w:rPr>
          <w:rFonts w:asciiTheme="majorHAnsi" w:eastAsiaTheme="majorEastAsia" w:hAnsiTheme="majorHAnsi" w:cstheme="majorBidi"/>
          <w:bCs/>
          <w:color w:val="000000" w:themeColor="text1"/>
          <w:sz w:val="24"/>
          <w:szCs w:val="24"/>
        </w:rPr>
        <w:t>-</w:t>
      </w:r>
      <w:r w:rsidR="00351EF0">
        <w:rPr>
          <w:rFonts w:asciiTheme="majorHAnsi" w:eastAsiaTheme="majorEastAsia" w:hAnsiTheme="majorHAnsi" w:cstheme="majorBidi"/>
          <w:bCs/>
          <w:color w:val="000000" w:themeColor="text1"/>
          <w:sz w:val="24"/>
          <w:szCs w:val="24"/>
        </w:rPr>
        <w:t>factor formula with equal weighting,</w:t>
      </w:r>
      <w:r w:rsidR="004C1E24">
        <w:rPr>
          <w:rFonts w:asciiTheme="majorHAnsi" w:eastAsiaTheme="majorEastAsia" w:hAnsiTheme="majorHAnsi" w:cstheme="majorBidi"/>
          <w:bCs/>
          <w:color w:val="000000" w:themeColor="text1"/>
          <w:sz w:val="24"/>
          <w:szCs w:val="24"/>
        </w:rPr>
        <w:t xml:space="preserve"> </w:t>
      </w:r>
      <w:r w:rsidR="00A435D1">
        <w:rPr>
          <w:rFonts w:asciiTheme="majorHAnsi" w:eastAsiaTheme="majorEastAsia" w:hAnsiTheme="majorHAnsi" w:cstheme="majorBidi"/>
          <w:bCs/>
          <w:color w:val="000000" w:themeColor="text1"/>
          <w:sz w:val="24"/>
          <w:szCs w:val="24"/>
        </w:rPr>
        <w:t>and therefore are not impacted</w:t>
      </w:r>
      <w:r w:rsidR="00EB2096">
        <w:rPr>
          <w:rFonts w:asciiTheme="majorHAnsi" w:eastAsiaTheme="majorEastAsia" w:hAnsiTheme="majorHAnsi" w:cstheme="majorBidi"/>
          <w:bCs/>
          <w:color w:val="000000" w:themeColor="text1"/>
          <w:sz w:val="24"/>
          <w:szCs w:val="24"/>
        </w:rPr>
        <w:t xml:space="preserve"> by th</w:t>
      </w:r>
      <w:r w:rsidR="00272E2D">
        <w:rPr>
          <w:rFonts w:asciiTheme="majorHAnsi" w:eastAsiaTheme="majorEastAsia" w:hAnsiTheme="majorHAnsi" w:cstheme="majorBidi"/>
          <w:bCs/>
          <w:color w:val="000000" w:themeColor="text1"/>
          <w:sz w:val="24"/>
          <w:szCs w:val="24"/>
        </w:rPr>
        <w:t>is tax</w:t>
      </w:r>
      <w:r w:rsidR="00EB2096">
        <w:rPr>
          <w:rFonts w:asciiTheme="majorHAnsi" w:eastAsiaTheme="majorEastAsia" w:hAnsiTheme="majorHAnsi" w:cstheme="majorBidi"/>
          <w:bCs/>
          <w:color w:val="000000" w:themeColor="text1"/>
          <w:sz w:val="24"/>
          <w:szCs w:val="24"/>
        </w:rPr>
        <w:t xml:space="preserve"> expenditure</w:t>
      </w:r>
      <w:r w:rsidR="008D3142">
        <w:rPr>
          <w:rFonts w:asciiTheme="majorHAnsi" w:eastAsiaTheme="majorEastAsia" w:hAnsiTheme="majorHAnsi" w:cstheme="majorBidi"/>
          <w:bCs/>
          <w:color w:val="000000" w:themeColor="text1"/>
          <w:sz w:val="24"/>
          <w:szCs w:val="24"/>
        </w:rPr>
        <w:t xml:space="preserve">. </w:t>
      </w:r>
    </w:p>
    <w:p w14:paraId="282C5163" w14:textId="77777777" w:rsidR="00A435D1" w:rsidRDefault="00A435D1" w:rsidP="00B578C2">
      <w:pPr>
        <w:tabs>
          <w:tab w:val="left" w:pos="7050"/>
        </w:tabs>
        <w:spacing w:after="0"/>
        <w:rPr>
          <w:rFonts w:asciiTheme="majorHAnsi" w:eastAsiaTheme="majorEastAsia" w:hAnsiTheme="majorHAnsi" w:cstheme="majorBidi"/>
          <w:bCs/>
          <w:color w:val="000000" w:themeColor="text1"/>
          <w:sz w:val="24"/>
          <w:szCs w:val="24"/>
        </w:rPr>
      </w:pPr>
    </w:p>
    <w:p w14:paraId="1FB65288" w14:textId="7EFB5BC6" w:rsidR="004F5241" w:rsidRDefault="00351EF0" w:rsidP="00B578C2">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The </w:t>
      </w:r>
      <w:r w:rsidR="00EB2096">
        <w:rPr>
          <w:rFonts w:asciiTheme="majorHAnsi" w:eastAsiaTheme="majorEastAsia" w:hAnsiTheme="majorHAnsi" w:cstheme="majorBidi"/>
          <w:bCs/>
          <w:color w:val="000000" w:themeColor="text1"/>
          <w:sz w:val="24"/>
          <w:szCs w:val="24"/>
        </w:rPr>
        <w:t>t</w:t>
      </w:r>
      <w:r w:rsidR="008F4F52">
        <w:rPr>
          <w:rFonts w:asciiTheme="majorHAnsi" w:eastAsiaTheme="majorEastAsia" w:hAnsiTheme="majorHAnsi" w:cstheme="majorBidi"/>
          <w:bCs/>
          <w:color w:val="000000" w:themeColor="text1"/>
          <w:sz w:val="24"/>
          <w:szCs w:val="24"/>
        </w:rPr>
        <w:t xml:space="preserve">ables </w:t>
      </w:r>
      <w:r w:rsidR="00C124D1">
        <w:rPr>
          <w:rFonts w:asciiTheme="majorHAnsi" w:eastAsiaTheme="majorEastAsia" w:hAnsiTheme="majorHAnsi" w:cstheme="majorBidi"/>
          <w:bCs/>
          <w:color w:val="000000" w:themeColor="text1"/>
          <w:sz w:val="24"/>
          <w:szCs w:val="24"/>
        </w:rPr>
        <w:t>below</w:t>
      </w:r>
      <w:r w:rsidR="00FB656F">
        <w:rPr>
          <w:rFonts w:asciiTheme="majorHAnsi" w:eastAsiaTheme="majorEastAsia" w:hAnsiTheme="majorHAnsi" w:cstheme="majorBidi"/>
          <w:bCs/>
          <w:color w:val="000000" w:themeColor="text1"/>
          <w:sz w:val="24"/>
          <w:szCs w:val="24"/>
        </w:rPr>
        <w:t xml:space="preserve">, which are based on </w:t>
      </w:r>
      <w:r w:rsidR="00521D17">
        <w:rPr>
          <w:rFonts w:asciiTheme="majorHAnsi" w:eastAsiaTheme="majorEastAsia" w:hAnsiTheme="majorHAnsi" w:cstheme="majorBidi"/>
          <w:bCs/>
          <w:color w:val="000000" w:themeColor="text1"/>
          <w:sz w:val="24"/>
          <w:szCs w:val="24"/>
        </w:rPr>
        <w:t>a micro-simulation using 2017 corporate excise return data,</w:t>
      </w:r>
      <w:r w:rsidR="00C124D1">
        <w:rPr>
          <w:rFonts w:asciiTheme="majorHAnsi" w:eastAsiaTheme="majorEastAsia" w:hAnsiTheme="majorHAnsi" w:cstheme="majorBidi"/>
          <w:bCs/>
          <w:color w:val="000000" w:themeColor="text1"/>
          <w:sz w:val="24"/>
          <w:szCs w:val="24"/>
        </w:rPr>
        <w:t xml:space="preserve"> show the profile of the corporations that </w:t>
      </w:r>
      <w:r w:rsidR="00FD6E4B">
        <w:rPr>
          <w:rFonts w:asciiTheme="majorHAnsi" w:eastAsiaTheme="majorEastAsia" w:hAnsiTheme="majorHAnsi" w:cstheme="majorBidi"/>
          <w:bCs/>
          <w:color w:val="000000" w:themeColor="text1"/>
          <w:sz w:val="24"/>
          <w:szCs w:val="24"/>
        </w:rPr>
        <w:t>owe</w:t>
      </w:r>
      <w:r w:rsidR="00094767">
        <w:rPr>
          <w:rFonts w:asciiTheme="majorHAnsi" w:eastAsiaTheme="majorEastAsia" w:hAnsiTheme="majorHAnsi" w:cstheme="majorBidi"/>
          <w:bCs/>
          <w:color w:val="000000" w:themeColor="text1"/>
          <w:sz w:val="24"/>
          <w:szCs w:val="24"/>
        </w:rPr>
        <w:t>d</w:t>
      </w:r>
      <w:r w:rsidR="00FD6E4B">
        <w:rPr>
          <w:rFonts w:asciiTheme="majorHAnsi" w:eastAsiaTheme="majorEastAsia" w:hAnsiTheme="majorHAnsi" w:cstheme="majorBidi"/>
          <w:bCs/>
          <w:color w:val="000000" w:themeColor="text1"/>
          <w:sz w:val="24"/>
          <w:szCs w:val="24"/>
        </w:rPr>
        <w:t xml:space="preserve"> more or less tax using</w:t>
      </w:r>
      <w:r w:rsidR="00027524">
        <w:rPr>
          <w:rFonts w:asciiTheme="majorHAnsi" w:eastAsiaTheme="majorEastAsia" w:hAnsiTheme="majorHAnsi" w:cstheme="majorBidi"/>
          <w:bCs/>
          <w:color w:val="000000" w:themeColor="text1"/>
          <w:sz w:val="24"/>
          <w:szCs w:val="24"/>
        </w:rPr>
        <w:t xml:space="preserve"> </w:t>
      </w:r>
      <w:bookmarkStart w:id="1" w:name="_Hlk61440206"/>
      <w:r w:rsidR="006B3EE7">
        <w:rPr>
          <w:rFonts w:asciiTheme="majorHAnsi" w:eastAsiaTheme="majorEastAsia" w:hAnsiTheme="majorHAnsi" w:cstheme="majorBidi"/>
          <w:bCs/>
          <w:color w:val="000000" w:themeColor="text1"/>
          <w:sz w:val="24"/>
          <w:szCs w:val="24"/>
        </w:rPr>
        <w:t xml:space="preserve">formulas with </w:t>
      </w:r>
      <w:r>
        <w:rPr>
          <w:rFonts w:asciiTheme="majorHAnsi" w:eastAsiaTheme="majorEastAsia" w:hAnsiTheme="majorHAnsi" w:cstheme="majorBidi"/>
          <w:bCs/>
          <w:color w:val="000000" w:themeColor="text1"/>
          <w:sz w:val="24"/>
          <w:szCs w:val="24"/>
        </w:rPr>
        <w:t>higher</w:t>
      </w:r>
      <w:r w:rsidR="006B3EE7">
        <w:rPr>
          <w:rFonts w:asciiTheme="majorHAnsi" w:eastAsiaTheme="majorEastAsia" w:hAnsiTheme="majorHAnsi" w:cstheme="majorBidi"/>
          <w:bCs/>
          <w:color w:val="000000" w:themeColor="text1"/>
          <w:sz w:val="24"/>
          <w:szCs w:val="24"/>
        </w:rPr>
        <w:t xml:space="preserve"> weighted sales factor</w:t>
      </w:r>
      <w:bookmarkEnd w:id="1"/>
      <w:r w:rsidR="00FD6E4B">
        <w:rPr>
          <w:rFonts w:asciiTheme="majorHAnsi" w:eastAsiaTheme="majorEastAsia" w:hAnsiTheme="majorHAnsi" w:cstheme="majorBidi"/>
          <w:bCs/>
          <w:color w:val="000000" w:themeColor="text1"/>
          <w:sz w:val="24"/>
          <w:szCs w:val="24"/>
        </w:rPr>
        <w:t xml:space="preserve"> than using the formula with equal-weighted factors</w:t>
      </w:r>
      <w:r w:rsidR="003E0BB5">
        <w:rPr>
          <w:rFonts w:asciiTheme="majorHAnsi" w:eastAsiaTheme="majorEastAsia" w:hAnsiTheme="majorHAnsi" w:cstheme="majorBidi"/>
          <w:bCs/>
          <w:color w:val="000000" w:themeColor="text1"/>
          <w:sz w:val="24"/>
          <w:szCs w:val="24"/>
        </w:rPr>
        <w:t>.</w:t>
      </w:r>
      <w:r w:rsidR="001C5672">
        <w:rPr>
          <w:rStyle w:val="FootnoteReference"/>
          <w:rFonts w:asciiTheme="majorHAnsi" w:eastAsiaTheme="majorEastAsia" w:hAnsiTheme="majorHAnsi"/>
          <w:bCs/>
          <w:color w:val="000000" w:themeColor="text1"/>
          <w:sz w:val="24"/>
          <w:szCs w:val="24"/>
        </w:rPr>
        <w:footnoteReference w:id="1"/>
      </w:r>
      <w:r w:rsidR="00C124D1">
        <w:rPr>
          <w:rFonts w:asciiTheme="majorHAnsi" w:eastAsiaTheme="majorEastAsia" w:hAnsiTheme="majorHAnsi" w:cstheme="majorBidi"/>
          <w:bCs/>
          <w:color w:val="000000" w:themeColor="text1"/>
          <w:sz w:val="24"/>
          <w:szCs w:val="24"/>
        </w:rPr>
        <w:t xml:space="preserve"> </w:t>
      </w:r>
    </w:p>
    <w:p w14:paraId="11C0C8E7" w14:textId="77777777" w:rsidR="004F5241" w:rsidRDefault="004F5241" w:rsidP="00B578C2">
      <w:pPr>
        <w:tabs>
          <w:tab w:val="left" w:pos="7050"/>
        </w:tabs>
        <w:spacing w:after="0"/>
        <w:rPr>
          <w:rFonts w:asciiTheme="majorHAnsi" w:eastAsiaTheme="majorEastAsia" w:hAnsiTheme="majorHAnsi" w:cstheme="majorBidi"/>
          <w:bCs/>
          <w:color w:val="000000" w:themeColor="text1"/>
          <w:sz w:val="24"/>
          <w:szCs w:val="24"/>
        </w:rPr>
      </w:pPr>
    </w:p>
    <w:p w14:paraId="62A37CC6" w14:textId="4B8448B9" w:rsidR="00B578C2" w:rsidRDefault="00027524" w:rsidP="00B578C2">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Looking at </w:t>
      </w:r>
      <w:r w:rsidR="003A41CF">
        <w:rPr>
          <w:rFonts w:asciiTheme="majorHAnsi" w:eastAsiaTheme="majorEastAsia" w:hAnsiTheme="majorHAnsi" w:cstheme="majorBidi"/>
          <w:bCs/>
          <w:color w:val="000000" w:themeColor="text1"/>
          <w:sz w:val="24"/>
          <w:szCs w:val="24"/>
        </w:rPr>
        <w:t>T</w:t>
      </w:r>
      <w:r>
        <w:rPr>
          <w:rFonts w:asciiTheme="majorHAnsi" w:eastAsiaTheme="majorEastAsia" w:hAnsiTheme="majorHAnsi" w:cstheme="majorBidi"/>
          <w:bCs/>
          <w:color w:val="000000" w:themeColor="text1"/>
          <w:sz w:val="24"/>
          <w:szCs w:val="24"/>
        </w:rPr>
        <w:t xml:space="preserve">able </w:t>
      </w:r>
      <w:r w:rsidR="00A01E6E">
        <w:rPr>
          <w:rFonts w:asciiTheme="majorHAnsi" w:eastAsiaTheme="majorEastAsia" w:hAnsiTheme="majorHAnsi" w:cstheme="majorBidi"/>
          <w:bCs/>
          <w:color w:val="000000" w:themeColor="text1"/>
          <w:sz w:val="24"/>
          <w:szCs w:val="24"/>
        </w:rPr>
        <w:t>2</w:t>
      </w:r>
      <w:r>
        <w:rPr>
          <w:rFonts w:asciiTheme="majorHAnsi" w:eastAsiaTheme="majorEastAsia" w:hAnsiTheme="majorHAnsi" w:cstheme="majorBidi"/>
          <w:bCs/>
          <w:color w:val="000000" w:themeColor="text1"/>
          <w:sz w:val="24"/>
          <w:szCs w:val="24"/>
        </w:rPr>
        <w:t xml:space="preserve">, </w:t>
      </w:r>
      <w:r w:rsidR="00A01E6E">
        <w:rPr>
          <w:rFonts w:asciiTheme="majorHAnsi" w:eastAsiaTheme="majorEastAsia" w:hAnsiTheme="majorHAnsi" w:cstheme="majorBidi"/>
          <w:bCs/>
          <w:color w:val="000000" w:themeColor="text1"/>
          <w:sz w:val="24"/>
          <w:szCs w:val="24"/>
        </w:rPr>
        <w:t>in tax year 201</w:t>
      </w:r>
      <w:r w:rsidR="006B3EE7">
        <w:rPr>
          <w:rFonts w:asciiTheme="majorHAnsi" w:eastAsiaTheme="majorEastAsia" w:hAnsiTheme="majorHAnsi" w:cstheme="majorBidi"/>
          <w:bCs/>
          <w:color w:val="000000" w:themeColor="text1"/>
          <w:sz w:val="24"/>
          <w:szCs w:val="24"/>
        </w:rPr>
        <w:t>7</w:t>
      </w:r>
      <w:r>
        <w:rPr>
          <w:rFonts w:asciiTheme="majorHAnsi" w:eastAsiaTheme="majorEastAsia" w:hAnsiTheme="majorHAnsi" w:cstheme="majorBidi"/>
          <w:bCs/>
          <w:color w:val="000000" w:themeColor="text1"/>
          <w:sz w:val="24"/>
          <w:szCs w:val="24"/>
        </w:rPr>
        <w:t xml:space="preserve">, about </w:t>
      </w:r>
      <w:r w:rsidR="001C5672">
        <w:rPr>
          <w:rFonts w:asciiTheme="majorHAnsi" w:eastAsiaTheme="majorEastAsia" w:hAnsiTheme="majorHAnsi" w:cstheme="majorBidi"/>
          <w:bCs/>
          <w:color w:val="000000" w:themeColor="text1"/>
          <w:sz w:val="24"/>
          <w:szCs w:val="24"/>
        </w:rPr>
        <w:t>16,689</w:t>
      </w:r>
      <w:r>
        <w:rPr>
          <w:rFonts w:asciiTheme="majorHAnsi" w:eastAsiaTheme="majorEastAsia" w:hAnsiTheme="majorHAnsi" w:cstheme="majorBidi"/>
          <w:bCs/>
          <w:color w:val="000000" w:themeColor="text1"/>
          <w:sz w:val="24"/>
          <w:szCs w:val="24"/>
        </w:rPr>
        <w:t xml:space="preserve"> corporations </w:t>
      </w:r>
      <w:r w:rsidR="00A01E6E">
        <w:rPr>
          <w:rFonts w:asciiTheme="majorHAnsi" w:eastAsiaTheme="majorEastAsia" w:hAnsiTheme="majorHAnsi" w:cstheme="majorBidi"/>
          <w:bCs/>
          <w:color w:val="000000" w:themeColor="text1"/>
          <w:sz w:val="24"/>
          <w:szCs w:val="24"/>
        </w:rPr>
        <w:t xml:space="preserve">had </w:t>
      </w:r>
      <w:r w:rsidR="00ED0296">
        <w:rPr>
          <w:rFonts w:asciiTheme="majorHAnsi" w:eastAsiaTheme="majorEastAsia" w:hAnsiTheme="majorHAnsi" w:cstheme="majorBidi"/>
          <w:bCs/>
          <w:color w:val="000000" w:themeColor="text1"/>
          <w:sz w:val="24"/>
          <w:szCs w:val="24"/>
        </w:rPr>
        <w:t xml:space="preserve">a </w:t>
      </w:r>
      <w:r w:rsidR="00A01E6E">
        <w:rPr>
          <w:rFonts w:asciiTheme="majorHAnsi" w:eastAsiaTheme="majorEastAsia" w:hAnsiTheme="majorHAnsi" w:cstheme="majorBidi"/>
          <w:bCs/>
          <w:color w:val="000000" w:themeColor="text1"/>
          <w:sz w:val="24"/>
          <w:szCs w:val="24"/>
        </w:rPr>
        <w:t xml:space="preserve">smaller </w:t>
      </w:r>
      <w:r w:rsidR="001C5672">
        <w:rPr>
          <w:rFonts w:asciiTheme="majorHAnsi" w:eastAsiaTheme="majorEastAsia" w:hAnsiTheme="majorHAnsi" w:cstheme="majorBidi"/>
          <w:bCs/>
          <w:color w:val="000000" w:themeColor="text1"/>
          <w:sz w:val="24"/>
          <w:szCs w:val="24"/>
        </w:rPr>
        <w:t xml:space="preserve">or larger </w:t>
      </w:r>
      <w:r w:rsidR="00A01E6E">
        <w:rPr>
          <w:rFonts w:asciiTheme="majorHAnsi" w:eastAsiaTheme="majorEastAsia" w:hAnsiTheme="majorHAnsi" w:cstheme="majorBidi"/>
          <w:bCs/>
          <w:color w:val="000000" w:themeColor="text1"/>
          <w:sz w:val="24"/>
          <w:szCs w:val="24"/>
        </w:rPr>
        <w:t xml:space="preserve">tax liability using </w:t>
      </w:r>
      <w:r w:rsidR="006B3EE7">
        <w:rPr>
          <w:rFonts w:asciiTheme="majorHAnsi" w:eastAsiaTheme="majorEastAsia" w:hAnsiTheme="majorHAnsi" w:cstheme="majorBidi"/>
          <w:bCs/>
          <w:color w:val="000000" w:themeColor="text1"/>
          <w:sz w:val="24"/>
          <w:szCs w:val="24"/>
        </w:rPr>
        <w:t>formulas with</w:t>
      </w:r>
      <w:r w:rsidR="00351EF0">
        <w:rPr>
          <w:rFonts w:asciiTheme="majorHAnsi" w:eastAsiaTheme="majorEastAsia" w:hAnsiTheme="majorHAnsi" w:cstheme="majorBidi"/>
          <w:bCs/>
          <w:color w:val="000000" w:themeColor="text1"/>
          <w:sz w:val="24"/>
          <w:szCs w:val="24"/>
        </w:rPr>
        <w:t xml:space="preserve"> higher </w:t>
      </w:r>
      <w:r w:rsidR="006B3EE7">
        <w:rPr>
          <w:rFonts w:asciiTheme="majorHAnsi" w:eastAsiaTheme="majorEastAsia" w:hAnsiTheme="majorHAnsi" w:cstheme="majorBidi"/>
          <w:bCs/>
          <w:color w:val="000000" w:themeColor="text1"/>
          <w:sz w:val="24"/>
          <w:szCs w:val="24"/>
        </w:rPr>
        <w:t>weighted sales factor</w:t>
      </w:r>
      <w:r w:rsidR="005E6D1C">
        <w:rPr>
          <w:rFonts w:asciiTheme="majorHAnsi" w:eastAsiaTheme="majorEastAsia" w:hAnsiTheme="majorHAnsi" w:cstheme="majorBidi"/>
          <w:bCs/>
          <w:color w:val="000000" w:themeColor="text1"/>
          <w:sz w:val="24"/>
          <w:szCs w:val="24"/>
        </w:rPr>
        <w:t xml:space="preserve"> (double-weighted sales factor or single-sales factor)</w:t>
      </w:r>
      <w:r w:rsidR="006B3EE7">
        <w:rPr>
          <w:rFonts w:asciiTheme="majorHAnsi" w:eastAsiaTheme="majorEastAsia" w:hAnsiTheme="majorHAnsi" w:cstheme="majorBidi"/>
          <w:bCs/>
          <w:color w:val="000000" w:themeColor="text1"/>
          <w:sz w:val="24"/>
          <w:szCs w:val="24"/>
        </w:rPr>
        <w:t xml:space="preserve"> </w:t>
      </w:r>
      <w:r w:rsidR="00A01E6E">
        <w:rPr>
          <w:rFonts w:asciiTheme="majorHAnsi" w:eastAsiaTheme="majorEastAsia" w:hAnsiTheme="majorHAnsi" w:cstheme="majorBidi"/>
          <w:bCs/>
          <w:color w:val="000000" w:themeColor="text1"/>
          <w:sz w:val="24"/>
          <w:szCs w:val="24"/>
        </w:rPr>
        <w:t xml:space="preserve">than </w:t>
      </w:r>
      <w:r w:rsidR="00ED0296">
        <w:rPr>
          <w:rFonts w:asciiTheme="majorHAnsi" w:eastAsiaTheme="majorEastAsia" w:hAnsiTheme="majorHAnsi" w:cstheme="majorBidi"/>
          <w:bCs/>
          <w:color w:val="000000" w:themeColor="text1"/>
          <w:sz w:val="24"/>
          <w:szCs w:val="24"/>
        </w:rPr>
        <w:t xml:space="preserve">they would have had </w:t>
      </w:r>
      <w:r w:rsidR="00A01E6E">
        <w:rPr>
          <w:rFonts w:asciiTheme="majorHAnsi" w:eastAsiaTheme="majorEastAsia" w:hAnsiTheme="majorHAnsi" w:cstheme="majorBidi"/>
          <w:bCs/>
          <w:color w:val="000000" w:themeColor="text1"/>
          <w:sz w:val="24"/>
          <w:szCs w:val="24"/>
        </w:rPr>
        <w:t xml:space="preserve">using </w:t>
      </w:r>
      <w:r w:rsidR="00FD6E4B">
        <w:rPr>
          <w:rFonts w:asciiTheme="majorHAnsi" w:eastAsiaTheme="majorEastAsia" w:hAnsiTheme="majorHAnsi" w:cstheme="majorBidi"/>
          <w:bCs/>
          <w:color w:val="000000" w:themeColor="text1"/>
          <w:sz w:val="24"/>
          <w:szCs w:val="24"/>
        </w:rPr>
        <w:t xml:space="preserve">the </w:t>
      </w:r>
      <w:r w:rsidR="003606D0">
        <w:rPr>
          <w:rFonts w:asciiTheme="majorHAnsi" w:eastAsiaTheme="majorEastAsia" w:hAnsiTheme="majorHAnsi" w:cstheme="majorBidi"/>
          <w:bCs/>
          <w:color w:val="000000" w:themeColor="text1"/>
          <w:sz w:val="24"/>
          <w:szCs w:val="24"/>
        </w:rPr>
        <w:t xml:space="preserve">formula with </w:t>
      </w:r>
      <w:r w:rsidR="00A01E6E">
        <w:rPr>
          <w:rFonts w:asciiTheme="majorHAnsi" w:eastAsiaTheme="majorEastAsia" w:hAnsiTheme="majorHAnsi" w:cstheme="majorBidi"/>
          <w:bCs/>
          <w:color w:val="000000" w:themeColor="text1"/>
          <w:sz w:val="24"/>
          <w:szCs w:val="24"/>
        </w:rPr>
        <w:t>equal-weighted</w:t>
      </w:r>
      <w:r w:rsidR="003606D0">
        <w:rPr>
          <w:rFonts w:asciiTheme="majorHAnsi" w:eastAsiaTheme="majorEastAsia" w:hAnsiTheme="majorHAnsi" w:cstheme="majorBidi"/>
          <w:bCs/>
          <w:color w:val="000000" w:themeColor="text1"/>
          <w:sz w:val="24"/>
          <w:szCs w:val="24"/>
        </w:rPr>
        <w:t xml:space="preserve"> factors</w:t>
      </w:r>
      <w:r>
        <w:rPr>
          <w:rFonts w:asciiTheme="majorHAnsi" w:eastAsiaTheme="majorEastAsia" w:hAnsiTheme="majorHAnsi" w:cstheme="majorBidi"/>
          <w:bCs/>
          <w:color w:val="000000" w:themeColor="text1"/>
          <w:sz w:val="24"/>
          <w:szCs w:val="24"/>
        </w:rPr>
        <w:t xml:space="preserve">. </w:t>
      </w:r>
      <w:r w:rsidR="00B578C2">
        <w:rPr>
          <w:rFonts w:asciiTheme="majorHAnsi" w:eastAsiaTheme="majorEastAsia" w:hAnsiTheme="majorHAnsi" w:cstheme="majorBidi"/>
          <w:bCs/>
          <w:color w:val="000000" w:themeColor="text1"/>
          <w:sz w:val="24"/>
          <w:szCs w:val="24"/>
        </w:rPr>
        <w:t>Among them</w:t>
      </w:r>
      <w:r w:rsidR="00A01E6E">
        <w:rPr>
          <w:rFonts w:asciiTheme="majorHAnsi" w:eastAsiaTheme="majorEastAsia" w:hAnsiTheme="majorHAnsi" w:cstheme="majorBidi"/>
          <w:bCs/>
          <w:color w:val="000000" w:themeColor="text1"/>
          <w:sz w:val="24"/>
          <w:szCs w:val="24"/>
        </w:rPr>
        <w:t xml:space="preserve">, </w:t>
      </w:r>
      <w:r w:rsidR="00C17D2C">
        <w:rPr>
          <w:rFonts w:asciiTheme="majorHAnsi" w:eastAsiaTheme="majorEastAsia" w:hAnsiTheme="majorHAnsi" w:cstheme="majorBidi"/>
          <w:bCs/>
          <w:color w:val="000000" w:themeColor="text1"/>
          <w:sz w:val="24"/>
          <w:szCs w:val="24"/>
        </w:rPr>
        <w:t>14.9</w:t>
      </w:r>
      <w:r w:rsidR="00ED0296" w:rsidRPr="0079481F">
        <w:rPr>
          <w:rFonts w:asciiTheme="majorHAnsi" w:eastAsiaTheme="majorEastAsia" w:hAnsiTheme="majorHAnsi" w:cstheme="majorBidi"/>
          <w:bCs/>
          <w:color w:val="000000" w:themeColor="text1"/>
          <w:sz w:val="24"/>
          <w:szCs w:val="24"/>
        </w:rPr>
        <w:t xml:space="preserve">%, or </w:t>
      </w:r>
      <w:r w:rsidR="00C17D2C">
        <w:rPr>
          <w:rFonts w:asciiTheme="majorHAnsi" w:eastAsiaTheme="majorEastAsia" w:hAnsiTheme="majorHAnsi" w:cstheme="majorBidi"/>
          <w:bCs/>
          <w:color w:val="000000" w:themeColor="text1"/>
          <w:sz w:val="24"/>
          <w:szCs w:val="24"/>
        </w:rPr>
        <w:t>2,486</w:t>
      </w:r>
      <w:r w:rsidR="00C17D2C" w:rsidRPr="0079481F">
        <w:rPr>
          <w:rFonts w:asciiTheme="majorHAnsi" w:eastAsiaTheme="majorEastAsia" w:hAnsiTheme="majorHAnsi" w:cstheme="majorBidi"/>
          <w:bCs/>
          <w:color w:val="000000" w:themeColor="text1"/>
          <w:sz w:val="24"/>
          <w:szCs w:val="24"/>
        </w:rPr>
        <w:t xml:space="preserve"> </w:t>
      </w:r>
      <w:r w:rsidR="00ED0296" w:rsidRPr="0079481F">
        <w:rPr>
          <w:rFonts w:asciiTheme="majorHAnsi" w:eastAsiaTheme="majorEastAsia" w:hAnsiTheme="majorHAnsi" w:cstheme="majorBidi"/>
          <w:bCs/>
          <w:color w:val="000000" w:themeColor="text1"/>
          <w:sz w:val="24"/>
          <w:szCs w:val="24"/>
        </w:rPr>
        <w:t>corporations used single-sales factor apportionment (</w:t>
      </w:r>
      <w:r w:rsidR="00C17D2C">
        <w:rPr>
          <w:rFonts w:asciiTheme="majorHAnsi" w:eastAsiaTheme="majorEastAsia" w:hAnsiTheme="majorHAnsi" w:cstheme="majorBidi"/>
          <w:bCs/>
          <w:color w:val="000000" w:themeColor="text1"/>
          <w:sz w:val="24"/>
          <w:szCs w:val="24"/>
        </w:rPr>
        <w:t>14.4</w:t>
      </w:r>
      <w:r w:rsidR="00A01E6E">
        <w:rPr>
          <w:rFonts w:asciiTheme="majorHAnsi" w:eastAsiaTheme="majorEastAsia" w:hAnsiTheme="majorHAnsi" w:cstheme="majorBidi"/>
          <w:bCs/>
          <w:color w:val="000000" w:themeColor="text1"/>
          <w:sz w:val="24"/>
          <w:szCs w:val="24"/>
        </w:rPr>
        <w:t xml:space="preserve">% or </w:t>
      </w:r>
      <w:r w:rsidR="00C17D2C">
        <w:rPr>
          <w:rFonts w:asciiTheme="majorHAnsi" w:eastAsiaTheme="majorEastAsia" w:hAnsiTheme="majorHAnsi" w:cstheme="majorBidi"/>
          <w:bCs/>
          <w:color w:val="000000" w:themeColor="text1"/>
          <w:sz w:val="24"/>
          <w:szCs w:val="24"/>
        </w:rPr>
        <w:t xml:space="preserve">2,407 </w:t>
      </w:r>
      <w:r w:rsidR="00A01E6E">
        <w:rPr>
          <w:rFonts w:asciiTheme="majorHAnsi" w:eastAsiaTheme="majorEastAsia" w:hAnsiTheme="majorHAnsi" w:cstheme="majorBidi"/>
          <w:bCs/>
          <w:color w:val="000000" w:themeColor="text1"/>
          <w:sz w:val="24"/>
          <w:szCs w:val="24"/>
        </w:rPr>
        <w:t>corporations were</w:t>
      </w:r>
      <w:r w:rsidR="00B578C2">
        <w:rPr>
          <w:rFonts w:asciiTheme="majorHAnsi" w:eastAsiaTheme="majorEastAsia" w:hAnsiTheme="majorHAnsi" w:cstheme="majorBidi"/>
          <w:bCs/>
          <w:color w:val="000000" w:themeColor="text1"/>
          <w:sz w:val="24"/>
          <w:szCs w:val="24"/>
        </w:rPr>
        <w:t xml:space="preserve"> section 38 manufacturers, </w:t>
      </w:r>
      <w:r w:rsidR="00A01E6E">
        <w:rPr>
          <w:rFonts w:asciiTheme="majorHAnsi" w:eastAsiaTheme="majorEastAsia" w:hAnsiTheme="majorHAnsi" w:cstheme="majorBidi"/>
          <w:bCs/>
          <w:color w:val="000000" w:themeColor="text1"/>
          <w:sz w:val="24"/>
          <w:szCs w:val="24"/>
        </w:rPr>
        <w:t>0.</w:t>
      </w:r>
      <w:r w:rsidR="00C17D2C">
        <w:rPr>
          <w:rFonts w:asciiTheme="majorHAnsi" w:eastAsiaTheme="majorEastAsia" w:hAnsiTheme="majorHAnsi" w:cstheme="majorBidi"/>
          <w:bCs/>
          <w:color w:val="000000" w:themeColor="text1"/>
          <w:sz w:val="24"/>
          <w:szCs w:val="24"/>
        </w:rPr>
        <w:t>5</w:t>
      </w:r>
      <w:r w:rsidR="00A01E6E">
        <w:rPr>
          <w:rFonts w:asciiTheme="majorHAnsi" w:eastAsiaTheme="majorEastAsia" w:hAnsiTheme="majorHAnsi" w:cstheme="majorBidi"/>
          <w:bCs/>
          <w:color w:val="000000" w:themeColor="text1"/>
          <w:sz w:val="24"/>
          <w:szCs w:val="24"/>
        </w:rPr>
        <w:t xml:space="preserve">% or </w:t>
      </w:r>
      <w:r w:rsidR="00C17D2C">
        <w:rPr>
          <w:rFonts w:asciiTheme="majorHAnsi" w:eastAsiaTheme="majorEastAsia" w:hAnsiTheme="majorHAnsi" w:cstheme="majorBidi"/>
          <w:bCs/>
          <w:color w:val="000000" w:themeColor="text1"/>
          <w:sz w:val="24"/>
          <w:szCs w:val="24"/>
        </w:rPr>
        <w:t xml:space="preserve">79 </w:t>
      </w:r>
      <w:r w:rsidR="00A01E6E">
        <w:rPr>
          <w:rFonts w:asciiTheme="majorHAnsi" w:eastAsiaTheme="majorEastAsia" w:hAnsiTheme="majorHAnsi" w:cstheme="majorBidi"/>
          <w:bCs/>
          <w:color w:val="000000" w:themeColor="text1"/>
          <w:sz w:val="24"/>
          <w:szCs w:val="24"/>
        </w:rPr>
        <w:t xml:space="preserve">were </w:t>
      </w:r>
      <w:r w:rsidR="00B578C2">
        <w:rPr>
          <w:rFonts w:asciiTheme="majorHAnsi" w:eastAsiaTheme="majorEastAsia" w:hAnsiTheme="majorHAnsi" w:cstheme="majorBidi"/>
          <w:bCs/>
          <w:color w:val="000000" w:themeColor="text1"/>
          <w:sz w:val="24"/>
          <w:szCs w:val="24"/>
        </w:rPr>
        <w:t>mutual fund services</w:t>
      </w:r>
      <w:r w:rsidR="001B3F84">
        <w:rPr>
          <w:rFonts w:asciiTheme="majorHAnsi" w:eastAsiaTheme="majorEastAsia" w:hAnsiTheme="majorHAnsi" w:cstheme="majorBidi"/>
          <w:bCs/>
          <w:color w:val="000000" w:themeColor="text1"/>
          <w:sz w:val="24"/>
          <w:szCs w:val="24"/>
        </w:rPr>
        <w:t xml:space="preserve"> corporations</w:t>
      </w:r>
      <w:r w:rsidR="00ED0296">
        <w:rPr>
          <w:rFonts w:asciiTheme="majorHAnsi" w:eastAsiaTheme="majorEastAsia" w:hAnsiTheme="majorHAnsi" w:cstheme="majorBidi"/>
          <w:bCs/>
          <w:color w:val="000000" w:themeColor="text1"/>
          <w:sz w:val="24"/>
          <w:szCs w:val="24"/>
        </w:rPr>
        <w:t>)</w:t>
      </w:r>
      <w:r w:rsidR="00B578C2">
        <w:rPr>
          <w:rFonts w:asciiTheme="majorHAnsi" w:eastAsiaTheme="majorEastAsia" w:hAnsiTheme="majorHAnsi" w:cstheme="majorBidi"/>
          <w:bCs/>
          <w:color w:val="000000" w:themeColor="text1"/>
          <w:sz w:val="24"/>
          <w:szCs w:val="24"/>
        </w:rPr>
        <w:t xml:space="preserve">, and </w:t>
      </w:r>
      <w:r w:rsidR="00C17D2C">
        <w:rPr>
          <w:rFonts w:asciiTheme="majorHAnsi" w:eastAsiaTheme="majorEastAsia" w:hAnsiTheme="majorHAnsi" w:cstheme="majorBidi"/>
          <w:bCs/>
          <w:color w:val="000000" w:themeColor="text1"/>
          <w:sz w:val="24"/>
          <w:szCs w:val="24"/>
        </w:rPr>
        <w:t>85.1</w:t>
      </w:r>
      <w:r w:rsidR="00A01E6E">
        <w:rPr>
          <w:rFonts w:asciiTheme="majorHAnsi" w:eastAsiaTheme="majorEastAsia" w:hAnsiTheme="majorHAnsi" w:cstheme="majorBidi"/>
          <w:bCs/>
          <w:color w:val="000000" w:themeColor="text1"/>
          <w:sz w:val="24"/>
          <w:szCs w:val="24"/>
        </w:rPr>
        <w:t xml:space="preserve">% or </w:t>
      </w:r>
      <w:r w:rsidR="00C17D2C">
        <w:rPr>
          <w:rFonts w:asciiTheme="majorHAnsi" w:eastAsiaTheme="majorEastAsia" w:hAnsiTheme="majorHAnsi" w:cstheme="majorBidi"/>
          <w:bCs/>
          <w:color w:val="000000" w:themeColor="text1"/>
          <w:sz w:val="24"/>
          <w:szCs w:val="24"/>
        </w:rPr>
        <w:t>14,203</w:t>
      </w:r>
      <w:r w:rsidR="00A01E6E">
        <w:rPr>
          <w:rFonts w:asciiTheme="majorHAnsi" w:eastAsiaTheme="majorEastAsia" w:hAnsiTheme="majorHAnsi" w:cstheme="majorBidi"/>
          <w:bCs/>
          <w:color w:val="000000" w:themeColor="text1"/>
          <w:sz w:val="24"/>
          <w:szCs w:val="24"/>
        </w:rPr>
        <w:t xml:space="preserve"> </w:t>
      </w:r>
      <w:r w:rsidR="00661A9F">
        <w:rPr>
          <w:rFonts w:asciiTheme="majorHAnsi" w:eastAsiaTheme="majorEastAsia" w:hAnsiTheme="majorHAnsi" w:cstheme="majorBidi"/>
          <w:bCs/>
          <w:color w:val="000000" w:themeColor="text1"/>
          <w:sz w:val="24"/>
          <w:szCs w:val="24"/>
        </w:rPr>
        <w:t>we</w:t>
      </w:r>
      <w:r w:rsidR="00A01E6E">
        <w:rPr>
          <w:rFonts w:asciiTheme="majorHAnsi" w:eastAsiaTheme="majorEastAsia" w:hAnsiTheme="majorHAnsi" w:cstheme="majorBidi"/>
          <w:bCs/>
          <w:color w:val="000000" w:themeColor="text1"/>
          <w:sz w:val="24"/>
          <w:szCs w:val="24"/>
        </w:rPr>
        <w:t>re other types of corporations</w:t>
      </w:r>
      <w:r w:rsidR="00ED0296">
        <w:rPr>
          <w:rFonts w:asciiTheme="majorHAnsi" w:eastAsiaTheme="majorEastAsia" w:hAnsiTheme="majorHAnsi" w:cstheme="majorBidi"/>
          <w:bCs/>
          <w:color w:val="000000" w:themeColor="text1"/>
          <w:sz w:val="24"/>
          <w:szCs w:val="24"/>
        </w:rPr>
        <w:t xml:space="preserve"> applying a double-weighted sales</w:t>
      </w:r>
      <w:r w:rsidR="0079481F">
        <w:rPr>
          <w:rFonts w:asciiTheme="majorHAnsi" w:eastAsiaTheme="majorEastAsia" w:hAnsiTheme="majorHAnsi" w:cstheme="majorBidi"/>
          <w:bCs/>
          <w:color w:val="000000" w:themeColor="text1"/>
          <w:sz w:val="24"/>
          <w:szCs w:val="24"/>
        </w:rPr>
        <w:t xml:space="preserve"> factor</w:t>
      </w:r>
      <w:r w:rsidR="00ED0296">
        <w:rPr>
          <w:rFonts w:asciiTheme="majorHAnsi" w:eastAsiaTheme="majorEastAsia" w:hAnsiTheme="majorHAnsi" w:cstheme="majorBidi"/>
          <w:bCs/>
          <w:color w:val="000000" w:themeColor="text1"/>
          <w:sz w:val="24"/>
          <w:szCs w:val="24"/>
        </w:rPr>
        <w:t xml:space="preserve"> formula</w:t>
      </w:r>
      <w:r w:rsidR="00B578C2">
        <w:rPr>
          <w:rFonts w:asciiTheme="majorHAnsi" w:eastAsiaTheme="majorEastAsia" w:hAnsiTheme="majorHAnsi" w:cstheme="majorBidi"/>
          <w:bCs/>
          <w:color w:val="000000" w:themeColor="text1"/>
          <w:sz w:val="24"/>
          <w:szCs w:val="24"/>
        </w:rPr>
        <w:t>.</w:t>
      </w:r>
      <w:r w:rsidR="00661A9F">
        <w:rPr>
          <w:rFonts w:asciiTheme="majorHAnsi" w:eastAsiaTheme="majorEastAsia" w:hAnsiTheme="majorHAnsi" w:cstheme="majorBidi"/>
          <w:bCs/>
          <w:color w:val="000000" w:themeColor="text1"/>
          <w:sz w:val="24"/>
          <w:szCs w:val="24"/>
        </w:rPr>
        <w:t xml:space="preserve"> </w:t>
      </w:r>
      <w:r w:rsidR="00FE31E6">
        <w:rPr>
          <w:rFonts w:asciiTheme="majorHAnsi" w:eastAsiaTheme="majorEastAsia" w:hAnsiTheme="majorHAnsi" w:cstheme="majorBidi"/>
          <w:bCs/>
          <w:color w:val="000000" w:themeColor="text1"/>
          <w:sz w:val="24"/>
          <w:szCs w:val="24"/>
        </w:rPr>
        <w:t>T</w:t>
      </w:r>
      <w:r w:rsidR="00C17D2C">
        <w:rPr>
          <w:rFonts w:asciiTheme="majorHAnsi" w:eastAsiaTheme="majorEastAsia" w:hAnsiTheme="majorHAnsi" w:cstheme="majorBidi"/>
          <w:bCs/>
          <w:color w:val="000000" w:themeColor="text1"/>
          <w:sz w:val="24"/>
          <w:szCs w:val="24"/>
        </w:rPr>
        <w:t>he impacted corporations’ tax liability decreased by</w:t>
      </w:r>
      <w:r w:rsidR="00661A9F">
        <w:rPr>
          <w:rFonts w:asciiTheme="majorHAnsi" w:eastAsiaTheme="majorEastAsia" w:hAnsiTheme="majorHAnsi" w:cstheme="majorBidi"/>
          <w:bCs/>
          <w:color w:val="000000" w:themeColor="text1"/>
          <w:sz w:val="24"/>
          <w:szCs w:val="24"/>
        </w:rPr>
        <w:t xml:space="preserve"> </w:t>
      </w:r>
      <w:r w:rsidR="00FE31E6">
        <w:rPr>
          <w:rFonts w:asciiTheme="majorHAnsi" w:eastAsiaTheme="majorEastAsia" w:hAnsiTheme="majorHAnsi" w:cstheme="majorBidi"/>
          <w:bCs/>
          <w:color w:val="000000" w:themeColor="text1"/>
          <w:sz w:val="24"/>
          <w:szCs w:val="24"/>
        </w:rPr>
        <w:t xml:space="preserve">a net amount of </w:t>
      </w:r>
      <w:r w:rsidR="00661A9F">
        <w:rPr>
          <w:rFonts w:asciiTheme="majorHAnsi" w:eastAsiaTheme="majorEastAsia" w:hAnsiTheme="majorHAnsi" w:cstheme="majorBidi"/>
          <w:bCs/>
          <w:color w:val="000000" w:themeColor="text1"/>
          <w:sz w:val="24"/>
          <w:szCs w:val="24"/>
        </w:rPr>
        <w:t>$</w:t>
      </w:r>
      <w:r w:rsidR="00C17D2C">
        <w:rPr>
          <w:rFonts w:asciiTheme="majorHAnsi" w:eastAsiaTheme="majorEastAsia" w:hAnsiTheme="majorHAnsi" w:cstheme="majorBidi"/>
          <w:bCs/>
          <w:color w:val="000000" w:themeColor="text1"/>
          <w:sz w:val="24"/>
          <w:szCs w:val="24"/>
        </w:rPr>
        <w:t xml:space="preserve">393 </w:t>
      </w:r>
      <w:r w:rsidR="00661A9F">
        <w:rPr>
          <w:rFonts w:asciiTheme="majorHAnsi" w:eastAsiaTheme="majorEastAsia" w:hAnsiTheme="majorHAnsi" w:cstheme="majorBidi"/>
          <w:bCs/>
          <w:color w:val="000000" w:themeColor="text1"/>
          <w:sz w:val="24"/>
          <w:szCs w:val="24"/>
        </w:rPr>
        <w:t>million,</w:t>
      </w:r>
      <w:r w:rsidR="00FD6E4B">
        <w:rPr>
          <w:rStyle w:val="FootnoteReference"/>
          <w:rFonts w:asciiTheme="majorHAnsi" w:eastAsiaTheme="majorEastAsia" w:hAnsiTheme="majorHAnsi"/>
          <w:bCs/>
          <w:color w:val="000000" w:themeColor="text1"/>
          <w:sz w:val="24"/>
          <w:szCs w:val="24"/>
        </w:rPr>
        <w:footnoteReference w:id="2"/>
      </w:r>
      <w:r w:rsidR="00661A9F">
        <w:rPr>
          <w:rFonts w:asciiTheme="majorHAnsi" w:eastAsiaTheme="majorEastAsia" w:hAnsiTheme="majorHAnsi" w:cstheme="majorBidi"/>
          <w:bCs/>
          <w:color w:val="000000" w:themeColor="text1"/>
          <w:sz w:val="24"/>
          <w:szCs w:val="24"/>
        </w:rPr>
        <w:t xml:space="preserve"> with </w:t>
      </w:r>
      <w:r w:rsidR="00C17D2C">
        <w:rPr>
          <w:rFonts w:asciiTheme="majorHAnsi" w:eastAsiaTheme="majorEastAsia" w:hAnsiTheme="majorHAnsi" w:cstheme="majorBidi"/>
          <w:bCs/>
          <w:color w:val="000000" w:themeColor="text1"/>
          <w:sz w:val="24"/>
          <w:szCs w:val="24"/>
        </w:rPr>
        <w:t>87.0</w:t>
      </w:r>
      <w:r w:rsidR="00661A9F">
        <w:rPr>
          <w:rFonts w:asciiTheme="majorHAnsi" w:eastAsiaTheme="majorEastAsia" w:hAnsiTheme="majorHAnsi" w:cstheme="majorBidi"/>
          <w:bCs/>
          <w:color w:val="000000" w:themeColor="text1"/>
          <w:sz w:val="24"/>
          <w:szCs w:val="24"/>
        </w:rPr>
        <w:t xml:space="preserve">% </w:t>
      </w:r>
      <w:r w:rsidR="00ED0296">
        <w:rPr>
          <w:rFonts w:asciiTheme="majorHAnsi" w:eastAsiaTheme="majorEastAsia" w:hAnsiTheme="majorHAnsi" w:cstheme="majorBidi"/>
          <w:bCs/>
          <w:color w:val="000000" w:themeColor="text1"/>
          <w:sz w:val="24"/>
          <w:szCs w:val="24"/>
        </w:rPr>
        <w:t xml:space="preserve">of the </w:t>
      </w:r>
      <w:r w:rsidR="00C17D2C">
        <w:rPr>
          <w:rFonts w:asciiTheme="majorHAnsi" w:eastAsiaTheme="majorEastAsia" w:hAnsiTheme="majorHAnsi" w:cstheme="majorBidi"/>
          <w:bCs/>
          <w:color w:val="000000" w:themeColor="text1"/>
          <w:sz w:val="24"/>
          <w:szCs w:val="24"/>
        </w:rPr>
        <w:t xml:space="preserve">tax </w:t>
      </w:r>
      <w:r w:rsidR="00ED0296">
        <w:rPr>
          <w:rFonts w:asciiTheme="majorHAnsi" w:eastAsiaTheme="majorEastAsia" w:hAnsiTheme="majorHAnsi" w:cstheme="majorBidi"/>
          <w:bCs/>
          <w:color w:val="000000" w:themeColor="text1"/>
          <w:sz w:val="24"/>
          <w:szCs w:val="24"/>
        </w:rPr>
        <w:t xml:space="preserve">savings </w:t>
      </w:r>
      <w:r w:rsidR="00661A9F">
        <w:rPr>
          <w:rFonts w:asciiTheme="majorHAnsi" w:eastAsiaTheme="majorEastAsia" w:hAnsiTheme="majorHAnsi" w:cstheme="majorBidi"/>
          <w:bCs/>
          <w:color w:val="000000" w:themeColor="text1"/>
          <w:sz w:val="24"/>
          <w:szCs w:val="24"/>
        </w:rPr>
        <w:t xml:space="preserve">going to section 38 manufacturers, </w:t>
      </w:r>
      <w:r w:rsidR="003E0BB5">
        <w:rPr>
          <w:rFonts w:asciiTheme="majorHAnsi" w:eastAsiaTheme="majorEastAsia" w:hAnsiTheme="majorHAnsi" w:cstheme="majorBidi"/>
          <w:bCs/>
          <w:color w:val="000000" w:themeColor="text1"/>
          <w:sz w:val="24"/>
          <w:szCs w:val="24"/>
        </w:rPr>
        <w:t>7.</w:t>
      </w:r>
      <w:r w:rsidR="00C17D2C">
        <w:rPr>
          <w:rFonts w:asciiTheme="majorHAnsi" w:eastAsiaTheme="majorEastAsia" w:hAnsiTheme="majorHAnsi" w:cstheme="majorBidi"/>
          <w:bCs/>
          <w:color w:val="000000" w:themeColor="text1"/>
          <w:sz w:val="24"/>
          <w:szCs w:val="24"/>
        </w:rPr>
        <w:t>1</w:t>
      </w:r>
      <w:r w:rsidR="003E0BB5">
        <w:rPr>
          <w:rFonts w:asciiTheme="majorHAnsi" w:eastAsiaTheme="majorEastAsia" w:hAnsiTheme="majorHAnsi" w:cstheme="majorBidi"/>
          <w:bCs/>
          <w:color w:val="000000" w:themeColor="text1"/>
          <w:sz w:val="24"/>
          <w:szCs w:val="24"/>
        </w:rPr>
        <w:t xml:space="preserve">% to mutual fund service corporations, and </w:t>
      </w:r>
      <w:r w:rsidR="00C17D2C">
        <w:rPr>
          <w:rFonts w:asciiTheme="majorHAnsi" w:eastAsiaTheme="majorEastAsia" w:hAnsiTheme="majorHAnsi" w:cstheme="majorBidi"/>
          <w:bCs/>
          <w:color w:val="000000" w:themeColor="text1"/>
          <w:sz w:val="24"/>
          <w:szCs w:val="24"/>
        </w:rPr>
        <w:t>5.9</w:t>
      </w:r>
      <w:r w:rsidR="003E0BB5">
        <w:rPr>
          <w:rFonts w:asciiTheme="majorHAnsi" w:eastAsiaTheme="majorEastAsia" w:hAnsiTheme="majorHAnsi" w:cstheme="majorBidi"/>
          <w:bCs/>
          <w:color w:val="000000" w:themeColor="text1"/>
          <w:sz w:val="24"/>
          <w:szCs w:val="24"/>
        </w:rPr>
        <w:t xml:space="preserve">% to other corporations. </w:t>
      </w:r>
      <w:r w:rsidR="001B3F84">
        <w:rPr>
          <w:rFonts w:asciiTheme="majorHAnsi" w:eastAsiaTheme="majorEastAsia" w:hAnsiTheme="majorHAnsi" w:cstheme="majorBidi"/>
          <w:bCs/>
          <w:color w:val="000000" w:themeColor="text1"/>
          <w:sz w:val="24"/>
          <w:szCs w:val="24"/>
        </w:rPr>
        <w:t xml:space="preserve">Note </w:t>
      </w:r>
      <w:r w:rsidR="00B578C2">
        <w:rPr>
          <w:rFonts w:asciiTheme="majorHAnsi" w:eastAsiaTheme="majorEastAsia" w:hAnsiTheme="majorHAnsi" w:cstheme="majorBidi"/>
          <w:bCs/>
          <w:color w:val="000000" w:themeColor="text1"/>
          <w:sz w:val="24"/>
          <w:szCs w:val="24"/>
        </w:rPr>
        <w:t xml:space="preserve">that mutual fund service corporations have </w:t>
      </w:r>
      <w:r w:rsidR="00ED0296">
        <w:rPr>
          <w:rFonts w:asciiTheme="majorHAnsi" w:eastAsiaTheme="majorEastAsia" w:hAnsiTheme="majorHAnsi" w:cstheme="majorBidi"/>
          <w:bCs/>
          <w:color w:val="000000" w:themeColor="text1"/>
          <w:sz w:val="24"/>
          <w:szCs w:val="24"/>
        </w:rPr>
        <w:t xml:space="preserve">a </w:t>
      </w:r>
      <w:r w:rsidR="00B578C2">
        <w:rPr>
          <w:rFonts w:asciiTheme="majorHAnsi" w:eastAsiaTheme="majorEastAsia" w:hAnsiTheme="majorHAnsi" w:cstheme="majorBidi"/>
          <w:bCs/>
          <w:color w:val="000000" w:themeColor="text1"/>
          <w:sz w:val="24"/>
          <w:szCs w:val="24"/>
        </w:rPr>
        <w:t xml:space="preserve">much higher </w:t>
      </w:r>
      <w:r w:rsidR="003E0BB5">
        <w:rPr>
          <w:rFonts w:asciiTheme="majorHAnsi" w:eastAsiaTheme="majorEastAsia" w:hAnsiTheme="majorHAnsi" w:cstheme="majorBidi"/>
          <w:bCs/>
          <w:color w:val="000000" w:themeColor="text1"/>
          <w:sz w:val="24"/>
          <w:szCs w:val="24"/>
        </w:rPr>
        <w:t xml:space="preserve">average </w:t>
      </w:r>
      <w:r w:rsidR="00FD6E4B">
        <w:rPr>
          <w:rFonts w:asciiTheme="majorHAnsi" w:eastAsiaTheme="majorEastAsia" w:hAnsiTheme="majorHAnsi" w:cstheme="majorBidi"/>
          <w:bCs/>
          <w:color w:val="000000" w:themeColor="text1"/>
          <w:sz w:val="24"/>
          <w:szCs w:val="24"/>
        </w:rPr>
        <w:t xml:space="preserve">net </w:t>
      </w:r>
      <w:r w:rsidR="001B3F84">
        <w:rPr>
          <w:rFonts w:asciiTheme="majorHAnsi" w:eastAsiaTheme="majorEastAsia" w:hAnsiTheme="majorHAnsi" w:cstheme="majorBidi"/>
          <w:bCs/>
          <w:color w:val="000000" w:themeColor="text1"/>
          <w:sz w:val="24"/>
          <w:szCs w:val="24"/>
        </w:rPr>
        <w:t xml:space="preserve">tax </w:t>
      </w:r>
      <w:r w:rsidR="003E0BB5">
        <w:rPr>
          <w:rFonts w:asciiTheme="majorHAnsi" w:eastAsiaTheme="majorEastAsia" w:hAnsiTheme="majorHAnsi" w:cstheme="majorBidi"/>
          <w:bCs/>
          <w:color w:val="000000" w:themeColor="text1"/>
          <w:sz w:val="24"/>
          <w:szCs w:val="24"/>
        </w:rPr>
        <w:t>saving</w:t>
      </w:r>
      <w:r w:rsidR="00ED0296">
        <w:rPr>
          <w:rFonts w:asciiTheme="majorHAnsi" w:eastAsiaTheme="majorEastAsia" w:hAnsiTheme="majorHAnsi" w:cstheme="majorBidi"/>
          <w:bCs/>
          <w:color w:val="000000" w:themeColor="text1"/>
          <w:sz w:val="24"/>
          <w:szCs w:val="24"/>
        </w:rPr>
        <w:t>s</w:t>
      </w:r>
      <w:r w:rsidR="007204FD">
        <w:rPr>
          <w:rFonts w:asciiTheme="majorHAnsi" w:eastAsiaTheme="majorEastAsia" w:hAnsiTheme="majorHAnsi" w:cstheme="majorBidi"/>
          <w:bCs/>
          <w:color w:val="000000" w:themeColor="text1"/>
          <w:sz w:val="24"/>
          <w:szCs w:val="24"/>
        </w:rPr>
        <w:t xml:space="preserve"> ($</w:t>
      </w:r>
      <w:r w:rsidR="00C17D2C">
        <w:rPr>
          <w:rFonts w:asciiTheme="majorHAnsi" w:eastAsiaTheme="majorEastAsia" w:hAnsiTheme="majorHAnsi" w:cstheme="majorBidi"/>
          <w:bCs/>
          <w:color w:val="000000" w:themeColor="text1"/>
          <w:sz w:val="24"/>
          <w:szCs w:val="24"/>
        </w:rPr>
        <w:t>352,000</w:t>
      </w:r>
      <w:r w:rsidR="007204FD">
        <w:rPr>
          <w:rFonts w:asciiTheme="majorHAnsi" w:eastAsiaTheme="majorEastAsia" w:hAnsiTheme="majorHAnsi" w:cstheme="majorBidi"/>
          <w:bCs/>
          <w:color w:val="000000" w:themeColor="text1"/>
          <w:sz w:val="24"/>
          <w:szCs w:val="24"/>
        </w:rPr>
        <w:t xml:space="preserve"> million)</w:t>
      </w:r>
      <w:r w:rsidR="00B578C2">
        <w:rPr>
          <w:rFonts w:asciiTheme="majorHAnsi" w:eastAsiaTheme="majorEastAsia" w:hAnsiTheme="majorHAnsi" w:cstheme="majorBidi"/>
          <w:bCs/>
          <w:color w:val="000000" w:themeColor="text1"/>
          <w:sz w:val="24"/>
          <w:szCs w:val="24"/>
        </w:rPr>
        <w:t xml:space="preserve"> than other </w:t>
      </w:r>
      <w:r w:rsidR="00C17D2C">
        <w:rPr>
          <w:rFonts w:asciiTheme="majorHAnsi" w:eastAsiaTheme="majorEastAsia" w:hAnsiTheme="majorHAnsi" w:cstheme="majorBidi"/>
          <w:bCs/>
          <w:color w:val="000000" w:themeColor="text1"/>
          <w:sz w:val="24"/>
          <w:szCs w:val="24"/>
        </w:rPr>
        <w:t>corporations</w:t>
      </w:r>
      <w:r w:rsidR="00351EF0">
        <w:rPr>
          <w:rFonts w:asciiTheme="majorHAnsi" w:eastAsiaTheme="majorEastAsia" w:hAnsiTheme="majorHAnsi" w:cstheme="majorBidi"/>
          <w:bCs/>
          <w:color w:val="000000" w:themeColor="text1"/>
          <w:sz w:val="24"/>
          <w:szCs w:val="24"/>
        </w:rPr>
        <w:t xml:space="preserve"> </w:t>
      </w:r>
      <w:r w:rsidR="006B3EE7">
        <w:rPr>
          <w:rFonts w:asciiTheme="majorHAnsi" w:eastAsiaTheme="majorEastAsia" w:hAnsiTheme="majorHAnsi" w:cstheme="majorBidi"/>
          <w:bCs/>
          <w:color w:val="000000" w:themeColor="text1"/>
          <w:sz w:val="24"/>
          <w:szCs w:val="24"/>
        </w:rPr>
        <w:t>(the average was $</w:t>
      </w:r>
      <w:r w:rsidR="00C17D2C">
        <w:rPr>
          <w:rFonts w:asciiTheme="majorHAnsi" w:eastAsiaTheme="majorEastAsia" w:hAnsiTheme="majorHAnsi" w:cstheme="majorBidi"/>
          <w:bCs/>
          <w:color w:val="000000" w:themeColor="text1"/>
          <w:sz w:val="24"/>
          <w:szCs w:val="24"/>
        </w:rPr>
        <w:t>24</w:t>
      </w:r>
      <w:r w:rsidR="006B3EE7">
        <w:rPr>
          <w:rFonts w:asciiTheme="majorHAnsi" w:eastAsiaTheme="majorEastAsia" w:hAnsiTheme="majorHAnsi" w:cstheme="majorBidi"/>
          <w:bCs/>
          <w:color w:val="000000" w:themeColor="text1"/>
          <w:sz w:val="24"/>
          <w:szCs w:val="24"/>
        </w:rPr>
        <w:t>,000 for all affected corporations)</w:t>
      </w:r>
      <w:r w:rsidR="00B578C2">
        <w:rPr>
          <w:rFonts w:asciiTheme="majorHAnsi" w:eastAsiaTheme="majorEastAsia" w:hAnsiTheme="majorHAnsi" w:cstheme="majorBidi"/>
          <w:bCs/>
          <w:color w:val="000000" w:themeColor="text1"/>
          <w:sz w:val="24"/>
          <w:szCs w:val="24"/>
        </w:rPr>
        <w:t xml:space="preserve">. </w:t>
      </w:r>
    </w:p>
    <w:p w14:paraId="642FE268" w14:textId="451A69F9" w:rsidR="005E6D1C" w:rsidRDefault="005E6D1C" w:rsidP="00B578C2">
      <w:pPr>
        <w:tabs>
          <w:tab w:val="left" w:pos="7050"/>
        </w:tabs>
        <w:spacing w:after="0"/>
        <w:rPr>
          <w:rFonts w:asciiTheme="majorHAnsi" w:eastAsiaTheme="majorEastAsia" w:hAnsiTheme="majorHAnsi" w:cstheme="majorBidi"/>
          <w:bCs/>
          <w:color w:val="000000" w:themeColor="text1"/>
          <w:sz w:val="24"/>
          <w:szCs w:val="24"/>
        </w:rPr>
      </w:pPr>
    </w:p>
    <w:p w14:paraId="21605B10" w14:textId="0C800F19" w:rsidR="005E6D1C" w:rsidRDefault="009649D8" w:rsidP="00B578C2">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See</w:t>
      </w:r>
      <w:r w:rsidR="005E6D1C" w:rsidRPr="00847706">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A</w:t>
      </w:r>
      <w:r w:rsidR="005E6D1C" w:rsidRPr="00847706">
        <w:rPr>
          <w:rFonts w:asciiTheme="majorHAnsi" w:eastAsiaTheme="majorEastAsia" w:hAnsiTheme="majorHAnsi" w:cstheme="majorBidi"/>
          <w:bCs/>
          <w:color w:val="000000" w:themeColor="text1"/>
          <w:sz w:val="24"/>
          <w:szCs w:val="24"/>
        </w:rPr>
        <w:t>ppendix 1</w:t>
      </w:r>
      <w:r>
        <w:rPr>
          <w:rFonts w:asciiTheme="majorHAnsi" w:eastAsiaTheme="majorEastAsia" w:hAnsiTheme="majorHAnsi" w:cstheme="majorBidi"/>
          <w:bCs/>
          <w:color w:val="000000" w:themeColor="text1"/>
          <w:sz w:val="24"/>
          <w:szCs w:val="24"/>
        </w:rPr>
        <w:t xml:space="preserve"> for</w:t>
      </w:r>
      <w:r w:rsidR="005E6D1C" w:rsidRPr="00847706">
        <w:rPr>
          <w:rFonts w:asciiTheme="majorHAnsi" w:eastAsiaTheme="majorEastAsia" w:hAnsiTheme="majorHAnsi" w:cstheme="majorBidi"/>
          <w:bCs/>
          <w:color w:val="000000" w:themeColor="text1"/>
          <w:sz w:val="24"/>
          <w:szCs w:val="24"/>
        </w:rPr>
        <w:t xml:space="preserve"> more details on those corporations that owe</w:t>
      </w:r>
      <w:r>
        <w:rPr>
          <w:rFonts w:asciiTheme="majorHAnsi" w:eastAsiaTheme="majorEastAsia" w:hAnsiTheme="majorHAnsi" w:cstheme="majorBidi"/>
          <w:bCs/>
          <w:color w:val="000000" w:themeColor="text1"/>
          <w:sz w:val="24"/>
          <w:szCs w:val="24"/>
        </w:rPr>
        <w:t>d</w:t>
      </w:r>
      <w:r w:rsidR="005E6D1C" w:rsidRPr="00847706">
        <w:rPr>
          <w:rFonts w:asciiTheme="majorHAnsi" w:eastAsiaTheme="majorEastAsia" w:hAnsiTheme="majorHAnsi" w:cstheme="majorBidi"/>
          <w:bCs/>
          <w:color w:val="000000" w:themeColor="text1"/>
          <w:sz w:val="24"/>
          <w:szCs w:val="24"/>
        </w:rPr>
        <w:t xml:space="preserve"> more tax </w:t>
      </w:r>
      <w:r>
        <w:rPr>
          <w:rFonts w:asciiTheme="majorHAnsi" w:eastAsiaTheme="majorEastAsia" w:hAnsiTheme="majorHAnsi" w:cstheme="majorBidi"/>
          <w:bCs/>
          <w:color w:val="000000" w:themeColor="text1"/>
          <w:sz w:val="24"/>
          <w:szCs w:val="24"/>
        </w:rPr>
        <w:t>or</w:t>
      </w:r>
      <w:r w:rsidR="005E6D1C" w:rsidRPr="00847706">
        <w:rPr>
          <w:rFonts w:asciiTheme="majorHAnsi" w:eastAsiaTheme="majorEastAsia" w:hAnsiTheme="majorHAnsi" w:cstheme="majorBidi"/>
          <w:bCs/>
          <w:color w:val="000000" w:themeColor="text1"/>
          <w:sz w:val="24"/>
          <w:szCs w:val="24"/>
        </w:rPr>
        <w:t xml:space="preserve"> less </w:t>
      </w:r>
      <w:r w:rsidR="0018184B">
        <w:rPr>
          <w:rFonts w:asciiTheme="majorHAnsi" w:eastAsiaTheme="majorEastAsia" w:hAnsiTheme="majorHAnsi" w:cstheme="majorBidi"/>
          <w:bCs/>
          <w:color w:val="000000" w:themeColor="text1"/>
          <w:sz w:val="24"/>
          <w:szCs w:val="24"/>
        </w:rPr>
        <w:t xml:space="preserve">tax </w:t>
      </w:r>
      <w:r w:rsidR="005E6D1C" w:rsidRPr="00847706">
        <w:rPr>
          <w:rFonts w:asciiTheme="majorHAnsi" w:eastAsiaTheme="majorEastAsia" w:hAnsiTheme="majorHAnsi" w:cstheme="majorBidi"/>
          <w:bCs/>
          <w:color w:val="000000" w:themeColor="text1"/>
          <w:sz w:val="24"/>
          <w:szCs w:val="24"/>
        </w:rPr>
        <w:t>using the formulas with higher weighted sales factor.</w:t>
      </w:r>
    </w:p>
    <w:p w14:paraId="27CFEBC7" w14:textId="363F5148" w:rsidR="00BA5C2E" w:rsidRDefault="00BA5C2E" w:rsidP="00B578C2">
      <w:pPr>
        <w:tabs>
          <w:tab w:val="left" w:pos="7050"/>
        </w:tabs>
        <w:spacing w:after="0"/>
        <w:rPr>
          <w:rFonts w:asciiTheme="majorHAnsi" w:eastAsiaTheme="majorEastAsia" w:hAnsiTheme="majorHAnsi" w:cstheme="majorBidi"/>
          <w:bCs/>
          <w:color w:val="000000" w:themeColor="text1"/>
          <w:sz w:val="24"/>
          <w:szCs w:val="24"/>
        </w:rPr>
      </w:pPr>
    </w:p>
    <w:p w14:paraId="71CE9D10" w14:textId="1F392991" w:rsidR="00BA5C2E" w:rsidRDefault="00BA5C2E" w:rsidP="00BA5C2E">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In table 2, we report the net impact on s</w:t>
      </w:r>
      <w:r w:rsidRPr="00847706">
        <w:rPr>
          <w:rFonts w:asciiTheme="majorHAnsi" w:eastAsiaTheme="majorEastAsia" w:hAnsiTheme="majorHAnsi" w:cstheme="majorBidi"/>
          <w:bCs/>
          <w:color w:val="000000" w:themeColor="text1"/>
          <w:sz w:val="24"/>
          <w:szCs w:val="24"/>
        </w:rPr>
        <w:t xml:space="preserve">ection 38 </w:t>
      </w:r>
      <w:r>
        <w:rPr>
          <w:rFonts w:asciiTheme="majorHAnsi" w:eastAsiaTheme="majorEastAsia" w:hAnsiTheme="majorHAnsi" w:cstheme="majorBidi"/>
          <w:bCs/>
          <w:color w:val="000000" w:themeColor="text1"/>
          <w:sz w:val="24"/>
          <w:szCs w:val="24"/>
        </w:rPr>
        <w:t>m</w:t>
      </w:r>
      <w:r w:rsidRPr="00847706">
        <w:rPr>
          <w:rFonts w:asciiTheme="majorHAnsi" w:eastAsiaTheme="majorEastAsia" w:hAnsiTheme="majorHAnsi" w:cstheme="majorBidi"/>
          <w:bCs/>
          <w:color w:val="000000" w:themeColor="text1"/>
          <w:sz w:val="24"/>
          <w:szCs w:val="24"/>
        </w:rPr>
        <w:t xml:space="preserve">anufacturers and </w:t>
      </w:r>
      <w:r>
        <w:rPr>
          <w:rFonts w:asciiTheme="majorHAnsi" w:eastAsiaTheme="majorEastAsia" w:hAnsiTheme="majorHAnsi" w:cstheme="majorBidi"/>
          <w:bCs/>
          <w:color w:val="000000" w:themeColor="text1"/>
          <w:sz w:val="24"/>
          <w:szCs w:val="24"/>
        </w:rPr>
        <w:t>m</w:t>
      </w:r>
      <w:r w:rsidRPr="00847706">
        <w:rPr>
          <w:rFonts w:asciiTheme="majorHAnsi" w:eastAsiaTheme="majorEastAsia" w:hAnsiTheme="majorHAnsi" w:cstheme="majorBidi"/>
          <w:bCs/>
          <w:color w:val="000000" w:themeColor="text1"/>
          <w:sz w:val="24"/>
          <w:szCs w:val="24"/>
        </w:rPr>
        <w:t xml:space="preserve">utual </w:t>
      </w:r>
      <w:r>
        <w:rPr>
          <w:rFonts w:asciiTheme="majorHAnsi" w:eastAsiaTheme="majorEastAsia" w:hAnsiTheme="majorHAnsi" w:cstheme="majorBidi"/>
          <w:bCs/>
          <w:color w:val="000000" w:themeColor="text1"/>
          <w:sz w:val="24"/>
          <w:szCs w:val="24"/>
        </w:rPr>
        <w:t>f</w:t>
      </w:r>
      <w:r w:rsidRPr="00847706">
        <w:rPr>
          <w:rFonts w:asciiTheme="majorHAnsi" w:eastAsiaTheme="majorEastAsia" w:hAnsiTheme="majorHAnsi" w:cstheme="majorBidi"/>
          <w:bCs/>
          <w:color w:val="000000" w:themeColor="text1"/>
          <w:sz w:val="24"/>
          <w:szCs w:val="24"/>
        </w:rPr>
        <w:t xml:space="preserve">und </w:t>
      </w:r>
      <w:r>
        <w:rPr>
          <w:rFonts w:asciiTheme="majorHAnsi" w:eastAsiaTheme="majorEastAsia" w:hAnsiTheme="majorHAnsi" w:cstheme="majorBidi"/>
          <w:bCs/>
          <w:color w:val="000000" w:themeColor="text1"/>
          <w:sz w:val="24"/>
          <w:szCs w:val="24"/>
        </w:rPr>
        <w:t>s</w:t>
      </w:r>
      <w:r w:rsidRPr="00847706">
        <w:rPr>
          <w:rFonts w:asciiTheme="majorHAnsi" w:eastAsiaTheme="majorEastAsia" w:hAnsiTheme="majorHAnsi" w:cstheme="majorBidi"/>
          <w:bCs/>
          <w:color w:val="000000" w:themeColor="text1"/>
          <w:sz w:val="24"/>
          <w:szCs w:val="24"/>
        </w:rPr>
        <w:t xml:space="preserve">ervices corporations </w:t>
      </w:r>
      <w:r>
        <w:rPr>
          <w:rFonts w:asciiTheme="majorHAnsi" w:eastAsiaTheme="majorEastAsia" w:hAnsiTheme="majorHAnsi" w:cstheme="majorBidi"/>
          <w:bCs/>
          <w:color w:val="000000" w:themeColor="text1"/>
          <w:sz w:val="24"/>
          <w:szCs w:val="24"/>
        </w:rPr>
        <w:t>when they</w:t>
      </w:r>
      <w:r w:rsidRPr="00847706">
        <w:rPr>
          <w:rFonts w:asciiTheme="majorHAnsi" w:eastAsiaTheme="majorEastAsia" w:hAnsiTheme="majorHAnsi" w:cstheme="majorBidi"/>
          <w:bCs/>
          <w:color w:val="000000" w:themeColor="text1"/>
          <w:sz w:val="24"/>
          <w:szCs w:val="24"/>
        </w:rPr>
        <w:t xml:space="preserve"> us</w:t>
      </w:r>
      <w:r>
        <w:rPr>
          <w:rFonts w:asciiTheme="majorHAnsi" w:eastAsiaTheme="majorEastAsia" w:hAnsiTheme="majorHAnsi" w:cstheme="majorBidi"/>
          <w:bCs/>
          <w:color w:val="000000" w:themeColor="text1"/>
          <w:sz w:val="24"/>
          <w:szCs w:val="24"/>
        </w:rPr>
        <w:t>e</w:t>
      </w:r>
      <w:r w:rsidRPr="00847706">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 xml:space="preserve">the </w:t>
      </w:r>
      <w:r w:rsidRPr="00847706">
        <w:rPr>
          <w:rFonts w:asciiTheme="majorHAnsi" w:eastAsiaTheme="majorEastAsia" w:hAnsiTheme="majorHAnsi" w:cstheme="majorBidi"/>
          <w:bCs/>
          <w:color w:val="000000" w:themeColor="text1"/>
          <w:sz w:val="24"/>
          <w:szCs w:val="24"/>
        </w:rPr>
        <w:t>single sales factor</w:t>
      </w:r>
      <w:r>
        <w:rPr>
          <w:rFonts w:asciiTheme="majorHAnsi" w:eastAsiaTheme="majorEastAsia" w:hAnsiTheme="majorHAnsi" w:cstheme="majorBidi"/>
          <w:bCs/>
          <w:color w:val="000000" w:themeColor="text1"/>
          <w:sz w:val="24"/>
          <w:szCs w:val="24"/>
        </w:rPr>
        <w:t xml:space="preserve"> (SSF)</w:t>
      </w:r>
      <w:r w:rsidRPr="00847706">
        <w:rPr>
          <w:rFonts w:asciiTheme="majorHAnsi" w:eastAsiaTheme="majorEastAsia" w:hAnsiTheme="majorHAnsi" w:cstheme="majorBidi"/>
          <w:bCs/>
          <w:color w:val="000000" w:themeColor="text1"/>
          <w:sz w:val="24"/>
          <w:szCs w:val="24"/>
        </w:rPr>
        <w:t xml:space="preserve"> instead of </w:t>
      </w:r>
      <w:r>
        <w:rPr>
          <w:rFonts w:asciiTheme="majorHAnsi" w:eastAsiaTheme="majorEastAsia" w:hAnsiTheme="majorHAnsi" w:cstheme="majorBidi"/>
          <w:bCs/>
          <w:color w:val="000000" w:themeColor="text1"/>
          <w:sz w:val="24"/>
          <w:szCs w:val="24"/>
        </w:rPr>
        <w:t xml:space="preserve">the </w:t>
      </w:r>
      <w:r w:rsidRPr="00847706">
        <w:rPr>
          <w:rFonts w:asciiTheme="majorHAnsi" w:eastAsiaTheme="majorEastAsia" w:hAnsiTheme="majorHAnsi" w:cstheme="majorBidi"/>
          <w:bCs/>
          <w:color w:val="000000" w:themeColor="text1"/>
          <w:sz w:val="24"/>
          <w:szCs w:val="24"/>
        </w:rPr>
        <w:t>equal</w:t>
      </w:r>
      <w:r>
        <w:rPr>
          <w:rFonts w:asciiTheme="majorHAnsi" w:eastAsiaTheme="majorEastAsia" w:hAnsiTheme="majorHAnsi" w:cstheme="majorBidi"/>
          <w:bCs/>
          <w:color w:val="000000" w:themeColor="text1"/>
          <w:sz w:val="24"/>
          <w:szCs w:val="24"/>
        </w:rPr>
        <w:t>-</w:t>
      </w:r>
      <w:r w:rsidRPr="00847706">
        <w:rPr>
          <w:rFonts w:asciiTheme="majorHAnsi" w:eastAsiaTheme="majorEastAsia" w:hAnsiTheme="majorHAnsi" w:cstheme="majorBidi"/>
          <w:bCs/>
          <w:color w:val="000000" w:themeColor="text1"/>
          <w:sz w:val="24"/>
          <w:szCs w:val="24"/>
        </w:rPr>
        <w:t xml:space="preserve">weighted factors. </w:t>
      </w:r>
      <w:r>
        <w:rPr>
          <w:rFonts w:asciiTheme="majorHAnsi" w:eastAsiaTheme="majorEastAsia" w:hAnsiTheme="majorHAnsi" w:cstheme="majorBidi"/>
          <w:bCs/>
          <w:color w:val="000000" w:themeColor="text1"/>
          <w:sz w:val="24"/>
          <w:szCs w:val="24"/>
        </w:rPr>
        <w:t xml:space="preserve">In Appendix 2, we provide revenue impact figures for </w:t>
      </w:r>
      <w:r w:rsidRPr="00847706">
        <w:rPr>
          <w:rFonts w:asciiTheme="majorHAnsi" w:eastAsiaTheme="majorEastAsia" w:hAnsiTheme="majorHAnsi" w:cstheme="majorBidi"/>
          <w:bCs/>
          <w:color w:val="000000" w:themeColor="text1"/>
          <w:sz w:val="24"/>
          <w:szCs w:val="24"/>
        </w:rPr>
        <w:t>how much the tax liability would change if</w:t>
      </w:r>
      <w:r>
        <w:rPr>
          <w:rFonts w:asciiTheme="majorHAnsi" w:eastAsiaTheme="majorEastAsia" w:hAnsiTheme="majorHAnsi" w:cstheme="majorBidi"/>
          <w:bCs/>
          <w:color w:val="000000" w:themeColor="text1"/>
          <w:sz w:val="24"/>
          <w:szCs w:val="24"/>
        </w:rPr>
        <w:t xml:space="preserve"> s</w:t>
      </w:r>
      <w:r w:rsidRPr="00847706">
        <w:rPr>
          <w:rFonts w:asciiTheme="majorHAnsi" w:eastAsiaTheme="majorEastAsia" w:hAnsiTheme="majorHAnsi" w:cstheme="majorBidi"/>
          <w:bCs/>
          <w:color w:val="000000" w:themeColor="text1"/>
          <w:sz w:val="24"/>
          <w:szCs w:val="24"/>
        </w:rPr>
        <w:t xml:space="preserve">ection 38 </w:t>
      </w:r>
      <w:r>
        <w:rPr>
          <w:rFonts w:asciiTheme="majorHAnsi" w:eastAsiaTheme="majorEastAsia" w:hAnsiTheme="majorHAnsi" w:cstheme="majorBidi"/>
          <w:bCs/>
          <w:color w:val="000000" w:themeColor="text1"/>
          <w:sz w:val="24"/>
          <w:szCs w:val="24"/>
        </w:rPr>
        <w:t>m</w:t>
      </w:r>
      <w:r w:rsidRPr="00847706">
        <w:rPr>
          <w:rFonts w:asciiTheme="majorHAnsi" w:eastAsiaTheme="majorEastAsia" w:hAnsiTheme="majorHAnsi" w:cstheme="majorBidi"/>
          <w:bCs/>
          <w:color w:val="000000" w:themeColor="text1"/>
          <w:sz w:val="24"/>
          <w:szCs w:val="24"/>
        </w:rPr>
        <w:t xml:space="preserve">anufacturers and </w:t>
      </w:r>
      <w:r>
        <w:rPr>
          <w:rFonts w:asciiTheme="majorHAnsi" w:eastAsiaTheme="majorEastAsia" w:hAnsiTheme="majorHAnsi" w:cstheme="majorBidi"/>
          <w:bCs/>
          <w:color w:val="000000" w:themeColor="text1"/>
          <w:sz w:val="24"/>
          <w:szCs w:val="24"/>
        </w:rPr>
        <w:t>m</w:t>
      </w:r>
      <w:r w:rsidRPr="00847706">
        <w:rPr>
          <w:rFonts w:asciiTheme="majorHAnsi" w:eastAsiaTheme="majorEastAsia" w:hAnsiTheme="majorHAnsi" w:cstheme="majorBidi"/>
          <w:bCs/>
          <w:color w:val="000000" w:themeColor="text1"/>
          <w:sz w:val="24"/>
          <w:szCs w:val="24"/>
        </w:rPr>
        <w:t xml:space="preserve">utual </w:t>
      </w:r>
      <w:r>
        <w:rPr>
          <w:rFonts w:asciiTheme="majorHAnsi" w:eastAsiaTheme="majorEastAsia" w:hAnsiTheme="majorHAnsi" w:cstheme="majorBidi"/>
          <w:bCs/>
          <w:color w:val="000000" w:themeColor="text1"/>
          <w:sz w:val="24"/>
          <w:szCs w:val="24"/>
        </w:rPr>
        <w:t>f</w:t>
      </w:r>
      <w:r w:rsidRPr="00847706">
        <w:rPr>
          <w:rFonts w:asciiTheme="majorHAnsi" w:eastAsiaTheme="majorEastAsia" w:hAnsiTheme="majorHAnsi" w:cstheme="majorBidi"/>
          <w:bCs/>
          <w:color w:val="000000" w:themeColor="text1"/>
          <w:sz w:val="24"/>
          <w:szCs w:val="24"/>
        </w:rPr>
        <w:t xml:space="preserve">und </w:t>
      </w:r>
      <w:r>
        <w:rPr>
          <w:rFonts w:asciiTheme="majorHAnsi" w:eastAsiaTheme="majorEastAsia" w:hAnsiTheme="majorHAnsi" w:cstheme="majorBidi"/>
          <w:bCs/>
          <w:color w:val="000000" w:themeColor="text1"/>
          <w:sz w:val="24"/>
          <w:szCs w:val="24"/>
        </w:rPr>
        <w:t>s</w:t>
      </w:r>
      <w:r w:rsidRPr="00847706">
        <w:rPr>
          <w:rFonts w:asciiTheme="majorHAnsi" w:eastAsiaTheme="majorEastAsia" w:hAnsiTheme="majorHAnsi" w:cstheme="majorBidi"/>
          <w:bCs/>
          <w:color w:val="000000" w:themeColor="text1"/>
          <w:sz w:val="24"/>
          <w:szCs w:val="24"/>
        </w:rPr>
        <w:t xml:space="preserve">ervices corporations use </w:t>
      </w:r>
      <w:r>
        <w:rPr>
          <w:rFonts w:asciiTheme="majorHAnsi" w:eastAsiaTheme="majorEastAsia" w:hAnsiTheme="majorHAnsi" w:cstheme="majorBidi"/>
          <w:bCs/>
          <w:color w:val="000000" w:themeColor="text1"/>
          <w:sz w:val="24"/>
          <w:szCs w:val="24"/>
        </w:rPr>
        <w:t xml:space="preserve">the </w:t>
      </w:r>
      <w:r w:rsidRPr="00847706">
        <w:rPr>
          <w:rFonts w:asciiTheme="majorHAnsi" w:eastAsiaTheme="majorEastAsia" w:hAnsiTheme="majorHAnsi" w:cstheme="majorBidi"/>
          <w:bCs/>
          <w:color w:val="000000" w:themeColor="text1"/>
          <w:sz w:val="24"/>
          <w:szCs w:val="24"/>
        </w:rPr>
        <w:t>double weighted sales factor</w:t>
      </w:r>
      <w:r>
        <w:rPr>
          <w:rFonts w:asciiTheme="majorHAnsi" w:eastAsiaTheme="majorEastAsia" w:hAnsiTheme="majorHAnsi" w:cstheme="majorBidi"/>
          <w:bCs/>
          <w:color w:val="000000" w:themeColor="text1"/>
          <w:sz w:val="24"/>
          <w:szCs w:val="24"/>
        </w:rPr>
        <w:t xml:space="preserve"> (DSF)</w:t>
      </w:r>
      <w:r w:rsidRPr="00847706">
        <w:rPr>
          <w:rFonts w:asciiTheme="majorHAnsi" w:eastAsiaTheme="majorEastAsia" w:hAnsiTheme="majorHAnsi" w:cstheme="majorBidi"/>
          <w:bCs/>
          <w:color w:val="000000" w:themeColor="text1"/>
          <w:sz w:val="24"/>
          <w:szCs w:val="24"/>
        </w:rPr>
        <w:t xml:space="preserve"> instead of </w:t>
      </w:r>
      <w:r>
        <w:rPr>
          <w:rFonts w:asciiTheme="majorHAnsi" w:eastAsiaTheme="majorEastAsia" w:hAnsiTheme="majorHAnsi" w:cstheme="majorBidi"/>
          <w:bCs/>
          <w:color w:val="000000" w:themeColor="text1"/>
          <w:sz w:val="24"/>
          <w:szCs w:val="24"/>
        </w:rPr>
        <w:t xml:space="preserve">the </w:t>
      </w:r>
      <w:r w:rsidRPr="00847706">
        <w:rPr>
          <w:rFonts w:asciiTheme="majorHAnsi" w:eastAsiaTheme="majorEastAsia" w:hAnsiTheme="majorHAnsi" w:cstheme="majorBidi"/>
          <w:bCs/>
          <w:color w:val="000000" w:themeColor="text1"/>
          <w:sz w:val="24"/>
          <w:szCs w:val="24"/>
        </w:rPr>
        <w:t>single sales factor</w:t>
      </w:r>
      <w:r>
        <w:rPr>
          <w:rFonts w:asciiTheme="majorHAnsi" w:eastAsiaTheme="majorEastAsia" w:hAnsiTheme="majorHAnsi" w:cstheme="majorBidi"/>
          <w:bCs/>
          <w:color w:val="000000" w:themeColor="text1"/>
          <w:sz w:val="24"/>
          <w:szCs w:val="24"/>
        </w:rPr>
        <w:t xml:space="preserve"> (SSF)</w:t>
      </w:r>
      <w:r w:rsidRPr="00847706">
        <w:rPr>
          <w:rFonts w:asciiTheme="majorHAnsi" w:eastAsiaTheme="majorEastAsia" w:hAnsiTheme="majorHAnsi" w:cstheme="majorBidi"/>
          <w:bCs/>
          <w:color w:val="000000" w:themeColor="text1"/>
          <w:sz w:val="24"/>
          <w:szCs w:val="24"/>
        </w:rPr>
        <w:t xml:space="preserve">. </w:t>
      </w:r>
    </w:p>
    <w:p w14:paraId="5FB82BF6" w14:textId="377B6112" w:rsidR="002A544C" w:rsidRDefault="002A544C" w:rsidP="00B578C2">
      <w:pPr>
        <w:tabs>
          <w:tab w:val="left" w:pos="7050"/>
        </w:tabs>
        <w:spacing w:after="0"/>
        <w:rPr>
          <w:rFonts w:asciiTheme="majorHAnsi" w:eastAsiaTheme="majorEastAsia" w:hAnsiTheme="majorHAnsi" w:cstheme="majorBidi"/>
          <w:bCs/>
          <w:color w:val="000000" w:themeColor="text1"/>
          <w:sz w:val="24"/>
          <w:szCs w:val="24"/>
        </w:rPr>
      </w:pPr>
    </w:p>
    <w:p w14:paraId="007B63EF" w14:textId="0DF45366" w:rsidR="002A544C" w:rsidRPr="00CA0391" w:rsidRDefault="002A544C" w:rsidP="002A544C">
      <w:pPr>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2</w:t>
      </w:r>
      <w:r w:rsidRPr="00CA0391">
        <w:rPr>
          <w:rFonts w:asciiTheme="majorHAnsi" w:hAnsiTheme="majorHAnsi"/>
          <w:b/>
          <w:sz w:val="24"/>
          <w:szCs w:val="24"/>
        </w:rPr>
        <w:t xml:space="preserve">. </w:t>
      </w:r>
      <w:r w:rsidR="008A391D">
        <w:rPr>
          <w:rFonts w:asciiTheme="majorHAnsi" w:hAnsiTheme="majorHAnsi"/>
          <w:b/>
          <w:sz w:val="24"/>
          <w:szCs w:val="24"/>
        </w:rPr>
        <w:t>Net Tax Liability Change</w:t>
      </w:r>
      <w:r>
        <w:rPr>
          <w:rFonts w:asciiTheme="majorHAnsi" w:hAnsiTheme="majorHAnsi"/>
          <w:b/>
          <w:sz w:val="24"/>
          <w:szCs w:val="24"/>
        </w:rPr>
        <w:t xml:space="preserve"> by Corporation Type</w:t>
      </w:r>
      <w:r w:rsidR="007F1EE5">
        <w:rPr>
          <w:rFonts w:asciiTheme="majorHAnsi" w:hAnsiTheme="majorHAnsi"/>
          <w:b/>
          <w:sz w:val="24"/>
          <w:szCs w:val="24"/>
        </w:rPr>
        <w:t xml:space="preserve"> </w:t>
      </w:r>
      <w:r w:rsidR="00550DF8" w:rsidRPr="00847706">
        <w:rPr>
          <w:rStyle w:val="FootnoteReference"/>
          <w:rFonts w:eastAsiaTheme="majorEastAsia"/>
          <w:color w:val="000000" w:themeColor="text1"/>
        </w:rPr>
        <w:t>(1)</w:t>
      </w:r>
    </w:p>
    <w:tbl>
      <w:tblPr>
        <w:tblW w:w="9265" w:type="dxa"/>
        <w:jc w:val="center"/>
        <w:tblLayout w:type="fixed"/>
        <w:tblLook w:val="04A0" w:firstRow="1" w:lastRow="0" w:firstColumn="1" w:lastColumn="0" w:noHBand="0" w:noVBand="1"/>
      </w:tblPr>
      <w:tblGrid>
        <w:gridCol w:w="2425"/>
        <w:gridCol w:w="1350"/>
        <w:gridCol w:w="1350"/>
        <w:gridCol w:w="1620"/>
        <w:gridCol w:w="1260"/>
        <w:gridCol w:w="1260"/>
      </w:tblGrid>
      <w:tr w:rsidR="002A544C" w:rsidRPr="00D5431D" w14:paraId="25FA70DA" w14:textId="77777777" w:rsidTr="000E54AA">
        <w:trPr>
          <w:trHeight w:val="764"/>
          <w:jc w:val="center"/>
        </w:trPr>
        <w:tc>
          <w:tcPr>
            <w:tcW w:w="24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8B57682" w14:textId="77777777" w:rsidR="002A544C" w:rsidRPr="00D5431D" w:rsidRDefault="002A544C" w:rsidP="002A544C">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Corporation Type</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04901E6D" w14:textId="71302793" w:rsidR="002A544C" w:rsidRPr="00D5431D" w:rsidRDefault="002A544C" w:rsidP="002A544C">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Number of Impacted Corporations</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7EBE17A" w14:textId="5F6B2318" w:rsidR="002A544C" w:rsidRPr="00D5431D" w:rsidRDefault="002A544C" w:rsidP="002A544C">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of Total Number of Impacted Corporations</w:t>
            </w:r>
          </w:p>
        </w:tc>
        <w:tc>
          <w:tcPr>
            <w:tcW w:w="162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F35C50D" w14:textId="03111836" w:rsidR="002A544C" w:rsidRPr="00D5431D" w:rsidRDefault="0027131F" w:rsidP="002A544C">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Net </w:t>
            </w:r>
            <w:r w:rsidR="002A544C" w:rsidRPr="00D5431D">
              <w:rPr>
                <w:rFonts w:ascii="Cambria" w:eastAsia="Times New Roman" w:hAnsi="Cambria" w:cs="Helvetica"/>
                <w:color w:val="000000"/>
                <w:sz w:val="20"/>
                <w:szCs w:val="20"/>
                <w:lang w:eastAsia="ko-KR"/>
              </w:rPr>
              <w:t xml:space="preserve">Tax </w:t>
            </w:r>
            <w:r w:rsidR="001C5672" w:rsidRPr="001C5672">
              <w:rPr>
                <w:rFonts w:ascii="Cambria" w:eastAsia="Times New Roman" w:hAnsi="Cambria" w:cs="Helvetica"/>
                <w:color w:val="000000"/>
                <w:sz w:val="20"/>
                <w:szCs w:val="20"/>
                <w:lang w:eastAsia="ko-KR"/>
              </w:rPr>
              <w:t>Liability Change</w:t>
            </w:r>
            <w:r w:rsidR="002A544C" w:rsidRPr="00D5431D">
              <w:rPr>
                <w:rFonts w:ascii="Cambria" w:eastAsia="Times New Roman" w:hAnsi="Cambria" w:cs="Helvetica"/>
                <w:color w:val="000000"/>
                <w:sz w:val="20"/>
                <w:szCs w:val="20"/>
                <w:lang w:eastAsia="ko-KR"/>
              </w:rPr>
              <w:t xml:space="preserve"> </w:t>
            </w:r>
            <w:r w:rsidR="002A544C" w:rsidRPr="00EE5936">
              <w:rPr>
                <w:rFonts w:ascii="Cambria" w:eastAsia="Times New Roman" w:hAnsi="Cambria" w:cs="Helvetica"/>
                <w:color w:val="000000"/>
                <w:sz w:val="20"/>
                <w:szCs w:val="20"/>
                <w:lang w:eastAsia="ko-KR"/>
              </w:rPr>
              <w:t>u</w:t>
            </w:r>
            <w:r w:rsidR="002A544C" w:rsidRPr="00D5431D">
              <w:rPr>
                <w:rFonts w:ascii="Cambria" w:eastAsia="Times New Roman" w:hAnsi="Cambria" w:cs="Helvetica"/>
                <w:color w:val="000000"/>
                <w:sz w:val="20"/>
                <w:szCs w:val="20"/>
                <w:lang w:eastAsia="ko-KR"/>
              </w:rPr>
              <w:t xml:space="preserve">sing Formulas with </w:t>
            </w:r>
            <w:r w:rsidR="002A544C">
              <w:rPr>
                <w:rFonts w:ascii="Cambria" w:eastAsia="Times New Roman" w:hAnsi="Cambria" w:cs="Helvetica"/>
                <w:color w:val="000000"/>
                <w:sz w:val="20"/>
                <w:szCs w:val="20"/>
                <w:lang w:eastAsia="ko-KR"/>
              </w:rPr>
              <w:t xml:space="preserve">Higher </w:t>
            </w:r>
            <w:r w:rsidR="002A544C" w:rsidRPr="00D5431D">
              <w:rPr>
                <w:rFonts w:ascii="Cambria" w:eastAsia="Times New Roman" w:hAnsi="Cambria" w:cs="Helvetica"/>
                <w:color w:val="000000"/>
                <w:sz w:val="20"/>
                <w:szCs w:val="20"/>
                <w:lang w:eastAsia="ko-KR"/>
              </w:rPr>
              <w:t>Weighted Sales Factor ($000)</w:t>
            </w:r>
            <w:r w:rsidR="00550DF8">
              <w:rPr>
                <w:rFonts w:ascii="Cambria" w:eastAsia="Times New Roman" w:hAnsi="Cambria" w:cs="Helvetica"/>
                <w:color w:val="000000"/>
                <w:sz w:val="20"/>
                <w:szCs w:val="20"/>
                <w:lang w:eastAsia="ko-KR"/>
              </w:rPr>
              <w:t xml:space="preserve"> </w:t>
            </w:r>
            <w:r w:rsidR="00550DF8" w:rsidRPr="00847706">
              <w:rPr>
                <w:rStyle w:val="FootnoteReference"/>
                <w:rFonts w:eastAsiaTheme="majorEastAsia"/>
                <w:color w:val="000000" w:themeColor="text1"/>
              </w:rPr>
              <w:t>(2)</w:t>
            </w:r>
          </w:p>
        </w:tc>
        <w:tc>
          <w:tcPr>
            <w:tcW w:w="126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CD536A2" w14:textId="7506D6DC" w:rsidR="002A544C" w:rsidRPr="00D5431D" w:rsidRDefault="002A544C" w:rsidP="002A544C">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of Total </w:t>
            </w:r>
            <w:r w:rsidR="0027131F">
              <w:rPr>
                <w:rFonts w:ascii="Cambria" w:eastAsia="Times New Roman" w:hAnsi="Cambria" w:cs="Helvetica"/>
                <w:color w:val="000000"/>
                <w:sz w:val="20"/>
                <w:szCs w:val="20"/>
                <w:lang w:eastAsia="ko-KR"/>
              </w:rPr>
              <w:t xml:space="preserve">Net </w:t>
            </w:r>
            <w:r w:rsidR="00FB4EC1" w:rsidRPr="00D5431D">
              <w:rPr>
                <w:rFonts w:ascii="Cambria" w:eastAsia="Times New Roman" w:hAnsi="Cambria" w:cs="Helvetica"/>
                <w:color w:val="000000"/>
                <w:sz w:val="20"/>
                <w:szCs w:val="20"/>
                <w:lang w:eastAsia="ko-KR"/>
              </w:rPr>
              <w:t xml:space="preserve">Tax </w:t>
            </w:r>
            <w:r w:rsidR="00FB4EC1" w:rsidRPr="001C5672">
              <w:rPr>
                <w:rFonts w:ascii="Cambria" w:eastAsia="Times New Roman" w:hAnsi="Cambria" w:cs="Helvetica"/>
                <w:color w:val="000000"/>
                <w:sz w:val="20"/>
                <w:szCs w:val="20"/>
                <w:lang w:eastAsia="ko-KR"/>
              </w:rPr>
              <w:t>Liability Change</w:t>
            </w:r>
          </w:p>
        </w:tc>
        <w:tc>
          <w:tcPr>
            <w:tcW w:w="126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A9DE22B" w14:textId="5DFE91C9" w:rsidR="002A544C" w:rsidRPr="00D5431D" w:rsidDel="00845E99" w:rsidRDefault="0027131F" w:rsidP="002A544C">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Net </w:t>
            </w:r>
            <w:r w:rsidR="002A544C" w:rsidRPr="00EE5936">
              <w:rPr>
                <w:rFonts w:ascii="Cambria" w:eastAsia="Times New Roman" w:hAnsi="Cambria" w:cs="Helvetica"/>
                <w:color w:val="000000"/>
                <w:sz w:val="20"/>
                <w:szCs w:val="20"/>
                <w:lang w:eastAsia="ko-KR"/>
              </w:rPr>
              <w:t xml:space="preserve">Tax </w:t>
            </w:r>
            <w:r w:rsidR="001C5672" w:rsidRPr="001C5672">
              <w:rPr>
                <w:rFonts w:ascii="Cambria" w:eastAsia="Times New Roman" w:hAnsi="Cambria" w:cs="Helvetica"/>
                <w:color w:val="000000"/>
                <w:sz w:val="20"/>
                <w:szCs w:val="20"/>
                <w:lang w:eastAsia="ko-KR"/>
              </w:rPr>
              <w:t xml:space="preserve">Liability Change </w:t>
            </w:r>
            <w:r w:rsidR="002A544C" w:rsidRPr="00EE5936">
              <w:rPr>
                <w:rFonts w:ascii="Cambria" w:eastAsia="Times New Roman" w:hAnsi="Cambria" w:cs="Helvetica"/>
                <w:color w:val="000000"/>
                <w:sz w:val="20"/>
                <w:szCs w:val="20"/>
                <w:lang w:eastAsia="ko-KR"/>
              </w:rPr>
              <w:t>per Impacted Corporation ($000)</w:t>
            </w:r>
            <w:r w:rsidR="00550DF8" w:rsidRPr="00847706">
              <w:rPr>
                <w:rStyle w:val="FootnoteReference"/>
                <w:rFonts w:eastAsiaTheme="majorEastAsia"/>
                <w:color w:val="000000" w:themeColor="text1"/>
              </w:rPr>
              <w:t>(2)</w:t>
            </w:r>
          </w:p>
        </w:tc>
      </w:tr>
      <w:tr w:rsidR="001C5672" w:rsidRPr="00D5431D" w14:paraId="6F189665" w14:textId="77777777" w:rsidTr="000E54AA">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3C81DE2" w14:textId="77777777" w:rsidR="001C5672" w:rsidRPr="00D5431D" w:rsidRDefault="001C5672" w:rsidP="001C5672">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Section 38 Manufacturers</w:t>
            </w:r>
          </w:p>
        </w:tc>
        <w:tc>
          <w:tcPr>
            <w:tcW w:w="1350" w:type="dxa"/>
            <w:tcBorders>
              <w:top w:val="nil"/>
              <w:left w:val="nil"/>
              <w:bottom w:val="single" w:sz="4" w:space="0" w:color="auto"/>
              <w:right w:val="single" w:sz="4" w:space="0" w:color="auto"/>
            </w:tcBorders>
            <w:shd w:val="clear" w:color="auto" w:fill="auto"/>
            <w:vAlign w:val="center"/>
          </w:tcPr>
          <w:p w14:paraId="7F2F33E6" w14:textId="0A2BA2B7"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2,407 </w:t>
            </w:r>
          </w:p>
        </w:tc>
        <w:tc>
          <w:tcPr>
            <w:tcW w:w="1350" w:type="dxa"/>
            <w:tcBorders>
              <w:top w:val="single" w:sz="4" w:space="0" w:color="auto"/>
              <w:left w:val="nil"/>
              <w:bottom w:val="single" w:sz="4" w:space="0" w:color="auto"/>
              <w:right w:val="single" w:sz="4" w:space="0" w:color="auto"/>
            </w:tcBorders>
            <w:vAlign w:val="center"/>
          </w:tcPr>
          <w:p w14:paraId="50E705BA" w14:textId="470E0006" w:rsidR="001C5672" w:rsidRPr="00A02FE0" w:rsidRDefault="001C5672">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14.4%</w:t>
            </w:r>
          </w:p>
        </w:tc>
        <w:tc>
          <w:tcPr>
            <w:tcW w:w="1620" w:type="dxa"/>
            <w:tcBorders>
              <w:top w:val="nil"/>
              <w:left w:val="single" w:sz="4" w:space="0" w:color="auto"/>
              <w:bottom w:val="single" w:sz="4" w:space="0" w:color="auto"/>
              <w:right w:val="single" w:sz="4" w:space="0" w:color="auto"/>
            </w:tcBorders>
            <w:vAlign w:val="center"/>
          </w:tcPr>
          <w:p w14:paraId="49D37E1F" w14:textId="7F23D332" w:rsidR="001C5672" w:rsidRPr="00A02FE0" w:rsidRDefault="001C5672">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-$342,005</w:t>
            </w:r>
          </w:p>
        </w:tc>
        <w:tc>
          <w:tcPr>
            <w:tcW w:w="1260" w:type="dxa"/>
            <w:tcBorders>
              <w:top w:val="nil"/>
              <w:left w:val="nil"/>
              <w:bottom w:val="single" w:sz="4" w:space="0" w:color="auto"/>
              <w:right w:val="single" w:sz="4" w:space="0" w:color="auto"/>
            </w:tcBorders>
            <w:shd w:val="clear" w:color="auto" w:fill="auto"/>
            <w:vAlign w:val="center"/>
          </w:tcPr>
          <w:p w14:paraId="519A4506" w14:textId="1C6A3062"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87.0%</w:t>
            </w:r>
          </w:p>
        </w:tc>
        <w:tc>
          <w:tcPr>
            <w:tcW w:w="1260" w:type="dxa"/>
            <w:tcBorders>
              <w:top w:val="nil"/>
              <w:left w:val="nil"/>
              <w:bottom w:val="single" w:sz="4" w:space="0" w:color="auto"/>
              <w:right w:val="single" w:sz="4" w:space="0" w:color="auto"/>
            </w:tcBorders>
            <w:vAlign w:val="center"/>
          </w:tcPr>
          <w:p w14:paraId="2656E840" w14:textId="30CEE5F6"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-$142</w:t>
            </w:r>
          </w:p>
        </w:tc>
      </w:tr>
      <w:tr w:rsidR="001C5672" w:rsidRPr="00D5431D" w14:paraId="47E862B1" w14:textId="77777777" w:rsidTr="000E54AA">
        <w:trPr>
          <w:trHeight w:val="41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D4E94E8" w14:textId="77777777" w:rsidR="001C5672" w:rsidRPr="00D5431D" w:rsidRDefault="001C5672" w:rsidP="001C5672">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Mutual Fund Services</w:t>
            </w:r>
          </w:p>
        </w:tc>
        <w:tc>
          <w:tcPr>
            <w:tcW w:w="1350" w:type="dxa"/>
            <w:tcBorders>
              <w:top w:val="nil"/>
              <w:left w:val="nil"/>
              <w:bottom w:val="single" w:sz="4" w:space="0" w:color="auto"/>
              <w:right w:val="single" w:sz="4" w:space="0" w:color="auto"/>
            </w:tcBorders>
            <w:shd w:val="clear" w:color="auto" w:fill="auto"/>
            <w:vAlign w:val="center"/>
          </w:tcPr>
          <w:p w14:paraId="6AB357A1" w14:textId="0C58D75A"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79 </w:t>
            </w:r>
          </w:p>
        </w:tc>
        <w:tc>
          <w:tcPr>
            <w:tcW w:w="1350" w:type="dxa"/>
            <w:tcBorders>
              <w:top w:val="single" w:sz="4" w:space="0" w:color="auto"/>
              <w:left w:val="nil"/>
              <w:bottom w:val="single" w:sz="4" w:space="0" w:color="auto"/>
              <w:right w:val="single" w:sz="4" w:space="0" w:color="auto"/>
            </w:tcBorders>
            <w:vAlign w:val="center"/>
          </w:tcPr>
          <w:p w14:paraId="7D35A309" w14:textId="474A4806" w:rsidR="001C5672" w:rsidRPr="00A02FE0" w:rsidRDefault="001C5672">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0.5%</w:t>
            </w:r>
          </w:p>
        </w:tc>
        <w:tc>
          <w:tcPr>
            <w:tcW w:w="1620" w:type="dxa"/>
            <w:tcBorders>
              <w:top w:val="nil"/>
              <w:left w:val="single" w:sz="4" w:space="0" w:color="auto"/>
              <w:bottom w:val="single" w:sz="4" w:space="0" w:color="auto"/>
              <w:right w:val="single" w:sz="4" w:space="0" w:color="auto"/>
            </w:tcBorders>
            <w:vAlign w:val="center"/>
          </w:tcPr>
          <w:p w14:paraId="0DBC9186" w14:textId="07B9EE17" w:rsidR="001C5672" w:rsidRPr="00A02FE0" w:rsidRDefault="001C5672">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-$27,846</w:t>
            </w:r>
          </w:p>
        </w:tc>
        <w:tc>
          <w:tcPr>
            <w:tcW w:w="1260" w:type="dxa"/>
            <w:tcBorders>
              <w:top w:val="nil"/>
              <w:left w:val="nil"/>
              <w:bottom w:val="single" w:sz="4" w:space="0" w:color="auto"/>
              <w:right w:val="single" w:sz="4" w:space="0" w:color="auto"/>
            </w:tcBorders>
            <w:shd w:val="clear" w:color="auto" w:fill="auto"/>
            <w:vAlign w:val="center"/>
          </w:tcPr>
          <w:p w14:paraId="162781E5" w14:textId="02EFAF04"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7.1%</w:t>
            </w:r>
          </w:p>
        </w:tc>
        <w:tc>
          <w:tcPr>
            <w:tcW w:w="1260" w:type="dxa"/>
            <w:tcBorders>
              <w:top w:val="nil"/>
              <w:left w:val="nil"/>
              <w:bottom w:val="single" w:sz="4" w:space="0" w:color="auto"/>
              <w:right w:val="single" w:sz="4" w:space="0" w:color="auto"/>
            </w:tcBorders>
            <w:vAlign w:val="center"/>
          </w:tcPr>
          <w:p w14:paraId="04AEFB39" w14:textId="4019EAF2"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-$352</w:t>
            </w:r>
          </w:p>
        </w:tc>
      </w:tr>
      <w:tr w:rsidR="001C5672" w:rsidRPr="00D5431D" w14:paraId="0BA01208" w14:textId="77777777" w:rsidTr="000E54AA">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91F07DA" w14:textId="77777777" w:rsidR="001C5672" w:rsidRPr="00D5431D" w:rsidRDefault="001C5672" w:rsidP="001C5672">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lastRenderedPageBreak/>
              <w:t>All others</w:t>
            </w:r>
          </w:p>
        </w:tc>
        <w:tc>
          <w:tcPr>
            <w:tcW w:w="1350" w:type="dxa"/>
            <w:tcBorders>
              <w:top w:val="nil"/>
              <w:left w:val="nil"/>
              <w:bottom w:val="single" w:sz="4" w:space="0" w:color="auto"/>
              <w:right w:val="single" w:sz="4" w:space="0" w:color="auto"/>
            </w:tcBorders>
            <w:shd w:val="clear" w:color="auto" w:fill="auto"/>
            <w:vAlign w:val="center"/>
          </w:tcPr>
          <w:p w14:paraId="767D1115" w14:textId="3D570C20"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14,203 </w:t>
            </w:r>
          </w:p>
        </w:tc>
        <w:tc>
          <w:tcPr>
            <w:tcW w:w="1350" w:type="dxa"/>
            <w:tcBorders>
              <w:top w:val="single" w:sz="4" w:space="0" w:color="auto"/>
              <w:left w:val="nil"/>
              <w:bottom w:val="single" w:sz="4" w:space="0" w:color="auto"/>
              <w:right w:val="single" w:sz="4" w:space="0" w:color="auto"/>
            </w:tcBorders>
            <w:vAlign w:val="center"/>
          </w:tcPr>
          <w:p w14:paraId="37053922" w14:textId="4F78F9AC" w:rsidR="001C5672" w:rsidRPr="00A02FE0" w:rsidRDefault="001C5672">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85.1%</w:t>
            </w:r>
          </w:p>
        </w:tc>
        <w:tc>
          <w:tcPr>
            <w:tcW w:w="1620" w:type="dxa"/>
            <w:tcBorders>
              <w:top w:val="nil"/>
              <w:left w:val="single" w:sz="4" w:space="0" w:color="auto"/>
              <w:bottom w:val="single" w:sz="4" w:space="0" w:color="auto"/>
              <w:right w:val="single" w:sz="4" w:space="0" w:color="auto"/>
            </w:tcBorders>
            <w:vAlign w:val="center"/>
          </w:tcPr>
          <w:p w14:paraId="5E6D9368" w14:textId="6F0F115A" w:rsidR="001C5672" w:rsidRPr="00A02FE0" w:rsidRDefault="001C5672">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-$23,043</w:t>
            </w:r>
          </w:p>
        </w:tc>
        <w:tc>
          <w:tcPr>
            <w:tcW w:w="1260" w:type="dxa"/>
            <w:tcBorders>
              <w:top w:val="nil"/>
              <w:left w:val="nil"/>
              <w:bottom w:val="single" w:sz="4" w:space="0" w:color="auto"/>
              <w:right w:val="single" w:sz="4" w:space="0" w:color="auto"/>
            </w:tcBorders>
            <w:shd w:val="clear" w:color="auto" w:fill="auto"/>
            <w:vAlign w:val="center"/>
          </w:tcPr>
          <w:p w14:paraId="2CBCF69E" w14:textId="301989AE"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5.9%</w:t>
            </w:r>
          </w:p>
        </w:tc>
        <w:tc>
          <w:tcPr>
            <w:tcW w:w="1260" w:type="dxa"/>
            <w:tcBorders>
              <w:top w:val="nil"/>
              <w:left w:val="nil"/>
              <w:bottom w:val="single" w:sz="4" w:space="0" w:color="auto"/>
              <w:right w:val="single" w:sz="4" w:space="0" w:color="auto"/>
            </w:tcBorders>
            <w:vAlign w:val="center"/>
          </w:tcPr>
          <w:p w14:paraId="684DCC36" w14:textId="5EC3A5E9"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w:t>
            </w:r>
          </w:p>
        </w:tc>
      </w:tr>
      <w:tr w:rsidR="001C5672" w:rsidRPr="00D5431D" w14:paraId="0C777730" w14:textId="77777777" w:rsidTr="000E54AA">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6E06B4A" w14:textId="77777777" w:rsidR="001C5672" w:rsidRPr="00D5431D" w:rsidRDefault="001C5672" w:rsidP="001C5672">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Total or average</w:t>
            </w:r>
          </w:p>
        </w:tc>
        <w:tc>
          <w:tcPr>
            <w:tcW w:w="1350" w:type="dxa"/>
            <w:tcBorders>
              <w:top w:val="nil"/>
              <w:left w:val="nil"/>
              <w:bottom w:val="single" w:sz="4" w:space="0" w:color="auto"/>
              <w:right w:val="single" w:sz="4" w:space="0" w:color="auto"/>
            </w:tcBorders>
            <w:shd w:val="clear" w:color="auto" w:fill="auto"/>
            <w:vAlign w:val="center"/>
          </w:tcPr>
          <w:p w14:paraId="3A80BA11" w14:textId="12C0C359"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16,689 </w:t>
            </w:r>
          </w:p>
        </w:tc>
        <w:tc>
          <w:tcPr>
            <w:tcW w:w="1350" w:type="dxa"/>
            <w:tcBorders>
              <w:top w:val="single" w:sz="4" w:space="0" w:color="auto"/>
              <w:left w:val="nil"/>
              <w:bottom w:val="single" w:sz="4" w:space="0" w:color="auto"/>
              <w:right w:val="single" w:sz="4" w:space="0" w:color="auto"/>
            </w:tcBorders>
            <w:vAlign w:val="center"/>
          </w:tcPr>
          <w:p w14:paraId="776F0340" w14:textId="0812EFCC" w:rsidR="001C5672" w:rsidRPr="00A02FE0" w:rsidRDefault="001C5672">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100.0%</w:t>
            </w:r>
          </w:p>
        </w:tc>
        <w:tc>
          <w:tcPr>
            <w:tcW w:w="1620" w:type="dxa"/>
            <w:tcBorders>
              <w:top w:val="nil"/>
              <w:left w:val="single" w:sz="4" w:space="0" w:color="auto"/>
              <w:bottom w:val="single" w:sz="4" w:space="0" w:color="auto"/>
              <w:right w:val="single" w:sz="4" w:space="0" w:color="auto"/>
            </w:tcBorders>
            <w:vAlign w:val="center"/>
          </w:tcPr>
          <w:p w14:paraId="78DCAFB9" w14:textId="59861D01" w:rsidR="001C5672" w:rsidRPr="00A02FE0" w:rsidRDefault="001C5672">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-$392,894</w:t>
            </w:r>
          </w:p>
        </w:tc>
        <w:tc>
          <w:tcPr>
            <w:tcW w:w="1260" w:type="dxa"/>
            <w:tcBorders>
              <w:top w:val="nil"/>
              <w:left w:val="nil"/>
              <w:bottom w:val="single" w:sz="4" w:space="0" w:color="auto"/>
              <w:right w:val="single" w:sz="4" w:space="0" w:color="auto"/>
            </w:tcBorders>
            <w:shd w:val="clear" w:color="auto" w:fill="auto"/>
            <w:vAlign w:val="center"/>
          </w:tcPr>
          <w:p w14:paraId="454E479D" w14:textId="09139C8A"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100.0%</w:t>
            </w:r>
          </w:p>
        </w:tc>
        <w:tc>
          <w:tcPr>
            <w:tcW w:w="1260" w:type="dxa"/>
            <w:tcBorders>
              <w:top w:val="nil"/>
              <w:left w:val="nil"/>
              <w:bottom w:val="single" w:sz="4" w:space="0" w:color="auto"/>
              <w:right w:val="single" w:sz="4" w:space="0" w:color="auto"/>
            </w:tcBorders>
            <w:vAlign w:val="center"/>
          </w:tcPr>
          <w:p w14:paraId="671E322B" w14:textId="50690032" w:rsidR="001C5672" w:rsidRPr="00A02FE0" w:rsidRDefault="001C5672">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-$24</w:t>
            </w:r>
          </w:p>
        </w:tc>
      </w:tr>
    </w:tbl>
    <w:p w14:paraId="5E241E90" w14:textId="77777777" w:rsidR="002A544C" w:rsidRPr="00212BA2" w:rsidRDefault="002A544C" w:rsidP="002A544C">
      <w:pPr>
        <w:tabs>
          <w:tab w:val="left" w:pos="7050"/>
        </w:tabs>
        <w:spacing w:after="0"/>
        <w:rPr>
          <w:rFonts w:asciiTheme="majorHAnsi" w:eastAsiaTheme="majorEastAsia" w:hAnsiTheme="majorHAnsi" w:cstheme="majorBidi"/>
          <w:bCs/>
          <w:color w:val="000000" w:themeColor="text1"/>
          <w:sz w:val="18"/>
          <w:szCs w:val="18"/>
        </w:rPr>
      </w:pPr>
      <w:r>
        <w:rPr>
          <w:rFonts w:asciiTheme="majorHAnsi" w:eastAsiaTheme="majorEastAsia" w:hAnsiTheme="majorHAnsi" w:cstheme="majorBidi"/>
          <w:bCs/>
          <w:color w:val="000000" w:themeColor="text1"/>
          <w:sz w:val="18"/>
          <w:szCs w:val="18"/>
        </w:rPr>
        <w:t xml:space="preserve">  </w:t>
      </w:r>
      <w:r w:rsidRPr="00212BA2">
        <w:rPr>
          <w:rFonts w:asciiTheme="majorHAnsi" w:eastAsiaTheme="majorEastAsia" w:hAnsiTheme="majorHAnsi" w:cstheme="majorBidi"/>
          <w:bCs/>
          <w:color w:val="000000" w:themeColor="text1"/>
          <w:sz w:val="18"/>
          <w:szCs w:val="18"/>
        </w:rPr>
        <w:t>Source: Department of Revenue (2017 corporate excise return)</w:t>
      </w:r>
    </w:p>
    <w:p w14:paraId="2AB56802" w14:textId="2B1FC43B" w:rsidR="002A544C" w:rsidRPr="00212BA2" w:rsidRDefault="002A544C" w:rsidP="002A544C">
      <w:pPr>
        <w:spacing w:after="0"/>
        <w:rPr>
          <w:rFonts w:asciiTheme="majorHAnsi" w:hAnsiTheme="majorHAnsi"/>
          <w:bCs/>
          <w:sz w:val="18"/>
          <w:szCs w:val="18"/>
        </w:rPr>
      </w:pPr>
      <w:r w:rsidRPr="00212BA2">
        <w:rPr>
          <w:rFonts w:asciiTheme="majorHAnsi" w:eastAsiaTheme="majorEastAsia" w:hAnsiTheme="majorHAnsi" w:cstheme="majorBidi"/>
          <w:bCs/>
          <w:color w:val="000000" w:themeColor="text1"/>
          <w:sz w:val="18"/>
          <w:szCs w:val="18"/>
        </w:rPr>
        <w:t xml:space="preserve">  Note: </w:t>
      </w:r>
      <w:r w:rsidR="00C17D2C" w:rsidRPr="00212BA2">
        <w:rPr>
          <w:rFonts w:asciiTheme="majorHAnsi" w:eastAsiaTheme="majorEastAsia" w:hAnsiTheme="majorHAnsi" w:cstheme="majorBidi"/>
          <w:bCs/>
          <w:color w:val="000000" w:themeColor="text1"/>
          <w:sz w:val="18"/>
          <w:szCs w:val="18"/>
        </w:rPr>
        <w:t xml:space="preserve">1. </w:t>
      </w:r>
      <w:r w:rsidRPr="00212BA2">
        <w:rPr>
          <w:rFonts w:asciiTheme="majorHAnsi" w:eastAsiaTheme="majorEastAsia" w:hAnsiTheme="majorHAnsi" w:cstheme="majorBidi"/>
          <w:bCs/>
          <w:color w:val="000000" w:themeColor="text1"/>
          <w:sz w:val="18"/>
          <w:szCs w:val="18"/>
        </w:rPr>
        <w:t>The data</w:t>
      </w:r>
      <w:r w:rsidRPr="00212BA2">
        <w:rPr>
          <w:rFonts w:asciiTheme="majorHAnsi" w:hAnsiTheme="majorHAnsi"/>
          <w:bCs/>
          <w:sz w:val="18"/>
          <w:szCs w:val="18"/>
        </w:rPr>
        <w:t xml:space="preserve"> are preliminary and subject to </w:t>
      </w:r>
      <w:r w:rsidRPr="00212BA2">
        <w:rPr>
          <w:rFonts w:ascii="Cambria" w:eastAsia="Times New Roman" w:hAnsi="Cambria" w:cs="Helvetica"/>
          <w:color w:val="000000"/>
          <w:sz w:val="18"/>
          <w:szCs w:val="18"/>
          <w:lang w:eastAsia="ko-KR"/>
        </w:rPr>
        <w:t>change</w:t>
      </w:r>
      <w:r w:rsidRPr="00212BA2">
        <w:rPr>
          <w:rFonts w:asciiTheme="majorHAnsi" w:hAnsiTheme="majorHAnsi"/>
          <w:bCs/>
          <w:sz w:val="18"/>
          <w:szCs w:val="18"/>
        </w:rPr>
        <w:t xml:space="preserve">. </w:t>
      </w:r>
    </w:p>
    <w:p w14:paraId="7CB7D636" w14:textId="34144B5A" w:rsidR="00C17D2C" w:rsidRPr="00212BA2" w:rsidRDefault="00212BA2" w:rsidP="002A544C">
      <w:pPr>
        <w:spacing w:after="0"/>
        <w:rPr>
          <w:rFonts w:asciiTheme="majorHAnsi" w:hAnsiTheme="majorHAnsi"/>
          <w:bCs/>
          <w:sz w:val="18"/>
          <w:szCs w:val="18"/>
        </w:rPr>
      </w:pPr>
      <w:r w:rsidRPr="00212BA2">
        <w:rPr>
          <w:rFonts w:asciiTheme="majorHAnsi" w:hAnsiTheme="majorHAnsi"/>
          <w:bCs/>
          <w:sz w:val="18"/>
          <w:szCs w:val="18"/>
        </w:rPr>
        <w:t xml:space="preserve">             </w:t>
      </w:r>
      <w:r w:rsidR="00C17D2C" w:rsidRPr="00212BA2">
        <w:rPr>
          <w:rFonts w:asciiTheme="majorHAnsi" w:hAnsiTheme="majorHAnsi"/>
          <w:bCs/>
          <w:sz w:val="18"/>
          <w:szCs w:val="18"/>
        </w:rPr>
        <w:t xml:space="preserve">2. </w:t>
      </w:r>
      <w:r w:rsidR="006802AF" w:rsidRPr="00212BA2">
        <w:rPr>
          <w:rFonts w:asciiTheme="majorHAnsi" w:hAnsiTheme="majorHAnsi"/>
          <w:bCs/>
          <w:sz w:val="18"/>
          <w:szCs w:val="18"/>
        </w:rPr>
        <w:t>Negative numbers indicate that taxpayers owe</w:t>
      </w:r>
      <w:r w:rsidR="009649D8">
        <w:rPr>
          <w:rFonts w:asciiTheme="majorHAnsi" w:hAnsiTheme="majorHAnsi"/>
          <w:bCs/>
          <w:sz w:val="18"/>
          <w:szCs w:val="18"/>
        </w:rPr>
        <w:t>d</w:t>
      </w:r>
      <w:r w:rsidR="006802AF" w:rsidRPr="00212BA2">
        <w:rPr>
          <w:rFonts w:asciiTheme="majorHAnsi" w:hAnsiTheme="majorHAnsi"/>
          <w:bCs/>
          <w:sz w:val="18"/>
          <w:szCs w:val="18"/>
        </w:rPr>
        <w:t xml:space="preserve"> less tax using formulas with higher weighted sales factor; positive numbers indicate that taxpayers owe</w:t>
      </w:r>
      <w:r w:rsidR="009649D8">
        <w:rPr>
          <w:rFonts w:asciiTheme="majorHAnsi" w:hAnsiTheme="majorHAnsi"/>
          <w:bCs/>
          <w:sz w:val="18"/>
          <w:szCs w:val="18"/>
        </w:rPr>
        <w:t>d</w:t>
      </w:r>
      <w:r w:rsidR="006802AF" w:rsidRPr="00212BA2">
        <w:rPr>
          <w:rFonts w:asciiTheme="majorHAnsi" w:hAnsiTheme="majorHAnsi"/>
          <w:bCs/>
          <w:sz w:val="18"/>
          <w:szCs w:val="18"/>
        </w:rPr>
        <w:t xml:space="preserve"> more tax using formulas with higher weighted sales factor.</w:t>
      </w:r>
    </w:p>
    <w:p w14:paraId="1347CE2D" w14:textId="44BD57A2" w:rsidR="002A544C" w:rsidRDefault="002A544C" w:rsidP="00B578C2">
      <w:pPr>
        <w:tabs>
          <w:tab w:val="left" w:pos="7050"/>
        </w:tabs>
        <w:spacing w:after="0"/>
        <w:rPr>
          <w:rFonts w:asciiTheme="majorHAnsi" w:eastAsiaTheme="majorEastAsia" w:hAnsiTheme="majorHAnsi" w:cstheme="majorBidi"/>
          <w:bCs/>
          <w:color w:val="000000" w:themeColor="text1"/>
          <w:sz w:val="24"/>
          <w:szCs w:val="24"/>
        </w:rPr>
      </w:pPr>
    </w:p>
    <w:p w14:paraId="15D2A4DD" w14:textId="5DBCE11B" w:rsidR="003A41CF" w:rsidRDefault="002351AB" w:rsidP="00C124D1">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Table 3 </w:t>
      </w:r>
      <w:r w:rsidR="00BA5C2E">
        <w:rPr>
          <w:rFonts w:asciiTheme="majorHAnsi" w:eastAsiaTheme="majorEastAsia" w:hAnsiTheme="majorHAnsi" w:cstheme="majorBidi"/>
          <w:bCs/>
          <w:color w:val="000000" w:themeColor="text1"/>
          <w:sz w:val="24"/>
          <w:szCs w:val="24"/>
        </w:rPr>
        <w:t xml:space="preserve">below </w:t>
      </w:r>
      <w:r>
        <w:rPr>
          <w:rFonts w:asciiTheme="majorHAnsi" w:eastAsiaTheme="majorEastAsia" w:hAnsiTheme="majorHAnsi" w:cstheme="majorBidi"/>
          <w:bCs/>
          <w:color w:val="000000" w:themeColor="text1"/>
          <w:sz w:val="24"/>
          <w:szCs w:val="24"/>
        </w:rPr>
        <w:t>shows that, in tax year 201</w:t>
      </w:r>
      <w:r w:rsidR="00650A9F">
        <w:rPr>
          <w:rFonts w:asciiTheme="majorHAnsi" w:eastAsiaTheme="majorEastAsia" w:hAnsiTheme="majorHAnsi" w:cstheme="majorBidi"/>
          <w:bCs/>
          <w:color w:val="000000" w:themeColor="text1"/>
          <w:sz w:val="24"/>
          <w:szCs w:val="24"/>
        </w:rPr>
        <w:t>7</w:t>
      </w:r>
      <w:r>
        <w:rPr>
          <w:rFonts w:asciiTheme="majorHAnsi" w:eastAsiaTheme="majorEastAsia" w:hAnsiTheme="majorHAnsi" w:cstheme="majorBidi"/>
          <w:bCs/>
          <w:color w:val="000000" w:themeColor="text1"/>
          <w:sz w:val="24"/>
          <w:szCs w:val="24"/>
        </w:rPr>
        <w:t xml:space="preserve">, </w:t>
      </w:r>
      <w:r w:rsidR="002A7129">
        <w:rPr>
          <w:rFonts w:asciiTheme="majorHAnsi" w:hAnsiTheme="majorHAnsi"/>
          <w:sz w:val="24"/>
          <w:szCs w:val="24"/>
        </w:rPr>
        <w:t>about</w:t>
      </w:r>
      <w:r>
        <w:rPr>
          <w:rFonts w:asciiTheme="majorHAnsi" w:hAnsiTheme="majorHAnsi"/>
          <w:sz w:val="24"/>
          <w:szCs w:val="24"/>
        </w:rPr>
        <w:t xml:space="preserve"> 3</w:t>
      </w:r>
      <w:r w:rsidR="002A7129">
        <w:rPr>
          <w:rFonts w:asciiTheme="majorHAnsi" w:hAnsiTheme="majorHAnsi"/>
          <w:sz w:val="24"/>
          <w:szCs w:val="24"/>
        </w:rPr>
        <w:t>3.</w:t>
      </w:r>
      <w:r w:rsidR="0081479C">
        <w:rPr>
          <w:rFonts w:asciiTheme="majorHAnsi" w:hAnsiTheme="majorHAnsi"/>
          <w:sz w:val="24"/>
          <w:szCs w:val="24"/>
        </w:rPr>
        <w:t>0</w:t>
      </w:r>
      <w:r>
        <w:rPr>
          <w:rFonts w:asciiTheme="majorHAnsi" w:hAnsiTheme="majorHAnsi"/>
          <w:sz w:val="24"/>
          <w:szCs w:val="24"/>
        </w:rPr>
        <w:t xml:space="preserve">% of </w:t>
      </w:r>
      <w:r>
        <w:rPr>
          <w:rFonts w:asciiTheme="majorHAnsi" w:eastAsiaTheme="majorEastAsia" w:hAnsiTheme="majorHAnsi" w:cstheme="majorBidi"/>
          <w:bCs/>
          <w:color w:val="000000" w:themeColor="text1"/>
          <w:sz w:val="24"/>
          <w:szCs w:val="24"/>
        </w:rPr>
        <w:t xml:space="preserve">the </w:t>
      </w:r>
      <w:r w:rsidR="0081479C">
        <w:rPr>
          <w:rFonts w:asciiTheme="majorHAnsi" w:eastAsiaTheme="majorEastAsia" w:hAnsiTheme="majorHAnsi" w:cstheme="majorBidi"/>
          <w:bCs/>
          <w:color w:val="000000" w:themeColor="text1"/>
          <w:sz w:val="24"/>
          <w:szCs w:val="24"/>
        </w:rPr>
        <w:t xml:space="preserve">impacted </w:t>
      </w:r>
      <w:r>
        <w:rPr>
          <w:rFonts w:asciiTheme="majorHAnsi" w:eastAsiaTheme="majorEastAsia" w:hAnsiTheme="majorHAnsi" w:cstheme="majorBidi"/>
          <w:bCs/>
          <w:color w:val="000000" w:themeColor="text1"/>
          <w:sz w:val="24"/>
          <w:szCs w:val="24"/>
        </w:rPr>
        <w:t>corporations</w:t>
      </w:r>
      <w:r w:rsidR="00351EF0">
        <w:rPr>
          <w:rFonts w:asciiTheme="majorHAnsi" w:eastAsiaTheme="majorEastAsia" w:hAnsiTheme="majorHAnsi" w:cstheme="majorBidi"/>
          <w:bCs/>
          <w:color w:val="000000" w:themeColor="text1"/>
          <w:sz w:val="24"/>
          <w:szCs w:val="24"/>
        </w:rPr>
        <w:t xml:space="preserve"> </w:t>
      </w:r>
      <w:r>
        <w:rPr>
          <w:rFonts w:asciiTheme="majorHAnsi" w:hAnsiTheme="majorHAnsi"/>
          <w:sz w:val="24"/>
          <w:szCs w:val="24"/>
        </w:rPr>
        <w:t xml:space="preserve">had taxable income ranging between $0.1 </w:t>
      </w:r>
      <w:r w:rsidRPr="00F9238A">
        <w:rPr>
          <w:rFonts w:asciiTheme="majorHAnsi" w:eastAsiaTheme="majorEastAsia" w:hAnsiTheme="majorHAnsi" w:cstheme="majorBidi"/>
          <w:bCs/>
          <w:color w:val="000000" w:themeColor="text1"/>
          <w:sz w:val="24"/>
          <w:szCs w:val="24"/>
        </w:rPr>
        <w:t>million</w:t>
      </w:r>
      <w:r>
        <w:rPr>
          <w:rFonts w:asciiTheme="majorHAnsi" w:hAnsiTheme="majorHAnsi"/>
          <w:sz w:val="24"/>
          <w:szCs w:val="24"/>
        </w:rPr>
        <w:t xml:space="preserve"> and $1 </w:t>
      </w:r>
      <w:r w:rsidRPr="00F9238A">
        <w:rPr>
          <w:rFonts w:asciiTheme="majorHAnsi" w:eastAsiaTheme="majorEastAsia" w:hAnsiTheme="majorHAnsi" w:cstheme="majorBidi"/>
          <w:bCs/>
          <w:color w:val="000000" w:themeColor="text1"/>
          <w:sz w:val="24"/>
          <w:szCs w:val="24"/>
        </w:rPr>
        <w:t>million</w:t>
      </w:r>
      <w:r>
        <w:rPr>
          <w:rFonts w:asciiTheme="majorHAnsi" w:hAnsiTheme="majorHAnsi"/>
          <w:sz w:val="24"/>
          <w:szCs w:val="24"/>
        </w:rPr>
        <w:t xml:space="preserve">, </w:t>
      </w:r>
      <w:r w:rsidR="00420572">
        <w:rPr>
          <w:rFonts w:asciiTheme="majorHAnsi" w:hAnsiTheme="majorHAnsi"/>
          <w:sz w:val="24"/>
          <w:szCs w:val="24"/>
        </w:rPr>
        <w:t>with those corporations</w:t>
      </w:r>
      <w:r>
        <w:rPr>
          <w:rFonts w:asciiTheme="majorHAnsi" w:hAnsiTheme="majorHAnsi"/>
          <w:sz w:val="24"/>
          <w:szCs w:val="24"/>
        </w:rPr>
        <w:t xml:space="preserve"> represent</w:t>
      </w:r>
      <w:r w:rsidR="00420572">
        <w:rPr>
          <w:rFonts w:asciiTheme="majorHAnsi" w:hAnsiTheme="majorHAnsi"/>
          <w:sz w:val="24"/>
          <w:szCs w:val="24"/>
        </w:rPr>
        <w:t>ing</w:t>
      </w:r>
      <w:r>
        <w:rPr>
          <w:rFonts w:asciiTheme="majorHAnsi" w:hAnsiTheme="majorHAnsi"/>
          <w:sz w:val="24"/>
          <w:szCs w:val="24"/>
        </w:rPr>
        <w:t xml:space="preserve"> </w:t>
      </w:r>
      <w:r w:rsidR="0081479C">
        <w:rPr>
          <w:rFonts w:asciiTheme="majorHAnsi" w:eastAsiaTheme="majorEastAsia" w:hAnsiTheme="majorHAnsi" w:cstheme="majorBidi"/>
          <w:bCs/>
          <w:color w:val="000000" w:themeColor="text1"/>
          <w:sz w:val="24"/>
          <w:szCs w:val="24"/>
        </w:rPr>
        <w:t>20.2</w:t>
      </w:r>
      <w:r>
        <w:rPr>
          <w:rFonts w:asciiTheme="majorHAnsi" w:eastAsiaTheme="majorEastAsia" w:hAnsiTheme="majorHAnsi" w:cstheme="majorBidi"/>
          <w:bCs/>
          <w:color w:val="000000" w:themeColor="text1"/>
          <w:sz w:val="24"/>
          <w:szCs w:val="24"/>
        </w:rPr>
        <w:t xml:space="preserve">% of the total </w:t>
      </w:r>
      <w:r w:rsidR="0081479C">
        <w:rPr>
          <w:rFonts w:asciiTheme="majorHAnsi" w:eastAsiaTheme="majorEastAsia" w:hAnsiTheme="majorHAnsi" w:cstheme="majorBidi"/>
          <w:bCs/>
          <w:color w:val="000000" w:themeColor="text1"/>
          <w:sz w:val="24"/>
          <w:szCs w:val="24"/>
        </w:rPr>
        <w:t xml:space="preserve">net </w:t>
      </w:r>
      <w:r>
        <w:rPr>
          <w:rFonts w:asciiTheme="majorHAnsi" w:eastAsiaTheme="majorEastAsia" w:hAnsiTheme="majorHAnsi" w:cstheme="majorBidi"/>
          <w:bCs/>
          <w:color w:val="000000" w:themeColor="text1"/>
          <w:sz w:val="24"/>
          <w:szCs w:val="24"/>
        </w:rPr>
        <w:t xml:space="preserve">tax </w:t>
      </w:r>
      <w:r w:rsidR="002A7129">
        <w:rPr>
          <w:rFonts w:asciiTheme="majorHAnsi" w:eastAsiaTheme="majorEastAsia" w:hAnsiTheme="majorHAnsi" w:cstheme="majorBidi"/>
          <w:bCs/>
          <w:color w:val="000000" w:themeColor="text1"/>
          <w:sz w:val="24"/>
          <w:szCs w:val="24"/>
        </w:rPr>
        <w:t>saving</w:t>
      </w:r>
      <w:r w:rsidR="00420572">
        <w:rPr>
          <w:rFonts w:asciiTheme="majorHAnsi" w:eastAsiaTheme="majorEastAsia" w:hAnsiTheme="majorHAnsi" w:cstheme="majorBidi"/>
          <w:bCs/>
          <w:color w:val="000000" w:themeColor="text1"/>
          <w:sz w:val="24"/>
          <w:szCs w:val="24"/>
        </w:rPr>
        <w:t>s</w:t>
      </w:r>
      <w:r>
        <w:rPr>
          <w:rFonts w:asciiTheme="majorHAnsi" w:eastAsiaTheme="majorEastAsia" w:hAnsiTheme="majorHAnsi" w:cstheme="majorBidi"/>
          <w:bCs/>
          <w:color w:val="000000" w:themeColor="text1"/>
          <w:sz w:val="24"/>
          <w:szCs w:val="24"/>
        </w:rPr>
        <w:t xml:space="preserve"> of all</w:t>
      </w:r>
      <w:r w:rsidR="008A2B61">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 xml:space="preserve">impacted corporations. About </w:t>
      </w:r>
      <w:r w:rsidR="0081479C">
        <w:rPr>
          <w:rFonts w:asciiTheme="majorHAnsi" w:eastAsiaTheme="majorEastAsia" w:hAnsiTheme="majorHAnsi" w:cstheme="majorBidi"/>
          <w:bCs/>
          <w:color w:val="000000" w:themeColor="text1"/>
          <w:sz w:val="24"/>
          <w:szCs w:val="24"/>
        </w:rPr>
        <w:t>1.8</w:t>
      </w:r>
      <w:r>
        <w:rPr>
          <w:rFonts w:asciiTheme="majorHAnsi" w:eastAsiaTheme="majorEastAsia" w:hAnsiTheme="majorHAnsi" w:cstheme="majorBidi"/>
          <w:bCs/>
          <w:color w:val="000000" w:themeColor="text1"/>
          <w:sz w:val="24"/>
          <w:szCs w:val="24"/>
        </w:rPr>
        <w:t xml:space="preserve">% of the impacted corporations had more than $10 million </w:t>
      </w:r>
      <w:r w:rsidR="00420572">
        <w:rPr>
          <w:rFonts w:asciiTheme="majorHAnsi" w:eastAsiaTheme="majorEastAsia" w:hAnsiTheme="majorHAnsi" w:cstheme="majorBidi"/>
          <w:bCs/>
          <w:color w:val="000000" w:themeColor="text1"/>
          <w:sz w:val="24"/>
          <w:szCs w:val="24"/>
        </w:rPr>
        <w:t xml:space="preserve">in </w:t>
      </w:r>
      <w:r>
        <w:rPr>
          <w:rFonts w:asciiTheme="majorHAnsi" w:eastAsiaTheme="majorEastAsia" w:hAnsiTheme="majorHAnsi" w:cstheme="majorBidi"/>
          <w:bCs/>
          <w:color w:val="000000" w:themeColor="text1"/>
          <w:sz w:val="24"/>
          <w:szCs w:val="24"/>
        </w:rPr>
        <w:t>taxable income, represent</w:t>
      </w:r>
      <w:r w:rsidR="00650A9F">
        <w:rPr>
          <w:rFonts w:asciiTheme="majorHAnsi" w:eastAsiaTheme="majorEastAsia" w:hAnsiTheme="majorHAnsi" w:cstheme="majorBidi"/>
          <w:bCs/>
          <w:color w:val="000000" w:themeColor="text1"/>
          <w:sz w:val="24"/>
          <w:szCs w:val="24"/>
        </w:rPr>
        <w:t>ing</w:t>
      </w:r>
      <w:r>
        <w:rPr>
          <w:rFonts w:asciiTheme="majorHAnsi" w:eastAsiaTheme="majorEastAsia" w:hAnsiTheme="majorHAnsi" w:cstheme="majorBidi"/>
          <w:bCs/>
          <w:color w:val="000000" w:themeColor="text1"/>
          <w:sz w:val="24"/>
          <w:szCs w:val="24"/>
        </w:rPr>
        <w:t xml:space="preserve"> </w:t>
      </w:r>
      <w:r w:rsidR="0081479C">
        <w:rPr>
          <w:rFonts w:asciiTheme="majorHAnsi" w:eastAsiaTheme="majorEastAsia" w:hAnsiTheme="majorHAnsi" w:cstheme="majorBidi"/>
          <w:bCs/>
          <w:color w:val="000000" w:themeColor="text1"/>
          <w:sz w:val="24"/>
          <w:szCs w:val="24"/>
        </w:rPr>
        <w:t>26.9</w:t>
      </w:r>
      <w:r>
        <w:rPr>
          <w:rFonts w:asciiTheme="majorHAnsi" w:eastAsiaTheme="majorEastAsia" w:hAnsiTheme="majorHAnsi" w:cstheme="majorBidi"/>
          <w:bCs/>
          <w:color w:val="000000" w:themeColor="text1"/>
          <w:sz w:val="24"/>
          <w:szCs w:val="24"/>
        </w:rPr>
        <w:t xml:space="preserve">% of the total </w:t>
      </w:r>
      <w:r w:rsidR="0081479C">
        <w:rPr>
          <w:rFonts w:asciiTheme="majorHAnsi" w:eastAsiaTheme="majorEastAsia" w:hAnsiTheme="majorHAnsi" w:cstheme="majorBidi"/>
          <w:bCs/>
          <w:color w:val="000000" w:themeColor="text1"/>
          <w:sz w:val="24"/>
          <w:szCs w:val="24"/>
        </w:rPr>
        <w:t xml:space="preserve">net </w:t>
      </w:r>
      <w:r>
        <w:rPr>
          <w:rFonts w:asciiTheme="majorHAnsi" w:eastAsiaTheme="majorEastAsia" w:hAnsiTheme="majorHAnsi" w:cstheme="majorBidi"/>
          <w:bCs/>
          <w:color w:val="000000" w:themeColor="text1"/>
          <w:sz w:val="24"/>
          <w:szCs w:val="24"/>
        </w:rPr>
        <w:t xml:space="preserve">tax </w:t>
      </w:r>
      <w:r w:rsidR="00915171">
        <w:rPr>
          <w:rFonts w:asciiTheme="majorHAnsi" w:eastAsiaTheme="majorEastAsia" w:hAnsiTheme="majorHAnsi" w:cstheme="majorBidi"/>
          <w:bCs/>
          <w:color w:val="000000" w:themeColor="text1"/>
          <w:sz w:val="24"/>
          <w:szCs w:val="24"/>
        </w:rPr>
        <w:t>saving</w:t>
      </w:r>
      <w:r w:rsidR="00420572">
        <w:rPr>
          <w:rFonts w:asciiTheme="majorHAnsi" w:eastAsiaTheme="majorEastAsia" w:hAnsiTheme="majorHAnsi" w:cstheme="majorBidi"/>
          <w:bCs/>
          <w:color w:val="000000" w:themeColor="text1"/>
          <w:sz w:val="24"/>
          <w:szCs w:val="24"/>
        </w:rPr>
        <w:t>s</w:t>
      </w:r>
      <w:r>
        <w:rPr>
          <w:rFonts w:asciiTheme="majorHAnsi" w:eastAsiaTheme="majorEastAsia" w:hAnsiTheme="majorHAnsi" w:cstheme="majorBidi"/>
          <w:bCs/>
          <w:color w:val="000000" w:themeColor="text1"/>
          <w:sz w:val="24"/>
          <w:szCs w:val="24"/>
        </w:rPr>
        <w:t xml:space="preserve"> of </w:t>
      </w:r>
      <w:r w:rsidR="008A2B61">
        <w:rPr>
          <w:rFonts w:asciiTheme="majorHAnsi" w:eastAsiaTheme="majorEastAsia" w:hAnsiTheme="majorHAnsi" w:cstheme="majorBidi"/>
          <w:bCs/>
          <w:color w:val="000000" w:themeColor="text1"/>
          <w:sz w:val="24"/>
          <w:szCs w:val="24"/>
        </w:rPr>
        <w:t xml:space="preserve">all </w:t>
      </w:r>
      <w:r>
        <w:rPr>
          <w:rFonts w:asciiTheme="majorHAnsi" w:eastAsiaTheme="majorEastAsia" w:hAnsiTheme="majorHAnsi" w:cstheme="majorBidi"/>
          <w:bCs/>
          <w:color w:val="000000" w:themeColor="text1"/>
          <w:sz w:val="24"/>
          <w:szCs w:val="24"/>
        </w:rPr>
        <w:t>impacted corporations</w:t>
      </w:r>
      <w:r w:rsidR="007204FD">
        <w:rPr>
          <w:rFonts w:asciiTheme="majorHAnsi" w:eastAsiaTheme="majorEastAsia" w:hAnsiTheme="majorHAnsi" w:cstheme="majorBidi"/>
          <w:bCs/>
          <w:color w:val="000000" w:themeColor="text1"/>
          <w:sz w:val="24"/>
          <w:szCs w:val="24"/>
        </w:rPr>
        <w:t xml:space="preserve"> and </w:t>
      </w:r>
      <w:r w:rsidR="00650A9F">
        <w:rPr>
          <w:rFonts w:asciiTheme="majorHAnsi" w:eastAsiaTheme="majorEastAsia" w:hAnsiTheme="majorHAnsi" w:cstheme="majorBidi"/>
          <w:bCs/>
          <w:color w:val="000000" w:themeColor="text1"/>
          <w:sz w:val="24"/>
          <w:szCs w:val="24"/>
        </w:rPr>
        <w:t xml:space="preserve">having </w:t>
      </w:r>
      <w:r w:rsidR="007204FD">
        <w:rPr>
          <w:rFonts w:asciiTheme="majorHAnsi" w:eastAsiaTheme="majorEastAsia" w:hAnsiTheme="majorHAnsi" w:cstheme="majorBidi"/>
          <w:bCs/>
          <w:color w:val="000000" w:themeColor="text1"/>
          <w:sz w:val="24"/>
          <w:szCs w:val="24"/>
        </w:rPr>
        <w:t xml:space="preserve">the highest average </w:t>
      </w:r>
      <w:r w:rsidR="0081479C">
        <w:rPr>
          <w:rFonts w:asciiTheme="majorHAnsi" w:eastAsiaTheme="majorEastAsia" w:hAnsiTheme="majorHAnsi" w:cstheme="majorBidi"/>
          <w:bCs/>
          <w:color w:val="000000" w:themeColor="text1"/>
          <w:sz w:val="24"/>
          <w:szCs w:val="24"/>
        </w:rPr>
        <w:t xml:space="preserve">net </w:t>
      </w:r>
      <w:r w:rsidR="007204FD">
        <w:rPr>
          <w:rFonts w:asciiTheme="majorHAnsi" w:eastAsiaTheme="majorEastAsia" w:hAnsiTheme="majorHAnsi" w:cstheme="majorBidi"/>
          <w:bCs/>
          <w:color w:val="000000" w:themeColor="text1"/>
          <w:sz w:val="24"/>
          <w:szCs w:val="24"/>
        </w:rPr>
        <w:t>tax saving</w:t>
      </w:r>
      <w:r w:rsidR="00420572">
        <w:rPr>
          <w:rFonts w:asciiTheme="majorHAnsi" w:eastAsiaTheme="majorEastAsia" w:hAnsiTheme="majorHAnsi" w:cstheme="majorBidi"/>
          <w:bCs/>
          <w:color w:val="000000" w:themeColor="text1"/>
          <w:sz w:val="24"/>
          <w:szCs w:val="24"/>
        </w:rPr>
        <w:t>s</w:t>
      </w:r>
      <w:r w:rsidR="007204FD">
        <w:rPr>
          <w:rFonts w:asciiTheme="majorHAnsi" w:eastAsiaTheme="majorEastAsia" w:hAnsiTheme="majorHAnsi" w:cstheme="majorBidi"/>
          <w:bCs/>
          <w:color w:val="000000" w:themeColor="text1"/>
          <w:sz w:val="24"/>
          <w:szCs w:val="24"/>
        </w:rPr>
        <w:t xml:space="preserve"> of </w:t>
      </w:r>
      <w:r w:rsidR="00420572">
        <w:rPr>
          <w:rFonts w:asciiTheme="majorHAnsi" w:eastAsiaTheme="majorEastAsia" w:hAnsiTheme="majorHAnsi" w:cstheme="majorBidi"/>
          <w:bCs/>
          <w:color w:val="000000" w:themeColor="text1"/>
          <w:sz w:val="24"/>
          <w:szCs w:val="24"/>
        </w:rPr>
        <w:t xml:space="preserve">all </w:t>
      </w:r>
      <w:r w:rsidR="0081479C">
        <w:rPr>
          <w:rFonts w:asciiTheme="majorHAnsi" w:eastAsiaTheme="majorEastAsia" w:hAnsiTheme="majorHAnsi" w:cstheme="majorBidi"/>
          <w:bCs/>
          <w:color w:val="000000" w:themeColor="text1"/>
          <w:sz w:val="24"/>
          <w:szCs w:val="24"/>
        </w:rPr>
        <w:t xml:space="preserve">impacted corporations </w:t>
      </w:r>
      <w:r w:rsidR="00420572">
        <w:rPr>
          <w:rFonts w:asciiTheme="majorHAnsi" w:eastAsiaTheme="majorEastAsia" w:hAnsiTheme="majorHAnsi" w:cstheme="majorBidi"/>
          <w:bCs/>
          <w:color w:val="000000" w:themeColor="text1"/>
          <w:sz w:val="24"/>
          <w:szCs w:val="24"/>
        </w:rPr>
        <w:t>(</w:t>
      </w:r>
      <w:r w:rsidR="007204FD">
        <w:rPr>
          <w:rFonts w:asciiTheme="majorHAnsi" w:eastAsiaTheme="majorEastAsia" w:hAnsiTheme="majorHAnsi" w:cstheme="majorBidi"/>
          <w:bCs/>
          <w:color w:val="000000" w:themeColor="text1"/>
          <w:sz w:val="24"/>
          <w:szCs w:val="24"/>
        </w:rPr>
        <w:t>$</w:t>
      </w:r>
      <w:r w:rsidR="0081479C">
        <w:rPr>
          <w:rFonts w:asciiTheme="majorHAnsi" w:eastAsiaTheme="majorEastAsia" w:hAnsiTheme="majorHAnsi" w:cstheme="majorBidi"/>
          <w:bCs/>
          <w:color w:val="000000" w:themeColor="text1"/>
          <w:sz w:val="24"/>
          <w:szCs w:val="24"/>
        </w:rPr>
        <w:t>351,000</w:t>
      </w:r>
      <w:r w:rsidR="007204FD">
        <w:rPr>
          <w:rFonts w:asciiTheme="majorHAnsi" w:eastAsiaTheme="majorEastAsia" w:hAnsiTheme="majorHAnsi" w:cstheme="majorBidi"/>
          <w:bCs/>
          <w:color w:val="000000" w:themeColor="text1"/>
          <w:sz w:val="24"/>
          <w:szCs w:val="24"/>
        </w:rPr>
        <w:t xml:space="preserve"> compared with $</w:t>
      </w:r>
      <w:r w:rsidR="00A02FE0">
        <w:rPr>
          <w:rFonts w:asciiTheme="majorHAnsi" w:eastAsiaTheme="majorEastAsia" w:hAnsiTheme="majorHAnsi" w:cstheme="majorBidi"/>
          <w:bCs/>
          <w:color w:val="000000" w:themeColor="text1"/>
          <w:sz w:val="24"/>
          <w:szCs w:val="24"/>
        </w:rPr>
        <w:t>24</w:t>
      </w:r>
      <w:r w:rsidR="007204FD">
        <w:rPr>
          <w:rFonts w:asciiTheme="majorHAnsi" w:eastAsiaTheme="majorEastAsia" w:hAnsiTheme="majorHAnsi" w:cstheme="majorBidi"/>
          <w:bCs/>
          <w:color w:val="000000" w:themeColor="text1"/>
          <w:sz w:val="24"/>
          <w:szCs w:val="24"/>
        </w:rPr>
        <w:t>,000 for all affected corporations</w:t>
      </w:r>
      <w:r w:rsidR="00420572">
        <w:rPr>
          <w:rFonts w:asciiTheme="majorHAnsi" w:eastAsiaTheme="majorEastAsia" w:hAnsiTheme="majorHAnsi" w:cstheme="majorBidi"/>
          <w:bCs/>
          <w:color w:val="000000" w:themeColor="text1"/>
          <w:sz w:val="24"/>
          <w:szCs w:val="24"/>
        </w:rPr>
        <w:t>)</w:t>
      </w:r>
      <w:r w:rsidR="007204FD">
        <w:rPr>
          <w:rFonts w:asciiTheme="majorHAnsi" w:eastAsiaTheme="majorEastAsia" w:hAnsiTheme="majorHAnsi" w:cstheme="majorBidi"/>
          <w:bCs/>
          <w:color w:val="000000" w:themeColor="text1"/>
          <w:sz w:val="24"/>
          <w:szCs w:val="24"/>
        </w:rPr>
        <w:t>.</w:t>
      </w:r>
    </w:p>
    <w:p w14:paraId="46464892" w14:textId="632C9C8E" w:rsidR="000D5A47" w:rsidRDefault="000D5A47" w:rsidP="00C124D1">
      <w:pPr>
        <w:spacing w:after="0"/>
        <w:rPr>
          <w:rFonts w:asciiTheme="majorHAnsi" w:eastAsiaTheme="majorEastAsia" w:hAnsiTheme="majorHAnsi" w:cstheme="majorBidi"/>
          <w:bCs/>
          <w:color w:val="000000" w:themeColor="text1"/>
          <w:sz w:val="24"/>
          <w:szCs w:val="24"/>
        </w:rPr>
      </w:pPr>
    </w:p>
    <w:p w14:paraId="65BD6B1B" w14:textId="13F4BA18" w:rsidR="002A544C" w:rsidRDefault="002A544C" w:rsidP="002A544C">
      <w:pPr>
        <w:tabs>
          <w:tab w:val="left" w:pos="1894"/>
        </w:tabs>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3</w:t>
      </w:r>
      <w:r w:rsidRPr="00CA0391">
        <w:rPr>
          <w:rFonts w:asciiTheme="majorHAnsi" w:hAnsiTheme="majorHAnsi"/>
          <w:b/>
          <w:sz w:val="24"/>
          <w:szCs w:val="24"/>
        </w:rPr>
        <w:t xml:space="preserve">. </w:t>
      </w:r>
      <w:r w:rsidR="008A391D">
        <w:rPr>
          <w:rFonts w:asciiTheme="majorHAnsi" w:hAnsiTheme="majorHAnsi"/>
          <w:b/>
          <w:sz w:val="24"/>
          <w:szCs w:val="24"/>
        </w:rPr>
        <w:t xml:space="preserve">Net Tax Liability Change </w:t>
      </w:r>
      <w:r w:rsidRPr="008F4A2D">
        <w:rPr>
          <w:rFonts w:asciiTheme="majorHAnsi" w:hAnsiTheme="majorHAnsi"/>
          <w:b/>
          <w:sz w:val="24"/>
          <w:szCs w:val="24"/>
        </w:rPr>
        <w:t>by Taxable Income</w:t>
      </w:r>
      <w:r>
        <w:rPr>
          <w:rFonts w:asciiTheme="majorHAnsi" w:hAnsiTheme="majorHAnsi"/>
          <w:b/>
          <w:sz w:val="24"/>
          <w:szCs w:val="24"/>
        </w:rPr>
        <w:t xml:space="preserve"> Level</w:t>
      </w:r>
      <w:r w:rsidR="00186FCF">
        <w:rPr>
          <w:rFonts w:asciiTheme="majorHAnsi" w:hAnsiTheme="majorHAnsi"/>
          <w:b/>
          <w:sz w:val="24"/>
          <w:szCs w:val="24"/>
        </w:rPr>
        <w:t xml:space="preserve"> </w:t>
      </w:r>
      <w:r w:rsidR="00186FCF" w:rsidRPr="00107265">
        <w:rPr>
          <w:rStyle w:val="FootnoteReference"/>
          <w:rFonts w:eastAsiaTheme="majorEastAsia"/>
          <w:color w:val="000000" w:themeColor="text1"/>
        </w:rPr>
        <w:t>(1)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350"/>
        <w:gridCol w:w="1620"/>
        <w:gridCol w:w="1260"/>
        <w:gridCol w:w="1260"/>
      </w:tblGrid>
      <w:tr w:rsidR="002A544C" w:rsidRPr="00D5431D" w14:paraId="185D6B8B" w14:textId="77777777" w:rsidTr="00847706">
        <w:trPr>
          <w:trHeight w:val="1610"/>
          <w:jc w:val="center"/>
        </w:trPr>
        <w:tc>
          <w:tcPr>
            <w:tcW w:w="2425" w:type="dxa"/>
            <w:shd w:val="clear" w:color="auto" w:fill="B6DDE8" w:themeFill="accent5" w:themeFillTint="66"/>
            <w:vAlign w:val="center"/>
            <w:hideMark/>
          </w:tcPr>
          <w:p w14:paraId="2EC2EB03" w14:textId="77777777" w:rsidR="002A544C" w:rsidRPr="00EE5936" w:rsidRDefault="002A544C" w:rsidP="002A544C">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Taxable Income Range </w:t>
            </w:r>
          </w:p>
        </w:tc>
        <w:tc>
          <w:tcPr>
            <w:tcW w:w="1440" w:type="dxa"/>
            <w:shd w:val="clear" w:color="auto" w:fill="B6DDE8" w:themeFill="accent5" w:themeFillTint="66"/>
            <w:vAlign w:val="center"/>
            <w:hideMark/>
          </w:tcPr>
          <w:p w14:paraId="06BEA3C4" w14:textId="2E93F533" w:rsidR="002A544C" w:rsidRPr="00EE5936" w:rsidRDefault="002A544C" w:rsidP="002A544C">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Number of Impacted Corporations</w:t>
            </w:r>
          </w:p>
        </w:tc>
        <w:tc>
          <w:tcPr>
            <w:tcW w:w="1350" w:type="dxa"/>
            <w:shd w:val="clear" w:color="auto" w:fill="B6DDE8" w:themeFill="accent5" w:themeFillTint="66"/>
            <w:vAlign w:val="center"/>
            <w:hideMark/>
          </w:tcPr>
          <w:p w14:paraId="5A9D493A" w14:textId="7D326E21" w:rsidR="002A544C" w:rsidRPr="00EE5936" w:rsidRDefault="002A544C" w:rsidP="002A544C">
            <w:pPr>
              <w:spacing w:after="0" w:line="240" w:lineRule="auto"/>
              <w:jc w:val="center"/>
              <w:rPr>
                <w:rFonts w:ascii="Cambria" w:eastAsia="Times New Roman" w:hAnsi="Cambria" w:cs="Helvetica"/>
                <w:i/>
                <w:iCs/>
                <w:color w:val="000000"/>
                <w:sz w:val="20"/>
                <w:szCs w:val="20"/>
                <w:lang w:eastAsia="ko-KR"/>
              </w:rPr>
            </w:pPr>
            <w:r w:rsidRPr="00D5431D">
              <w:rPr>
                <w:rFonts w:ascii="Cambria" w:eastAsia="Times New Roman" w:hAnsi="Cambria" w:cs="Helvetica"/>
                <w:color w:val="000000"/>
                <w:sz w:val="20"/>
                <w:szCs w:val="20"/>
                <w:lang w:eastAsia="ko-KR"/>
              </w:rPr>
              <w:t>% of Total Number of Impacted Corporations</w:t>
            </w:r>
          </w:p>
        </w:tc>
        <w:tc>
          <w:tcPr>
            <w:tcW w:w="1620" w:type="dxa"/>
            <w:shd w:val="clear" w:color="auto" w:fill="B6DDE8" w:themeFill="accent5" w:themeFillTint="66"/>
            <w:vAlign w:val="center"/>
            <w:hideMark/>
          </w:tcPr>
          <w:p w14:paraId="5F0F2AA8" w14:textId="3461D0D4" w:rsidR="002A544C" w:rsidRPr="00EE5936" w:rsidRDefault="0027131F" w:rsidP="002A544C">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Net </w:t>
            </w:r>
            <w:r w:rsidR="002A544C" w:rsidRPr="00D5431D">
              <w:rPr>
                <w:rFonts w:ascii="Cambria" w:eastAsia="Times New Roman" w:hAnsi="Cambria" w:cs="Helvetica"/>
                <w:color w:val="000000"/>
                <w:sz w:val="20"/>
                <w:szCs w:val="20"/>
                <w:lang w:eastAsia="ko-KR"/>
              </w:rPr>
              <w:t xml:space="preserve">Tax </w:t>
            </w:r>
            <w:r w:rsidR="004B42DD" w:rsidRPr="001C5672">
              <w:rPr>
                <w:rFonts w:ascii="Cambria" w:eastAsia="Times New Roman" w:hAnsi="Cambria" w:cs="Helvetica"/>
                <w:color w:val="000000"/>
                <w:sz w:val="20"/>
                <w:szCs w:val="20"/>
                <w:lang w:eastAsia="ko-KR"/>
              </w:rPr>
              <w:t>Liability Change</w:t>
            </w:r>
            <w:r w:rsidR="002A544C" w:rsidRPr="00D5431D">
              <w:rPr>
                <w:rFonts w:ascii="Cambria" w:eastAsia="Times New Roman" w:hAnsi="Cambria" w:cs="Helvetica"/>
                <w:color w:val="000000"/>
                <w:sz w:val="20"/>
                <w:szCs w:val="20"/>
                <w:lang w:eastAsia="ko-KR"/>
              </w:rPr>
              <w:t xml:space="preserve"> using Formulas with </w:t>
            </w:r>
            <w:r w:rsidR="002A544C">
              <w:rPr>
                <w:rFonts w:ascii="Cambria" w:eastAsia="Times New Roman" w:hAnsi="Cambria" w:cs="Helvetica"/>
                <w:color w:val="000000"/>
                <w:sz w:val="20"/>
                <w:szCs w:val="20"/>
                <w:lang w:eastAsia="ko-KR"/>
              </w:rPr>
              <w:t>Higher</w:t>
            </w:r>
            <w:r w:rsidR="002A544C" w:rsidRPr="00D5431D">
              <w:rPr>
                <w:rFonts w:ascii="Cambria" w:eastAsia="Times New Roman" w:hAnsi="Cambria" w:cs="Helvetica"/>
                <w:color w:val="000000"/>
                <w:sz w:val="20"/>
                <w:szCs w:val="20"/>
                <w:lang w:eastAsia="ko-KR"/>
              </w:rPr>
              <w:t xml:space="preserve"> Weighted Sales Factor ($000)</w:t>
            </w:r>
            <w:r w:rsidR="00186FCF">
              <w:rPr>
                <w:rFonts w:ascii="Cambria" w:eastAsia="Times New Roman" w:hAnsi="Cambria" w:cs="Helvetica"/>
                <w:color w:val="000000"/>
                <w:sz w:val="20"/>
                <w:szCs w:val="20"/>
                <w:lang w:eastAsia="ko-KR"/>
              </w:rPr>
              <w:t xml:space="preserve"> </w:t>
            </w:r>
            <w:r w:rsidR="00186FCF" w:rsidRPr="00107265">
              <w:rPr>
                <w:rStyle w:val="FootnoteReference"/>
                <w:rFonts w:eastAsiaTheme="majorEastAsia"/>
                <w:color w:val="000000" w:themeColor="text1"/>
              </w:rPr>
              <w:t>(2)</w:t>
            </w:r>
          </w:p>
        </w:tc>
        <w:tc>
          <w:tcPr>
            <w:tcW w:w="1260" w:type="dxa"/>
            <w:shd w:val="clear" w:color="auto" w:fill="B6DDE8" w:themeFill="accent5" w:themeFillTint="66"/>
            <w:vAlign w:val="center"/>
            <w:hideMark/>
          </w:tcPr>
          <w:p w14:paraId="63E46125" w14:textId="1E0B9D93" w:rsidR="002A544C" w:rsidRPr="00EE5936" w:rsidRDefault="002A544C" w:rsidP="002A544C">
            <w:pPr>
              <w:spacing w:after="0" w:line="240" w:lineRule="auto"/>
              <w:jc w:val="center"/>
              <w:rPr>
                <w:rFonts w:ascii="Cambria" w:eastAsia="Times New Roman" w:hAnsi="Cambria" w:cs="Helvetica"/>
                <w:i/>
                <w:iCs/>
                <w:color w:val="000000"/>
                <w:sz w:val="20"/>
                <w:szCs w:val="20"/>
                <w:lang w:eastAsia="ko-KR"/>
              </w:rPr>
            </w:pPr>
            <w:r w:rsidRPr="00D5431D">
              <w:rPr>
                <w:rFonts w:ascii="Cambria" w:eastAsia="Times New Roman" w:hAnsi="Cambria" w:cs="Helvetica"/>
                <w:color w:val="000000"/>
                <w:sz w:val="20"/>
                <w:szCs w:val="20"/>
                <w:lang w:eastAsia="ko-KR"/>
              </w:rPr>
              <w:t xml:space="preserve">% of Total </w:t>
            </w:r>
            <w:r w:rsidR="0027131F">
              <w:rPr>
                <w:rFonts w:ascii="Cambria" w:eastAsia="Times New Roman" w:hAnsi="Cambria" w:cs="Helvetica"/>
                <w:color w:val="000000"/>
                <w:sz w:val="20"/>
                <w:szCs w:val="20"/>
                <w:lang w:eastAsia="ko-KR"/>
              </w:rPr>
              <w:t xml:space="preserve">Net </w:t>
            </w:r>
            <w:r w:rsidR="00FB4EC1" w:rsidRPr="00D5431D">
              <w:rPr>
                <w:rFonts w:ascii="Cambria" w:eastAsia="Times New Roman" w:hAnsi="Cambria" w:cs="Helvetica"/>
                <w:color w:val="000000"/>
                <w:sz w:val="20"/>
                <w:szCs w:val="20"/>
                <w:lang w:eastAsia="ko-KR"/>
              </w:rPr>
              <w:t xml:space="preserve">Tax </w:t>
            </w:r>
            <w:r w:rsidR="00FB4EC1" w:rsidRPr="001C5672">
              <w:rPr>
                <w:rFonts w:ascii="Cambria" w:eastAsia="Times New Roman" w:hAnsi="Cambria" w:cs="Helvetica"/>
                <w:color w:val="000000"/>
                <w:sz w:val="20"/>
                <w:szCs w:val="20"/>
                <w:lang w:eastAsia="ko-KR"/>
              </w:rPr>
              <w:t>Liability Change</w:t>
            </w:r>
          </w:p>
        </w:tc>
        <w:tc>
          <w:tcPr>
            <w:tcW w:w="1260" w:type="dxa"/>
            <w:shd w:val="clear" w:color="auto" w:fill="B6DDE8" w:themeFill="accent5" w:themeFillTint="66"/>
            <w:vAlign w:val="center"/>
            <w:hideMark/>
          </w:tcPr>
          <w:p w14:paraId="4B6FBAC8" w14:textId="014D45CF" w:rsidR="002A544C" w:rsidRPr="00EE5936" w:rsidRDefault="0027131F" w:rsidP="002A544C">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Net </w:t>
            </w:r>
            <w:r w:rsidR="002A544C" w:rsidRPr="00D5431D">
              <w:rPr>
                <w:rFonts w:ascii="Cambria" w:eastAsia="Times New Roman" w:hAnsi="Cambria" w:cs="Helvetica"/>
                <w:color w:val="000000"/>
                <w:sz w:val="20"/>
                <w:szCs w:val="20"/>
                <w:lang w:eastAsia="ko-KR"/>
              </w:rPr>
              <w:t xml:space="preserve">Tax </w:t>
            </w:r>
            <w:r w:rsidR="004B42DD" w:rsidRPr="001C5672">
              <w:rPr>
                <w:rFonts w:ascii="Cambria" w:eastAsia="Times New Roman" w:hAnsi="Cambria" w:cs="Helvetica"/>
                <w:color w:val="000000"/>
                <w:sz w:val="20"/>
                <w:szCs w:val="20"/>
                <w:lang w:eastAsia="ko-KR"/>
              </w:rPr>
              <w:t>Liability Change</w:t>
            </w:r>
            <w:r w:rsidR="002A544C" w:rsidRPr="00D5431D">
              <w:rPr>
                <w:rFonts w:ascii="Cambria" w:eastAsia="Times New Roman" w:hAnsi="Cambria" w:cs="Helvetica"/>
                <w:color w:val="000000"/>
                <w:sz w:val="20"/>
                <w:szCs w:val="20"/>
                <w:lang w:eastAsia="ko-KR"/>
              </w:rPr>
              <w:t xml:space="preserve"> per Impacted Corporation ($000)</w:t>
            </w:r>
            <w:r w:rsidR="00186FCF" w:rsidRPr="00107265">
              <w:rPr>
                <w:rStyle w:val="FootnoteReference"/>
                <w:rFonts w:eastAsiaTheme="majorEastAsia"/>
                <w:color w:val="000000" w:themeColor="text1"/>
              </w:rPr>
              <w:t xml:space="preserve"> (2)</w:t>
            </w:r>
          </w:p>
        </w:tc>
      </w:tr>
      <w:tr w:rsidR="0081479C" w:rsidRPr="00D5431D" w14:paraId="51DE1B98" w14:textId="77777777" w:rsidTr="000E54AA">
        <w:trPr>
          <w:trHeight w:val="288"/>
          <w:jc w:val="center"/>
        </w:trPr>
        <w:tc>
          <w:tcPr>
            <w:tcW w:w="2425" w:type="dxa"/>
            <w:shd w:val="clear" w:color="auto" w:fill="auto"/>
            <w:vAlign w:val="center"/>
            <w:hideMark/>
          </w:tcPr>
          <w:p w14:paraId="52F361A7" w14:textId="77777777" w:rsidR="0081479C" w:rsidRPr="00EE5936" w:rsidRDefault="0081479C" w:rsidP="0081479C">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0 to $9,999</w:t>
            </w:r>
          </w:p>
        </w:tc>
        <w:tc>
          <w:tcPr>
            <w:tcW w:w="1440" w:type="dxa"/>
            <w:shd w:val="clear" w:color="auto" w:fill="auto"/>
            <w:vAlign w:val="center"/>
            <w:hideMark/>
          </w:tcPr>
          <w:p w14:paraId="5DF6194F" w14:textId="0C7BB932"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2,563 </w:t>
            </w:r>
          </w:p>
        </w:tc>
        <w:tc>
          <w:tcPr>
            <w:tcW w:w="1350" w:type="dxa"/>
            <w:shd w:val="clear" w:color="auto" w:fill="auto"/>
            <w:vAlign w:val="center"/>
            <w:hideMark/>
          </w:tcPr>
          <w:p w14:paraId="4535DD24" w14:textId="017C5FFA"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15.4%</w:t>
            </w:r>
          </w:p>
        </w:tc>
        <w:tc>
          <w:tcPr>
            <w:tcW w:w="1620" w:type="dxa"/>
            <w:shd w:val="clear" w:color="auto" w:fill="auto"/>
            <w:vAlign w:val="center"/>
            <w:hideMark/>
          </w:tcPr>
          <w:p w14:paraId="3E718811" w14:textId="1B7AAA44"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-$60,835</w:t>
            </w:r>
          </w:p>
        </w:tc>
        <w:tc>
          <w:tcPr>
            <w:tcW w:w="1260" w:type="dxa"/>
            <w:shd w:val="clear" w:color="auto" w:fill="auto"/>
            <w:vAlign w:val="center"/>
            <w:hideMark/>
          </w:tcPr>
          <w:p w14:paraId="247DD3C9" w14:textId="4BE2A385"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15.5%</w:t>
            </w:r>
          </w:p>
        </w:tc>
        <w:tc>
          <w:tcPr>
            <w:tcW w:w="1260" w:type="dxa"/>
            <w:shd w:val="clear" w:color="auto" w:fill="auto"/>
            <w:vAlign w:val="center"/>
            <w:hideMark/>
          </w:tcPr>
          <w:p w14:paraId="0A32972C" w14:textId="50A8047A"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-$24</w:t>
            </w:r>
          </w:p>
        </w:tc>
      </w:tr>
      <w:tr w:rsidR="0081479C" w:rsidRPr="00D5431D" w14:paraId="3C26CD3C" w14:textId="77777777" w:rsidTr="000E54AA">
        <w:trPr>
          <w:trHeight w:val="288"/>
          <w:jc w:val="center"/>
        </w:trPr>
        <w:tc>
          <w:tcPr>
            <w:tcW w:w="2425" w:type="dxa"/>
            <w:shd w:val="clear" w:color="auto" w:fill="auto"/>
            <w:vAlign w:val="center"/>
            <w:hideMark/>
          </w:tcPr>
          <w:p w14:paraId="50D5814A" w14:textId="77777777" w:rsidR="0081479C" w:rsidRPr="00EE5936" w:rsidRDefault="0081479C" w:rsidP="0081479C">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 to $99,999</w:t>
            </w:r>
          </w:p>
        </w:tc>
        <w:tc>
          <w:tcPr>
            <w:tcW w:w="1440" w:type="dxa"/>
            <w:shd w:val="clear" w:color="auto" w:fill="auto"/>
            <w:vAlign w:val="center"/>
            <w:hideMark/>
          </w:tcPr>
          <w:p w14:paraId="29CDE361" w14:textId="58C08A05"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6,122 </w:t>
            </w:r>
          </w:p>
        </w:tc>
        <w:tc>
          <w:tcPr>
            <w:tcW w:w="1350" w:type="dxa"/>
            <w:shd w:val="clear" w:color="auto" w:fill="auto"/>
            <w:vAlign w:val="center"/>
            <w:hideMark/>
          </w:tcPr>
          <w:p w14:paraId="5A98BE81" w14:textId="6D7BC984"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36.7%</w:t>
            </w:r>
          </w:p>
        </w:tc>
        <w:tc>
          <w:tcPr>
            <w:tcW w:w="1620" w:type="dxa"/>
            <w:shd w:val="clear" w:color="auto" w:fill="auto"/>
            <w:vAlign w:val="center"/>
            <w:hideMark/>
          </w:tcPr>
          <w:p w14:paraId="30D13288" w14:textId="40EEB5C7"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-$10,576</w:t>
            </w:r>
          </w:p>
        </w:tc>
        <w:tc>
          <w:tcPr>
            <w:tcW w:w="1260" w:type="dxa"/>
            <w:shd w:val="clear" w:color="auto" w:fill="auto"/>
            <w:vAlign w:val="center"/>
            <w:hideMark/>
          </w:tcPr>
          <w:p w14:paraId="648C52D0" w14:textId="20C071A1"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2.7%</w:t>
            </w:r>
          </w:p>
        </w:tc>
        <w:tc>
          <w:tcPr>
            <w:tcW w:w="1260" w:type="dxa"/>
            <w:shd w:val="clear" w:color="auto" w:fill="auto"/>
            <w:vAlign w:val="center"/>
            <w:hideMark/>
          </w:tcPr>
          <w:p w14:paraId="7651D35F" w14:textId="11D3FB44"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w:t>
            </w:r>
          </w:p>
        </w:tc>
      </w:tr>
      <w:tr w:rsidR="0081479C" w:rsidRPr="00D5431D" w14:paraId="789C6FA3" w14:textId="77777777" w:rsidTr="000E54AA">
        <w:trPr>
          <w:trHeight w:val="288"/>
          <w:jc w:val="center"/>
        </w:trPr>
        <w:tc>
          <w:tcPr>
            <w:tcW w:w="2425" w:type="dxa"/>
            <w:shd w:val="clear" w:color="auto" w:fill="auto"/>
            <w:vAlign w:val="center"/>
            <w:hideMark/>
          </w:tcPr>
          <w:p w14:paraId="379C5C07" w14:textId="77777777" w:rsidR="0081479C" w:rsidRPr="00EE5936" w:rsidRDefault="0081479C" w:rsidP="0081479C">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 to $999,999</w:t>
            </w:r>
          </w:p>
        </w:tc>
        <w:tc>
          <w:tcPr>
            <w:tcW w:w="1440" w:type="dxa"/>
            <w:shd w:val="clear" w:color="auto" w:fill="auto"/>
            <w:vAlign w:val="center"/>
            <w:hideMark/>
          </w:tcPr>
          <w:p w14:paraId="04833B3C" w14:textId="0C5B2803"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5,511 </w:t>
            </w:r>
          </w:p>
        </w:tc>
        <w:tc>
          <w:tcPr>
            <w:tcW w:w="1350" w:type="dxa"/>
            <w:shd w:val="clear" w:color="auto" w:fill="auto"/>
            <w:vAlign w:val="center"/>
            <w:hideMark/>
          </w:tcPr>
          <w:p w14:paraId="3984133C" w14:textId="201AB96F"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33.0%</w:t>
            </w:r>
          </w:p>
        </w:tc>
        <w:tc>
          <w:tcPr>
            <w:tcW w:w="1620" w:type="dxa"/>
            <w:shd w:val="clear" w:color="auto" w:fill="auto"/>
            <w:vAlign w:val="center"/>
            <w:hideMark/>
          </w:tcPr>
          <w:p w14:paraId="1AE2C59B" w14:textId="3C488F99"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-$79,177</w:t>
            </w:r>
          </w:p>
        </w:tc>
        <w:tc>
          <w:tcPr>
            <w:tcW w:w="1260" w:type="dxa"/>
            <w:shd w:val="clear" w:color="auto" w:fill="auto"/>
            <w:vAlign w:val="center"/>
            <w:hideMark/>
          </w:tcPr>
          <w:p w14:paraId="08C398DD" w14:textId="46B9A3DE"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20.2%</w:t>
            </w:r>
          </w:p>
        </w:tc>
        <w:tc>
          <w:tcPr>
            <w:tcW w:w="1260" w:type="dxa"/>
            <w:shd w:val="clear" w:color="auto" w:fill="auto"/>
            <w:vAlign w:val="center"/>
            <w:hideMark/>
          </w:tcPr>
          <w:p w14:paraId="52CC09AF" w14:textId="5AD059D5"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-$14</w:t>
            </w:r>
          </w:p>
        </w:tc>
      </w:tr>
      <w:tr w:rsidR="0081479C" w:rsidRPr="00D5431D" w14:paraId="12078A44" w14:textId="77777777" w:rsidTr="000E54AA">
        <w:trPr>
          <w:trHeight w:val="288"/>
          <w:jc w:val="center"/>
        </w:trPr>
        <w:tc>
          <w:tcPr>
            <w:tcW w:w="2425" w:type="dxa"/>
            <w:shd w:val="clear" w:color="auto" w:fill="auto"/>
            <w:vAlign w:val="center"/>
            <w:hideMark/>
          </w:tcPr>
          <w:p w14:paraId="2473C417" w14:textId="77777777" w:rsidR="0081479C" w:rsidRPr="00EE5936" w:rsidRDefault="0081479C" w:rsidP="0081479C">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$1,000,000 to $9,999,99</w:t>
            </w:r>
          </w:p>
        </w:tc>
        <w:tc>
          <w:tcPr>
            <w:tcW w:w="1440" w:type="dxa"/>
            <w:shd w:val="clear" w:color="auto" w:fill="auto"/>
            <w:vAlign w:val="center"/>
            <w:hideMark/>
          </w:tcPr>
          <w:p w14:paraId="08367436" w14:textId="06132696"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2,192 </w:t>
            </w:r>
          </w:p>
        </w:tc>
        <w:tc>
          <w:tcPr>
            <w:tcW w:w="1350" w:type="dxa"/>
            <w:shd w:val="clear" w:color="auto" w:fill="auto"/>
            <w:vAlign w:val="center"/>
            <w:hideMark/>
          </w:tcPr>
          <w:p w14:paraId="2C14E488" w14:textId="27BBF2AE"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13.1%</w:t>
            </w:r>
          </w:p>
        </w:tc>
        <w:tc>
          <w:tcPr>
            <w:tcW w:w="1620" w:type="dxa"/>
            <w:shd w:val="clear" w:color="auto" w:fill="auto"/>
            <w:vAlign w:val="center"/>
            <w:hideMark/>
          </w:tcPr>
          <w:p w14:paraId="388FEFA0" w14:textId="7059BACD"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-$136,755</w:t>
            </w:r>
          </w:p>
        </w:tc>
        <w:tc>
          <w:tcPr>
            <w:tcW w:w="1260" w:type="dxa"/>
            <w:shd w:val="clear" w:color="auto" w:fill="auto"/>
            <w:vAlign w:val="center"/>
            <w:hideMark/>
          </w:tcPr>
          <w:p w14:paraId="04E8AC23" w14:textId="3D603027"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34.8%</w:t>
            </w:r>
          </w:p>
        </w:tc>
        <w:tc>
          <w:tcPr>
            <w:tcW w:w="1260" w:type="dxa"/>
            <w:shd w:val="clear" w:color="auto" w:fill="auto"/>
            <w:vAlign w:val="center"/>
            <w:hideMark/>
          </w:tcPr>
          <w:p w14:paraId="6D207A7A" w14:textId="2E240E61"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-$62</w:t>
            </w:r>
          </w:p>
        </w:tc>
      </w:tr>
      <w:tr w:rsidR="0081479C" w:rsidRPr="00D5431D" w14:paraId="3C220044" w14:textId="77777777" w:rsidTr="000E54AA">
        <w:trPr>
          <w:trHeight w:val="288"/>
          <w:jc w:val="center"/>
        </w:trPr>
        <w:tc>
          <w:tcPr>
            <w:tcW w:w="2425" w:type="dxa"/>
            <w:shd w:val="clear" w:color="auto" w:fill="auto"/>
            <w:vAlign w:val="center"/>
            <w:hideMark/>
          </w:tcPr>
          <w:p w14:paraId="46501491" w14:textId="77777777" w:rsidR="0081479C" w:rsidRPr="00EE5936" w:rsidRDefault="0081479C" w:rsidP="0081479C">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$10,000,000 or more</w:t>
            </w:r>
          </w:p>
        </w:tc>
        <w:tc>
          <w:tcPr>
            <w:tcW w:w="1440" w:type="dxa"/>
            <w:shd w:val="clear" w:color="auto" w:fill="auto"/>
            <w:vAlign w:val="center"/>
            <w:hideMark/>
          </w:tcPr>
          <w:p w14:paraId="0931CB8E" w14:textId="38485A48"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301 </w:t>
            </w:r>
          </w:p>
        </w:tc>
        <w:tc>
          <w:tcPr>
            <w:tcW w:w="1350" w:type="dxa"/>
            <w:shd w:val="clear" w:color="auto" w:fill="auto"/>
            <w:vAlign w:val="center"/>
            <w:hideMark/>
          </w:tcPr>
          <w:p w14:paraId="565AC7FF" w14:textId="4ABC5B17"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1.8%</w:t>
            </w:r>
          </w:p>
        </w:tc>
        <w:tc>
          <w:tcPr>
            <w:tcW w:w="1620" w:type="dxa"/>
            <w:shd w:val="clear" w:color="auto" w:fill="auto"/>
            <w:vAlign w:val="center"/>
            <w:hideMark/>
          </w:tcPr>
          <w:p w14:paraId="73B7716D" w14:textId="36FF6084"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-$105,551</w:t>
            </w:r>
          </w:p>
        </w:tc>
        <w:tc>
          <w:tcPr>
            <w:tcW w:w="1260" w:type="dxa"/>
            <w:shd w:val="clear" w:color="auto" w:fill="auto"/>
            <w:vAlign w:val="center"/>
            <w:hideMark/>
          </w:tcPr>
          <w:p w14:paraId="5F876319" w14:textId="7E2675A6"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26.9%</w:t>
            </w:r>
          </w:p>
        </w:tc>
        <w:tc>
          <w:tcPr>
            <w:tcW w:w="1260" w:type="dxa"/>
            <w:shd w:val="clear" w:color="auto" w:fill="auto"/>
            <w:vAlign w:val="center"/>
            <w:hideMark/>
          </w:tcPr>
          <w:p w14:paraId="67F1A3B3" w14:textId="247C6F5F"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-$351</w:t>
            </w:r>
          </w:p>
        </w:tc>
      </w:tr>
      <w:tr w:rsidR="0081479C" w:rsidRPr="00D5431D" w14:paraId="5B3E6279" w14:textId="77777777" w:rsidTr="000E54AA">
        <w:trPr>
          <w:trHeight w:val="288"/>
          <w:jc w:val="center"/>
        </w:trPr>
        <w:tc>
          <w:tcPr>
            <w:tcW w:w="2425" w:type="dxa"/>
            <w:shd w:val="clear" w:color="auto" w:fill="auto"/>
            <w:vAlign w:val="center"/>
            <w:hideMark/>
          </w:tcPr>
          <w:p w14:paraId="7F70FC4D" w14:textId="77777777" w:rsidR="0081479C" w:rsidRPr="00EE5936" w:rsidRDefault="0081479C" w:rsidP="0081479C">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Total or average</w:t>
            </w:r>
          </w:p>
        </w:tc>
        <w:tc>
          <w:tcPr>
            <w:tcW w:w="1440" w:type="dxa"/>
            <w:shd w:val="clear" w:color="auto" w:fill="auto"/>
            <w:vAlign w:val="center"/>
            <w:hideMark/>
          </w:tcPr>
          <w:p w14:paraId="2C8C20BE" w14:textId="54C951F9"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16,689 </w:t>
            </w:r>
          </w:p>
        </w:tc>
        <w:tc>
          <w:tcPr>
            <w:tcW w:w="1350" w:type="dxa"/>
            <w:shd w:val="clear" w:color="auto" w:fill="auto"/>
            <w:vAlign w:val="center"/>
            <w:hideMark/>
          </w:tcPr>
          <w:p w14:paraId="16D0DBCA" w14:textId="4A5A9BB7"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620" w:type="dxa"/>
            <w:shd w:val="clear" w:color="auto" w:fill="auto"/>
            <w:vAlign w:val="center"/>
            <w:hideMark/>
          </w:tcPr>
          <w:p w14:paraId="658C81CA" w14:textId="1114A8A7"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-$392,894</w:t>
            </w:r>
          </w:p>
        </w:tc>
        <w:tc>
          <w:tcPr>
            <w:tcW w:w="1260" w:type="dxa"/>
            <w:shd w:val="clear" w:color="auto" w:fill="auto"/>
            <w:vAlign w:val="center"/>
            <w:hideMark/>
          </w:tcPr>
          <w:p w14:paraId="5A5BFF11" w14:textId="6096DB18" w:rsidR="0081479C" w:rsidRPr="00A02FE0" w:rsidRDefault="0081479C">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260" w:type="dxa"/>
            <w:shd w:val="clear" w:color="auto" w:fill="auto"/>
            <w:vAlign w:val="center"/>
            <w:hideMark/>
          </w:tcPr>
          <w:p w14:paraId="16552378" w14:textId="16600C0D" w:rsidR="0081479C" w:rsidRPr="00A02FE0" w:rsidRDefault="0081479C">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-$24</w:t>
            </w:r>
          </w:p>
        </w:tc>
      </w:tr>
    </w:tbl>
    <w:p w14:paraId="0354986C" w14:textId="77777777" w:rsidR="002A544C" w:rsidRPr="00212BA2" w:rsidRDefault="002A544C" w:rsidP="002A544C">
      <w:pPr>
        <w:tabs>
          <w:tab w:val="left" w:pos="7050"/>
        </w:tabs>
        <w:spacing w:after="0"/>
        <w:rPr>
          <w:rFonts w:asciiTheme="majorHAnsi" w:eastAsiaTheme="majorEastAsia" w:hAnsiTheme="majorHAnsi" w:cstheme="majorBidi"/>
          <w:bCs/>
          <w:color w:val="000000" w:themeColor="text1"/>
          <w:sz w:val="18"/>
          <w:szCs w:val="18"/>
        </w:rPr>
      </w:pPr>
      <w:r w:rsidRPr="00212BA2">
        <w:rPr>
          <w:rFonts w:asciiTheme="majorHAnsi" w:eastAsiaTheme="majorEastAsia" w:hAnsiTheme="majorHAnsi" w:cstheme="majorBidi"/>
          <w:bCs/>
          <w:color w:val="000000" w:themeColor="text1"/>
          <w:sz w:val="18"/>
          <w:szCs w:val="18"/>
        </w:rPr>
        <w:t xml:space="preserve">  Source: Department of Revenue (2017 corporate excise return)</w:t>
      </w:r>
    </w:p>
    <w:p w14:paraId="5F682041" w14:textId="189B697C" w:rsidR="002A544C" w:rsidRPr="00212BA2" w:rsidRDefault="002A544C" w:rsidP="002A544C">
      <w:pPr>
        <w:spacing w:after="0"/>
        <w:rPr>
          <w:rFonts w:asciiTheme="majorHAnsi" w:hAnsiTheme="majorHAnsi"/>
          <w:bCs/>
          <w:sz w:val="18"/>
          <w:szCs w:val="18"/>
        </w:rPr>
      </w:pPr>
      <w:r w:rsidRPr="00212BA2">
        <w:rPr>
          <w:rFonts w:asciiTheme="majorHAnsi" w:hAnsiTheme="majorHAnsi"/>
          <w:sz w:val="18"/>
          <w:szCs w:val="18"/>
        </w:rPr>
        <w:t xml:space="preserve">  Note: </w:t>
      </w:r>
      <w:r w:rsidR="00C17D2C" w:rsidRPr="00212BA2">
        <w:rPr>
          <w:rFonts w:asciiTheme="majorHAnsi" w:hAnsiTheme="majorHAnsi"/>
          <w:sz w:val="18"/>
          <w:szCs w:val="18"/>
        </w:rPr>
        <w:t xml:space="preserve">1. </w:t>
      </w:r>
      <w:r w:rsidRPr="00212BA2">
        <w:rPr>
          <w:rFonts w:asciiTheme="majorHAnsi" w:hAnsiTheme="majorHAnsi"/>
          <w:sz w:val="18"/>
          <w:szCs w:val="18"/>
        </w:rPr>
        <w:t>The data</w:t>
      </w:r>
      <w:r w:rsidRPr="00212BA2">
        <w:rPr>
          <w:rFonts w:asciiTheme="majorHAnsi" w:hAnsiTheme="majorHAnsi"/>
          <w:bCs/>
          <w:sz w:val="18"/>
          <w:szCs w:val="18"/>
        </w:rPr>
        <w:t xml:space="preserve"> are preliminary and subject to </w:t>
      </w:r>
      <w:r w:rsidRPr="00212BA2">
        <w:rPr>
          <w:rFonts w:ascii="Cambria" w:eastAsia="Times New Roman" w:hAnsi="Cambria" w:cs="Helvetica"/>
          <w:color w:val="000000"/>
          <w:sz w:val="18"/>
          <w:szCs w:val="18"/>
          <w:lang w:eastAsia="ko-KR"/>
        </w:rPr>
        <w:t>change</w:t>
      </w:r>
      <w:r w:rsidRPr="00212BA2">
        <w:rPr>
          <w:rFonts w:asciiTheme="majorHAnsi" w:hAnsiTheme="majorHAnsi"/>
          <w:bCs/>
          <w:sz w:val="18"/>
          <w:szCs w:val="18"/>
        </w:rPr>
        <w:t xml:space="preserve">. </w:t>
      </w:r>
    </w:p>
    <w:p w14:paraId="1D2A704C" w14:textId="11DDD7DC" w:rsidR="00C17D2C" w:rsidRPr="00212BA2" w:rsidRDefault="00212BA2" w:rsidP="002A544C">
      <w:pPr>
        <w:spacing w:after="0"/>
        <w:rPr>
          <w:rFonts w:asciiTheme="majorHAnsi" w:hAnsiTheme="majorHAnsi"/>
          <w:bCs/>
          <w:sz w:val="18"/>
          <w:szCs w:val="18"/>
        </w:rPr>
      </w:pPr>
      <w:r w:rsidRPr="00212BA2">
        <w:rPr>
          <w:rFonts w:asciiTheme="majorHAnsi" w:hAnsiTheme="majorHAnsi"/>
          <w:bCs/>
          <w:sz w:val="18"/>
          <w:szCs w:val="18"/>
        </w:rPr>
        <w:t xml:space="preserve">             </w:t>
      </w:r>
      <w:r w:rsidR="00C17D2C" w:rsidRPr="00212BA2">
        <w:rPr>
          <w:rFonts w:asciiTheme="majorHAnsi" w:hAnsiTheme="majorHAnsi"/>
          <w:bCs/>
          <w:sz w:val="18"/>
          <w:szCs w:val="18"/>
        </w:rPr>
        <w:t xml:space="preserve">2. </w:t>
      </w:r>
      <w:r w:rsidR="006802AF" w:rsidRPr="00212BA2">
        <w:rPr>
          <w:rFonts w:asciiTheme="majorHAnsi" w:hAnsiTheme="majorHAnsi"/>
          <w:bCs/>
          <w:sz w:val="18"/>
          <w:szCs w:val="18"/>
        </w:rPr>
        <w:t>Negative numbers indicate that taxpayers owe</w:t>
      </w:r>
      <w:r w:rsidR="007906CA">
        <w:rPr>
          <w:rFonts w:asciiTheme="majorHAnsi" w:hAnsiTheme="majorHAnsi"/>
          <w:bCs/>
          <w:sz w:val="18"/>
          <w:szCs w:val="18"/>
        </w:rPr>
        <w:t>d</w:t>
      </w:r>
      <w:r w:rsidR="006802AF" w:rsidRPr="00212BA2">
        <w:rPr>
          <w:rFonts w:asciiTheme="majorHAnsi" w:hAnsiTheme="majorHAnsi"/>
          <w:bCs/>
          <w:sz w:val="18"/>
          <w:szCs w:val="18"/>
        </w:rPr>
        <w:t xml:space="preserve"> less tax using formulas with higher weighted sales factor; positive numbers indicate that taxpayers owe more tax using formulas with higher weighted sales factor</w:t>
      </w:r>
    </w:p>
    <w:p w14:paraId="06108E79" w14:textId="77777777" w:rsidR="002A544C" w:rsidRDefault="002A544C" w:rsidP="00C124D1">
      <w:pPr>
        <w:spacing w:after="0"/>
        <w:rPr>
          <w:rFonts w:asciiTheme="majorHAnsi" w:eastAsiaTheme="majorEastAsia" w:hAnsiTheme="majorHAnsi" w:cstheme="majorBidi"/>
          <w:bCs/>
          <w:color w:val="000000" w:themeColor="text1"/>
          <w:sz w:val="24"/>
          <w:szCs w:val="24"/>
        </w:rPr>
      </w:pPr>
    </w:p>
    <w:p w14:paraId="60156A8A" w14:textId="23FAD598" w:rsidR="000D5A47" w:rsidRDefault="000D5A47" w:rsidP="00C124D1">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Table 4 shows that about </w:t>
      </w:r>
      <w:r w:rsidR="00224FE9">
        <w:rPr>
          <w:rFonts w:asciiTheme="majorHAnsi" w:eastAsiaTheme="majorEastAsia" w:hAnsiTheme="majorHAnsi" w:cstheme="majorBidi"/>
          <w:bCs/>
          <w:color w:val="000000" w:themeColor="text1"/>
          <w:sz w:val="24"/>
          <w:szCs w:val="24"/>
        </w:rPr>
        <w:t>43.9</w:t>
      </w:r>
      <w:r>
        <w:rPr>
          <w:rFonts w:asciiTheme="majorHAnsi" w:eastAsiaTheme="majorEastAsia" w:hAnsiTheme="majorHAnsi" w:cstheme="majorBidi"/>
          <w:bCs/>
          <w:color w:val="000000" w:themeColor="text1"/>
          <w:sz w:val="24"/>
          <w:szCs w:val="24"/>
        </w:rPr>
        <w:t xml:space="preserve">% of the impacted corporations had fewer than 5 employees, and these corporations represented </w:t>
      </w:r>
      <w:r w:rsidR="00224FE9">
        <w:rPr>
          <w:rFonts w:asciiTheme="majorHAnsi" w:eastAsiaTheme="majorEastAsia" w:hAnsiTheme="majorHAnsi" w:cstheme="majorBidi"/>
          <w:bCs/>
          <w:color w:val="000000" w:themeColor="text1"/>
          <w:sz w:val="24"/>
          <w:szCs w:val="24"/>
        </w:rPr>
        <w:t>3.7</w:t>
      </w:r>
      <w:r>
        <w:rPr>
          <w:rFonts w:asciiTheme="majorHAnsi" w:eastAsiaTheme="majorEastAsia" w:hAnsiTheme="majorHAnsi" w:cstheme="majorBidi"/>
          <w:bCs/>
          <w:color w:val="000000" w:themeColor="text1"/>
          <w:sz w:val="24"/>
          <w:szCs w:val="24"/>
        </w:rPr>
        <w:t>% of the total</w:t>
      </w:r>
      <w:r w:rsidR="00224FE9">
        <w:rPr>
          <w:rFonts w:asciiTheme="majorHAnsi" w:eastAsiaTheme="majorEastAsia" w:hAnsiTheme="majorHAnsi" w:cstheme="majorBidi"/>
          <w:bCs/>
          <w:color w:val="000000" w:themeColor="text1"/>
          <w:sz w:val="24"/>
          <w:szCs w:val="24"/>
        </w:rPr>
        <w:t xml:space="preserve"> net</w:t>
      </w:r>
      <w:r>
        <w:rPr>
          <w:rFonts w:asciiTheme="majorHAnsi" w:eastAsiaTheme="majorEastAsia" w:hAnsiTheme="majorHAnsi" w:cstheme="majorBidi"/>
          <w:bCs/>
          <w:color w:val="000000" w:themeColor="text1"/>
          <w:sz w:val="24"/>
          <w:szCs w:val="24"/>
        </w:rPr>
        <w:t xml:space="preserve"> tax </w:t>
      </w:r>
      <w:r w:rsidR="0035125B">
        <w:rPr>
          <w:rFonts w:asciiTheme="majorHAnsi" w:eastAsiaTheme="majorEastAsia" w:hAnsiTheme="majorHAnsi" w:cstheme="majorBidi"/>
          <w:bCs/>
          <w:color w:val="000000" w:themeColor="text1"/>
          <w:sz w:val="24"/>
          <w:szCs w:val="24"/>
        </w:rPr>
        <w:t>saving</w:t>
      </w:r>
      <w:r w:rsidR="00420572">
        <w:rPr>
          <w:rFonts w:asciiTheme="majorHAnsi" w:eastAsiaTheme="majorEastAsia" w:hAnsiTheme="majorHAnsi" w:cstheme="majorBidi"/>
          <w:bCs/>
          <w:color w:val="000000" w:themeColor="text1"/>
          <w:sz w:val="24"/>
          <w:szCs w:val="24"/>
        </w:rPr>
        <w:t>s</w:t>
      </w:r>
      <w:r>
        <w:rPr>
          <w:rFonts w:asciiTheme="majorHAnsi" w:eastAsiaTheme="majorEastAsia" w:hAnsiTheme="majorHAnsi" w:cstheme="majorBidi"/>
          <w:bCs/>
          <w:color w:val="000000" w:themeColor="text1"/>
          <w:sz w:val="24"/>
          <w:szCs w:val="24"/>
        </w:rPr>
        <w:t xml:space="preserve"> of </w:t>
      </w:r>
      <w:r w:rsidR="00827961">
        <w:rPr>
          <w:rFonts w:asciiTheme="majorHAnsi" w:eastAsiaTheme="majorEastAsia" w:hAnsiTheme="majorHAnsi" w:cstheme="majorBidi"/>
          <w:bCs/>
          <w:color w:val="000000" w:themeColor="text1"/>
          <w:sz w:val="24"/>
          <w:szCs w:val="24"/>
        </w:rPr>
        <w:t>all impacted</w:t>
      </w:r>
      <w:r>
        <w:rPr>
          <w:rFonts w:asciiTheme="majorHAnsi" w:eastAsiaTheme="majorEastAsia" w:hAnsiTheme="majorHAnsi" w:cstheme="majorBidi"/>
          <w:bCs/>
          <w:color w:val="000000" w:themeColor="text1"/>
          <w:sz w:val="24"/>
          <w:szCs w:val="24"/>
        </w:rPr>
        <w:t xml:space="preserve"> corporations. About </w:t>
      </w:r>
      <w:r w:rsidR="0035125B">
        <w:rPr>
          <w:rFonts w:asciiTheme="majorHAnsi" w:eastAsiaTheme="majorEastAsia" w:hAnsiTheme="majorHAnsi" w:cstheme="majorBidi"/>
          <w:bCs/>
          <w:color w:val="000000" w:themeColor="text1"/>
          <w:sz w:val="24"/>
          <w:szCs w:val="24"/>
        </w:rPr>
        <w:t>9.9</w:t>
      </w:r>
      <w:r>
        <w:rPr>
          <w:rFonts w:asciiTheme="majorHAnsi" w:eastAsiaTheme="majorEastAsia" w:hAnsiTheme="majorHAnsi" w:cstheme="majorBidi"/>
          <w:bCs/>
          <w:color w:val="000000" w:themeColor="text1"/>
          <w:sz w:val="24"/>
          <w:szCs w:val="24"/>
        </w:rPr>
        <w:t xml:space="preserve">% of </w:t>
      </w:r>
      <w:r w:rsidR="00224FE9">
        <w:rPr>
          <w:rFonts w:asciiTheme="majorHAnsi" w:eastAsiaTheme="majorEastAsia" w:hAnsiTheme="majorHAnsi" w:cstheme="majorBidi"/>
          <w:bCs/>
          <w:color w:val="000000" w:themeColor="text1"/>
          <w:sz w:val="24"/>
          <w:szCs w:val="24"/>
        </w:rPr>
        <w:t>all</w:t>
      </w:r>
      <w:r>
        <w:rPr>
          <w:rFonts w:asciiTheme="majorHAnsi" w:eastAsiaTheme="majorEastAsia" w:hAnsiTheme="majorHAnsi" w:cstheme="majorBidi"/>
          <w:bCs/>
          <w:color w:val="000000" w:themeColor="text1"/>
          <w:sz w:val="24"/>
          <w:szCs w:val="24"/>
        </w:rPr>
        <w:t xml:space="preserve"> impacted corporations were corporations with 500 or more employees, representing </w:t>
      </w:r>
      <w:r w:rsidR="00224FE9">
        <w:rPr>
          <w:rFonts w:asciiTheme="majorHAnsi" w:eastAsiaTheme="majorEastAsia" w:hAnsiTheme="majorHAnsi" w:cstheme="majorBidi"/>
          <w:bCs/>
          <w:color w:val="000000" w:themeColor="text1"/>
          <w:sz w:val="24"/>
          <w:szCs w:val="24"/>
        </w:rPr>
        <w:t>68.9</w:t>
      </w:r>
      <w:r>
        <w:rPr>
          <w:rFonts w:asciiTheme="majorHAnsi" w:eastAsiaTheme="majorEastAsia" w:hAnsiTheme="majorHAnsi" w:cstheme="majorBidi"/>
          <w:bCs/>
          <w:color w:val="000000" w:themeColor="text1"/>
          <w:sz w:val="24"/>
          <w:szCs w:val="24"/>
        </w:rPr>
        <w:t xml:space="preserve">% of the total </w:t>
      </w:r>
      <w:r w:rsidR="00224FE9">
        <w:rPr>
          <w:rFonts w:asciiTheme="majorHAnsi" w:eastAsiaTheme="majorEastAsia" w:hAnsiTheme="majorHAnsi" w:cstheme="majorBidi"/>
          <w:bCs/>
          <w:color w:val="000000" w:themeColor="text1"/>
          <w:sz w:val="24"/>
          <w:szCs w:val="24"/>
        </w:rPr>
        <w:t xml:space="preserve">net </w:t>
      </w:r>
      <w:r>
        <w:rPr>
          <w:rFonts w:asciiTheme="majorHAnsi" w:eastAsiaTheme="majorEastAsia" w:hAnsiTheme="majorHAnsi" w:cstheme="majorBidi"/>
          <w:bCs/>
          <w:color w:val="000000" w:themeColor="text1"/>
          <w:sz w:val="24"/>
          <w:szCs w:val="24"/>
        </w:rPr>
        <w:t xml:space="preserve">tax </w:t>
      </w:r>
      <w:r w:rsidR="0035125B">
        <w:rPr>
          <w:rFonts w:asciiTheme="majorHAnsi" w:eastAsiaTheme="majorEastAsia" w:hAnsiTheme="majorHAnsi" w:cstheme="majorBidi"/>
          <w:bCs/>
          <w:color w:val="000000" w:themeColor="text1"/>
          <w:sz w:val="24"/>
          <w:szCs w:val="24"/>
        </w:rPr>
        <w:t>saving</w:t>
      </w:r>
      <w:r w:rsidR="00420572">
        <w:rPr>
          <w:rFonts w:asciiTheme="majorHAnsi" w:eastAsiaTheme="majorEastAsia" w:hAnsiTheme="majorHAnsi" w:cstheme="majorBidi"/>
          <w:bCs/>
          <w:color w:val="000000" w:themeColor="text1"/>
          <w:sz w:val="24"/>
          <w:szCs w:val="24"/>
        </w:rPr>
        <w:t>s</w:t>
      </w:r>
      <w:r>
        <w:rPr>
          <w:rFonts w:asciiTheme="majorHAnsi" w:eastAsiaTheme="majorEastAsia" w:hAnsiTheme="majorHAnsi" w:cstheme="majorBidi"/>
          <w:bCs/>
          <w:color w:val="000000" w:themeColor="text1"/>
          <w:sz w:val="24"/>
          <w:szCs w:val="24"/>
        </w:rPr>
        <w:t xml:space="preserve"> of </w:t>
      </w:r>
      <w:r w:rsidR="00827961">
        <w:rPr>
          <w:rFonts w:asciiTheme="majorHAnsi" w:eastAsiaTheme="majorEastAsia" w:hAnsiTheme="majorHAnsi" w:cstheme="majorBidi"/>
          <w:bCs/>
          <w:color w:val="000000" w:themeColor="text1"/>
          <w:sz w:val="24"/>
          <w:szCs w:val="24"/>
        </w:rPr>
        <w:t>all impacted</w:t>
      </w:r>
      <w:r>
        <w:rPr>
          <w:rFonts w:asciiTheme="majorHAnsi" w:eastAsiaTheme="majorEastAsia" w:hAnsiTheme="majorHAnsi" w:cstheme="majorBidi"/>
          <w:bCs/>
          <w:color w:val="000000" w:themeColor="text1"/>
          <w:sz w:val="24"/>
          <w:szCs w:val="24"/>
        </w:rPr>
        <w:t xml:space="preserve"> corporations</w:t>
      </w:r>
      <w:r w:rsidR="0035125B">
        <w:rPr>
          <w:rFonts w:asciiTheme="majorHAnsi" w:eastAsiaTheme="majorEastAsia" w:hAnsiTheme="majorHAnsi" w:cstheme="majorBidi"/>
          <w:bCs/>
          <w:color w:val="000000" w:themeColor="text1"/>
          <w:sz w:val="24"/>
          <w:szCs w:val="24"/>
        </w:rPr>
        <w:t xml:space="preserve"> and </w:t>
      </w:r>
      <w:r w:rsidR="007204FD">
        <w:rPr>
          <w:rFonts w:asciiTheme="majorHAnsi" w:eastAsiaTheme="majorEastAsia" w:hAnsiTheme="majorHAnsi" w:cstheme="majorBidi"/>
          <w:bCs/>
          <w:color w:val="000000" w:themeColor="text1"/>
          <w:sz w:val="24"/>
          <w:szCs w:val="24"/>
        </w:rPr>
        <w:t xml:space="preserve">having </w:t>
      </w:r>
      <w:r w:rsidR="0035125B">
        <w:rPr>
          <w:rFonts w:asciiTheme="majorHAnsi" w:eastAsiaTheme="majorEastAsia" w:hAnsiTheme="majorHAnsi" w:cstheme="majorBidi"/>
          <w:bCs/>
          <w:color w:val="000000" w:themeColor="text1"/>
          <w:sz w:val="24"/>
          <w:szCs w:val="24"/>
        </w:rPr>
        <w:t xml:space="preserve">the highest average </w:t>
      </w:r>
      <w:r w:rsidR="00224FE9">
        <w:rPr>
          <w:rFonts w:asciiTheme="majorHAnsi" w:eastAsiaTheme="majorEastAsia" w:hAnsiTheme="majorHAnsi" w:cstheme="majorBidi"/>
          <w:bCs/>
          <w:color w:val="000000" w:themeColor="text1"/>
          <w:sz w:val="24"/>
          <w:szCs w:val="24"/>
        </w:rPr>
        <w:t xml:space="preserve">net </w:t>
      </w:r>
      <w:r w:rsidR="0035125B">
        <w:rPr>
          <w:rFonts w:asciiTheme="majorHAnsi" w:eastAsiaTheme="majorEastAsia" w:hAnsiTheme="majorHAnsi" w:cstheme="majorBidi"/>
          <w:bCs/>
          <w:color w:val="000000" w:themeColor="text1"/>
          <w:sz w:val="24"/>
          <w:szCs w:val="24"/>
        </w:rPr>
        <w:t>tax saving</w:t>
      </w:r>
      <w:r w:rsidR="00420572">
        <w:rPr>
          <w:rFonts w:asciiTheme="majorHAnsi" w:eastAsiaTheme="majorEastAsia" w:hAnsiTheme="majorHAnsi" w:cstheme="majorBidi"/>
          <w:bCs/>
          <w:color w:val="000000" w:themeColor="text1"/>
          <w:sz w:val="24"/>
          <w:szCs w:val="24"/>
        </w:rPr>
        <w:t>s</w:t>
      </w:r>
      <w:r w:rsidR="0035125B">
        <w:rPr>
          <w:rFonts w:asciiTheme="majorHAnsi" w:eastAsiaTheme="majorEastAsia" w:hAnsiTheme="majorHAnsi" w:cstheme="majorBidi"/>
          <w:bCs/>
          <w:color w:val="000000" w:themeColor="text1"/>
          <w:sz w:val="24"/>
          <w:szCs w:val="24"/>
        </w:rPr>
        <w:t xml:space="preserve"> of </w:t>
      </w:r>
      <w:r w:rsidR="00420572">
        <w:rPr>
          <w:rFonts w:asciiTheme="majorHAnsi" w:eastAsiaTheme="majorEastAsia" w:hAnsiTheme="majorHAnsi" w:cstheme="majorBidi"/>
          <w:bCs/>
          <w:color w:val="000000" w:themeColor="text1"/>
          <w:sz w:val="24"/>
          <w:szCs w:val="24"/>
        </w:rPr>
        <w:t xml:space="preserve">all </w:t>
      </w:r>
      <w:r w:rsidR="00224FE9">
        <w:rPr>
          <w:rFonts w:asciiTheme="majorHAnsi" w:eastAsiaTheme="majorEastAsia" w:hAnsiTheme="majorHAnsi" w:cstheme="majorBidi"/>
          <w:bCs/>
          <w:color w:val="000000" w:themeColor="text1"/>
          <w:sz w:val="24"/>
          <w:szCs w:val="24"/>
        </w:rPr>
        <w:t>impacted corporations</w:t>
      </w:r>
      <w:r w:rsidR="00420572">
        <w:rPr>
          <w:rFonts w:asciiTheme="majorHAnsi" w:eastAsiaTheme="majorEastAsia" w:hAnsiTheme="majorHAnsi" w:cstheme="majorBidi"/>
          <w:bCs/>
          <w:color w:val="000000" w:themeColor="text1"/>
          <w:sz w:val="24"/>
          <w:szCs w:val="24"/>
        </w:rPr>
        <w:t>(</w:t>
      </w:r>
      <w:r w:rsidR="0035125B">
        <w:rPr>
          <w:rFonts w:asciiTheme="majorHAnsi" w:eastAsiaTheme="majorEastAsia" w:hAnsiTheme="majorHAnsi" w:cstheme="majorBidi"/>
          <w:bCs/>
          <w:color w:val="000000" w:themeColor="text1"/>
          <w:sz w:val="24"/>
          <w:szCs w:val="24"/>
        </w:rPr>
        <w:t>$</w:t>
      </w:r>
      <w:r w:rsidR="00224FE9">
        <w:rPr>
          <w:rFonts w:asciiTheme="majorHAnsi" w:eastAsiaTheme="majorEastAsia" w:hAnsiTheme="majorHAnsi" w:cstheme="majorBidi"/>
          <w:bCs/>
          <w:color w:val="000000" w:themeColor="text1"/>
          <w:sz w:val="24"/>
          <w:szCs w:val="24"/>
        </w:rPr>
        <w:t>164</w:t>
      </w:r>
      <w:r w:rsidR="0035125B">
        <w:rPr>
          <w:rFonts w:asciiTheme="majorHAnsi" w:eastAsiaTheme="majorEastAsia" w:hAnsiTheme="majorHAnsi" w:cstheme="majorBidi"/>
          <w:bCs/>
          <w:color w:val="000000" w:themeColor="text1"/>
          <w:sz w:val="24"/>
          <w:szCs w:val="24"/>
        </w:rPr>
        <w:t>,000 compared with $</w:t>
      </w:r>
      <w:r w:rsidR="00224FE9">
        <w:rPr>
          <w:rFonts w:asciiTheme="majorHAnsi" w:eastAsiaTheme="majorEastAsia" w:hAnsiTheme="majorHAnsi" w:cstheme="majorBidi"/>
          <w:bCs/>
          <w:color w:val="000000" w:themeColor="text1"/>
          <w:sz w:val="24"/>
          <w:szCs w:val="24"/>
        </w:rPr>
        <w:t>24</w:t>
      </w:r>
      <w:r w:rsidR="0035125B">
        <w:rPr>
          <w:rFonts w:asciiTheme="majorHAnsi" w:eastAsiaTheme="majorEastAsia" w:hAnsiTheme="majorHAnsi" w:cstheme="majorBidi"/>
          <w:bCs/>
          <w:color w:val="000000" w:themeColor="text1"/>
          <w:sz w:val="24"/>
          <w:szCs w:val="24"/>
        </w:rPr>
        <w:t>,000 for all affected corporations</w:t>
      </w:r>
      <w:r w:rsidR="00420572">
        <w:rPr>
          <w:rFonts w:asciiTheme="majorHAnsi" w:eastAsiaTheme="majorEastAsia" w:hAnsiTheme="majorHAnsi" w:cstheme="majorBidi"/>
          <w:bCs/>
          <w:color w:val="000000" w:themeColor="text1"/>
          <w:sz w:val="24"/>
          <w:szCs w:val="24"/>
        </w:rPr>
        <w:t>)</w:t>
      </w:r>
      <w:r>
        <w:rPr>
          <w:rFonts w:asciiTheme="majorHAnsi" w:eastAsiaTheme="majorEastAsia" w:hAnsiTheme="majorHAnsi" w:cstheme="majorBidi"/>
          <w:bCs/>
          <w:color w:val="000000" w:themeColor="text1"/>
          <w:sz w:val="24"/>
          <w:szCs w:val="24"/>
        </w:rPr>
        <w:t>.</w:t>
      </w:r>
    </w:p>
    <w:p w14:paraId="766E96AE" w14:textId="1024E6D6" w:rsidR="002A544C" w:rsidRDefault="002A544C" w:rsidP="00C124D1">
      <w:pPr>
        <w:spacing w:after="0"/>
        <w:rPr>
          <w:rFonts w:asciiTheme="majorHAnsi" w:eastAsiaTheme="majorEastAsia" w:hAnsiTheme="majorHAnsi" w:cstheme="majorBidi"/>
          <w:bCs/>
          <w:color w:val="000000" w:themeColor="text1"/>
          <w:sz w:val="24"/>
          <w:szCs w:val="24"/>
        </w:rPr>
      </w:pPr>
    </w:p>
    <w:p w14:paraId="72B85F21" w14:textId="26266874" w:rsidR="000E54AA" w:rsidRDefault="000E54AA" w:rsidP="00C124D1">
      <w:pPr>
        <w:spacing w:after="0"/>
        <w:rPr>
          <w:rFonts w:asciiTheme="majorHAnsi" w:eastAsiaTheme="majorEastAsia" w:hAnsiTheme="majorHAnsi" w:cstheme="majorBidi"/>
          <w:bCs/>
          <w:color w:val="000000" w:themeColor="text1"/>
          <w:sz w:val="24"/>
          <w:szCs w:val="24"/>
        </w:rPr>
      </w:pPr>
    </w:p>
    <w:p w14:paraId="2A820089" w14:textId="585B4BCE" w:rsidR="000E54AA" w:rsidRDefault="000E54AA" w:rsidP="00C124D1">
      <w:pPr>
        <w:spacing w:after="0"/>
        <w:rPr>
          <w:rFonts w:asciiTheme="majorHAnsi" w:eastAsiaTheme="majorEastAsia" w:hAnsiTheme="majorHAnsi" w:cstheme="majorBidi"/>
          <w:bCs/>
          <w:color w:val="000000" w:themeColor="text1"/>
          <w:sz w:val="24"/>
          <w:szCs w:val="24"/>
        </w:rPr>
      </w:pPr>
    </w:p>
    <w:p w14:paraId="4177F4FA" w14:textId="77777777" w:rsidR="000E54AA" w:rsidRDefault="000E54AA" w:rsidP="00C124D1">
      <w:pPr>
        <w:spacing w:after="0"/>
        <w:rPr>
          <w:rFonts w:asciiTheme="majorHAnsi" w:eastAsiaTheme="majorEastAsia" w:hAnsiTheme="majorHAnsi" w:cstheme="majorBidi"/>
          <w:bCs/>
          <w:color w:val="000000" w:themeColor="text1"/>
          <w:sz w:val="24"/>
          <w:szCs w:val="24"/>
        </w:rPr>
      </w:pPr>
    </w:p>
    <w:p w14:paraId="3ABFA840" w14:textId="16F6FAB7" w:rsidR="002A544C" w:rsidRDefault="002A544C" w:rsidP="002A544C">
      <w:pPr>
        <w:spacing w:after="0"/>
        <w:jc w:val="center"/>
        <w:rPr>
          <w:rFonts w:asciiTheme="majorHAnsi" w:hAnsiTheme="majorHAnsi"/>
          <w:b/>
          <w:sz w:val="24"/>
          <w:szCs w:val="24"/>
        </w:rPr>
      </w:pPr>
      <w:r w:rsidRPr="00CA0391">
        <w:rPr>
          <w:rFonts w:asciiTheme="majorHAnsi" w:hAnsiTheme="majorHAnsi"/>
          <w:b/>
          <w:sz w:val="24"/>
          <w:szCs w:val="24"/>
        </w:rPr>
        <w:lastRenderedPageBreak/>
        <w:t xml:space="preserve">Table </w:t>
      </w:r>
      <w:r>
        <w:rPr>
          <w:rFonts w:asciiTheme="majorHAnsi" w:hAnsiTheme="majorHAnsi"/>
          <w:b/>
          <w:sz w:val="24"/>
          <w:szCs w:val="24"/>
        </w:rPr>
        <w:t>4</w:t>
      </w:r>
      <w:r w:rsidRPr="00CA0391">
        <w:rPr>
          <w:rFonts w:asciiTheme="majorHAnsi" w:hAnsiTheme="majorHAnsi"/>
          <w:b/>
          <w:sz w:val="24"/>
          <w:szCs w:val="24"/>
        </w:rPr>
        <w:t xml:space="preserve">. </w:t>
      </w:r>
      <w:r w:rsidR="008A391D">
        <w:rPr>
          <w:rFonts w:asciiTheme="majorHAnsi" w:hAnsiTheme="majorHAnsi"/>
          <w:b/>
          <w:sz w:val="24"/>
          <w:szCs w:val="24"/>
        </w:rPr>
        <w:t xml:space="preserve">Net Tax Liability Change </w:t>
      </w:r>
      <w:r w:rsidRPr="008F4A2D">
        <w:rPr>
          <w:rFonts w:asciiTheme="majorHAnsi" w:hAnsiTheme="majorHAnsi"/>
          <w:b/>
          <w:sz w:val="24"/>
          <w:szCs w:val="24"/>
        </w:rPr>
        <w:t xml:space="preserve">by </w:t>
      </w:r>
      <w:r w:rsidRPr="005000AB">
        <w:rPr>
          <w:rFonts w:asciiTheme="majorHAnsi" w:hAnsiTheme="majorHAnsi"/>
          <w:b/>
          <w:sz w:val="24"/>
          <w:szCs w:val="24"/>
        </w:rPr>
        <w:t>Number</w:t>
      </w:r>
      <w:r w:rsidRPr="008F4A2D">
        <w:rPr>
          <w:rFonts w:asciiTheme="majorHAnsi" w:hAnsiTheme="majorHAnsi"/>
          <w:b/>
          <w:sz w:val="24"/>
          <w:szCs w:val="24"/>
        </w:rPr>
        <w:t xml:space="preserve"> of </w:t>
      </w:r>
      <w:r>
        <w:rPr>
          <w:rFonts w:asciiTheme="majorHAnsi" w:hAnsiTheme="majorHAnsi"/>
          <w:b/>
          <w:sz w:val="24"/>
          <w:szCs w:val="24"/>
        </w:rPr>
        <w:t>Employees</w:t>
      </w:r>
      <w:r w:rsidR="00186FCF">
        <w:rPr>
          <w:rFonts w:asciiTheme="majorHAnsi" w:hAnsiTheme="majorHAnsi"/>
          <w:b/>
          <w:sz w:val="24"/>
          <w:szCs w:val="24"/>
        </w:rPr>
        <w:t xml:space="preserve"> </w:t>
      </w:r>
      <w:r w:rsidR="00186FCF" w:rsidRPr="00107265">
        <w:rPr>
          <w:rStyle w:val="FootnoteReference"/>
          <w:rFonts w:eastAsiaTheme="majorEastAsia"/>
          <w:color w:val="000000" w:themeColor="text1"/>
        </w:rPr>
        <w:t>(1)</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40"/>
        <w:gridCol w:w="1350"/>
        <w:gridCol w:w="1890"/>
        <w:gridCol w:w="1350"/>
        <w:gridCol w:w="1260"/>
      </w:tblGrid>
      <w:tr w:rsidR="002A544C" w:rsidRPr="00CB14FB" w14:paraId="2634A6E3" w14:textId="77777777" w:rsidTr="002A544C">
        <w:trPr>
          <w:trHeight w:val="1502"/>
          <w:jc w:val="center"/>
        </w:trPr>
        <w:tc>
          <w:tcPr>
            <w:tcW w:w="2155" w:type="dxa"/>
            <w:shd w:val="clear" w:color="auto" w:fill="B6DDE8" w:themeFill="accent5" w:themeFillTint="66"/>
            <w:vAlign w:val="center"/>
            <w:hideMark/>
          </w:tcPr>
          <w:p w14:paraId="65A66754" w14:textId="1BFD05E4" w:rsidR="002A544C" w:rsidRPr="00EE5936" w:rsidRDefault="002A544C" w:rsidP="002A544C">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Number of </w:t>
            </w:r>
            <w:r w:rsidRPr="00EE5936">
              <w:rPr>
                <w:rFonts w:ascii="Cambria" w:eastAsia="Times New Roman" w:hAnsi="Cambria" w:cs="Helvetica"/>
                <w:color w:val="000000"/>
                <w:sz w:val="20"/>
                <w:szCs w:val="20"/>
                <w:lang w:eastAsia="ko-KR"/>
              </w:rPr>
              <w:t>Employees</w:t>
            </w:r>
            <w:r w:rsidR="006802AF">
              <w:rPr>
                <w:rFonts w:ascii="Cambria" w:eastAsia="Times New Roman" w:hAnsi="Cambria" w:cs="Helvetica"/>
                <w:color w:val="000000"/>
                <w:sz w:val="20"/>
                <w:szCs w:val="20"/>
                <w:lang w:eastAsia="ko-KR"/>
              </w:rPr>
              <w:t xml:space="preserve"> </w:t>
            </w:r>
            <w:r w:rsidR="006802AF" w:rsidRPr="00107265">
              <w:rPr>
                <w:rStyle w:val="FootnoteReference"/>
                <w:rFonts w:eastAsiaTheme="majorEastAsia"/>
                <w:color w:val="000000" w:themeColor="text1"/>
              </w:rPr>
              <w:t>(2)</w:t>
            </w:r>
          </w:p>
        </w:tc>
        <w:tc>
          <w:tcPr>
            <w:tcW w:w="1440" w:type="dxa"/>
            <w:shd w:val="clear" w:color="auto" w:fill="B6DDE8" w:themeFill="accent5" w:themeFillTint="66"/>
            <w:vAlign w:val="center"/>
            <w:hideMark/>
          </w:tcPr>
          <w:p w14:paraId="3BD6F7AE" w14:textId="54D7B346" w:rsidR="002A544C" w:rsidRPr="00EE5936" w:rsidRDefault="002A544C" w:rsidP="002A544C">
            <w:pPr>
              <w:spacing w:after="0" w:line="240" w:lineRule="auto"/>
              <w:jc w:val="center"/>
              <w:rPr>
                <w:rFonts w:ascii="Cambria" w:eastAsia="Times New Roman" w:hAnsi="Cambria" w:cs="Helvetica"/>
                <w:color w:val="000000"/>
                <w:sz w:val="20"/>
                <w:szCs w:val="20"/>
                <w:lang w:eastAsia="ko-KR"/>
              </w:rPr>
            </w:pPr>
            <w:r w:rsidRPr="005000AB">
              <w:rPr>
                <w:rFonts w:ascii="Cambria" w:eastAsia="Times New Roman" w:hAnsi="Cambria" w:cs="Helvetica"/>
                <w:color w:val="000000"/>
                <w:sz w:val="20"/>
                <w:szCs w:val="20"/>
                <w:lang w:eastAsia="ko-KR"/>
              </w:rPr>
              <w:t>Number of Impacted Corporations</w:t>
            </w:r>
          </w:p>
        </w:tc>
        <w:tc>
          <w:tcPr>
            <w:tcW w:w="1350" w:type="dxa"/>
            <w:shd w:val="clear" w:color="auto" w:fill="B6DDE8" w:themeFill="accent5" w:themeFillTint="66"/>
            <w:vAlign w:val="center"/>
            <w:hideMark/>
          </w:tcPr>
          <w:p w14:paraId="40E892D8" w14:textId="72056E27" w:rsidR="002A544C" w:rsidRPr="00EE5936" w:rsidRDefault="002A544C" w:rsidP="002A544C">
            <w:pPr>
              <w:spacing w:after="0" w:line="240" w:lineRule="auto"/>
              <w:jc w:val="center"/>
              <w:rPr>
                <w:rFonts w:ascii="Cambria" w:eastAsia="Times New Roman" w:hAnsi="Cambria" w:cs="Helvetica"/>
                <w:i/>
                <w:iCs/>
                <w:color w:val="000000"/>
                <w:sz w:val="20"/>
                <w:szCs w:val="20"/>
                <w:lang w:eastAsia="ko-KR"/>
              </w:rPr>
            </w:pPr>
            <w:r w:rsidRPr="005000AB">
              <w:rPr>
                <w:rFonts w:ascii="Cambria" w:eastAsia="Times New Roman" w:hAnsi="Cambria" w:cs="Helvetica"/>
                <w:color w:val="000000"/>
                <w:sz w:val="20"/>
                <w:szCs w:val="20"/>
                <w:lang w:eastAsia="ko-KR"/>
              </w:rPr>
              <w:t>% of Total Number of Impacted Corporations</w:t>
            </w:r>
          </w:p>
        </w:tc>
        <w:tc>
          <w:tcPr>
            <w:tcW w:w="1890" w:type="dxa"/>
            <w:shd w:val="clear" w:color="auto" w:fill="B6DDE8" w:themeFill="accent5" w:themeFillTint="66"/>
            <w:vAlign w:val="center"/>
            <w:hideMark/>
          </w:tcPr>
          <w:p w14:paraId="355650FF" w14:textId="536F3305" w:rsidR="002A544C" w:rsidRPr="00EE5936" w:rsidRDefault="0027131F" w:rsidP="002A544C">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Net </w:t>
            </w:r>
            <w:r w:rsidR="002A544C" w:rsidRPr="005000AB">
              <w:rPr>
                <w:rFonts w:ascii="Cambria" w:eastAsia="Times New Roman" w:hAnsi="Cambria" w:cs="Helvetica"/>
                <w:color w:val="000000"/>
                <w:sz w:val="20"/>
                <w:szCs w:val="20"/>
                <w:lang w:eastAsia="ko-KR"/>
              </w:rPr>
              <w:t xml:space="preserve">Tax </w:t>
            </w:r>
            <w:r w:rsidR="004B42DD" w:rsidRPr="001C5672">
              <w:rPr>
                <w:rFonts w:ascii="Cambria" w:eastAsia="Times New Roman" w:hAnsi="Cambria" w:cs="Helvetica"/>
                <w:color w:val="000000"/>
                <w:sz w:val="20"/>
                <w:szCs w:val="20"/>
                <w:lang w:eastAsia="ko-KR"/>
              </w:rPr>
              <w:t>Liability Change</w:t>
            </w:r>
            <w:r w:rsidR="002A544C" w:rsidRPr="005000AB">
              <w:rPr>
                <w:rFonts w:ascii="Cambria" w:eastAsia="Times New Roman" w:hAnsi="Cambria" w:cs="Helvetica"/>
                <w:color w:val="000000"/>
                <w:sz w:val="20"/>
                <w:szCs w:val="20"/>
                <w:lang w:eastAsia="ko-KR"/>
              </w:rPr>
              <w:t xml:space="preserve"> using Formulas with </w:t>
            </w:r>
            <w:r w:rsidR="002A544C">
              <w:rPr>
                <w:rFonts w:ascii="Cambria" w:eastAsia="Times New Roman" w:hAnsi="Cambria" w:cs="Helvetica"/>
                <w:color w:val="000000"/>
                <w:sz w:val="20"/>
                <w:szCs w:val="20"/>
                <w:lang w:eastAsia="ko-KR"/>
              </w:rPr>
              <w:t>Higher</w:t>
            </w:r>
            <w:r w:rsidR="002A544C" w:rsidRPr="005000AB">
              <w:rPr>
                <w:rFonts w:ascii="Cambria" w:eastAsia="Times New Roman" w:hAnsi="Cambria" w:cs="Helvetica"/>
                <w:color w:val="000000"/>
                <w:sz w:val="20"/>
                <w:szCs w:val="20"/>
                <w:lang w:eastAsia="ko-KR"/>
              </w:rPr>
              <w:t xml:space="preserve"> Weighted Sales Factor ($000)</w:t>
            </w:r>
            <w:r w:rsidR="007F1EE5">
              <w:rPr>
                <w:rFonts w:ascii="Cambria" w:eastAsia="Times New Roman" w:hAnsi="Cambria" w:cs="Helvetica"/>
                <w:color w:val="000000"/>
                <w:sz w:val="20"/>
                <w:szCs w:val="20"/>
                <w:lang w:eastAsia="ko-KR"/>
              </w:rPr>
              <w:t xml:space="preserve"> </w:t>
            </w:r>
            <w:r w:rsidR="007F1EE5" w:rsidRPr="00107265">
              <w:rPr>
                <w:rStyle w:val="FootnoteReference"/>
                <w:rFonts w:eastAsiaTheme="majorEastAsia"/>
                <w:color w:val="000000" w:themeColor="text1"/>
              </w:rPr>
              <w:t>(</w:t>
            </w:r>
            <w:r w:rsidR="006802AF">
              <w:rPr>
                <w:rStyle w:val="FootnoteReference"/>
                <w:rFonts w:eastAsiaTheme="majorEastAsia"/>
                <w:color w:val="000000" w:themeColor="text1"/>
              </w:rPr>
              <w:t>3</w:t>
            </w:r>
            <w:r w:rsidR="007F1EE5" w:rsidRPr="00107265">
              <w:rPr>
                <w:rStyle w:val="FootnoteReference"/>
                <w:rFonts w:eastAsiaTheme="majorEastAsia"/>
                <w:color w:val="000000" w:themeColor="text1"/>
              </w:rPr>
              <w:t>)</w:t>
            </w:r>
          </w:p>
        </w:tc>
        <w:tc>
          <w:tcPr>
            <w:tcW w:w="1350" w:type="dxa"/>
            <w:shd w:val="clear" w:color="auto" w:fill="B6DDE8" w:themeFill="accent5" w:themeFillTint="66"/>
            <w:vAlign w:val="center"/>
            <w:hideMark/>
          </w:tcPr>
          <w:p w14:paraId="4B6E0906" w14:textId="70BCEF87" w:rsidR="002A544C" w:rsidRPr="00EE5936" w:rsidRDefault="002A544C" w:rsidP="002A544C">
            <w:pPr>
              <w:spacing w:after="0" w:line="240" w:lineRule="auto"/>
              <w:jc w:val="center"/>
              <w:rPr>
                <w:rFonts w:ascii="Cambria" w:eastAsia="Times New Roman" w:hAnsi="Cambria" w:cs="Helvetica"/>
                <w:i/>
                <w:iCs/>
                <w:color w:val="000000"/>
                <w:sz w:val="20"/>
                <w:szCs w:val="20"/>
                <w:lang w:eastAsia="ko-KR"/>
              </w:rPr>
            </w:pPr>
            <w:r w:rsidRPr="005000AB">
              <w:rPr>
                <w:rFonts w:ascii="Cambria" w:eastAsia="Times New Roman" w:hAnsi="Cambria" w:cs="Helvetica"/>
                <w:color w:val="000000"/>
                <w:sz w:val="20"/>
                <w:szCs w:val="20"/>
                <w:lang w:eastAsia="ko-KR"/>
              </w:rPr>
              <w:t xml:space="preserve">% of Total </w:t>
            </w:r>
            <w:r w:rsidR="0027131F">
              <w:rPr>
                <w:rFonts w:ascii="Cambria" w:eastAsia="Times New Roman" w:hAnsi="Cambria" w:cs="Helvetica"/>
                <w:color w:val="000000"/>
                <w:sz w:val="20"/>
                <w:szCs w:val="20"/>
                <w:lang w:eastAsia="ko-KR"/>
              </w:rPr>
              <w:t xml:space="preserve">Net </w:t>
            </w:r>
            <w:r w:rsidR="00FB4EC1" w:rsidRPr="00D5431D">
              <w:rPr>
                <w:rFonts w:ascii="Cambria" w:eastAsia="Times New Roman" w:hAnsi="Cambria" w:cs="Helvetica"/>
                <w:color w:val="000000"/>
                <w:sz w:val="20"/>
                <w:szCs w:val="20"/>
                <w:lang w:eastAsia="ko-KR"/>
              </w:rPr>
              <w:t xml:space="preserve">Tax </w:t>
            </w:r>
            <w:r w:rsidR="00FB4EC1" w:rsidRPr="001C5672">
              <w:rPr>
                <w:rFonts w:ascii="Cambria" w:eastAsia="Times New Roman" w:hAnsi="Cambria" w:cs="Helvetica"/>
                <w:color w:val="000000"/>
                <w:sz w:val="20"/>
                <w:szCs w:val="20"/>
                <w:lang w:eastAsia="ko-KR"/>
              </w:rPr>
              <w:t>Liability Change</w:t>
            </w:r>
          </w:p>
        </w:tc>
        <w:tc>
          <w:tcPr>
            <w:tcW w:w="1260" w:type="dxa"/>
            <w:shd w:val="clear" w:color="auto" w:fill="B6DDE8" w:themeFill="accent5" w:themeFillTint="66"/>
            <w:vAlign w:val="center"/>
            <w:hideMark/>
          </w:tcPr>
          <w:p w14:paraId="575D0278" w14:textId="72566378" w:rsidR="002A544C" w:rsidRPr="00EE5936" w:rsidRDefault="0027131F" w:rsidP="002A544C">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Net </w:t>
            </w:r>
            <w:r w:rsidR="002A544C" w:rsidRPr="005000AB">
              <w:rPr>
                <w:rFonts w:ascii="Cambria" w:eastAsia="Times New Roman" w:hAnsi="Cambria" w:cs="Helvetica"/>
                <w:color w:val="000000"/>
                <w:sz w:val="20"/>
                <w:szCs w:val="20"/>
                <w:lang w:eastAsia="ko-KR"/>
              </w:rPr>
              <w:t xml:space="preserve">Tax </w:t>
            </w:r>
            <w:r w:rsidR="004B42DD" w:rsidRPr="001C5672">
              <w:rPr>
                <w:rFonts w:ascii="Cambria" w:eastAsia="Times New Roman" w:hAnsi="Cambria" w:cs="Helvetica"/>
                <w:color w:val="000000"/>
                <w:sz w:val="20"/>
                <w:szCs w:val="20"/>
                <w:lang w:eastAsia="ko-KR"/>
              </w:rPr>
              <w:t>Liability Change</w:t>
            </w:r>
            <w:r w:rsidR="002A544C" w:rsidRPr="005000AB">
              <w:rPr>
                <w:rFonts w:ascii="Cambria" w:eastAsia="Times New Roman" w:hAnsi="Cambria" w:cs="Helvetica"/>
                <w:color w:val="000000"/>
                <w:sz w:val="20"/>
                <w:szCs w:val="20"/>
                <w:lang w:eastAsia="ko-KR"/>
              </w:rPr>
              <w:t xml:space="preserve"> per Impacted Corporation ($000)</w:t>
            </w:r>
            <w:r w:rsidR="007F1EE5">
              <w:rPr>
                <w:rFonts w:ascii="Cambria" w:eastAsia="Times New Roman" w:hAnsi="Cambria" w:cs="Helvetica"/>
                <w:color w:val="000000"/>
                <w:sz w:val="20"/>
                <w:szCs w:val="20"/>
                <w:lang w:eastAsia="ko-KR"/>
              </w:rPr>
              <w:t xml:space="preserve"> </w:t>
            </w:r>
            <w:r w:rsidR="007F1EE5" w:rsidRPr="00107265">
              <w:rPr>
                <w:rStyle w:val="FootnoteReference"/>
                <w:rFonts w:eastAsiaTheme="majorEastAsia"/>
                <w:color w:val="000000" w:themeColor="text1"/>
              </w:rPr>
              <w:t>(</w:t>
            </w:r>
            <w:r w:rsidR="006802AF">
              <w:rPr>
                <w:rStyle w:val="FootnoteReference"/>
                <w:rFonts w:eastAsiaTheme="majorEastAsia"/>
                <w:color w:val="000000" w:themeColor="text1"/>
              </w:rPr>
              <w:t>3</w:t>
            </w:r>
            <w:r w:rsidR="007F1EE5" w:rsidRPr="00107265">
              <w:rPr>
                <w:rStyle w:val="FootnoteReference"/>
                <w:rFonts w:eastAsiaTheme="majorEastAsia"/>
                <w:color w:val="000000" w:themeColor="text1"/>
              </w:rPr>
              <w:t>)</w:t>
            </w:r>
          </w:p>
        </w:tc>
      </w:tr>
      <w:tr w:rsidR="00224FE9" w:rsidRPr="00CB14FB" w14:paraId="792D9F71" w14:textId="77777777" w:rsidTr="002A544C">
        <w:trPr>
          <w:trHeight w:val="240"/>
          <w:jc w:val="center"/>
        </w:trPr>
        <w:tc>
          <w:tcPr>
            <w:tcW w:w="2155" w:type="dxa"/>
            <w:shd w:val="clear" w:color="auto" w:fill="auto"/>
            <w:vAlign w:val="center"/>
            <w:hideMark/>
          </w:tcPr>
          <w:p w14:paraId="4CF31E84" w14:textId="77777777" w:rsidR="00224FE9" w:rsidRPr="00EE5936" w:rsidRDefault="00224FE9" w:rsidP="00224FE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Less than 5</w:t>
            </w:r>
          </w:p>
        </w:tc>
        <w:tc>
          <w:tcPr>
            <w:tcW w:w="1440" w:type="dxa"/>
            <w:shd w:val="clear" w:color="auto" w:fill="auto"/>
            <w:vAlign w:val="center"/>
          </w:tcPr>
          <w:p w14:paraId="25E695CE" w14:textId="7732DA5E"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7,320 </w:t>
            </w:r>
          </w:p>
        </w:tc>
        <w:tc>
          <w:tcPr>
            <w:tcW w:w="1350" w:type="dxa"/>
            <w:shd w:val="clear" w:color="auto" w:fill="auto"/>
            <w:vAlign w:val="center"/>
          </w:tcPr>
          <w:p w14:paraId="1A0DD03D" w14:textId="74F03803"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43.9%</w:t>
            </w:r>
          </w:p>
        </w:tc>
        <w:tc>
          <w:tcPr>
            <w:tcW w:w="1890" w:type="dxa"/>
            <w:shd w:val="clear" w:color="auto" w:fill="auto"/>
            <w:vAlign w:val="center"/>
          </w:tcPr>
          <w:p w14:paraId="1EFA63D1" w14:textId="3EA1D2A3"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-$14,468</w:t>
            </w:r>
          </w:p>
        </w:tc>
        <w:tc>
          <w:tcPr>
            <w:tcW w:w="1350" w:type="dxa"/>
            <w:shd w:val="clear" w:color="auto" w:fill="auto"/>
            <w:vAlign w:val="center"/>
          </w:tcPr>
          <w:p w14:paraId="06D4107C" w14:textId="611A8151"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3.7%</w:t>
            </w:r>
          </w:p>
        </w:tc>
        <w:tc>
          <w:tcPr>
            <w:tcW w:w="1260" w:type="dxa"/>
            <w:shd w:val="clear" w:color="auto" w:fill="auto"/>
            <w:vAlign w:val="center"/>
          </w:tcPr>
          <w:p w14:paraId="10892A6F" w14:textId="50DFF2EA"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w:t>
            </w:r>
          </w:p>
        </w:tc>
      </w:tr>
      <w:tr w:rsidR="00224FE9" w:rsidRPr="00CB14FB" w14:paraId="0044CA62" w14:textId="77777777" w:rsidTr="002A544C">
        <w:trPr>
          <w:trHeight w:val="240"/>
          <w:jc w:val="center"/>
        </w:trPr>
        <w:tc>
          <w:tcPr>
            <w:tcW w:w="2155" w:type="dxa"/>
            <w:shd w:val="clear" w:color="auto" w:fill="auto"/>
            <w:vAlign w:val="center"/>
            <w:hideMark/>
          </w:tcPr>
          <w:p w14:paraId="664A97F4" w14:textId="77777777" w:rsidR="00224FE9" w:rsidRPr="00EE5936" w:rsidRDefault="00224FE9" w:rsidP="00224FE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 to 49 </w:t>
            </w:r>
          </w:p>
        </w:tc>
        <w:tc>
          <w:tcPr>
            <w:tcW w:w="1440" w:type="dxa"/>
            <w:shd w:val="clear" w:color="auto" w:fill="auto"/>
            <w:vAlign w:val="center"/>
          </w:tcPr>
          <w:p w14:paraId="56B446AD" w14:textId="3A76E9D4"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3,809 </w:t>
            </w:r>
          </w:p>
        </w:tc>
        <w:tc>
          <w:tcPr>
            <w:tcW w:w="1350" w:type="dxa"/>
            <w:shd w:val="clear" w:color="auto" w:fill="auto"/>
            <w:vAlign w:val="center"/>
          </w:tcPr>
          <w:p w14:paraId="5D084F49" w14:textId="7EF5364A"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22.8%</w:t>
            </w:r>
          </w:p>
        </w:tc>
        <w:tc>
          <w:tcPr>
            <w:tcW w:w="1890" w:type="dxa"/>
            <w:shd w:val="clear" w:color="auto" w:fill="auto"/>
            <w:vAlign w:val="center"/>
          </w:tcPr>
          <w:p w14:paraId="22D687B3" w14:textId="2030B1A4"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-$2,105</w:t>
            </w:r>
          </w:p>
        </w:tc>
        <w:tc>
          <w:tcPr>
            <w:tcW w:w="1350" w:type="dxa"/>
            <w:shd w:val="clear" w:color="auto" w:fill="auto"/>
            <w:vAlign w:val="center"/>
          </w:tcPr>
          <w:p w14:paraId="1B20B240" w14:textId="071BA4B1"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0.5%</w:t>
            </w:r>
          </w:p>
        </w:tc>
        <w:tc>
          <w:tcPr>
            <w:tcW w:w="1260" w:type="dxa"/>
            <w:shd w:val="clear" w:color="auto" w:fill="auto"/>
            <w:vAlign w:val="center"/>
          </w:tcPr>
          <w:p w14:paraId="5062FB05" w14:textId="4A89D20C"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w:t>
            </w:r>
          </w:p>
        </w:tc>
      </w:tr>
      <w:tr w:rsidR="00224FE9" w:rsidRPr="00CB14FB" w14:paraId="0C8A8B45" w14:textId="77777777" w:rsidTr="002A544C">
        <w:trPr>
          <w:trHeight w:val="240"/>
          <w:jc w:val="center"/>
        </w:trPr>
        <w:tc>
          <w:tcPr>
            <w:tcW w:w="2155" w:type="dxa"/>
            <w:shd w:val="clear" w:color="auto" w:fill="auto"/>
            <w:vAlign w:val="center"/>
            <w:hideMark/>
          </w:tcPr>
          <w:p w14:paraId="6A14C3BA" w14:textId="77777777" w:rsidR="00224FE9" w:rsidRPr="00EE5936" w:rsidRDefault="00224FE9" w:rsidP="00224FE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50 to 99 </w:t>
            </w:r>
          </w:p>
        </w:tc>
        <w:tc>
          <w:tcPr>
            <w:tcW w:w="1440" w:type="dxa"/>
            <w:shd w:val="clear" w:color="auto" w:fill="auto"/>
            <w:vAlign w:val="center"/>
          </w:tcPr>
          <w:p w14:paraId="39A5A444" w14:textId="244BF598"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1,494 </w:t>
            </w:r>
          </w:p>
        </w:tc>
        <w:tc>
          <w:tcPr>
            <w:tcW w:w="1350" w:type="dxa"/>
            <w:shd w:val="clear" w:color="auto" w:fill="auto"/>
            <w:vAlign w:val="center"/>
          </w:tcPr>
          <w:p w14:paraId="229BA9EF" w14:textId="11199CE4"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9.0%</w:t>
            </w:r>
          </w:p>
        </w:tc>
        <w:tc>
          <w:tcPr>
            <w:tcW w:w="1890" w:type="dxa"/>
            <w:shd w:val="clear" w:color="auto" w:fill="auto"/>
            <w:vAlign w:val="center"/>
          </w:tcPr>
          <w:p w14:paraId="48D2F883" w14:textId="1EA4940C"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-$27,182</w:t>
            </w:r>
          </w:p>
        </w:tc>
        <w:tc>
          <w:tcPr>
            <w:tcW w:w="1350" w:type="dxa"/>
            <w:shd w:val="clear" w:color="auto" w:fill="auto"/>
            <w:vAlign w:val="center"/>
          </w:tcPr>
          <w:p w14:paraId="60948664" w14:textId="2AD05332"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6.9%</w:t>
            </w:r>
          </w:p>
        </w:tc>
        <w:tc>
          <w:tcPr>
            <w:tcW w:w="1260" w:type="dxa"/>
            <w:shd w:val="clear" w:color="auto" w:fill="auto"/>
            <w:vAlign w:val="center"/>
          </w:tcPr>
          <w:p w14:paraId="3CF48B23" w14:textId="15147FE8"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-$18</w:t>
            </w:r>
          </w:p>
        </w:tc>
      </w:tr>
      <w:tr w:rsidR="00224FE9" w:rsidRPr="00CB14FB" w14:paraId="1508A6BE" w14:textId="77777777" w:rsidTr="002A544C">
        <w:trPr>
          <w:trHeight w:val="240"/>
          <w:jc w:val="center"/>
        </w:trPr>
        <w:tc>
          <w:tcPr>
            <w:tcW w:w="2155" w:type="dxa"/>
            <w:shd w:val="clear" w:color="auto" w:fill="auto"/>
            <w:vAlign w:val="center"/>
            <w:hideMark/>
          </w:tcPr>
          <w:p w14:paraId="3A0D8978" w14:textId="77777777" w:rsidR="00224FE9" w:rsidRPr="00EE5936" w:rsidRDefault="00224FE9" w:rsidP="00224FE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100 to 199 </w:t>
            </w:r>
          </w:p>
        </w:tc>
        <w:tc>
          <w:tcPr>
            <w:tcW w:w="1440" w:type="dxa"/>
            <w:shd w:val="clear" w:color="auto" w:fill="auto"/>
            <w:vAlign w:val="center"/>
          </w:tcPr>
          <w:p w14:paraId="345F8B4C" w14:textId="4E7B997C"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1,225 </w:t>
            </w:r>
          </w:p>
        </w:tc>
        <w:tc>
          <w:tcPr>
            <w:tcW w:w="1350" w:type="dxa"/>
            <w:shd w:val="clear" w:color="auto" w:fill="auto"/>
            <w:vAlign w:val="center"/>
          </w:tcPr>
          <w:p w14:paraId="506FC01F" w14:textId="76BBF858"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7.3%</w:t>
            </w:r>
          </w:p>
        </w:tc>
        <w:tc>
          <w:tcPr>
            <w:tcW w:w="1890" w:type="dxa"/>
            <w:shd w:val="clear" w:color="auto" w:fill="auto"/>
            <w:vAlign w:val="center"/>
          </w:tcPr>
          <w:p w14:paraId="6A2A331C" w14:textId="2433410E"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-$16,135</w:t>
            </w:r>
          </w:p>
        </w:tc>
        <w:tc>
          <w:tcPr>
            <w:tcW w:w="1350" w:type="dxa"/>
            <w:shd w:val="clear" w:color="auto" w:fill="auto"/>
            <w:vAlign w:val="center"/>
          </w:tcPr>
          <w:p w14:paraId="6FF7AECF" w14:textId="5D537DF1"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4.1%</w:t>
            </w:r>
          </w:p>
        </w:tc>
        <w:tc>
          <w:tcPr>
            <w:tcW w:w="1260" w:type="dxa"/>
            <w:shd w:val="clear" w:color="auto" w:fill="auto"/>
            <w:vAlign w:val="center"/>
          </w:tcPr>
          <w:p w14:paraId="0BFA1BC9" w14:textId="671367CE"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-$13</w:t>
            </w:r>
          </w:p>
        </w:tc>
      </w:tr>
      <w:tr w:rsidR="00224FE9" w:rsidRPr="00CB14FB" w14:paraId="488E3047" w14:textId="77777777" w:rsidTr="002A544C">
        <w:trPr>
          <w:trHeight w:val="240"/>
          <w:jc w:val="center"/>
        </w:trPr>
        <w:tc>
          <w:tcPr>
            <w:tcW w:w="2155" w:type="dxa"/>
            <w:shd w:val="clear" w:color="auto" w:fill="auto"/>
            <w:vAlign w:val="center"/>
            <w:hideMark/>
          </w:tcPr>
          <w:p w14:paraId="07F18DC2" w14:textId="77777777" w:rsidR="00224FE9" w:rsidRPr="00EE5936" w:rsidRDefault="00224FE9" w:rsidP="00224FE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200 to 499 </w:t>
            </w:r>
          </w:p>
        </w:tc>
        <w:tc>
          <w:tcPr>
            <w:tcW w:w="1440" w:type="dxa"/>
            <w:shd w:val="clear" w:color="auto" w:fill="auto"/>
            <w:vAlign w:val="center"/>
          </w:tcPr>
          <w:p w14:paraId="58D810EF" w14:textId="6E824132"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1,194 </w:t>
            </w:r>
          </w:p>
        </w:tc>
        <w:tc>
          <w:tcPr>
            <w:tcW w:w="1350" w:type="dxa"/>
            <w:shd w:val="clear" w:color="auto" w:fill="auto"/>
            <w:vAlign w:val="center"/>
          </w:tcPr>
          <w:p w14:paraId="740E8945" w14:textId="160C0291"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7.2%</w:t>
            </w:r>
          </w:p>
        </w:tc>
        <w:tc>
          <w:tcPr>
            <w:tcW w:w="1890" w:type="dxa"/>
            <w:shd w:val="clear" w:color="auto" w:fill="auto"/>
            <w:vAlign w:val="center"/>
          </w:tcPr>
          <w:p w14:paraId="6CB52435" w14:textId="65CB41A0"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-$62,452</w:t>
            </w:r>
          </w:p>
        </w:tc>
        <w:tc>
          <w:tcPr>
            <w:tcW w:w="1350" w:type="dxa"/>
            <w:shd w:val="clear" w:color="auto" w:fill="auto"/>
            <w:vAlign w:val="center"/>
          </w:tcPr>
          <w:p w14:paraId="7C3B071A" w14:textId="41A185DF"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15.9%</w:t>
            </w:r>
          </w:p>
        </w:tc>
        <w:tc>
          <w:tcPr>
            <w:tcW w:w="1260" w:type="dxa"/>
            <w:shd w:val="clear" w:color="auto" w:fill="auto"/>
            <w:vAlign w:val="center"/>
          </w:tcPr>
          <w:p w14:paraId="7F8C6867" w14:textId="6C998151"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-$52</w:t>
            </w:r>
          </w:p>
        </w:tc>
      </w:tr>
      <w:tr w:rsidR="00224FE9" w:rsidRPr="00CB14FB" w14:paraId="36595C24" w14:textId="77777777" w:rsidTr="002A544C">
        <w:trPr>
          <w:trHeight w:val="240"/>
          <w:jc w:val="center"/>
        </w:trPr>
        <w:tc>
          <w:tcPr>
            <w:tcW w:w="2155" w:type="dxa"/>
            <w:shd w:val="clear" w:color="auto" w:fill="auto"/>
            <w:vAlign w:val="center"/>
            <w:hideMark/>
          </w:tcPr>
          <w:p w14:paraId="11DEED30" w14:textId="77777777" w:rsidR="00224FE9" w:rsidRPr="00EE5936" w:rsidRDefault="00224FE9" w:rsidP="00224FE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500 or more </w:t>
            </w:r>
          </w:p>
        </w:tc>
        <w:tc>
          <w:tcPr>
            <w:tcW w:w="1440" w:type="dxa"/>
            <w:shd w:val="clear" w:color="auto" w:fill="auto"/>
            <w:vAlign w:val="center"/>
          </w:tcPr>
          <w:p w14:paraId="303DF24D" w14:textId="5803014D"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1,647 </w:t>
            </w:r>
          </w:p>
        </w:tc>
        <w:tc>
          <w:tcPr>
            <w:tcW w:w="1350" w:type="dxa"/>
            <w:shd w:val="clear" w:color="auto" w:fill="auto"/>
            <w:vAlign w:val="center"/>
          </w:tcPr>
          <w:p w14:paraId="53853FB9" w14:textId="0655D100"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9.9%</w:t>
            </w:r>
          </w:p>
        </w:tc>
        <w:tc>
          <w:tcPr>
            <w:tcW w:w="1890" w:type="dxa"/>
            <w:shd w:val="clear" w:color="auto" w:fill="auto"/>
            <w:vAlign w:val="center"/>
          </w:tcPr>
          <w:p w14:paraId="39EA8E8C" w14:textId="253FA14D"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-$270,553</w:t>
            </w:r>
          </w:p>
        </w:tc>
        <w:tc>
          <w:tcPr>
            <w:tcW w:w="1350" w:type="dxa"/>
            <w:shd w:val="clear" w:color="auto" w:fill="auto"/>
            <w:vAlign w:val="center"/>
          </w:tcPr>
          <w:p w14:paraId="766B71BD" w14:textId="151BD893"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68.9%</w:t>
            </w:r>
          </w:p>
        </w:tc>
        <w:tc>
          <w:tcPr>
            <w:tcW w:w="1260" w:type="dxa"/>
            <w:shd w:val="clear" w:color="auto" w:fill="auto"/>
            <w:vAlign w:val="center"/>
          </w:tcPr>
          <w:p w14:paraId="12F75A8C" w14:textId="68502B75"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-$164</w:t>
            </w:r>
          </w:p>
        </w:tc>
      </w:tr>
      <w:tr w:rsidR="00224FE9" w:rsidRPr="00CB14FB" w14:paraId="57D834A8" w14:textId="77777777" w:rsidTr="002A544C">
        <w:trPr>
          <w:trHeight w:val="240"/>
          <w:jc w:val="center"/>
        </w:trPr>
        <w:tc>
          <w:tcPr>
            <w:tcW w:w="2155" w:type="dxa"/>
            <w:shd w:val="clear" w:color="auto" w:fill="auto"/>
            <w:vAlign w:val="center"/>
            <w:hideMark/>
          </w:tcPr>
          <w:p w14:paraId="1D309C29" w14:textId="77777777" w:rsidR="00224FE9" w:rsidRPr="00EE5936" w:rsidRDefault="00224FE9" w:rsidP="00224FE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Total or average</w:t>
            </w:r>
          </w:p>
        </w:tc>
        <w:tc>
          <w:tcPr>
            <w:tcW w:w="1440" w:type="dxa"/>
            <w:shd w:val="clear" w:color="auto" w:fill="auto"/>
            <w:vAlign w:val="center"/>
          </w:tcPr>
          <w:p w14:paraId="6CE38485" w14:textId="66A02036"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 xml:space="preserve">16,689 </w:t>
            </w:r>
          </w:p>
        </w:tc>
        <w:tc>
          <w:tcPr>
            <w:tcW w:w="1350" w:type="dxa"/>
            <w:shd w:val="clear" w:color="auto" w:fill="auto"/>
            <w:vAlign w:val="center"/>
          </w:tcPr>
          <w:p w14:paraId="6F5FC1EC" w14:textId="2800A95C"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890" w:type="dxa"/>
            <w:shd w:val="clear" w:color="auto" w:fill="auto"/>
            <w:vAlign w:val="center"/>
          </w:tcPr>
          <w:p w14:paraId="479F723F" w14:textId="3C6DFDEC"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-$392,894</w:t>
            </w:r>
          </w:p>
        </w:tc>
        <w:tc>
          <w:tcPr>
            <w:tcW w:w="1350" w:type="dxa"/>
            <w:shd w:val="clear" w:color="auto" w:fill="auto"/>
            <w:vAlign w:val="center"/>
          </w:tcPr>
          <w:p w14:paraId="4AEEA9F0" w14:textId="62B315DB" w:rsidR="00224FE9" w:rsidRPr="00A02FE0" w:rsidRDefault="00224FE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260" w:type="dxa"/>
            <w:shd w:val="clear" w:color="auto" w:fill="auto"/>
            <w:vAlign w:val="center"/>
          </w:tcPr>
          <w:p w14:paraId="40FA27DE" w14:textId="0B5A6B92" w:rsidR="00224FE9" w:rsidRPr="00A02FE0" w:rsidRDefault="00224FE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-$24</w:t>
            </w:r>
          </w:p>
        </w:tc>
      </w:tr>
    </w:tbl>
    <w:p w14:paraId="1C68F609" w14:textId="77777777" w:rsidR="002A544C" w:rsidRPr="00847706" w:rsidRDefault="002A544C" w:rsidP="002A544C">
      <w:pPr>
        <w:tabs>
          <w:tab w:val="left" w:pos="705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Source: Department of Revenue (2017 corporate excise return)</w:t>
      </w:r>
    </w:p>
    <w:p w14:paraId="01B38B6B" w14:textId="1AA7E97A" w:rsidR="002A544C" w:rsidRPr="00847706" w:rsidRDefault="002A544C" w:rsidP="002A544C">
      <w:pPr>
        <w:tabs>
          <w:tab w:val="left" w:pos="705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 xml:space="preserve">Notes: 1. </w:t>
      </w:r>
      <w:r w:rsidR="007F1EE5" w:rsidRPr="00107265">
        <w:rPr>
          <w:rFonts w:asciiTheme="majorHAnsi" w:eastAsiaTheme="majorEastAsia" w:hAnsiTheme="majorHAnsi" w:cstheme="majorBidi"/>
          <w:bCs/>
          <w:color w:val="000000" w:themeColor="text1"/>
          <w:sz w:val="18"/>
          <w:szCs w:val="18"/>
        </w:rPr>
        <w:t>The data are preliminary and subject to change.</w:t>
      </w:r>
    </w:p>
    <w:p w14:paraId="798B020C" w14:textId="36B4BDF2" w:rsidR="007F1EE5" w:rsidRDefault="002A544C" w:rsidP="002A544C">
      <w:pPr>
        <w:tabs>
          <w:tab w:val="left" w:pos="571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 xml:space="preserve">             2. </w:t>
      </w:r>
      <w:r w:rsidR="007F1EE5" w:rsidRPr="00107265">
        <w:rPr>
          <w:rFonts w:asciiTheme="majorHAnsi" w:hAnsiTheme="majorHAnsi"/>
          <w:sz w:val="18"/>
          <w:szCs w:val="18"/>
        </w:rPr>
        <w:t>Information is based on number of employees as reported by taxpayers.</w:t>
      </w:r>
      <w:r w:rsidR="007F1EE5" w:rsidRPr="007F1EE5">
        <w:rPr>
          <w:rFonts w:asciiTheme="majorHAnsi" w:eastAsiaTheme="majorEastAsia" w:hAnsiTheme="majorHAnsi" w:cstheme="majorBidi"/>
          <w:bCs/>
          <w:color w:val="000000" w:themeColor="text1"/>
          <w:sz w:val="18"/>
          <w:szCs w:val="18"/>
        </w:rPr>
        <w:t xml:space="preserve"> </w:t>
      </w:r>
      <w:r w:rsidR="00212BA2" w:rsidRPr="00847706">
        <w:rPr>
          <w:rFonts w:asciiTheme="majorHAnsi" w:eastAsiaTheme="majorEastAsia" w:hAnsiTheme="majorHAnsi" w:cstheme="majorBidi"/>
          <w:bCs/>
          <w:color w:val="000000" w:themeColor="text1"/>
          <w:sz w:val="18"/>
          <w:szCs w:val="18"/>
        </w:rPr>
        <w:t xml:space="preserve">             </w:t>
      </w:r>
    </w:p>
    <w:p w14:paraId="7851CE56" w14:textId="206D9E77" w:rsidR="00C17D2C" w:rsidRPr="00847706" w:rsidRDefault="007F1EE5" w:rsidP="002A544C">
      <w:pPr>
        <w:tabs>
          <w:tab w:val="left" w:pos="5710"/>
        </w:tabs>
        <w:spacing w:after="0"/>
        <w:rPr>
          <w:rFonts w:asciiTheme="majorHAnsi" w:eastAsiaTheme="majorEastAsia" w:hAnsiTheme="majorHAnsi" w:cstheme="majorBidi"/>
          <w:bCs/>
          <w:color w:val="000000" w:themeColor="text1"/>
          <w:sz w:val="18"/>
          <w:szCs w:val="18"/>
        </w:rPr>
      </w:pPr>
      <w:r>
        <w:rPr>
          <w:rFonts w:asciiTheme="majorHAnsi" w:eastAsiaTheme="majorEastAsia" w:hAnsiTheme="majorHAnsi" w:cstheme="majorBidi"/>
          <w:bCs/>
          <w:color w:val="000000" w:themeColor="text1"/>
          <w:sz w:val="18"/>
          <w:szCs w:val="18"/>
        </w:rPr>
        <w:t xml:space="preserve">             </w:t>
      </w:r>
      <w:r w:rsidR="00C17D2C" w:rsidRPr="00847706">
        <w:rPr>
          <w:rFonts w:asciiTheme="majorHAnsi" w:eastAsiaTheme="majorEastAsia" w:hAnsiTheme="majorHAnsi" w:cstheme="majorBidi"/>
          <w:bCs/>
          <w:color w:val="000000" w:themeColor="text1"/>
          <w:sz w:val="18"/>
          <w:szCs w:val="18"/>
        </w:rPr>
        <w:t xml:space="preserve">3. </w:t>
      </w:r>
      <w:r w:rsidR="006802AF" w:rsidRPr="00212BA2">
        <w:rPr>
          <w:rFonts w:asciiTheme="majorHAnsi" w:hAnsiTheme="majorHAnsi"/>
          <w:bCs/>
          <w:sz w:val="18"/>
          <w:szCs w:val="18"/>
        </w:rPr>
        <w:t>Negative numbers indicate that taxpayers owe</w:t>
      </w:r>
      <w:r w:rsidR="007906CA">
        <w:rPr>
          <w:rFonts w:asciiTheme="majorHAnsi" w:hAnsiTheme="majorHAnsi"/>
          <w:bCs/>
          <w:sz w:val="18"/>
          <w:szCs w:val="18"/>
        </w:rPr>
        <w:t>d</w:t>
      </w:r>
      <w:r w:rsidR="006802AF" w:rsidRPr="00212BA2">
        <w:rPr>
          <w:rFonts w:asciiTheme="majorHAnsi" w:hAnsiTheme="majorHAnsi"/>
          <w:bCs/>
          <w:sz w:val="18"/>
          <w:szCs w:val="18"/>
        </w:rPr>
        <w:t xml:space="preserve"> less tax using formulas with higher weighted sales factor; positive numbers indicate that taxpayers owe</w:t>
      </w:r>
      <w:r w:rsidR="007906CA">
        <w:rPr>
          <w:rFonts w:asciiTheme="majorHAnsi" w:hAnsiTheme="majorHAnsi"/>
          <w:bCs/>
          <w:sz w:val="18"/>
          <w:szCs w:val="18"/>
        </w:rPr>
        <w:t>d</w:t>
      </w:r>
      <w:r w:rsidR="006802AF" w:rsidRPr="00212BA2">
        <w:rPr>
          <w:rFonts w:asciiTheme="majorHAnsi" w:hAnsiTheme="majorHAnsi"/>
          <w:bCs/>
          <w:sz w:val="18"/>
          <w:szCs w:val="18"/>
        </w:rPr>
        <w:t xml:space="preserve"> more tax using formulas with higher weighted sales factor.</w:t>
      </w:r>
    </w:p>
    <w:p w14:paraId="5E462D4D" w14:textId="6124AF5E" w:rsidR="000803EC" w:rsidRDefault="000803EC" w:rsidP="00C124D1">
      <w:pPr>
        <w:spacing w:after="0"/>
        <w:rPr>
          <w:rFonts w:asciiTheme="majorHAnsi" w:eastAsiaTheme="majorEastAsia" w:hAnsiTheme="majorHAnsi" w:cstheme="majorBidi"/>
          <w:bCs/>
          <w:color w:val="000000" w:themeColor="text1"/>
          <w:sz w:val="24"/>
          <w:szCs w:val="24"/>
        </w:rPr>
      </w:pPr>
    </w:p>
    <w:p w14:paraId="07EDD1E1" w14:textId="37FE4541" w:rsidR="000803EC" w:rsidRDefault="000803EC" w:rsidP="00C124D1">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By industry, Table 5 shows that the “P</w:t>
      </w:r>
      <w:r w:rsidRPr="001052D6">
        <w:rPr>
          <w:rFonts w:asciiTheme="majorHAnsi" w:eastAsiaTheme="majorEastAsia" w:hAnsiTheme="majorHAnsi" w:cstheme="majorBidi"/>
          <w:bCs/>
          <w:color w:val="000000" w:themeColor="text1"/>
          <w:sz w:val="24"/>
          <w:szCs w:val="24"/>
        </w:rPr>
        <w:t xml:space="preserve">rofessional, </w:t>
      </w:r>
      <w:r>
        <w:rPr>
          <w:rFonts w:asciiTheme="majorHAnsi" w:eastAsiaTheme="majorEastAsia" w:hAnsiTheme="majorHAnsi" w:cstheme="majorBidi"/>
          <w:bCs/>
          <w:color w:val="000000" w:themeColor="text1"/>
          <w:sz w:val="24"/>
          <w:szCs w:val="24"/>
        </w:rPr>
        <w:t>S</w:t>
      </w:r>
      <w:r w:rsidRPr="001052D6">
        <w:rPr>
          <w:rFonts w:asciiTheme="majorHAnsi" w:eastAsiaTheme="majorEastAsia" w:hAnsiTheme="majorHAnsi" w:cstheme="majorBidi"/>
          <w:bCs/>
          <w:color w:val="000000" w:themeColor="text1"/>
          <w:sz w:val="24"/>
          <w:szCs w:val="24"/>
        </w:rPr>
        <w:t xml:space="preserve">cientific, and </w:t>
      </w:r>
      <w:r>
        <w:rPr>
          <w:rFonts w:asciiTheme="majorHAnsi" w:eastAsiaTheme="majorEastAsia" w:hAnsiTheme="majorHAnsi" w:cstheme="majorBidi"/>
          <w:bCs/>
          <w:color w:val="000000" w:themeColor="text1"/>
          <w:sz w:val="24"/>
          <w:szCs w:val="24"/>
        </w:rPr>
        <w:t>T</w:t>
      </w:r>
      <w:r w:rsidRPr="001052D6">
        <w:rPr>
          <w:rFonts w:asciiTheme="majorHAnsi" w:eastAsiaTheme="majorEastAsia" w:hAnsiTheme="majorHAnsi" w:cstheme="majorBidi"/>
          <w:bCs/>
          <w:color w:val="000000" w:themeColor="text1"/>
          <w:sz w:val="24"/>
          <w:szCs w:val="24"/>
        </w:rPr>
        <w:t xml:space="preserve">echnical </w:t>
      </w:r>
      <w:r>
        <w:rPr>
          <w:rFonts w:asciiTheme="majorHAnsi" w:eastAsiaTheme="majorEastAsia" w:hAnsiTheme="majorHAnsi" w:cstheme="majorBidi"/>
          <w:bCs/>
          <w:color w:val="000000" w:themeColor="text1"/>
          <w:sz w:val="24"/>
          <w:szCs w:val="24"/>
        </w:rPr>
        <w:t>S</w:t>
      </w:r>
      <w:r w:rsidRPr="001052D6">
        <w:rPr>
          <w:rFonts w:asciiTheme="majorHAnsi" w:eastAsiaTheme="majorEastAsia" w:hAnsiTheme="majorHAnsi" w:cstheme="majorBidi"/>
          <w:bCs/>
          <w:color w:val="000000" w:themeColor="text1"/>
          <w:sz w:val="24"/>
          <w:szCs w:val="24"/>
        </w:rPr>
        <w:t>ervices</w:t>
      </w:r>
      <w:r>
        <w:rPr>
          <w:rFonts w:asciiTheme="majorHAnsi" w:eastAsiaTheme="majorEastAsia" w:hAnsiTheme="majorHAnsi" w:cstheme="majorBidi"/>
          <w:bCs/>
          <w:color w:val="000000" w:themeColor="text1"/>
          <w:sz w:val="24"/>
          <w:szCs w:val="24"/>
        </w:rPr>
        <w:t xml:space="preserve">” industry represented about </w:t>
      </w:r>
      <w:r w:rsidR="00224FE9">
        <w:rPr>
          <w:rFonts w:asciiTheme="majorHAnsi" w:eastAsiaTheme="majorEastAsia" w:hAnsiTheme="majorHAnsi" w:cstheme="majorBidi"/>
          <w:bCs/>
          <w:color w:val="000000" w:themeColor="text1"/>
          <w:sz w:val="24"/>
          <w:szCs w:val="24"/>
        </w:rPr>
        <w:t>18.5</w:t>
      </w:r>
      <w:r>
        <w:rPr>
          <w:rFonts w:asciiTheme="majorHAnsi" w:eastAsiaTheme="majorEastAsia" w:hAnsiTheme="majorHAnsi" w:cstheme="majorBidi"/>
          <w:bCs/>
          <w:color w:val="000000" w:themeColor="text1"/>
          <w:sz w:val="24"/>
          <w:szCs w:val="24"/>
        </w:rPr>
        <w:t xml:space="preserve">% of </w:t>
      </w:r>
      <w:r w:rsidR="00224FE9">
        <w:rPr>
          <w:rFonts w:asciiTheme="majorHAnsi" w:eastAsiaTheme="majorEastAsia" w:hAnsiTheme="majorHAnsi" w:cstheme="majorBidi"/>
          <w:bCs/>
          <w:color w:val="000000" w:themeColor="text1"/>
          <w:sz w:val="24"/>
          <w:szCs w:val="24"/>
        </w:rPr>
        <w:t xml:space="preserve">all </w:t>
      </w:r>
      <w:r>
        <w:rPr>
          <w:rFonts w:asciiTheme="majorHAnsi" w:eastAsiaTheme="majorEastAsia" w:hAnsiTheme="majorHAnsi" w:cstheme="majorBidi"/>
          <w:bCs/>
          <w:color w:val="000000" w:themeColor="text1"/>
          <w:sz w:val="24"/>
          <w:szCs w:val="24"/>
        </w:rPr>
        <w:t>impacted corporations</w:t>
      </w:r>
      <w:r w:rsidR="0035125B">
        <w:rPr>
          <w:rFonts w:asciiTheme="majorHAnsi" w:eastAsiaTheme="majorEastAsia" w:hAnsiTheme="majorHAnsi" w:cstheme="majorBidi"/>
          <w:bCs/>
          <w:color w:val="000000" w:themeColor="text1"/>
          <w:sz w:val="24"/>
          <w:szCs w:val="24"/>
        </w:rPr>
        <w:t xml:space="preserve"> and</w:t>
      </w:r>
      <w:r>
        <w:rPr>
          <w:rFonts w:asciiTheme="majorHAnsi" w:eastAsiaTheme="majorEastAsia" w:hAnsiTheme="majorHAnsi" w:cstheme="majorBidi"/>
          <w:bCs/>
          <w:color w:val="000000" w:themeColor="text1"/>
          <w:sz w:val="24"/>
          <w:szCs w:val="24"/>
        </w:rPr>
        <w:t xml:space="preserve"> </w:t>
      </w:r>
      <w:r w:rsidR="00224FE9">
        <w:rPr>
          <w:rFonts w:asciiTheme="majorHAnsi" w:eastAsiaTheme="majorEastAsia" w:hAnsiTheme="majorHAnsi" w:cstheme="majorBidi"/>
          <w:bCs/>
          <w:color w:val="000000" w:themeColor="text1"/>
          <w:sz w:val="24"/>
          <w:szCs w:val="24"/>
        </w:rPr>
        <w:t>23.4</w:t>
      </w:r>
      <w:r>
        <w:rPr>
          <w:rFonts w:asciiTheme="majorHAnsi" w:eastAsiaTheme="majorEastAsia" w:hAnsiTheme="majorHAnsi" w:cstheme="majorBidi"/>
          <w:bCs/>
          <w:color w:val="000000" w:themeColor="text1"/>
          <w:sz w:val="24"/>
          <w:szCs w:val="24"/>
        </w:rPr>
        <w:t xml:space="preserve">% of total </w:t>
      </w:r>
      <w:r w:rsidR="00224FE9">
        <w:rPr>
          <w:rFonts w:asciiTheme="majorHAnsi" w:eastAsiaTheme="majorEastAsia" w:hAnsiTheme="majorHAnsi" w:cstheme="majorBidi"/>
          <w:bCs/>
          <w:color w:val="000000" w:themeColor="text1"/>
          <w:sz w:val="24"/>
          <w:szCs w:val="24"/>
        </w:rPr>
        <w:t xml:space="preserve">net </w:t>
      </w:r>
      <w:r>
        <w:rPr>
          <w:rFonts w:asciiTheme="majorHAnsi" w:eastAsiaTheme="majorEastAsia" w:hAnsiTheme="majorHAnsi" w:cstheme="majorBidi"/>
          <w:bCs/>
          <w:color w:val="000000" w:themeColor="text1"/>
          <w:sz w:val="24"/>
          <w:szCs w:val="24"/>
        </w:rPr>
        <w:t xml:space="preserve">tax </w:t>
      </w:r>
      <w:r w:rsidR="0035125B">
        <w:rPr>
          <w:rFonts w:asciiTheme="majorHAnsi" w:eastAsiaTheme="majorEastAsia" w:hAnsiTheme="majorHAnsi" w:cstheme="majorBidi"/>
          <w:bCs/>
          <w:color w:val="000000" w:themeColor="text1"/>
          <w:sz w:val="24"/>
          <w:szCs w:val="24"/>
        </w:rPr>
        <w:t>saving</w:t>
      </w:r>
      <w:r w:rsidR="00420572">
        <w:rPr>
          <w:rFonts w:asciiTheme="majorHAnsi" w:eastAsiaTheme="majorEastAsia" w:hAnsiTheme="majorHAnsi" w:cstheme="majorBidi"/>
          <w:bCs/>
          <w:color w:val="000000" w:themeColor="text1"/>
          <w:sz w:val="24"/>
          <w:szCs w:val="24"/>
        </w:rPr>
        <w:t>s</w:t>
      </w:r>
      <w:r>
        <w:rPr>
          <w:rFonts w:asciiTheme="majorHAnsi" w:eastAsiaTheme="majorEastAsia" w:hAnsiTheme="majorHAnsi" w:cstheme="majorBidi"/>
          <w:bCs/>
          <w:color w:val="000000" w:themeColor="text1"/>
          <w:sz w:val="24"/>
          <w:szCs w:val="24"/>
        </w:rPr>
        <w:t>. The “Manufacturing”</w:t>
      </w:r>
      <w:r w:rsidR="005A57A2">
        <w:rPr>
          <w:rStyle w:val="FootnoteReference"/>
          <w:rFonts w:asciiTheme="majorHAnsi" w:eastAsiaTheme="majorEastAsia" w:hAnsiTheme="majorHAnsi"/>
          <w:bCs/>
          <w:color w:val="000000" w:themeColor="text1"/>
          <w:sz w:val="24"/>
          <w:szCs w:val="24"/>
        </w:rPr>
        <w:footnoteReference w:id="3"/>
      </w:r>
      <w:r>
        <w:rPr>
          <w:rFonts w:asciiTheme="majorHAnsi" w:eastAsiaTheme="majorEastAsia" w:hAnsiTheme="majorHAnsi" w:cstheme="majorBidi"/>
          <w:bCs/>
          <w:color w:val="000000" w:themeColor="text1"/>
          <w:sz w:val="24"/>
          <w:szCs w:val="24"/>
        </w:rPr>
        <w:t xml:space="preserve"> industry represented about </w:t>
      </w:r>
      <w:r w:rsidR="00224FE9">
        <w:rPr>
          <w:rFonts w:asciiTheme="majorHAnsi" w:eastAsiaTheme="majorEastAsia" w:hAnsiTheme="majorHAnsi" w:cstheme="majorBidi"/>
          <w:bCs/>
          <w:color w:val="000000" w:themeColor="text1"/>
          <w:sz w:val="24"/>
          <w:szCs w:val="24"/>
        </w:rPr>
        <w:t>16.4</w:t>
      </w:r>
      <w:r>
        <w:rPr>
          <w:rFonts w:asciiTheme="majorHAnsi" w:eastAsiaTheme="majorEastAsia" w:hAnsiTheme="majorHAnsi" w:cstheme="majorBidi"/>
          <w:bCs/>
          <w:color w:val="000000" w:themeColor="text1"/>
          <w:sz w:val="24"/>
          <w:szCs w:val="24"/>
        </w:rPr>
        <w:t>% of total impacted corporations</w:t>
      </w:r>
      <w:r w:rsidR="0035125B">
        <w:rPr>
          <w:rFonts w:asciiTheme="majorHAnsi" w:eastAsiaTheme="majorEastAsia" w:hAnsiTheme="majorHAnsi" w:cstheme="majorBidi"/>
          <w:bCs/>
          <w:color w:val="000000" w:themeColor="text1"/>
          <w:sz w:val="24"/>
          <w:szCs w:val="24"/>
        </w:rPr>
        <w:t xml:space="preserve">, </w:t>
      </w:r>
      <w:r w:rsidR="00224FE9">
        <w:rPr>
          <w:rFonts w:asciiTheme="majorHAnsi" w:eastAsiaTheme="majorEastAsia" w:hAnsiTheme="majorHAnsi" w:cstheme="majorBidi"/>
          <w:bCs/>
          <w:color w:val="000000" w:themeColor="text1"/>
          <w:sz w:val="24"/>
          <w:szCs w:val="24"/>
        </w:rPr>
        <w:t>46.1</w:t>
      </w:r>
      <w:r>
        <w:rPr>
          <w:rFonts w:asciiTheme="majorHAnsi" w:eastAsiaTheme="majorEastAsia" w:hAnsiTheme="majorHAnsi" w:cstheme="majorBidi"/>
          <w:bCs/>
          <w:color w:val="000000" w:themeColor="text1"/>
          <w:sz w:val="24"/>
          <w:szCs w:val="24"/>
        </w:rPr>
        <w:t xml:space="preserve">% of total </w:t>
      </w:r>
      <w:r w:rsidR="00224FE9">
        <w:rPr>
          <w:rFonts w:asciiTheme="majorHAnsi" w:eastAsiaTheme="majorEastAsia" w:hAnsiTheme="majorHAnsi" w:cstheme="majorBidi"/>
          <w:bCs/>
          <w:color w:val="000000" w:themeColor="text1"/>
          <w:sz w:val="24"/>
          <w:szCs w:val="24"/>
        </w:rPr>
        <w:t xml:space="preserve">net </w:t>
      </w:r>
      <w:r>
        <w:rPr>
          <w:rFonts w:asciiTheme="majorHAnsi" w:eastAsiaTheme="majorEastAsia" w:hAnsiTheme="majorHAnsi" w:cstheme="majorBidi"/>
          <w:bCs/>
          <w:color w:val="000000" w:themeColor="text1"/>
          <w:sz w:val="24"/>
          <w:szCs w:val="24"/>
        </w:rPr>
        <w:t xml:space="preserve">tax </w:t>
      </w:r>
      <w:r w:rsidR="0035125B">
        <w:rPr>
          <w:rFonts w:asciiTheme="majorHAnsi" w:eastAsiaTheme="majorEastAsia" w:hAnsiTheme="majorHAnsi" w:cstheme="majorBidi"/>
          <w:bCs/>
          <w:color w:val="000000" w:themeColor="text1"/>
          <w:sz w:val="24"/>
          <w:szCs w:val="24"/>
        </w:rPr>
        <w:t>saving</w:t>
      </w:r>
      <w:r w:rsidR="00420572">
        <w:rPr>
          <w:rFonts w:asciiTheme="majorHAnsi" w:eastAsiaTheme="majorEastAsia" w:hAnsiTheme="majorHAnsi" w:cstheme="majorBidi"/>
          <w:bCs/>
          <w:color w:val="000000" w:themeColor="text1"/>
          <w:sz w:val="24"/>
          <w:szCs w:val="24"/>
        </w:rPr>
        <w:t>s</w:t>
      </w:r>
      <w:r w:rsidR="0035125B">
        <w:rPr>
          <w:rFonts w:asciiTheme="majorHAnsi" w:eastAsiaTheme="majorEastAsia" w:hAnsiTheme="majorHAnsi" w:cstheme="majorBidi"/>
          <w:bCs/>
          <w:color w:val="000000" w:themeColor="text1"/>
          <w:sz w:val="24"/>
          <w:szCs w:val="24"/>
        </w:rPr>
        <w:t xml:space="preserve">, and </w:t>
      </w:r>
      <w:r w:rsidR="007204FD">
        <w:rPr>
          <w:rFonts w:asciiTheme="majorHAnsi" w:eastAsiaTheme="majorEastAsia" w:hAnsiTheme="majorHAnsi" w:cstheme="majorBidi"/>
          <w:bCs/>
          <w:color w:val="000000" w:themeColor="text1"/>
          <w:sz w:val="24"/>
          <w:szCs w:val="24"/>
        </w:rPr>
        <w:t xml:space="preserve">had </w:t>
      </w:r>
      <w:r w:rsidR="0035125B">
        <w:rPr>
          <w:rFonts w:asciiTheme="majorHAnsi" w:eastAsiaTheme="majorEastAsia" w:hAnsiTheme="majorHAnsi" w:cstheme="majorBidi"/>
          <w:bCs/>
          <w:color w:val="000000" w:themeColor="text1"/>
          <w:sz w:val="24"/>
          <w:szCs w:val="24"/>
        </w:rPr>
        <w:t xml:space="preserve">the highest average </w:t>
      </w:r>
      <w:r w:rsidR="00224FE9">
        <w:rPr>
          <w:rFonts w:asciiTheme="majorHAnsi" w:eastAsiaTheme="majorEastAsia" w:hAnsiTheme="majorHAnsi" w:cstheme="majorBidi"/>
          <w:bCs/>
          <w:color w:val="000000" w:themeColor="text1"/>
          <w:sz w:val="24"/>
          <w:szCs w:val="24"/>
        </w:rPr>
        <w:t xml:space="preserve">net </w:t>
      </w:r>
      <w:r w:rsidR="0035125B">
        <w:rPr>
          <w:rFonts w:asciiTheme="majorHAnsi" w:eastAsiaTheme="majorEastAsia" w:hAnsiTheme="majorHAnsi" w:cstheme="majorBidi"/>
          <w:bCs/>
          <w:color w:val="000000" w:themeColor="text1"/>
          <w:sz w:val="24"/>
          <w:szCs w:val="24"/>
        </w:rPr>
        <w:t>tax saving</w:t>
      </w:r>
      <w:r w:rsidR="00420572">
        <w:rPr>
          <w:rFonts w:asciiTheme="majorHAnsi" w:eastAsiaTheme="majorEastAsia" w:hAnsiTheme="majorHAnsi" w:cstheme="majorBidi"/>
          <w:bCs/>
          <w:color w:val="000000" w:themeColor="text1"/>
          <w:sz w:val="24"/>
          <w:szCs w:val="24"/>
        </w:rPr>
        <w:t>s</w:t>
      </w:r>
      <w:r w:rsidR="0035125B">
        <w:rPr>
          <w:rFonts w:asciiTheme="majorHAnsi" w:eastAsiaTheme="majorEastAsia" w:hAnsiTheme="majorHAnsi" w:cstheme="majorBidi"/>
          <w:bCs/>
          <w:color w:val="000000" w:themeColor="text1"/>
          <w:sz w:val="24"/>
          <w:szCs w:val="24"/>
        </w:rPr>
        <w:t xml:space="preserve"> of $</w:t>
      </w:r>
      <w:r w:rsidR="00224FE9">
        <w:rPr>
          <w:rFonts w:asciiTheme="majorHAnsi" w:eastAsiaTheme="majorEastAsia" w:hAnsiTheme="majorHAnsi" w:cstheme="majorBidi"/>
          <w:bCs/>
          <w:color w:val="000000" w:themeColor="text1"/>
          <w:sz w:val="24"/>
          <w:szCs w:val="24"/>
        </w:rPr>
        <w:t>66</w:t>
      </w:r>
      <w:r w:rsidR="0035125B">
        <w:rPr>
          <w:rFonts w:asciiTheme="majorHAnsi" w:eastAsiaTheme="majorEastAsia" w:hAnsiTheme="majorHAnsi" w:cstheme="majorBidi"/>
          <w:bCs/>
          <w:color w:val="000000" w:themeColor="text1"/>
          <w:sz w:val="24"/>
          <w:szCs w:val="24"/>
        </w:rPr>
        <w:t>,000 compared with $</w:t>
      </w:r>
      <w:r w:rsidR="00224FE9">
        <w:rPr>
          <w:rFonts w:asciiTheme="majorHAnsi" w:eastAsiaTheme="majorEastAsia" w:hAnsiTheme="majorHAnsi" w:cstheme="majorBidi"/>
          <w:bCs/>
          <w:color w:val="000000" w:themeColor="text1"/>
          <w:sz w:val="24"/>
          <w:szCs w:val="24"/>
        </w:rPr>
        <w:t>24</w:t>
      </w:r>
      <w:r w:rsidR="0035125B">
        <w:rPr>
          <w:rFonts w:asciiTheme="majorHAnsi" w:eastAsiaTheme="majorEastAsia" w:hAnsiTheme="majorHAnsi" w:cstheme="majorBidi"/>
          <w:bCs/>
          <w:color w:val="000000" w:themeColor="text1"/>
          <w:sz w:val="24"/>
          <w:szCs w:val="24"/>
        </w:rPr>
        <w:t>,000 for all positively affected corporations</w:t>
      </w:r>
      <w:r>
        <w:rPr>
          <w:rFonts w:asciiTheme="majorHAnsi" w:eastAsiaTheme="majorEastAsia" w:hAnsiTheme="majorHAnsi" w:cstheme="majorBidi"/>
          <w:bCs/>
          <w:color w:val="000000" w:themeColor="text1"/>
          <w:sz w:val="24"/>
          <w:szCs w:val="24"/>
        </w:rPr>
        <w:t>.</w:t>
      </w:r>
    </w:p>
    <w:p w14:paraId="207B6C61" w14:textId="77777777" w:rsidR="00C124D1" w:rsidRDefault="00C124D1" w:rsidP="00C124D1">
      <w:pPr>
        <w:spacing w:after="0"/>
        <w:rPr>
          <w:rFonts w:asciiTheme="majorHAnsi" w:eastAsiaTheme="majorEastAsia" w:hAnsiTheme="majorHAnsi" w:cstheme="majorBidi"/>
          <w:bCs/>
          <w:color w:val="000000" w:themeColor="text1"/>
          <w:sz w:val="24"/>
          <w:szCs w:val="24"/>
        </w:rPr>
      </w:pPr>
    </w:p>
    <w:p w14:paraId="29D4DB51" w14:textId="624472D5" w:rsidR="00777B28" w:rsidRDefault="00777B28" w:rsidP="00114B4C">
      <w:pPr>
        <w:tabs>
          <w:tab w:val="left" w:pos="5710"/>
        </w:tabs>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5</w:t>
      </w:r>
      <w:r w:rsidRPr="00CA0391">
        <w:rPr>
          <w:rFonts w:asciiTheme="majorHAnsi" w:hAnsiTheme="majorHAnsi"/>
          <w:b/>
          <w:sz w:val="24"/>
          <w:szCs w:val="24"/>
        </w:rPr>
        <w:t xml:space="preserve">. </w:t>
      </w:r>
      <w:r w:rsidR="008A391D">
        <w:rPr>
          <w:rFonts w:asciiTheme="majorHAnsi" w:hAnsiTheme="majorHAnsi"/>
          <w:b/>
          <w:sz w:val="24"/>
          <w:szCs w:val="24"/>
        </w:rPr>
        <w:t xml:space="preserve">Net Tax Liability Change </w:t>
      </w:r>
      <w:r w:rsidRPr="008F4A2D">
        <w:rPr>
          <w:rFonts w:asciiTheme="majorHAnsi" w:hAnsiTheme="majorHAnsi"/>
          <w:b/>
          <w:sz w:val="24"/>
          <w:szCs w:val="24"/>
        </w:rPr>
        <w:t xml:space="preserve">by </w:t>
      </w:r>
      <w:r>
        <w:rPr>
          <w:rFonts w:asciiTheme="majorHAnsi" w:hAnsiTheme="majorHAnsi"/>
          <w:b/>
          <w:sz w:val="24"/>
          <w:szCs w:val="24"/>
        </w:rPr>
        <w:t>Industry</w:t>
      </w:r>
      <w:r w:rsidR="00186FCF">
        <w:rPr>
          <w:rFonts w:asciiTheme="majorHAnsi" w:hAnsiTheme="majorHAnsi"/>
          <w:b/>
          <w:sz w:val="24"/>
          <w:szCs w:val="24"/>
        </w:rPr>
        <w:t xml:space="preserve"> </w:t>
      </w:r>
      <w:r w:rsidR="00186FCF" w:rsidRPr="00107265">
        <w:rPr>
          <w:rStyle w:val="FootnoteReference"/>
          <w:rFonts w:eastAsiaTheme="majorEastAsia"/>
          <w:color w:val="000000" w:themeColor="text1"/>
        </w:rPr>
        <w:t>(1)</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350"/>
        <w:gridCol w:w="1350"/>
        <w:gridCol w:w="1450"/>
        <w:gridCol w:w="1160"/>
        <w:gridCol w:w="1260"/>
      </w:tblGrid>
      <w:tr w:rsidR="00C25556" w:rsidRPr="00777B28" w14:paraId="046D1BE8" w14:textId="77777777" w:rsidTr="000E54AA">
        <w:trPr>
          <w:trHeight w:val="144"/>
          <w:jc w:val="center"/>
        </w:trPr>
        <w:tc>
          <w:tcPr>
            <w:tcW w:w="3145" w:type="dxa"/>
            <w:shd w:val="clear" w:color="auto" w:fill="B6DDE8" w:themeFill="accent5" w:themeFillTint="66"/>
            <w:vAlign w:val="center"/>
            <w:hideMark/>
          </w:tcPr>
          <w:p w14:paraId="65EE7602" w14:textId="77777777" w:rsidR="00777B28" w:rsidRPr="00EE5936" w:rsidRDefault="00777B28" w:rsidP="00777B28">
            <w:pPr>
              <w:spacing w:after="0" w:line="240" w:lineRule="auto"/>
              <w:jc w:val="center"/>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Industry </w:t>
            </w:r>
          </w:p>
        </w:tc>
        <w:tc>
          <w:tcPr>
            <w:tcW w:w="1350" w:type="dxa"/>
            <w:shd w:val="clear" w:color="auto" w:fill="B6DDE8" w:themeFill="accent5" w:themeFillTint="66"/>
            <w:vAlign w:val="center"/>
            <w:hideMark/>
          </w:tcPr>
          <w:p w14:paraId="083224CA" w14:textId="76F64F49" w:rsidR="00777B28" w:rsidRPr="00EE5936" w:rsidRDefault="00777B28" w:rsidP="00777B28">
            <w:pPr>
              <w:spacing w:after="0" w:line="240" w:lineRule="auto"/>
              <w:jc w:val="center"/>
              <w:rPr>
                <w:rFonts w:asciiTheme="majorHAnsi" w:eastAsia="Times New Roman" w:hAnsiTheme="majorHAnsi" w:cs="Helvetica"/>
                <w:color w:val="000000"/>
                <w:sz w:val="20"/>
                <w:szCs w:val="20"/>
                <w:lang w:eastAsia="ko-KR"/>
              </w:rPr>
            </w:pPr>
            <w:r w:rsidRPr="005000AB">
              <w:rPr>
                <w:rFonts w:ascii="Cambria" w:eastAsia="Times New Roman" w:hAnsi="Cambria" w:cs="Helvetica"/>
                <w:color w:val="000000"/>
                <w:sz w:val="20"/>
                <w:szCs w:val="20"/>
                <w:lang w:eastAsia="ko-KR"/>
              </w:rPr>
              <w:t>Number of Impacted Corporations</w:t>
            </w:r>
          </w:p>
        </w:tc>
        <w:tc>
          <w:tcPr>
            <w:tcW w:w="1350" w:type="dxa"/>
            <w:shd w:val="clear" w:color="auto" w:fill="B6DDE8" w:themeFill="accent5" w:themeFillTint="66"/>
            <w:vAlign w:val="center"/>
            <w:hideMark/>
          </w:tcPr>
          <w:p w14:paraId="06BA08BE" w14:textId="624C91AA" w:rsidR="00777B28" w:rsidRPr="00EE5936" w:rsidRDefault="00777B28" w:rsidP="00777B28">
            <w:pPr>
              <w:spacing w:after="0" w:line="240" w:lineRule="auto"/>
              <w:jc w:val="center"/>
              <w:rPr>
                <w:rFonts w:asciiTheme="majorHAnsi" w:eastAsia="Times New Roman" w:hAnsiTheme="majorHAnsi" w:cs="Helvetica"/>
                <w:i/>
                <w:iCs/>
                <w:color w:val="000000"/>
                <w:sz w:val="20"/>
                <w:szCs w:val="20"/>
                <w:lang w:eastAsia="ko-KR"/>
              </w:rPr>
            </w:pPr>
            <w:r w:rsidRPr="005000AB">
              <w:rPr>
                <w:rFonts w:ascii="Cambria" w:eastAsia="Times New Roman" w:hAnsi="Cambria" w:cs="Helvetica"/>
                <w:color w:val="000000"/>
                <w:sz w:val="20"/>
                <w:szCs w:val="20"/>
                <w:lang w:eastAsia="ko-KR"/>
              </w:rPr>
              <w:t>% of Total Number of Impacted Corporations</w:t>
            </w:r>
          </w:p>
        </w:tc>
        <w:tc>
          <w:tcPr>
            <w:tcW w:w="1450" w:type="dxa"/>
            <w:shd w:val="clear" w:color="auto" w:fill="B6DDE8" w:themeFill="accent5" w:themeFillTint="66"/>
            <w:vAlign w:val="center"/>
            <w:hideMark/>
          </w:tcPr>
          <w:p w14:paraId="29EE0CB5" w14:textId="0CA3BE39" w:rsidR="00777B28" w:rsidRPr="00EE5936" w:rsidRDefault="0027131F" w:rsidP="00777B28">
            <w:pPr>
              <w:spacing w:after="0" w:line="240" w:lineRule="auto"/>
              <w:jc w:val="center"/>
              <w:rPr>
                <w:rFonts w:asciiTheme="majorHAnsi" w:eastAsia="Times New Roman" w:hAnsiTheme="majorHAnsi" w:cs="Helvetica"/>
                <w:color w:val="000000"/>
                <w:sz w:val="20"/>
                <w:szCs w:val="20"/>
                <w:lang w:eastAsia="ko-KR"/>
              </w:rPr>
            </w:pPr>
            <w:r>
              <w:rPr>
                <w:rFonts w:ascii="Cambria" w:eastAsia="Times New Roman" w:hAnsi="Cambria" w:cs="Helvetica"/>
                <w:color w:val="000000"/>
                <w:sz w:val="20"/>
                <w:szCs w:val="20"/>
                <w:lang w:eastAsia="ko-KR"/>
              </w:rPr>
              <w:t xml:space="preserve">Net </w:t>
            </w:r>
            <w:r w:rsidR="00777B28" w:rsidRPr="005000AB">
              <w:rPr>
                <w:rFonts w:ascii="Cambria" w:eastAsia="Times New Roman" w:hAnsi="Cambria" w:cs="Helvetica"/>
                <w:color w:val="000000"/>
                <w:sz w:val="20"/>
                <w:szCs w:val="20"/>
                <w:lang w:eastAsia="ko-KR"/>
              </w:rPr>
              <w:t xml:space="preserve">Tax </w:t>
            </w:r>
            <w:r w:rsidR="004B42DD" w:rsidRPr="001C5672">
              <w:rPr>
                <w:rFonts w:ascii="Cambria" w:eastAsia="Times New Roman" w:hAnsi="Cambria" w:cs="Helvetica"/>
                <w:color w:val="000000"/>
                <w:sz w:val="20"/>
                <w:szCs w:val="20"/>
                <w:lang w:eastAsia="ko-KR"/>
              </w:rPr>
              <w:t>Liability Change</w:t>
            </w:r>
            <w:r w:rsidR="00777B28" w:rsidRPr="005000AB">
              <w:rPr>
                <w:rFonts w:ascii="Cambria" w:eastAsia="Times New Roman" w:hAnsi="Cambria" w:cs="Helvetica"/>
                <w:color w:val="000000"/>
                <w:sz w:val="20"/>
                <w:szCs w:val="20"/>
                <w:lang w:eastAsia="ko-KR"/>
              </w:rPr>
              <w:t xml:space="preserve"> using Formulas with </w:t>
            </w:r>
            <w:r w:rsidR="00C14DF6">
              <w:rPr>
                <w:rFonts w:ascii="Cambria" w:eastAsia="Times New Roman" w:hAnsi="Cambria" w:cs="Helvetica"/>
                <w:color w:val="000000"/>
                <w:sz w:val="20"/>
                <w:szCs w:val="20"/>
                <w:lang w:eastAsia="ko-KR"/>
              </w:rPr>
              <w:t>Higher</w:t>
            </w:r>
            <w:r w:rsidR="00C14DF6" w:rsidRPr="005000AB">
              <w:rPr>
                <w:rFonts w:ascii="Cambria" w:eastAsia="Times New Roman" w:hAnsi="Cambria" w:cs="Helvetica"/>
                <w:color w:val="000000"/>
                <w:sz w:val="20"/>
                <w:szCs w:val="20"/>
                <w:lang w:eastAsia="ko-KR"/>
              </w:rPr>
              <w:t xml:space="preserve"> </w:t>
            </w:r>
            <w:r w:rsidR="00777B28" w:rsidRPr="005000AB">
              <w:rPr>
                <w:rFonts w:ascii="Cambria" w:eastAsia="Times New Roman" w:hAnsi="Cambria" w:cs="Helvetica"/>
                <w:color w:val="000000"/>
                <w:sz w:val="20"/>
                <w:szCs w:val="20"/>
                <w:lang w:eastAsia="ko-KR"/>
              </w:rPr>
              <w:t>Weighted Sales Factor ($000)</w:t>
            </w:r>
            <w:r w:rsidR="007F1EE5">
              <w:rPr>
                <w:rFonts w:ascii="Cambria" w:eastAsia="Times New Roman" w:hAnsi="Cambria" w:cs="Helvetica"/>
                <w:color w:val="000000"/>
                <w:sz w:val="20"/>
                <w:szCs w:val="20"/>
                <w:lang w:eastAsia="ko-KR"/>
              </w:rPr>
              <w:t xml:space="preserve"> </w:t>
            </w:r>
            <w:r w:rsidR="007F1EE5" w:rsidRPr="00107265">
              <w:rPr>
                <w:rStyle w:val="FootnoteReference"/>
                <w:rFonts w:eastAsiaTheme="majorEastAsia"/>
                <w:color w:val="000000" w:themeColor="text1"/>
              </w:rPr>
              <w:t>(</w:t>
            </w:r>
            <w:r w:rsidR="007F1EE5">
              <w:rPr>
                <w:rStyle w:val="FootnoteReference"/>
                <w:rFonts w:eastAsiaTheme="majorEastAsia"/>
                <w:color w:val="000000" w:themeColor="text1"/>
              </w:rPr>
              <w:t>3</w:t>
            </w:r>
            <w:r w:rsidR="007F1EE5" w:rsidRPr="00107265">
              <w:rPr>
                <w:rStyle w:val="FootnoteReference"/>
                <w:rFonts w:eastAsiaTheme="majorEastAsia"/>
                <w:color w:val="000000" w:themeColor="text1"/>
              </w:rPr>
              <w:t>)</w:t>
            </w:r>
          </w:p>
        </w:tc>
        <w:tc>
          <w:tcPr>
            <w:tcW w:w="1160" w:type="dxa"/>
            <w:shd w:val="clear" w:color="auto" w:fill="B6DDE8" w:themeFill="accent5" w:themeFillTint="66"/>
            <w:vAlign w:val="center"/>
            <w:hideMark/>
          </w:tcPr>
          <w:p w14:paraId="2C6A51A0" w14:textId="2B934836" w:rsidR="00777B28" w:rsidRPr="00EE5936" w:rsidRDefault="00777B28" w:rsidP="00777B28">
            <w:pPr>
              <w:spacing w:after="0" w:line="240" w:lineRule="auto"/>
              <w:jc w:val="center"/>
              <w:rPr>
                <w:rFonts w:asciiTheme="majorHAnsi" w:eastAsia="Times New Roman" w:hAnsiTheme="majorHAnsi" w:cs="Helvetica"/>
                <w:i/>
                <w:iCs/>
                <w:color w:val="000000"/>
                <w:sz w:val="20"/>
                <w:szCs w:val="20"/>
                <w:lang w:eastAsia="ko-KR"/>
              </w:rPr>
            </w:pPr>
            <w:r w:rsidRPr="005000AB">
              <w:rPr>
                <w:rFonts w:ascii="Cambria" w:eastAsia="Times New Roman" w:hAnsi="Cambria" w:cs="Helvetica"/>
                <w:color w:val="000000"/>
                <w:sz w:val="20"/>
                <w:szCs w:val="20"/>
                <w:lang w:eastAsia="ko-KR"/>
              </w:rPr>
              <w:t xml:space="preserve">% of Total </w:t>
            </w:r>
            <w:r w:rsidR="0027131F">
              <w:rPr>
                <w:rFonts w:ascii="Cambria" w:eastAsia="Times New Roman" w:hAnsi="Cambria" w:cs="Helvetica"/>
                <w:color w:val="000000"/>
                <w:sz w:val="20"/>
                <w:szCs w:val="20"/>
                <w:lang w:eastAsia="ko-KR"/>
              </w:rPr>
              <w:t xml:space="preserve">Net </w:t>
            </w:r>
            <w:r w:rsidR="00FB4EC1" w:rsidRPr="00D5431D">
              <w:rPr>
                <w:rFonts w:ascii="Cambria" w:eastAsia="Times New Roman" w:hAnsi="Cambria" w:cs="Helvetica"/>
                <w:color w:val="000000"/>
                <w:sz w:val="20"/>
                <w:szCs w:val="20"/>
                <w:lang w:eastAsia="ko-KR"/>
              </w:rPr>
              <w:t xml:space="preserve">Tax </w:t>
            </w:r>
            <w:r w:rsidR="00FB4EC1" w:rsidRPr="001C5672">
              <w:rPr>
                <w:rFonts w:ascii="Cambria" w:eastAsia="Times New Roman" w:hAnsi="Cambria" w:cs="Helvetica"/>
                <w:color w:val="000000"/>
                <w:sz w:val="20"/>
                <w:szCs w:val="20"/>
                <w:lang w:eastAsia="ko-KR"/>
              </w:rPr>
              <w:t>Liability Change</w:t>
            </w:r>
          </w:p>
        </w:tc>
        <w:tc>
          <w:tcPr>
            <w:tcW w:w="1260" w:type="dxa"/>
            <w:shd w:val="clear" w:color="auto" w:fill="B6DDE8" w:themeFill="accent5" w:themeFillTint="66"/>
            <w:vAlign w:val="center"/>
            <w:hideMark/>
          </w:tcPr>
          <w:p w14:paraId="05CA20C0" w14:textId="5C60A488" w:rsidR="00777B28" w:rsidRPr="00EE5936" w:rsidRDefault="0027131F" w:rsidP="00777B28">
            <w:pPr>
              <w:spacing w:after="0" w:line="240" w:lineRule="auto"/>
              <w:jc w:val="center"/>
              <w:rPr>
                <w:rFonts w:asciiTheme="majorHAnsi" w:eastAsia="Times New Roman" w:hAnsiTheme="majorHAnsi" w:cs="Helvetica"/>
                <w:color w:val="000000"/>
                <w:sz w:val="20"/>
                <w:szCs w:val="20"/>
                <w:lang w:eastAsia="ko-KR"/>
              </w:rPr>
            </w:pPr>
            <w:r>
              <w:rPr>
                <w:rFonts w:ascii="Cambria" w:eastAsia="Times New Roman" w:hAnsi="Cambria" w:cs="Helvetica"/>
                <w:color w:val="000000"/>
                <w:sz w:val="20"/>
                <w:szCs w:val="20"/>
                <w:lang w:eastAsia="ko-KR"/>
              </w:rPr>
              <w:t xml:space="preserve">Net </w:t>
            </w:r>
            <w:r w:rsidR="00777B28" w:rsidRPr="005000AB">
              <w:rPr>
                <w:rFonts w:ascii="Cambria" w:eastAsia="Times New Roman" w:hAnsi="Cambria" w:cs="Helvetica"/>
                <w:color w:val="000000"/>
                <w:sz w:val="20"/>
                <w:szCs w:val="20"/>
                <w:lang w:eastAsia="ko-KR"/>
              </w:rPr>
              <w:t xml:space="preserve">Tax </w:t>
            </w:r>
            <w:r w:rsidR="004B42DD" w:rsidRPr="001C5672">
              <w:rPr>
                <w:rFonts w:ascii="Cambria" w:eastAsia="Times New Roman" w:hAnsi="Cambria" w:cs="Helvetica"/>
                <w:color w:val="000000"/>
                <w:sz w:val="20"/>
                <w:szCs w:val="20"/>
                <w:lang w:eastAsia="ko-KR"/>
              </w:rPr>
              <w:t>Liability Change</w:t>
            </w:r>
            <w:r w:rsidR="00777B28" w:rsidRPr="005000AB">
              <w:rPr>
                <w:rFonts w:ascii="Cambria" w:eastAsia="Times New Roman" w:hAnsi="Cambria" w:cs="Helvetica"/>
                <w:color w:val="000000"/>
                <w:sz w:val="20"/>
                <w:szCs w:val="20"/>
                <w:lang w:eastAsia="ko-KR"/>
              </w:rPr>
              <w:t xml:space="preserve"> per Impacted Corporation ($000)</w:t>
            </w:r>
            <w:r w:rsidR="007F1EE5" w:rsidRPr="00107265">
              <w:rPr>
                <w:rStyle w:val="FootnoteReference"/>
                <w:rFonts w:eastAsiaTheme="majorEastAsia"/>
                <w:color w:val="000000" w:themeColor="text1"/>
              </w:rPr>
              <w:t xml:space="preserve"> (</w:t>
            </w:r>
            <w:r w:rsidR="007F1EE5">
              <w:rPr>
                <w:rStyle w:val="FootnoteReference"/>
                <w:rFonts w:eastAsiaTheme="majorEastAsia"/>
                <w:color w:val="000000" w:themeColor="text1"/>
              </w:rPr>
              <w:t>3</w:t>
            </w:r>
            <w:r w:rsidR="007F1EE5" w:rsidRPr="00107265">
              <w:rPr>
                <w:rStyle w:val="FootnoteReference"/>
                <w:rFonts w:eastAsiaTheme="majorEastAsia"/>
                <w:color w:val="000000" w:themeColor="text1"/>
              </w:rPr>
              <w:t>)</w:t>
            </w:r>
          </w:p>
        </w:tc>
      </w:tr>
      <w:tr w:rsidR="00224FE9" w:rsidRPr="00777B28" w14:paraId="3F4FD6FF" w14:textId="77777777" w:rsidTr="000E54AA">
        <w:trPr>
          <w:trHeight w:val="144"/>
          <w:jc w:val="center"/>
        </w:trPr>
        <w:tc>
          <w:tcPr>
            <w:tcW w:w="3145" w:type="dxa"/>
            <w:shd w:val="clear" w:color="auto" w:fill="auto"/>
            <w:vAlign w:val="center"/>
            <w:hideMark/>
          </w:tcPr>
          <w:p w14:paraId="68D44DF3"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11 Agriculture, Forestry, Fishing and Hunting </w:t>
            </w:r>
          </w:p>
        </w:tc>
        <w:tc>
          <w:tcPr>
            <w:tcW w:w="1350" w:type="dxa"/>
            <w:shd w:val="clear" w:color="auto" w:fill="auto"/>
            <w:vAlign w:val="center"/>
            <w:hideMark/>
          </w:tcPr>
          <w:p w14:paraId="33BF45BC" w14:textId="7EC7CAF9"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60</w:t>
            </w:r>
          </w:p>
        </w:tc>
        <w:tc>
          <w:tcPr>
            <w:tcW w:w="1350" w:type="dxa"/>
            <w:shd w:val="clear" w:color="auto" w:fill="auto"/>
            <w:vAlign w:val="center"/>
            <w:hideMark/>
          </w:tcPr>
          <w:p w14:paraId="4BE30AB3" w14:textId="25604D36"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0.4%</w:t>
            </w:r>
          </w:p>
        </w:tc>
        <w:tc>
          <w:tcPr>
            <w:tcW w:w="1450" w:type="dxa"/>
            <w:shd w:val="clear" w:color="auto" w:fill="auto"/>
            <w:vAlign w:val="center"/>
          </w:tcPr>
          <w:p w14:paraId="601E40DA" w14:textId="7A7ED63A"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$99</w:t>
            </w:r>
          </w:p>
        </w:tc>
        <w:tc>
          <w:tcPr>
            <w:tcW w:w="1160" w:type="dxa"/>
            <w:shd w:val="clear" w:color="auto" w:fill="auto"/>
            <w:vAlign w:val="center"/>
          </w:tcPr>
          <w:p w14:paraId="03AAE482" w14:textId="6EED5618"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4E0D05A0" w14:textId="220CCDA2"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w:t>
            </w:r>
          </w:p>
        </w:tc>
      </w:tr>
      <w:tr w:rsidR="00224FE9" w:rsidRPr="00777B28" w14:paraId="5041D468" w14:textId="77777777" w:rsidTr="000E54AA">
        <w:trPr>
          <w:trHeight w:val="144"/>
          <w:jc w:val="center"/>
        </w:trPr>
        <w:tc>
          <w:tcPr>
            <w:tcW w:w="3145" w:type="dxa"/>
            <w:shd w:val="clear" w:color="auto" w:fill="auto"/>
            <w:vAlign w:val="center"/>
            <w:hideMark/>
          </w:tcPr>
          <w:p w14:paraId="74F7D1D8"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21 Mining, Quarrying, and Oil and Gas Extract </w:t>
            </w:r>
          </w:p>
        </w:tc>
        <w:tc>
          <w:tcPr>
            <w:tcW w:w="1350" w:type="dxa"/>
            <w:shd w:val="clear" w:color="auto" w:fill="auto"/>
            <w:vAlign w:val="center"/>
            <w:hideMark/>
          </w:tcPr>
          <w:p w14:paraId="623A4A2C" w14:textId="51C2AE03"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12</w:t>
            </w:r>
          </w:p>
        </w:tc>
        <w:tc>
          <w:tcPr>
            <w:tcW w:w="1350" w:type="dxa"/>
            <w:shd w:val="clear" w:color="auto" w:fill="auto"/>
            <w:vAlign w:val="center"/>
            <w:hideMark/>
          </w:tcPr>
          <w:p w14:paraId="713C59D1" w14:textId="18911D9A"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450" w:type="dxa"/>
            <w:shd w:val="clear" w:color="auto" w:fill="auto"/>
            <w:vAlign w:val="center"/>
          </w:tcPr>
          <w:p w14:paraId="334E8CFB" w14:textId="12295EF6"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w:t>
            </w:r>
            <w:r w:rsidR="002B37C2">
              <w:rPr>
                <w:rFonts w:ascii="Cambria" w:hAnsi="Cambria" w:cs="Helvetica"/>
                <w:sz w:val="20"/>
                <w:szCs w:val="20"/>
              </w:rPr>
              <w:t>0</w:t>
            </w:r>
          </w:p>
        </w:tc>
        <w:tc>
          <w:tcPr>
            <w:tcW w:w="1160" w:type="dxa"/>
            <w:shd w:val="clear" w:color="auto" w:fill="auto"/>
            <w:vAlign w:val="center"/>
          </w:tcPr>
          <w:p w14:paraId="67833BF1" w14:textId="582CB7D1"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309F86AF" w14:textId="4694AC76"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w:t>
            </w:r>
            <w:r w:rsidR="002311E3">
              <w:rPr>
                <w:rFonts w:ascii="Cambria" w:hAnsi="Cambria" w:cs="Helvetica"/>
                <w:sz w:val="20"/>
                <w:szCs w:val="20"/>
              </w:rPr>
              <w:t>0</w:t>
            </w:r>
          </w:p>
        </w:tc>
      </w:tr>
      <w:tr w:rsidR="00224FE9" w:rsidRPr="00777B28" w14:paraId="119F416B" w14:textId="77777777" w:rsidTr="000E54AA">
        <w:trPr>
          <w:trHeight w:val="144"/>
          <w:jc w:val="center"/>
        </w:trPr>
        <w:tc>
          <w:tcPr>
            <w:tcW w:w="3145" w:type="dxa"/>
            <w:shd w:val="clear" w:color="auto" w:fill="auto"/>
            <w:vAlign w:val="center"/>
            <w:hideMark/>
          </w:tcPr>
          <w:p w14:paraId="087E8A67"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22 Utilities </w:t>
            </w:r>
          </w:p>
        </w:tc>
        <w:tc>
          <w:tcPr>
            <w:tcW w:w="1350" w:type="dxa"/>
            <w:shd w:val="clear" w:color="auto" w:fill="auto"/>
            <w:vAlign w:val="center"/>
            <w:hideMark/>
          </w:tcPr>
          <w:p w14:paraId="7990451E" w14:textId="349A9729"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32</w:t>
            </w:r>
          </w:p>
        </w:tc>
        <w:tc>
          <w:tcPr>
            <w:tcW w:w="1350" w:type="dxa"/>
            <w:shd w:val="clear" w:color="auto" w:fill="auto"/>
            <w:vAlign w:val="center"/>
            <w:hideMark/>
          </w:tcPr>
          <w:p w14:paraId="2EB8767A" w14:textId="7CCDA074"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0.2%</w:t>
            </w:r>
          </w:p>
        </w:tc>
        <w:tc>
          <w:tcPr>
            <w:tcW w:w="1450" w:type="dxa"/>
            <w:shd w:val="clear" w:color="auto" w:fill="auto"/>
            <w:vAlign w:val="center"/>
          </w:tcPr>
          <w:p w14:paraId="75A5F36B" w14:textId="77916CD6"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-$510</w:t>
            </w:r>
          </w:p>
        </w:tc>
        <w:tc>
          <w:tcPr>
            <w:tcW w:w="1160" w:type="dxa"/>
            <w:shd w:val="clear" w:color="auto" w:fill="auto"/>
            <w:vAlign w:val="center"/>
          </w:tcPr>
          <w:p w14:paraId="7A784C8C" w14:textId="210940C2"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260" w:type="dxa"/>
            <w:shd w:val="clear" w:color="auto" w:fill="auto"/>
            <w:vAlign w:val="center"/>
          </w:tcPr>
          <w:p w14:paraId="741DA0A6" w14:textId="7B06256B"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-$16</w:t>
            </w:r>
          </w:p>
        </w:tc>
      </w:tr>
      <w:tr w:rsidR="00224FE9" w:rsidRPr="00777B28" w14:paraId="232C39BD" w14:textId="77777777" w:rsidTr="000E54AA">
        <w:trPr>
          <w:trHeight w:val="144"/>
          <w:jc w:val="center"/>
        </w:trPr>
        <w:tc>
          <w:tcPr>
            <w:tcW w:w="3145" w:type="dxa"/>
            <w:shd w:val="clear" w:color="auto" w:fill="auto"/>
            <w:vAlign w:val="center"/>
            <w:hideMark/>
          </w:tcPr>
          <w:p w14:paraId="259D6F28"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23 Construction </w:t>
            </w:r>
          </w:p>
        </w:tc>
        <w:tc>
          <w:tcPr>
            <w:tcW w:w="1350" w:type="dxa"/>
            <w:shd w:val="clear" w:color="auto" w:fill="auto"/>
            <w:vAlign w:val="center"/>
            <w:hideMark/>
          </w:tcPr>
          <w:p w14:paraId="23BE05BD" w14:textId="29A5D337"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1,124</w:t>
            </w:r>
          </w:p>
        </w:tc>
        <w:tc>
          <w:tcPr>
            <w:tcW w:w="1350" w:type="dxa"/>
            <w:shd w:val="clear" w:color="auto" w:fill="auto"/>
            <w:vAlign w:val="center"/>
            <w:hideMark/>
          </w:tcPr>
          <w:p w14:paraId="4BEEF628" w14:textId="008617AF"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6.7%</w:t>
            </w:r>
          </w:p>
        </w:tc>
        <w:tc>
          <w:tcPr>
            <w:tcW w:w="1450" w:type="dxa"/>
            <w:shd w:val="clear" w:color="auto" w:fill="auto"/>
            <w:vAlign w:val="center"/>
          </w:tcPr>
          <w:p w14:paraId="296635D9" w14:textId="33474E45"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$309</w:t>
            </w:r>
          </w:p>
        </w:tc>
        <w:tc>
          <w:tcPr>
            <w:tcW w:w="1160" w:type="dxa"/>
            <w:shd w:val="clear" w:color="auto" w:fill="auto"/>
            <w:vAlign w:val="center"/>
          </w:tcPr>
          <w:p w14:paraId="512C8D17" w14:textId="519281A9"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260" w:type="dxa"/>
            <w:shd w:val="clear" w:color="auto" w:fill="auto"/>
            <w:vAlign w:val="center"/>
          </w:tcPr>
          <w:p w14:paraId="352D7B3B" w14:textId="7C851881"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w:t>
            </w:r>
            <w:r w:rsidR="002311E3">
              <w:rPr>
                <w:rFonts w:ascii="Cambria" w:hAnsi="Cambria" w:cs="Helvetica"/>
                <w:sz w:val="20"/>
                <w:szCs w:val="20"/>
              </w:rPr>
              <w:t>0</w:t>
            </w:r>
          </w:p>
        </w:tc>
      </w:tr>
      <w:tr w:rsidR="00224FE9" w:rsidRPr="00777B28" w14:paraId="73784656" w14:textId="77777777" w:rsidTr="000E54AA">
        <w:trPr>
          <w:trHeight w:val="144"/>
          <w:jc w:val="center"/>
        </w:trPr>
        <w:tc>
          <w:tcPr>
            <w:tcW w:w="3145" w:type="dxa"/>
            <w:shd w:val="clear" w:color="auto" w:fill="auto"/>
            <w:vAlign w:val="center"/>
            <w:hideMark/>
          </w:tcPr>
          <w:p w14:paraId="72AFD595"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31-33 Manufacturing </w:t>
            </w:r>
          </w:p>
        </w:tc>
        <w:tc>
          <w:tcPr>
            <w:tcW w:w="1350" w:type="dxa"/>
            <w:shd w:val="clear" w:color="auto" w:fill="auto"/>
            <w:vAlign w:val="center"/>
            <w:hideMark/>
          </w:tcPr>
          <w:p w14:paraId="5EA1B1BC" w14:textId="59A4BE38"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2,733</w:t>
            </w:r>
          </w:p>
        </w:tc>
        <w:tc>
          <w:tcPr>
            <w:tcW w:w="1350" w:type="dxa"/>
            <w:shd w:val="clear" w:color="auto" w:fill="auto"/>
            <w:vAlign w:val="center"/>
            <w:hideMark/>
          </w:tcPr>
          <w:p w14:paraId="7C2C55D4" w14:textId="31003E5F"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16.4%</w:t>
            </w:r>
          </w:p>
        </w:tc>
        <w:tc>
          <w:tcPr>
            <w:tcW w:w="1450" w:type="dxa"/>
            <w:shd w:val="clear" w:color="auto" w:fill="auto"/>
            <w:vAlign w:val="center"/>
          </w:tcPr>
          <w:p w14:paraId="4BE5B2BB" w14:textId="71658831"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-$181,090</w:t>
            </w:r>
          </w:p>
        </w:tc>
        <w:tc>
          <w:tcPr>
            <w:tcW w:w="1160" w:type="dxa"/>
            <w:shd w:val="clear" w:color="auto" w:fill="auto"/>
            <w:vAlign w:val="center"/>
          </w:tcPr>
          <w:p w14:paraId="46068E91" w14:textId="5F26BD27"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46.1%</w:t>
            </w:r>
          </w:p>
        </w:tc>
        <w:tc>
          <w:tcPr>
            <w:tcW w:w="1260" w:type="dxa"/>
            <w:shd w:val="clear" w:color="auto" w:fill="auto"/>
            <w:vAlign w:val="center"/>
          </w:tcPr>
          <w:p w14:paraId="04983A54" w14:textId="6C337D06"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-$66</w:t>
            </w:r>
          </w:p>
        </w:tc>
      </w:tr>
      <w:tr w:rsidR="00224FE9" w:rsidRPr="00777B28" w14:paraId="51C46E40" w14:textId="77777777" w:rsidTr="000E54AA">
        <w:trPr>
          <w:trHeight w:val="144"/>
          <w:jc w:val="center"/>
        </w:trPr>
        <w:tc>
          <w:tcPr>
            <w:tcW w:w="3145" w:type="dxa"/>
            <w:shd w:val="clear" w:color="auto" w:fill="auto"/>
            <w:vAlign w:val="center"/>
            <w:hideMark/>
          </w:tcPr>
          <w:p w14:paraId="682F399E"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42 Wholesale Trade </w:t>
            </w:r>
          </w:p>
        </w:tc>
        <w:tc>
          <w:tcPr>
            <w:tcW w:w="1350" w:type="dxa"/>
            <w:shd w:val="clear" w:color="auto" w:fill="auto"/>
            <w:vAlign w:val="center"/>
            <w:hideMark/>
          </w:tcPr>
          <w:p w14:paraId="76C25436" w14:textId="202250FF"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2,084</w:t>
            </w:r>
          </w:p>
        </w:tc>
        <w:tc>
          <w:tcPr>
            <w:tcW w:w="1350" w:type="dxa"/>
            <w:shd w:val="clear" w:color="auto" w:fill="auto"/>
            <w:vAlign w:val="center"/>
            <w:hideMark/>
          </w:tcPr>
          <w:p w14:paraId="18259873" w14:textId="35B545CE"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12.5%</w:t>
            </w:r>
          </w:p>
        </w:tc>
        <w:tc>
          <w:tcPr>
            <w:tcW w:w="1450" w:type="dxa"/>
            <w:shd w:val="clear" w:color="auto" w:fill="auto"/>
            <w:vAlign w:val="center"/>
          </w:tcPr>
          <w:p w14:paraId="75563EED" w14:textId="0643CEB3"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$6,621</w:t>
            </w:r>
          </w:p>
        </w:tc>
        <w:tc>
          <w:tcPr>
            <w:tcW w:w="1160" w:type="dxa"/>
            <w:shd w:val="clear" w:color="auto" w:fill="auto"/>
            <w:vAlign w:val="center"/>
          </w:tcPr>
          <w:p w14:paraId="08B9116C" w14:textId="725D5ADA"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-1.7%</w:t>
            </w:r>
          </w:p>
        </w:tc>
        <w:tc>
          <w:tcPr>
            <w:tcW w:w="1260" w:type="dxa"/>
            <w:shd w:val="clear" w:color="auto" w:fill="auto"/>
            <w:vAlign w:val="center"/>
          </w:tcPr>
          <w:p w14:paraId="3EDE1182" w14:textId="02735562"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224FE9" w:rsidRPr="00777B28" w14:paraId="3297630B" w14:textId="77777777" w:rsidTr="000E54AA">
        <w:trPr>
          <w:trHeight w:val="144"/>
          <w:jc w:val="center"/>
        </w:trPr>
        <w:tc>
          <w:tcPr>
            <w:tcW w:w="3145" w:type="dxa"/>
            <w:shd w:val="clear" w:color="auto" w:fill="auto"/>
            <w:vAlign w:val="center"/>
            <w:hideMark/>
          </w:tcPr>
          <w:p w14:paraId="77C674B9"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lastRenderedPageBreak/>
              <w:t xml:space="preserve"> 44-45 Retail Trade </w:t>
            </w:r>
          </w:p>
        </w:tc>
        <w:tc>
          <w:tcPr>
            <w:tcW w:w="1350" w:type="dxa"/>
            <w:shd w:val="clear" w:color="auto" w:fill="auto"/>
            <w:vAlign w:val="center"/>
            <w:hideMark/>
          </w:tcPr>
          <w:p w14:paraId="1378D77E" w14:textId="5F8A1AA1"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906</w:t>
            </w:r>
          </w:p>
        </w:tc>
        <w:tc>
          <w:tcPr>
            <w:tcW w:w="1350" w:type="dxa"/>
            <w:shd w:val="clear" w:color="auto" w:fill="auto"/>
            <w:vAlign w:val="center"/>
            <w:hideMark/>
          </w:tcPr>
          <w:p w14:paraId="1DEFC109" w14:textId="0408EDAA"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5.4%</w:t>
            </w:r>
          </w:p>
        </w:tc>
        <w:tc>
          <w:tcPr>
            <w:tcW w:w="1450" w:type="dxa"/>
            <w:shd w:val="clear" w:color="auto" w:fill="auto"/>
            <w:vAlign w:val="center"/>
          </w:tcPr>
          <w:p w14:paraId="11CD3BF5" w14:textId="65924FE6"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-$6,021</w:t>
            </w:r>
          </w:p>
        </w:tc>
        <w:tc>
          <w:tcPr>
            <w:tcW w:w="1160" w:type="dxa"/>
            <w:shd w:val="clear" w:color="auto" w:fill="auto"/>
            <w:vAlign w:val="center"/>
          </w:tcPr>
          <w:p w14:paraId="0981D6A3" w14:textId="39100CC9"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1.5%</w:t>
            </w:r>
          </w:p>
        </w:tc>
        <w:tc>
          <w:tcPr>
            <w:tcW w:w="1260" w:type="dxa"/>
            <w:shd w:val="clear" w:color="auto" w:fill="auto"/>
            <w:vAlign w:val="center"/>
          </w:tcPr>
          <w:p w14:paraId="5513DA45" w14:textId="37C759E1"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-$7</w:t>
            </w:r>
          </w:p>
        </w:tc>
      </w:tr>
      <w:tr w:rsidR="00224FE9" w:rsidRPr="00777B28" w14:paraId="534298E0" w14:textId="77777777" w:rsidTr="000E54AA">
        <w:trPr>
          <w:trHeight w:val="144"/>
          <w:jc w:val="center"/>
        </w:trPr>
        <w:tc>
          <w:tcPr>
            <w:tcW w:w="3145" w:type="dxa"/>
            <w:shd w:val="clear" w:color="auto" w:fill="auto"/>
            <w:vAlign w:val="center"/>
            <w:hideMark/>
          </w:tcPr>
          <w:p w14:paraId="74BF58B6"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48-49 Transportation and Warehousing </w:t>
            </w:r>
          </w:p>
        </w:tc>
        <w:tc>
          <w:tcPr>
            <w:tcW w:w="1350" w:type="dxa"/>
            <w:shd w:val="clear" w:color="auto" w:fill="auto"/>
            <w:vAlign w:val="center"/>
            <w:hideMark/>
          </w:tcPr>
          <w:p w14:paraId="6BBB3567" w14:textId="502C8414"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396</w:t>
            </w:r>
          </w:p>
        </w:tc>
        <w:tc>
          <w:tcPr>
            <w:tcW w:w="1350" w:type="dxa"/>
            <w:shd w:val="clear" w:color="auto" w:fill="auto"/>
            <w:vAlign w:val="center"/>
            <w:hideMark/>
          </w:tcPr>
          <w:p w14:paraId="07FC90DB" w14:textId="438E5048"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2.4%</w:t>
            </w:r>
          </w:p>
        </w:tc>
        <w:tc>
          <w:tcPr>
            <w:tcW w:w="1450" w:type="dxa"/>
            <w:shd w:val="clear" w:color="auto" w:fill="auto"/>
            <w:vAlign w:val="center"/>
          </w:tcPr>
          <w:p w14:paraId="7F4DCC57" w14:textId="45AAC17B"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$165</w:t>
            </w:r>
          </w:p>
        </w:tc>
        <w:tc>
          <w:tcPr>
            <w:tcW w:w="1160" w:type="dxa"/>
            <w:shd w:val="clear" w:color="auto" w:fill="auto"/>
            <w:vAlign w:val="center"/>
          </w:tcPr>
          <w:p w14:paraId="66A51AF1" w14:textId="42CD7808"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67077AC5" w14:textId="5F829768"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w:t>
            </w:r>
            <w:r w:rsidR="002311E3">
              <w:rPr>
                <w:rFonts w:ascii="Cambria" w:hAnsi="Cambria" w:cs="Helvetica"/>
                <w:sz w:val="20"/>
                <w:szCs w:val="20"/>
              </w:rPr>
              <w:t>0</w:t>
            </w:r>
          </w:p>
        </w:tc>
      </w:tr>
      <w:tr w:rsidR="00224FE9" w:rsidRPr="00777B28" w14:paraId="79763B2A" w14:textId="77777777" w:rsidTr="000E54AA">
        <w:trPr>
          <w:trHeight w:val="144"/>
          <w:jc w:val="center"/>
        </w:trPr>
        <w:tc>
          <w:tcPr>
            <w:tcW w:w="3145" w:type="dxa"/>
            <w:shd w:val="clear" w:color="auto" w:fill="auto"/>
            <w:vAlign w:val="center"/>
            <w:hideMark/>
          </w:tcPr>
          <w:p w14:paraId="3CEFB6FF"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51 Information </w:t>
            </w:r>
          </w:p>
        </w:tc>
        <w:tc>
          <w:tcPr>
            <w:tcW w:w="1350" w:type="dxa"/>
            <w:shd w:val="clear" w:color="auto" w:fill="auto"/>
            <w:vAlign w:val="center"/>
            <w:hideMark/>
          </w:tcPr>
          <w:p w14:paraId="534C2482" w14:textId="56D3DB31"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725</w:t>
            </w:r>
          </w:p>
        </w:tc>
        <w:tc>
          <w:tcPr>
            <w:tcW w:w="1350" w:type="dxa"/>
            <w:shd w:val="clear" w:color="auto" w:fill="auto"/>
            <w:vAlign w:val="center"/>
            <w:hideMark/>
          </w:tcPr>
          <w:p w14:paraId="2B218132" w14:textId="3F94494D"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4.3%</w:t>
            </w:r>
          </w:p>
        </w:tc>
        <w:tc>
          <w:tcPr>
            <w:tcW w:w="1450" w:type="dxa"/>
            <w:shd w:val="clear" w:color="auto" w:fill="auto"/>
            <w:vAlign w:val="center"/>
          </w:tcPr>
          <w:p w14:paraId="3F661934" w14:textId="36CCE73D"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-$29,105</w:t>
            </w:r>
          </w:p>
        </w:tc>
        <w:tc>
          <w:tcPr>
            <w:tcW w:w="1160" w:type="dxa"/>
            <w:shd w:val="clear" w:color="auto" w:fill="auto"/>
            <w:vAlign w:val="center"/>
          </w:tcPr>
          <w:p w14:paraId="4AE1C904" w14:textId="6DCFE7F3"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7.4%</w:t>
            </w:r>
          </w:p>
        </w:tc>
        <w:tc>
          <w:tcPr>
            <w:tcW w:w="1260" w:type="dxa"/>
            <w:shd w:val="clear" w:color="auto" w:fill="auto"/>
            <w:vAlign w:val="center"/>
          </w:tcPr>
          <w:p w14:paraId="52E97239" w14:textId="5C02387B"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-$40</w:t>
            </w:r>
          </w:p>
        </w:tc>
      </w:tr>
      <w:tr w:rsidR="00224FE9" w:rsidRPr="00777B28" w14:paraId="54BD958F" w14:textId="77777777" w:rsidTr="000E54AA">
        <w:trPr>
          <w:trHeight w:val="144"/>
          <w:jc w:val="center"/>
        </w:trPr>
        <w:tc>
          <w:tcPr>
            <w:tcW w:w="3145" w:type="dxa"/>
            <w:shd w:val="clear" w:color="auto" w:fill="auto"/>
            <w:vAlign w:val="center"/>
            <w:hideMark/>
          </w:tcPr>
          <w:p w14:paraId="47C8AACD"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52 Finance and Insurance</w:t>
            </w:r>
          </w:p>
        </w:tc>
        <w:tc>
          <w:tcPr>
            <w:tcW w:w="1350" w:type="dxa"/>
            <w:shd w:val="clear" w:color="auto" w:fill="auto"/>
            <w:vAlign w:val="center"/>
            <w:hideMark/>
          </w:tcPr>
          <w:p w14:paraId="784D4DB7" w14:textId="188CBE2B"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1,078</w:t>
            </w:r>
          </w:p>
        </w:tc>
        <w:tc>
          <w:tcPr>
            <w:tcW w:w="1350" w:type="dxa"/>
            <w:shd w:val="clear" w:color="auto" w:fill="auto"/>
            <w:vAlign w:val="center"/>
            <w:hideMark/>
          </w:tcPr>
          <w:p w14:paraId="48AB5E1D" w14:textId="461865C3"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6.5%</w:t>
            </w:r>
          </w:p>
        </w:tc>
        <w:tc>
          <w:tcPr>
            <w:tcW w:w="1450" w:type="dxa"/>
            <w:shd w:val="clear" w:color="auto" w:fill="auto"/>
            <w:vAlign w:val="center"/>
          </w:tcPr>
          <w:p w14:paraId="71466975" w14:textId="3104C088"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-$27,982</w:t>
            </w:r>
          </w:p>
        </w:tc>
        <w:tc>
          <w:tcPr>
            <w:tcW w:w="1160" w:type="dxa"/>
            <w:shd w:val="clear" w:color="auto" w:fill="auto"/>
            <w:vAlign w:val="center"/>
          </w:tcPr>
          <w:p w14:paraId="35488F10" w14:textId="1E5B0151"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7.1%</w:t>
            </w:r>
          </w:p>
        </w:tc>
        <w:tc>
          <w:tcPr>
            <w:tcW w:w="1260" w:type="dxa"/>
            <w:shd w:val="clear" w:color="auto" w:fill="auto"/>
            <w:vAlign w:val="center"/>
          </w:tcPr>
          <w:p w14:paraId="3BA51F78" w14:textId="244E4716"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-$26</w:t>
            </w:r>
          </w:p>
        </w:tc>
      </w:tr>
      <w:tr w:rsidR="00224FE9" w:rsidRPr="00777B28" w14:paraId="523A1105" w14:textId="77777777" w:rsidTr="000E54AA">
        <w:trPr>
          <w:trHeight w:val="144"/>
          <w:jc w:val="center"/>
        </w:trPr>
        <w:tc>
          <w:tcPr>
            <w:tcW w:w="3145" w:type="dxa"/>
            <w:shd w:val="clear" w:color="auto" w:fill="auto"/>
            <w:vAlign w:val="center"/>
            <w:hideMark/>
          </w:tcPr>
          <w:p w14:paraId="081F832B"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53 Real Estate and Rental and Leasing </w:t>
            </w:r>
          </w:p>
        </w:tc>
        <w:tc>
          <w:tcPr>
            <w:tcW w:w="1350" w:type="dxa"/>
            <w:shd w:val="clear" w:color="auto" w:fill="auto"/>
            <w:vAlign w:val="center"/>
            <w:hideMark/>
          </w:tcPr>
          <w:p w14:paraId="3BF7B188" w14:textId="6A684984"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644</w:t>
            </w:r>
          </w:p>
        </w:tc>
        <w:tc>
          <w:tcPr>
            <w:tcW w:w="1350" w:type="dxa"/>
            <w:shd w:val="clear" w:color="auto" w:fill="auto"/>
            <w:vAlign w:val="center"/>
            <w:hideMark/>
          </w:tcPr>
          <w:p w14:paraId="28628EFE" w14:textId="164FBC42"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3.9%</w:t>
            </w:r>
          </w:p>
        </w:tc>
        <w:tc>
          <w:tcPr>
            <w:tcW w:w="1450" w:type="dxa"/>
            <w:shd w:val="clear" w:color="auto" w:fill="auto"/>
            <w:vAlign w:val="center"/>
          </w:tcPr>
          <w:p w14:paraId="68145EEB" w14:textId="0BF5EB06"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-$2,816</w:t>
            </w:r>
          </w:p>
        </w:tc>
        <w:tc>
          <w:tcPr>
            <w:tcW w:w="1160" w:type="dxa"/>
            <w:shd w:val="clear" w:color="auto" w:fill="auto"/>
            <w:vAlign w:val="center"/>
          </w:tcPr>
          <w:p w14:paraId="708A437F" w14:textId="7445FDBF"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0.7%</w:t>
            </w:r>
          </w:p>
        </w:tc>
        <w:tc>
          <w:tcPr>
            <w:tcW w:w="1260" w:type="dxa"/>
            <w:shd w:val="clear" w:color="auto" w:fill="auto"/>
            <w:vAlign w:val="center"/>
          </w:tcPr>
          <w:p w14:paraId="034C4F15" w14:textId="3C248DE9"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w:t>
            </w:r>
          </w:p>
        </w:tc>
      </w:tr>
      <w:tr w:rsidR="00224FE9" w:rsidRPr="00777B28" w14:paraId="2C6BC84D" w14:textId="77777777" w:rsidTr="000E54AA">
        <w:trPr>
          <w:trHeight w:val="144"/>
          <w:jc w:val="center"/>
        </w:trPr>
        <w:tc>
          <w:tcPr>
            <w:tcW w:w="3145" w:type="dxa"/>
            <w:shd w:val="clear" w:color="auto" w:fill="auto"/>
            <w:vAlign w:val="center"/>
            <w:hideMark/>
          </w:tcPr>
          <w:p w14:paraId="18ABDA4A"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54 Professional, Scientific, and Technical Services </w:t>
            </w:r>
          </w:p>
        </w:tc>
        <w:tc>
          <w:tcPr>
            <w:tcW w:w="1350" w:type="dxa"/>
            <w:shd w:val="clear" w:color="auto" w:fill="auto"/>
            <w:vAlign w:val="center"/>
            <w:hideMark/>
          </w:tcPr>
          <w:p w14:paraId="13E20AD3" w14:textId="3DD93B3F"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3,085</w:t>
            </w:r>
          </w:p>
        </w:tc>
        <w:tc>
          <w:tcPr>
            <w:tcW w:w="1350" w:type="dxa"/>
            <w:shd w:val="clear" w:color="auto" w:fill="auto"/>
            <w:vAlign w:val="center"/>
            <w:hideMark/>
          </w:tcPr>
          <w:p w14:paraId="61C5EE22" w14:textId="78916468"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18.5%</w:t>
            </w:r>
          </w:p>
        </w:tc>
        <w:tc>
          <w:tcPr>
            <w:tcW w:w="1450" w:type="dxa"/>
            <w:shd w:val="clear" w:color="auto" w:fill="auto"/>
            <w:vAlign w:val="center"/>
          </w:tcPr>
          <w:p w14:paraId="014D7203" w14:textId="7CC5F0B9"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-$92,133</w:t>
            </w:r>
          </w:p>
        </w:tc>
        <w:tc>
          <w:tcPr>
            <w:tcW w:w="1160" w:type="dxa"/>
            <w:shd w:val="clear" w:color="auto" w:fill="auto"/>
            <w:vAlign w:val="center"/>
          </w:tcPr>
          <w:p w14:paraId="131B8089" w14:textId="50B0EEA7"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23.4%</w:t>
            </w:r>
          </w:p>
        </w:tc>
        <w:tc>
          <w:tcPr>
            <w:tcW w:w="1260" w:type="dxa"/>
            <w:shd w:val="clear" w:color="auto" w:fill="auto"/>
            <w:vAlign w:val="center"/>
          </w:tcPr>
          <w:p w14:paraId="211EB807" w14:textId="2EC069D7"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-$30</w:t>
            </w:r>
          </w:p>
        </w:tc>
      </w:tr>
      <w:tr w:rsidR="00224FE9" w:rsidRPr="00777B28" w14:paraId="490D6581" w14:textId="77777777" w:rsidTr="000E54AA">
        <w:trPr>
          <w:trHeight w:val="144"/>
          <w:jc w:val="center"/>
        </w:trPr>
        <w:tc>
          <w:tcPr>
            <w:tcW w:w="3145" w:type="dxa"/>
            <w:shd w:val="clear" w:color="auto" w:fill="auto"/>
            <w:vAlign w:val="center"/>
            <w:hideMark/>
          </w:tcPr>
          <w:p w14:paraId="3DEFF7BB"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55 Management of Companies and Enterprises </w:t>
            </w:r>
          </w:p>
        </w:tc>
        <w:tc>
          <w:tcPr>
            <w:tcW w:w="1350" w:type="dxa"/>
            <w:shd w:val="clear" w:color="auto" w:fill="auto"/>
            <w:vAlign w:val="center"/>
            <w:hideMark/>
          </w:tcPr>
          <w:p w14:paraId="39FF9EE5" w14:textId="51C2C81C"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624</w:t>
            </w:r>
          </w:p>
        </w:tc>
        <w:tc>
          <w:tcPr>
            <w:tcW w:w="1350" w:type="dxa"/>
            <w:shd w:val="clear" w:color="auto" w:fill="auto"/>
            <w:vAlign w:val="center"/>
            <w:hideMark/>
          </w:tcPr>
          <w:p w14:paraId="1E7F887E" w14:textId="42AB2ABC"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3.7%</w:t>
            </w:r>
          </w:p>
        </w:tc>
        <w:tc>
          <w:tcPr>
            <w:tcW w:w="1450" w:type="dxa"/>
            <w:shd w:val="clear" w:color="auto" w:fill="auto"/>
            <w:vAlign w:val="center"/>
          </w:tcPr>
          <w:p w14:paraId="1DA40053" w14:textId="3B935074"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-$23,282</w:t>
            </w:r>
          </w:p>
        </w:tc>
        <w:tc>
          <w:tcPr>
            <w:tcW w:w="1160" w:type="dxa"/>
            <w:shd w:val="clear" w:color="auto" w:fill="auto"/>
            <w:vAlign w:val="center"/>
          </w:tcPr>
          <w:p w14:paraId="37AD2C9F" w14:textId="1D824A09"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5.9%</w:t>
            </w:r>
          </w:p>
        </w:tc>
        <w:tc>
          <w:tcPr>
            <w:tcW w:w="1260" w:type="dxa"/>
            <w:shd w:val="clear" w:color="auto" w:fill="auto"/>
            <w:vAlign w:val="center"/>
          </w:tcPr>
          <w:p w14:paraId="099599A5" w14:textId="2A5EF138"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-$37</w:t>
            </w:r>
          </w:p>
        </w:tc>
      </w:tr>
      <w:tr w:rsidR="00224FE9" w:rsidRPr="00777B28" w14:paraId="502F99BE" w14:textId="77777777" w:rsidTr="000E54AA">
        <w:trPr>
          <w:trHeight w:val="144"/>
          <w:jc w:val="center"/>
        </w:trPr>
        <w:tc>
          <w:tcPr>
            <w:tcW w:w="3145" w:type="dxa"/>
            <w:shd w:val="clear" w:color="auto" w:fill="auto"/>
            <w:vAlign w:val="center"/>
            <w:hideMark/>
          </w:tcPr>
          <w:p w14:paraId="21FBD763"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56 Administrative and Support and Waste Management </w:t>
            </w:r>
          </w:p>
        </w:tc>
        <w:tc>
          <w:tcPr>
            <w:tcW w:w="1350" w:type="dxa"/>
            <w:shd w:val="clear" w:color="auto" w:fill="auto"/>
            <w:vAlign w:val="center"/>
            <w:hideMark/>
          </w:tcPr>
          <w:p w14:paraId="5582BC6B" w14:textId="3883CD6A"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641</w:t>
            </w:r>
          </w:p>
        </w:tc>
        <w:tc>
          <w:tcPr>
            <w:tcW w:w="1350" w:type="dxa"/>
            <w:shd w:val="clear" w:color="auto" w:fill="auto"/>
            <w:vAlign w:val="center"/>
            <w:hideMark/>
          </w:tcPr>
          <w:p w14:paraId="13832B57" w14:textId="4335AA3B"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3.8%</w:t>
            </w:r>
          </w:p>
        </w:tc>
        <w:tc>
          <w:tcPr>
            <w:tcW w:w="1450" w:type="dxa"/>
            <w:shd w:val="clear" w:color="auto" w:fill="auto"/>
            <w:vAlign w:val="center"/>
          </w:tcPr>
          <w:p w14:paraId="2A22739C" w14:textId="7CD07405"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-$1,207</w:t>
            </w:r>
          </w:p>
        </w:tc>
        <w:tc>
          <w:tcPr>
            <w:tcW w:w="1160" w:type="dxa"/>
            <w:shd w:val="clear" w:color="auto" w:fill="auto"/>
            <w:vAlign w:val="center"/>
          </w:tcPr>
          <w:p w14:paraId="06B9FAB2" w14:textId="63FFD4CE"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0.3%</w:t>
            </w:r>
          </w:p>
        </w:tc>
        <w:tc>
          <w:tcPr>
            <w:tcW w:w="1260" w:type="dxa"/>
            <w:shd w:val="clear" w:color="auto" w:fill="auto"/>
            <w:vAlign w:val="center"/>
          </w:tcPr>
          <w:p w14:paraId="27D33C08" w14:textId="6893DFBD"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w:t>
            </w:r>
          </w:p>
        </w:tc>
      </w:tr>
      <w:tr w:rsidR="00224FE9" w:rsidRPr="00777B28" w14:paraId="16B0BD28" w14:textId="77777777" w:rsidTr="000E54AA">
        <w:trPr>
          <w:trHeight w:val="144"/>
          <w:jc w:val="center"/>
        </w:trPr>
        <w:tc>
          <w:tcPr>
            <w:tcW w:w="3145" w:type="dxa"/>
            <w:shd w:val="clear" w:color="auto" w:fill="auto"/>
            <w:vAlign w:val="center"/>
            <w:hideMark/>
          </w:tcPr>
          <w:p w14:paraId="4D29FC3E"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61 Educational Services </w:t>
            </w:r>
          </w:p>
        </w:tc>
        <w:tc>
          <w:tcPr>
            <w:tcW w:w="1350" w:type="dxa"/>
            <w:shd w:val="clear" w:color="auto" w:fill="auto"/>
            <w:vAlign w:val="center"/>
            <w:hideMark/>
          </w:tcPr>
          <w:p w14:paraId="5EBEB7C7" w14:textId="336C1CEC"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97</w:t>
            </w:r>
          </w:p>
        </w:tc>
        <w:tc>
          <w:tcPr>
            <w:tcW w:w="1350" w:type="dxa"/>
            <w:shd w:val="clear" w:color="auto" w:fill="auto"/>
            <w:vAlign w:val="center"/>
            <w:hideMark/>
          </w:tcPr>
          <w:p w14:paraId="559D44A7" w14:textId="42EBFE89"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0.6%</w:t>
            </w:r>
          </w:p>
        </w:tc>
        <w:tc>
          <w:tcPr>
            <w:tcW w:w="1450" w:type="dxa"/>
            <w:shd w:val="clear" w:color="auto" w:fill="auto"/>
            <w:vAlign w:val="center"/>
          </w:tcPr>
          <w:p w14:paraId="0D5FA213" w14:textId="7290B1DF"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-$117</w:t>
            </w:r>
          </w:p>
        </w:tc>
        <w:tc>
          <w:tcPr>
            <w:tcW w:w="1160" w:type="dxa"/>
            <w:shd w:val="clear" w:color="auto" w:fill="auto"/>
            <w:vAlign w:val="center"/>
          </w:tcPr>
          <w:p w14:paraId="28D9597E" w14:textId="3404ABA1"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354AFF28" w14:textId="3238FD75"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w:t>
            </w:r>
          </w:p>
        </w:tc>
      </w:tr>
      <w:tr w:rsidR="00224FE9" w:rsidRPr="00777B28" w14:paraId="705D190C" w14:textId="77777777" w:rsidTr="000E54AA">
        <w:trPr>
          <w:trHeight w:val="144"/>
          <w:jc w:val="center"/>
        </w:trPr>
        <w:tc>
          <w:tcPr>
            <w:tcW w:w="3145" w:type="dxa"/>
            <w:shd w:val="clear" w:color="auto" w:fill="auto"/>
            <w:vAlign w:val="center"/>
            <w:hideMark/>
          </w:tcPr>
          <w:p w14:paraId="15555398"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62 Health Care and Social Assistance </w:t>
            </w:r>
          </w:p>
        </w:tc>
        <w:tc>
          <w:tcPr>
            <w:tcW w:w="1350" w:type="dxa"/>
            <w:shd w:val="clear" w:color="auto" w:fill="auto"/>
            <w:vAlign w:val="center"/>
            <w:hideMark/>
          </w:tcPr>
          <w:p w14:paraId="05749A35" w14:textId="559E532A"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242</w:t>
            </w:r>
          </w:p>
        </w:tc>
        <w:tc>
          <w:tcPr>
            <w:tcW w:w="1350" w:type="dxa"/>
            <w:shd w:val="clear" w:color="auto" w:fill="auto"/>
            <w:vAlign w:val="center"/>
            <w:hideMark/>
          </w:tcPr>
          <w:p w14:paraId="654C8844" w14:textId="37B69480"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1.5%</w:t>
            </w:r>
          </w:p>
        </w:tc>
        <w:tc>
          <w:tcPr>
            <w:tcW w:w="1450" w:type="dxa"/>
            <w:shd w:val="clear" w:color="auto" w:fill="auto"/>
            <w:vAlign w:val="center"/>
          </w:tcPr>
          <w:p w14:paraId="44148E91" w14:textId="726BCECF"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$72</w:t>
            </w:r>
          </w:p>
        </w:tc>
        <w:tc>
          <w:tcPr>
            <w:tcW w:w="1160" w:type="dxa"/>
            <w:shd w:val="clear" w:color="auto" w:fill="auto"/>
            <w:vAlign w:val="center"/>
          </w:tcPr>
          <w:p w14:paraId="63AE1FCC" w14:textId="2CE9D303"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2A06CE1F" w14:textId="2150DEA7"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w:t>
            </w:r>
            <w:r w:rsidR="002311E3">
              <w:rPr>
                <w:rFonts w:ascii="Cambria" w:hAnsi="Cambria" w:cs="Helvetica"/>
                <w:sz w:val="20"/>
                <w:szCs w:val="20"/>
              </w:rPr>
              <w:t>0</w:t>
            </w:r>
          </w:p>
        </w:tc>
      </w:tr>
      <w:tr w:rsidR="00224FE9" w:rsidRPr="00777B28" w14:paraId="403D97CA" w14:textId="77777777" w:rsidTr="000E54AA">
        <w:trPr>
          <w:trHeight w:val="144"/>
          <w:jc w:val="center"/>
        </w:trPr>
        <w:tc>
          <w:tcPr>
            <w:tcW w:w="3145" w:type="dxa"/>
            <w:shd w:val="clear" w:color="auto" w:fill="auto"/>
            <w:vAlign w:val="center"/>
            <w:hideMark/>
          </w:tcPr>
          <w:p w14:paraId="3E96CE3B"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71 Arts, Entertainment, and Recreation </w:t>
            </w:r>
          </w:p>
        </w:tc>
        <w:tc>
          <w:tcPr>
            <w:tcW w:w="1350" w:type="dxa"/>
            <w:shd w:val="clear" w:color="auto" w:fill="auto"/>
            <w:vAlign w:val="center"/>
            <w:hideMark/>
          </w:tcPr>
          <w:p w14:paraId="3A72846D" w14:textId="35E94C66"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148</w:t>
            </w:r>
          </w:p>
        </w:tc>
        <w:tc>
          <w:tcPr>
            <w:tcW w:w="1350" w:type="dxa"/>
            <w:shd w:val="clear" w:color="auto" w:fill="auto"/>
            <w:vAlign w:val="center"/>
            <w:hideMark/>
          </w:tcPr>
          <w:p w14:paraId="564F1F04" w14:textId="10EF4FCC"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0.9%</w:t>
            </w:r>
          </w:p>
        </w:tc>
        <w:tc>
          <w:tcPr>
            <w:tcW w:w="1450" w:type="dxa"/>
            <w:shd w:val="clear" w:color="auto" w:fill="auto"/>
            <w:vAlign w:val="center"/>
          </w:tcPr>
          <w:p w14:paraId="3465B8FE" w14:textId="47D4F5AA"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$162</w:t>
            </w:r>
          </w:p>
        </w:tc>
        <w:tc>
          <w:tcPr>
            <w:tcW w:w="1160" w:type="dxa"/>
            <w:shd w:val="clear" w:color="auto" w:fill="auto"/>
            <w:vAlign w:val="center"/>
          </w:tcPr>
          <w:p w14:paraId="3D76A843" w14:textId="4FE14935"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0C21F0D4" w14:textId="10C256EA"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w:t>
            </w:r>
          </w:p>
        </w:tc>
      </w:tr>
      <w:tr w:rsidR="00224FE9" w:rsidRPr="00777B28" w14:paraId="0D3340CE" w14:textId="77777777" w:rsidTr="000E54AA">
        <w:trPr>
          <w:trHeight w:val="144"/>
          <w:jc w:val="center"/>
        </w:trPr>
        <w:tc>
          <w:tcPr>
            <w:tcW w:w="3145" w:type="dxa"/>
            <w:shd w:val="clear" w:color="auto" w:fill="auto"/>
            <w:vAlign w:val="center"/>
            <w:hideMark/>
          </w:tcPr>
          <w:p w14:paraId="15F50251"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72 Accommodation and Food Services </w:t>
            </w:r>
          </w:p>
        </w:tc>
        <w:tc>
          <w:tcPr>
            <w:tcW w:w="1350" w:type="dxa"/>
            <w:shd w:val="clear" w:color="auto" w:fill="auto"/>
            <w:vAlign w:val="center"/>
            <w:hideMark/>
          </w:tcPr>
          <w:p w14:paraId="7366A069" w14:textId="5224AC3C"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228</w:t>
            </w:r>
          </w:p>
        </w:tc>
        <w:tc>
          <w:tcPr>
            <w:tcW w:w="1350" w:type="dxa"/>
            <w:shd w:val="clear" w:color="auto" w:fill="auto"/>
            <w:vAlign w:val="center"/>
            <w:hideMark/>
          </w:tcPr>
          <w:p w14:paraId="4324C4D2" w14:textId="6076CBC4"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1.4%</w:t>
            </w:r>
          </w:p>
        </w:tc>
        <w:tc>
          <w:tcPr>
            <w:tcW w:w="1450" w:type="dxa"/>
            <w:shd w:val="clear" w:color="auto" w:fill="auto"/>
            <w:vAlign w:val="center"/>
          </w:tcPr>
          <w:p w14:paraId="749F7CAF" w14:textId="48740E85"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$102</w:t>
            </w:r>
          </w:p>
        </w:tc>
        <w:tc>
          <w:tcPr>
            <w:tcW w:w="1160" w:type="dxa"/>
            <w:shd w:val="clear" w:color="auto" w:fill="auto"/>
            <w:vAlign w:val="center"/>
          </w:tcPr>
          <w:p w14:paraId="257F41F5" w14:textId="275DE8DF"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1E121B90" w14:textId="58BB83B5"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w:t>
            </w:r>
            <w:r w:rsidR="002311E3">
              <w:rPr>
                <w:rFonts w:ascii="Cambria" w:hAnsi="Cambria" w:cs="Helvetica"/>
                <w:sz w:val="20"/>
                <w:szCs w:val="20"/>
              </w:rPr>
              <w:t>0</w:t>
            </w:r>
          </w:p>
        </w:tc>
      </w:tr>
      <w:tr w:rsidR="00224FE9" w:rsidRPr="00777B28" w14:paraId="1486D7E4" w14:textId="77777777" w:rsidTr="000E54AA">
        <w:trPr>
          <w:trHeight w:val="144"/>
          <w:jc w:val="center"/>
        </w:trPr>
        <w:tc>
          <w:tcPr>
            <w:tcW w:w="3145" w:type="dxa"/>
            <w:shd w:val="clear" w:color="auto" w:fill="auto"/>
            <w:vAlign w:val="center"/>
            <w:hideMark/>
          </w:tcPr>
          <w:p w14:paraId="0249DCA8"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81 Other Services (except Public Administration) </w:t>
            </w:r>
          </w:p>
        </w:tc>
        <w:tc>
          <w:tcPr>
            <w:tcW w:w="1350" w:type="dxa"/>
            <w:shd w:val="clear" w:color="auto" w:fill="auto"/>
            <w:vAlign w:val="center"/>
            <w:hideMark/>
          </w:tcPr>
          <w:p w14:paraId="66A2C6E3" w14:textId="63F06910"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219</w:t>
            </w:r>
          </w:p>
        </w:tc>
        <w:tc>
          <w:tcPr>
            <w:tcW w:w="1350" w:type="dxa"/>
            <w:shd w:val="clear" w:color="auto" w:fill="auto"/>
            <w:vAlign w:val="center"/>
            <w:hideMark/>
          </w:tcPr>
          <w:p w14:paraId="0DB4D29B" w14:textId="432A9F61"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1.3%</w:t>
            </w:r>
          </w:p>
        </w:tc>
        <w:tc>
          <w:tcPr>
            <w:tcW w:w="1450" w:type="dxa"/>
            <w:shd w:val="clear" w:color="auto" w:fill="auto"/>
            <w:vAlign w:val="center"/>
          </w:tcPr>
          <w:p w14:paraId="6D002A25" w14:textId="5531131F"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-$12</w:t>
            </w:r>
          </w:p>
        </w:tc>
        <w:tc>
          <w:tcPr>
            <w:tcW w:w="1160" w:type="dxa"/>
            <w:shd w:val="clear" w:color="auto" w:fill="auto"/>
            <w:vAlign w:val="center"/>
          </w:tcPr>
          <w:p w14:paraId="3A5DC33B" w14:textId="56B75FA8"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3A177697" w14:textId="53DD903D"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w:t>
            </w:r>
            <w:r w:rsidR="002311E3">
              <w:rPr>
                <w:rFonts w:ascii="Cambria" w:hAnsi="Cambria" w:cs="Helvetica"/>
                <w:sz w:val="20"/>
                <w:szCs w:val="20"/>
              </w:rPr>
              <w:t>0</w:t>
            </w:r>
          </w:p>
        </w:tc>
      </w:tr>
      <w:tr w:rsidR="00224FE9" w:rsidRPr="00777B28" w14:paraId="0BFE19E8" w14:textId="77777777" w:rsidTr="000E54AA">
        <w:trPr>
          <w:trHeight w:val="144"/>
          <w:jc w:val="center"/>
        </w:trPr>
        <w:tc>
          <w:tcPr>
            <w:tcW w:w="3145" w:type="dxa"/>
            <w:shd w:val="clear" w:color="auto" w:fill="auto"/>
            <w:vAlign w:val="center"/>
            <w:hideMark/>
          </w:tcPr>
          <w:p w14:paraId="141512A2" w14:textId="75F356B0"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Others or unmatched</w:t>
            </w:r>
            <w:r w:rsidR="007F1EE5" w:rsidRPr="00107265">
              <w:rPr>
                <w:rStyle w:val="FootnoteReference"/>
                <w:rFonts w:eastAsiaTheme="majorEastAsia"/>
                <w:color w:val="000000" w:themeColor="text1"/>
              </w:rPr>
              <w:t>(</w:t>
            </w:r>
            <w:r w:rsidR="007F1EE5">
              <w:rPr>
                <w:rStyle w:val="FootnoteReference"/>
                <w:rFonts w:eastAsiaTheme="majorEastAsia"/>
                <w:color w:val="000000" w:themeColor="text1"/>
              </w:rPr>
              <w:t>2</w:t>
            </w:r>
            <w:r w:rsidR="007F1EE5" w:rsidRPr="00107265">
              <w:rPr>
                <w:rStyle w:val="FootnoteReference"/>
                <w:rFonts w:eastAsiaTheme="majorEastAsia"/>
                <w:color w:val="000000" w:themeColor="text1"/>
              </w:rPr>
              <w:t>)</w:t>
            </w:r>
            <w:r w:rsidR="007F1EE5" w:rsidRPr="00EE5936">
              <w:rPr>
                <w:rFonts w:asciiTheme="majorHAnsi" w:eastAsia="Times New Roman" w:hAnsiTheme="majorHAnsi" w:cs="Helvetica"/>
                <w:color w:val="000000"/>
                <w:sz w:val="20"/>
                <w:szCs w:val="20"/>
                <w:lang w:eastAsia="ko-KR"/>
              </w:rPr>
              <w:t xml:space="preserve"> </w:t>
            </w:r>
          </w:p>
        </w:tc>
        <w:tc>
          <w:tcPr>
            <w:tcW w:w="1350" w:type="dxa"/>
            <w:shd w:val="clear" w:color="auto" w:fill="auto"/>
            <w:vAlign w:val="center"/>
            <w:hideMark/>
          </w:tcPr>
          <w:p w14:paraId="07788B4D" w14:textId="18FB80E7"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1,611</w:t>
            </w:r>
          </w:p>
        </w:tc>
        <w:tc>
          <w:tcPr>
            <w:tcW w:w="1350" w:type="dxa"/>
            <w:shd w:val="clear" w:color="auto" w:fill="auto"/>
            <w:vAlign w:val="center"/>
            <w:hideMark/>
          </w:tcPr>
          <w:p w14:paraId="3684B029" w14:textId="3C5AC657"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9.7%</w:t>
            </w:r>
          </w:p>
        </w:tc>
        <w:tc>
          <w:tcPr>
            <w:tcW w:w="1450" w:type="dxa"/>
            <w:shd w:val="clear" w:color="auto" w:fill="auto"/>
            <w:vAlign w:val="center"/>
          </w:tcPr>
          <w:p w14:paraId="1B66EEA9" w14:textId="0177D8DE"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-$36,149</w:t>
            </w:r>
          </w:p>
        </w:tc>
        <w:tc>
          <w:tcPr>
            <w:tcW w:w="1160" w:type="dxa"/>
            <w:shd w:val="clear" w:color="auto" w:fill="auto"/>
            <w:vAlign w:val="center"/>
          </w:tcPr>
          <w:p w14:paraId="56DE9419" w14:textId="6DC76748"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9.2%</w:t>
            </w:r>
          </w:p>
        </w:tc>
        <w:tc>
          <w:tcPr>
            <w:tcW w:w="1260" w:type="dxa"/>
            <w:shd w:val="clear" w:color="auto" w:fill="auto"/>
            <w:vAlign w:val="center"/>
          </w:tcPr>
          <w:p w14:paraId="33E46098" w14:textId="15D21C90"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-$22</w:t>
            </w:r>
          </w:p>
        </w:tc>
      </w:tr>
      <w:tr w:rsidR="00224FE9" w:rsidRPr="00777B28" w14:paraId="0D6F271D" w14:textId="77777777" w:rsidTr="000E54AA">
        <w:trPr>
          <w:trHeight w:val="144"/>
          <w:jc w:val="center"/>
        </w:trPr>
        <w:tc>
          <w:tcPr>
            <w:tcW w:w="3145" w:type="dxa"/>
            <w:shd w:val="clear" w:color="auto" w:fill="auto"/>
            <w:vAlign w:val="center"/>
            <w:hideMark/>
          </w:tcPr>
          <w:p w14:paraId="2E34A2DD" w14:textId="77777777" w:rsidR="00224FE9" w:rsidRPr="00EE5936" w:rsidRDefault="00224FE9" w:rsidP="00224FE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Total </w:t>
            </w:r>
          </w:p>
        </w:tc>
        <w:tc>
          <w:tcPr>
            <w:tcW w:w="1350" w:type="dxa"/>
            <w:shd w:val="clear" w:color="auto" w:fill="auto"/>
            <w:vAlign w:val="center"/>
            <w:hideMark/>
          </w:tcPr>
          <w:p w14:paraId="3458BA00" w14:textId="038CDB97" w:rsidR="00224FE9" w:rsidRPr="00A02FE0" w:rsidRDefault="00224FE9" w:rsidP="000E54AA">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16,689</w:t>
            </w:r>
          </w:p>
        </w:tc>
        <w:tc>
          <w:tcPr>
            <w:tcW w:w="1350" w:type="dxa"/>
            <w:shd w:val="clear" w:color="auto" w:fill="auto"/>
            <w:vAlign w:val="center"/>
            <w:hideMark/>
          </w:tcPr>
          <w:p w14:paraId="4AE450F0" w14:textId="31992062"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100.0%</w:t>
            </w:r>
          </w:p>
        </w:tc>
        <w:tc>
          <w:tcPr>
            <w:tcW w:w="1450" w:type="dxa"/>
            <w:shd w:val="clear" w:color="auto" w:fill="auto"/>
            <w:vAlign w:val="center"/>
          </w:tcPr>
          <w:p w14:paraId="3401F735" w14:textId="5A7C2671"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-$392,894</w:t>
            </w:r>
          </w:p>
        </w:tc>
        <w:tc>
          <w:tcPr>
            <w:tcW w:w="1160" w:type="dxa"/>
            <w:shd w:val="clear" w:color="auto" w:fill="auto"/>
            <w:vAlign w:val="center"/>
          </w:tcPr>
          <w:p w14:paraId="4A7574EF" w14:textId="67DBAAE5" w:rsidR="00224FE9" w:rsidRPr="00A02FE0" w:rsidRDefault="00224FE9" w:rsidP="00224FE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100.0%</w:t>
            </w:r>
          </w:p>
        </w:tc>
        <w:tc>
          <w:tcPr>
            <w:tcW w:w="1260" w:type="dxa"/>
            <w:shd w:val="clear" w:color="auto" w:fill="auto"/>
            <w:vAlign w:val="center"/>
          </w:tcPr>
          <w:p w14:paraId="1713D602" w14:textId="7137F7F8" w:rsidR="00224FE9" w:rsidRPr="00A02FE0" w:rsidRDefault="00224FE9" w:rsidP="00224FE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-$24</w:t>
            </w:r>
          </w:p>
        </w:tc>
      </w:tr>
    </w:tbl>
    <w:p w14:paraId="7C3C362F" w14:textId="2D4C6EF9" w:rsidR="00777B28" w:rsidRPr="00212BA2" w:rsidRDefault="00777B28" w:rsidP="00777B28">
      <w:pPr>
        <w:tabs>
          <w:tab w:val="left" w:pos="7050"/>
        </w:tabs>
        <w:spacing w:after="0"/>
        <w:rPr>
          <w:rFonts w:asciiTheme="majorHAnsi" w:eastAsiaTheme="majorEastAsia" w:hAnsiTheme="majorHAnsi" w:cstheme="majorBidi"/>
          <w:bCs/>
          <w:color w:val="000000" w:themeColor="text1"/>
          <w:sz w:val="18"/>
          <w:szCs w:val="18"/>
        </w:rPr>
      </w:pPr>
      <w:r w:rsidRPr="00212BA2">
        <w:rPr>
          <w:rFonts w:asciiTheme="majorHAnsi" w:eastAsiaTheme="majorEastAsia" w:hAnsiTheme="majorHAnsi" w:cstheme="majorBidi"/>
          <w:bCs/>
          <w:color w:val="000000" w:themeColor="text1"/>
          <w:sz w:val="18"/>
          <w:szCs w:val="18"/>
        </w:rPr>
        <w:t>Source: Department of Revenue (201</w:t>
      </w:r>
      <w:r w:rsidR="00B96D5E" w:rsidRPr="00212BA2">
        <w:rPr>
          <w:rFonts w:asciiTheme="majorHAnsi" w:eastAsiaTheme="majorEastAsia" w:hAnsiTheme="majorHAnsi" w:cstheme="majorBidi"/>
          <w:bCs/>
          <w:color w:val="000000" w:themeColor="text1"/>
          <w:sz w:val="18"/>
          <w:szCs w:val="18"/>
        </w:rPr>
        <w:t>7</w:t>
      </w:r>
      <w:r w:rsidRPr="00212BA2">
        <w:rPr>
          <w:rFonts w:asciiTheme="majorHAnsi" w:eastAsiaTheme="majorEastAsia" w:hAnsiTheme="majorHAnsi" w:cstheme="majorBidi"/>
          <w:bCs/>
          <w:color w:val="000000" w:themeColor="text1"/>
          <w:sz w:val="18"/>
          <w:szCs w:val="18"/>
        </w:rPr>
        <w:t xml:space="preserve"> corporate excise return)</w:t>
      </w:r>
    </w:p>
    <w:p w14:paraId="2CF7A130" w14:textId="0B30CAB3" w:rsidR="00777B28" w:rsidRPr="00212BA2" w:rsidRDefault="00777B28" w:rsidP="00777B28">
      <w:pPr>
        <w:tabs>
          <w:tab w:val="left" w:pos="7050"/>
        </w:tabs>
        <w:spacing w:after="0"/>
        <w:rPr>
          <w:rFonts w:asciiTheme="majorHAnsi" w:eastAsiaTheme="majorEastAsia" w:hAnsiTheme="majorHAnsi" w:cstheme="majorBidi"/>
          <w:bCs/>
          <w:color w:val="000000" w:themeColor="text1"/>
          <w:sz w:val="18"/>
          <w:szCs w:val="18"/>
        </w:rPr>
      </w:pPr>
      <w:r w:rsidRPr="00212BA2">
        <w:rPr>
          <w:rFonts w:asciiTheme="majorHAnsi" w:eastAsiaTheme="majorEastAsia" w:hAnsiTheme="majorHAnsi" w:cstheme="majorBidi"/>
          <w:bCs/>
          <w:color w:val="000000" w:themeColor="text1"/>
          <w:sz w:val="18"/>
          <w:szCs w:val="18"/>
        </w:rPr>
        <w:t xml:space="preserve">Notes: 1. </w:t>
      </w:r>
      <w:r w:rsidR="007F1EE5" w:rsidRPr="00212BA2">
        <w:rPr>
          <w:rFonts w:asciiTheme="majorHAnsi" w:hAnsiTheme="majorHAnsi"/>
          <w:bCs/>
          <w:sz w:val="18"/>
          <w:szCs w:val="18"/>
        </w:rPr>
        <w:t>The data are preliminary and subject to change.</w:t>
      </w:r>
    </w:p>
    <w:p w14:paraId="4F0A679F" w14:textId="69DCF431" w:rsidR="007253CF" w:rsidRPr="00212BA2" w:rsidRDefault="00777B28" w:rsidP="00777B28">
      <w:pPr>
        <w:tabs>
          <w:tab w:val="left" w:pos="7050"/>
        </w:tabs>
        <w:spacing w:after="0"/>
        <w:rPr>
          <w:rFonts w:asciiTheme="majorHAnsi" w:hAnsiTheme="majorHAnsi"/>
          <w:bCs/>
          <w:sz w:val="18"/>
          <w:szCs w:val="18"/>
        </w:rPr>
      </w:pPr>
      <w:r w:rsidRPr="00212BA2">
        <w:rPr>
          <w:rFonts w:asciiTheme="majorHAnsi" w:eastAsiaTheme="majorEastAsia" w:hAnsiTheme="majorHAnsi" w:cstheme="majorBidi"/>
          <w:bCs/>
          <w:color w:val="000000" w:themeColor="text1"/>
          <w:sz w:val="18"/>
          <w:szCs w:val="18"/>
        </w:rPr>
        <w:t xml:space="preserve">              </w:t>
      </w:r>
      <w:r w:rsidRPr="00212BA2">
        <w:rPr>
          <w:rFonts w:asciiTheme="majorHAnsi" w:hAnsiTheme="majorHAnsi"/>
          <w:bCs/>
          <w:sz w:val="18"/>
          <w:szCs w:val="18"/>
        </w:rPr>
        <w:t xml:space="preserve">2. </w:t>
      </w:r>
      <w:r w:rsidR="007F1EE5" w:rsidRPr="00212BA2">
        <w:rPr>
          <w:rFonts w:asciiTheme="majorHAnsi" w:eastAsiaTheme="majorEastAsia" w:hAnsiTheme="majorHAnsi" w:cstheme="majorBidi"/>
          <w:bCs/>
          <w:color w:val="000000" w:themeColor="text1"/>
          <w:sz w:val="18"/>
          <w:szCs w:val="18"/>
        </w:rPr>
        <w:t>Unmatched means that we could not find some taxpayers in one or more of data sets to match.</w:t>
      </w:r>
    </w:p>
    <w:p w14:paraId="58C221F7" w14:textId="2DF66DC1" w:rsidR="00C17D2C" w:rsidRPr="00847706" w:rsidRDefault="00212BA2" w:rsidP="00847706">
      <w:pPr>
        <w:tabs>
          <w:tab w:val="left" w:pos="705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 xml:space="preserve">              </w:t>
      </w:r>
      <w:r w:rsidR="00C17D2C" w:rsidRPr="00847706">
        <w:rPr>
          <w:rFonts w:asciiTheme="majorHAnsi" w:hAnsiTheme="majorHAnsi"/>
          <w:bCs/>
          <w:sz w:val="18"/>
          <w:szCs w:val="18"/>
        </w:rPr>
        <w:t>3.</w:t>
      </w:r>
      <w:r w:rsidR="007F1EE5">
        <w:rPr>
          <w:rFonts w:asciiTheme="majorHAnsi" w:hAnsiTheme="majorHAnsi"/>
          <w:bCs/>
          <w:sz w:val="18"/>
          <w:szCs w:val="18"/>
        </w:rPr>
        <w:t xml:space="preserve"> </w:t>
      </w:r>
      <w:r w:rsidR="00C310E0" w:rsidRPr="00212BA2">
        <w:rPr>
          <w:rFonts w:asciiTheme="majorHAnsi" w:hAnsiTheme="majorHAnsi"/>
          <w:bCs/>
          <w:sz w:val="18"/>
          <w:szCs w:val="18"/>
        </w:rPr>
        <w:t>Negative number</w:t>
      </w:r>
      <w:r w:rsidR="00B1540E" w:rsidRPr="00212BA2">
        <w:rPr>
          <w:rFonts w:asciiTheme="majorHAnsi" w:hAnsiTheme="majorHAnsi"/>
          <w:bCs/>
          <w:sz w:val="18"/>
          <w:szCs w:val="18"/>
        </w:rPr>
        <w:t>s</w:t>
      </w:r>
      <w:r w:rsidR="00C310E0" w:rsidRPr="00212BA2">
        <w:rPr>
          <w:rFonts w:asciiTheme="majorHAnsi" w:hAnsiTheme="majorHAnsi"/>
          <w:bCs/>
          <w:sz w:val="18"/>
          <w:szCs w:val="18"/>
        </w:rPr>
        <w:t xml:space="preserve"> indicate that taxpayers owe</w:t>
      </w:r>
      <w:r w:rsidR="007906CA">
        <w:rPr>
          <w:rFonts w:asciiTheme="majorHAnsi" w:hAnsiTheme="majorHAnsi"/>
          <w:bCs/>
          <w:sz w:val="18"/>
          <w:szCs w:val="18"/>
        </w:rPr>
        <w:t>d</w:t>
      </w:r>
      <w:r w:rsidR="00C310E0" w:rsidRPr="00212BA2">
        <w:rPr>
          <w:rFonts w:asciiTheme="majorHAnsi" w:hAnsiTheme="majorHAnsi"/>
          <w:bCs/>
          <w:sz w:val="18"/>
          <w:szCs w:val="18"/>
        </w:rPr>
        <w:t xml:space="preserve"> less tax using formulas with higher weighted sales factor; positive number</w:t>
      </w:r>
      <w:r w:rsidR="00B1540E" w:rsidRPr="00212BA2">
        <w:rPr>
          <w:rFonts w:asciiTheme="majorHAnsi" w:hAnsiTheme="majorHAnsi"/>
          <w:bCs/>
          <w:sz w:val="18"/>
          <w:szCs w:val="18"/>
        </w:rPr>
        <w:t>s</w:t>
      </w:r>
      <w:r w:rsidR="00C310E0" w:rsidRPr="00212BA2">
        <w:rPr>
          <w:rFonts w:asciiTheme="majorHAnsi" w:hAnsiTheme="majorHAnsi"/>
          <w:bCs/>
          <w:sz w:val="18"/>
          <w:szCs w:val="18"/>
        </w:rPr>
        <w:t xml:space="preserve"> indicate that taxpayers owe</w:t>
      </w:r>
      <w:r w:rsidR="007906CA">
        <w:rPr>
          <w:rFonts w:asciiTheme="majorHAnsi" w:hAnsiTheme="majorHAnsi"/>
          <w:bCs/>
          <w:sz w:val="18"/>
          <w:szCs w:val="18"/>
        </w:rPr>
        <w:t>d</w:t>
      </w:r>
      <w:r w:rsidR="00C310E0" w:rsidRPr="00212BA2">
        <w:rPr>
          <w:rFonts w:asciiTheme="majorHAnsi" w:hAnsiTheme="majorHAnsi"/>
          <w:bCs/>
          <w:sz w:val="18"/>
          <w:szCs w:val="18"/>
        </w:rPr>
        <w:t xml:space="preserve"> more tax using formulas with higher weighted sales factor.</w:t>
      </w:r>
    </w:p>
    <w:p w14:paraId="59BD2481" w14:textId="77777777" w:rsidR="00894626" w:rsidRDefault="00894626">
      <w:pPr>
        <w:spacing w:after="0"/>
        <w:rPr>
          <w:rFonts w:asciiTheme="majorHAnsi" w:eastAsiaTheme="majorEastAsia" w:hAnsiTheme="majorHAnsi" w:cstheme="majorBidi"/>
          <w:bCs/>
          <w:color w:val="000000" w:themeColor="text1"/>
          <w:sz w:val="24"/>
          <w:szCs w:val="24"/>
        </w:rPr>
      </w:pPr>
    </w:p>
    <w:p w14:paraId="4EF8DB77" w14:textId="77777777" w:rsidR="00066C75" w:rsidRDefault="00066C75" w:rsidP="00717614">
      <w:pPr>
        <w:tabs>
          <w:tab w:val="left" w:pos="7050"/>
        </w:tabs>
        <w:spacing w:after="0"/>
        <w:rPr>
          <w:rFonts w:asciiTheme="majorHAnsi" w:hAnsiTheme="majorHAnsi"/>
          <w:b/>
          <w:color w:val="E36C0A" w:themeColor="accent6" w:themeShade="BF"/>
          <w:sz w:val="28"/>
          <w:szCs w:val="28"/>
        </w:rPr>
      </w:pPr>
    </w:p>
    <w:p w14:paraId="7BAD3484" w14:textId="1C0175C7" w:rsidR="00717614" w:rsidRPr="00A07439" w:rsidRDefault="00717614" w:rsidP="00717614">
      <w:pPr>
        <w:tabs>
          <w:tab w:val="left" w:pos="7050"/>
        </w:tabs>
        <w:spacing w:after="0"/>
        <w:rPr>
          <w:rFonts w:asciiTheme="majorHAnsi" w:hAnsiTheme="majorHAnsi"/>
          <w:b/>
          <w:color w:val="E36C0A" w:themeColor="accent6" w:themeShade="BF"/>
          <w:sz w:val="28"/>
          <w:szCs w:val="28"/>
        </w:rPr>
      </w:pPr>
      <w:r w:rsidRPr="00A07439">
        <w:rPr>
          <w:rFonts w:asciiTheme="majorHAnsi" w:hAnsiTheme="majorHAnsi"/>
          <w:b/>
          <w:color w:val="E36C0A" w:themeColor="accent6" w:themeShade="BF"/>
          <w:sz w:val="28"/>
          <w:szCs w:val="28"/>
        </w:rPr>
        <w:t>EVALUATION:  COMPARING COSTS AND BENEFITS</w:t>
      </w:r>
    </w:p>
    <w:p w14:paraId="7B64E550" w14:textId="6068A4E7" w:rsidR="001E7804" w:rsidRDefault="001E7804" w:rsidP="001E7804">
      <w:pPr>
        <w:tabs>
          <w:tab w:val="left" w:pos="7050"/>
        </w:tabs>
        <w:spacing w:after="0"/>
        <w:rPr>
          <w:rFonts w:asciiTheme="majorHAnsi" w:hAnsiTheme="majorHAnsi"/>
          <w:bCs/>
          <w:sz w:val="24"/>
          <w:szCs w:val="24"/>
        </w:rPr>
      </w:pPr>
      <w:r>
        <w:rPr>
          <w:rFonts w:asciiTheme="majorHAnsi" w:hAnsiTheme="majorHAnsi"/>
          <w:bCs/>
          <w:sz w:val="24"/>
          <w:szCs w:val="24"/>
        </w:rPr>
        <w:t>In the previous sections, we reported the direct costs (to the Commonwealth, or to the residents and businesses who ultimately bear the costs when the Commonwealth cuts government spending or increases tax to finance the</w:t>
      </w:r>
      <w:r w:rsidR="00823227">
        <w:rPr>
          <w:rFonts w:asciiTheme="majorHAnsi" w:hAnsiTheme="majorHAnsi"/>
          <w:bCs/>
          <w:sz w:val="24"/>
          <w:szCs w:val="24"/>
        </w:rPr>
        <w:t xml:space="preserve"> apportionment formula</w:t>
      </w:r>
      <w:r w:rsidR="003C0044">
        <w:rPr>
          <w:rFonts w:asciiTheme="majorHAnsi" w:hAnsiTheme="majorHAnsi"/>
          <w:bCs/>
          <w:sz w:val="24"/>
          <w:szCs w:val="24"/>
        </w:rPr>
        <w:t>s</w:t>
      </w:r>
      <w:r w:rsidR="00823227">
        <w:rPr>
          <w:rFonts w:asciiTheme="majorHAnsi" w:hAnsiTheme="majorHAnsi"/>
          <w:bCs/>
          <w:sz w:val="24"/>
          <w:szCs w:val="24"/>
        </w:rPr>
        <w:t xml:space="preserve"> using </w:t>
      </w:r>
      <w:r w:rsidR="00182FA0">
        <w:rPr>
          <w:rFonts w:asciiTheme="majorHAnsi" w:hAnsiTheme="majorHAnsi"/>
          <w:bCs/>
          <w:sz w:val="24"/>
          <w:szCs w:val="24"/>
        </w:rPr>
        <w:t xml:space="preserve">higher </w:t>
      </w:r>
      <w:r w:rsidR="00823227">
        <w:rPr>
          <w:rFonts w:asciiTheme="majorHAnsi" w:hAnsiTheme="majorHAnsi"/>
          <w:bCs/>
          <w:sz w:val="24"/>
          <w:szCs w:val="24"/>
        </w:rPr>
        <w:t xml:space="preserve">weighted </w:t>
      </w:r>
      <w:r w:rsidR="003C0044">
        <w:rPr>
          <w:rFonts w:asciiTheme="majorHAnsi" w:hAnsiTheme="majorHAnsi"/>
          <w:bCs/>
          <w:sz w:val="24"/>
          <w:szCs w:val="24"/>
        </w:rPr>
        <w:t>sales</w:t>
      </w:r>
      <w:r w:rsidR="00823227">
        <w:rPr>
          <w:rFonts w:asciiTheme="majorHAnsi" w:hAnsiTheme="majorHAnsi"/>
          <w:bCs/>
          <w:sz w:val="24"/>
          <w:szCs w:val="24"/>
        </w:rPr>
        <w:t xml:space="preserve"> factor</w:t>
      </w:r>
      <w:r>
        <w:rPr>
          <w:rFonts w:asciiTheme="majorHAnsi" w:hAnsiTheme="majorHAnsi"/>
          <w:bCs/>
          <w:sz w:val="24"/>
          <w:szCs w:val="24"/>
        </w:rPr>
        <w:t xml:space="preserve">) and </w:t>
      </w:r>
      <w:r w:rsidR="0032036D">
        <w:rPr>
          <w:rFonts w:asciiTheme="majorHAnsi" w:hAnsiTheme="majorHAnsi"/>
          <w:bCs/>
          <w:sz w:val="24"/>
          <w:szCs w:val="24"/>
        </w:rPr>
        <w:t xml:space="preserve">net </w:t>
      </w:r>
      <w:r>
        <w:rPr>
          <w:rFonts w:asciiTheme="majorHAnsi" w:hAnsiTheme="majorHAnsi"/>
          <w:bCs/>
          <w:sz w:val="24"/>
          <w:szCs w:val="24"/>
        </w:rPr>
        <w:t>direct benefits</w:t>
      </w:r>
      <w:r w:rsidR="0032036D">
        <w:rPr>
          <w:rStyle w:val="FootnoteReference"/>
          <w:rFonts w:asciiTheme="majorHAnsi" w:hAnsiTheme="majorHAnsi"/>
          <w:bCs/>
          <w:sz w:val="24"/>
          <w:szCs w:val="24"/>
        </w:rPr>
        <w:footnoteReference w:id="4"/>
      </w:r>
      <w:r>
        <w:rPr>
          <w:rFonts w:asciiTheme="majorHAnsi" w:hAnsiTheme="majorHAnsi"/>
          <w:bCs/>
          <w:sz w:val="24"/>
          <w:szCs w:val="24"/>
        </w:rPr>
        <w:t xml:space="preserve"> of this tax expenditure. Since the direct costs to the Commonwealth are the </w:t>
      </w:r>
      <w:r w:rsidR="0032036D">
        <w:rPr>
          <w:rFonts w:asciiTheme="majorHAnsi" w:hAnsiTheme="majorHAnsi"/>
          <w:bCs/>
          <w:sz w:val="24"/>
          <w:szCs w:val="24"/>
        </w:rPr>
        <w:t xml:space="preserve">net </w:t>
      </w:r>
      <w:r>
        <w:rPr>
          <w:rFonts w:asciiTheme="majorHAnsi" w:hAnsiTheme="majorHAnsi"/>
          <w:bCs/>
          <w:sz w:val="24"/>
          <w:szCs w:val="24"/>
        </w:rPr>
        <w:t>direct benefits to taxpayers, they are equal.</w:t>
      </w:r>
    </w:p>
    <w:p w14:paraId="150B53C5" w14:textId="3BFFD5BB" w:rsidR="004A3955" w:rsidRDefault="004A3955" w:rsidP="004A3955">
      <w:pPr>
        <w:tabs>
          <w:tab w:val="left" w:pos="7050"/>
        </w:tabs>
        <w:spacing w:after="0"/>
        <w:rPr>
          <w:rFonts w:asciiTheme="majorHAnsi" w:hAnsiTheme="majorHAnsi"/>
          <w:bCs/>
          <w:sz w:val="24"/>
          <w:szCs w:val="23"/>
        </w:rPr>
      </w:pPr>
    </w:p>
    <w:p w14:paraId="6EB8DA91" w14:textId="298B13B3" w:rsidR="00B559E3" w:rsidRDefault="00B559E3" w:rsidP="00B559E3">
      <w:pPr>
        <w:tabs>
          <w:tab w:val="left" w:pos="7050"/>
        </w:tabs>
        <w:spacing w:after="0"/>
        <w:rPr>
          <w:rFonts w:asciiTheme="majorHAnsi" w:hAnsiTheme="majorHAnsi"/>
          <w:bCs/>
          <w:sz w:val="24"/>
          <w:szCs w:val="24"/>
        </w:rPr>
      </w:pPr>
      <w:r>
        <w:rPr>
          <w:rFonts w:asciiTheme="majorHAnsi" w:hAnsiTheme="majorHAnsi"/>
          <w:bCs/>
          <w:sz w:val="24"/>
          <w:szCs w:val="24"/>
        </w:rPr>
        <w:t xml:space="preserve">Besides the direct costs and benefits, there are indirect and induced costs and benefits associated with this tax expenditure. </w:t>
      </w:r>
      <w:r w:rsidRPr="006C0F2E">
        <w:rPr>
          <w:rFonts w:asciiTheme="majorHAnsi" w:eastAsiaTheme="majorEastAsia" w:hAnsiTheme="majorHAnsi" w:cstheme="majorBidi"/>
          <w:bCs/>
          <w:color w:val="000000" w:themeColor="text1"/>
          <w:sz w:val="24"/>
          <w:szCs w:val="24"/>
        </w:rPr>
        <w:t>The indirect impact (cost or benefit) is felt by the chain of businesses that provide intermediate products and services to the directly impacted businesses.</w:t>
      </w:r>
      <w:r w:rsidR="006C0F2E" w:rsidRPr="002A2721">
        <w:rPr>
          <w:rStyle w:val="FootnoteReference"/>
          <w:rFonts w:asciiTheme="majorHAnsi" w:eastAsiaTheme="majorEastAsia" w:hAnsiTheme="majorHAnsi"/>
          <w:bCs/>
          <w:color w:val="000000" w:themeColor="text1"/>
          <w:sz w:val="24"/>
          <w:szCs w:val="24"/>
        </w:rPr>
        <w:footnoteReference w:id="5"/>
      </w:r>
      <w:r w:rsidRPr="006C0F2E">
        <w:rPr>
          <w:rFonts w:asciiTheme="majorHAnsi" w:eastAsiaTheme="majorEastAsia" w:hAnsiTheme="majorHAnsi" w:cstheme="majorBidi"/>
          <w:bCs/>
          <w:color w:val="000000" w:themeColor="text1"/>
          <w:sz w:val="24"/>
          <w:szCs w:val="24"/>
        </w:rPr>
        <w:t xml:space="preserve"> The induced impact (cost or benefit) results from any overall change </w:t>
      </w:r>
      <w:r w:rsidRPr="006C0F2E">
        <w:rPr>
          <w:rFonts w:asciiTheme="majorHAnsi" w:eastAsiaTheme="majorEastAsia" w:hAnsiTheme="majorHAnsi" w:cstheme="majorBidi"/>
          <w:bCs/>
          <w:color w:val="000000" w:themeColor="text1"/>
          <w:sz w:val="24"/>
          <w:szCs w:val="24"/>
        </w:rPr>
        <w:lastRenderedPageBreak/>
        <w:t>in the economy</w:t>
      </w:r>
      <w:r w:rsidR="006C0F2E" w:rsidRPr="006C0F2E">
        <w:rPr>
          <w:rFonts w:asciiTheme="majorHAnsi" w:eastAsiaTheme="majorEastAsia" w:hAnsiTheme="majorHAnsi" w:cstheme="majorBidi"/>
          <w:bCs/>
          <w:color w:val="000000" w:themeColor="text1"/>
          <w:sz w:val="24"/>
          <w:szCs w:val="24"/>
        </w:rPr>
        <w:t xml:space="preserve"> </w:t>
      </w:r>
      <w:r w:rsidR="006C0F2E" w:rsidRPr="00967CDE">
        <w:rPr>
          <w:rFonts w:asciiTheme="majorHAnsi" w:eastAsiaTheme="majorEastAsia" w:hAnsiTheme="majorHAnsi" w:cstheme="majorBidi"/>
          <w:bCs/>
          <w:color w:val="000000" w:themeColor="text1"/>
          <w:sz w:val="24"/>
          <w:szCs w:val="24"/>
        </w:rPr>
        <w:t xml:space="preserve">derived from the </w:t>
      </w:r>
      <w:r w:rsidR="006C0F2E">
        <w:rPr>
          <w:rFonts w:asciiTheme="majorHAnsi" w:eastAsiaTheme="majorEastAsia" w:hAnsiTheme="majorHAnsi" w:cstheme="majorBidi"/>
          <w:bCs/>
          <w:color w:val="000000" w:themeColor="text1"/>
          <w:sz w:val="24"/>
          <w:szCs w:val="24"/>
        </w:rPr>
        <w:t xml:space="preserve">tax </w:t>
      </w:r>
      <w:r w:rsidR="006C0F2E" w:rsidRPr="00967CDE">
        <w:rPr>
          <w:rFonts w:asciiTheme="majorHAnsi" w:eastAsiaTheme="majorEastAsia" w:hAnsiTheme="majorHAnsi" w:cstheme="majorBidi"/>
          <w:bCs/>
          <w:color w:val="000000" w:themeColor="text1"/>
          <w:sz w:val="24"/>
          <w:szCs w:val="24"/>
        </w:rPr>
        <w:t>expenditure</w:t>
      </w:r>
      <w:r w:rsidR="006C0F2E" w:rsidRPr="00223AA9">
        <w:rPr>
          <w:rFonts w:asciiTheme="majorHAnsi" w:eastAsiaTheme="majorEastAsia" w:hAnsiTheme="majorHAnsi" w:cstheme="majorBidi"/>
          <w:bCs/>
          <w:color w:val="000000" w:themeColor="text1"/>
          <w:sz w:val="24"/>
          <w:szCs w:val="24"/>
        </w:rPr>
        <w:t xml:space="preserve">, </w:t>
      </w:r>
      <w:r w:rsidR="006C0F2E" w:rsidRPr="00967CDE">
        <w:rPr>
          <w:rFonts w:asciiTheme="majorHAnsi" w:eastAsiaTheme="majorEastAsia" w:hAnsiTheme="majorHAnsi" w:cstheme="majorBidi"/>
          <w:bCs/>
          <w:color w:val="000000" w:themeColor="text1"/>
          <w:sz w:val="24"/>
          <w:szCs w:val="24"/>
        </w:rPr>
        <w:t>such as</w:t>
      </w:r>
      <w:r w:rsidR="006C0F2E" w:rsidRPr="006C0F2E" w:rsidDel="006C0F2E">
        <w:rPr>
          <w:rFonts w:asciiTheme="majorHAnsi" w:eastAsiaTheme="majorEastAsia" w:hAnsiTheme="majorHAnsi" w:cstheme="majorBidi"/>
          <w:bCs/>
          <w:color w:val="000000" w:themeColor="text1"/>
          <w:sz w:val="24"/>
          <w:szCs w:val="24"/>
        </w:rPr>
        <w:t xml:space="preserve"> </w:t>
      </w:r>
      <w:r w:rsidRPr="006C0F2E">
        <w:rPr>
          <w:rFonts w:asciiTheme="majorHAnsi" w:eastAsiaTheme="majorEastAsia" w:hAnsiTheme="majorHAnsi" w:cstheme="majorBidi"/>
          <w:bCs/>
          <w:color w:val="000000" w:themeColor="text1"/>
          <w:sz w:val="24"/>
          <w:szCs w:val="24"/>
        </w:rPr>
        <w:t xml:space="preserve">where a chain of businesses benefits when the employees working for the directly impacted businesses spend their </w:t>
      </w:r>
      <w:r w:rsidR="006C0F2E">
        <w:rPr>
          <w:rFonts w:asciiTheme="majorHAnsi" w:eastAsiaTheme="majorEastAsia" w:hAnsiTheme="majorHAnsi" w:cstheme="majorBidi"/>
          <w:bCs/>
          <w:color w:val="000000" w:themeColor="text1"/>
          <w:sz w:val="24"/>
          <w:szCs w:val="24"/>
        </w:rPr>
        <w:t>additional</w:t>
      </w:r>
      <w:r w:rsidR="006C0F2E" w:rsidRPr="006C0F2E">
        <w:rPr>
          <w:rFonts w:asciiTheme="majorHAnsi" w:eastAsiaTheme="majorEastAsia" w:hAnsiTheme="majorHAnsi" w:cstheme="majorBidi"/>
          <w:bCs/>
          <w:color w:val="000000" w:themeColor="text1"/>
          <w:sz w:val="24"/>
          <w:szCs w:val="24"/>
        </w:rPr>
        <w:t xml:space="preserve"> </w:t>
      </w:r>
      <w:r w:rsidRPr="006C0F2E">
        <w:rPr>
          <w:rFonts w:asciiTheme="majorHAnsi" w:eastAsiaTheme="majorEastAsia" w:hAnsiTheme="majorHAnsi" w:cstheme="majorBidi"/>
          <w:bCs/>
          <w:color w:val="000000" w:themeColor="text1"/>
          <w:sz w:val="24"/>
          <w:szCs w:val="24"/>
        </w:rPr>
        <w:t>wages and salaries</w:t>
      </w:r>
      <w:r w:rsidR="006C0F2E">
        <w:rPr>
          <w:rFonts w:asciiTheme="majorHAnsi" w:eastAsiaTheme="majorEastAsia" w:hAnsiTheme="majorHAnsi" w:cstheme="majorBidi"/>
          <w:bCs/>
          <w:color w:val="000000" w:themeColor="text1"/>
          <w:sz w:val="24"/>
          <w:szCs w:val="24"/>
        </w:rPr>
        <w:t xml:space="preserve"> </w:t>
      </w:r>
      <w:r w:rsidR="006C0F2E" w:rsidRPr="00967CDE">
        <w:rPr>
          <w:rFonts w:asciiTheme="majorHAnsi" w:eastAsiaTheme="majorEastAsia" w:hAnsiTheme="majorHAnsi" w:cstheme="majorBidi"/>
          <w:bCs/>
          <w:color w:val="000000" w:themeColor="text1"/>
          <w:sz w:val="24"/>
          <w:szCs w:val="24"/>
        </w:rPr>
        <w:t xml:space="preserve">attributable to the </w:t>
      </w:r>
      <w:r w:rsidR="006C0F2E">
        <w:rPr>
          <w:rFonts w:asciiTheme="majorHAnsi" w:eastAsiaTheme="majorEastAsia" w:hAnsiTheme="majorHAnsi" w:cstheme="majorBidi"/>
          <w:bCs/>
          <w:color w:val="000000" w:themeColor="text1"/>
          <w:sz w:val="24"/>
          <w:szCs w:val="24"/>
        </w:rPr>
        <w:t xml:space="preserve">tax </w:t>
      </w:r>
      <w:r w:rsidR="006C0F2E" w:rsidRPr="00967CDE">
        <w:rPr>
          <w:rFonts w:asciiTheme="majorHAnsi" w:eastAsiaTheme="majorEastAsia" w:hAnsiTheme="majorHAnsi" w:cstheme="majorBidi"/>
          <w:bCs/>
          <w:color w:val="000000" w:themeColor="text1"/>
          <w:sz w:val="24"/>
          <w:szCs w:val="24"/>
        </w:rPr>
        <w:t>expenditure</w:t>
      </w:r>
      <w:r w:rsidRPr="006C0F2E">
        <w:rPr>
          <w:rFonts w:asciiTheme="majorHAnsi" w:eastAsiaTheme="majorEastAsia" w:hAnsiTheme="majorHAnsi" w:cstheme="majorBidi"/>
          <w:bCs/>
          <w:color w:val="000000" w:themeColor="text1"/>
          <w:sz w:val="24"/>
          <w:szCs w:val="24"/>
        </w:rPr>
        <w:t xml:space="preserve"> to buy goods and services.</w:t>
      </w:r>
      <w:r w:rsidR="00640592">
        <w:rPr>
          <w:rStyle w:val="FootnoteReference"/>
          <w:rFonts w:asciiTheme="majorHAnsi" w:eastAsiaTheme="majorEastAsia" w:hAnsiTheme="majorHAnsi"/>
          <w:bCs/>
          <w:color w:val="000000" w:themeColor="text1"/>
          <w:sz w:val="24"/>
          <w:szCs w:val="24"/>
        </w:rPr>
        <w:footnoteReference w:id="6"/>
      </w:r>
      <w:r w:rsidRPr="006C0F2E">
        <w:rPr>
          <w:rFonts w:asciiTheme="majorHAnsi" w:eastAsiaTheme="majorEastAsia" w:hAnsiTheme="majorHAnsi" w:cstheme="majorBidi"/>
          <w:bCs/>
          <w:color w:val="000000" w:themeColor="text1"/>
          <w:sz w:val="24"/>
          <w:szCs w:val="24"/>
        </w:rPr>
        <w:t xml:space="preserve">  The total benefits or costs to the whole economy are larger than the initial</w:t>
      </w:r>
      <w:r w:rsidR="00640592">
        <w:rPr>
          <w:rFonts w:asciiTheme="majorHAnsi" w:eastAsiaTheme="majorEastAsia" w:hAnsiTheme="majorHAnsi" w:cstheme="majorBidi"/>
          <w:bCs/>
          <w:color w:val="000000" w:themeColor="text1"/>
          <w:sz w:val="24"/>
          <w:szCs w:val="24"/>
        </w:rPr>
        <w:t xml:space="preserve"> direct</w:t>
      </w:r>
      <w:r w:rsidRPr="006C0F2E">
        <w:rPr>
          <w:rFonts w:asciiTheme="majorHAnsi" w:eastAsiaTheme="majorEastAsia" w:hAnsiTheme="majorHAnsi" w:cstheme="majorBidi"/>
          <w:bCs/>
          <w:color w:val="000000" w:themeColor="text1"/>
          <w:sz w:val="24"/>
          <w:szCs w:val="24"/>
        </w:rPr>
        <w:t xml:space="preserve"> impacts.</w:t>
      </w:r>
      <w:r>
        <w:rPr>
          <w:rFonts w:asciiTheme="majorHAnsi" w:eastAsiaTheme="majorEastAsia" w:hAnsiTheme="majorHAnsi" w:cstheme="majorBidi"/>
          <w:bCs/>
          <w:color w:val="000000" w:themeColor="text1"/>
          <w:sz w:val="24"/>
          <w:szCs w:val="24"/>
        </w:rPr>
        <w:t xml:space="preserve">  This phenomenon is called the “Multiplier Effect”.</w:t>
      </w:r>
      <w:r>
        <w:rPr>
          <w:rStyle w:val="FootnoteReference"/>
          <w:rFonts w:asciiTheme="majorHAnsi" w:eastAsiaTheme="majorEastAsia" w:hAnsiTheme="majorHAnsi"/>
          <w:bCs/>
          <w:color w:val="000000" w:themeColor="text1"/>
          <w:sz w:val="24"/>
          <w:szCs w:val="24"/>
        </w:rPr>
        <w:footnoteReference w:id="7"/>
      </w:r>
    </w:p>
    <w:p w14:paraId="44A5EED4" w14:textId="77777777" w:rsidR="00B559E3" w:rsidRDefault="00B559E3" w:rsidP="00B559E3">
      <w:pPr>
        <w:tabs>
          <w:tab w:val="left" w:pos="7050"/>
        </w:tabs>
        <w:spacing w:after="0"/>
        <w:rPr>
          <w:rFonts w:asciiTheme="majorHAnsi" w:hAnsiTheme="majorHAnsi"/>
          <w:bCs/>
          <w:sz w:val="24"/>
          <w:szCs w:val="24"/>
        </w:rPr>
      </w:pPr>
    </w:p>
    <w:p w14:paraId="2CC80220" w14:textId="61DD4493" w:rsidR="00B559E3" w:rsidRDefault="00B559E3" w:rsidP="00B559E3">
      <w:pPr>
        <w:tabs>
          <w:tab w:val="left" w:pos="7050"/>
        </w:tabs>
        <w:spacing w:after="0"/>
        <w:rPr>
          <w:rFonts w:asciiTheme="majorHAnsi" w:hAnsiTheme="majorHAnsi"/>
          <w:bCs/>
          <w:sz w:val="24"/>
          <w:szCs w:val="24"/>
        </w:rPr>
      </w:pPr>
      <w:r>
        <w:rPr>
          <w:rFonts w:asciiTheme="majorHAnsi" w:hAnsiTheme="majorHAnsi"/>
          <w:bCs/>
          <w:sz w:val="24"/>
          <w:szCs w:val="24"/>
        </w:rPr>
        <w:t xml:space="preserve">To measure these indirect and induced costs and benefits, economists often need to utilize complicated models, such as REMI </w:t>
      </w:r>
      <w:r w:rsidR="00640592" w:rsidRPr="009D5AA6">
        <w:rPr>
          <w:rFonts w:asciiTheme="majorHAnsi" w:hAnsiTheme="majorHAnsi"/>
          <w:bCs/>
          <w:color w:val="000000" w:themeColor="text1"/>
          <w:sz w:val="24"/>
          <w:szCs w:val="24"/>
        </w:rPr>
        <w:t>(</w:t>
      </w:r>
      <w:r w:rsidR="00640592" w:rsidRPr="00D33FFC">
        <w:rPr>
          <w:rFonts w:asciiTheme="majorHAnsi" w:hAnsiTheme="majorHAnsi"/>
          <w:color w:val="000000" w:themeColor="text1"/>
          <w:sz w:val="24"/>
          <w:szCs w:val="24"/>
        </w:rPr>
        <w:t>Regional Economic Models</w:t>
      </w:r>
      <w:r w:rsidR="0021358F">
        <w:rPr>
          <w:rFonts w:asciiTheme="majorHAnsi" w:hAnsiTheme="majorHAnsi"/>
          <w:color w:val="000000" w:themeColor="text1"/>
          <w:sz w:val="24"/>
          <w:szCs w:val="24"/>
        </w:rPr>
        <w:t>,</w:t>
      </w:r>
      <w:r w:rsidR="00640592" w:rsidRPr="00D33FFC">
        <w:rPr>
          <w:rFonts w:asciiTheme="majorHAnsi" w:hAnsiTheme="majorHAnsi"/>
          <w:color w:val="000000" w:themeColor="text1"/>
          <w:sz w:val="24"/>
          <w:szCs w:val="24"/>
        </w:rPr>
        <w:t xml:space="preserve"> Inc</w:t>
      </w:r>
      <w:r w:rsidR="0021358F">
        <w:rPr>
          <w:rFonts w:asciiTheme="majorHAnsi" w:hAnsiTheme="majorHAnsi"/>
          <w:color w:val="000000" w:themeColor="text1"/>
          <w:sz w:val="24"/>
          <w:szCs w:val="24"/>
        </w:rPr>
        <w:t>.</w:t>
      </w:r>
      <w:r w:rsidR="00640592" w:rsidRPr="00D33FFC">
        <w:rPr>
          <w:rFonts w:asciiTheme="majorHAnsi" w:hAnsiTheme="majorHAnsi"/>
          <w:color w:val="000000" w:themeColor="text1"/>
          <w:sz w:val="24"/>
          <w:szCs w:val="24"/>
        </w:rPr>
        <w:t>) </w:t>
      </w:r>
      <w:r>
        <w:rPr>
          <w:rFonts w:asciiTheme="majorHAnsi" w:hAnsiTheme="majorHAnsi"/>
          <w:bCs/>
          <w:sz w:val="24"/>
          <w:szCs w:val="24"/>
        </w:rPr>
        <w:t>or IMPLAN</w:t>
      </w:r>
      <w:r w:rsidR="00640592">
        <w:rPr>
          <w:rFonts w:asciiTheme="majorHAnsi" w:hAnsiTheme="majorHAnsi"/>
          <w:bCs/>
          <w:sz w:val="24"/>
          <w:szCs w:val="24"/>
        </w:rPr>
        <w:t xml:space="preserve"> </w:t>
      </w:r>
      <w:r w:rsidR="00640592" w:rsidRPr="009D5AA6">
        <w:rPr>
          <w:rFonts w:asciiTheme="majorHAnsi" w:hAnsiTheme="majorHAnsi"/>
          <w:bCs/>
          <w:color w:val="000000" w:themeColor="text1"/>
          <w:sz w:val="24"/>
          <w:szCs w:val="24"/>
        </w:rPr>
        <w:t>(</w:t>
      </w:r>
      <w:r w:rsidR="00640592" w:rsidRPr="009D5AA6">
        <w:rPr>
          <w:rFonts w:asciiTheme="majorHAnsi" w:hAnsiTheme="majorHAnsi" w:cs="Arial"/>
          <w:color w:val="000000" w:themeColor="text1"/>
          <w:sz w:val="24"/>
          <w:szCs w:val="24"/>
          <w:shd w:val="clear" w:color="auto" w:fill="FFFFFF"/>
        </w:rPr>
        <w:t>Impact Analysis for Planning)</w:t>
      </w:r>
      <w:r w:rsidR="00640592">
        <w:rPr>
          <w:rFonts w:asciiTheme="majorHAnsi" w:hAnsiTheme="majorHAnsi" w:cs="Arial"/>
          <w:color w:val="000000" w:themeColor="text1"/>
          <w:sz w:val="24"/>
          <w:szCs w:val="24"/>
          <w:shd w:val="clear" w:color="auto" w:fill="FFFFFF"/>
        </w:rPr>
        <w:t xml:space="preserve"> models</w:t>
      </w:r>
      <w:r>
        <w:rPr>
          <w:rFonts w:asciiTheme="majorHAnsi" w:hAnsiTheme="majorHAnsi"/>
          <w:bCs/>
          <w:sz w:val="24"/>
          <w:szCs w:val="24"/>
        </w:rPr>
        <w:t xml:space="preserve">. Appendix </w:t>
      </w:r>
      <w:r w:rsidR="00062EA9">
        <w:rPr>
          <w:rFonts w:asciiTheme="majorHAnsi" w:hAnsiTheme="majorHAnsi"/>
          <w:bCs/>
          <w:sz w:val="24"/>
          <w:szCs w:val="24"/>
        </w:rPr>
        <w:t xml:space="preserve">3 </w:t>
      </w:r>
      <w:r>
        <w:rPr>
          <w:rFonts w:asciiTheme="majorHAnsi" w:hAnsiTheme="majorHAnsi"/>
          <w:bCs/>
          <w:sz w:val="24"/>
          <w:szCs w:val="24"/>
        </w:rPr>
        <w:t>shows one such attempt by DOR.</w:t>
      </w:r>
    </w:p>
    <w:p w14:paraId="60B72FFD" w14:textId="77777777" w:rsidR="00B559E3" w:rsidRDefault="00B559E3" w:rsidP="004A3955">
      <w:pPr>
        <w:tabs>
          <w:tab w:val="left" w:pos="7050"/>
        </w:tabs>
        <w:spacing w:after="0"/>
        <w:rPr>
          <w:rFonts w:asciiTheme="majorHAnsi" w:hAnsiTheme="majorHAnsi"/>
          <w:bCs/>
          <w:sz w:val="24"/>
          <w:szCs w:val="23"/>
        </w:rPr>
      </w:pPr>
    </w:p>
    <w:p w14:paraId="0E2DC658" w14:textId="77777777" w:rsidR="00F20B99" w:rsidRDefault="00F20B99" w:rsidP="004A3955">
      <w:pPr>
        <w:tabs>
          <w:tab w:val="left" w:pos="7050"/>
        </w:tabs>
        <w:spacing w:after="0"/>
        <w:rPr>
          <w:rFonts w:asciiTheme="majorHAnsi" w:hAnsiTheme="majorHAnsi"/>
          <w:bCs/>
          <w:sz w:val="24"/>
          <w:szCs w:val="23"/>
        </w:rPr>
      </w:pPr>
    </w:p>
    <w:p w14:paraId="0C821D9F" w14:textId="77777777" w:rsidR="004A3955" w:rsidRPr="004C3153" w:rsidRDefault="004A3955" w:rsidP="00680372">
      <w:pPr>
        <w:spacing w:after="0"/>
        <w:rPr>
          <w:rFonts w:asciiTheme="majorHAnsi" w:eastAsiaTheme="majorEastAsia" w:hAnsiTheme="majorHAnsi" w:cstheme="majorBidi"/>
          <w:b/>
          <w:bCs/>
          <w:color w:val="E36C0A" w:themeColor="accent6" w:themeShade="BF"/>
          <w:sz w:val="28"/>
          <w:szCs w:val="28"/>
        </w:rPr>
      </w:pPr>
      <w:r w:rsidRPr="004C3153">
        <w:rPr>
          <w:rFonts w:asciiTheme="majorHAnsi" w:eastAsiaTheme="majorEastAsia" w:hAnsiTheme="majorHAnsi" w:cstheme="majorBidi"/>
          <w:b/>
          <w:bCs/>
          <w:color w:val="E36C0A" w:themeColor="accent6" w:themeShade="BF"/>
          <w:sz w:val="28"/>
          <w:szCs w:val="28"/>
        </w:rPr>
        <w:t>Similar Tax Expenditures Offered by Other States</w:t>
      </w:r>
    </w:p>
    <w:p w14:paraId="4AAD191D" w14:textId="77777777" w:rsidR="00E747A1" w:rsidRDefault="00680372" w:rsidP="004A3955">
      <w:pPr>
        <w:tabs>
          <w:tab w:val="left" w:pos="7050"/>
        </w:tabs>
        <w:spacing w:after="0"/>
        <w:rPr>
          <w:rFonts w:asciiTheme="majorHAnsi" w:hAnsiTheme="majorHAnsi"/>
          <w:bCs/>
          <w:sz w:val="24"/>
          <w:szCs w:val="23"/>
        </w:rPr>
      </w:pPr>
      <w:r w:rsidRPr="00680372">
        <w:rPr>
          <w:rFonts w:asciiTheme="majorHAnsi" w:hAnsiTheme="majorHAnsi"/>
          <w:bCs/>
          <w:sz w:val="24"/>
          <w:szCs w:val="23"/>
        </w:rPr>
        <w:t xml:space="preserve">All states with a corporate income tax have some form of apportionment formula.  </w:t>
      </w:r>
      <w:r w:rsidR="00723E49">
        <w:rPr>
          <w:rFonts w:asciiTheme="majorHAnsi" w:hAnsiTheme="majorHAnsi"/>
          <w:bCs/>
          <w:sz w:val="24"/>
          <w:szCs w:val="23"/>
        </w:rPr>
        <w:t>Single-sales factor is t</w:t>
      </w:r>
      <w:r w:rsidRPr="00680372">
        <w:rPr>
          <w:rFonts w:asciiTheme="majorHAnsi" w:hAnsiTheme="majorHAnsi"/>
          <w:bCs/>
          <w:sz w:val="24"/>
          <w:szCs w:val="23"/>
        </w:rPr>
        <w:t xml:space="preserve">he most common formula </w:t>
      </w:r>
      <w:r w:rsidR="00723E49">
        <w:rPr>
          <w:rFonts w:asciiTheme="majorHAnsi" w:hAnsiTheme="majorHAnsi"/>
          <w:bCs/>
          <w:sz w:val="24"/>
          <w:szCs w:val="23"/>
        </w:rPr>
        <w:t>used by states</w:t>
      </w:r>
      <w:r w:rsidRPr="00680372">
        <w:rPr>
          <w:rFonts w:asciiTheme="majorHAnsi" w:hAnsiTheme="majorHAnsi"/>
          <w:bCs/>
          <w:sz w:val="24"/>
          <w:szCs w:val="23"/>
        </w:rPr>
        <w:t>.  New York, Connecticut, Rhode Island, and Maine all generally use a single</w:t>
      </w:r>
      <w:r w:rsidR="00723E49">
        <w:rPr>
          <w:rFonts w:asciiTheme="majorHAnsi" w:hAnsiTheme="majorHAnsi"/>
          <w:bCs/>
          <w:sz w:val="24"/>
          <w:szCs w:val="23"/>
        </w:rPr>
        <w:t>-</w:t>
      </w:r>
      <w:r w:rsidRPr="00680372">
        <w:rPr>
          <w:rFonts w:asciiTheme="majorHAnsi" w:hAnsiTheme="majorHAnsi"/>
          <w:bCs/>
          <w:sz w:val="24"/>
          <w:szCs w:val="23"/>
        </w:rPr>
        <w:t xml:space="preserve">sales factor formula.  </w:t>
      </w:r>
      <w:r w:rsidR="00C5061C">
        <w:rPr>
          <w:rFonts w:asciiTheme="majorHAnsi" w:hAnsiTheme="majorHAnsi"/>
          <w:bCs/>
          <w:sz w:val="24"/>
          <w:szCs w:val="23"/>
        </w:rPr>
        <w:t>O</w:t>
      </w:r>
      <w:r w:rsidRPr="00680372">
        <w:rPr>
          <w:rFonts w:asciiTheme="majorHAnsi" w:hAnsiTheme="majorHAnsi"/>
          <w:bCs/>
          <w:sz w:val="24"/>
          <w:szCs w:val="23"/>
        </w:rPr>
        <w:t>ther states use a three-factor formula (</w:t>
      </w:r>
      <w:proofErr w:type="gramStart"/>
      <w:r w:rsidRPr="00680372">
        <w:rPr>
          <w:rFonts w:asciiTheme="majorHAnsi" w:hAnsiTheme="majorHAnsi"/>
          <w:bCs/>
          <w:sz w:val="24"/>
          <w:szCs w:val="23"/>
        </w:rPr>
        <w:t>taking into account</w:t>
      </w:r>
      <w:proofErr w:type="gramEnd"/>
      <w:r w:rsidRPr="00680372">
        <w:rPr>
          <w:rFonts w:asciiTheme="majorHAnsi" w:hAnsiTheme="majorHAnsi"/>
          <w:bCs/>
          <w:sz w:val="24"/>
          <w:szCs w:val="23"/>
        </w:rPr>
        <w:t xml:space="preserve"> property, payroll, and sales), with a subset of those states double-weighing the sales factor.  New Hampshire and Vermont generally use a double weighted sales factor.  Many states, like Massachusetts, have industry-specific apportionment formulas</w:t>
      </w:r>
      <w:r w:rsidR="00383C53">
        <w:rPr>
          <w:rFonts w:asciiTheme="majorHAnsi" w:hAnsiTheme="majorHAnsi"/>
          <w:bCs/>
          <w:sz w:val="24"/>
          <w:szCs w:val="23"/>
        </w:rPr>
        <w:t xml:space="preserve"> that </w:t>
      </w:r>
      <w:r w:rsidR="00A73156">
        <w:rPr>
          <w:rFonts w:asciiTheme="majorHAnsi" w:hAnsiTheme="majorHAnsi"/>
          <w:bCs/>
          <w:sz w:val="24"/>
          <w:szCs w:val="23"/>
        </w:rPr>
        <w:t>are applied</w:t>
      </w:r>
      <w:r w:rsidR="00383C53">
        <w:rPr>
          <w:rFonts w:asciiTheme="majorHAnsi" w:hAnsiTheme="majorHAnsi"/>
          <w:bCs/>
          <w:sz w:val="24"/>
          <w:szCs w:val="23"/>
        </w:rPr>
        <w:t xml:space="preserve"> to specialized </w:t>
      </w:r>
      <w:r w:rsidR="00A73156">
        <w:rPr>
          <w:rFonts w:asciiTheme="majorHAnsi" w:hAnsiTheme="majorHAnsi"/>
          <w:bCs/>
          <w:sz w:val="24"/>
          <w:szCs w:val="23"/>
        </w:rPr>
        <w:t xml:space="preserve">activities (e.g., telecommunications).  </w:t>
      </w:r>
      <w:r w:rsidR="00E747A1">
        <w:rPr>
          <w:rFonts w:asciiTheme="majorHAnsi" w:hAnsiTheme="majorHAnsi"/>
          <w:bCs/>
          <w:sz w:val="24"/>
          <w:szCs w:val="23"/>
        </w:rPr>
        <w:t>See the table below for more details.</w:t>
      </w:r>
    </w:p>
    <w:p w14:paraId="22DC90AB" w14:textId="77777777" w:rsidR="00E747A1" w:rsidRDefault="00E747A1" w:rsidP="004A3955">
      <w:pPr>
        <w:tabs>
          <w:tab w:val="left" w:pos="7050"/>
        </w:tabs>
        <w:spacing w:after="0"/>
        <w:rPr>
          <w:rFonts w:asciiTheme="majorHAnsi" w:hAnsiTheme="majorHAnsi"/>
          <w:bCs/>
          <w:sz w:val="24"/>
          <w:szCs w:val="23"/>
        </w:rPr>
      </w:pPr>
    </w:p>
    <w:p w14:paraId="76B70D89" w14:textId="094D5F4B" w:rsidR="004A3955" w:rsidRDefault="00E747A1" w:rsidP="002A2721">
      <w:pPr>
        <w:tabs>
          <w:tab w:val="left" w:pos="7050"/>
        </w:tabs>
        <w:spacing w:after="0"/>
        <w:jc w:val="center"/>
        <w:rPr>
          <w:rFonts w:asciiTheme="majorHAnsi" w:hAnsiTheme="majorHAnsi"/>
          <w:bCs/>
          <w:sz w:val="24"/>
          <w:szCs w:val="23"/>
        </w:rPr>
      </w:pPr>
      <w:r>
        <w:rPr>
          <w:noProof/>
        </w:rPr>
        <w:lastRenderedPageBreak/>
        <w:drawing>
          <wp:inline distT="0" distB="0" distL="0" distR="0" wp14:anchorId="784D8866" wp14:editId="163651BB">
            <wp:extent cx="5210127" cy="7320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2992" cy="7324116"/>
                    </a:xfrm>
                    <a:prstGeom prst="rect">
                      <a:avLst/>
                    </a:prstGeom>
                  </pic:spPr>
                </pic:pic>
              </a:graphicData>
            </a:graphic>
          </wp:inline>
        </w:drawing>
      </w:r>
    </w:p>
    <w:p w14:paraId="678F4A7C" w14:textId="624231E8" w:rsidR="004A3955" w:rsidRDefault="004A3955" w:rsidP="004A3955">
      <w:pPr>
        <w:tabs>
          <w:tab w:val="left" w:pos="7050"/>
        </w:tabs>
        <w:spacing w:after="0" w:line="240" w:lineRule="auto"/>
        <w:rPr>
          <w:rFonts w:asciiTheme="majorHAnsi" w:hAnsiTheme="majorHAnsi"/>
          <w:b/>
          <w:sz w:val="23"/>
          <w:szCs w:val="23"/>
        </w:rPr>
      </w:pPr>
    </w:p>
    <w:p w14:paraId="409A1CE6" w14:textId="77777777" w:rsidR="00E747A1" w:rsidRDefault="00E747A1" w:rsidP="004A3955">
      <w:pPr>
        <w:tabs>
          <w:tab w:val="left" w:pos="7050"/>
        </w:tabs>
        <w:spacing w:after="0" w:line="240" w:lineRule="auto"/>
        <w:rPr>
          <w:rFonts w:asciiTheme="majorHAnsi" w:eastAsiaTheme="majorEastAsia" w:hAnsiTheme="majorHAnsi" w:cstheme="majorBidi"/>
          <w:b/>
          <w:bCs/>
          <w:color w:val="E36C0A" w:themeColor="accent6" w:themeShade="BF"/>
          <w:sz w:val="28"/>
          <w:szCs w:val="28"/>
        </w:rPr>
      </w:pPr>
    </w:p>
    <w:p w14:paraId="7F2971DA" w14:textId="58F16AC6" w:rsidR="004A3955" w:rsidRPr="00A07439" w:rsidRDefault="004A3955" w:rsidP="004A3955">
      <w:pPr>
        <w:tabs>
          <w:tab w:val="left" w:pos="7050"/>
        </w:tabs>
        <w:spacing w:after="0" w:line="240" w:lineRule="auto"/>
        <w:rPr>
          <w:rFonts w:asciiTheme="majorHAnsi" w:eastAsiaTheme="majorEastAsia" w:hAnsiTheme="majorHAnsi" w:cstheme="majorBidi"/>
          <w:b/>
          <w:bCs/>
          <w:color w:val="E36C0A" w:themeColor="accent6" w:themeShade="BF"/>
          <w:sz w:val="28"/>
          <w:szCs w:val="28"/>
        </w:rPr>
      </w:pPr>
      <w:r>
        <w:rPr>
          <w:rFonts w:asciiTheme="majorHAnsi" w:eastAsiaTheme="majorEastAsia" w:hAnsiTheme="majorHAnsi" w:cstheme="majorBidi"/>
          <w:b/>
          <w:bCs/>
          <w:color w:val="E36C0A" w:themeColor="accent6" w:themeShade="BF"/>
          <w:sz w:val="28"/>
          <w:szCs w:val="28"/>
        </w:rPr>
        <w:t xml:space="preserve">IS THE INCENTIVE </w:t>
      </w:r>
      <w:r w:rsidRPr="00A07439">
        <w:rPr>
          <w:rFonts w:asciiTheme="majorHAnsi" w:eastAsiaTheme="majorEastAsia" w:hAnsiTheme="majorHAnsi" w:cstheme="majorBidi"/>
          <w:b/>
          <w:bCs/>
          <w:color w:val="E36C0A" w:themeColor="accent6" w:themeShade="BF"/>
          <w:sz w:val="28"/>
          <w:szCs w:val="28"/>
        </w:rPr>
        <w:t xml:space="preserve">AS DESIGNED ACCOMPLISHING ITS PURPOSE?  </w:t>
      </w:r>
    </w:p>
    <w:p w14:paraId="7BA5144A" w14:textId="77777777" w:rsidR="006F4F83" w:rsidRDefault="006F4F83" w:rsidP="006F4F83">
      <w:pPr>
        <w:tabs>
          <w:tab w:val="left" w:pos="7050"/>
        </w:tabs>
        <w:spacing w:after="0" w:line="240" w:lineRule="auto"/>
        <w:rPr>
          <w:rFonts w:asciiTheme="majorHAnsi" w:eastAsiaTheme="majorEastAsia" w:hAnsiTheme="majorHAnsi" w:cstheme="majorBidi"/>
          <w:bCs/>
          <w:color w:val="000000" w:themeColor="text1"/>
          <w:sz w:val="24"/>
          <w:szCs w:val="24"/>
        </w:rPr>
      </w:pPr>
      <w:bookmarkStart w:id="2" w:name="_Hlk51155631"/>
      <w:r>
        <w:rPr>
          <w:rFonts w:asciiTheme="majorHAnsi" w:eastAsiaTheme="majorEastAsia" w:hAnsiTheme="majorHAnsi" w:cstheme="majorBidi"/>
          <w:bCs/>
          <w:color w:val="000000" w:themeColor="text1"/>
          <w:sz w:val="24"/>
          <w:szCs w:val="24"/>
        </w:rPr>
        <w:t>[FOR TERC TO COMPLETE]</w:t>
      </w:r>
      <w:bookmarkEnd w:id="2"/>
    </w:p>
    <w:sdt>
      <w:sdtPr>
        <w:rPr>
          <w:rFonts w:asciiTheme="minorHAnsi" w:eastAsiaTheme="minorHAnsi" w:hAnsiTheme="minorHAnsi" w:cstheme="minorBidi"/>
          <w:color w:val="auto"/>
          <w:sz w:val="22"/>
          <w:szCs w:val="22"/>
        </w:rPr>
        <w:id w:val="-2039112277"/>
        <w:docPartObj>
          <w:docPartGallery w:val="Bibliographies"/>
          <w:docPartUnique/>
        </w:docPartObj>
      </w:sdtPr>
      <w:sdtEndPr/>
      <w:sdtContent>
        <w:p w14:paraId="7ECE00DE" w14:textId="07704C25" w:rsidR="00161B63" w:rsidRPr="00EE5936" w:rsidRDefault="00161B63" w:rsidP="00161B63">
          <w:pPr>
            <w:pStyle w:val="Heading1"/>
            <w:rPr>
              <w:b/>
              <w:color w:val="000000" w:themeColor="text1"/>
              <w:sz w:val="24"/>
              <w:szCs w:val="24"/>
            </w:rPr>
          </w:pPr>
          <w:r w:rsidRPr="00EE5936">
            <w:rPr>
              <w:b/>
              <w:color w:val="000000" w:themeColor="text1"/>
              <w:sz w:val="24"/>
              <w:szCs w:val="24"/>
            </w:rPr>
            <w:t>References</w:t>
          </w:r>
        </w:p>
        <w:sdt>
          <w:sdtPr>
            <w:rPr>
              <w:rFonts w:asciiTheme="majorHAnsi" w:hAnsiTheme="majorHAnsi"/>
            </w:rPr>
            <w:id w:val="713615871"/>
            <w:bibliography/>
          </w:sdtPr>
          <w:sdtEndPr>
            <w:rPr>
              <w:b/>
              <w:bCs/>
              <w:noProof/>
            </w:rPr>
          </w:sdtEndPr>
          <w:sdtContent>
            <w:p w14:paraId="50F5505D" w14:textId="436BDCEF" w:rsidR="00161B63" w:rsidRDefault="00161B63" w:rsidP="00161B63">
              <w:pPr>
                <w:pStyle w:val="Bibliography"/>
                <w:ind w:left="720" w:hanging="720"/>
                <w:rPr>
                  <w:rFonts w:asciiTheme="majorHAnsi" w:hAnsiTheme="majorHAnsi"/>
                  <w:noProof/>
                </w:rPr>
              </w:pPr>
              <w:r w:rsidRPr="00B07AFC">
                <w:rPr>
                  <w:rFonts w:asciiTheme="majorHAnsi" w:hAnsiTheme="majorHAnsi"/>
                </w:rPr>
                <w:fldChar w:fldCharType="begin"/>
              </w:r>
              <w:r w:rsidRPr="00B07AFC">
                <w:rPr>
                  <w:rFonts w:asciiTheme="majorHAnsi" w:hAnsiTheme="majorHAnsi"/>
                </w:rPr>
                <w:instrText xml:space="preserve"> BIBLIOGRAPHY </w:instrText>
              </w:r>
              <w:r w:rsidRPr="00B07AFC">
                <w:rPr>
                  <w:rFonts w:asciiTheme="majorHAnsi" w:hAnsiTheme="majorHAnsi"/>
                </w:rPr>
                <w:fldChar w:fldCharType="separate"/>
              </w:r>
              <w:r w:rsidRPr="00B07AFC">
                <w:rPr>
                  <w:rFonts w:asciiTheme="majorHAnsi" w:hAnsiTheme="majorHAnsi"/>
                  <w:noProof/>
                </w:rPr>
                <w:t xml:space="preserve">Clausing, K. A. (2016, June). </w:t>
              </w:r>
              <w:r w:rsidR="006F4F83" w:rsidRPr="007C1BA4">
                <w:rPr>
                  <w:rFonts w:asciiTheme="majorHAnsi" w:hAnsiTheme="majorHAnsi"/>
                  <w:noProof/>
                </w:rPr>
                <w:t>The U.S. State Experience Under Formulary Apportionment: Are There Lessons for International Reform?</w:t>
              </w:r>
              <w:r w:rsidRPr="00B07AFC">
                <w:rPr>
                  <w:rFonts w:asciiTheme="majorHAnsi" w:hAnsiTheme="majorHAnsi"/>
                  <w:noProof/>
                </w:rPr>
                <w:t xml:space="preserve"> </w:t>
              </w:r>
              <w:r w:rsidRPr="00B07AFC">
                <w:rPr>
                  <w:rFonts w:asciiTheme="majorHAnsi" w:hAnsiTheme="majorHAnsi"/>
                  <w:i/>
                  <w:iCs/>
                  <w:noProof/>
                </w:rPr>
                <w:t>National Tax Journal, 69</w:t>
              </w:r>
              <w:r w:rsidRPr="00B07AFC">
                <w:rPr>
                  <w:rFonts w:asciiTheme="majorHAnsi" w:hAnsiTheme="majorHAnsi"/>
                  <w:noProof/>
                </w:rPr>
                <w:t>(2), 353–386.</w:t>
              </w:r>
            </w:p>
            <w:p w14:paraId="43A57755" w14:textId="77777777" w:rsidR="00BB4D92" w:rsidRPr="00C546F4" w:rsidRDefault="00BB4D92" w:rsidP="00BB4D92">
              <w:pPr>
                <w:pStyle w:val="Bibliography"/>
                <w:ind w:left="720" w:hanging="720"/>
                <w:rPr>
                  <w:rFonts w:asciiTheme="majorHAnsi" w:hAnsiTheme="majorHAnsi"/>
                  <w:noProof/>
                  <w:sz w:val="24"/>
                  <w:szCs w:val="24"/>
                </w:rPr>
              </w:pPr>
              <w:r w:rsidRPr="00C546F4">
                <w:rPr>
                  <w:rFonts w:asciiTheme="majorHAnsi" w:hAnsiTheme="majorHAnsi"/>
                  <w:noProof/>
                </w:rPr>
                <w:t xml:space="preserve">Felix, </w:t>
              </w:r>
              <w:r>
                <w:rPr>
                  <w:rFonts w:asciiTheme="majorHAnsi" w:hAnsiTheme="majorHAnsi"/>
                  <w:noProof/>
                </w:rPr>
                <w:t>R.</w:t>
              </w:r>
              <w:r w:rsidRPr="00C546F4">
                <w:rPr>
                  <w:rFonts w:asciiTheme="majorHAnsi" w:hAnsiTheme="majorHAnsi"/>
                  <w:noProof/>
                </w:rPr>
                <w:t xml:space="preserve"> </w:t>
              </w:r>
              <w:r>
                <w:rPr>
                  <w:rFonts w:asciiTheme="majorHAnsi" w:hAnsiTheme="majorHAnsi"/>
                  <w:noProof/>
                </w:rPr>
                <w:t xml:space="preserve">A. </w:t>
              </w:r>
              <w:r w:rsidRPr="00C546F4">
                <w:rPr>
                  <w:rFonts w:asciiTheme="majorHAnsi" w:hAnsiTheme="majorHAnsi"/>
                  <w:noProof/>
                </w:rPr>
                <w:t>(2009</w:t>
              </w:r>
              <w:r>
                <w:rPr>
                  <w:rFonts w:asciiTheme="majorHAnsi" w:hAnsiTheme="majorHAnsi"/>
                  <w:noProof/>
                </w:rPr>
                <w:t>, Second Quarter</w:t>
              </w:r>
              <w:r w:rsidRPr="00C546F4">
                <w:rPr>
                  <w:rFonts w:asciiTheme="majorHAnsi" w:hAnsiTheme="majorHAnsi"/>
                  <w:noProof/>
                </w:rPr>
                <w:t xml:space="preserve">). </w:t>
              </w:r>
              <w:r w:rsidRPr="00824C46">
                <w:rPr>
                  <w:rFonts w:asciiTheme="majorHAnsi" w:hAnsiTheme="majorHAnsi"/>
                  <w:noProof/>
                </w:rPr>
                <w:t>Do State Corporate Income Taxes Reduce Wages?</w:t>
              </w:r>
              <w:r>
                <w:rPr>
                  <w:rFonts w:asciiTheme="majorHAnsi" w:hAnsiTheme="majorHAnsi"/>
                  <w:i/>
                  <w:iCs/>
                  <w:noProof/>
                </w:rPr>
                <w:t>,</w:t>
              </w:r>
              <w:r w:rsidRPr="00C546F4">
                <w:rPr>
                  <w:rFonts w:asciiTheme="majorHAnsi" w:hAnsiTheme="majorHAnsi"/>
                  <w:noProof/>
                </w:rPr>
                <w:t xml:space="preserve"> </w:t>
              </w:r>
              <w:r w:rsidRPr="00824C46">
                <w:rPr>
                  <w:rFonts w:asciiTheme="majorHAnsi" w:hAnsiTheme="majorHAnsi"/>
                  <w:i/>
                  <w:iCs/>
                  <w:noProof/>
                </w:rPr>
                <w:t>Economic Review, FEDERAL RESERVE BANK OF KANSAS CITY.</w:t>
              </w:r>
            </w:p>
            <w:p w14:paraId="4C7568DF" w14:textId="13CC4E65" w:rsidR="00161B63" w:rsidRPr="00B07AFC" w:rsidRDefault="00161B63">
              <w:pPr>
                <w:pStyle w:val="Bibliography"/>
                <w:ind w:left="720" w:hanging="720"/>
                <w:rPr>
                  <w:rFonts w:asciiTheme="majorHAnsi" w:hAnsiTheme="majorHAnsi"/>
                  <w:noProof/>
                </w:rPr>
              </w:pPr>
              <w:r w:rsidRPr="00B07AFC">
                <w:rPr>
                  <w:rFonts w:asciiTheme="majorHAnsi" w:hAnsiTheme="majorHAnsi"/>
                  <w:noProof/>
                </w:rPr>
                <w:t xml:space="preserve">Keith R. Ihlanfeldt, David L. Sjoquist. (2001, August). Conducting an Analysis of Georgia’s Economic Development Tax Incentive Program. </w:t>
              </w:r>
              <w:r w:rsidRPr="00B07AFC">
                <w:rPr>
                  <w:rFonts w:asciiTheme="majorHAnsi" w:hAnsiTheme="majorHAnsi"/>
                  <w:i/>
                  <w:iCs/>
                  <w:noProof/>
                </w:rPr>
                <w:t>ECONOMIC DEVELOPMENT QUARTERLY, 15</w:t>
              </w:r>
              <w:r w:rsidRPr="00B07AFC">
                <w:rPr>
                  <w:rFonts w:asciiTheme="majorHAnsi" w:hAnsiTheme="majorHAnsi"/>
                  <w:noProof/>
                </w:rPr>
                <w:t>(3), 217-</w:t>
              </w:r>
            </w:p>
            <w:p w14:paraId="4F451159" w14:textId="77777777" w:rsidR="00161B63" w:rsidRPr="00B07AFC" w:rsidRDefault="00161B63" w:rsidP="00161B63">
              <w:pPr>
                <w:pStyle w:val="Bibliography"/>
                <w:ind w:left="720" w:hanging="720"/>
                <w:rPr>
                  <w:rFonts w:asciiTheme="majorHAnsi" w:hAnsiTheme="majorHAnsi"/>
                  <w:noProof/>
                </w:rPr>
              </w:pPr>
              <w:r w:rsidRPr="00B07AFC">
                <w:rPr>
                  <w:rFonts w:asciiTheme="majorHAnsi" w:hAnsiTheme="majorHAnsi"/>
                  <w:i/>
                  <w:iCs/>
                  <w:noProof/>
                </w:rPr>
                <w:t>MODELS: TAX-PI</w:t>
              </w:r>
              <w:r w:rsidRPr="00B07AFC">
                <w:rPr>
                  <w:rFonts w:asciiTheme="majorHAnsi" w:hAnsiTheme="majorHAnsi"/>
                  <w:noProof/>
                </w:rPr>
                <w:t>. (n.d.). Retrieved from Regional Economic Models, Inc.: https://www.remi.com/model/tax-pi/</w:t>
              </w:r>
            </w:p>
            <w:p w14:paraId="27B7511C" w14:textId="1FE8383C" w:rsidR="00161B63" w:rsidRPr="00B07AFC" w:rsidRDefault="00F85C77" w:rsidP="00161B63">
              <w:pPr>
                <w:pStyle w:val="Bibliography"/>
                <w:ind w:left="720" w:hanging="720"/>
                <w:rPr>
                  <w:rFonts w:asciiTheme="majorHAnsi" w:hAnsiTheme="majorHAnsi"/>
                  <w:noProof/>
                </w:rPr>
              </w:pPr>
              <w:r>
                <w:rPr>
                  <w:rFonts w:asciiTheme="majorHAnsi" w:hAnsiTheme="majorHAnsi"/>
                  <w:noProof/>
                </w:rPr>
                <w:t>Vincent Arel-Bundock, Srinivas Parinandi</w:t>
              </w:r>
              <w:r w:rsidR="00161B63" w:rsidRPr="00B07AFC">
                <w:rPr>
                  <w:rFonts w:asciiTheme="majorHAnsi" w:hAnsiTheme="majorHAnsi"/>
                  <w:noProof/>
                </w:rPr>
                <w:t xml:space="preserve"> (2018). Conditional tax competition in American states. </w:t>
              </w:r>
              <w:r w:rsidR="00161B63" w:rsidRPr="00B07AFC">
                <w:rPr>
                  <w:rFonts w:asciiTheme="majorHAnsi" w:hAnsiTheme="majorHAnsi"/>
                  <w:i/>
                  <w:iCs/>
                  <w:noProof/>
                </w:rPr>
                <w:t>Journal of Public Policy, 38</w:t>
              </w:r>
              <w:r w:rsidR="00161B63" w:rsidRPr="00B07AFC">
                <w:rPr>
                  <w:rFonts w:asciiTheme="majorHAnsi" w:hAnsiTheme="majorHAnsi"/>
                  <w:noProof/>
                </w:rPr>
                <w:t>(2), 191-220.</w:t>
              </w:r>
            </w:p>
            <w:p w14:paraId="2C4AE770" w14:textId="20020F9A" w:rsidR="00D27980" w:rsidRDefault="00161B63" w:rsidP="00161B63">
              <w:pPr>
                <w:tabs>
                  <w:tab w:val="left" w:pos="7050"/>
                </w:tabs>
              </w:pPr>
              <w:r w:rsidRPr="00B07AFC">
                <w:rPr>
                  <w:rFonts w:asciiTheme="majorHAnsi" w:hAnsiTheme="majorHAnsi"/>
                  <w:b/>
                  <w:bCs/>
                  <w:noProof/>
                </w:rPr>
                <w:fldChar w:fldCharType="end"/>
              </w:r>
            </w:p>
          </w:sdtContent>
        </w:sdt>
      </w:sdtContent>
    </w:sdt>
    <w:p w14:paraId="69121201" w14:textId="374A25C9" w:rsidR="00062EA9" w:rsidRPr="008C67C1" w:rsidRDefault="00D27980">
      <w:pPr>
        <w:jc w:val="center"/>
        <w:rPr>
          <w:rFonts w:asciiTheme="majorHAnsi" w:hAnsiTheme="majorHAnsi"/>
          <w:b/>
          <w:sz w:val="32"/>
          <w:szCs w:val="32"/>
        </w:rPr>
      </w:pPr>
      <w:r>
        <w:br w:type="page"/>
      </w:r>
      <w:r w:rsidR="00062EA9" w:rsidRPr="008C67C1">
        <w:rPr>
          <w:rFonts w:asciiTheme="majorHAnsi" w:hAnsiTheme="majorHAnsi"/>
          <w:b/>
          <w:sz w:val="32"/>
          <w:szCs w:val="32"/>
        </w:rPr>
        <w:lastRenderedPageBreak/>
        <w:t>Appendix</w:t>
      </w:r>
      <w:r w:rsidR="00062EA9">
        <w:rPr>
          <w:rFonts w:asciiTheme="majorHAnsi" w:hAnsiTheme="majorHAnsi"/>
          <w:b/>
          <w:sz w:val="32"/>
          <w:szCs w:val="32"/>
        </w:rPr>
        <w:t xml:space="preserve"> 1</w:t>
      </w:r>
      <w:r w:rsidR="00062EA9" w:rsidRPr="008C67C1">
        <w:rPr>
          <w:rFonts w:asciiTheme="majorHAnsi" w:hAnsiTheme="majorHAnsi"/>
          <w:b/>
          <w:sz w:val="32"/>
          <w:szCs w:val="32"/>
        </w:rPr>
        <w:t xml:space="preserve">: </w:t>
      </w:r>
      <w:r w:rsidR="005455DE">
        <w:rPr>
          <w:rFonts w:asciiTheme="majorHAnsi" w:eastAsiaTheme="majorEastAsia" w:hAnsiTheme="majorHAnsi" w:cstheme="majorBidi"/>
          <w:b/>
          <w:color w:val="000000" w:themeColor="text1"/>
          <w:sz w:val="32"/>
          <w:szCs w:val="32"/>
        </w:rPr>
        <w:t>C</w:t>
      </w:r>
      <w:r w:rsidR="00062EA9" w:rsidRPr="00847706">
        <w:rPr>
          <w:rFonts w:asciiTheme="majorHAnsi" w:eastAsiaTheme="majorEastAsia" w:hAnsiTheme="majorHAnsi" w:cstheme="majorBidi"/>
          <w:b/>
          <w:color w:val="000000" w:themeColor="text1"/>
          <w:sz w:val="32"/>
          <w:szCs w:val="32"/>
        </w:rPr>
        <w:t xml:space="preserve">orporations that </w:t>
      </w:r>
      <w:r w:rsidR="005455DE">
        <w:rPr>
          <w:rFonts w:asciiTheme="majorHAnsi" w:eastAsiaTheme="majorEastAsia" w:hAnsiTheme="majorHAnsi" w:cstheme="majorBidi"/>
          <w:b/>
          <w:color w:val="000000" w:themeColor="text1"/>
          <w:sz w:val="32"/>
          <w:szCs w:val="32"/>
        </w:rPr>
        <w:t>O</w:t>
      </w:r>
      <w:r w:rsidR="00062EA9" w:rsidRPr="00847706">
        <w:rPr>
          <w:rFonts w:asciiTheme="majorHAnsi" w:eastAsiaTheme="majorEastAsia" w:hAnsiTheme="majorHAnsi" w:cstheme="majorBidi"/>
          <w:b/>
          <w:color w:val="000000" w:themeColor="text1"/>
          <w:sz w:val="32"/>
          <w:szCs w:val="32"/>
        </w:rPr>
        <w:t xml:space="preserve">we </w:t>
      </w:r>
      <w:r w:rsidR="005455DE">
        <w:rPr>
          <w:rFonts w:asciiTheme="majorHAnsi" w:eastAsiaTheme="majorEastAsia" w:hAnsiTheme="majorHAnsi" w:cstheme="majorBidi"/>
          <w:b/>
          <w:color w:val="000000" w:themeColor="text1"/>
          <w:sz w:val="32"/>
          <w:szCs w:val="32"/>
        </w:rPr>
        <w:t>M</w:t>
      </w:r>
      <w:r w:rsidR="00062EA9" w:rsidRPr="00847706">
        <w:rPr>
          <w:rFonts w:asciiTheme="majorHAnsi" w:eastAsiaTheme="majorEastAsia" w:hAnsiTheme="majorHAnsi" w:cstheme="majorBidi"/>
          <w:b/>
          <w:color w:val="000000" w:themeColor="text1"/>
          <w:sz w:val="32"/>
          <w:szCs w:val="32"/>
        </w:rPr>
        <w:t xml:space="preserve">ore </w:t>
      </w:r>
      <w:r w:rsidR="005455DE">
        <w:rPr>
          <w:rFonts w:asciiTheme="majorHAnsi" w:eastAsiaTheme="majorEastAsia" w:hAnsiTheme="majorHAnsi" w:cstheme="majorBidi"/>
          <w:b/>
          <w:color w:val="000000" w:themeColor="text1"/>
          <w:sz w:val="32"/>
          <w:szCs w:val="32"/>
        </w:rPr>
        <w:t>T</w:t>
      </w:r>
      <w:r w:rsidR="00062EA9" w:rsidRPr="00847706">
        <w:rPr>
          <w:rFonts w:asciiTheme="majorHAnsi" w:eastAsiaTheme="majorEastAsia" w:hAnsiTheme="majorHAnsi" w:cstheme="majorBidi"/>
          <w:b/>
          <w:color w:val="000000" w:themeColor="text1"/>
          <w:sz w:val="32"/>
          <w:szCs w:val="32"/>
        </w:rPr>
        <w:t xml:space="preserve">ax and </w:t>
      </w:r>
      <w:r w:rsidR="005455DE">
        <w:rPr>
          <w:rFonts w:asciiTheme="majorHAnsi" w:eastAsiaTheme="majorEastAsia" w:hAnsiTheme="majorHAnsi" w:cstheme="majorBidi"/>
          <w:b/>
          <w:color w:val="000000" w:themeColor="text1"/>
          <w:sz w:val="32"/>
          <w:szCs w:val="32"/>
        </w:rPr>
        <w:t>C</w:t>
      </w:r>
      <w:r w:rsidR="00062EA9" w:rsidRPr="00847706">
        <w:rPr>
          <w:rFonts w:asciiTheme="majorHAnsi" w:eastAsiaTheme="majorEastAsia" w:hAnsiTheme="majorHAnsi" w:cstheme="majorBidi"/>
          <w:b/>
          <w:color w:val="000000" w:themeColor="text1"/>
          <w:sz w:val="32"/>
          <w:szCs w:val="32"/>
        </w:rPr>
        <w:t xml:space="preserve">orporations that </w:t>
      </w:r>
      <w:r w:rsidR="005455DE">
        <w:rPr>
          <w:rFonts w:asciiTheme="majorHAnsi" w:eastAsiaTheme="majorEastAsia" w:hAnsiTheme="majorHAnsi" w:cstheme="majorBidi"/>
          <w:b/>
          <w:color w:val="000000" w:themeColor="text1"/>
          <w:sz w:val="32"/>
          <w:szCs w:val="32"/>
        </w:rPr>
        <w:t>O</w:t>
      </w:r>
      <w:r w:rsidR="00062EA9" w:rsidRPr="00847706">
        <w:rPr>
          <w:rFonts w:asciiTheme="majorHAnsi" w:eastAsiaTheme="majorEastAsia" w:hAnsiTheme="majorHAnsi" w:cstheme="majorBidi"/>
          <w:b/>
          <w:color w:val="000000" w:themeColor="text1"/>
          <w:sz w:val="32"/>
          <w:szCs w:val="32"/>
        </w:rPr>
        <w:t xml:space="preserve">we </w:t>
      </w:r>
      <w:r w:rsidR="005455DE">
        <w:rPr>
          <w:rFonts w:asciiTheme="majorHAnsi" w:eastAsiaTheme="majorEastAsia" w:hAnsiTheme="majorHAnsi" w:cstheme="majorBidi"/>
          <w:b/>
          <w:color w:val="000000" w:themeColor="text1"/>
          <w:sz w:val="32"/>
          <w:szCs w:val="32"/>
        </w:rPr>
        <w:t>L</w:t>
      </w:r>
      <w:r w:rsidR="00062EA9" w:rsidRPr="00847706">
        <w:rPr>
          <w:rFonts w:asciiTheme="majorHAnsi" w:eastAsiaTheme="majorEastAsia" w:hAnsiTheme="majorHAnsi" w:cstheme="majorBidi"/>
          <w:b/>
          <w:color w:val="000000" w:themeColor="text1"/>
          <w:sz w:val="32"/>
          <w:szCs w:val="32"/>
        </w:rPr>
        <w:t xml:space="preserve">ess </w:t>
      </w:r>
      <w:r w:rsidR="005455DE">
        <w:rPr>
          <w:rFonts w:asciiTheme="majorHAnsi" w:eastAsiaTheme="majorEastAsia" w:hAnsiTheme="majorHAnsi" w:cstheme="majorBidi"/>
          <w:b/>
          <w:color w:val="000000" w:themeColor="text1"/>
          <w:sz w:val="32"/>
          <w:szCs w:val="32"/>
        </w:rPr>
        <w:t>T</w:t>
      </w:r>
      <w:r w:rsidR="00062EA9" w:rsidRPr="00847706">
        <w:rPr>
          <w:rFonts w:asciiTheme="majorHAnsi" w:eastAsiaTheme="majorEastAsia" w:hAnsiTheme="majorHAnsi" w:cstheme="majorBidi"/>
          <w:b/>
          <w:color w:val="000000" w:themeColor="text1"/>
          <w:sz w:val="32"/>
          <w:szCs w:val="32"/>
        </w:rPr>
        <w:t>ax u</w:t>
      </w:r>
      <w:r w:rsidR="005455DE">
        <w:rPr>
          <w:rFonts w:asciiTheme="majorHAnsi" w:eastAsiaTheme="majorEastAsia" w:hAnsiTheme="majorHAnsi" w:cstheme="majorBidi"/>
          <w:b/>
          <w:color w:val="000000" w:themeColor="text1"/>
          <w:sz w:val="32"/>
          <w:szCs w:val="32"/>
        </w:rPr>
        <w:t>sing</w:t>
      </w:r>
      <w:r w:rsidR="00062EA9" w:rsidRPr="00847706">
        <w:rPr>
          <w:rFonts w:asciiTheme="majorHAnsi" w:eastAsiaTheme="majorEastAsia" w:hAnsiTheme="majorHAnsi" w:cstheme="majorBidi"/>
          <w:b/>
          <w:color w:val="000000" w:themeColor="text1"/>
          <w:sz w:val="32"/>
          <w:szCs w:val="32"/>
        </w:rPr>
        <w:t xml:space="preserve"> </w:t>
      </w:r>
      <w:r w:rsidR="005455DE">
        <w:rPr>
          <w:rFonts w:asciiTheme="majorHAnsi" w:eastAsiaTheme="majorEastAsia" w:hAnsiTheme="majorHAnsi" w:cstheme="majorBidi"/>
          <w:b/>
          <w:color w:val="000000" w:themeColor="text1"/>
          <w:sz w:val="32"/>
          <w:szCs w:val="32"/>
        </w:rPr>
        <w:t>F</w:t>
      </w:r>
      <w:r w:rsidR="00062EA9" w:rsidRPr="00847706">
        <w:rPr>
          <w:rFonts w:asciiTheme="majorHAnsi" w:eastAsiaTheme="majorEastAsia" w:hAnsiTheme="majorHAnsi" w:cstheme="majorBidi"/>
          <w:b/>
          <w:color w:val="000000" w:themeColor="text1"/>
          <w:sz w:val="32"/>
          <w:szCs w:val="32"/>
        </w:rPr>
        <w:t xml:space="preserve">ormulas with </w:t>
      </w:r>
      <w:r w:rsidR="005455DE">
        <w:rPr>
          <w:rFonts w:asciiTheme="majorHAnsi" w:eastAsiaTheme="majorEastAsia" w:hAnsiTheme="majorHAnsi" w:cstheme="majorBidi"/>
          <w:b/>
          <w:color w:val="000000" w:themeColor="text1"/>
          <w:sz w:val="32"/>
          <w:szCs w:val="32"/>
        </w:rPr>
        <w:t>H</w:t>
      </w:r>
      <w:r w:rsidR="00062EA9" w:rsidRPr="00847706">
        <w:rPr>
          <w:rFonts w:asciiTheme="majorHAnsi" w:eastAsiaTheme="majorEastAsia" w:hAnsiTheme="majorHAnsi" w:cstheme="majorBidi"/>
          <w:b/>
          <w:color w:val="000000" w:themeColor="text1"/>
          <w:sz w:val="32"/>
          <w:szCs w:val="32"/>
        </w:rPr>
        <w:t xml:space="preserve">igher </w:t>
      </w:r>
      <w:r w:rsidR="005455DE">
        <w:rPr>
          <w:rFonts w:asciiTheme="majorHAnsi" w:eastAsiaTheme="majorEastAsia" w:hAnsiTheme="majorHAnsi" w:cstheme="majorBidi"/>
          <w:b/>
          <w:color w:val="000000" w:themeColor="text1"/>
          <w:sz w:val="32"/>
          <w:szCs w:val="32"/>
        </w:rPr>
        <w:t>W</w:t>
      </w:r>
      <w:r w:rsidR="00062EA9" w:rsidRPr="00847706">
        <w:rPr>
          <w:rFonts w:asciiTheme="majorHAnsi" w:eastAsiaTheme="majorEastAsia" w:hAnsiTheme="majorHAnsi" w:cstheme="majorBidi"/>
          <w:b/>
          <w:color w:val="000000" w:themeColor="text1"/>
          <w:sz w:val="32"/>
          <w:szCs w:val="32"/>
        </w:rPr>
        <w:t xml:space="preserve">eighted </w:t>
      </w:r>
      <w:r w:rsidR="005455DE">
        <w:rPr>
          <w:rFonts w:asciiTheme="majorHAnsi" w:eastAsiaTheme="majorEastAsia" w:hAnsiTheme="majorHAnsi" w:cstheme="majorBidi"/>
          <w:b/>
          <w:color w:val="000000" w:themeColor="text1"/>
          <w:sz w:val="32"/>
          <w:szCs w:val="32"/>
        </w:rPr>
        <w:t>S</w:t>
      </w:r>
      <w:r w:rsidR="00062EA9" w:rsidRPr="00847706">
        <w:rPr>
          <w:rFonts w:asciiTheme="majorHAnsi" w:eastAsiaTheme="majorEastAsia" w:hAnsiTheme="majorHAnsi" w:cstheme="majorBidi"/>
          <w:b/>
          <w:color w:val="000000" w:themeColor="text1"/>
          <w:sz w:val="32"/>
          <w:szCs w:val="32"/>
        </w:rPr>
        <w:t xml:space="preserve">ales </w:t>
      </w:r>
      <w:r w:rsidR="005455DE">
        <w:rPr>
          <w:rFonts w:asciiTheme="majorHAnsi" w:eastAsiaTheme="majorEastAsia" w:hAnsiTheme="majorHAnsi" w:cstheme="majorBidi"/>
          <w:b/>
          <w:color w:val="000000" w:themeColor="text1"/>
          <w:sz w:val="32"/>
          <w:szCs w:val="32"/>
        </w:rPr>
        <w:t>F</w:t>
      </w:r>
      <w:r w:rsidR="00062EA9" w:rsidRPr="00847706">
        <w:rPr>
          <w:rFonts w:asciiTheme="majorHAnsi" w:eastAsiaTheme="majorEastAsia" w:hAnsiTheme="majorHAnsi" w:cstheme="majorBidi"/>
          <w:b/>
          <w:color w:val="000000" w:themeColor="text1"/>
          <w:sz w:val="32"/>
          <w:szCs w:val="32"/>
        </w:rPr>
        <w:t>actor</w:t>
      </w:r>
      <w:r w:rsidR="0018184B">
        <w:rPr>
          <w:rFonts w:asciiTheme="majorHAnsi" w:eastAsiaTheme="majorEastAsia" w:hAnsiTheme="majorHAnsi" w:cstheme="majorBidi"/>
          <w:b/>
          <w:color w:val="000000" w:themeColor="text1"/>
          <w:sz w:val="32"/>
          <w:szCs w:val="32"/>
        </w:rPr>
        <w:t xml:space="preserve"> Compared </w:t>
      </w:r>
      <w:r w:rsidR="002B37C2">
        <w:rPr>
          <w:rFonts w:asciiTheme="majorHAnsi" w:eastAsiaTheme="majorEastAsia" w:hAnsiTheme="majorHAnsi" w:cstheme="majorBidi"/>
          <w:b/>
          <w:color w:val="000000" w:themeColor="text1"/>
          <w:sz w:val="32"/>
          <w:szCs w:val="32"/>
        </w:rPr>
        <w:t>w</w:t>
      </w:r>
      <w:r w:rsidR="0018184B">
        <w:rPr>
          <w:rFonts w:asciiTheme="majorHAnsi" w:eastAsiaTheme="majorEastAsia" w:hAnsiTheme="majorHAnsi" w:cstheme="majorBidi"/>
          <w:b/>
          <w:color w:val="000000" w:themeColor="text1"/>
          <w:sz w:val="32"/>
          <w:szCs w:val="32"/>
        </w:rPr>
        <w:t xml:space="preserve">ith </w:t>
      </w:r>
      <w:r w:rsidR="007906CA">
        <w:rPr>
          <w:rFonts w:asciiTheme="majorHAnsi" w:eastAsiaTheme="majorEastAsia" w:hAnsiTheme="majorHAnsi" w:cstheme="majorBidi"/>
          <w:b/>
          <w:color w:val="000000" w:themeColor="text1"/>
          <w:sz w:val="32"/>
          <w:szCs w:val="32"/>
        </w:rPr>
        <w:t>Formulas with</w:t>
      </w:r>
      <w:r w:rsidR="0018184B">
        <w:rPr>
          <w:rFonts w:asciiTheme="majorHAnsi" w:eastAsiaTheme="majorEastAsia" w:hAnsiTheme="majorHAnsi" w:cstheme="majorBidi"/>
          <w:b/>
          <w:color w:val="000000" w:themeColor="text1"/>
          <w:sz w:val="32"/>
          <w:szCs w:val="32"/>
        </w:rPr>
        <w:t xml:space="preserve"> Equal-Weighted Factors</w:t>
      </w:r>
    </w:p>
    <w:p w14:paraId="15FB862E" w14:textId="77777777" w:rsidR="00062EA9" w:rsidRDefault="00062EA9">
      <w:pPr>
        <w:rPr>
          <w:rFonts w:asciiTheme="majorHAnsi" w:hAnsiTheme="majorHAnsi"/>
          <w:b/>
          <w:sz w:val="32"/>
          <w:szCs w:val="32"/>
        </w:rPr>
      </w:pPr>
    </w:p>
    <w:p w14:paraId="195646F8" w14:textId="12936A79" w:rsidR="00062EA9" w:rsidRDefault="00062EA9">
      <w:pPr>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As discussed in the text, some corporations owe more tax using the formulas with higher weighted sales factor instead of </w:t>
      </w:r>
      <w:r w:rsidR="00212BA2">
        <w:rPr>
          <w:rFonts w:asciiTheme="majorHAnsi" w:eastAsiaTheme="majorEastAsia" w:hAnsiTheme="majorHAnsi" w:cstheme="majorBidi"/>
          <w:bCs/>
          <w:color w:val="000000" w:themeColor="text1"/>
          <w:sz w:val="24"/>
          <w:szCs w:val="24"/>
        </w:rPr>
        <w:t xml:space="preserve">the formula with </w:t>
      </w:r>
      <w:r>
        <w:rPr>
          <w:rFonts w:asciiTheme="majorHAnsi" w:eastAsiaTheme="majorEastAsia" w:hAnsiTheme="majorHAnsi" w:cstheme="majorBidi"/>
          <w:bCs/>
          <w:color w:val="000000" w:themeColor="text1"/>
          <w:sz w:val="24"/>
          <w:szCs w:val="24"/>
        </w:rPr>
        <w:t>equal</w:t>
      </w:r>
      <w:r w:rsidR="00212BA2">
        <w:rPr>
          <w:rFonts w:asciiTheme="majorHAnsi" w:eastAsiaTheme="majorEastAsia" w:hAnsiTheme="majorHAnsi" w:cstheme="majorBidi"/>
          <w:bCs/>
          <w:color w:val="000000" w:themeColor="text1"/>
          <w:sz w:val="24"/>
          <w:szCs w:val="24"/>
        </w:rPr>
        <w:t>-</w:t>
      </w:r>
      <w:r>
        <w:rPr>
          <w:rFonts w:asciiTheme="majorHAnsi" w:eastAsiaTheme="majorEastAsia" w:hAnsiTheme="majorHAnsi" w:cstheme="majorBidi"/>
          <w:bCs/>
          <w:color w:val="000000" w:themeColor="text1"/>
          <w:sz w:val="24"/>
          <w:szCs w:val="24"/>
        </w:rPr>
        <w:t xml:space="preserve">weighted factors while other corporations owe less tax. In the text, we report the net impact on all affected corporations. In this appendix, </w:t>
      </w:r>
      <w:r w:rsidR="0018184B" w:rsidRPr="00107265">
        <w:rPr>
          <w:rFonts w:asciiTheme="majorHAnsi" w:hAnsiTheme="majorHAnsi"/>
          <w:sz w:val="24"/>
          <w:szCs w:val="24"/>
        </w:rPr>
        <w:t xml:space="preserve">we report </w:t>
      </w:r>
      <w:r w:rsidR="0018184B" w:rsidRPr="00107265">
        <w:rPr>
          <w:rFonts w:asciiTheme="majorHAnsi" w:eastAsiaTheme="majorEastAsia" w:hAnsiTheme="majorHAnsi" w:cstheme="majorBidi"/>
          <w:bCs/>
          <w:color w:val="000000" w:themeColor="text1"/>
          <w:sz w:val="24"/>
          <w:szCs w:val="24"/>
        </w:rPr>
        <w:t xml:space="preserve">more details on the impacted corporations: impact figures for those corporations that owe more tax and impact figures for those corporations </w:t>
      </w:r>
      <w:r w:rsidR="0018184B">
        <w:rPr>
          <w:rFonts w:asciiTheme="majorHAnsi" w:eastAsiaTheme="majorEastAsia" w:hAnsiTheme="majorHAnsi" w:cstheme="majorBidi"/>
          <w:bCs/>
          <w:color w:val="000000" w:themeColor="text1"/>
          <w:sz w:val="24"/>
          <w:szCs w:val="24"/>
        </w:rPr>
        <w:t xml:space="preserve">that </w:t>
      </w:r>
      <w:r w:rsidR="0018184B" w:rsidRPr="00107265">
        <w:rPr>
          <w:rFonts w:asciiTheme="majorHAnsi" w:eastAsiaTheme="majorEastAsia" w:hAnsiTheme="majorHAnsi" w:cstheme="majorBidi"/>
          <w:bCs/>
          <w:color w:val="000000" w:themeColor="text1"/>
          <w:sz w:val="24"/>
          <w:szCs w:val="24"/>
        </w:rPr>
        <w:t>owe less t</w:t>
      </w:r>
      <w:r w:rsidR="0018184B">
        <w:rPr>
          <w:rFonts w:asciiTheme="majorHAnsi" w:eastAsiaTheme="majorEastAsia" w:hAnsiTheme="majorHAnsi" w:cstheme="majorBidi"/>
          <w:bCs/>
          <w:color w:val="000000" w:themeColor="text1"/>
          <w:sz w:val="24"/>
          <w:szCs w:val="24"/>
        </w:rPr>
        <w:t>ax</w:t>
      </w:r>
      <w:r w:rsidR="0018184B" w:rsidRPr="00107265">
        <w:rPr>
          <w:rFonts w:asciiTheme="majorHAnsi" w:eastAsiaTheme="majorEastAsia" w:hAnsiTheme="majorHAnsi" w:cstheme="majorBidi"/>
          <w:bCs/>
          <w:color w:val="000000" w:themeColor="text1"/>
          <w:sz w:val="24"/>
          <w:szCs w:val="24"/>
        </w:rPr>
        <w:t xml:space="preserve"> using the formulas with higher weighted sales factor </w:t>
      </w:r>
      <w:r w:rsidR="007906CA">
        <w:rPr>
          <w:rFonts w:asciiTheme="majorHAnsi" w:eastAsiaTheme="majorEastAsia" w:hAnsiTheme="majorHAnsi" w:cstheme="majorBidi"/>
          <w:bCs/>
          <w:color w:val="000000" w:themeColor="text1"/>
          <w:sz w:val="24"/>
          <w:szCs w:val="24"/>
        </w:rPr>
        <w:t>than they would using</w:t>
      </w:r>
      <w:r w:rsidR="0018184B" w:rsidRPr="00107265">
        <w:rPr>
          <w:rFonts w:asciiTheme="majorHAnsi" w:eastAsiaTheme="majorEastAsia" w:hAnsiTheme="majorHAnsi" w:cstheme="majorBidi"/>
          <w:bCs/>
          <w:color w:val="000000" w:themeColor="text1"/>
          <w:sz w:val="24"/>
          <w:szCs w:val="24"/>
        </w:rPr>
        <w:t xml:space="preserve"> equal-weighted factor</w:t>
      </w:r>
      <w:r w:rsidR="0018184B">
        <w:rPr>
          <w:rFonts w:asciiTheme="majorHAnsi" w:eastAsiaTheme="majorEastAsia" w:hAnsiTheme="majorHAnsi" w:cstheme="majorBidi"/>
          <w:bCs/>
          <w:color w:val="000000" w:themeColor="text1"/>
          <w:sz w:val="24"/>
          <w:szCs w:val="24"/>
        </w:rPr>
        <w:t>s</w:t>
      </w:r>
      <w:r w:rsidR="0018184B" w:rsidRPr="00107265">
        <w:rPr>
          <w:rFonts w:asciiTheme="majorHAnsi" w:eastAsiaTheme="majorEastAsia" w:hAnsiTheme="majorHAnsi" w:cstheme="majorBidi"/>
          <w:bCs/>
          <w:color w:val="000000" w:themeColor="text1"/>
          <w:sz w:val="24"/>
          <w:szCs w:val="24"/>
        </w:rPr>
        <w:t>.</w:t>
      </w:r>
    </w:p>
    <w:p w14:paraId="469BDF25" w14:textId="77777777" w:rsidR="00212BA2" w:rsidRDefault="00212BA2" w:rsidP="00847706">
      <w:pPr>
        <w:tabs>
          <w:tab w:val="left" w:pos="7050"/>
        </w:tabs>
        <w:spacing w:after="0"/>
        <w:rPr>
          <w:rFonts w:asciiTheme="majorHAnsi" w:hAnsiTheme="majorHAnsi"/>
          <w:b/>
          <w:sz w:val="32"/>
          <w:szCs w:val="32"/>
        </w:rPr>
      </w:pPr>
    </w:p>
    <w:p w14:paraId="74D0EA94" w14:textId="1AC5B454" w:rsidR="008A391D" w:rsidRPr="00847706" w:rsidRDefault="008A391D" w:rsidP="00847706">
      <w:pPr>
        <w:pStyle w:val="ListParagraph"/>
        <w:numPr>
          <w:ilvl w:val="0"/>
          <w:numId w:val="7"/>
        </w:numPr>
        <w:rPr>
          <w:rFonts w:asciiTheme="majorHAnsi" w:hAnsiTheme="majorHAnsi"/>
          <w:b/>
          <w:i/>
          <w:iCs/>
          <w:sz w:val="28"/>
          <w:szCs w:val="28"/>
        </w:rPr>
      </w:pPr>
      <w:r w:rsidRPr="00847706">
        <w:rPr>
          <w:rFonts w:asciiTheme="majorHAnsi" w:hAnsiTheme="majorHAnsi"/>
          <w:b/>
          <w:i/>
          <w:iCs/>
          <w:sz w:val="28"/>
          <w:szCs w:val="28"/>
        </w:rPr>
        <w:t xml:space="preserve">Impact on corporations that owe less tax </w:t>
      </w:r>
      <w:r w:rsidR="00BA5C2E">
        <w:rPr>
          <w:rFonts w:asciiTheme="majorHAnsi" w:hAnsiTheme="majorHAnsi"/>
          <w:b/>
          <w:i/>
          <w:iCs/>
          <w:sz w:val="28"/>
          <w:szCs w:val="28"/>
        </w:rPr>
        <w:t xml:space="preserve">using </w:t>
      </w:r>
      <w:r w:rsidR="009F355B">
        <w:rPr>
          <w:rFonts w:asciiTheme="majorHAnsi" w:hAnsiTheme="majorHAnsi"/>
          <w:b/>
          <w:i/>
          <w:iCs/>
          <w:sz w:val="28"/>
          <w:szCs w:val="28"/>
        </w:rPr>
        <w:t xml:space="preserve">the </w:t>
      </w:r>
      <w:r w:rsidR="00BA5C2E">
        <w:rPr>
          <w:rFonts w:asciiTheme="majorHAnsi" w:hAnsiTheme="majorHAnsi"/>
          <w:b/>
          <w:i/>
          <w:iCs/>
          <w:sz w:val="28"/>
          <w:szCs w:val="28"/>
        </w:rPr>
        <w:t xml:space="preserve">formulas with </w:t>
      </w:r>
      <w:r w:rsidRPr="00847706">
        <w:rPr>
          <w:rFonts w:asciiTheme="majorHAnsi" w:hAnsiTheme="majorHAnsi"/>
          <w:b/>
          <w:i/>
          <w:iCs/>
          <w:sz w:val="28"/>
          <w:szCs w:val="28"/>
        </w:rPr>
        <w:t>higher weighted sales factor</w:t>
      </w:r>
      <w:r w:rsidR="0042228A" w:rsidRPr="00847706">
        <w:rPr>
          <w:rFonts w:asciiTheme="majorHAnsi" w:hAnsiTheme="majorHAnsi"/>
          <w:b/>
          <w:i/>
          <w:iCs/>
          <w:sz w:val="28"/>
          <w:szCs w:val="28"/>
        </w:rPr>
        <w:t>:</w:t>
      </w:r>
    </w:p>
    <w:p w14:paraId="19684EEE" w14:textId="77777777" w:rsidR="003946B1" w:rsidRDefault="008A391D" w:rsidP="008A391D">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The tables below show the profile of the corporations that benefited from formulas with higher weighted sales factor. </w:t>
      </w:r>
    </w:p>
    <w:p w14:paraId="54501EB7" w14:textId="77777777" w:rsidR="003946B1" w:rsidRDefault="003946B1" w:rsidP="008A391D">
      <w:pPr>
        <w:tabs>
          <w:tab w:val="left" w:pos="7050"/>
        </w:tabs>
        <w:spacing w:after="0"/>
        <w:rPr>
          <w:rFonts w:asciiTheme="majorHAnsi" w:eastAsiaTheme="majorEastAsia" w:hAnsiTheme="majorHAnsi" w:cstheme="majorBidi"/>
          <w:bCs/>
          <w:color w:val="000000" w:themeColor="text1"/>
          <w:sz w:val="24"/>
          <w:szCs w:val="24"/>
        </w:rPr>
      </w:pPr>
    </w:p>
    <w:p w14:paraId="7992218F" w14:textId="070631AE" w:rsidR="008A391D" w:rsidRDefault="008A391D" w:rsidP="008A391D">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Looking at Table </w:t>
      </w:r>
      <w:r w:rsidR="00F3519F">
        <w:rPr>
          <w:rFonts w:asciiTheme="majorHAnsi" w:eastAsiaTheme="majorEastAsia" w:hAnsiTheme="majorHAnsi" w:cstheme="majorBidi"/>
          <w:bCs/>
          <w:color w:val="000000" w:themeColor="text1"/>
          <w:sz w:val="24"/>
          <w:szCs w:val="24"/>
        </w:rPr>
        <w:t>A1-1</w:t>
      </w:r>
      <w:r w:rsidR="003946B1" w:rsidRPr="003946B1">
        <w:rPr>
          <w:rFonts w:asciiTheme="majorHAnsi" w:eastAsiaTheme="majorEastAsia" w:hAnsiTheme="majorHAnsi" w:cstheme="majorBidi"/>
          <w:bCs/>
          <w:color w:val="000000" w:themeColor="text1"/>
          <w:sz w:val="24"/>
          <w:szCs w:val="24"/>
        </w:rPr>
        <w:t xml:space="preserve"> </w:t>
      </w:r>
      <w:r w:rsidR="003946B1">
        <w:rPr>
          <w:rFonts w:asciiTheme="majorHAnsi" w:eastAsiaTheme="majorEastAsia" w:hAnsiTheme="majorHAnsi" w:cstheme="majorBidi"/>
          <w:bCs/>
          <w:color w:val="000000" w:themeColor="text1"/>
          <w:sz w:val="24"/>
          <w:szCs w:val="24"/>
        </w:rPr>
        <w:t>below</w:t>
      </w:r>
      <w:r>
        <w:rPr>
          <w:rFonts w:asciiTheme="majorHAnsi" w:eastAsiaTheme="majorEastAsia" w:hAnsiTheme="majorHAnsi" w:cstheme="majorBidi"/>
          <w:bCs/>
          <w:color w:val="000000" w:themeColor="text1"/>
          <w:sz w:val="24"/>
          <w:szCs w:val="24"/>
        </w:rPr>
        <w:t xml:space="preserve">, in tax year 2017, about </w:t>
      </w:r>
      <w:r w:rsidR="00F3519F">
        <w:rPr>
          <w:rFonts w:asciiTheme="majorHAnsi" w:eastAsiaTheme="majorEastAsia" w:hAnsiTheme="majorHAnsi" w:cstheme="majorBidi"/>
          <w:bCs/>
          <w:color w:val="000000" w:themeColor="text1"/>
          <w:sz w:val="24"/>
          <w:szCs w:val="24"/>
        </w:rPr>
        <w:t>7</w:t>
      </w:r>
      <w:r>
        <w:rPr>
          <w:rFonts w:asciiTheme="majorHAnsi" w:eastAsiaTheme="majorEastAsia" w:hAnsiTheme="majorHAnsi" w:cstheme="majorBidi"/>
          <w:bCs/>
          <w:color w:val="000000" w:themeColor="text1"/>
          <w:sz w:val="24"/>
          <w:szCs w:val="24"/>
        </w:rPr>
        <w:t>,</w:t>
      </w:r>
      <w:r w:rsidR="00F3519F">
        <w:rPr>
          <w:rFonts w:asciiTheme="majorHAnsi" w:eastAsiaTheme="majorEastAsia" w:hAnsiTheme="majorHAnsi" w:cstheme="majorBidi"/>
          <w:bCs/>
          <w:color w:val="000000" w:themeColor="text1"/>
          <w:sz w:val="24"/>
          <w:szCs w:val="24"/>
        </w:rPr>
        <w:t>049</w:t>
      </w:r>
      <w:r>
        <w:rPr>
          <w:rFonts w:asciiTheme="majorHAnsi" w:eastAsiaTheme="majorEastAsia" w:hAnsiTheme="majorHAnsi" w:cstheme="majorBidi"/>
          <w:bCs/>
          <w:color w:val="000000" w:themeColor="text1"/>
          <w:sz w:val="24"/>
          <w:szCs w:val="24"/>
        </w:rPr>
        <w:t xml:space="preserve"> corporations had a smaller tax liability using formulas with higher weighted sales factor than they would have had using </w:t>
      </w:r>
      <w:r w:rsidR="000A2DBA">
        <w:rPr>
          <w:rFonts w:asciiTheme="majorHAnsi" w:eastAsiaTheme="majorEastAsia" w:hAnsiTheme="majorHAnsi" w:cstheme="majorBidi"/>
          <w:bCs/>
          <w:color w:val="000000" w:themeColor="text1"/>
          <w:sz w:val="24"/>
          <w:szCs w:val="24"/>
        </w:rPr>
        <w:t xml:space="preserve">the </w:t>
      </w:r>
      <w:r>
        <w:rPr>
          <w:rFonts w:asciiTheme="majorHAnsi" w:eastAsiaTheme="majorEastAsia" w:hAnsiTheme="majorHAnsi" w:cstheme="majorBidi"/>
          <w:bCs/>
          <w:color w:val="000000" w:themeColor="text1"/>
          <w:sz w:val="24"/>
          <w:szCs w:val="24"/>
        </w:rPr>
        <w:t xml:space="preserve">formula with equal-weighted factors. Among them, </w:t>
      </w:r>
      <w:r w:rsidR="00F3519F">
        <w:rPr>
          <w:rFonts w:asciiTheme="majorHAnsi" w:eastAsiaTheme="majorEastAsia" w:hAnsiTheme="majorHAnsi" w:cstheme="majorBidi"/>
          <w:bCs/>
          <w:color w:val="000000" w:themeColor="text1"/>
          <w:sz w:val="24"/>
          <w:szCs w:val="24"/>
        </w:rPr>
        <w:t>13.1</w:t>
      </w:r>
      <w:r w:rsidRPr="0079481F">
        <w:rPr>
          <w:rFonts w:asciiTheme="majorHAnsi" w:eastAsiaTheme="majorEastAsia" w:hAnsiTheme="majorHAnsi" w:cstheme="majorBidi"/>
          <w:bCs/>
          <w:color w:val="000000" w:themeColor="text1"/>
          <w:sz w:val="24"/>
          <w:szCs w:val="24"/>
        </w:rPr>
        <w:t xml:space="preserve">%, or </w:t>
      </w:r>
      <w:r w:rsidR="00F3519F">
        <w:rPr>
          <w:rFonts w:asciiTheme="majorHAnsi" w:eastAsiaTheme="majorEastAsia" w:hAnsiTheme="majorHAnsi" w:cstheme="majorBidi"/>
          <w:bCs/>
          <w:color w:val="000000" w:themeColor="text1"/>
          <w:sz w:val="24"/>
          <w:szCs w:val="24"/>
        </w:rPr>
        <w:t>923</w:t>
      </w:r>
      <w:r w:rsidRPr="0079481F">
        <w:rPr>
          <w:rFonts w:asciiTheme="majorHAnsi" w:eastAsiaTheme="majorEastAsia" w:hAnsiTheme="majorHAnsi" w:cstheme="majorBidi"/>
          <w:bCs/>
          <w:color w:val="000000" w:themeColor="text1"/>
          <w:sz w:val="24"/>
          <w:szCs w:val="24"/>
        </w:rPr>
        <w:t xml:space="preserve"> corporations used single-sales factor apportionment (1</w:t>
      </w:r>
      <w:r>
        <w:rPr>
          <w:rFonts w:asciiTheme="majorHAnsi" w:eastAsiaTheme="majorEastAsia" w:hAnsiTheme="majorHAnsi" w:cstheme="majorBidi"/>
          <w:bCs/>
          <w:color w:val="000000" w:themeColor="text1"/>
          <w:sz w:val="24"/>
          <w:szCs w:val="24"/>
        </w:rPr>
        <w:t>2.</w:t>
      </w:r>
      <w:r w:rsidR="00F3519F">
        <w:rPr>
          <w:rFonts w:asciiTheme="majorHAnsi" w:eastAsiaTheme="majorEastAsia" w:hAnsiTheme="majorHAnsi" w:cstheme="majorBidi"/>
          <w:bCs/>
          <w:color w:val="000000" w:themeColor="text1"/>
          <w:sz w:val="24"/>
          <w:szCs w:val="24"/>
        </w:rPr>
        <w:t>7</w:t>
      </w:r>
      <w:r>
        <w:rPr>
          <w:rFonts w:asciiTheme="majorHAnsi" w:eastAsiaTheme="majorEastAsia" w:hAnsiTheme="majorHAnsi" w:cstheme="majorBidi"/>
          <w:bCs/>
          <w:color w:val="000000" w:themeColor="text1"/>
          <w:sz w:val="24"/>
          <w:szCs w:val="24"/>
        </w:rPr>
        <w:t>% or 89</w:t>
      </w:r>
      <w:r w:rsidR="00F3519F">
        <w:rPr>
          <w:rFonts w:asciiTheme="majorHAnsi" w:eastAsiaTheme="majorEastAsia" w:hAnsiTheme="majorHAnsi" w:cstheme="majorBidi"/>
          <w:bCs/>
          <w:color w:val="000000" w:themeColor="text1"/>
          <w:sz w:val="24"/>
          <w:szCs w:val="24"/>
        </w:rPr>
        <w:t>7</w:t>
      </w:r>
      <w:r>
        <w:rPr>
          <w:rFonts w:asciiTheme="majorHAnsi" w:eastAsiaTheme="majorEastAsia" w:hAnsiTheme="majorHAnsi" w:cstheme="majorBidi"/>
          <w:bCs/>
          <w:color w:val="000000" w:themeColor="text1"/>
          <w:sz w:val="24"/>
          <w:szCs w:val="24"/>
        </w:rPr>
        <w:t xml:space="preserve"> corporations were section 38 manufacturers, 0.4% or 26 were mutual fund services corporations), and 86.</w:t>
      </w:r>
      <w:r w:rsidR="00F3519F">
        <w:rPr>
          <w:rFonts w:asciiTheme="majorHAnsi" w:eastAsiaTheme="majorEastAsia" w:hAnsiTheme="majorHAnsi" w:cstheme="majorBidi"/>
          <w:bCs/>
          <w:color w:val="000000" w:themeColor="text1"/>
          <w:sz w:val="24"/>
          <w:szCs w:val="24"/>
        </w:rPr>
        <w:t>9</w:t>
      </w:r>
      <w:r>
        <w:rPr>
          <w:rFonts w:asciiTheme="majorHAnsi" w:eastAsiaTheme="majorEastAsia" w:hAnsiTheme="majorHAnsi" w:cstheme="majorBidi"/>
          <w:bCs/>
          <w:color w:val="000000" w:themeColor="text1"/>
          <w:sz w:val="24"/>
          <w:szCs w:val="24"/>
        </w:rPr>
        <w:t>% or 6,</w:t>
      </w:r>
      <w:r w:rsidR="00F3519F">
        <w:rPr>
          <w:rFonts w:asciiTheme="majorHAnsi" w:eastAsiaTheme="majorEastAsia" w:hAnsiTheme="majorHAnsi" w:cstheme="majorBidi"/>
          <w:bCs/>
          <w:color w:val="000000" w:themeColor="text1"/>
          <w:sz w:val="24"/>
          <w:szCs w:val="24"/>
        </w:rPr>
        <w:t>126</w:t>
      </w:r>
      <w:r>
        <w:rPr>
          <w:rFonts w:asciiTheme="majorHAnsi" w:eastAsiaTheme="majorEastAsia" w:hAnsiTheme="majorHAnsi" w:cstheme="majorBidi"/>
          <w:bCs/>
          <w:color w:val="000000" w:themeColor="text1"/>
          <w:sz w:val="24"/>
          <w:szCs w:val="24"/>
        </w:rPr>
        <w:t xml:space="preserve"> were other types of corporations applying a double-weighted sales factor formula. Tax savings</w:t>
      </w:r>
      <w:r w:rsidR="000A2DBA">
        <w:rPr>
          <w:rFonts w:asciiTheme="majorHAnsi" w:eastAsiaTheme="majorEastAsia" w:hAnsiTheme="majorHAnsi" w:cstheme="majorBidi"/>
          <w:bCs/>
          <w:color w:val="000000" w:themeColor="text1"/>
          <w:sz w:val="24"/>
          <w:szCs w:val="24"/>
        </w:rPr>
        <w:t xml:space="preserve"> to these corporations</w:t>
      </w:r>
      <w:r>
        <w:rPr>
          <w:rFonts w:asciiTheme="majorHAnsi" w:eastAsiaTheme="majorEastAsia" w:hAnsiTheme="majorHAnsi" w:cstheme="majorBidi"/>
          <w:bCs/>
          <w:color w:val="000000" w:themeColor="text1"/>
          <w:sz w:val="24"/>
          <w:szCs w:val="24"/>
        </w:rPr>
        <w:t xml:space="preserve"> totaled $5</w:t>
      </w:r>
      <w:r w:rsidR="00F3519F">
        <w:rPr>
          <w:rFonts w:asciiTheme="majorHAnsi" w:eastAsiaTheme="majorEastAsia" w:hAnsiTheme="majorHAnsi" w:cstheme="majorBidi"/>
          <w:bCs/>
          <w:color w:val="000000" w:themeColor="text1"/>
          <w:sz w:val="24"/>
          <w:szCs w:val="24"/>
        </w:rPr>
        <w:t>52</w:t>
      </w:r>
      <w:r>
        <w:rPr>
          <w:rFonts w:asciiTheme="majorHAnsi" w:eastAsiaTheme="majorEastAsia" w:hAnsiTheme="majorHAnsi" w:cstheme="majorBidi"/>
          <w:bCs/>
          <w:color w:val="000000" w:themeColor="text1"/>
          <w:sz w:val="24"/>
          <w:szCs w:val="24"/>
        </w:rPr>
        <w:t xml:space="preserve"> million, with 7</w:t>
      </w:r>
      <w:r w:rsidR="00F3519F">
        <w:rPr>
          <w:rFonts w:asciiTheme="majorHAnsi" w:eastAsiaTheme="majorEastAsia" w:hAnsiTheme="majorHAnsi" w:cstheme="majorBidi"/>
          <w:bCs/>
          <w:color w:val="000000" w:themeColor="text1"/>
          <w:sz w:val="24"/>
          <w:szCs w:val="24"/>
        </w:rPr>
        <w:t>8.1</w:t>
      </w:r>
      <w:r>
        <w:rPr>
          <w:rFonts w:asciiTheme="majorHAnsi" w:eastAsiaTheme="majorEastAsia" w:hAnsiTheme="majorHAnsi" w:cstheme="majorBidi"/>
          <w:bCs/>
          <w:color w:val="000000" w:themeColor="text1"/>
          <w:sz w:val="24"/>
          <w:szCs w:val="24"/>
        </w:rPr>
        <w:t>% of the savings going to section 38 manufacturers, 7.</w:t>
      </w:r>
      <w:r w:rsidR="00F3519F">
        <w:rPr>
          <w:rFonts w:asciiTheme="majorHAnsi" w:eastAsiaTheme="majorEastAsia" w:hAnsiTheme="majorHAnsi" w:cstheme="majorBidi"/>
          <w:bCs/>
          <w:color w:val="000000" w:themeColor="text1"/>
          <w:sz w:val="24"/>
          <w:szCs w:val="24"/>
        </w:rPr>
        <w:t>0</w:t>
      </w:r>
      <w:r>
        <w:rPr>
          <w:rFonts w:asciiTheme="majorHAnsi" w:eastAsiaTheme="majorEastAsia" w:hAnsiTheme="majorHAnsi" w:cstheme="majorBidi"/>
          <w:bCs/>
          <w:color w:val="000000" w:themeColor="text1"/>
          <w:sz w:val="24"/>
          <w:szCs w:val="24"/>
        </w:rPr>
        <w:t>% to mutual fund service corporations, and 14.</w:t>
      </w:r>
      <w:r w:rsidR="00F3519F">
        <w:rPr>
          <w:rFonts w:asciiTheme="majorHAnsi" w:eastAsiaTheme="majorEastAsia" w:hAnsiTheme="majorHAnsi" w:cstheme="majorBidi"/>
          <w:bCs/>
          <w:color w:val="000000" w:themeColor="text1"/>
          <w:sz w:val="24"/>
          <w:szCs w:val="24"/>
        </w:rPr>
        <w:t>9</w:t>
      </w:r>
      <w:r>
        <w:rPr>
          <w:rFonts w:asciiTheme="majorHAnsi" w:eastAsiaTheme="majorEastAsia" w:hAnsiTheme="majorHAnsi" w:cstheme="majorBidi"/>
          <w:bCs/>
          <w:color w:val="000000" w:themeColor="text1"/>
          <w:sz w:val="24"/>
          <w:szCs w:val="24"/>
        </w:rPr>
        <w:t>% to other corporations. Note that mutual fund service corporations have a much higher average tax savings ($1.</w:t>
      </w:r>
      <w:r w:rsidR="00F3519F">
        <w:rPr>
          <w:rFonts w:asciiTheme="majorHAnsi" w:eastAsiaTheme="majorEastAsia" w:hAnsiTheme="majorHAnsi" w:cstheme="majorBidi"/>
          <w:bCs/>
          <w:color w:val="000000" w:themeColor="text1"/>
          <w:sz w:val="24"/>
          <w:szCs w:val="24"/>
        </w:rPr>
        <w:t>5</w:t>
      </w:r>
      <w:r>
        <w:rPr>
          <w:rFonts w:asciiTheme="majorHAnsi" w:eastAsiaTheme="majorEastAsia" w:hAnsiTheme="majorHAnsi" w:cstheme="majorBidi"/>
          <w:bCs/>
          <w:color w:val="000000" w:themeColor="text1"/>
          <w:sz w:val="24"/>
          <w:szCs w:val="24"/>
        </w:rPr>
        <w:t xml:space="preserve"> million) than other </w:t>
      </w:r>
      <w:r w:rsidR="00F3519F">
        <w:rPr>
          <w:rFonts w:asciiTheme="majorHAnsi" w:eastAsiaTheme="majorEastAsia" w:hAnsiTheme="majorHAnsi" w:cstheme="majorBidi"/>
          <w:bCs/>
          <w:color w:val="000000" w:themeColor="text1"/>
          <w:sz w:val="24"/>
          <w:szCs w:val="24"/>
        </w:rPr>
        <w:t>corporation</w:t>
      </w:r>
      <w:r w:rsidR="007906CA">
        <w:rPr>
          <w:rFonts w:asciiTheme="majorHAnsi" w:eastAsiaTheme="majorEastAsia" w:hAnsiTheme="majorHAnsi" w:cstheme="majorBidi"/>
          <w:bCs/>
          <w:color w:val="000000" w:themeColor="text1"/>
          <w:sz w:val="24"/>
          <w:szCs w:val="24"/>
        </w:rPr>
        <w:t>s</w:t>
      </w:r>
      <w:r w:rsidR="00F3519F">
        <w:rPr>
          <w:rFonts w:asciiTheme="majorHAnsi" w:eastAsiaTheme="majorEastAsia" w:hAnsiTheme="majorHAnsi" w:cstheme="majorBidi"/>
          <w:bCs/>
          <w:color w:val="000000" w:themeColor="text1"/>
          <w:sz w:val="24"/>
          <w:szCs w:val="24"/>
        </w:rPr>
        <w:t xml:space="preserve"> that </w:t>
      </w:r>
      <w:r>
        <w:rPr>
          <w:rFonts w:asciiTheme="majorHAnsi" w:eastAsiaTheme="majorEastAsia" w:hAnsiTheme="majorHAnsi" w:cstheme="majorBidi"/>
          <w:bCs/>
          <w:color w:val="000000" w:themeColor="text1"/>
          <w:sz w:val="24"/>
          <w:szCs w:val="24"/>
        </w:rPr>
        <w:t>benef</w:t>
      </w:r>
      <w:r w:rsidR="00F3519F">
        <w:rPr>
          <w:rFonts w:asciiTheme="majorHAnsi" w:eastAsiaTheme="majorEastAsia" w:hAnsiTheme="majorHAnsi" w:cstheme="majorBidi"/>
          <w:bCs/>
          <w:color w:val="000000" w:themeColor="text1"/>
          <w:sz w:val="24"/>
          <w:szCs w:val="24"/>
        </w:rPr>
        <w:t>ited from</w:t>
      </w:r>
      <w:r>
        <w:rPr>
          <w:rFonts w:asciiTheme="majorHAnsi" w:eastAsiaTheme="majorEastAsia" w:hAnsiTheme="majorHAnsi" w:cstheme="majorBidi"/>
          <w:bCs/>
          <w:color w:val="000000" w:themeColor="text1"/>
          <w:sz w:val="24"/>
          <w:szCs w:val="24"/>
        </w:rPr>
        <w:t xml:space="preserve"> the tax expenditure (the average was $7</w:t>
      </w:r>
      <w:r w:rsidR="00F3519F">
        <w:rPr>
          <w:rFonts w:asciiTheme="majorHAnsi" w:eastAsiaTheme="majorEastAsia" w:hAnsiTheme="majorHAnsi" w:cstheme="majorBidi"/>
          <w:bCs/>
          <w:color w:val="000000" w:themeColor="text1"/>
          <w:sz w:val="24"/>
          <w:szCs w:val="24"/>
        </w:rPr>
        <w:t>8</w:t>
      </w:r>
      <w:r>
        <w:rPr>
          <w:rFonts w:asciiTheme="majorHAnsi" w:eastAsiaTheme="majorEastAsia" w:hAnsiTheme="majorHAnsi" w:cstheme="majorBidi"/>
          <w:bCs/>
          <w:color w:val="000000" w:themeColor="text1"/>
          <w:sz w:val="24"/>
          <w:szCs w:val="24"/>
        </w:rPr>
        <w:t xml:space="preserve">,000 for all positively affected corporations). </w:t>
      </w:r>
    </w:p>
    <w:p w14:paraId="761E6946" w14:textId="77777777" w:rsidR="008A391D" w:rsidRDefault="008A391D" w:rsidP="008A391D">
      <w:pPr>
        <w:tabs>
          <w:tab w:val="left" w:pos="7050"/>
        </w:tabs>
        <w:spacing w:after="0"/>
        <w:rPr>
          <w:rFonts w:asciiTheme="majorHAnsi" w:eastAsiaTheme="majorEastAsia" w:hAnsiTheme="majorHAnsi" w:cstheme="majorBidi"/>
          <w:bCs/>
          <w:color w:val="000000" w:themeColor="text1"/>
          <w:sz w:val="24"/>
          <w:szCs w:val="24"/>
        </w:rPr>
      </w:pPr>
    </w:p>
    <w:p w14:paraId="3D69EA2D" w14:textId="759DBB24" w:rsidR="00B773B1" w:rsidRPr="00CA0391" w:rsidRDefault="00B773B1" w:rsidP="00B773B1">
      <w:pPr>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A1-1</w:t>
      </w:r>
      <w:r w:rsidRPr="00CA0391">
        <w:rPr>
          <w:rFonts w:asciiTheme="majorHAnsi" w:hAnsiTheme="majorHAnsi"/>
          <w:b/>
          <w:sz w:val="24"/>
          <w:szCs w:val="24"/>
        </w:rPr>
        <w:t>.</w:t>
      </w:r>
      <w:r w:rsidR="009F00D6">
        <w:rPr>
          <w:rFonts w:asciiTheme="majorHAnsi" w:hAnsiTheme="majorHAnsi"/>
          <w:b/>
          <w:sz w:val="24"/>
          <w:szCs w:val="24"/>
        </w:rPr>
        <w:t xml:space="preserve"> </w:t>
      </w:r>
      <w:r>
        <w:rPr>
          <w:rFonts w:asciiTheme="majorHAnsi" w:hAnsiTheme="majorHAnsi"/>
          <w:b/>
          <w:sz w:val="24"/>
          <w:szCs w:val="24"/>
        </w:rPr>
        <w:t xml:space="preserve">Tax Liability </w:t>
      </w:r>
      <w:r w:rsidR="003946B1">
        <w:rPr>
          <w:rFonts w:asciiTheme="majorHAnsi" w:hAnsiTheme="majorHAnsi"/>
          <w:b/>
          <w:sz w:val="24"/>
          <w:szCs w:val="24"/>
        </w:rPr>
        <w:t>Decrease</w:t>
      </w:r>
      <w:r>
        <w:rPr>
          <w:rFonts w:asciiTheme="majorHAnsi" w:hAnsiTheme="majorHAnsi"/>
          <w:b/>
          <w:sz w:val="24"/>
          <w:szCs w:val="24"/>
        </w:rPr>
        <w:t xml:space="preserve"> by Corporation Type</w:t>
      </w:r>
      <w:r w:rsidR="003946B1">
        <w:rPr>
          <w:rFonts w:asciiTheme="majorHAnsi" w:hAnsiTheme="majorHAnsi"/>
          <w:b/>
          <w:sz w:val="24"/>
          <w:szCs w:val="24"/>
        </w:rPr>
        <w:t xml:space="preserve"> </w:t>
      </w:r>
      <w:r w:rsidR="003946B1" w:rsidRPr="00847706">
        <w:rPr>
          <w:rStyle w:val="FootnoteReference"/>
          <w:rFonts w:eastAsiaTheme="majorEastAsia"/>
          <w:b/>
          <w:bCs/>
          <w:color w:val="000000" w:themeColor="text1"/>
        </w:rPr>
        <w:t>(1)</w:t>
      </w:r>
    </w:p>
    <w:tbl>
      <w:tblPr>
        <w:tblW w:w="9265" w:type="dxa"/>
        <w:jc w:val="center"/>
        <w:tblLayout w:type="fixed"/>
        <w:tblLook w:val="04A0" w:firstRow="1" w:lastRow="0" w:firstColumn="1" w:lastColumn="0" w:noHBand="0" w:noVBand="1"/>
      </w:tblPr>
      <w:tblGrid>
        <w:gridCol w:w="2425"/>
        <w:gridCol w:w="1350"/>
        <w:gridCol w:w="1350"/>
        <w:gridCol w:w="1710"/>
        <w:gridCol w:w="1080"/>
        <w:gridCol w:w="1350"/>
      </w:tblGrid>
      <w:tr w:rsidR="00B773B1" w:rsidRPr="00D5431D" w14:paraId="56B837B6" w14:textId="77777777" w:rsidTr="00847706">
        <w:trPr>
          <w:trHeight w:val="1493"/>
          <w:jc w:val="center"/>
        </w:trPr>
        <w:tc>
          <w:tcPr>
            <w:tcW w:w="24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34995C5" w14:textId="77777777" w:rsidR="00B773B1" w:rsidRPr="00D5431D" w:rsidRDefault="00B773B1"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Corporation Type</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59035CBD" w14:textId="5C4C43D6" w:rsidR="00B773B1" w:rsidRPr="00D5431D" w:rsidRDefault="00B773B1"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Number of</w:t>
            </w:r>
            <w:r w:rsidR="009F00D6">
              <w:rPr>
                <w:rFonts w:ascii="Cambria" w:eastAsia="Times New Roman" w:hAnsi="Cambria" w:cs="Helvetica"/>
                <w:color w:val="000000"/>
                <w:sz w:val="20"/>
                <w:szCs w:val="20"/>
                <w:lang w:eastAsia="ko-KR"/>
              </w:rPr>
              <w:t xml:space="preserve"> Positively</w:t>
            </w:r>
            <w:r w:rsidRPr="00D5431D">
              <w:rPr>
                <w:rFonts w:ascii="Cambria" w:eastAsia="Times New Roman" w:hAnsi="Cambria" w:cs="Helvetica"/>
                <w:color w:val="000000"/>
                <w:sz w:val="20"/>
                <w:szCs w:val="20"/>
                <w:lang w:eastAsia="ko-KR"/>
              </w:rPr>
              <w:t xml:space="preserve"> Impacted Corporations</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109A502" w14:textId="0B929031" w:rsidR="00B773B1" w:rsidRPr="00D5431D" w:rsidRDefault="00B773B1"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 of Total Number of </w:t>
            </w:r>
            <w:r w:rsidR="009F00D6">
              <w:rPr>
                <w:rFonts w:ascii="Cambria" w:eastAsia="Times New Roman" w:hAnsi="Cambria" w:cs="Helvetica"/>
                <w:color w:val="000000"/>
                <w:sz w:val="20"/>
                <w:szCs w:val="20"/>
                <w:lang w:eastAsia="ko-KR"/>
              </w:rPr>
              <w:t>Positively</w:t>
            </w:r>
            <w:r w:rsidR="009F00D6" w:rsidRPr="00D5431D">
              <w:rPr>
                <w:rFonts w:ascii="Cambria" w:eastAsia="Times New Roman" w:hAnsi="Cambria" w:cs="Helvetica"/>
                <w:color w:val="000000"/>
                <w:sz w:val="20"/>
                <w:szCs w:val="20"/>
                <w:lang w:eastAsia="ko-KR"/>
              </w:rPr>
              <w:t xml:space="preserve"> </w:t>
            </w:r>
            <w:r w:rsidRPr="00D5431D">
              <w:rPr>
                <w:rFonts w:ascii="Cambria" w:eastAsia="Times New Roman" w:hAnsi="Cambria" w:cs="Helvetica"/>
                <w:color w:val="000000"/>
                <w:sz w:val="20"/>
                <w:szCs w:val="20"/>
                <w:lang w:eastAsia="ko-KR"/>
              </w:rPr>
              <w:t>Impacted Corporations</w:t>
            </w:r>
          </w:p>
        </w:tc>
        <w:tc>
          <w:tcPr>
            <w:tcW w:w="171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0C4294" w14:textId="38585239" w:rsidR="00B773B1" w:rsidRPr="00D5431D" w:rsidRDefault="00B773B1"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3946B1">
              <w:rPr>
                <w:rFonts w:ascii="Cambria" w:eastAsia="Times New Roman" w:hAnsi="Cambria" w:cs="Helvetica"/>
                <w:color w:val="000000"/>
                <w:sz w:val="20"/>
                <w:szCs w:val="20"/>
                <w:lang w:eastAsia="ko-KR"/>
              </w:rPr>
              <w:t>Decrease</w:t>
            </w:r>
            <w:r w:rsidRPr="00D5431D">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u</w:t>
            </w:r>
            <w:r w:rsidRPr="00D5431D">
              <w:rPr>
                <w:rFonts w:ascii="Cambria" w:eastAsia="Times New Roman" w:hAnsi="Cambria" w:cs="Helvetica"/>
                <w:color w:val="000000"/>
                <w:sz w:val="20"/>
                <w:szCs w:val="20"/>
                <w:lang w:eastAsia="ko-KR"/>
              </w:rPr>
              <w:t xml:space="preserve">sing Formulas with </w:t>
            </w:r>
            <w:r>
              <w:rPr>
                <w:rFonts w:ascii="Cambria" w:eastAsia="Times New Roman" w:hAnsi="Cambria" w:cs="Helvetica"/>
                <w:color w:val="000000"/>
                <w:sz w:val="20"/>
                <w:szCs w:val="20"/>
                <w:lang w:eastAsia="ko-KR"/>
              </w:rPr>
              <w:t xml:space="preserve">Higher </w:t>
            </w:r>
            <w:r w:rsidRPr="00D5431D">
              <w:rPr>
                <w:rFonts w:ascii="Cambria" w:eastAsia="Times New Roman" w:hAnsi="Cambria" w:cs="Helvetica"/>
                <w:color w:val="000000"/>
                <w:sz w:val="20"/>
                <w:szCs w:val="20"/>
                <w:lang w:eastAsia="ko-KR"/>
              </w:rPr>
              <w:t>Weighted Sales Factor ($000)</w:t>
            </w:r>
            <w:r w:rsidR="003946B1">
              <w:rPr>
                <w:rFonts w:ascii="Cambria" w:eastAsia="Times New Roman" w:hAnsi="Cambria" w:cs="Helvetica"/>
                <w:color w:val="000000"/>
                <w:sz w:val="20"/>
                <w:szCs w:val="20"/>
                <w:lang w:eastAsia="ko-KR"/>
              </w:rPr>
              <w:t xml:space="preserve"> </w:t>
            </w:r>
            <w:r w:rsidR="003946B1" w:rsidRPr="00847706">
              <w:rPr>
                <w:rStyle w:val="FootnoteReference"/>
                <w:rFonts w:eastAsiaTheme="majorEastAsia"/>
                <w:color w:val="000000" w:themeColor="text1"/>
              </w:rPr>
              <w:t>(2)</w:t>
            </w:r>
          </w:p>
        </w:tc>
        <w:tc>
          <w:tcPr>
            <w:tcW w:w="108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362DD30" w14:textId="7863D557" w:rsidR="00B773B1" w:rsidRPr="00D5431D" w:rsidRDefault="00B773B1" w:rsidP="00690837">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3946B1">
              <w:rPr>
                <w:rFonts w:ascii="Cambria" w:eastAsia="Times New Roman" w:hAnsi="Cambria" w:cs="Helvetica"/>
                <w:color w:val="000000"/>
                <w:sz w:val="20"/>
                <w:szCs w:val="20"/>
                <w:lang w:eastAsia="ko-KR"/>
              </w:rPr>
              <w:t>Decrease</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2CC67D5" w14:textId="5E16BE95" w:rsidR="00B773B1" w:rsidRPr="00D5431D" w:rsidDel="00845E99" w:rsidRDefault="00B773B1" w:rsidP="00690837">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3946B1">
              <w:rPr>
                <w:rFonts w:ascii="Cambria" w:eastAsia="Times New Roman" w:hAnsi="Cambria" w:cs="Helvetica"/>
                <w:color w:val="000000"/>
                <w:sz w:val="20"/>
                <w:szCs w:val="20"/>
                <w:lang w:eastAsia="ko-KR"/>
              </w:rPr>
              <w:t>Decrease</w:t>
            </w:r>
            <w:r w:rsidRPr="001C5672">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 xml:space="preserve">per </w:t>
            </w:r>
            <w:r w:rsidR="009F00D6">
              <w:rPr>
                <w:rFonts w:ascii="Cambria" w:eastAsia="Times New Roman" w:hAnsi="Cambria" w:cs="Helvetica"/>
                <w:color w:val="000000"/>
                <w:sz w:val="20"/>
                <w:szCs w:val="20"/>
                <w:lang w:eastAsia="ko-KR"/>
              </w:rPr>
              <w:t xml:space="preserve">Positively </w:t>
            </w:r>
            <w:r w:rsidRPr="00EE5936">
              <w:rPr>
                <w:rFonts w:ascii="Cambria" w:eastAsia="Times New Roman" w:hAnsi="Cambria" w:cs="Helvetica"/>
                <w:color w:val="000000"/>
                <w:sz w:val="20"/>
                <w:szCs w:val="20"/>
                <w:lang w:eastAsia="ko-KR"/>
              </w:rPr>
              <w:t>Impacted Corporation ($000)</w:t>
            </w:r>
            <w:r w:rsidR="003946B1">
              <w:rPr>
                <w:rFonts w:ascii="Cambria" w:eastAsia="Times New Roman" w:hAnsi="Cambria" w:cs="Helvetica"/>
                <w:color w:val="000000"/>
                <w:sz w:val="20"/>
                <w:szCs w:val="20"/>
                <w:lang w:eastAsia="ko-KR"/>
              </w:rPr>
              <w:t xml:space="preserve"> </w:t>
            </w:r>
            <w:r w:rsidR="003946B1" w:rsidRPr="00107265">
              <w:rPr>
                <w:rStyle w:val="FootnoteReference"/>
                <w:rFonts w:eastAsiaTheme="majorEastAsia"/>
                <w:color w:val="000000" w:themeColor="text1"/>
              </w:rPr>
              <w:t>(2)</w:t>
            </w:r>
          </w:p>
        </w:tc>
      </w:tr>
      <w:tr w:rsidR="00B773B1" w:rsidRPr="00D5431D" w14:paraId="3AADE4AF" w14:textId="77777777" w:rsidTr="00847706">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43E1915" w14:textId="77777777" w:rsidR="00B773B1" w:rsidRPr="00D5431D" w:rsidRDefault="00B773B1" w:rsidP="00B773B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lastRenderedPageBreak/>
              <w:t>Section 38 Manufacturers</w:t>
            </w:r>
          </w:p>
        </w:tc>
        <w:tc>
          <w:tcPr>
            <w:tcW w:w="1350" w:type="dxa"/>
            <w:tcBorders>
              <w:top w:val="nil"/>
              <w:left w:val="nil"/>
              <w:bottom w:val="single" w:sz="4" w:space="0" w:color="auto"/>
              <w:right w:val="single" w:sz="4" w:space="0" w:color="auto"/>
            </w:tcBorders>
            <w:shd w:val="clear" w:color="auto" w:fill="auto"/>
            <w:vAlign w:val="center"/>
          </w:tcPr>
          <w:p w14:paraId="0D551DEA" w14:textId="10E10752"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897</w:t>
            </w:r>
          </w:p>
        </w:tc>
        <w:tc>
          <w:tcPr>
            <w:tcW w:w="1350" w:type="dxa"/>
            <w:tcBorders>
              <w:top w:val="single" w:sz="4" w:space="0" w:color="auto"/>
              <w:left w:val="nil"/>
              <w:bottom w:val="single" w:sz="4" w:space="0" w:color="auto"/>
              <w:right w:val="single" w:sz="4" w:space="0" w:color="auto"/>
            </w:tcBorders>
            <w:vAlign w:val="center"/>
          </w:tcPr>
          <w:p w14:paraId="1569410C" w14:textId="2F13269E" w:rsidR="00B773B1" w:rsidRPr="0074057C" w:rsidRDefault="00B773B1">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12.7%</w:t>
            </w:r>
          </w:p>
        </w:tc>
        <w:tc>
          <w:tcPr>
            <w:tcW w:w="1710" w:type="dxa"/>
            <w:tcBorders>
              <w:top w:val="nil"/>
              <w:left w:val="single" w:sz="4" w:space="0" w:color="auto"/>
              <w:bottom w:val="single" w:sz="4" w:space="0" w:color="auto"/>
              <w:right w:val="single" w:sz="4" w:space="0" w:color="auto"/>
            </w:tcBorders>
            <w:vAlign w:val="center"/>
          </w:tcPr>
          <w:p w14:paraId="01F13531" w14:textId="54766E1C" w:rsidR="00B773B1" w:rsidRPr="0074057C" w:rsidRDefault="00B773B1">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-$431,040</w:t>
            </w:r>
          </w:p>
        </w:tc>
        <w:tc>
          <w:tcPr>
            <w:tcW w:w="1080" w:type="dxa"/>
            <w:tcBorders>
              <w:top w:val="nil"/>
              <w:left w:val="nil"/>
              <w:bottom w:val="single" w:sz="4" w:space="0" w:color="auto"/>
              <w:right w:val="single" w:sz="4" w:space="0" w:color="auto"/>
            </w:tcBorders>
            <w:shd w:val="clear" w:color="auto" w:fill="auto"/>
            <w:vAlign w:val="center"/>
          </w:tcPr>
          <w:p w14:paraId="1D924563" w14:textId="4C16294B"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78.1%</w:t>
            </w:r>
          </w:p>
        </w:tc>
        <w:tc>
          <w:tcPr>
            <w:tcW w:w="1350" w:type="dxa"/>
            <w:tcBorders>
              <w:top w:val="nil"/>
              <w:left w:val="nil"/>
              <w:bottom w:val="single" w:sz="4" w:space="0" w:color="auto"/>
              <w:right w:val="single" w:sz="4" w:space="0" w:color="auto"/>
            </w:tcBorders>
            <w:vAlign w:val="center"/>
          </w:tcPr>
          <w:p w14:paraId="0F7C9D5E" w14:textId="37CB9F52"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-$481</w:t>
            </w:r>
          </w:p>
        </w:tc>
      </w:tr>
      <w:tr w:rsidR="00B773B1" w:rsidRPr="00D5431D" w14:paraId="67F39EFF" w14:textId="77777777" w:rsidTr="00847706">
        <w:trPr>
          <w:trHeight w:val="41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C2AD6A1" w14:textId="77777777" w:rsidR="00B773B1" w:rsidRPr="00D5431D" w:rsidRDefault="00B773B1" w:rsidP="00B773B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Mutual Fund Services</w:t>
            </w:r>
          </w:p>
        </w:tc>
        <w:tc>
          <w:tcPr>
            <w:tcW w:w="1350" w:type="dxa"/>
            <w:tcBorders>
              <w:top w:val="nil"/>
              <w:left w:val="nil"/>
              <w:bottom w:val="single" w:sz="4" w:space="0" w:color="auto"/>
              <w:right w:val="single" w:sz="4" w:space="0" w:color="auto"/>
            </w:tcBorders>
            <w:shd w:val="clear" w:color="auto" w:fill="auto"/>
            <w:vAlign w:val="center"/>
          </w:tcPr>
          <w:p w14:paraId="5278BC26" w14:textId="23E29441"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26</w:t>
            </w:r>
          </w:p>
        </w:tc>
        <w:tc>
          <w:tcPr>
            <w:tcW w:w="1350" w:type="dxa"/>
            <w:tcBorders>
              <w:top w:val="single" w:sz="4" w:space="0" w:color="auto"/>
              <w:left w:val="nil"/>
              <w:bottom w:val="single" w:sz="4" w:space="0" w:color="auto"/>
              <w:right w:val="single" w:sz="4" w:space="0" w:color="auto"/>
            </w:tcBorders>
            <w:vAlign w:val="center"/>
          </w:tcPr>
          <w:p w14:paraId="7CD6D997" w14:textId="470065F6" w:rsidR="00B773B1" w:rsidRPr="0074057C" w:rsidRDefault="00B773B1">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0.4%</w:t>
            </w:r>
          </w:p>
        </w:tc>
        <w:tc>
          <w:tcPr>
            <w:tcW w:w="1710" w:type="dxa"/>
            <w:tcBorders>
              <w:top w:val="nil"/>
              <w:left w:val="single" w:sz="4" w:space="0" w:color="auto"/>
              <w:bottom w:val="single" w:sz="4" w:space="0" w:color="auto"/>
              <w:right w:val="single" w:sz="4" w:space="0" w:color="auto"/>
            </w:tcBorders>
            <w:vAlign w:val="center"/>
          </w:tcPr>
          <w:p w14:paraId="59666340" w14:textId="43BE18F3" w:rsidR="00B773B1" w:rsidRPr="0074057C" w:rsidRDefault="00B773B1">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-$38,346</w:t>
            </w:r>
          </w:p>
        </w:tc>
        <w:tc>
          <w:tcPr>
            <w:tcW w:w="1080" w:type="dxa"/>
            <w:tcBorders>
              <w:top w:val="nil"/>
              <w:left w:val="nil"/>
              <w:bottom w:val="single" w:sz="4" w:space="0" w:color="auto"/>
              <w:right w:val="single" w:sz="4" w:space="0" w:color="auto"/>
            </w:tcBorders>
            <w:shd w:val="clear" w:color="auto" w:fill="auto"/>
            <w:vAlign w:val="center"/>
          </w:tcPr>
          <w:p w14:paraId="47FA6F95" w14:textId="3C5E18B1"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7.0%</w:t>
            </w:r>
          </w:p>
        </w:tc>
        <w:tc>
          <w:tcPr>
            <w:tcW w:w="1350" w:type="dxa"/>
            <w:tcBorders>
              <w:top w:val="nil"/>
              <w:left w:val="nil"/>
              <w:bottom w:val="single" w:sz="4" w:space="0" w:color="auto"/>
              <w:right w:val="single" w:sz="4" w:space="0" w:color="auto"/>
            </w:tcBorders>
            <w:vAlign w:val="center"/>
          </w:tcPr>
          <w:p w14:paraId="6D977F18" w14:textId="14DFFE46"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-$1,475</w:t>
            </w:r>
          </w:p>
        </w:tc>
      </w:tr>
      <w:tr w:rsidR="00B773B1" w:rsidRPr="00D5431D" w14:paraId="2AAABFCE" w14:textId="77777777" w:rsidTr="00847706">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8279068" w14:textId="77777777" w:rsidR="00B773B1" w:rsidRPr="00D5431D" w:rsidRDefault="00B773B1" w:rsidP="00B773B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All others</w:t>
            </w:r>
          </w:p>
        </w:tc>
        <w:tc>
          <w:tcPr>
            <w:tcW w:w="1350" w:type="dxa"/>
            <w:tcBorders>
              <w:top w:val="nil"/>
              <w:left w:val="nil"/>
              <w:bottom w:val="single" w:sz="4" w:space="0" w:color="auto"/>
              <w:right w:val="single" w:sz="4" w:space="0" w:color="auto"/>
            </w:tcBorders>
            <w:shd w:val="clear" w:color="auto" w:fill="auto"/>
            <w:vAlign w:val="center"/>
          </w:tcPr>
          <w:p w14:paraId="70DB8B3E" w14:textId="465E55AF"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6,126</w:t>
            </w:r>
          </w:p>
        </w:tc>
        <w:tc>
          <w:tcPr>
            <w:tcW w:w="1350" w:type="dxa"/>
            <w:tcBorders>
              <w:top w:val="single" w:sz="4" w:space="0" w:color="auto"/>
              <w:left w:val="nil"/>
              <w:bottom w:val="single" w:sz="4" w:space="0" w:color="auto"/>
              <w:right w:val="single" w:sz="4" w:space="0" w:color="auto"/>
            </w:tcBorders>
            <w:vAlign w:val="center"/>
          </w:tcPr>
          <w:p w14:paraId="3179C2D5" w14:textId="3047DD4C" w:rsidR="00B773B1" w:rsidRPr="0074057C" w:rsidRDefault="00B773B1">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86.9%</w:t>
            </w:r>
          </w:p>
        </w:tc>
        <w:tc>
          <w:tcPr>
            <w:tcW w:w="1710" w:type="dxa"/>
            <w:tcBorders>
              <w:top w:val="nil"/>
              <w:left w:val="single" w:sz="4" w:space="0" w:color="auto"/>
              <w:bottom w:val="single" w:sz="4" w:space="0" w:color="auto"/>
              <w:right w:val="single" w:sz="4" w:space="0" w:color="auto"/>
            </w:tcBorders>
            <w:vAlign w:val="center"/>
          </w:tcPr>
          <w:p w14:paraId="27344238" w14:textId="64B82526" w:rsidR="00B773B1" w:rsidRPr="0074057C" w:rsidRDefault="00B773B1">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-$82,304</w:t>
            </w:r>
          </w:p>
        </w:tc>
        <w:tc>
          <w:tcPr>
            <w:tcW w:w="1080" w:type="dxa"/>
            <w:tcBorders>
              <w:top w:val="nil"/>
              <w:left w:val="nil"/>
              <w:bottom w:val="single" w:sz="4" w:space="0" w:color="auto"/>
              <w:right w:val="single" w:sz="4" w:space="0" w:color="auto"/>
            </w:tcBorders>
            <w:shd w:val="clear" w:color="auto" w:fill="auto"/>
            <w:vAlign w:val="center"/>
          </w:tcPr>
          <w:p w14:paraId="1ADD13D8" w14:textId="54AC34A3"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14.9%</w:t>
            </w:r>
          </w:p>
        </w:tc>
        <w:tc>
          <w:tcPr>
            <w:tcW w:w="1350" w:type="dxa"/>
            <w:tcBorders>
              <w:top w:val="nil"/>
              <w:left w:val="nil"/>
              <w:bottom w:val="single" w:sz="4" w:space="0" w:color="auto"/>
              <w:right w:val="single" w:sz="4" w:space="0" w:color="auto"/>
            </w:tcBorders>
            <w:vAlign w:val="center"/>
          </w:tcPr>
          <w:p w14:paraId="2E4F1378" w14:textId="6CB6477C"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-$13</w:t>
            </w:r>
          </w:p>
        </w:tc>
      </w:tr>
      <w:tr w:rsidR="00B773B1" w:rsidRPr="00D5431D" w14:paraId="479DD7A9" w14:textId="77777777" w:rsidTr="00847706">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38D1A2C" w14:textId="77777777" w:rsidR="00B773B1" w:rsidRPr="00D5431D" w:rsidRDefault="00B773B1" w:rsidP="00B773B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Total or average</w:t>
            </w:r>
          </w:p>
        </w:tc>
        <w:tc>
          <w:tcPr>
            <w:tcW w:w="1350" w:type="dxa"/>
            <w:tcBorders>
              <w:top w:val="nil"/>
              <w:left w:val="nil"/>
              <w:bottom w:val="single" w:sz="4" w:space="0" w:color="auto"/>
              <w:right w:val="single" w:sz="4" w:space="0" w:color="auto"/>
            </w:tcBorders>
            <w:shd w:val="clear" w:color="auto" w:fill="auto"/>
            <w:vAlign w:val="center"/>
          </w:tcPr>
          <w:p w14:paraId="0732101C" w14:textId="2C09ECC6"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7,049</w:t>
            </w:r>
          </w:p>
        </w:tc>
        <w:tc>
          <w:tcPr>
            <w:tcW w:w="1350" w:type="dxa"/>
            <w:tcBorders>
              <w:top w:val="single" w:sz="4" w:space="0" w:color="auto"/>
              <w:left w:val="nil"/>
              <w:bottom w:val="single" w:sz="4" w:space="0" w:color="auto"/>
              <w:right w:val="single" w:sz="4" w:space="0" w:color="auto"/>
            </w:tcBorders>
            <w:vAlign w:val="center"/>
          </w:tcPr>
          <w:p w14:paraId="26A0BB0B" w14:textId="4F101544" w:rsidR="00B773B1" w:rsidRPr="0074057C" w:rsidRDefault="00B773B1">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100.0%</w:t>
            </w:r>
          </w:p>
        </w:tc>
        <w:tc>
          <w:tcPr>
            <w:tcW w:w="1710" w:type="dxa"/>
            <w:tcBorders>
              <w:top w:val="nil"/>
              <w:left w:val="single" w:sz="4" w:space="0" w:color="auto"/>
              <w:bottom w:val="single" w:sz="4" w:space="0" w:color="auto"/>
              <w:right w:val="single" w:sz="4" w:space="0" w:color="auto"/>
            </w:tcBorders>
            <w:vAlign w:val="center"/>
          </w:tcPr>
          <w:p w14:paraId="7F3469A9" w14:textId="7C5D0252" w:rsidR="00B773B1" w:rsidRPr="0074057C" w:rsidRDefault="00B773B1">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-$551,690</w:t>
            </w:r>
          </w:p>
        </w:tc>
        <w:tc>
          <w:tcPr>
            <w:tcW w:w="1080" w:type="dxa"/>
            <w:tcBorders>
              <w:top w:val="nil"/>
              <w:left w:val="nil"/>
              <w:bottom w:val="single" w:sz="4" w:space="0" w:color="auto"/>
              <w:right w:val="single" w:sz="4" w:space="0" w:color="auto"/>
            </w:tcBorders>
            <w:shd w:val="clear" w:color="auto" w:fill="auto"/>
            <w:vAlign w:val="center"/>
          </w:tcPr>
          <w:p w14:paraId="18C68257" w14:textId="7F9111D9"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100.0%</w:t>
            </w:r>
          </w:p>
        </w:tc>
        <w:tc>
          <w:tcPr>
            <w:tcW w:w="1350" w:type="dxa"/>
            <w:tcBorders>
              <w:top w:val="nil"/>
              <w:left w:val="nil"/>
              <w:bottom w:val="single" w:sz="4" w:space="0" w:color="auto"/>
              <w:right w:val="single" w:sz="4" w:space="0" w:color="auto"/>
            </w:tcBorders>
            <w:vAlign w:val="center"/>
          </w:tcPr>
          <w:p w14:paraId="12830685" w14:textId="2C9B02AC" w:rsidR="00B773B1" w:rsidRPr="0074057C" w:rsidRDefault="00B773B1">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-$78</w:t>
            </w:r>
          </w:p>
        </w:tc>
      </w:tr>
    </w:tbl>
    <w:p w14:paraId="0D6742D8" w14:textId="77777777" w:rsidR="00B773B1" w:rsidRPr="00212BA2" w:rsidRDefault="00B773B1" w:rsidP="00B773B1">
      <w:pPr>
        <w:tabs>
          <w:tab w:val="left" w:pos="7050"/>
        </w:tabs>
        <w:spacing w:after="0"/>
        <w:rPr>
          <w:rFonts w:asciiTheme="majorHAnsi" w:eastAsiaTheme="majorEastAsia" w:hAnsiTheme="majorHAnsi" w:cstheme="majorBidi"/>
          <w:bCs/>
          <w:color w:val="000000" w:themeColor="text1"/>
          <w:sz w:val="18"/>
          <w:szCs w:val="18"/>
        </w:rPr>
      </w:pPr>
      <w:r w:rsidRPr="00212BA2">
        <w:rPr>
          <w:rFonts w:asciiTheme="majorHAnsi" w:eastAsiaTheme="majorEastAsia" w:hAnsiTheme="majorHAnsi" w:cstheme="majorBidi"/>
          <w:bCs/>
          <w:color w:val="000000" w:themeColor="text1"/>
          <w:sz w:val="18"/>
          <w:szCs w:val="18"/>
        </w:rPr>
        <w:t xml:space="preserve">  Source: Department of Revenue (2017 corporate excise return)</w:t>
      </w:r>
    </w:p>
    <w:p w14:paraId="4D7C00C8" w14:textId="77777777" w:rsidR="00B773B1" w:rsidRPr="00212BA2" w:rsidRDefault="00B773B1" w:rsidP="00B773B1">
      <w:pPr>
        <w:spacing w:after="0"/>
        <w:rPr>
          <w:rFonts w:asciiTheme="majorHAnsi" w:hAnsiTheme="majorHAnsi"/>
          <w:bCs/>
          <w:sz w:val="18"/>
          <w:szCs w:val="18"/>
        </w:rPr>
      </w:pPr>
      <w:r w:rsidRPr="00212BA2">
        <w:rPr>
          <w:rFonts w:asciiTheme="majorHAnsi" w:eastAsiaTheme="majorEastAsia" w:hAnsiTheme="majorHAnsi" w:cstheme="majorBidi"/>
          <w:bCs/>
          <w:color w:val="000000" w:themeColor="text1"/>
          <w:sz w:val="18"/>
          <w:szCs w:val="18"/>
        </w:rPr>
        <w:t xml:space="preserve">  Note: 1. The data</w:t>
      </w:r>
      <w:r w:rsidRPr="00212BA2">
        <w:rPr>
          <w:rFonts w:asciiTheme="majorHAnsi" w:hAnsiTheme="majorHAnsi"/>
          <w:bCs/>
          <w:sz w:val="18"/>
          <w:szCs w:val="18"/>
        </w:rPr>
        <w:t xml:space="preserve"> are preliminary and subject to </w:t>
      </w:r>
      <w:r w:rsidRPr="00212BA2">
        <w:rPr>
          <w:rFonts w:ascii="Cambria" w:eastAsia="Times New Roman" w:hAnsi="Cambria" w:cs="Helvetica"/>
          <w:color w:val="000000"/>
          <w:sz w:val="18"/>
          <w:szCs w:val="18"/>
          <w:lang w:eastAsia="ko-KR"/>
        </w:rPr>
        <w:t>change</w:t>
      </w:r>
      <w:r w:rsidRPr="00212BA2">
        <w:rPr>
          <w:rFonts w:asciiTheme="majorHAnsi" w:hAnsiTheme="majorHAnsi"/>
          <w:bCs/>
          <w:sz w:val="18"/>
          <w:szCs w:val="18"/>
        </w:rPr>
        <w:t xml:space="preserve">. </w:t>
      </w:r>
    </w:p>
    <w:p w14:paraId="2936C7DB" w14:textId="05A985A5" w:rsidR="00B773B1" w:rsidRPr="00212BA2" w:rsidRDefault="00212BA2" w:rsidP="00B773B1">
      <w:pPr>
        <w:spacing w:after="0"/>
        <w:rPr>
          <w:rFonts w:asciiTheme="majorHAnsi" w:hAnsiTheme="majorHAnsi"/>
          <w:bCs/>
          <w:sz w:val="18"/>
          <w:szCs w:val="18"/>
        </w:rPr>
      </w:pPr>
      <w:r w:rsidRPr="00212BA2">
        <w:rPr>
          <w:rFonts w:asciiTheme="majorHAnsi" w:hAnsiTheme="majorHAnsi"/>
          <w:bCs/>
          <w:sz w:val="18"/>
          <w:szCs w:val="18"/>
        </w:rPr>
        <w:t xml:space="preserve">             </w:t>
      </w:r>
      <w:r w:rsidR="00B773B1" w:rsidRPr="00212BA2">
        <w:rPr>
          <w:rFonts w:asciiTheme="majorHAnsi" w:hAnsiTheme="majorHAnsi"/>
          <w:bCs/>
          <w:sz w:val="18"/>
          <w:szCs w:val="18"/>
        </w:rPr>
        <w:t>2. Negative number</w:t>
      </w:r>
      <w:r w:rsidR="00BB1B5B" w:rsidRPr="00212BA2">
        <w:rPr>
          <w:rFonts w:asciiTheme="majorHAnsi" w:hAnsiTheme="majorHAnsi"/>
          <w:bCs/>
          <w:sz w:val="18"/>
          <w:szCs w:val="18"/>
        </w:rPr>
        <w:t>s</w:t>
      </w:r>
      <w:r w:rsidR="00B773B1" w:rsidRPr="00212BA2">
        <w:rPr>
          <w:rFonts w:asciiTheme="majorHAnsi" w:hAnsiTheme="majorHAnsi"/>
          <w:bCs/>
          <w:sz w:val="18"/>
          <w:szCs w:val="18"/>
        </w:rPr>
        <w:t xml:space="preserve"> indicate that taxpayers owe less tax</w:t>
      </w:r>
      <w:r w:rsidR="0074057C" w:rsidRPr="00212BA2">
        <w:rPr>
          <w:rFonts w:asciiTheme="majorHAnsi" w:hAnsiTheme="majorHAnsi"/>
          <w:bCs/>
          <w:sz w:val="18"/>
          <w:szCs w:val="18"/>
        </w:rPr>
        <w:t xml:space="preserve"> using formulas with higher weighted sales factor than using the formula with </w:t>
      </w:r>
      <w:r w:rsidR="00A0692D" w:rsidRPr="00847706">
        <w:rPr>
          <w:rFonts w:asciiTheme="majorHAnsi" w:hAnsiTheme="majorHAnsi"/>
          <w:bCs/>
          <w:sz w:val="18"/>
          <w:szCs w:val="18"/>
        </w:rPr>
        <w:t>equal-weighted factors</w:t>
      </w:r>
      <w:r w:rsidR="00B773B1" w:rsidRPr="00212BA2">
        <w:rPr>
          <w:rFonts w:asciiTheme="majorHAnsi" w:hAnsiTheme="majorHAnsi"/>
          <w:bCs/>
          <w:sz w:val="18"/>
          <w:szCs w:val="18"/>
        </w:rPr>
        <w:t>.</w:t>
      </w:r>
    </w:p>
    <w:p w14:paraId="369FA63E" w14:textId="1D140C73" w:rsidR="008A391D" w:rsidRDefault="008A391D" w:rsidP="008A391D">
      <w:pPr>
        <w:tabs>
          <w:tab w:val="left" w:pos="7050"/>
        </w:tabs>
        <w:spacing w:after="0"/>
        <w:rPr>
          <w:rFonts w:asciiTheme="majorHAnsi" w:eastAsiaTheme="majorEastAsia" w:hAnsiTheme="majorHAnsi" w:cstheme="majorBidi"/>
          <w:bCs/>
          <w:color w:val="000000" w:themeColor="text1"/>
          <w:sz w:val="24"/>
          <w:szCs w:val="24"/>
        </w:rPr>
      </w:pPr>
    </w:p>
    <w:p w14:paraId="25B96866" w14:textId="3CD1C58C" w:rsidR="008A391D" w:rsidRDefault="008A391D" w:rsidP="008A391D">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Table </w:t>
      </w:r>
      <w:r w:rsidR="00F3519F">
        <w:rPr>
          <w:rFonts w:asciiTheme="majorHAnsi" w:eastAsiaTheme="majorEastAsia" w:hAnsiTheme="majorHAnsi" w:cstheme="majorBidi"/>
          <w:bCs/>
          <w:color w:val="000000" w:themeColor="text1"/>
          <w:sz w:val="24"/>
          <w:szCs w:val="24"/>
        </w:rPr>
        <w:t>A1-2</w:t>
      </w:r>
      <w:r>
        <w:rPr>
          <w:rFonts w:asciiTheme="majorHAnsi" w:eastAsiaTheme="majorEastAsia" w:hAnsiTheme="majorHAnsi" w:cstheme="majorBidi"/>
          <w:bCs/>
          <w:color w:val="000000" w:themeColor="text1"/>
          <w:sz w:val="24"/>
          <w:szCs w:val="24"/>
        </w:rPr>
        <w:t xml:space="preserve"> </w:t>
      </w:r>
      <w:r w:rsidR="003946B1">
        <w:rPr>
          <w:rFonts w:asciiTheme="majorHAnsi" w:eastAsiaTheme="majorEastAsia" w:hAnsiTheme="majorHAnsi" w:cstheme="majorBidi"/>
          <w:bCs/>
          <w:color w:val="000000" w:themeColor="text1"/>
          <w:sz w:val="24"/>
          <w:szCs w:val="24"/>
        </w:rPr>
        <w:t xml:space="preserve">below </w:t>
      </w:r>
      <w:r>
        <w:rPr>
          <w:rFonts w:asciiTheme="majorHAnsi" w:eastAsiaTheme="majorEastAsia" w:hAnsiTheme="majorHAnsi" w:cstheme="majorBidi"/>
          <w:bCs/>
          <w:color w:val="000000" w:themeColor="text1"/>
          <w:sz w:val="24"/>
          <w:szCs w:val="24"/>
        </w:rPr>
        <w:t xml:space="preserve">shows that, in tax year 2017, </w:t>
      </w:r>
      <w:r>
        <w:rPr>
          <w:rFonts w:asciiTheme="majorHAnsi" w:hAnsiTheme="majorHAnsi"/>
          <w:sz w:val="24"/>
          <w:szCs w:val="24"/>
        </w:rPr>
        <w:t>about 33.</w:t>
      </w:r>
      <w:r w:rsidR="00F3519F">
        <w:rPr>
          <w:rFonts w:asciiTheme="majorHAnsi" w:hAnsiTheme="majorHAnsi"/>
          <w:sz w:val="24"/>
          <w:szCs w:val="24"/>
        </w:rPr>
        <w:t>1</w:t>
      </w:r>
      <w:r>
        <w:rPr>
          <w:rFonts w:asciiTheme="majorHAnsi" w:hAnsiTheme="majorHAnsi"/>
          <w:sz w:val="24"/>
          <w:szCs w:val="24"/>
        </w:rPr>
        <w:t xml:space="preserve">% of </w:t>
      </w:r>
      <w:r>
        <w:rPr>
          <w:rFonts w:asciiTheme="majorHAnsi" w:eastAsiaTheme="majorEastAsia" w:hAnsiTheme="majorHAnsi" w:cstheme="majorBidi"/>
          <w:bCs/>
          <w:color w:val="000000" w:themeColor="text1"/>
          <w:sz w:val="24"/>
          <w:szCs w:val="24"/>
        </w:rPr>
        <w:t xml:space="preserve">the corporations that benefited from </w:t>
      </w:r>
      <w:r w:rsidRPr="00650A9F">
        <w:rPr>
          <w:rFonts w:asciiTheme="majorHAnsi" w:hAnsiTheme="majorHAnsi"/>
          <w:sz w:val="24"/>
          <w:szCs w:val="24"/>
        </w:rPr>
        <w:t>formulas with</w:t>
      </w:r>
      <w:r>
        <w:rPr>
          <w:rFonts w:asciiTheme="majorHAnsi" w:hAnsiTheme="majorHAnsi"/>
          <w:sz w:val="24"/>
          <w:szCs w:val="24"/>
        </w:rPr>
        <w:t xml:space="preserve"> higher </w:t>
      </w:r>
      <w:r w:rsidRPr="00650A9F">
        <w:rPr>
          <w:rFonts w:asciiTheme="majorHAnsi" w:hAnsiTheme="majorHAnsi"/>
          <w:sz w:val="24"/>
          <w:szCs w:val="24"/>
        </w:rPr>
        <w:t>weighted sales factor</w:t>
      </w:r>
      <w:r>
        <w:rPr>
          <w:rFonts w:asciiTheme="majorHAnsi" w:hAnsiTheme="majorHAnsi"/>
        </w:rPr>
        <w:t xml:space="preserve"> </w:t>
      </w:r>
      <w:r>
        <w:rPr>
          <w:rFonts w:asciiTheme="majorHAnsi" w:hAnsiTheme="majorHAnsi"/>
          <w:sz w:val="24"/>
          <w:szCs w:val="24"/>
        </w:rPr>
        <w:t xml:space="preserve">had taxable income ranging between $0.1 </w:t>
      </w:r>
      <w:r w:rsidRPr="00F9238A">
        <w:rPr>
          <w:rFonts w:asciiTheme="majorHAnsi" w:eastAsiaTheme="majorEastAsia" w:hAnsiTheme="majorHAnsi" w:cstheme="majorBidi"/>
          <w:bCs/>
          <w:color w:val="000000" w:themeColor="text1"/>
          <w:sz w:val="24"/>
          <w:szCs w:val="24"/>
        </w:rPr>
        <w:t>million</w:t>
      </w:r>
      <w:r>
        <w:rPr>
          <w:rFonts w:asciiTheme="majorHAnsi" w:hAnsiTheme="majorHAnsi"/>
          <w:sz w:val="24"/>
          <w:szCs w:val="24"/>
        </w:rPr>
        <w:t xml:space="preserve"> and $1 </w:t>
      </w:r>
      <w:r w:rsidRPr="00F9238A">
        <w:rPr>
          <w:rFonts w:asciiTheme="majorHAnsi" w:eastAsiaTheme="majorEastAsia" w:hAnsiTheme="majorHAnsi" w:cstheme="majorBidi"/>
          <w:bCs/>
          <w:color w:val="000000" w:themeColor="text1"/>
          <w:sz w:val="24"/>
          <w:szCs w:val="24"/>
        </w:rPr>
        <w:t>million</w:t>
      </w:r>
      <w:r>
        <w:rPr>
          <w:rFonts w:asciiTheme="majorHAnsi" w:hAnsiTheme="majorHAnsi"/>
          <w:sz w:val="24"/>
          <w:szCs w:val="24"/>
        </w:rPr>
        <w:t xml:space="preserve">, with those corporations representing </w:t>
      </w:r>
      <w:r>
        <w:rPr>
          <w:rFonts w:asciiTheme="majorHAnsi" w:eastAsiaTheme="majorEastAsia" w:hAnsiTheme="majorHAnsi" w:cstheme="majorBidi"/>
          <w:bCs/>
          <w:color w:val="000000" w:themeColor="text1"/>
          <w:sz w:val="24"/>
          <w:szCs w:val="24"/>
        </w:rPr>
        <w:t>17.</w:t>
      </w:r>
      <w:r w:rsidR="00F3519F">
        <w:rPr>
          <w:rFonts w:asciiTheme="majorHAnsi" w:eastAsiaTheme="majorEastAsia" w:hAnsiTheme="majorHAnsi" w:cstheme="majorBidi"/>
          <w:bCs/>
          <w:color w:val="000000" w:themeColor="text1"/>
          <w:sz w:val="24"/>
          <w:szCs w:val="24"/>
        </w:rPr>
        <w:t>9</w:t>
      </w:r>
      <w:r>
        <w:rPr>
          <w:rFonts w:asciiTheme="majorHAnsi" w:eastAsiaTheme="majorEastAsia" w:hAnsiTheme="majorHAnsi" w:cstheme="majorBidi"/>
          <w:bCs/>
          <w:color w:val="000000" w:themeColor="text1"/>
          <w:sz w:val="24"/>
          <w:szCs w:val="24"/>
        </w:rPr>
        <w:t>% of the total tax savings of all positively impacted corporations. About 2.1% of the positively impacted corporations had more than $10 million in taxable income, representing 33.</w:t>
      </w:r>
      <w:r w:rsidR="00F3519F">
        <w:rPr>
          <w:rFonts w:asciiTheme="majorHAnsi" w:eastAsiaTheme="majorEastAsia" w:hAnsiTheme="majorHAnsi" w:cstheme="majorBidi"/>
          <w:bCs/>
          <w:color w:val="000000" w:themeColor="text1"/>
          <w:sz w:val="24"/>
          <w:szCs w:val="24"/>
        </w:rPr>
        <w:t>3</w:t>
      </w:r>
      <w:r>
        <w:rPr>
          <w:rFonts w:asciiTheme="majorHAnsi" w:eastAsiaTheme="majorEastAsia" w:hAnsiTheme="majorHAnsi" w:cstheme="majorBidi"/>
          <w:bCs/>
          <w:color w:val="000000" w:themeColor="text1"/>
          <w:sz w:val="24"/>
          <w:szCs w:val="24"/>
        </w:rPr>
        <w:t>% of the total tax savings of all positively impacted corporations and having the highest average tax savings of all beneficiaries of the tax expenditure ($1.2 million compared with $7</w:t>
      </w:r>
      <w:r w:rsidR="00F3519F">
        <w:rPr>
          <w:rFonts w:asciiTheme="majorHAnsi" w:eastAsiaTheme="majorEastAsia" w:hAnsiTheme="majorHAnsi" w:cstheme="majorBidi"/>
          <w:bCs/>
          <w:color w:val="000000" w:themeColor="text1"/>
          <w:sz w:val="24"/>
          <w:szCs w:val="24"/>
        </w:rPr>
        <w:t>8</w:t>
      </w:r>
      <w:r>
        <w:rPr>
          <w:rFonts w:asciiTheme="majorHAnsi" w:eastAsiaTheme="majorEastAsia" w:hAnsiTheme="majorHAnsi" w:cstheme="majorBidi"/>
          <w:bCs/>
          <w:color w:val="000000" w:themeColor="text1"/>
          <w:sz w:val="24"/>
          <w:szCs w:val="24"/>
        </w:rPr>
        <w:t>,000 for all positively affected corporations).</w:t>
      </w:r>
    </w:p>
    <w:p w14:paraId="54E6DCA8" w14:textId="77777777" w:rsidR="008A391D" w:rsidRDefault="008A391D" w:rsidP="008A391D">
      <w:pPr>
        <w:spacing w:after="0"/>
        <w:rPr>
          <w:rFonts w:asciiTheme="majorHAnsi" w:eastAsiaTheme="majorEastAsia" w:hAnsiTheme="majorHAnsi" w:cstheme="majorBidi"/>
          <w:bCs/>
          <w:color w:val="000000" w:themeColor="text1"/>
          <w:sz w:val="24"/>
          <w:szCs w:val="24"/>
        </w:rPr>
      </w:pPr>
    </w:p>
    <w:p w14:paraId="44C8BE1A" w14:textId="2A3919A8" w:rsidR="00B773B1" w:rsidRDefault="00B773B1" w:rsidP="00B773B1">
      <w:pPr>
        <w:tabs>
          <w:tab w:val="left" w:pos="1894"/>
        </w:tabs>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A1-</w:t>
      </w:r>
      <w:r w:rsidR="00F3519F">
        <w:rPr>
          <w:rFonts w:asciiTheme="majorHAnsi" w:hAnsiTheme="majorHAnsi"/>
          <w:b/>
          <w:sz w:val="24"/>
          <w:szCs w:val="24"/>
        </w:rPr>
        <w:t>2</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3946B1">
        <w:rPr>
          <w:rFonts w:asciiTheme="majorHAnsi" w:hAnsiTheme="majorHAnsi"/>
          <w:b/>
          <w:sz w:val="24"/>
          <w:szCs w:val="24"/>
        </w:rPr>
        <w:t>Decrease</w:t>
      </w:r>
      <w:r>
        <w:rPr>
          <w:rFonts w:asciiTheme="majorHAnsi" w:hAnsiTheme="majorHAnsi"/>
          <w:b/>
          <w:sz w:val="24"/>
          <w:szCs w:val="24"/>
        </w:rPr>
        <w:t xml:space="preserve"> </w:t>
      </w:r>
      <w:r w:rsidRPr="008F4A2D">
        <w:rPr>
          <w:rFonts w:asciiTheme="majorHAnsi" w:hAnsiTheme="majorHAnsi"/>
          <w:b/>
          <w:sz w:val="24"/>
          <w:szCs w:val="24"/>
        </w:rPr>
        <w:t>by Taxable Income</w:t>
      </w:r>
      <w:r>
        <w:rPr>
          <w:rFonts w:asciiTheme="majorHAnsi" w:hAnsiTheme="majorHAnsi"/>
          <w:b/>
          <w:sz w:val="24"/>
          <w:szCs w:val="24"/>
        </w:rPr>
        <w:t xml:space="preserve"> Level</w:t>
      </w:r>
      <w:r w:rsidR="003946B1">
        <w:rPr>
          <w:rFonts w:asciiTheme="majorHAnsi" w:hAnsiTheme="majorHAnsi"/>
          <w:b/>
          <w:sz w:val="24"/>
          <w:szCs w:val="24"/>
        </w:rPr>
        <w:t xml:space="preserve"> </w:t>
      </w:r>
      <w:r w:rsidR="003946B1" w:rsidRPr="00107265">
        <w:rPr>
          <w:rStyle w:val="FootnoteReference"/>
          <w:rFonts w:eastAsiaTheme="majorEastAsia"/>
          <w:b/>
          <w:bCs/>
          <w:color w:val="000000" w:themeColor="text1"/>
        </w:rPr>
        <w:t>(1)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350"/>
        <w:gridCol w:w="1350"/>
        <w:gridCol w:w="1710"/>
        <w:gridCol w:w="1170"/>
        <w:gridCol w:w="1350"/>
      </w:tblGrid>
      <w:tr w:rsidR="009F00D6" w:rsidRPr="00D5431D" w14:paraId="5FAEC20F" w14:textId="77777777" w:rsidTr="00847706">
        <w:trPr>
          <w:trHeight w:val="1610"/>
          <w:jc w:val="center"/>
        </w:trPr>
        <w:tc>
          <w:tcPr>
            <w:tcW w:w="2425" w:type="dxa"/>
            <w:shd w:val="clear" w:color="auto" w:fill="B6DDE8" w:themeFill="accent5" w:themeFillTint="66"/>
            <w:vAlign w:val="center"/>
            <w:hideMark/>
          </w:tcPr>
          <w:p w14:paraId="6431D791" w14:textId="77777777" w:rsidR="009F00D6" w:rsidRPr="00EE5936" w:rsidRDefault="009F00D6" w:rsidP="009F00D6">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Taxable Income Range </w:t>
            </w:r>
          </w:p>
        </w:tc>
        <w:tc>
          <w:tcPr>
            <w:tcW w:w="1350" w:type="dxa"/>
            <w:shd w:val="clear" w:color="auto" w:fill="B6DDE8" w:themeFill="accent5" w:themeFillTint="66"/>
            <w:vAlign w:val="center"/>
            <w:hideMark/>
          </w:tcPr>
          <w:p w14:paraId="6727B3A2" w14:textId="35400AF8" w:rsidR="009F00D6" w:rsidRPr="00EE5936" w:rsidRDefault="009F00D6" w:rsidP="009F00D6">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Number of</w:t>
            </w:r>
            <w:r>
              <w:rPr>
                <w:rFonts w:ascii="Cambria" w:eastAsia="Times New Roman" w:hAnsi="Cambria" w:cs="Helvetica"/>
                <w:color w:val="000000"/>
                <w:sz w:val="20"/>
                <w:szCs w:val="20"/>
                <w:lang w:eastAsia="ko-KR"/>
              </w:rPr>
              <w:t xml:space="preserve"> Positively</w:t>
            </w:r>
            <w:r w:rsidRPr="00D5431D">
              <w:rPr>
                <w:rFonts w:ascii="Cambria" w:eastAsia="Times New Roman" w:hAnsi="Cambria" w:cs="Helvetica"/>
                <w:color w:val="000000"/>
                <w:sz w:val="20"/>
                <w:szCs w:val="20"/>
                <w:lang w:eastAsia="ko-KR"/>
              </w:rPr>
              <w:t xml:space="preserve"> Impacted Corporations</w:t>
            </w:r>
          </w:p>
        </w:tc>
        <w:tc>
          <w:tcPr>
            <w:tcW w:w="1350" w:type="dxa"/>
            <w:shd w:val="clear" w:color="auto" w:fill="B6DDE8" w:themeFill="accent5" w:themeFillTint="66"/>
            <w:vAlign w:val="center"/>
            <w:hideMark/>
          </w:tcPr>
          <w:p w14:paraId="79234582" w14:textId="0279DC7B" w:rsidR="009F00D6" w:rsidRPr="00EE5936" w:rsidRDefault="009F00D6" w:rsidP="009F00D6">
            <w:pPr>
              <w:spacing w:after="0" w:line="240" w:lineRule="auto"/>
              <w:jc w:val="center"/>
              <w:rPr>
                <w:rFonts w:ascii="Cambria" w:eastAsia="Times New Roman" w:hAnsi="Cambria" w:cs="Helvetica"/>
                <w:i/>
                <w:iCs/>
                <w:color w:val="000000"/>
                <w:sz w:val="20"/>
                <w:szCs w:val="20"/>
                <w:lang w:eastAsia="ko-KR"/>
              </w:rPr>
            </w:pPr>
            <w:r w:rsidRPr="00D5431D">
              <w:rPr>
                <w:rFonts w:ascii="Cambria" w:eastAsia="Times New Roman" w:hAnsi="Cambria" w:cs="Helvetica"/>
                <w:color w:val="000000"/>
                <w:sz w:val="20"/>
                <w:szCs w:val="20"/>
                <w:lang w:eastAsia="ko-KR"/>
              </w:rPr>
              <w:t xml:space="preserve">% of Total Number of </w:t>
            </w:r>
            <w:r>
              <w:rPr>
                <w:rFonts w:ascii="Cambria" w:eastAsia="Times New Roman" w:hAnsi="Cambria" w:cs="Helvetica"/>
                <w:color w:val="000000"/>
                <w:sz w:val="20"/>
                <w:szCs w:val="20"/>
                <w:lang w:eastAsia="ko-KR"/>
              </w:rPr>
              <w:t>Positively</w:t>
            </w:r>
            <w:r w:rsidRPr="00D5431D">
              <w:rPr>
                <w:rFonts w:ascii="Cambria" w:eastAsia="Times New Roman" w:hAnsi="Cambria" w:cs="Helvetica"/>
                <w:color w:val="000000"/>
                <w:sz w:val="20"/>
                <w:szCs w:val="20"/>
                <w:lang w:eastAsia="ko-KR"/>
              </w:rPr>
              <w:t xml:space="preserve"> Impacted Corporations</w:t>
            </w:r>
          </w:p>
        </w:tc>
        <w:tc>
          <w:tcPr>
            <w:tcW w:w="1710" w:type="dxa"/>
            <w:shd w:val="clear" w:color="auto" w:fill="B6DDE8" w:themeFill="accent5" w:themeFillTint="66"/>
            <w:vAlign w:val="center"/>
            <w:hideMark/>
          </w:tcPr>
          <w:p w14:paraId="592E8F80" w14:textId="18209843" w:rsidR="009F00D6" w:rsidRPr="00EE5936" w:rsidRDefault="009F00D6" w:rsidP="009F00D6">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3946B1">
              <w:rPr>
                <w:rFonts w:ascii="Cambria" w:eastAsia="Times New Roman" w:hAnsi="Cambria" w:cs="Helvetica"/>
                <w:color w:val="000000"/>
                <w:sz w:val="20"/>
                <w:szCs w:val="20"/>
                <w:lang w:eastAsia="ko-KR"/>
              </w:rPr>
              <w:t>Decrease</w:t>
            </w:r>
            <w:r w:rsidRPr="00D5431D">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u</w:t>
            </w:r>
            <w:r w:rsidRPr="00D5431D">
              <w:rPr>
                <w:rFonts w:ascii="Cambria" w:eastAsia="Times New Roman" w:hAnsi="Cambria" w:cs="Helvetica"/>
                <w:color w:val="000000"/>
                <w:sz w:val="20"/>
                <w:szCs w:val="20"/>
                <w:lang w:eastAsia="ko-KR"/>
              </w:rPr>
              <w:t xml:space="preserve">sing Formulas with </w:t>
            </w:r>
            <w:r>
              <w:rPr>
                <w:rFonts w:ascii="Cambria" w:eastAsia="Times New Roman" w:hAnsi="Cambria" w:cs="Helvetica"/>
                <w:color w:val="000000"/>
                <w:sz w:val="20"/>
                <w:szCs w:val="20"/>
                <w:lang w:eastAsia="ko-KR"/>
              </w:rPr>
              <w:t xml:space="preserve">Higher </w:t>
            </w:r>
            <w:r w:rsidRPr="00D5431D">
              <w:rPr>
                <w:rFonts w:ascii="Cambria" w:eastAsia="Times New Roman" w:hAnsi="Cambria" w:cs="Helvetica"/>
                <w:color w:val="000000"/>
                <w:sz w:val="20"/>
                <w:szCs w:val="20"/>
                <w:lang w:eastAsia="ko-KR"/>
              </w:rPr>
              <w:t>Weighted Sales Factor ($000)</w:t>
            </w:r>
            <w:r w:rsidR="003946B1">
              <w:rPr>
                <w:rFonts w:ascii="Cambria" w:eastAsia="Times New Roman" w:hAnsi="Cambria" w:cs="Helvetica"/>
                <w:color w:val="000000"/>
                <w:sz w:val="20"/>
                <w:szCs w:val="20"/>
                <w:lang w:eastAsia="ko-KR"/>
              </w:rPr>
              <w:t xml:space="preserve"> </w:t>
            </w:r>
            <w:r w:rsidR="003946B1" w:rsidRPr="00107265">
              <w:rPr>
                <w:rStyle w:val="FootnoteReference"/>
                <w:rFonts w:eastAsiaTheme="majorEastAsia"/>
                <w:color w:val="000000" w:themeColor="text1"/>
              </w:rPr>
              <w:t>(2)</w:t>
            </w:r>
          </w:p>
        </w:tc>
        <w:tc>
          <w:tcPr>
            <w:tcW w:w="1170" w:type="dxa"/>
            <w:shd w:val="clear" w:color="auto" w:fill="B6DDE8" w:themeFill="accent5" w:themeFillTint="66"/>
            <w:vAlign w:val="center"/>
            <w:hideMark/>
          </w:tcPr>
          <w:p w14:paraId="6A440454" w14:textId="26B5EEC0" w:rsidR="009F00D6" w:rsidRPr="00EE5936" w:rsidRDefault="009F00D6" w:rsidP="009F00D6">
            <w:pPr>
              <w:spacing w:after="0" w:line="240" w:lineRule="auto"/>
              <w:jc w:val="center"/>
              <w:rPr>
                <w:rFonts w:ascii="Cambria" w:eastAsia="Times New Roman" w:hAnsi="Cambria" w:cs="Helvetica"/>
                <w:i/>
                <w:iCs/>
                <w:color w:val="000000"/>
                <w:sz w:val="20"/>
                <w:szCs w:val="20"/>
                <w:lang w:eastAsia="ko-KR"/>
              </w:rPr>
            </w:pPr>
            <w:r w:rsidRPr="00EE5936">
              <w:rPr>
                <w:rFonts w:ascii="Cambria" w:eastAsia="Times New Roman" w:hAnsi="Cambria" w:cs="Helvetica"/>
                <w:color w:val="000000"/>
                <w:sz w:val="20"/>
                <w:szCs w:val="20"/>
                <w:lang w:eastAsia="ko-KR"/>
              </w:rPr>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3946B1">
              <w:rPr>
                <w:rFonts w:ascii="Cambria" w:eastAsia="Times New Roman" w:hAnsi="Cambria" w:cs="Helvetica"/>
                <w:color w:val="000000"/>
                <w:sz w:val="20"/>
                <w:szCs w:val="20"/>
                <w:lang w:eastAsia="ko-KR"/>
              </w:rPr>
              <w:t>Decrease</w:t>
            </w:r>
          </w:p>
        </w:tc>
        <w:tc>
          <w:tcPr>
            <w:tcW w:w="1350" w:type="dxa"/>
            <w:shd w:val="clear" w:color="auto" w:fill="B6DDE8" w:themeFill="accent5" w:themeFillTint="66"/>
            <w:vAlign w:val="center"/>
            <w:hideMark/>
          </w:tcPr>
          <w:p w14:paraId="4E66FAC2" w14:textId="6033E5F2" w:rsidR="009F00D6" w:rsidRPr="00EE5936" w:rsidRDefault="009F00D6" w:rsidP="009F00D6">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3946B1">
              <w:rPr>
                <w:rFonts w:ascii="Cambria" w:eastAsia="Times New Roman" w:hAnsi="Cambria" w:cs="Helvetica"/>
                <w:color w:val="000000"/>
                <w:sz w:val="20"/>
                <w:szCs w:val="20"/>
                <w:lang w:eastAsia="ko-KR"/>
              </w:rPr>
              <w:t>Decrease</w:t>
            </w:r>
            <w:r w:rsidRPr="001C5672">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 xml:space="preserve">per </w:t>
            </w:r>
            <w:r>
              <w:rPr>
                <w:rFonts w:ascii="Cambria" w:eastAsia="Times New Roman" w:hAnsi="Cambria" w:cs="Helvetica"/>
                <w:color w:val="000000"/>
                <w:sz w:val="20"/>
                <w:szCs w:val="20"/>
                <w:lang w:eastAsia="ko-KR"/>
              </w:rPr>
              <w:t xml:space="preserve">Positively </w:t>
            </w:r>
            <w:r w:rsidRPr="00EE5936">
              <w:rPr>
                <w:rFonts w:ascii="Cambria" w:eastAsia="Times New Roman" w:hAnsi="Cambria" w:cs="Helvetica"/>
                <w:color w:val="000000"/>
                <w:sz w:val="20"/>
                <w:szCs w:val="20"/>
                <w:lang w:eastAsia="ko-KR"/>
              </w:rPr>
              <w:t>Impacted Corporation ($000)</w:t>
            </w:r>
            <w:r w:rsidR="003946B1">
              <w:rPr>
                <w:rFonts w:ascii="Cambria" w:eastAsia="Times New Roman" w:hAnsi="Cambria" w:cs="Helvetica"/>
                <w:color w:val="000000"/>
                <w:sz w:val="20"/>
                <w:szCs w:val="20"/>
                <w:lang w:eastAsia="ko-KR"/>
              </w:rPr>
              <w:t xml:space="preserve"> </w:t>
            </w:r>
            <w:r w:rsidR="003946B1" w:rsidRPr="00107265">
              <w:rPr>
                <w:rStyle w:val="FootnoteReference"/>
                <w:rFonts w:eastAsiaTheme="majorEastAsia"/>
                <w:color w:val="000000" w:themeColor="text1"/>
              </w:rPr>
              <w:t>(2)</w:t>
            </w:r>
          </w:p>
        </w:tc>
      </w:tr>
      <w:tr w:rsidR="00421709" w:rsidRPr="00D5431D" w14:paraId="6A908F34" w14:textId="77777777" w:rsidTr="000E54AA">
        <w:trPr>
          <w:trHeight w:val="288"/>
          <w:jc w:val="center"/>
        </w:trPr>
        <w:tc>
          <w:tcPr>
            <w:tcW w:w="2425" w:type="dxa"/>
            <w:shd w:val="clear" w:color="auto" w:fill="auto"/>
            <w:vAlign w:val="center"/>
            <w:hideMark/>
          </w:tcPr>
          <w:p w14:paraId="4E57B4A1"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0 to $9,999</w:t>
            </w:r>
          </w:p>
        </w:tc>
        <w:tc>
          <w:tcPr>
            <w:tcW w:w="1350" w:type="dxa"/>
            <w:shd w:val="clear" w:color="auto" w:fill="auto"/>
            <w:vAlign w:val="center"/>
            <w:hideMark/>
          </w:tcPr>
          <w:p w14:paraId="15B97602" w14:textId="51A025C7"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1,398</w:t>
            </w:r>
          </w:p>
        </w:tc>
        <w:tc>
          <w:tcPr>
            <w:tcW w:w="1350" w:type="dxa"/>
            <w:shd w:val="clear" w:color="auto" w:fill="auto"/>
            <w:vAlign w:val="center"/>
            <w:hideMark/>
          </w:tcPr>
          <w:p w14:paraId="06F0E553" w14:textId="2AC23F47"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19.8%</w:t>
            </w:r>
          </w:p>
        </w:tc>
        <w:tc>
          <w:tcPr>
            <w:tcW w:w="1710" w:type="dxa"/>
            <w:shd w:val="clear" w:color="auto" w:fill="auto"/>
            <w:vAlign w:val="center"/>
            <w:hideMark/>
          </w:tcPr>
          <w:p w14:paraId="629A5646" w14:textId="6A4DA384"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-$61,058</w:t>
            </w:r>
          </w:p>
        </w:tc>
        <w:tc>
          <w:tcPr>
            <w:tcW w:w="1170" w:type="dxa"/>
            <w:shd w:val="clear" w:color="auto" w:fill="auto"/>
            <w:vAlign w:val="center"/>
            <w:hideMark/>
          </w:tcPr>
          <w:p w14:paraId="55ECB350" w14:textId="33E9ED67"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11.1%</w:t>
            </w:r>
          </w:p>
        </w:tc>
        <w:tc>
          <w:tcPr>
            <w:tcW w:w="1350" w:type="dxa"/>
            <w:shd w:val="clear" w:color="auto" w:fill="auto"/>
            <w:vAlign w:val="center"/>
            <w:hideMark/>
          </w:tcPr>
          <w:p w14:paraId="74A7F5E0" w14:textId="6CFA7C22"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-$44</w:t>
            </w:r>
          </w:p>
        </w:tc>
      </w:tr>
      <w:tr w:rsidR="00421709" w:rsidRPr="00D5431D" w14:paraId="776FFA50" w14:textId="77777777" w:rsidTr="000E54AA">
        <w:trPr>
          <w:trHeight w:val="288"/>
          <w:jc w:val="center"/>
        </w:trPr>
        <w:tc>
          <w:tcPr>
            <w:tcW w:w="2425" w:type="dxa"/>
            <w:shd w:val="clear" w:color="auto" w:fill="auto"/>
            <w:vAlign w:val="center"/>
            <w:hideMark/>
          </w:tcPr>
          <w:p w14:paraId="46D2AF68"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 to $99,999</w:t>
            </w:r>
          </w:p>
        </w:tc>
        <w:tc>
          <w:tcPr>
            <w:tcW w:w="1350" w:type="dxa"/>
            <w:shd w:val="clear" w:color="auto" w:fill="auto"/>
            <w:vAlign w:val="center"/>
            <w:hideMark/>
          </w:tcPr>
          <w:p w14:paraId="1BA009BE" w14:textId="07D6253A"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2,041</w:t>
            </w:r>
          </w:p>
        </w:tc>
        <w:tc>
          <w:tcPr>
            <w:tcW w:w="1350" w:type="dxa"/>
            <w:shd w:val="clear" w:color="auto" w:fill="auto"/>
            <w:vAlign w:val="center"/>
            <w:hideMark/>
          </w:tcPr>
          <w:p w14:paraId="65A27325" w14:textId="3178E62F"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29.0%</w:t>
            </w:r>
          </w:p>
        </w:tc>
        <w:tc>
          <w:tcPr>
            <w:tcW w:w="1710" w:type="dxa"/>
            <w:shd w:val="clear" w:color="auto" w:fill="auto"/>
            <w:vAlign w:val="center"/>
            <w:hideMark/>
          </w:tcPr>
          <w:p w14:paraId="24284A54" w14:textId="158414A5"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-$13,484</w:t>
            </w:r>
          </w:p>
        </w:tc>
        <w:tc>
          <w:tcPr>
            <w:tcW w:w="1170" w:type="dxa"/>
            <w:shd w:val="clear" w:color="auto" w:fill="auto"/>
            <w:vAlign w:val="center"/>
            <w:hideMark/>
          </w:tcPr>
          <w:p w14:paraId="38B843F8" w14:textId="5A667B84"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2.4%</w:t>
            </w:r>
          </w:p>
        </w:tc>
        <w:tc>
          <w:tcPr>
            <w:tcW w:w="1350" w:type="dxa"/>
            <w:shd w:val="clear" w:color="auto" w:fill="auto"/>
            <w:vAlign w:val="center"/>
            <w:hideMark/>
          </w:tcPr>
          <w:p w14:paraId="10145790" w14:textId="362E6D8C"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w:t>
            </w:r>
          </w:p>
        </w:tc>
      </w:tr>
      <w:tr w:rsidR="00421709" w:rsidRPr="00D5431D" w14:paraId="7D5437D4" w14:textId="77777777" w:rsidTr="000E54AA">
        <w:trPr>
          <w:trHeight w:val="288"/>
          <w:jc w:val="center"/>
        </w:trPr>
        <w:tc>
          <w:tcPr>
            <w:tcW w:w="2425" w:type="dxa"/>
            <w:shd w:val="clear" w:color="auto" w:fill="auto"/>
            <w:vAlign w:val="center"/>
            <w:hideMark/>
          </w:tcPr>
          <w:p w14:paraId="1DE2C873"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 to $999,999</w:t>
            </w:r>
          </w:p>
        </w:tc>
        <w:tc>
          <w:tcPr>
            <w:tcW w:w="1350" w:type="dxa"/>
            <w:shd w:val="clear" w:color="auto" w:fill="auto"/>
            <w:vAlign w:val="center"/>
            <w:hideMark/>
          </w:tcPr>
          <w:p w14:paraId="2030A125" w14:textId="3D5EE50F"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2,332</w:t>
            </w:r>
          </w:p>
        </w:tc>
        <w:tc>
          <w:tcPr>
            <w:tcW w:w="1350" w:type="dxa"/>
            <w:shd w:val="clear" w:color="auto" w:fill="auto"/>
            <w:vAlign w:val="center"/>
            <w:hideMark/>
          </w:tcPr>
          <w:p w14:paraId="04A2D938" w14:textId="2AE89209"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33.1%</w:t>
            </w:r>
          </w:p>
        </w:tc>
        <w:tc>
          <w:tcPr>
            <w:tcW w:w="1710" w:type="dxa"/>
            <w:shd w:val="clear" w:color="auto" w:fill="auto"/>
            <w:vAlign w:val="center"/>
            <w:hideMark/>
          </w:tcPr>
          <w:p w14:paraId="7673E579" w14:textId="5836C622"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-$98,847</w:t>
            </w:r>
          </w:p>
        </w:tc>
        <w:tc>
          <w:tcPr>
            <w:tcW w:w="1170" w:type="dxa"/>
            <w:shd w:val="clear" w:color="auto" w:fill="auto"/>
            <w:vAlign w:val="center"/>
            <w:hideMark/>
          </w:tcPr>
          <w:p w14:paraId="573752A2" w14:textId="472EC618"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17.9%</w:t>
            </w:r>
          </w:p>
        </w:tc>
        <w:tc>
          <w:tcPr>
            <w:tcW w:w="1350" w:type="dxa"/>
            <w:shd w:val="clear" w:color="auto" w:fill="auto"/>
            <w:vAlign w:val="center"/>
            <w:hideMark/>
          </w:tcPr>
          <w:p w14:paraId="0069FE7A" w14:textId="04823B8F"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-$42</w:t>
            </w:r>
          </w:p>
        </w:tc>
      </w:tr>
      <w:tr w:rsidR="00421709" w:rsidRPr="00D5431D" w14:paraId="4A1B214F" w14:textId="77777777" w:rsidTr="000E54AA">
        <w:trPr>
          <w:trHeight w:val="288"/>
          <w:jc w:val="center"/>
        </w:trPr>
        <w:tc>
          <w:tcPr>
            <w:tcW w:w="2425" w:type="dxa"/>
            <w:shd w:val="clear" w:color="auto" w:fill="auto"/>
            <w:vAlign w:val="center"/>
            <w:hideMark/>
          </w:tcPr>
          <w:p w14:paraId="22EEB1FC"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$1,000,000 to $9,999,99</w:t>
            </w:r>
          </w:p>
        </w:tc>
        <w:tc>
          <w:tcPr>
            <w:tcW w:w="1350" w:type="dxa"/>
            <w:shd w:val="clear" w:color="auto" w:fill="auto"/>
            <w:vAlign w:val="center"/>
            <w:hideMark/>
          </w:tcPr>
          <w:p w14:paraId="3A2EDD0D" w14:textId="7C8632C2"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1,130</w:t>
            </w:r>
          </w:p>
        </w:tc>
        <w:tc>
          <w:tcPr>
            <w:tcW w:w="1350" w:type="dxa"/>
            <w:shd w:val="clear" w:color="auto" w:fill="auto"/>
            <w:vAlign w:val="center"/>
            <w:hideMark/>
          </w:tcPr>
          <w:p w14:paraId="32E300A8" w14:textId="6811E999"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16.0%</w:t>
            </w:r>
          </w:p>
        </w:tc>
        <w:tc>
          <w:tcPr>
            <w:tcW w:w="1710" w:type="dxa"/>
            <w:shd w:val="clear" w:color="auto" w:fill="auto"/>
            <w:vAlign w:val="center"/>
            <w:hideMark/>
          </w:tcPr>
          <w:p w14:paraId="499D0B11" w14:textId="106452C0"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-$194,764</w:t>
            </w:r>
          </w:p>
        </w:tc>
        <w:tc>
          <w:tcPr>
            <w:tcW w:w="1170" w:type="dxa"/>
            <w:shd w:val="clear" w:color="auto" w:fill="auto"/>
            <w:vAlign w:val="center"/>
            <w:hideMark/>
          </w:tcPr>
          <w:p w14:paraId="28BE6371" w14:textId="3E3CDBD0"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35.3%</w:t>
            </w:r>
          </w:p>
        </w:tc>
        <w:tc>
          <w:tcPr>
            <w:tcW w:w="1350" w:type="dxa"/>
            <w:shd w:val="clear" w:color="auto" w:fill="auto"/>
            <w:vAlign w:val="center"/>
            <w:hideMark/>
          </w:tcPr>
          <w:p w14:paraId="2AF9BED8" w14:textId="31A5983B"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-$172</w:t>
            </w:r>
          </w:p>
        </w:tc>
      </w:tr>
      <w:tr w:rsidR="00421709" w:rsidRPr="00D5431D" w14:paraId="2F8091ED" w14:textId="77777777" w:rsidTr="000E54AA">
        <w:trPr>
          <w:trHeight w:val="288"/>
          <w:jc w:val="center"/>
        </w:trPr>
        <w:tc>
          <w:tcPr>
            <w:tcW w:w="2425" w:type="dxa"/>
            <w:shd w:val="clear" w:color="auto" w:fill="auto"/>
            <w:vAlign w:val="center"/>
            <w:hideMark/>
          </w:tcPr>
          <w:p w14:paraId="0DD9C06C"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$10,000,000 or more</w:t>
            </w:r>
          </w:p>
        </w:tc>
        <w:tc>
          <w:tcPr>
            <w:tcW w:w="1350" w:type="dxa"/>
            <w:shd w:val="clear" w:color="auto" w:fill="auto"/>
            <w:vAlign w:val="center"/>
            <w:hideMark/>
          </w:tcPr>
          <w:p w14:paraId="75B7B836" w14:textId="4356332A"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148</w:t>
            </w:r>
          </w:p>
        </w:tc>
        <w:tc>
          <w:tcPr>
            <w:tcW w:w="1350" w:type="dxa"/>
            <w:shd w:val="clear" w:color="auto" w:fill="auto"/>
            <w:vAlign w:val="center"/>
            <w:hideMark/>
          </w:tcPr>
          <w:p w14:paraId="2422ECAD" w14:textId="1DD94E36"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2.1%</w:t>
            </w:r>
          </w:p>
        </w:tc>
        <w:tc>
          <w:tcPr>
            <w:tcW w:w="1710" w:type="dxa"/>
            <w:shd w:val="clear" w:color="auto" w:fill="auto"/>
            <w:vAlign w:val="center"/>
            <w:hideMark/>
          </w:tcPr>
          <w:p w14:paraId="6ADE6277" w14:textId="17B52A3D"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-$183,537</w:t>
            </w:r>
          </w:p>
        </w:tc>
        <w:tc>
          <w:tcPr>
            <w:tcW w:w="1170" w:type="dxa"/>
            <w:shd w:val="clear" w:color="auto" w:fill="auto"/>
            <w:vAlign w:val="center"/>
            <w:hideMark/>
          </w:tcPr>
          <w:p w14:paraId="70746338" w14:textId="6543BC9B"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33.3%</w:t>
            </w:r>
          </w:p>
        </w:tc>
        <w:tc>
          <w:tcPr>
            <w:tcW w:w="1350" w:type="dxa"/>
            <w:shd w:val="clear" w:color="auto" w:fill="auto"/>
            <w:vAlign w:val="center"/>
            <w:hideMark/>
          </w:tcPr>
          <w:p w14:paraId="3C0F3C14" w14:textId="1DE07849"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-$1,240</w:t>
            </w:r>
          </w:p>
        </w:tc>
      </w:tr>
      <w:tr w:rsidR="00421709" w:rsidRPr="00D5431D" w14:paraId="49E4F8D3" w14:textId="77777777" w:rsidTr="000E54AA">
        <w:trPr>
          <w:trHeight w:val="288"/>
          <w:jc w:val="center"/>
        </w:trPr>
        <w:tc>
          <w:tcPr>
            <w:tcW w:w="2425" w:type="dxa"/>
            <w:shd w:val="clear" w:color="auto" w:fill="auto"/>
            <w:vAlign w:val="center"/>
            <w:hideMark/>
          </w:tcPr>
          <w:p w14:paraId="726AEF96"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Total or average</w:t>
            </w:r>
          </w:p>
        </w:tc>
        <w:tc>
          <w:tcPr>
            <w:tcW w:w="1350" w:type="dxa"/>
            <w:shd w:val="clear" w:color="auto" w:fill="auto"/>
            <w:vAlign w:val="center"/>
            <w:hideMark/>
          </w:tcPr>
          <w:p w14:paraId="0B763A11" w14:textId="5CF5A14E"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7,049</w:t>
            </w:r>
          </w:p>
        </w:tc>
        <w:tc>
          <w:tcPr>
            <w:tcW w:w="1350" w:type="dxa"/>
            <w:shd w:val="clear" w:color="auto" w:fill="auto"/>
            <w:vAlign w:val="center"/>
            <w:hideMark/>
          </w:tcPr>
          <w:p w14:paraId="519E594B" w14:textId="2D1AFF8C"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710" w:type="dxa"/>
            <w:shd w:val="clear" w:color="auto" w:fill="auto"/>
            <w:vAlign w:val="center"/>
            <w:hideMark/>
          </w:tcPr>
          <w:p w14:paraId="42D47826" w14:textId="12D81CCD"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-$551,690</w:t>
            </w:r>
          </w:p>
        </w:tc>
        <w:tc>
          <w:tcPr>
            <w:tcW w:w="1170" w:type="dxa"/>
            <w:shd w:val="clear" w:color="auto" w:fill="auto"/>
            <w:vAlign w:val="center"/>
            <w:hideMark/>
          </w:tcPr>
          <w:p w14:paraId="6C1224D7" w14:textId="291ECC59"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350" w:type="dxa"/>
            <w:shd w:val="clear" w:color="auto" w:fill="auto"/>
            <w:vAlign w:val="center"/>
            <w:hideMark/>
          </w:tcPr>
          <w:p w14:paraId="0F1C408C" w14:textId="0BC9BBFA"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-$78</w:t>
            </w:r>
          </w:p>
        </w:tc>
      </w:tr>
    </w:tbl>
    <w:p w14:paraId="702A98CE" w14:textId="62F14D93" w:rsidR="00B773B1" w:rsidRPr="0020176D" w:rsidRDefault="00B773B1" w:rsidP="00B773B1">
      <w:pPr>
        <w:tabs>
          <w:tab w:val="left" w:pos="7050"/>
        </w:tabs>
        <w:spacing w:after="0"/>
        <w:rPr>
          <w:rFonts w:asciiTheme="majorHAnsi" w:eastAsiaTheme="majorEastAsia" w:hAnsiTheme="majorHAnsi" w:cstheme="majorBidi"/>
          <w:bCs/>
          <w:color w:val="000000" w:themeColor="text1"/>
          <w:sz w:val="18"/>
          <w:szCs w:val="18"/>
        </w:rPr>
      </w:pPr>
      <w:r>
        <w:rPr>
          <w:rFonts w:asciiTheme="majorHAnsi" w:eastAsiaTheme="majorEastAsia" w:hAnsiTheme="majorHAnsi" w:cstheme="majorBidi"/>
          <w:bCs/>
          <w:color w:val="000000" w:themeColor="text1"/>
          <w:sz w:val="18"/>
          <w:szCs w:val="18"/>
        </w:rPr>
        <w:t xml:space="preserve"> </w:t>
      </w:r>
      <w:r w:rsidRPr="0020176D">
        <w:rPr>
          <w:rFonts w:asciiTheme="majorHAnsi" w:eastAsiaTheme="majorEastAsia" w:hAnsiTheme="majorHAnsi" w:cstheme="majorBidi"/>
          <w:bCs/>
          <w:color w:val="000000" w:themeColor="text1"/>
          <w:sz w:val="18"/>
          <w:szCs w:val="18"/>
        </w:rPr>
        <w:t>Source: Department of Revenue (2017 corporate excise return)</w:t>
      </w:r>
    </w:p>
    <w:p w14:paraId="2D351517" w14:textId="5E39F13E" w:rsidR="00B773B1" w:rsidRPr="0020176D" w:rsidRDefault="00B773B1" w:rsidP="00B773B1">
      <w:pPr>
        <w:spacing w:after="0"/>
        <w:rPr>
          <w:rFonts w:asciiTheme="majorHAnsi" w:hAnsiTheme="majorHAnsi"/>
          <w:bCs/>
          <w:sz w:val="18"/>
          <w:szCs w:val="18"/>
        </w:rPr>
      </w:pPr>
      <w:r w:rsidRPr="0020176D">
        <w:rPr>
          <w:rFonts w:asciiTheme="majorHAnsi" w:hAnsiTheme="majorHAnsi"/>
          <w:sz w:val="18"/>
          <w:szCs w:val="18"/>
        </w:rPr>
        <w:t xml:space="preserve"> Note: 1. The data</w:t>
      </w:r>
      <w:r w:rsidRPr="0020176D">
        <w:rPr>
          <w:rFonts w:asciiTheme="majorHAnsi" w:hAnsiTheme="majorHAnsi"/>
          <w:bCs/>
          <w:sz w:val="18"/>
          <w:szCs w:val="18"/>
        </w:rPr>
        <w:t xml:space="preserve"> are preliminary and subject to </w:t>
      </w:r>
      <w:r w:rsidRPr="0020176D">
        <w:rPr>
          <w:rFonts w:ascii="Cambria" w:eastAsia="Times New Roman" w:hAnsi="Cambria" w:cs="Helvetica"/>
          <w:color w:val="000000"/>
          <w:sz w:val="18"/>
          <w:szCs w:val="18"/>
          <w:lang w:eastAsia="ko-KR"/>
        </w:rPr>
        <w:t>change</w:t>
      </w:r>
      <w:r w:rsidRPr="0020176D">
        <w:rPr>
          <w:rFonts w:asciiTheme="majorHAnsi" w:hAnsiTheme="majorHAnsi"/>
          <w:bCs/>
          <w:sz w:val="18"/>
          <w:szCs w:val="18"/>
        </w:rPr>
        <w:t xml:space="preserve">. </w:t>
      </w:r>
    </w:p>
    <w:p w14:paraId="6876EFBD" w14:textId="5CAC6E77" w:rsidR="00B773B1" w:rsidRPr="0020176D" w:rsidRDefault="0020176D" w:rsidP="00B773B1">
      <w:pPr>
        <w:spacing w:after="0"/>
        <w:rPr>
          <w:rFonts w:asciiTheme="majorHAnsi" w:hAnsiTheme="majorHAnsi"/>
          <w:bCs/>
          <w:sz w:val="18"/>
          <w:szCs w:val="18"/>
        </w:rPr>
      </w:pPr>
      <w:r w:rsidRPr="0020176D">
        <w:rPr>
          <w:rFonts w:asciiTheme="majorHAnsi" w:hAnsiTheme="majorHAnsi"/>
          <w:bCs/>
          <w:sz w:val="18"/>
          <w:szCs w:val="18"/>
        </w:rPr>
        <w:t xml:space="preserve">            </w:t>
      </w:r>
      <w:r w:rsidR="00B773B1" w:rsidRPr="0020176D">
        <w:rPr>
          <w:rFonts w:asciiTheme="majorHAnsi" w:hAnsiTheme="majorHAnsi"/>
          <w:bCs/>
          <w:sz w:val="18"/>
          <w:szCs w:val="18"/>
        </w:rPr>
        <w:t xml:space="preserve">2. </w:t>
      </w:r>
      <w:r w:rsidR="00A0692D" w:rsidRPr="0020176D">
        <w:rPr>
          <w:rFonts w:asciiTheme="majorHAnsi" w:hAnsiTheme="majorHAnsi"/>
          <w:bCs/>
          <w:sz w:val="18"/>
          <w:szCs w:val="18"/>
        </w:rPr>
        <w:t>Negative number</w:t>
      </w:r>
      <w:r w:rsidR="00BB1B5B" w:rsidRPr="0020176D">
        <w:rPr>
          <w:rFonts w:asciiTheme="majorHAnsi" w:hAnsiTheme="majorHAnsi"/>
          <w:bCs/>
          <w:sz w:val="18"/>
          <w:szCs w:val="18"/>
        </w:rPr>
        <w:t>s</w:t>
      </w:r>
      <w:r w:rsidR="00A0692D" w:rsidRPr="0020176D">
        <w:rPr>
          <w:rFonts w:asciiTheme="majorHAnsi" w:hAnsiTheme="majorHAnsi"/>
          <w:bCs/>
          <w:sz w:val="18"/>
          <w:szCs w:val="18"/>
        </w:rPr>
        <w:t xml:space="preserve"> indicate that taxpayers owe less tax using formulas with higher weighted sales factor than using the formula with equal-weighted factors.</w:t>
      </w:r>
    </w:p>
    <w:p w14:paraId="0B886CD4" w14:textId="35D82471" w:rsidR="008A391D" w:rsidRDefault="008A391D" w:rsidP="008A391D">
      <w:pPr>
        <w:spacing w:after="0"/>
        <w:rPr>
          <w:rFonts w:asciiTheme="majorHAnsi" w:eastAsiaTheme="majorEastAsia" w:hAnsiTheme="majorHAnsi" w:cstheme="majorBidi"/>
          <w:bCs/>
          <w:color w:val="000000" w:themeColor="text1"/>
          <w:sz w:val="24"/>
          <w:szCs w:val="24"/>
        </w:rPr>
      </w:pPr>
    </w:p>
    <w:p w14:paraId="0BC3AE80" w14:textId="3C5A6336" w:rsidR="008A391D" w:rsidRDefault="008A391D" w:rsidP="008A391D">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Table </w:t>
      </w:r>
      <w:r w:rsidR="00F3519F">
        <w:rPr>
          <w:rFonts w:asciiTheme="majorHAnsi" w:eastAsiaTheme="majorEastAsia" w:hAnsiTheme="majorHAnsi" w:cstheme="majorBidi"/>
          <w:bCs/>
          <w:color w:val="000000" w:themeColor="text1"/>
          <w:sz w:val="24"/>
          <w:szCs w:val="24"/>
        </w:rPr>
        <w:t>A1-3</w:t>
      </w:r>
      <w:r>
        <w:rPr>
          <w:rFonts w:asciiTheme="majorHAnsi" w:eastAsiaTheme="majorEastAsia" w:hAnsiTheme="majorHAnsi" w:cstheme="majorBidi"/>
          <w:bCs/>
          <w:color w:val="000000" w:themeColor="text1"/>
          <w:sz w:val="24"/>
          <w:szCs w:val="24"/>
        </w:rPr>
        <w:t xml:space="preserve"> </w:t>
      </w:r>
      <w:r w:rsidR="003946B1">
        <w:rPr>
          <w:rFonts w:asciiTheme="majorHAnsi" w:eastAsiaTheme="majorEastAsia" w:hAnsiTheme="majorHAnsi" w:cstheme="majorBidi"/>
          <w:bCs/>
          <w:color w:val="000000" w:themeColor="text1"/>
          <w:sz w:val="24"/>
          <w:szCs w:val="24"/>
        </w:rPr>
        <w:t xml:space="preserve">below </w:t>
      </w:r>
      <w:r>
        <w:rPr>
          <w:rFonts w:asciiTheme="majorHAnsi" w:eastAsiaTheme="majorEastAsia" w:hAnsiTheme="majorHAnsi" w:cstheme="majorBidi"/>
          <w:bCs/>
          <w:color w:val="000000" w:themeColor="text1"/>
          <w:sz w:val="24"/>
          <w:szCs w:val="24"/>
        </w:rPr>
        <w:t>shows that about 32.</w:t>
      </w:r>
      <w:r w:rsidR="00F3519F">
        <w:rPr>
          <w:rFonts w:asciiTheme="majorHAnsi" w:eastAsiaTheme="majorEastAsia" w:hAnsiTheme="majorHAnsi" w:cstheme="majorBidi"/>
          <w:bCs/>
          <w:color w:val="000000" w:themeColor="text1"/>
          <w:sz w:val="24"/>
          <w:szCs w:val="24"/>
        </w:rPr>
        <w:t>9</w:t>
      </w:r>
      <w:r>
        <w:rPr>
          <w:rFonts w:asciiTheme="majorHAnsi" w:eastAsiaTheme="majorEastAsia" w:hAnsiTheme="majorHAnsi" w:cstheme="majorBidi"/>
          <w:bCs/>
          <w:color w:val="000000" w:themeColor="text1"/>
          <w:sz w:val="24"/>
          <w:szCs w:val="24"/>
        </w:rPr>
        <w:t>% of the positively impacted corporations had fewer than 5 employees, and these corporations represented 1</w:t>
      </w:r>
      <w:r w:rsidR="00F3519F">
        <w:rPr>
          <w:rFonts w:asciiTheme="majorHAnsi" w:eastAsiaTheme="majorEastAsia" w:hAnsiTheme="majorHAnsi" w:cstheme="majorBidi"/>
          <w:bCs/>
          <w:color w:val="000000" w:themeColor="text1"/>
          <w:sz w:val="24"/>
          <w:szCs w:val="24"/>
        </w:rPr>
        <w:t>1.7</w:t>
      </w:r>
      <w:r>
        <w:rPr>
          <w:rFonts w:asciiTheme="majorHAnsi" w:eastAsiaTheme="majorEastAsia" w:hAnsiTheme="majorHAnsi" w:cstheme="majorBidi"/>
          <w:bCs/>
          <w:color w:val="000000" w:themeColor="text1"/>
          <w:sz w:val="24"/>
          <w:szCs w:val="24"/>
        </w:rPr>
        <w:t>% of the total tax savings of all positively impacted corporations. About 9.9% of the positively impacted corporations were corporations with 500 or more employees, representing 6</w:t>
      </w:r>
      <w:r w:rsidR="00F3519F">
        <w:rPr>
          <w:rFonts w:asciiTheme="majorHAnsi" w:eastAsiaTheme="majorEastAsia" w:hAnsiTheme="majorHAnsi" w:cstheme="majorBidi"/>
          <w:bCs/>
          <w:color w:val="000000" w:themeColor="text1"/>
          <w:sz w:val="24"/>
          <w:szCs w:val="24"/>
        </w:rPr>
        <w:t>1</w:t>
      </w:r>
      <w:r>
        <w:rPr>
          <w:rFonts w:asciiTheme="majorHAnsi" w:eastAsiaTheme="majorEastAsia" w:hAnsiTheme="majorHAnsi" w:cstheme="majorBidi"/>
          <w:bCs/>
          <w:color w:val="000000" w:themeColor="text1"/>
          <w:sz w:val="24"/>
          <w:szCs w:val="24"/>
        </w:rPr>
        <w:t>.4% of the total tax savings of all positively impacted corporations and having the highest average tax savings of all beneficiaries of the tax expenditure ($4</w:t>
      </w:r>
      <w:r w:rsidR="00F3519F">
        <w:rPr>
          <w:rFonts w:asciiTheme="majorHAnsi" w:eastAsiaTheme="majorEastAsia" w:hAnsiTheme="majorHAnsi" w:cstheme="majorBidi"/>
          <w:bCs/>
          <w:color w:val="000000" w:themeColor="text1"/>
          <w:sz w:val="24"/>
          <w:szCs w:val="24"/>
        </w:rPr>
        <w:t>87</w:t>
      </w:r>
      <w:r>
        <w:rPr>
          <w:rFonts w:asciiTheme="majorHAnsi" w:eastAsiaTheme="majorEastAsia" w:hAnsiTheme="majorHAnsi" w:cstheme="majorBidi"/>
          <w:bCs/>
          <w:color w:val="000000" w:themeColor="text1"/>
          <w:sz w:val="24"/>
          <w:szCs w:val="24"/>
        </w:rPr>
        <w:t>,000 compared with $7</w:t>
      </w:r>
      <w:r w:rsidR="00F3519F">
        <w:rPr>
          <w:rFonts w:asciiTheme="majorHAnsi" w:eastAsiaTheme="majorEastAsia" w:hAnsiTheme="majorHAnsi" w:cstheme="majorBidi"/>
          <w:bCs/>
          <w:color w:val="000000" w:themeColor="text1"/>
          <w:sz w:val="24"/>
          <w:szCs w:val="24"/>
        </w:rPr>
        <w:t>8</w:t>
      </w:r>
      <w:r>
        <w:rPr>
          <w:rFonts w:asciiTheme="majorHAnsi" w:eastAsiaTheme="majorEastAsia" w:hAnsiTheme="majorHAnsi" w:cstheme="majorBidi"/>
          <w:bCs/>
          <w:color w:val="000000" w:themeColor="text1"/>
          <w:sz w:val="24"/>
          <w:szCs w:val="24"/>
        </w:rPr>
        <w:t>,000 for all positively affected corporations).</w:t>
      </w:r>
    </w:p>
    <w:p w14:paraId="4CA1ABCD" w14:textId="77777777" w:rsidR="009F00D6" w:rsidRDefault="009F00D6" w:rsidP="008A391D">
      <w:pPr>
        <w:spacing w:after="0"/>
        <w:rPr>
          <w:rFonts w:asciiTheme="majorHAnsi" w:eastAsiaTheme="majorEastAsia" w:hAnsiTheme="majorHAnsi" w:cstheme="majorBidi"/>
          <w:bCs/>
          <w:color w:val="000000" w:themeColor="text1"/>
          <w:sz w:val="24"/>
          <w:szCs w:val="24"/>
        </w:rPr>
      </w:pPr>
    </w:p>
    <w:p w14:paraId="3B65A33D" w14:textId="23B20A76" w:rsidR="00B773B1" w:rsidRDefault="00B773B1" w:rsidP="00B773B1">
      <w:pPr>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A1-3</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946E9F">
        <w:rPr>
          <w:rFonts w:asciiTheme="majorHAnsi" w:hAnsiTheme="majorHAnsi"/>
          <w:b/>
          <w:sz w:val="24"/>
          <w:szCs w:val="24"/>
        </w:rPr>
        <w:t>Decrease</w:t>
      </w:r>
      <w:r>
        <w:rPr>
          <w:rFonts w:asciiTheme="majorHAnsi" w:hAnsiTheme="majorHAnsi"/>
          <w:b/>
          <w:sz w:val="24"/>
          <w:szCs w:val="24"/>
        </w:rPr>
        <w:t xml:space="preserve"> </w:t>
      </w:r>
      <w:r w:rsidRPr="008F4A2D">
        <w:rPr>
          <w:rFonts w:asciiTheme="majorHAnsi" w:hAnsiTheme="majorHAnsi"/>
          <w:b/>
          <w:sz w:val="24"/>
          <w:szCs w:val="24"/>
        </w:rPr>
        <w:t xml:space="preserve">by </w:t>
      </w:r>
      <w:r w:rsidRPr="005000AB">
        <w:rPr>
          <w:rFonts w:asciiTheme="majorHAnsi" w:hAnsiTheme="majorHAnsi"/>
          <w:b/>
          <w:sz w:val="24"/>
          <w:szCs w:val="24"/>
        </w:rPr>
        <w:t>Number</w:t>
      </w:r>
      <w:r w:rsidRPr="008F4A2D">
        <w:rPr>
          <w:rFonts w:asciiTheme="majorHAnsi" w:hAnsiTheme="majorHAnsi"/>
          <w:b/>
          <w:sz w:val="24"/>
          <w:szCs w:val="24"/>
        </w:rPr>
        <w:t xml:space="preserve"> of </w:t>
      </w:r>
      <w:r>
        <w:rPr>
          <w:rFonts w:asciiTheme="majorHAnsi" w:hAnsiTheme="majorHAnsi"/>
          <w:b/>
          <w:sz w:val="24"/>
          <w:szCs w:val="24"/>
        </w:rPr>
        <w:t>Employees</w:t>
      </w:r>
      <w:r w:rsidR="00946E9F">
        <w:rPr>
          <w:rFonts w:asciiTheme="majorHAnsi" w:hAnsiTheme="majorHAnsi"/>
          <w:b/>
          <w:sz w:val="24"/>
          <w:szCs w:val="24"/>
        </w:rPr>
        <w:t xml:space="preserve"> </w:t>
      </w:r>
      <w:r w:rsidR="00946E9F" w:rsidRPr="00107265">
        <w:rPr>
          <w:rStyle w:val="FootnoteReference"/>
          <w:rFonts w:eastAsiaTheme="majorEastAsia"/>
          <w:b/>
          <w:bCs/>
          <w:color w:val="000000" w:themeColor="text1"/>
        </w:rPr>
        <w:t>(1)</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40"/>
        <w:gridCol w:w="1350"/>
        <w:gridCol w:w="1890"/>
        <w:gridCol w:w="1170"/>
        <w:gridCol w:w="1440"/>
      </w:tblGrid>
      <w:tr w:rsidR="009F00D6" w:rsidRPr="00CB14FB" w14:paraId="0294FC7E" w14:textId="77777777" w:rsidTr="00847706">
        <w:trPr>
          <w:trHeight w:val="1502"/>
          <w:jc w:val="center"/>
        </w:trPr>
        <w:tc>
          <w:tcPr>
            <w:tcW w:w="2155" w:type="dxa"/>
            <w:shd w:val="clear" w:color="auto" w:fill="B6DDE8" w:themeFill="accent5" w:themeFillTint="66"/>
            <w:vAlign w:val="center"/>
            <w:hideMark/>
          </w:tcPr>
          <w:p w14:paraId="453430A7" w14:textId="354130F5" w:rsidR="009F00D6" w:rsidRPr="00EE5936" w:rsidRDefault="009F00D6" w:rsidP="009F00D6">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Number of </w:t>
            </w:r>
            <w:r w:rsidRPr="00EE5936">
              <w:rPr>
                <w:rFonts w:ascii="Cambria" w:eastAsia="Times New Roman" w:hAnsi="Cambria" w:cs="Helvetica"/>
                <w:color w:val="000000"/>
                <w:sz w:val="20"/>
                <w:szCs w:val="20"/>
                <w:lang w:eastAsia="ko-KR"/>
              </w:rPr>
              <w:t>Employees</w:t>
            </w:r>
            <w:r w:rsidR="00946E9F">
              <w:rPr>
                <w:rFonts w:ascii="Cambria" w:eastAsia="Times New Roman" w:hAnsi="Cambria" w:cs="Helvetica"/>
                <w:color w:val="000000"/>
                <w:sz w:val="20"/>
                <w:szCs w:val="20"/>
                <w:lang w:eastAsia="ko-KR"/>
              </w:rPr>
              <w:t xml:space="preserve"> </w:t>
            </w:r>
            <w:r w:rsidR="00946E9F" w:rsidRPr="00107265">
              <w:rPr>
                <w:rStyle w:val="FootnoteReference"/>
                <w:rFonts w:eastAsiaTheme="majorEastAsia"/>
                <w:color w:val="000000" w:themeColor="text1"/>
              </w:rPr>
              <w:t>(2)</w:t>
            </w:r>
          </w:p>
        </w:tc>
        <w:tc>
          <w:tcPr>
            <w:tcW w:w="1440" w:type="dxa"/>
            <w:shd w:val="clear" w:color="auto" w:fill="B6DDE8" w:themeFill="accent5" w:themeFillTint="66"/>
            <w:vAlign w:val="center"/>
            <w:hideMark/>
          </w:tcPr>
          <w:p w14:paraId="7E3B5A2B" w14:textId="09A651A2" w:rsidR="009F00D6" w:rsidRPr="00EE5936" w:rsidRDefault="009F00D6" w:rsidP="009F00D6">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Number of</w:t>
            </w:r>
            <w:r>
              <w:rPr>
                <w:rFonts w:ascii="Cambria" w:eastAsia="Times New Roman" w:hAnsi="Cambria" w:cs="Helvetica"/>
                <w:color w:val="000000"/>
                <w:sz w:val="20"/>
                <w:szCs w:val="20"/>
                <w:lang w:eastAsia="ko-KR"/>
              </w:rPr>
              <w:t xml:space="preserve"> Positively</w:t>
            </w:r>
            <w:r w:rsidRPr="00D5431D">
              <w:rPr>
                <w:rFonts w:ascii="Cambria" w:eastAsia="Times New Roman" w:hAnsi="Cambria" w:cs="Helvetica"/>
                <w:color w:val="000000"/>
                <w:sz w:val="20"/>
                <w:szCs w:val="20"/>
                <w:lang w:eastAsia="ko-KR"/>
              </w:rPr>
              <w:t xml:space="preserve"> Impacted Corporations</w:t>
            </w:r>
          </w:p>
        </w:tc>
        <w:tc>
          <w:tcPr>
            <w:tcW w:w="1350" w:type="dxa"/>
            <w:shd w:val="clear" w:color="auto" w:fill="B6DDE8" w:themeFill="accent5" w:themeFillTint="66"/>
            <w:vAlign w:val="center"/>
            <w:hideMark/>
          </w:tcPr>
          <w:p w14:paraId="45FF2C37" w14:textId="7883E621" w:rsidR="009F00D6" w:rsidRPr="00EE5936" w:rsidRDefault="009F00D6" w:rsidP="009F00D6">
            <w:pPr>
              <w:spacing w:after="0" w:line="240" w:lineRule="auto"/>
              <w:jc w:val="center"/>
              <w:rPr>
                <w:rFonts w:ascii="Cambria" w:eastAsia="Times New Roman" w:hAnsi="Cambria" w:cs="Helvetica"/>
                <w:i/>
                <w:iCs/>
                <w:color w:val="000000"/>
                <w:sz w:val="20"/>
                <w:szCs w:val="20"/>
                <w:lang w:eastAsia="ko-KR"/>
              </w:rPr>
            </w:pPr>
            <w:r w:rsidRPr="00D5431D">
              <w:rPr>
                <w:rFonts w:ascii="Cambria" w:eastAsia="Times New Roman" w:hAnsi="Cambria" w:cs="Helvetica"/>
                <w:color w:val="000000"/>
                <w:sz w:val="20"/>
                <w:szCs w:val="20"/>
                <w:lang w:eastAsia="ko-KR"/>
              </w:rPr>
              <w:t xml:space="preserve">% of Total Number of </w:t>
            </w:r>
            <w:r>
              <w:rPr>
                <w:rFonts w:ascii="Cambria" w:eastAsia="Times New Roman" w:hAnsi="Cambria" w:cs="Helvetica"/>
                <w:color w:val="000000"/>
                <w:sz w:val="20"/>
                <w:szCs w:val="20"/>
                <w:lang w:eastAsia="ko-KR"/>
              </w:rPr>
              <w:t>Positively</w:t>
            </w:r>
            <w:r w:rsidRPr="00D5431D">
              <w:rPr>
                <w:rFonts w:ascii="Cambria" w:eastAsia="Times New Roman" w:hAnsi="Cambria" w:cs="Helvetica"/>
                <w:color w:val="000000"/>
                <w:sz w:val="20"/>
                <w:szCs w:val="20"/>
                <w:lang w:eastAsia="ko-KR"/>
              </w:rPr>
              <w:t xml:space="preserve"> Impacted Corporations</w:t>
            </w:r>
          </w:p>
        </w:tc>
        <w:tc>
          <w:tcPr>
            <w:tcW w:w="1890" w:type="dxa"/>
            <w:shd w:val="clear" w:color="auto" w:fill="B6DDE8" w:themeFill="accent5" w:themeFillTint="66"/>
            <w:vAlign w:val="center"/>
            <w:hideMark/>
          </w:tcPr>
          <w:p w14:paraId="695018EA" w14:textId="15645037" w:rsidR="009F00D6" w:rsidRPr="00EE5936" w:rsidRDefault="009F00D6" w:rsidP="009F00D6">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946E9F">
              <w:rPr>
                <w:rFonts w:ascii="Cambria" w:eastAsia="Times New Roman" w:hAnsi="Cambria" w:cs="Helvetica"/>
                <w:color w:val="000000"/>
                <w:sz w:val="20"/>
                <w:szCs w:val="20"/>
                <w:lang w:eastAsia="ko-KR"/>
              </w:rPr>
              <w:t>Decrease</w:t>
            </w:r>
            <w:r w:rsidRPr="00D5431D">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u</w:t>
            </w:r>
            <w:r w:rsidRPr="00D5431D">
              <w:rPr>
                <w:rFonts w:ascii="Cambria" w:eastAsia="Times New Roman" w:hAnsi="Cambria" w:cs="Helvetica"/>
                <w:color w:val="000000"/>
                <w:sz w:val="20"/>
                <w:szCs w:val="20"/>
                <w:lang w:eastAsia="ko-KR"/>
              </w:rPr>
              <w:t xml:space="preserve">sing Formulas with </w:t>
            </w:r>
            <w:r>
              <w:rPr>
                <w:rFonts w:ascii="Cambria" w:eastAsia="Times New Roman" w:hAnsi="Cambria" w:cs="Helvetica"/>
                <w:color w:val="000000"/>
                <w:sz w:val="20"/>
                <w:szCs w:val="20"/>
                <w:lang w:eastAsia="ko-KR"/>
              </w:rPr>
              <w:t xml:space="preserve">Higher </w:t>
            </w:r>
            <w:r w:rsidRPr="00D5431D">
              <w:rPr>
                <w:rFonts w:ascii="Cambria" w:eastAsia="Times New Roman" w:hAnsi="Cambria" w:cs="Helvetica"/>
                <w:color w:val="000000"/>
                <w:sz w:val="20"/>
                <w:szCs w:val="20"/>
                <w:lang w:eastAsia="ko-KR"/>
              </w:rPr>
              <w:t>Weighted Sales Factor ($000)</w:t>
            </w:r>
            <w:r w:rsidR="00946E9F" w:rsidRPr="00107265">
              <w:rPr>
                <w:rStyle w:val="FootnoteReference"/>
                <w:rFonts w:eastAsiaTheme="majorEastAsia"/>
                <w:color w:val="000000" w:themeColor="text1"/>
              </w:rPr>
              <w:t xml:space="preserve"> (</w:t>
            </w:r>
            <w:r w:rsidR="00946E9F">
              <w:rPr>
                <w:rStyle w:val="FootnoteReference"/>
                <w:rFonts w:eastAsiaTheme="majorEastAsia"/>
                <w:color w:val="000000" w:themeColor="text1"/>
              </w:rPr>
              <w:t>3</w:t>
            </w:r>
            <w:r w:rsidR="00946E9F" w:rsidRPr="00107265">
              <w:rPr>
                <w:rStyle w:val="FootnoteReference"/>
                <w:rFonts w:eastAsiaTheme="majorEastAsia"/>
                <w:color w:val="000000" w:themeColor="text1"/>
              </w:rPr>
              <w:t>)</w:t>
            </w:r>
          </w:p>
        </w:tc>
        <w:tc>
          <w:tcPr>
            <w:tcW w:w="1170" w:type="dxa"/>
            <w:shd w:val="clear" w:color="auto" w:fill="B6DDE8" w:themeFill="accent5" w:themeFillTint="66"/>
            <w:vAlign w:val="center"/>
            <w:hideMark/>
          </w:tcPr>
          <w:p w14:paraId="40D8A82B" w14:textId="4574C629" w:rsidR="009F00D6" w:rsidRPr="00EE5936" w:rsidRDefault="009F00D6" w:rsidP="009F00D6">
            <w:pPr>
              <w:spacing w:after="0" w:line="240" w:lineRule="auto"/>
              <w:jc w:val="center"/>
              <w:rPr>
                <w:rFonts w:ascii="Cambria" w:eastAsia="Times New Roman" w:hAnsi="Cambria" w:cs="Helvetica"/>
                <w:i/>
                <w:iCs/>
                <w:color w:val="000000"/>
                <w:sz w:val="20"/>
                <w:szCs w:val="20"/>
                <w:lang w:eastAsia="ko-KR"/>
              </w:rPr>
            </w:pPr>
            <w:r w:rsidRPr="00EE5936">
              <w:rPr>
                <w:rFonts w:ascii="Cambria" w:eastAsia="Times New Roman" w:hAnsi="Cambria" w:cs="Helvetica"/>
                <w:color w:val="000000"/>
                <w:sz w:val="20"/>
                <w:szCs w:val="20"/>
                <w:lang w:eastAsia="ko-KR"/>
              </w:rPr>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946E9F">
              <w:rPr>
                <w:rFonts w:ascii="Cambria" w:eastAsia="Times New Roman" w:hAnsi="Cambria" w:cs="Helvetica"/>
                <w:color w:val="000000"/>
                <w:sz w:val="20"/>
                <w:szCs w:val="20"/>
                <w:lang w:eastAsia="ko-KR"/>
              </w:rPr>
              <w:t>Decrease</w:t>
            </w:r>
          </w:p>
        </w:tc>
        <w:tc>
          <w:tcPr>
            <w:tcW w:w="1440" w:type="dxa"/>
            <w:shd w:val="clear" w:color="auto" w:fill="B6DDE8" w:themeFill="accent5" w:themeFillTint="66"/>
            <w:vAlign w:val="center"/>
            <w:hideMark/>
          </w:tcPr>
          <w:p w14:paraId="52B84752" w14:textId="1BF04D89" w:rsidR="009F00D6" w:rsidRPr="00EE5936" w:rsidRDefault="009F00D6" w:rsidP="009F00D6">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946E9F">
              <w:rPr>
                <w:rFonts w:ascii="Cambria" w:eastAsia="Times New Roman" w:hAnsi="Cambria" w:cs="Helvetica"/>
                <w:color w:val="000000"/>
                <w:sz w:val="20"/>
                <w:szCs w:val="20"/>
                <w:lang w:eastAsia="ko-KR"/>
              </w:rPr>
              <w:t>Decrease</w:t>
            </w:r>
            <w:r w:rsidRPr="001C5672">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 xml:space="preserve">per </w:t>
            </w:r>
            <w:r>
              <w:rPr>
                <w:rFonts w:ascii="Cambria" w:eastAsia="Times New Roman" w:hAnsi="Cambria" w:cs="Helvetica"/>
                <w:color w:val="000000"/>
                <w:sz w:val="20"/>
                <w:szCs w:val="20"/>
                <w:lang w:eastAsia="ko-KR"/>
              </w:rPr>
              <w:t xml:space="preserve">Positively </w:t>
            </w:r>
            <w:r w:rsidRPr="00EE5936">
              <w:rPr>
                <w:rFonts w:ascii="Cambria" w:eastAsia="Times New Roman" w:hAnsi="Cambria" w:cs="Helvetica"/>
                <w:color w:val="000000"/>
                <w:sz w:val="20"/>
                <w:szCs w:val="20"/>
                <w:lang w:eastAsia="ko-KR"/>
              </w:rPr>
              <w:t>Impacted Corporation ($000)</w:t>
            </w:r>
            <w:r w:rsidR="00946E9F" w:rsidRPr="00107265">
              <w:rPr>
                <w:rStyle w:val="FootnoteReference"/>
                <w:rFonts w:eastAsiaTheme="majorEastAsia"/>
                <w:color w:val="000000" w:themeColor="text1"/>
              </w:rPr>
              <w:t xml:space="preserve"> (</w:t>
            </w:r>
            <w:r w:rsidR="00946E9F">
              <w:rPr>
                <w:rStyle w:val="FootnoteReference"/>
                <w:rFonts w:eastAsiaTheme="majorEastAsia"/>
                <w:color w:val="000000" w:themeColor="text1"/>
              </w:rPr>
              <w:t>3</w:t>
            </w:r>
            <w:r w:rsidR="00946E9F" w:rsidRPr="00107265">
              <w:rPr>
                <w:rStyle w:val="FootnoteReference"/>
                <w:rFonts w:eastAsiaTheme="majorEastAsia"/>
                <w:color w:val="000000" w:themeColor="text1"/>
              </w:rPr>
              <w:t>)</w:t>
            </w:r>
          </w:p>
        </w:tc>
      </w:tr>
      <w:tr w:rsidR="00421709" w:rsidRPr="00CB14FB" w14:paraId="5081ACAB" w14:textId="77777777" w:rsidTr="00847706">
        <w:trPr>
          <w:trHeight w:val="240"/>
          <w:jc w:val="center"/>
        </w:trPr>
        <w:tc>
          <w:tcPr>
            <w:tcW w:w="2155" w:type="dxa"/>
            <w:shd w:val="clear" w:color="auto" w:fill="auto"/>
            <w:vAlign w:val="center"/>
            <w:hideMark/>
          </w:tcPr>
          <w:p w14:paraId="28A7303D"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Less than 5</w:t>
            </w:r>
          </w:p>
        </w:tc>
        <w:tc>
          <w:tcPr>
            <w:tcW w:w="1440" w:type="dxa"/>
            <w:shd w:val="clear" w:color="auto" w:fill="auto"/>
            <w:vAlign w:val="center"/>
          </w:tcPr>
          <w:p w14:paraId="30F24C0F" w14:textId="19A556B5"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2,321</w:t>
            </w:r>
          </w:p>
        </w:tc>
        <w:tc>
          <w:tcPr>
            <w:tcW w:w="1350" w:type="dxa"/>
            <w:shd w:val="clear" w:color="auto" w:fill="auto"/>
            <w:vAlign w:val="center"/>
          </w:tcPr>
          <w:p w14:paraId="5A5CB942" w14:textId="64868790"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32.9%</w:t>
            </w:r>
          </w:p>
        </w:tc>
        <w:tc>
          <w:tcPr>
            <w:tcW w:w="1890" w:type="dxa"/>
            <w:shd w:val="clear" w:color="auto" w:fill="auto"/>
            <w:vAlign w:val="center"/>
          </w:tcPr>
          <w:p w14:paraId="323C02B4" w14:textId="0EA8F703"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-$64,639</w:t>
            </w:r>
          </w:p>
        </w:tc>
        <w:tc>
          <w:tcPr>
            <w:tcW w:w="1170" w:type="dxa"/>
            <w:shd w:val="clear" w:color="auto" w:fill="auto"/>
            <w:vAlign w:val="center"/>
          </w:tcPr>
          <w:p w14:paraId="4340722E" w14:textId="6C028FD0"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11.7%</w:t>
            </w:r>
          </w:p>
        </w:tc>
        <w:tc>
          <w:tcPr>
            <w:tcW w:w="1440" w:type="dxa"/>
            <w:shd w:val="clear" w:color="auto" w:fill="auto"/>
            <w:vAlign w:val="center"/>
          </w:tcPr>
          <w:p w14:paraId="1A6930CB" w14:textId="677E584B"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-$28</w:t>
            </w:r>
          </w:p>
        </w:tc>
      </w:tr>
      <w:tr w:rsidR="00421709" w:rsidRPr="00CB14FB" w14:paraId="6BA0620F" w14:textId="77777777" w:rsidTr="00847706">
        <w:trPr>
          <w:trHeight w:val="240"/>
          <w:jc w:val="center"/>
        </w:trPr>
        <w:tc>
          <w:tcPr>
            <w:tcW w:w="2155" w:type="dxa"/>
            <w:shd w:val="clear" w:color="auto" w:fill="auto"/>
            <w:vAlign w:val="center"/>
            <w:hideMark/>
          </w:tcPr>
          <w:p w14:paraId="19C9FC8E"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 to 49 </w:t>
            </w:r>
          </w:p>
        </w:tc>
        <w:tc>
          <w:tcPr>
            <w:tcW w:w="1440" w:type="dxa"/>
            <w:shd w:val="clear" w:color="auto" w:fill="auto"/>
            <w:vAlign w:val="center"/>
          </w:tcPr>
          <w:p w14:paraId="74EAA4A8" w14:textId="76FC15F2"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2,101</w:t>
            </w:r>
          </w:p>
        </w:tc>
        <w:tc>
          <w:tcPr>
            <w:tcW w:w="1350" w:type="dxa"/>
            <w:shd w:val="clear" w:color="auto" w:fill="auto"/>
            <w:vAlign w:val="center"/>
          </w:tcPr>
          <w:p w14:paraId="68BBAF66" w14:textId="13EBCD4D"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29.8%</w:t>
            </w:r>
          </w:p>
        </w:tc>
        <w:tc>
          <w:tcPr>
            <w:tcW w:w="1890" w:type="dxa"/>
            <w:shd w:val="clear" w:color="auto" w:fill="auto"/>
            <w:vAlign w:val="center"/>
          </w:tcPr>
          <w:p w14:paraId="0344CB54" w14:textId="3A6E6054"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-$21,171</w:t>
            </w:r>
          </w:p>
        </w:tc>
        <w:tc>
          <w:tcPr>
            <w:tcW w:w="1170" w:type="dxa"/>
            <w:shd w:val="clear" w:color="auto" w:fill="auto"/>
            <w:vAlign w:val="center"/>
          </w:tcPr>
          <w:p w14:paraId="0138FEE1" w14:textId="36119549"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3.8%</w:t>
            </w:r>
          </w:p>
        </w:tc>
        <w:tc>
          <w:tcPr>
            <w:tcW w:w="1440" w:type="dxa"/>
            <w:shd w:val="clear" w:color="auto" w:fill="auto"/>
            <w:vAlign w:val="center"/>
          </w:tcPr>
          <w:p w14:paraId="0296BB69" w14:textId="1308CB6D"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-$10</w:t>
            </w:r>
          </w:p>
        </w:tc>
      </w:tr>
      <w:tr w:rsidR="00421709" w:rsidRPr="00CB14FB" w14:paraId="6E516B90" w14:textId="77777777" w:rsidTr="00847706">
        <w:trPr>
          <w:trHeight w:val="240"/>
          <w:jc w:val="center"/>
        </w:trPr>
        <w:tc>
          <w:tcPr>
            <w:tcW w:w="2155" w:type="dxa"/>
            <w:shd w:val="clear" w:color="auto" w:fill="auto"/>
            <w:vAlign w:val="center"/>
            <w:hideMark/>
          </w:tcPr>
          <w:p w14:paraId="02DECC01"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50 to 99 </w:t>
            </w:r>
          </w:p>
        </w:tc>
        <w:tc>
          <w:tcPr>
            <w:tcW w:w="1440" w:type="dxa"/>
            <w:shd w:val="clear" w:color="auto" w:fill="auto"/>
            <w:vAlign w:val="center"/>
          </w:tcPr>
          <w:p w14:paraId="3844E402" w14:textId="3FE2EDF5"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798</w:t>
            </w:r>
          </w:p>
        </w:tc>
        <w:tc>
          <w:tcPr>
            <w:tcW w:w="1350" w:type="dxa"/>
            <w:shd w:val="clear" w:color="auto" w:fill="auto"/>
            <w:vAlign w:val="center"/>
          </w:tcPr>
          <w:p w14:paraId="45EBE98F" w14:textId="65C663B6"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11.3%</w:t>
            </w:r>
          </w:p>
        </w:tc>
        <w:tc>
          <w:tcPr>
            <w:tcW w:w="1890" w:type="dxa"/>
            <w:shd w:val="clear" w:color="auto" w:fill="auto"/>
            <w:vAlign w:val="center"/>
          </w:tcPr>
          <w:p w14:paraId="066BF2B6" w14:textId="2DE85C42"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-$35,366</w:t>
            </w:r>
          </w:p>
        </w:tc>
        <w:tc>
          <w:tcPr>
            <w:tcW w:w="1170" w:type="dxa"/>
            <w:shd w:val="clear" w:color="auto" w:fill="auto"/>
            <w:vAlign w:val="center"/>
          </w:tcPr>
          <w:p w14:paraId="764AE8D6" w14:textId="0C6ED8E5"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6.4%</w:t>
            </w:r>
          </w:p>
        </w:tc>
        <w:tc>
          <w:tcPr>
            <w:tcW w:w="1440" w:type="dxa"/>
            <w:shd w:val="clear" w:color="auto" w:fill="auto"/>
            <w:vAlign w:val="center"/>
          </w:tcPr>
          <w:p w14:paraId="32D346D7" w14:textId="3954DB22"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-$44</w:t>
            </w:r>
          </w:p>
        </w:tc>
      </w:tr>
      <w:tr w:rsidR="00421709" w:rsidRPr="00CB14FB" w14:paraId="06896EC0" w14:textId="77777777" w:rsidTr="00847706">
        <w:trPr>
          <w:trHeight w:val="240"/>
          <w:jc w:val="center"/>
        </w:trPr>
        <w:tc>
          <w:tcPr>
            <w:tcW w:w="2155" w:type="dxa"/>
            <w:shd w:val="clear" w:color="auto" w:fill="auto"/>
            <w:vAlign w:val="center"/>
            <w:hideMark/>
          </w:tcPr>
          <w:p w14:paraId="44985BC3"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100 to 199 </w:t>
            </w:r>
          </w:p>
        </w:tc>
        <w:tc>
          <w:tcPr>
            <w:tcW w:w="1440" w:type="dxa"/>
            <w:shd w:val="clear" w:color="auto" w:fill="auto"/>
            <w:vAlign w:val="center"/>
          </w:tcPr>
          <w:p w14:paraId="240529C6" w14:textId="7FCFB262"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579</w:t>
            </w:r>
          </w:p>
        </w:tc>
        <w:tc>
          <w:tcPr>
            <w:tcW w:w="1350" w:type="dxa"/>
            <w:shd w:val="clear" w:color="auto" w:fill="auto"/>
            <w:vAlign w:val="center"/>
          </w:tcPr>
          <w:p w14:paraId="752053EA" w14:textId="6FEBFE3D"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8.2%</w:t>
            </w:r>
          </w:p>
        </w:tc>
        <w:tc>
          <w:tcPr>
            <w:tcW w:w="1890" w:type="dxa"/>
            <w:shd w:val="clear" w:color="auto" w:fill="auto"/>
            <w:vAlign w:val="center"/>
          </w:tcPr>
          <w:p w14:paraId="744020AE" w14:textId="541B33E6"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-$20,937</w:t>
            </w:r>
          </w:p>
        </w:tc>
        <w:tc>
          <w:tcPr>
            <w:tcW w:w="1170" w:type="dxa"/>
            <w:shd w:val="clear" w:color="auto" w:fill="auto"/>
            <w:vAlign w:val="center"/>
          </w:tcPr>
          <w:p w14:paraId="5B32A9F9" w14:textId="2E513579"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3.8%</w:t>
            </w:r>
          </w:p>
        </w:tc>
        <w:tc>
          <w:tcPr>
            <w:tcW w:w="1440" w:type="dxa"/>
            <w:shd w:val="clear" w:color="auto" w:fill="auto"/>
            <w:vAlign w:val="center"/>
          </w:tcPr>
          <w:p w14:paraId="41AF8B8D" w14:textId="6B6CD176"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-$36</w:t>
            </w:r>
          </w:p>
        </w:tc>
      </w:tr>
      <w:tr w:rsidR="00421709" w:rsidRPr="00CB14FB" w14:paraId="21A32155" w14:textId="77777777" w:rsidTr="00847706">
        <w:trPr>
          <w:trHeight w:val="240"/>
          <w:jc w:val="center"/>
        </w:trPr>
        <w:tc>
          <w:tcPr>
            <w:tcW w:w="2155" w:type="dxa"/>
            <w:shd w:val="clear" w:color="auto" w:fill="auto"/>
            <w:vAlign w:val="center"/>
            <w:hideMark/>
          </w:tcPr>
          <w:p w14:paraId="616A7D03"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200 to 499 </w:t>
            </w:r>
          </w:p>
        </w:tc>
        <w:tc>
          <w:tcPr>
            <w:tcW w:w="1440" w:type="dxa"/>
            <w:shd w:val="clear" w:color="auto" w:fill="auto"/>
            <w:vAlign w:val="center"/>
          </w:tcPr>
          <w:p w14:paraId="4D4ABDF2" w14:textId="5DFB4665"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555</w:t>
            </w:r>
          </w:p>
        </w:tc>
        <w:tc>
          <w:tcPr>
            <w:tcW w:w="1350" w:type="dxa"/>
            <w:shd w:val="clear" w:color="auto" w:fill="auto"/>
            <w:vAlign w:val="center"/>
          </w:tcPr>
          <w:p w14:paraId="4765CF4B" w14:textId="78FC622C"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7.9%</w:t>
            </w:r>
          </w:p>
        </w:tc>
        <w:tc>
          <w:tcPr>
            <w:tcW w:w="1890" w:type="dxa"/>
            <w:shd w:val="clear" w:color="auto" w:fill="auto"/>
            <w:vAlign w:val="center"/>
          </w:tcPr>
          <w:p w14:paraId="27CE5D0B" w14:textId="47347091"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-$70,897</w:t>
            </w:r>
          </w:p>
        </w:tc>
        <w:tc>
          <w:tcPr>
            <w:tcW w:w="1170" w:type="dxa"/>
            <w:shd w:val="clear" w:color="auto" w:fill="auto"/>
            <w:vAlign w:val="center"/>
          </w:tcPr>
          <w:p w14:paraId="32D43EF2" w14:textId="45AA02F7"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12.9%</w:t>
            </w:r>
          </w:p>
        </w:tc>
        <w:tc>
          <w:tcPr>
            <w:tcW w:w="1440" w:type="dxa"/>
            <w:shd w:val="clear" w:color="auto" w:fill="auto"/>
            <w:vAlign w:val="center"/>
          </w:tcPr>
          <w:p w14:paraId="137F9C7D" w14:textId="155D00BA"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-$128</w:t>
            </w:r>
          </w:p>
        </w:tc>
      </w:tr>
      <w:tr w:rsidR="00421709" w:rsidRPr="00CB14FB" w14:paraId="75618669" w14:textId="77777777" w:rsidTr="00847706">
        <w:trPr>
          <w:trHeight w:val="240"/>
          <w:jc w:val="center"/>
        </w:trPr>
        <w:tc>
          <w:tcPr>
            <w:tcW w:w="2155" w:type="dxa"/>
            <w:shd w:val="clear" w:color="auto" w:fill="auto"/>
            <w:vAlign w:val="center"/>
            <w:hideMark/>
          </w:tcPr>
          <w:p w14:paraId="0A427D05"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500 or more </w:t>
            </w:r>
          </w:p>
        </w:tc>
        <w:tc>
          <w:tcPr>
            <w:tcW w:w="1440" w:type="dxa"/>
            <w:shd w:val="clear" w:color="auto" w:fill="auto"/>
            <w:vAlign w:val="center"/>
          </w:tcPr>
          <w:p w14:paraId="33C2D2B4" w14:textId="0BC88702"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695</w:t>
            </w:r>
          </w:p>
        </w:tc>
        <w:tc>
          <w:tcPr>
            <w:tcW w:w="1350" w:type="dxa"/>
            <w:shd w:val="clear" w:color="auto" w:fill="auto"/>
            <w:vAlign w:val="center"/>
          </w:tcPr>
          <w:p w14:paraId="541A0B79" w14:textId="7D053E8E"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9.9%</w:t>
            </w:r>
          </w:p>
        </w:tc>
        <w:tc>
          <w:tcPr>
            <w:tcW w:w="1890" w:type="dxa"/>
            <w:shd w:val="clear" w:color="auto" w:fill="auto"/>
            <w:vAlign w:val="center"/>
          </w:tcPr>
          <w:p w14:paraId="0636F0C2" w14:textId="5482ED5B"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-$338,680</w:t>
            </w:r>
          </w:p>
        </w:tc>
        <w:tc>
          <w:tcPr>
            <w:tcW w:w="1170" w:type="dxa"/>
            <w:shd w:val="clear" w:color="auto" w:fill="auto"/>
            <w:vAlign w:val="center"/>
          </w:tcPr>
          <w:p w14:paraId="04BF071D" w14:textId="3B8DAC9D"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61.4%</w:t>
            </w:r>
          </w:p>
        </w:tc>
        <w:tc>
          <w:tcPr>
            <w:tcW w:w="1440" w:type="dxa"/>
            <w:shd w:val="clear" w:color="auto" w:fill="auto"/>
            <w:vAlign w:val="center"/>
          </w:tcPr>
          <w:p w14:paraId="2F80A5B3" w14:textId="08599788"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-$487</w:t>
            </w:r>
          </w:p>
        </w:tc>
      </w:tr>
      <w:tr w:rsidR="00421709" w:rsidRPr="00CB14FB" w14:paraId="19E57898" w14:textId="77777777" w:rsidTr="00847706">
        <w:trPr>
          <w:trHeight w:val="240"/>
          <w:jc w:val="center"/>
        </w:trPr>
        <w:tc>
          <w:tcPr>
            <w:tcW w:w="2155" w:type="dxa"/>
            <w:shd w:val="clear" w:color="auto" w:fill="auto"/>
            <w:vAlign w:val="center"/>
            <w:hideMark/>
          </w:tcPr>
          <w:p w14:paraId="396E67CD" w14:textId="77777777" w:rsidR="00421709" w:rsidRPr="00EE5936" w:rsidRDefault="00421709" w:rsidP="00421709">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Total or average</w:t>
            </w:r>
          </w:p>
        </w:tc>
        <w:tc>
          <w:tcPr>
            <w:tcW w:w="1440" w:type="dxa"/>
            <w:shd w:val="clear" w:color="auto" w:fill="auto"/>
            <w:vAlign w:val="center"/>
          </w:tcPr>
          <w:p w14:paraId="5B90EE79" w14:textId="26F003F0"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7,049</w:t>
            </w:r>
          </w:p>
        </w:tc>
        <w:tc>
          <w:tcPr>
            <w:tcW w:w="1350" w:type="dxa"/>
            <w:shd w:val="clear" w:color="auto" w:fill="auto"/>
            <w:vAlign w:val="center"/>
          </w:tcPr>
          <w:p w14:paraId="62199157" w14:textId="30FF0289"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890" w:type="dxa"/>
            <w:shd w:val="clear" w:color="auto" w:fill="auto"/>
            <w:vAlign w:val="center"/>
          </w:tcPr>
          <w:p w14:paraId="09E99A57" w14:textId="24320ECC"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-$551,690</w:t>
            </w:r>
          </w:p>
        </w:tc>
        <w:tc>
          <w:tcPr>
            <w:tcW w:w="1170" w:type="dxa"/>
            <w:shd w:val="clear" w:color="auto" w:fill="auto"/>
            <w:vAlign w:val="center"/>
          </w:tcPr>
          <w:p w14:paraId="61D2A603" w14:textId="38A8108F" w:rsidR="00421709" w:rsidRPr="0074057C" w:rsidRDefault="00421709">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440" w:type="dxa"/>
            <w:shd w:val="clear" w:color="auto" w:fill="auto"/>
            <w:vAlign w:val="center"/>
          </w:tcPr>
          <w:p w14:paraId="6937B9F2" w14:textId="0DF5E629" w:rsidR="00421709" w:rsidRPr="0074057C" w:rsidRDefault="00421709">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-$78</w:t>
            </w:r>
          </w:p>
        </w:tc>
      </w:tr>
    </w:tbl>
    <w:p w14:paraId="1350267B" w14:textId="77777777" w:rsidR="00B773B1" w:rsidRPr="00847706" w:rsidRDefault="00B773B1" w:rsidP="00B773B1">
      <w:pPr>
        <w:tabs>
          <w:tab w:val="left" w:pos="705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Source: Department of Revenue (2017 corporate excise return)</w:t>
      </w:r>
    </w:p>
    <w:p w14:paraId="04E0E633" w14:textId="11303E88" w:rsidR="00B773B1" w:rsidRPr="00847706" w:rsidRDefault="00B773B1" w:rsidP="00B773B1">
      <w:pPr>
        <w:tabs>
          <w:tab w:val="left" w:pos="705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 xml:space="preserve">Notes: 1. </w:t>
      </w:r>
      <w:r w:rsidR="00946E9F" w:rsidRPr="00107265">
        <w:rPr>
          <w:rFonts w:asciiTheme="majorHAnsi" w:eastAsiaTheme="majorEastAsia" w:hAnsiTheme="majorHAnsi" w:cstheme="majorBidi"/>
          <w:bCs/>
          <w:color w:val="000000" w:themeColor="text1"/>
          <w:sz w:val="18"/>
          <w:szCs w:val="18"/>
        </w:rPr>
        <w:t>The data are preliminary and subject to change.</w:t>
      </w:r>
    </w:p>
    <w:p w14:paraId="0F58BDD1" w14:textId="77777777" w:rsidR="00946E9F" w:rsidRDefault="00B773B1" w:rsidP="00B773B1">
      <w:pPr>
        <w:tabs>
          <w:tab w:val="left" w:pos="571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 xml:space="preserve">             2. </w:t>
      </w:r>
      <w:r w:rsidR="00946E9F" w:rsidRPr="00107265">
        <w:rPr>
          <w:rFonts w:asciiTheme="majorHAnsi" w:hAnsiTheme="majorHAnsi"/>
          <w:sz w:val="18"/>
          <w:szCs w:val="18"/>
        </w:rPr>
        <w:t>Information is based on number of employees as reported by taxpayers.</w:t>
      </w:r>
      <w:r w:rsidR="00946E9F" w:rsidRPr="00946E9F">
        <w:rPr>
          <w:rFonts w:asciiTheme="majorHAnsi" w:eastAsiaTheme="majorEastAsia" w:hAnsiTheme="majorHAnsi" w:cstheme="majorBidi"/>
          <w:bCs/>
          <w:color w:val="000000" w:themeColor="text1"/>
          <w:sz w:val="18"/>
          <w:szCs w:val="18"/>
        </w:rPr>
        <w:t xml:space="preserve"> </w:t>
      </w:r>
    </w:p>
    <w:p w14:paraId="6CC15E9B" w14:textId="535F3B12" w:rsidR="00B773B1" w:rsidRPr="00847706" w:rsidRDefault="0020176D" w:rsidP="00B773B1">
      <w:pPr>
        <w:tabs>
          <w:tab w:val="left" w:pos="5710"/>
        </w:tabs>
        <w:spacing w:after="0"/>
        <w:rPr>
          <w:rFonts w:asciiTheme="majorHAnsi" w:eastAsiaTheme="majorEastAsia" w:hAnsiTheme="majorHAnsi" w:cstheme="majorBidi"/>
          <w:bCs/>
          <w:color w:val="000000" w:themeColor="text1"/>
          <w:sz w:val="18"/>
          <w:szCs w:val="18"/>
        </w:rPr>
      </w:pPr>
      <w:r>
        <w:rPr>
          <w:rFonts w:asciiTheme="majorHAnsi" w:eastAsiaTheme="majorEastAsia" w:hAnsiTheme="majorHAnsi" w:cstheme="majorBidi"/>
          <w:bCs/>
          <w:color w:val="000000" w:themeColor="text1"/>
          <w:sz w:val="18"/>
          <w:szCs w:val="18"/>
        </w:rPr>
        <w:t xml:space="preserve">             </w:t>
      </w:r>
      <w:r w:rsidR="00B773B1" w:rsidRPr="00847706">
        <w:rPr>
          <w:rFonts w:asciiTheme="majorHAnsi" w:eastAsiaTheme="majorEastAsia" w:hAnsiTheme="majorHAnsi" w:cstheme="majorBidi"/>
          <w:bCs/>
          <w:color w:val="000000" w:themeColor="text1"/>
          <w:sz w:val="18"/>
          <w:szCs w:val="18"/>
        </w:rPr>
        <w:t xml:space="preserve">3. </w:t>
      </w:r>
      <w:r w:rsidR="00A0692D" w:rsidRPr="0020176D">
        <w:rPr>
          <w:rFonts w:asciiTheme="majorHAnsi" w:hAnsiTheme="majorHAnsi"/>
          <w:bCs/>
          <w:sz w:val="18"/>
          <w:szCs w:val="18"/>
        </w:rPr>
        <w:t>Negative number</w:t>
      </w:r>
      <w:r w:rsidR="00BB1B5B" w:rsidRPr="0020176D">
        <w:rPr>
          <w:rFonts w:asciiTheme="majorHAnsi" w:hAnsiTheme="majorHAnsi"/>
          <w:bCs/>
          <w:sz w:val="18"/>
          <w:szCs w:val="18"/>
        </w:rPr>
        <w:t>s</w:t>
      </w:r>
      <w:r w:rsidR="00A0692D" w:rsidRPr="0020176D">
        <w:rPr>
          <w:rFonts w:asciiTheme="majorHAnsi" w:hAnsiTheme="majorHAnsi"/>
          <w:bCs/>
          <w:sz w:val="18"/>
          <w:szCs w:val="18"/>
        </w:rPr>
        <w:t xml:space="preserve"> indicate that taxpayers owe less tax using formulas with higher weighted sales factor than using the formula with equal-weighted factors.</w:t>
      </w:r>
    </w:p>
    <w:p w14:paraId="6D0A21CA" w14:textId="77777777" w:rsidR="008A391D" w:rsidRDefault="008A391D" w:rsidP="008A391D">
      <w:pPr>
        <w:spacing w:after="0"/>
        <w:rPr>
          <w:rFonts w:asciiTheme="majorHAnsi" w:eastAsiaTheme="majorEastAsia" w:hAnsiTheme="majorHAnsi" w:cstheme="majorBidi"/>
          <w:bCs/>
          <w:color w:val="000000" w:themeColor="text1"/>
          <w:sz w:val="24"/>
          <w:szCs w:val="24"/>
        </w:rPr>
      </w:pPr>
    </w:p>
    <w:p w14:paraId="11590663" w14:textId="444BD9FF" w:rsidR="008A391D" w:rsidRDefault="008A391D" w:rsidP="008A391D">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By industry, Table </w:t>
      </w:r>
      <w:r w:rsidR="00727E72">
        <w:rPr>
          <w:rFonts w:asciiTheme="majorHAnsi" w:eastAsiaTheme="majorEastAsia" w:hAnsiTheme="majorHAnsi" w:cstheme="majorBidi"/>
          <w:bCs/>
          <w:color w:val="000000" w:themeColor="text1"/>
          <w:sz w:val="24"/>
          <w:szCs w:val="24"/>
        </w:rPr>
        <w:t>A1-4</w:t>
      </w:r>
      <w:r>
        <w:rPr>
          <w:rFonts w:asciiTheme="majorHAnsi" w:eastAsiaTheme="majorEastAsia" w:hAnsiTheme="majorHAnsi" w:cstheme="majorBidi"/>
          <w:bCs/>
          <w:color w:val="000000" w:themeColor="text1"/>
          <w:sz w:val="24"/>
          <w:szCs w:val="24"/>
        </w:rPr>
        <w:t xml:space="preserve"> </w:t>
      </w:r>
      <w:r w:rsidR="00946E9F">
        <w:rPr>
          <w:rFonts w:asciiTheme="majorHAnsi" w:eastAsiaTheme="majorEastAsia" w:hAnsiTheme="majorHAnsi" w:cstheme="majorBidi"/>
          <w:bCs/>
          <w:color w:val="000000" w:themeColor="text1"/>
          <w:sz w:val="24"/>
          <w:szCs w:val="24"/>
        </w:rPr>
        <w:t xml:space="preserve">below </w:t>
      </w:r>
      <w:r>
        <w:rPr>
          <w:rFonts w:asciiTheme="majorHAnsi" w:eastAsiaTheme="majorEastAsia" w:hAnsiTheme="majorHAnsi" w:cstheme="majorBidi"/>
          <w:bCs/>
          <w:color w:val="000000" w:themeColor="text1"/>
          <w:sz w:val="24"/>
          <w:szCs w:val="24"/>
        </w:rPr>
        <w:t>shows that the “P</w:t>
      </w:r>
      <w:r w:rsidRPr="001052D6">
        <w:rPr>
          <w:rFonts w:asciiTheme="majorHAnsi" w:eastAsiaTheme="majorEastAsia" w:hAnsiTheme="majorHAnsi" w:cstheme="majorBidi"/>
          <w:bCs/>
          <w:color w:val="000000" w:themeColor="text1"/>
          <w:sz w:val="24"/>
          <w:szCs w:val="24"/>
        </w:rPr>
        <w:t xml:space="preserve">rofessional, </w:t>
      </w:r>
      <w:r>
        <w:rPr>
          <w:rFonts w:asciiTheme="majorHAnsi" w:eastAsiaTheme="majorEastAsia" w:hAnsiTheme="majorHAnsi" w:cstheme="majorBidi"/>
          <w:bCs/>
          <w:color w:val="000000" w:themeColor="text1"/>
          <w:sz w:val="24"/>
          <w:szCs w:val="24"/>
        </w:rPr>
        <w:t>S</w:t>
      </w:r>
      <w:r w:rsidRPr="001052D6">
        <w:rPr>
          <w:rFonts w:asciiTheme="majorHAnsi" w:eastAsiaTheme="majorEastAsia" w:hAnsiTheme="majorHAnsi" w:cstheme="majorBidi"/>
          <w:bCs/>
          <w:color w:val="000000" w:themeColor="text1"/>
          <w:sz w:val="24"/>
          <w:szCs w:val="24"/>
        </w:rPr>
        <w:t xml:space="preserve">cientific, and </w:t>
      </w:r>
      <w:r>
        <w:rPr>
          <w:rFonts w:asciiTheme="majorHAnsi" w:eastAsiaTheme="majorEastAsia" w:hAnsiTheme="majorHAnsi" w:cstheme="majorBidi"/>
          <w:bCs/>
          <w:color w:val="000000" w:themeColor="text1"/>
          <w:sz w:val="24"/>
          <w:szCs w:val="24"/>
        </w:rPr>
        <w:t>T</w:t>
      </w:r>
      <w:r w:rsidRPr="001052D6">
        <w:rPr>
          <w:rFonts w:asciiTheme="majorHAnsi" w:eastAsiaTheme="majorEastAsia" w:hAnsiTheme="majorHAnsi" w:cstheme="majorBidi"/>
          <w:bCs/>
          <w:color w:val="000000" w:themeColor="text1"/>
          <w:sz w:val="24"/>
          <w:szCs w:val="24"/>
        </w:rPr>
        <w:t xml:space="preserve">echnical </w:t>
      </w:r>
      <w:r>
        <w:rPr>
          <w:rFonts w:asciiTheme="majorHAnsi" w:eastAsiaTheme="majorEastAsia" w:hAnsiTheme="majorHAnsi" w:cstheme="majorBidi"/>
          <w:bCs/>
          <w:color w:val="000000" w:themeColor="text1"/>
          <w:sz w:val="24"/>
          <w:szCs w:val="24"/>
        </w:rPr>
        <w:t>S</w:t>
      </w:r>
      <w:r w:rsidRPr="001052D6">
        <w:rPr>
          <w:rFonts w:asciiTheme="majorHAnsi" w:eastAsiaTheme="majorEastAsia" w:hAnsiTheme="majorHAnsi" w:cstheme="majorBidi"/>
          <w:bCs/>
          <w:color w:val="000000" w:themeColor="text1"/>
          <w:sz w:val="24"/>
          <w:szCs w:val="24"/>
        </w:rPr>
        <w:t>ervices</w:t>
      </w:r>
      <w:r>
        <w:rPr>
          <w:rFonts w:asciiTheme="majorHAnsi" w:eastAsiaTheme="majorEastAsia" w:hAnsiTheme="majorHAnsi" w:cstheme="majorBidi"/>
          <w:bCs/>
          <w:color w:val="000000" w:themeColor="text1"/>
          <w:sz w:val="24"/>
          <w:szCs w:val="24"/>
        </w:rPr>
        <w:t>” industry represented about 20.4% of positively impacted corporations and 18.</w:t>
      </w:r>
      <w:r w:rsidR="00727E72">
        <w:rPr>
          <w:rFonts w:asciiTheme="majorHAnsi" w:eastAsiaTheme="majorEastAsia" w:hAnsiTheme="majorHAnsi" w:cstheme="majorBidi"/>
          <w:bCs/>
          <w:color w:val="000000" w:themeColor="text1"/>
          <w:sz w:val="24"/>
          <w:szCs w:val="24"/>
        </w:rPr>
        <w:t>1</w:t>
      </w:r>
      <w:r>
        <w:rPr>
          <w:rFonts w:asciiTheme="majorHAnsi" w:eastAsiaTheme="majorEastAsia" w:hAnsiTheme="majorHAnsi" w:cstheme="majorBidi"/>
          <w:bCs/>
          <w:color w:val="000000" w:themeColor="text1"/>
          <w:sz w:val="24"/>
          <w:szCs w:val="24"/>
        </w:rPr>
        <w:t>% of total tax savings. The “Manufacturing” industry represented about 13.9% of total positively impacted corporations, 44.0% of total tax savings, and had the highest average tax savings of $2</w:t>
      </w:r>
      <w:r w:rsidR="00727E72">
        <w:rPr>
          <w:rFonts w:asciiTheme="majorHAnsi" w:eastAsiaTheme="majorEastAsia" w:hAnsiTheme="majorHAnsi" w:cstheme="majorBidi"/>
          <w:bCs/>
          <w:color w:val="000000" w:themeColor="text1"/>
          <w:sz w:val="24"/>
          <w:szCs w:val="24"/>
        </w:rPr>
        <w:t>48</w:t>
      </w:r>
      <w:r>
        <w:rPr>
          <w:rFonts w:asciiTheme="majorHAnsi" w:eastAsiaTheme="majorEastAsia" w:hAnsiTheme="majorHAnsi" w:cstheme="majorBidi"/>
          <w:bCs/>
          <w:color w:val="000000" w:themeColor="text1"/>
          <w:sz w:val="24"/>
          <w:szCs w:val="24"/>
        </w:rPr>
        <w:t>,000 compared with $7</w:t>
      </w:r>
      <w:r w:rsidR="00727E72">
        <w:rPr>
          <w:rFonts w:asciiTheme="majorHAnsi" w:eastAsiaTheme="majorEastAsia" w:hAnsiTheme="majorHAnsi" w:cstheme="majorBidi"/>
          <w:bCs/>
          <w:color w:val="000000" w:themeColor="text1"/>
          <w:sz w:val="24"/>
          <w:szCs w:val="24"/>
        </w:rPr>
        <w:t>8</w:t>
      </w:r>
      <w:r>
        <w:rPr>
          <w:rFonts w:asciiTheme="majorHAnsi" w:eastAsiaTheme="majorEastAsia" w:hAnsiTheme="majorHAnsi" w:cstheme="majorBidi"/>
          <w:bCs/>
          <w:color w:val="000000" w:themeColor="text1"/>
          <w:sz w:val="24"/>
          <w:szCs w:val="24"/>
        </w:rPr>
        <w:t>,000 for all positively affected corporations.</w:t>
      </w:r>
    </w:p>
    <w:p w14:paraId="4D332770" w14:textId="77777777" w:rsidR="008A391D" w:rsidRDefault="008A391D" w:rsidP="008A391D">
      <w:pPr>
        <w:spacing w:after="0"/>
        <w:rPr>
          <w:rFonts w:asciiTheme="majorHAnsi" w:eastAsiaTheme="majorEastAsia" w:hAnsiTheme="majorHAnsi" w:cstheme="majorBidi"/>
          <w:bCs/>
          <w:color w:val="000000" w:themeColor="text1"/>
          <w:sz w:val="24"/>
          <w:szCs w:val="24"/>
        </w:rPr>
      </w:pPr>
    </w:p>
    <w:p w14:paraId="408311C3" w14:textId="69706C62" w:rsidR="00B773B1" w:rsidRDefault="00B773B1" w:rsidP="00B773B1">
      <w:pPr>
        <w:tabs>
          <w:tab w:val="left" w:pos="5710"/>
        </w:tabs>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A1-4</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946E9F">
        <w:rPr>
          <w:rFonts w:asciiTheme="majorHAnsi" w:hAnsiTheme="majorHAnsi"/>
          <w:b/>
          <w:sz w:val="24"/>
          <w:szCs w:val="24"/>
        </w:rPr>
        <w:t>Decrease</w:t>
      </w:r>
      <w:r>
        <w:rPr>
          <w:rFonts w:asciiTheme="majorHAnsi" w:hAnsiTheme="majorHAnsi"/>
          <w:b/>
          <w:sz w:val="24"/>
          <w:szCs w:val="24"/>
        </w:rPr>
        <w:t xml:space="preserve"> </w:t>
      </w:r>
      <w:r w:rsidRPr="008F4A2D">
        <w:rPr>
          <w:rFonts w:asciiTheme="majorHAnsi" w:hAnsiTheme="majorHAnsi"/>
          <w:b/>
          <w:sz w:val="24"/>
          <w:szCs w:val="24"/>
        </w:rPr>
        <w:t xml:space="preserve">by </w:t>
      </w:r>
      <w:r>
        <w:rPr>
          <w:rFonts w:asciiTheme="majorHAnsi" w:hAnsiTheme="majorHAnsi"/>
          <w:b/>
          <w:sz w:val="24"/>
          <w:szCs w:val="24"/>
        </w:rPr>
        <w:t>Industry</w:t>
      </w:r>
      <w:r w:rsidR="00946E9F">
        <w:rPr>
          <w:rFonts w:asciiTheme="majorHAnsi" w:hAnsiTheme="majorHAnsi"/>
          <w:b/>
          <w:sz w:val="24"/>
          <w:szCs w:val="24"/>
        </w:rPr>
        <w:t xml:space="preserve"> </w:t>
      </w:r>
      <w:r w:rsidR="00946E9F" w:rsidRPr="00107265">
        <w:rPr>
          <w:rStyle w:val="FootnoteReference"/>
          <w:rFonts w:eastAsiaTheme="majorEastAsia"/>
          <w:b/>
          <w:bCs/>
          <w:color w:val="000000" w:themeColor="text1"/>
        </w:rPr>
        <w:t>(1)</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350"/>
        <w:gridCol w:w="1350"/>
        <w:gridCol w:w="1350"/>
        <w:gridCol w:w="1080"/>
        <w:gridCol w:w="1260"/>
      </w:tblGrid>
      <w:tr w:rsidR="009F00D6" w:rsidRPr="00777B28" w14:paraId="6BCFB146" w14:textId="77777777" w:rsidTr="009F355B">
        <w:trPr>
          <w:trHeight w:val="144"/>
          <w:jc w:val="center"/>
        </w:trPr>
        <w:tc>
          <w:tcPr>
            <w:tcW w:w="3325" w:type="dxa"/>
            <w:shd w:val="clear" w:color="auto" w:fill="B6DDE8" w:themeFill="accent5" w:themeFillTint="66"/>
            <w:vAlign w:val="center"/>
            <w:hideMark/>
          </w:tcPr>
          <w:p w14:paraId="7F4D3C9A" w14:textId="77777777" w:rsidR="009F00D6" w:rsidRPr="00EE5936" w:rsidRDefault="009F00D6" w:rsidP="009F00D6">
            <w:pPr>
              <w:spacing w:after="0" w:line="240" w:lineRule="auto"/>
              <w:jc w:val="center"/>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Industry </w:t>
            </w:r>
          </w:p>
        </w:tc>
        <w:tc>
          <w:tcPr>
            <w:tcW w:w="1350" w:type="dxa"/>
            <w:shd w:val="clear" w:color="auto" w:fill="B6DDE8" w:themeFill="accent5" w:themeFillTint="66"/>
            <w:vAlign w:val="center"/>
            <w:hideMark/>
          </w:tcPr>
          <w:p w14:paraId="511AED2F" w14:textId="0E93439D" w:rsidR="009F00D6" w:rsidRPr="00EE5936" w:rsidRDefault="009F00D6" w:rsidP="009F00D6">
            <w:pPr>
              <w:spacing w:after="0" w:line="240" w:lineRule="auto"/>
              <w:jc w:val="center"/>
              <w:rPr>
                <w:rFonts w:asciiTheme="majorHAnsi" w:eastAsia="Times New Roman" w:hAnsiTheme="majorHAnsi" w:cs="Helvetica"/>
                <w:color w:val="000000"/>
                <w:sz w:val="20"/>
                <w:szCs w:val="20"/>
                <w:lang w:eastAsia="ko-KR"/>
              </w:rPr>
            </w:pPr>
            <w:r w:rsidRPr="00D5431D">
              <w:rPr>
                <w:rFonts w:ascii="Cambria" w:eastAsia="Times New Roman" w:hAnsi="Cambria" w:cs="Helvetica"/>
                <w:color w:val="000000"/>
                <w:sz w:val="20"/>
                <w:szCs w:val="20"/>
                <w:lang w:eastAsia="ko-KR"/>
              </w:rPr>
              <w:t>Number of</w:t>
            </w:r>
            <w:r>
              <w:rPr>
                <w:rFonts w:ascii="Cambria" w:eastAsia="Times New Roman" w:hAnsi="Cambria" w:cs="Helvetica"/>
                <w:color w:val="000000"/>
                <w:sz w:val="20"/>
                <w:szCs w:val="20"/>
                <w:lang w:eastAsia="ko-KR"/>
              </w:rPr>
              <w:t xml:space="preserve"> Positively</w:t>
            </w:r>
            <w:r w:rsidRPr="00D5431D">
              <w:rPr>
                <w:rFonts w:ascii="Cambria" w:eastAsia="Times New Roman" w:hAnsi="Cambria" w:cs="Helvetica"/>
                <w:color w:val="000000"/>
                <w:sz w:val="20"/>
                <w:szCs w:val="20"/>
                <w:lang w:eastAsia="ko-KR"/>
              </w:rPr>
              <w:t xml:space="preserve"> Impacted Corporations</w:t>
            </w:r>
          </w:p>
        </w:tc>
        <w:tc>
          <w:tcPr>
            <w:tcW w:w="1350" w:type="dxa"/>
            <w:shd w:val="clear" w:color="auto" w:fill="B6DDE8" w:themeFill="accent5" w:themeFillTint="66"/>
            <w:vAlign w:val="center"/>
            <w:hideMark/>
          </w:tcPr>
          <w:p w14:paraId="110A0D0D" w14:textId="5C671078" w:rsidR="009F00D6" w:rsidRPr="00EE5936" w:rsidRDefault="009F00D6" w:rsidP="009F00D6">
            <w:pPr>
              <w:spacing w:after="0" w:line="240" w:lineRule="auto"/>
              <w:jc w:val="center"/>
              <w:rPr>
                <w:rFonts w:asciiTheme="majorHAnsi" w:eastAsia="Times New Roman" w:hAnsiTheme="majorHAnsi" w:cs="Helvetica"/>
                <w:i/>
                <w:iCs/>
                <w:color w:val="000000"/>
                <w:sz w:val="20"/>
                <w:szCs w:val="20"/>
                <w:lang w:eastAsia="ko-KR"/>
              </w:rPr>
            </w:pPr>
            <w:r w:rsidRPr="00D5431D">
              <w:rPr>
                <w:rFonts w:ascii="Cambria" w:eastAsia="Times New Roman" w:hAnsi="Cambria" w:cs="Helvetica"/>
                <w:color w:val="000000"/>
                <w:sz w:val="20"/>
                <w:szCs w:val="20"/>
                <w:lang w:eastAsia="ko-KR"/>
              </w:rPr>
              <w:t xml:space="preserve">% of Total Number of </w:t>
            </w:r>
            <w:r>
              <w:rPr>
                <w:rFonts w:ascii="Cambria" w:eastAsia="Times New Roman" w:hAnsi="Cambria" w:cs="Helvetica"/>
                <w:color w:val="000000"/>
                <w:sz w:val="20"/>
                <w:szCs w:val="20"/>
                <w:lang w:eastAsia="ko-KR"/>
              </w:rPr>
              <w:t>Positively</w:t>
            </w:r>
            <w:r w:rsidRPr="00D5431D">
              <w:rPr>
                <w:rFonts w:ascii="Cambria" w:eastAsia="Times New Roman" w:hAnsi="Cambria" w:cs="Helvetica"/>
                <w:color w:val="000000"/>
                <w:sz w:val="20"/>
                <w:szCs w:val="20"/>
                <w:lang w:eastAsia="ko-KR"/>
              </w:rPr>
              <w:t xml:space="preserve"> Impacted Corporations</w:t>
            </w:r>
          </w:p>
        </w:tc>
        <w:tc>
          <w:tcPr>
            <w:tcW w:w="1350" w:type="dxa"/>
            <w:shd w:val="clear" w:color="auto" w:fill="B6DDE8" w:themeFill="accent5" w:themeFillTint="66"/>
            <w:vAlign w:val="center"/>
            <w:hideMark/>
          </w:tcPr>
          <w:p w14:paraId="49A3718E" w14:textId="5365D0DD" w:rsidR="009F00D6" w:rsidRPr="00EE5936" w:rsidRDefault="009F00D6" w:rsidP="009F00D6">
            <w:pPr>
              <w:spacing w:after="0" w:line="240" w:lineRule="auto"/>
              <w:jc w:val="center"/>
              <w:rPr>
                <w:rFonts w:asciiTheme="majorHAnsi" w:eastAsia="Times New Roman" w:hAnsiTheme="majorHAnsi"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946E9F">
              <w:rPr>
                <w:rFonts w:ascii="Cambria" w:eastAsia="Times New Roman" w:hAnsi="Cambria" w:cs="Helvetica"/>
                <w:color w:val="000000"/>
                <w:sz w:val="20"/>
                <w:szCs w:val="20"/>
                <w:lang w:eastAsia="ko-KR"/>
              </w:rPr>
              <w:t>Decrease</w:t>
            </w:r>
            <w:r w:rsidRPr="00D5431D">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u</w:t>
            </w:r>
            <w:r w:rsidRPr="00D5431D">
              <w:rPr>
                <w:rFonts w:ascii="Cambria" w:eastAsia="Times New Roman" w:hAnsi="Cambria" w:cs="Helvetica"/>
                <w:color w:val="000000"/>
                <w:sz w:val="20"/>
                <w:szCs w:val="20"/>
                <w:lang w:eastAsia="ko-KR"/>
              </w:rPr>
              <w:t xml:space="preserve">sing Formulas with </w:t>
            </w:r>
            <w:r>
              <w:rPr>
                <w:rFonts w:ascii="Cambria" w:eastAsia="Times New Roman" w:hAnsi="Cambria" w:cs="Helvetica"/>
                <w:color w:val="000000"/>
                <w:sz w:val="20"/>
                <w:szCs w:val="20"/>
                <w:lang w:eastAsia="ko-KR"/>
              </w:rPr>
              <w:t xml:space="preserve">Higher </w:t>
            </w:r>
            <w:r w:rsidRPr="00D5431D">
              <w:rPr>
                <w:rFonts w:ascii="Cambria" w:eastAsia="Times New Roman" w:hAnsi="Cambria" w:cs="Helvetica"/>
                <w:color w:val="000000"/>
                <w:sz w:val="20"/>
                <w:szCs w:val="20"/>
                <w:lang w:eastAsia="ko-KR"/>
              </w:rPr>
              <w:t>Weighted Sales Factor ($000)</w:t>
            </w:r>
            <w:r w:rsidR="00946E9F">
              <w:rPr>
                <w:rFonts w:ascii="Cambria" w:eastAsia="Times New Roman" w:hAnsi="Cambria" w:cs="Helvetica"/>
                <w:color w:val="000000"/>
                <w:sz w:val="20"/>
                <w:szCs w:val="20"/>
                <w:lang w:eastAsia="ko-KR"/>
              </w:rPr>
              <w:t xml:space="preserve"> </w:t>
            </w:r>
            <w:r w:rsidR="00946E9F" w:rsidRPr="00107265">
              <w:rPr>
                <w:rStyle w:val="FootnoteReference"/>
                <w:rFonts w:eastAsiaTheme="majorEastAsia"/>
                <w:color w:val="000000" w:themeColor="text1"/>
              </w:rPr>
              <w:t>(</w:t>
            </w:r>
            <w:r w:rsidR="00946E9F">
              <w:rPr>
                <w:rStyle w:val="FootnoteReference"/>
                <w:rFonts w:eastAsiaTheme="majorEastAsia"/>
                <w:color w:val="000000" w:themeColor="text1"/>
              </w:rPr>
              <w:t>3</w:t>
            </w:r>
            <w:r w:rsidR="00946E9F" w:rsidRPr="00107265">
              <w:rPr>
                <w:rStyle w:val="FootnoteReference"/>
                <w:rFonts w:eastAsiaTheme="majorEastAsia"/>
                <w:color w:val="000000" w:themeColor="text1"/>
              </w:rPr>
              <w:t>)</w:t>
            </w:r>
          </w:p>
        </w:tc>
        <w:tc>
          <w:tcPr>
            <w:tcW w:w="1080" w:type="dxa"/>
            <w:shd w:val="clear" w:color="auto" w:fill="B6DDE8" w:themeFill="accent5" w:themeFillTint="66"/>
            <w:vAlign w:val="center"/>
            <w:hideMark/>
          </w:tcPr>
          <w:p w14:paraId="1E483984" w14:textId="2B5BFB7C" w:rsidR="009F00D6" w:rsidRPr="00EE5936" w:rsidRDefault="009F00D6" w:rsidP="009F00D6">
            <w:pPr>
              <w:spacing w:after="0" w:line="240" w:lineRule="auto"/>
              <w:jc w:val="center"/>
              <w:rPr>
                <w:rFonts w:asciiTheme="majorHAnsi" w:eastAsia="Times New Roman" w:hAnsiTheme="majorHAnsi" w:cs="Helvetica"/>
                <w:i/>
                <w:iCs/>
                <w:color w:val="000000"/>
                <w:sz w:val="20"/>
                <w:szCs w:val="20"/>
                <w:lang w:eastAsia="ko-KR"/>
              </w:rPr>
            </w:pPr>
            <w:r w:rsidRPr="00EE5936">
              <w:rPr>
                <w:rFonts w:ascii="Cambria" w:eastAsia="Times New Roman" w:hAnsi="Cambria" w:cs="Helvetica"/>
                <w:color w:val="000000"/>
                <w:sz w:val="20"/>
                <w:szCs w:val="20"/>
                <w:lang w:eastAsia="ko-KR"/>
              </w:rPr>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946E9F">
              <w:rPr>
                <w:rFonts w:ascii="Cambria" w:eastAsia="Times New Roman" w:hAnsi="Cambria" w:cs="Helvetica"/>
                <w:color w:val="000000"/>
                <w:sz w:val="20"/>
                <w:szCs w:val="20"/>
                <w:lang w:eastAsia="ko-KR"/>
              </w:rPr>
              <w:t>Decrease</w:t>
            </w:r>
          </w:p>
        </w:tc>
        <w:tc>
          <w:tcPr>
            <w:tcW w:w="1260" w:type="dxa"/>
            <w:shd w:val="clear" w:color="auto" w:fill="B6DDE8" w:themeFill="accent5" w:themeFillTint="66"/>
            <w:vAlign w:val="center"/>
            <w:hideMark/>
          </w:tcPr>
          <w:p w14:paraId="53D34A21" w14:textId="26BB3B45" w:rsidR="009F00D6" w:rsidRPr="00EE5936" w:rsidRDefault="009F00D6" w:rsidP="009F00D6">
            <w:pPr>
              <w:spacing w:after="0" w:line="240" w:lineRule="auto"/>
              <w:jc w:val="center"/>
              <w:rPr>
                <w:rFonts w:asciiTheme="majorHAnsi" w:eastAsia="Times New Roman" w:hAnsiTheme="majorHAnsi" w:cs="Helvetica"/>
                <w:color w:val="000000"/>
                <w:sz w:val="20"/>
                <w:szCs w:val="20"/>
                <w:lang w:eastAsia="ko-KR"/>
              </w:rPr>
            </w:pPr>
            <w:r w:rsidRPr="00EE5936">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946E9F">
              <w:rPr>
                <w:rFonts w:ascii="Cambria" w:eastAsia="Times New Roman" w:hAnsi="Cambria" w:cs="Helvetica"/>
                <w:color w:val="000000"/>
                <w:sz w:val="20"/>
                <w:szCs w:val="20"/>
                <w:lang w:eastAsia="ko-KR"/>
              </w:rPr>
              <w:t>Decrease</w:t>
            </w:r>
            <w:r w:rsidRPr="001C5672">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 xml:space="preserve">per </w:t>
            </w:r>
            <w:r>
              <w:rPr>
                <w:rFonts w:ascii="Cambria" w:eastAsia="Times New Roman" w:hAnsi="Cambria" w:cs="Helvetica"/>
                <w:color w:val="000000"/>
                <w:sz w:val="20"/>
                <w:szCs w:val="20"/>
                <w:lang w:eastAsia="ko-KR"/>
              </w:rPr>
              <w:t xml:space="preserve">Positively </w:t>
            </w:r>
            <w:r w:rsidRPr="00EE5936">
              <w:rPr>
                <w:rFonts w:ascii="Cambria" w:eastAsia="Times New Roman" w:hAnsi="Cambria" w:cs="Helvetica"/>
                <w:color w:val="000000"/>
                <w:sz w:val="20"/>
                <w:szCs w:val="20"/>
                <w:lang w:eastAsia="ko-KR"/>
              </w:rPr>
              <w:t>Impacted Corporation ($000)</w:t>
            </w:r>
            <w:r w:rsidR="00946E9F">
              <w:rPr>
                <w:rFonts w:ascii="Cambria" w:eastAsia="Times New Roman" w:hAnsi="Cambria" w:cs="Helvetica"/>
                <w:color w:val="000000"/>
                <w:sz w:val="20"/>
                <w:szCs w:val="20"/>
                <w:lang w:eastAsia="ko-KR"/>
              </w:rPr>
              <w:t xml:space="preserve"> </w:t>
            </w:r>
            <w:r w:rsidR="00946E9F" w:rsidRPr="00107265">
              <w:rPr>
                <w:rStyle w:val="FootnoteReference"/>
                <w:rFonts w:eastAsiaTheme="majorEastAsia"/>
                <w:color w:val="000000" w:themeColor="text1"/>
              </w:rPr>
              <w:t>(</w:t>
            </w:r>
            <w:r w:rsidR="00946E9F">
              <w:rPr>
                <w:rStyle w:val="FootnoteReference"/>
                <w:rFonts w:eastAsiaTheme="majorEastAsia"/>
                <w:color w:val="000000" w:themeColor="text1"/>
              </w:rPr>
              <w:t>3</w:t>
            </w:r>
            <w:r w:rsidR="00946E9F" w:rsidRPr="00107265">
              <w:rPr>
                <w:rStyle w:val="FootnoteReference"/>
                <w:rFonts w:eastAsiaTheme="majorEastAsia"/>
                <w:color w:val="000000" w:themeColor="text1"/>
              </w:rPr>
              <w:t>)</w:t>
            </w:r>
          </w:p>
        </w:tc>
      </w:tr>
      <w:tr w:rsidR="00421709" w:rsidRPr="00777B28" w14:paraId="184DF88F" w14:textId="77777777" w:rsidTr="009F355B">
        <w:trPr>
          <w:trHeight w:val="144"/>
          <w:jc w:val="center"/>
        </w:trPr>
        <w:tc>
          <w:tcPr>
            <w:tcW w:w="3325" w:type="dxa"/>
            <w:shd w:val="clear" w:color="auto" w:fill="auto"/>
            <w:vAlign w:val="center"/>
            <w:hideMark/>
          </w:tcPr>
          <w:p w14:paraId="19D0A9BE"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11 Agriculture, Forestry, Fishing and Hunting </w:t>
            </w:r>
          </w:p>
        </w:tc>
        <w:tc>
          <w:tcPr>
            <w:tcW w:w="1350" w:type="dxa"/>
            <w:shd w:val="clear" w:color="auto" w:fill="auto"/>
            <w:vAlign w:val="center"/>
            <w:hideMark/>
          </w:tcPr>
          <w:p w14:paraId="750C934B" w14:textId="69EEAE5D"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21</w:t>
            </w:r>
          </w:p>
        </w:tc>
        <w:tc>
          <w:tcPr>
            <w:tcW w:w="1350" w:type="dxa"/>
            <w:shd w:val="clear" w:color="auto" w:fill="auto"/>
            <w:vAlign w:val="center"/>
            <w:hideMark/>
          </w:tcPr>
          <w:p w14:paraId="7E7BAA11" w14:textId="793D25EC"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0.3%</w:t>
            </w:r>
          </w:p>
        </w:tc>
        <w:tc>
          <w:tcPr>
            <w:tcW w:w="1350" w:type="dxa"/>
            <w:shd w:val="clear" w:color="auto" w:fill="auto"/>
            <w:vAlign w:val="center"/>
          </w:tcPr>
          <w:p w14:paraId="693837E6" w14:textId="1B8A3764"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-$92</w:t>
            </w:r>
          </w:p>
        </w:tc>
        <w:tc>
          <w:tcPr>
            <w:tcW w:w="1080" w:type="dxa"/>
            <w:shd w:val="clear" w:color="auto" w:fill="auto"/>
            <w:vAlign w:val="center"/>
          </w:tcPr>
          <w:p w14:paraId="2CC557C9" w14:textId="444E8742"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29C57CB5" w14:textId="24C1C344"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w:t>
            </w:r>
          </w:p>
        </w:tc>
      </w:tr>
      <w:tr w:rsidR="00421709" w:rsidRPr="00777B28" w14:paraId="7FED3080" w14:textId="77777777" w:rsidTr="009F355B">
        <w:trPr>
          <w:trHeight w:val="144"/>
          <w:jc w:val="center"/>
        </w:trPr>
        <w:tc>
          <w:tcPr>
            <w:tcW w:w="3325" w:type="dxa"/>
            <w:shd w:val="clear" w:color="auto" w:fill="auto"/>
            <w:vAlign w:val="center"/>
            <w:hideMark/>
          </w:tcPr>
          <w:p w14:paraId="02454066"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21 Mining, Quarrying, and Oil and Gas Extract </w:t>
            </w:r>
          </w:p>
        </w:tc>
        <w:tc>
          <w:tcPr>
            <w:tcW w:w="1350" w:type="dxa"/>
            <w:shd w:val="clear" w:color="auto" w:fill="auto"/>
            <w:vAlign w:val="center"/>
            <w:hideMark/>
          </w:tcPr>
          <w:p w14:paraId="35C4303E" w14:textId="04A41B47"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4</w:t>
            </w:r>
          </w:p>
        </w:tc>
        <w:tc>
          <w:tcPr>
            <w:tcW w:w="1350" w:type="dxa"/>
            <w:shd w:val="clear" w:color="auto" w:fill="auto"/>
            <w:vAlign w:val="center"/>
            <w:hideMark/>
          </w:tcPr>
          <w:p w14:paraId="427B944A" w14:textId="151E869E"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350" w:type="dxa"/>
            <w:shd w:val="clear" w:color="auto" w:fill="auto"/>
            <w:vAlign w:val="center"/>
          </w:tcPr>
          <w:p w14:paraId="19F4BC98" w14:textId="76F7889F"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-$11</w:t>
            </w:r>
          </w:p>
        </w:tc>
        <w:tc>
          <w:tcPr>
            <w:tcW w:w="1080" w:type="dxa"/>
            <w:shd w:val="clear" w:color="auto" w:fill="auto"/>
            <w:vAlign w:val="center"/>
          </w:tcPr>
          <w:p w14:paraId="5CF3C14C" w14:textId="0AE34FBB"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0E4B75A7" w14:textId="53046B7F"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421709" w:rsidRPr="00777B28" w14:paraId="6A74876F" w14:textId="77777777" w:rsidTr="009F355B">
        <w:trPr>
          <w:trHeight w:val="144"/>
          <w:jc w:val="center"/>
        </w:trPr>
        <w:tc>
          <w:tcPr>
            <w:tcW w:w="3325" w:type="dxa"/>
            <w:shd w:val="clear" w:color="auto" w:fill="auto"/>
            <w:vAlign w:val="center"/>
            <w:hideMark/>
          </w:tcPr>
          <w:p w14:paraId="496A9E7A"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22 Utilities </w:t>
            </w:r>
          </w:p>
        </w:tc>
        <w:tc>
          <w:tcPr>
            <w:tcW w:w="1350" w:type="dxa"/>
            <w:shd w:val="clear" w:color="auto" w:fill="auto"/>
            <w:vAlign w:val="center"/>
            <w:hideMark/>
          </w:tcPr>
          <w:p w14:paraId="1A4E9174" w14:textId="26B71F14"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17</w:t>
            </w:r>
          </w:p>
        </w:tc>
        <w:tc>
          <w:tcPr>
            <w:tcW w:w="1350" w:type="dxa"/>
            <w:shd w:val="clear" w:color="auto" w:fill="auto"/>
            <w:vAlign w:val="center"/>
            <w:hideMark/>
          </w:tcPr>
          <w:p w14:paraId="532ECE87" w14:textId="36CAE860"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0.2%</w:t>
            </w:r>
          </w:p>
        </w:tc>
        <w:tc>
          <w:tcPr>
            <w:tcW w:w="1350" w:type="dxa"/>
            <w:shd w:val="clear" w:color="auto" w:fill="auto"/>
            <w:vAlign w:val="center"/>
          </w:tcPr>
          <w:p w14:paraId="45B60482" w14:textId="67626B1C"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-$557</w:t>
            </w:r>
          </w:p>
        </w:tc>
        <w:tc>
          <w:tcPr>
            <w:tcW w:w="1080" w:type="dxa"/>
            <w:shd w:val="clear" w:color="auto" w:fill="auto"/>
            <w:vAlign w:val="center"/>
          </w:tcPr>
          <w:p w14:paraId="72D7C58B" w14:textId="2670540B"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260" w:type="dxa"/>
            <w:shd w:val="clear" w:color="auto" w:fill="auto"/>
            <w:vAlign w:val="center"/>
          </w:tcPr>
          <w:p w14:paraId="5AC248ED" w14:textId="5AC3C57A"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-$33</w:t>
            </w:r>
          </w:p>
        </w:tc>
      </w:tr>
      <w:tr w:rsidR="00421709" w:rsidRPr="00777B28" w14:paraId="500DBC8E" w14:textId="77777777" w:rsidTr="009F355B">
        <w:trPr>
          <w:trHeight w:val="144"/>
          <w:jc w:val="center"/>
        </w:trPr>
        <w:tc>
          <w:tcPr>
            <w:tcW w:w="3325" w:type="dxa"/>
            <w:shd w:val="clear" w:color="auto" w:fill="auto"/>
            <w:vAlign w:val="center"/>
            <w:hideMark/>
          </w:tcPr>
          <w:p w14:paraId="137C9747"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23 Construction </w:t>
            </w:r>
          </w:p>
        </w:tc>
        <w:tc>
          <w:tcPr>
            <w:tcW w:w="1350" w:type="dxa"/>
            <w:shd w:val="clear" w:color="auto" w:fill="auto"/>
            <w:vAlign w:val="center"/>
            <w:hideMark/>
          </w:tcPr>
          <w:p w14:paraId="2DC42C20" w14:textId="5A300327"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513</w:t>
            </w:r>
          </w:p>
        </w:tc>
        <w:tc>
          <w:tcPr>
            <w:tcW w:w="1350" w:type="dxa"/>
            <w:shd w:val="clear" w:color="auto" w:fill="auto"/>
            <w:vAlign w:val="center"/>
            <w:hideMark/>
          </w:tcPr>
          <w:p w14:paraId="59DD9D57" w14:textId="416E54B6"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7.3%</w:t>
            </w:r>
          </w:p>
        </w:tc>
        <w:tc>
          <w:tcPr>
            <w:tcW w:w="1350" w:type="dxa"/>
            <w:shd w:val="clear" w:color="auto" w:fill="auto"/>
            <w:vAlign w:val="center"/>
          </w:tcPr>
          <w:p w14:paraId="25EA0B04" w14:textId="6B4DD355"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-$803</w:t>
            </w:r>
          </w:p>
        </w:tc>
        <w:tc>
          <w:tcPr>
            <w:tcW w:w="1080" w:type="dxa"/>
            <w:shd w:val="clear" w:color="auto" w:fill="auto"/>
            <w:vAlign w:val="center"/>
          </w:tcPr>
          <w:p w14:paraId="1EB56E53" w14:textId="636B38A3"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260" w:type="dxa"/>
            <w:shd w:val="clear" w:color="auto" w:fill="auto"/>
            <w:vAlign w:val="center"/>
          </w:tcPr>
          <w:p w14:paraId="31561FC6" w14:textId="04145AF0"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w:t>
            </w:r>
          </w:p>
        </w:tc>
      </w:tr>
      <w:tr w:rsidR="00421709" w:rsidRPr="00777B28" w14:paraId="508B5640" w14:textId="77777777" w:rsidTr="009F355B">
        <w:trPr>
          <w:trHeight w:val="144"/>
          <w:jc w:val="center"/>
        </w:trPr>
        <w:tc>
          <w:tcPr>
            <w:tcW w:w="3325" w:type="dxa"/>
            <w:shd w:val="clear" w:color="auto" w:fill="auto"/>
            <w:vAlign w:val="center"/>
            <w:hideMark/>
          </w:tcPr>
          <w:p w14:paraId="3A077452"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31-33 Manufacturing </w:t>
            </w:r>
          </w:p>
        </w:tc>
        <w:tc>
          <w:tcPr>
            <w:tcW w:w="1350" w:type="dxa"/>
            <w:shd w:val="clear" w:color="auto" w:fill="auto"/>
            <w:vAlign w:val="center"/>
            <w:hideMark/>
          </w:tcPr>
          <w:p w14:paraId="4B06345F" w14:textId="7EF5D48B"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977</w:t>
            </w:r>
          </w:p>
        </w:tc>
        <w:tc>
          <w:tcPr>
            <w:tcW w:w="1350" w:type="dxa"/>
            <w:shd w:val="clear" w:color="auto" w:fill="auto"/>
            <w:vAlign w:val="center"/>
            <w:hideMark/>
          </w:tcPr>
          <w:p w14:paraId="4813FE66" w14:textId="48863332"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13.9%</w:t>
            </w:r>
          </w:p>
        </w:tc>
        <w:tc>
          <w:tcPr>
            <w:tcW w:w="1350" w:type="dxa"/>
            <w:shd w:val="clear" w:color="auto" w:fill="auto"/>
            <w:vAlign w:val="center"/>
          </w:tcPr>
          <w:p w14:paraId="42135962" w14:textId="5D8562C6"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-$242,756</w:t>
            </w:r>
          </w:p>
        </w:tc>
        <w:tc>
          <w:tcPr>
            <w:tcW w:w="1080" w:type="dxa"/>
            <w:shd w:val="clear" w:color="auto" w:fill="auto"/>
            <w:vAlign w:val="center"/>
          </w:tcPr>
          <w:p w14:paraId="7B58E5A1" w14:textId="51AA74FE"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44.0%</w:t>
            </w:r>
          </w:p>
        </w:tc>
        <w:tc>
          <w:tcPr>
            <w:tcW w:w="1260" w:type="dxa"/>
            <w:shd w:val="clear" w:color="auto" w:fill="auto"/>
            <w:vAlign w:val="center"/>
          </w:tcPr>
          <w:p w14:paraId="1C6E5A4F" w14:textId="0E0FFCD9"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-$248</w:t>
            </w:r>
          </w:p>
        </w:tc>
      </w:tr>
      <w:tr w:rsidR="00421709" w:rsidRPr="00777B28" w14:paraId="41BD116A" w14:textId="77777777" w:rsidTr="009F355B">
        <w:trPr>
          <w:trHeight w:val="144"/>
          <w:jc w:val="center"/>
        </w:trPr>
        <w:tc>
          <w:tcPr>
            <w:tcW w:w="3325" w:type="dxa"/>
            <w:shd w:val="clear" w:color="auto" w:fill="auto"/>
            <w:vAlign w:val="center"/>
            <w:hideMark/>
          </w:tcPr>
          <w:p w14:paraId="0C78AF04"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42 Wholesale Trade </w:t>
            </w:r>
          </w:p>
        </w:tc>
        <w:tc>
          <w:tcPr>
            <w:tcW w:w="1350" w:type="dxa"/>
            <w:shd w:val="clear" w:color="auto" w:fill="auto"/>
            <w:vAlign w:val="center"/>
            <w:hideMark/>
          </w:tcPr>
          <w:p w14:paraId="0CDEF729" w14:textId="37E7CF7C"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877</w:t>
            </w:r>
          </w:p>
        </w:tc>
        <w:tc>
          <w:tcPr>
            <w:tcW w:w="1350" w:type="dxa"/>
            <w:shd w:val="clear" w:color="auto" w:fill="auto"/>
            <w:vAlign w:val="center"/>
            <w:hideMark/>
          </w:tcPr>
          <w:p w14:paraId="60BC970A" w14:textId="026A1D6D"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12.4%</w:t>
            </w:r>
          </w:p>
        </w:tc>
        <w:tc>
          <w:tcPr>
            <w:tcW w:w="1350" w:type="dxa"/>
            <w:shd w:val="clear" w:color="auto" w:fill="auto"/>
            <w:vAlign w:val="center"/>
          </w:tcPr>
          <w:p w14:paraId="3DFB4ED9" w14:textId="2086D8CA"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-$14,255</w:t>
            </w:r>
          </w:p>
        </w:tc>
        <w:tc>
          <w:tcPr>
            <w:tcW w:w="1080" w:type="dxa"/>
            <w:shd w:val="clear" w:color="auto" w:fill="auto"/>
            <w:vAlign w:val="center"/>
          </w:tcPr>
          <w:p w14:paraId="6D0CAA1B" w14:textId="1DC5AD7F"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2.6%</w:t>
            </w:r>
          </w:p>
        </w:tc>
        <w:tc>
          <w:tcPr>
            <w:tcW w:w="1260" w:type="dxa"/>
            <w:shd w:val="clear" w:color="auto" w:fill="auto"/>
            <w:vAlign w:val="center"/>
          </w:tcPr>
          <w:p w14:paraId="19E6AE65" w14:textId="116C04EA"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-$16</w:t>
            </w:r>
          </w:p>
        </w:tc>
      </w:tr>
      <w:tr w:rsidR="00421709" w:rsidRPr="00777B28" w14:paraId="13FCBA8E" w14:textId="77777777" w:rsidTr="009F355B">
        <w:trPr>
          <w:trHeight w:val="144"/>
          <w:jc w:val="center"/>
        </w:trPr>
        <w:tc>
          <w:tcPr>
            <w:tcW w:w="3325" w:type="dxa"/>
            <w:shd w:val="clear" w:color="auto" w:fill="auto"/>
            <w:vAlign w:val="center"/>
            <w:hideMark/>
          </w:tcPr>
          <w:p w14:paraId="0D51D63E"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44-45 Retail Trade </w:t>
            </w:r>
          </w:p>
        </w:tc>
        <w:tc>
          <w:tcPr>
            <w:tcW w:w="1350" w:type="dxa"/>
            <w:shd w:val="clear" w:color="auto" w:fill="auto"/>
            <w:vAlign w:val="center"/>
            <w:hideMark/>
          </w:tcPr>
          <w:p w14:paraId="1794CDFC" w14:textId="530F8C9B"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392</w:t>
            </w:r>
          </w:p>
        </w:tc>
        <w:tc>
          <w:tcPr>
            <w:tcW w:w="1350" w:type="dxa"/>
            <w:shd w:val="clear" w:color="auto" w:fill="auto"/>
            <w:vAlign w:val="center"/>
            <w:hideMark/>
          </w:tcPr>
          <w:p w14:paraId="42AEFEA2" w14:textId="1897ED37"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5.6%</w:t>
            </w:r>
          </w:p>
        </w:tc>
        <w:tc>
          <w:tcPr>
            <w:tcW w:w="1350" w:type="dxa"/>
            <w:shd w:val="clear" w:color="auto" w:fill="auto"/>
            <w:vAlign w:val="center"/>
          </w:tcPr>
          <w:p w14:paraId="4E6B6EA2" w14:textId="5BC48506"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-$10,062</w:t>
            </w:r>
          </w:p>
        </w:tc>
        <w:tc>
          <w:tcPr>
            <w:tcW w:w="1080" w:type="dxa"/>
            <w:shd w:val="clear" w:color="auto" w:fill="auto"/>
            <w:vAlign w:val="center"/>
          </w:tcPr>
          <w:p w14:paraId="0A801845" w14:textId="5C67EC2E"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1.8%</w:t>
            </w:r>
          </w:p>
        </w:tc>
        <w:tc>
          <w:tcPr>
            <w:tcW w:w="1260" w:type="dxa"/>
            <w:shd w:val="clear" w:color="auto" w:fill="auto"/>
            <w:vAlign w:val="center"/>
          </w:tcPr>
          <w:p w14:paraId="6F2FB341" w14:textId="3B7E5793"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-$26</w:t>
            </w:r>
          </w:p>
        </w:tc>
      </w:tr>
      <w:tr w:rsidR="00421709" w:rsidRPr="00777B28" w14:paraId="2AAEC765" w14:textId="77777777" w:rsidTr="009F355B">
        <w:trPr>
          <w:trHeight w:val="144"/>
          <w:jc w:val="center"/>
        </w:trPr>
        <w:tc>
          <w:tcPr>
            <w:tcW w:w="3325" w:type="dxa"/>
            <w:shd w:val="clear" w:color="auto" w:fill="auto"/>
            <w:vAlign w:val="center"/>
            <w:hideMark/>
          </w:tcPr>
          <w:p w14:paraId="618D8977"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48-49 Transportation and Warehousing </w:t>
            </w:r>
          </w:p>
        </w:tc>
        <w:tc>
          <w:tcPr>
            <w:tcW w:w="1350" w:type="dxa"/>
            <w:shd w:val="clear" w:color="auto" w:fill="auto"/>
            <w:vAlign w:val="center"/>
            <w:hideMark/>
          </w:tcPr>
          <w:p w14:paraId="0DDF76B2" w14:textId="1691F7DE"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190</w:t>
            </w:r>
          </w:p>
        </w:tc>
        <w:tc>
          <w:tcPr>
            <w:tcW w:w="1350" w:type="dxa"/>
            <w:shd w:val="clear" w:color="auto" w:fill="auto"/>
            <w:vAlign w:val="center"/>
            <w:hideMark/>
          </w:tcPr>
          <w:p w14:paraId="50D943AF" w14:textId="7276C0C5"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2.7%</w:t>
            </w:r>
          </w:p>
        </w:tc>
        <w:tc>
          <w:tcPr>
            <w:tcW w:w="1350" w:type="dxa"/>
            <w:shd w:val="clear" w:color="auto" w:fill="auto"/>
            <w:vAlign w:val="center"/>
          </w:tcPr>
          <w:p w14:paraId="3A06732E" w14:textId="14F86113"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-$935</w:t>
            </w:r>
          </w:p>
        </w:tc>
        <w:tc>
          <w:tcPr>
            <w:tcW w:w="1080" w:type="dxa"/>
            <w:shd w:val="clear" w:color="auto" w:fill="auto"/>
            <w:vAlign w:val="center"/>
          </w:tcPr>
          <w:p w14:paraId="247D870D" w14:textId="750D75B1"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0.2%</w:t>
            </w:r>
          </w:p>
        </w:tc>
        <w:tc>
          <w:tcPr>
            <w:tcW w:w="1260" w:type="dxa"/>
            <w:shd w:val="clear" w:color="auto" w:fill="auto"/>
            <w:vAlign w:val="center"/>
          </w:tcPr>
          <w:p w14:paraId="7EB2C14E" w14:textId="7574B283"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-$5</w:t>
            </w:r>
          </w:p>
        </w:tc>
      </w:tr>
      <w:tr w:rsidR="00421709" w:rsidRPr="00777B28" w14:paraId="7750CFF7" w14:textId="77777777" w:rsidTr="009F355B">
        <w:trPr>
          <w:trHeight w:val="144"/>
          <w:jc w:val="center"/>
        </w:trPr>
        <w:tc>
          <w:tcPr>
            <w:tcW w:w="3325" w:type="dxa"/>
            <w:shd w:val="clear" w:color="auto" w:fill="auto"/>
            <w:vAlign w:val="center"/>
            <w:hideMark/>
          </w:tcPr>
          <w:p w14:paraId="0E24437D"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51 Information </w:t>
            </w:r>
          </w:p>
        </w:tc>
        <w:tc>
          <w:tcPr>
            <w:tcW w:w="1350" w:type="dxa"/>
            <w:shd w:val="clear" w:color="auto" w:fill="auto"/>
            <w:vAlign w:val="center"/>
            <w:hideMark/>
          </w:tcPr>
          <w:p w14:paraId="203DC510" w14:textId="78DEC627"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305</w:t>
            </w:r>
          </w:p>
        </w:tc>
        <w:tc>
          <w:tcPr>
            <w:tcW w:w="1350" w:type="dxa"/>
            <w:shd w:val="clear" w:color="auto" w:fill="auto"/>
            <w:vAlign w:val="center"/>
            <w:hideMark/>
          </w:tcPr>
          <w:p w14:paraId="7CBDC88E" w14:textId="4B258C9A"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4.3%</w:t>
            </w:r>
          </w:p>
        </w:tc>
        <w:tc>
          <w:tcPr>
            <w:tcW w:w="1350" w:type="dxa"/>
            <w:shd w:val="clear" w:color="auto" w:fill="auto"/>
            <w:vAlign w:val="center"/>
          </w:tcPr>
          <w:p w14:paraId="17C3F64F" w14:textId="7C229452"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-$38,829</w:t>
            </w:r>
          </w:p>
        </w:tc>
        <w:tc>
          <w:tcPr>
            <w:tcW w:w="1080" w:type="dxa"/>
            <w:shd w:val="clear" w:color="auto" w:fill="auto"/>
            <w:vAlign w:val="center"/>
          </w:tcPr>
          <w:p w14:paraId="53CCFEF4" w14:textId="203508EB"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7.0%</w:t>
            </w:r>
          </w:p>
        </w:tc>
        <w:tc>
          <w:tcPr>
            <w:tcW w:w="1260" w:type="dxa"/>
            <w:shd w:val="clear" w:color="auto" w:fill="auto"/>
            <w:vAlign w:val="center"/>
          </w:tcPr>
          <w:p w14:paraId="7A5DB0B4" w14:textId="019D37D8"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-$127</w:t>
            </w:r>
          </w:p>
        </w:tc>
      </w:tr>
      <w:tr w:rsidR="00421709" w:rsidRPr="00777B28" w14:paraId="42D6F579" w14:textId="77777777" w:rsidTr="009F355B">
        <w:trPr>
          <w:trHeight w:val="144"/>
          <w:jc w:val="center"/>
        </w:trPr>
        <w:tc>
          <w:tcPr>
            <w:tcW w:w="3325" w:type="dxa"/>
            <w:shd w:val="clear" w:color="auto" w:fill="auto"/>
            <w:vAlign w:val="center"/>
            <w:hideMark/>
          </w:tcPr>
          <w:p w14:paraId="72472A31"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52 Finance and Insurance</w:t>
            </w:r>
          </w:p>
        </w:tc>
        <w:tc>
          <w:tcPr>
            <w:tcW w:w="1350" w:type="dxa"/>
            <w:shd w:val="clear" w:color="auto" w:fill="auto"/>
            <w:vAlign w:val="center"/>
            <w:hideMark/>
          </w:tcPr>
          <w:p w14:paraId="2F2A968F" w14:textId="1564C373"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396</w:t>
            </w:r>
          </w:p>
        </w:tc>
        <w:tc>
          <w:tcPr>
            <w:tcW w:w="1350" w:type="dxa"/>
            <w:shd w:val="clear" w:color="auto" w:fill="auto"/>
            <w:vAlign w:val="center"/>
            <w:hideMark/>
          </w:tcPr>
          <w:p w14:paraId="0FDEB010" w14:textId="49D842C7"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5.6%</w:t>
            </w:r>
          </w:p>
        </w:tc>
        <w:tc>
          <w:tcPr>
            <w:tcW w:w="1350" w:type="dxa"/>
            <w:shd w:val="clear" w:color="auto" w:fill="auto"/>
            <w:vAlign w:val="center"/>
          </w:tcPr>
          <w:p w14:paraId="6D150D8F" w14:textId="334DC925"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-$44,387</w:t>
            </w:r>
          </w:p>
        </w:tc>
        <w:tc>
          <w:tcPr>
            <w:tcW w:w="1080" w:type="dxa"/>
            <w:shd w:val="clear" w:color="auto" w:fill="auto"/>
            <w:vAlign w:val="center"/>
          </w:tcPr>
          <w:p w14:paraId="5BB6062F" w14:textId="54148DAE"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8.0%</w:t>
            </w:r>
          </w:p>
        </w:tc>
        <w:tc>
          <w:tcPr>
            <w:tcW w:w="1260" w:type="dxa"/>
            <w:shd w:val="clear" w:color="auto" w:fill="auto"/>
            <w:vAlign w:val="center"/>
          </w:tcPr>
          <w:p w14:paraId="71180DD1" w14:textId="2115A3FC"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-$112</w:t>
            </w:r>
          </w:p>
        </w:tc>
      </w:tr>
      <w:tr w:rsidR="00421709" w:rsidRPr="00777B28" w14:paraId="46B25BEF" w14:textId="77777777" w:rsidTr="009F355B">
        <w:trPr>
          <w:trHeight w:val="144"/>
          <w:jc w:val="center"/>
        </w:trPr>
        <w:tc>
          <w:tcPr>
            <w:tcW w:w="3325" w:type="dxa"/>
            <w:shd w:val="clear" w:color="auto" w:fill="auto"/>
            <w:vAlign w:val="center"/>
            <w:hideMark/>
          </w:tcPr>
          <w:p w14:paraId="4B94082F"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lastRenderedPageBreak/>
              <w:t xml:space="preserve"> 53 Real Estate and Rental and Leasing </w:t>
            </w:r>
          </w:p>
        </w:tc>
        <w:tc>
          <w:tcPr>
            <w:tcW w:w="1350" w:type="dxa"/>
            <w:shd w:val="clear" w:color="auto" w:fill="auto"/>
            <w:vAlign w:val="center"/>
            <w:hideMark/>
          </w:tcPr>
          <w:p w14:paraId="090ADC21" w14:textId="55AAE13A"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338</w:t>
            </w:r>
          </w:p>
        </w:tc>
        <w:tc>
          <w:tcPr>
            <w:tcW w:w="1350" w:type="dxa"/>
            <w:shd w:val="clear" w:color="auto" w:fill="auto"/>
            <w:vAlign w:val="center"/>
            <w:hideMark/>
          </w:tcPr>
          <w:p w14:paraId="00AB846E" w14:textId="358F2FC4"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4.8%</w:t>
            </w:r>
          </w:p>
        </w:tc>
        <w:tc>
          <w:tcPr>
            <w:tcW w:w="1350" w:type="dxa"/>
            <w:shd w:val="clear" w:color="auto" w:fill="auto"/>
            <w:vAlign w:val="center"/>
          </w:tcPr>
          <w:p w14:paraId="4F042A68" w14:textId="0F5971EF"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-$4,116</w:t>
            </w:r>
          </w:p>
        </w:tc>
        <w:tc>
          <w:tcPr>
            <w:tcW w:w="1080" w:type="dxa"/>
            <w:shd w:val="clear" w:color="auto" w:fill="auto"/>
            <w:vAlign w:val="center"/>
          </w:tcPr>
          <w:p w14:paraId="6DDBA555" w14:textId="14AF005F"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0.7%</w:t>
            </w:r>
          </w:p>
        </w:tc>
        <w:tc>
          <w:tcPr>
            <w:tcW w:w="1260" w:type="dxa"/>
            <w:shd w:val="clear" w:color="auto" w:fill="auto"/>
            <w:vAlign w:val="center"/>
          </w:tcPr>
          <w:p w14:paraId="1E62931C" w14:textId="648906D2"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-$12</w:t>
            </w:r>
          </w:p>
        </w:tc>
      </w:tr>
      <w:tr w:rsidR="00421709" w:rsidRPr="00777B28" w14:paraId="65B57D56" w14:textId="77777777" w:rsidTr="009F355B">
        <w:trPr>
          <w:trHeight w:val="144"/>
          <w:jc w:val="center"/>
        </w:trPr>
        <w:tc>
          <w:tcPr>
            <w:tcW w:w="3325" w:type="dxa"/>
            <w:shd w:val="clear" w:color="auto" w:fill="auto"/>
            <w:vAlign w:val="center"/>
            <w:hideMark/>
          </w:tcPr>
          <w:p w14:paraId="437DB398"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54 Professional, Scientific, and Technical Services </w:t>
            </w:r>
          </w:p>
        </w:tc>
        <w:tc>
          <w:tcPr>
            <w:tcW w:w="1350" w:type="dxa"/>
            <w:shd w:val="clear" w:color="auto" w:fill="auto"/>
            <w:vAlign w:val="center"/>
            <w:hideMark/>
          </w:tcPr>
          <w:p w14:paraId="485FAAE8" w14:textId="178F4EBB"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1,436</w:t>
            </w:r>
          </w:p>
        </w:tc>
        <w:tc>
          <w:tcPr>
            <w:tcW w:w="1350" w:type="dxa"/>
            <w:shd w:val="clear" w:color="auto" w:fill="auto"/>
            <w:vAlign w:val="center"/>
            <w:hideMark/>
          </w:tcPr>
          <w:p w14:paraId="192C5436" w14:textId="458E9C9D"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20.4%</w:t>
            </w:r>
          </w:p>
        </w:tc>
        <w:tc>
          <w:tcPr>
            <w:tcW w:w="1350" w:type="dxa"/>
            <w:shd w:val="clear" w:color="auto" w:fill="auto"/>
            <w:vAlign w:val="center"/>
          </w:tcPr>
          <w:p w14:paraId="54A74B7F" w14:textId="2870778C"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-$99,777</w:t>
            </w:r>
          </w:p>
        </w:tc>
        <w:tc>
          <w:tcPr>
            <w:tcW w:w="1080" w:type="dxa"/>
            <w:shd w:val="clear" w:color="auto" w:fill="auto"/>
            <w:vAlign w:val="center"/>
          </w:tcPr>
          <w:p w14:paraId="31082399" w14:textId="0BADA7BD"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18.1%</w:t>
            </w:r>
          </w:p>
        </w:tc>
        <w:tc>
          <w:tcPr>
            <w:tcW w:w="1260" w:type="dxa"/>
            <w:shd w:val="clear" w:color="auto" w:fill="auto"/>
            <w:vAlign w:val="center"/>
          </w:tcPr>
          <w:p w14:paraId="204A83F8" w14:textId="0A4C48B3"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-$69</w:t>
            </w:r>
          </w:p>
        </w:tc>
      </w:tr>
      <w:tr w:rsidR="00421709" w:rsidRPr="00777B28" w14:paraId="37378220" w14:textId="77777777" w:rsidTr="009F355B">
        <w:trPr>
          <w:trHeight w:val="144"/>
          <w:jc w:val="center"/>
        </w:trPr>
        <w:tc>
          <w:tcPr>
            <w:tcW w:w="3325" w:type="dxa"/>
            <w:shd w:val="clear" w:color="auto" w:fill="auto"/>
            <w:vAlign w:val="center"/>
            <w:hideMark/>
          </w:tcPr>
          <w:p w14:paraId="7E962794"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55 Management of Companies and Enterprises </w:t>
            </w:r>
          </w:p>
        </w:tc>
        <w:tc>
          <w:tcPr>
            <w:tcW w:w="1350" w:type="dxa"/>
            <w:shd w:val="clear" w:color="auto" w:fill="auto"/>
            <w:vAlign w:val="center"/>
            <w:hideMark/>
          </w:tcPr>
          <w:p w14:paraId="617942B6" w14:textId="6FCC1B8C"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265</w:t>
            </w:r>
          </w:p>
        </w:tc>
        <w:tc>
          <w:tcPr>
            <w:tcW w:w="1350" w:type="dxa"/>
            <w:shd w:val="clear" w:color="auto" w:fill="auto"/>
            <w:vAlign w:val="center"/>
            <w:hideMark/>
          </w:tcPr>
          <w:p w14:paraId="04013A54" w14:textId="70317783"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3.8%</w:t>
            </w:r>
          </w:p>
        </w:tc>
        <w:tc>
          <w:tcPr>
            <w:tcW w:w="1350" w:type="dxa"/>
            <w:shd w:val="clear" w:color="auto" w:fill="auto"/>
            <w:vAlign w:val="center"/>
          </w:tcPr>
          <w:p w14:paraId="3E2765CF" w14:textId="2DE30004"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-$31,411</w:t>
            </w:r>
          </w:p>
        </w:tc>
        <w:tc>
          <w:tcPr>
            <w:tcW w:w="1080" w:type="dxa"/>
            <w:shd w:val="clear" w:color="auto" w:fill="auto"/>
            <w:vAlign w:val="center"/>
          </w:tcPr>
          <w:p w14:paraId="08798002" w14:textId="09D811FC"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5.7%</w:t>
            </w:r>
          </w:p>
        </w:tc>
        <w:tc>
          <w:tcPr>
            <w:tcW w:w="1260" w:type="dxa"/>
            <w:shd w:val="clear" w:color="auto" w:fill="auto"/>
            <w:vAlign w:val="center"/>
          </w:tcPr>
          <w:p w14:paraId="38307CFB" w14:textId="69F9F7EF"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-$119</w:t>
            </w:r>
          </w:p>
        </w:tc>
      </w:tr>
      <w:tr w:rsidR="00421709" w:rsidRPr="00777B28" w14:paraId="7730ABE5" w14:textId="77777777" w:rsidTr="009F355B">
        <w:trPr>
          <w:trHeight w:val="144"/>
          <w:jc w:val="center"/>
        </w:trPr>
        <w:tc>
          <w:tcPr>
            <w:tcW w:w="3325" w:type="dxa"/>
            <w:shd w:val="clear" w:color="auto" w:fill="auto"/>
            <w:vAlign w:val="center"/>
            <w:hideMark/>
          </w:tcPr>
          <w:p w14:paraId="6787D067"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56 Administrative and Support and Waste Management </w:t>
            </w:r>
          </w:p>
        </w:tc>
        <w:tc>
          <w:tcPr>
            <w:tcW w:w="1350" w:type="dxa"/>
            <w:shd w:val="clear" w:color="auto" w:fill="auto"/>
            <w:vAlign w:val="center"/>
            <w:hideMark/>
          </w:tcPr>
          <w:p w14:paraId="6052E3E5" w14:textId="0449ABDF"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267</w:t>
            </w:r>
          </w:p>
        </w:tc>
        <w:tc>
          <w:tcPr>
            <w:tcW w:w="1350" w:type="dxa"/>
            <w:shd w:val="clear" w:color="auto" w:fill="auto"/>
            <w:vAlign w:val="center"/>
            <w:hideMark/>
          </w:tcPr>
          <w:p w14:paraId="66FDB848" w14:textId="7907849D"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3.8%</w:t>
            </w:r>
          </w:p>
        </w:tc>
        <w:tc>
          <w:tcPr>
            <w:tcW w:w="1350" w:type="dxa"/>
            <w:shd w:val="clear" w:color="auto" w:fill="auto"/>
            <w:vAlign w:val="center"/>
          </w:tcPr>
          <w:p w14:paraId="2E93982B" w14:textId="73C81902"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-$2,230</w:t>
            </w:r>
          </w:p>
        </w:tc>
        <w:tc>
          <w:tcPr>
            <w:tcW w:w="1080" w:type="dxa"/>
            <w:shd w:val="clear" w:color="auto" w:fill="auto"/>
            <w:vAlign w:val="center"/>
          </w:tcPr>
          <w:p w14:paraId="6F4186AE" w14:textId="2DC4887D"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0.4%</w:t>
            </w:r>
          </w:p>
        </w:tc>
        <w:tc>
          <w:tcPr>
            <w:tcW w:w="1260" w:type="dxa"/>
            <w:shd w:val="clear" w:color="auto" w:fill="auto"/>
            <w:vAlign w:val="center"/>
          </w:tcPr>
          <w:p w14:paraId="3FD8B1FA" w14:textId="22DD8F06"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-$8</w:t>
            </w:r>
          </w:p>
        </w:tc>
      </w:tr>
      <w:tr w:rsidR="00421709" w:rsidRPr="00777B28" w14:paraId="2AFD048D" w14:textId="77777777" w:rsidTr="009F355B">
        <w:trPr>
          <w:trHeight w:val="144"/>
          <w:jc w:val="center"/>
        </w:trPr>
        <w:tc>
          <w:tcPr>
            <w:tcW w:w="3325" w:type="dxa"/>
            <w:shd w:val="clear" w:color="auto" w:fill="auto"/>
            <w:vAlign w:val="center"/>
            <w:hideMark/>
          </w:tcPr>
          <w:p w14:paraId="213F557F"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61 Educational Services </w:t>
            </w:r>
          </w:p>
        </w:tc>
        <w:tc>
          <w:tcPr>
            <w:tcW w:w="1350" w:type="dxa"/>
            <w:shd w:val="clear" w:color="auto" w:fill="auto"/>
            <w:vAlign w:val="center"/>
            <w:hideMark/>
          </w:tcPr>
          <w:p w14:paraId="15BFB2CB" w14:textId="19532D9B"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44</w:t>
            </w:r>
          </w:p>
        </w:tc>
        <w:tc>
          <w:tcPr>
            <w:tcW w:w="1350" w:type="dxa"/>
            <w:shd w:val="clear" w:color="auto" w:fill="auto"/>
            <w:vAlign w:val="center"/>
            <w:hideMark/>
          </w:tcPr>
          <w:p w14:paraId="763ADE6C" w14:textId="09849B4F"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0.6%</w:t>
            </w:r>
          </w:p>
        </w:tc>
        <w:tc>
          <w:tcPr>
            <w:tcW w:w="1350" w:type="dxa"/>
            <w:shd w:val="clear" w:color="auto" w:fill="auto"/>
            <w:vAlign w:val="center"/>
          </w:tcPr>
          <w:p w14:paraId="4B73DCC7" w14:textId="1D28B7F6"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-$196</w:t>
            </w:r>
          </w:p>
        </w:tc>
        <w:tc>
          <w:tcPr>
            <w:tcW w:w="1080" w:type="dxa"/>
            <w:shd w:val="clear" w:color="auto" w:fill="auto"/>
            <w:vAlign w:val="center"/>
          </w:tcPr>
          <w:p w14:paraId="36E9AEC3" w14:textId="556D45F5"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3DE23AF8" w14:textId="135E7538"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w:t>
            </w:r>
          </w:p>
        </w:tc>
      </w:tr>
      <w:tr w:rsidR="00421709" w:rsidRPr="00777B28" w14:paraId="32C304DB" w14:textId="77777777" w:rsidTr="009F355B">
        <w:trPr>
          <w:trHeight w:val="144"/>
          <w:jc w:val="center"/>
        </w:trPr>
        <w:tc>
          <w:tcPr>
            <w:tcW w:w="3325" w:type="dxa"/>
            <w:shd w:val="clear" w:color="auto" w:fill="auto"/>
            <w:vAlign w:val="center"/>
            <w:hideMark/>
          </w:tcPr>
          <w:p w14:paraId="47A46180"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62 Health Care and Social Assistance </w:t>
            </w:r>
          </w:p>
        </w:tc>
        <w:tc>
          <w:tcPr>
            <w:tcW w:w="1350" w:type="dxa"/>
            <w:shd w:val="clear" w:color="auto" w:fill="auto"/>
            <w:vAlign w:val="center"/>
            <w:hideMark/>
          </w:tcPr>
          <w:p w14:paraId="083D41E5" w14:textId="27095180"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111</w:t>
            </w:r>
          </w:p>
        </w:tc>
        <w:tc>
          <w:tcPr>
            <w:tcW w:w="1350" w:type="dxa"/>
            <w:shd w:val="clear" w:color="auto" w:fill="auto"/>
            <w:vAlign w:val="center"/>
            <w:hideMark/>
          </w:tcPr>
          <w:p w14:paraId="3115B23A" w14:textId="060FC3AB"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1.6%</w:t>
            </w:r>
          </w:p>
        </w:tc>
        <w:tc>
          <w:tcPr>
            <w:tcW w:w="1350" w:type="dxa"/>
            <w:shd w:val="clear" w:color="auto" w:fill="auto"/>
            <w:vAlign w:val="center"/>
          </w:tcPr>
          <w:p w14:paraId="28633237" w14:textId="0BF812E7"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-$385</w:t>
            </w:r>
          </w:p>
        </w:tc>
        <w:tc>
          <w:tcPr>
            <w:tcW w:w="1080" w:type="dxa"/>
            <w:shd w:val="clear" w:color="auto" w:fill="auto"/>
            <w:vAlign w:val="center"/>
          </w:tcPr>
          <w:p w14:paraId="008A24FA" w14:textId="7AC15F18"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260" w:type="dxa"/>
            <w:shd w:val="clear" w:color="auto" w:fill="auto"/>
            <w:vAlign w:val="center"/>
          </w:tcPr>
          <w:p w14:paraId="4EB938C0" w14:textId="698AC369"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421709" w:rsidRPr="00777B28" w14:paraId="014407D7" w14:textId="77777777" w:rsidTr="009F355B">
        <w:trPr>
          <w:trHeight w:val="144"/>
          <w:jc w:val="center"/>
        </w:trPr>
        <w:tc>
          <w:tcPr>
            <w:tcW w:w="3325" w:type="dxa"/>
            <w:shd w:val="clear" w:color="auto" w:fill="auto"/>
            <w:vAlign w:val="center"/>
            <w:hideMark/>
          </w:tcPr>
          <w:p w14:paraId="7E9E0219"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71 Arts, Entertainment, and Recreation </w:t>
            </w:r>
          </w:p>
        </w:tc>
        <w:tc>
          <w:tcPr>
            <w:tcW w:w="1350" w:type="dxa"/>
            <w:shd w:val="clear" w:color="auto" w:fill="auto"/>
            <w:vAlign w:val="center"/>
            <w:hideMark/>
          </w:tcPr>
          <w:p w14:paraId="0EC3704C" w14:textId="2B886C33"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43</w:t>
            </w:r>
          </w:p>
        </w:tc>
        <w:tc>
          <w:tcPr>
            <w:tcW w:w="1350" w:type="dxa"/>
            <w:shd w:val="clear" w:color="auto" w:fill="auto"/>
            <w:vAlign w:val="center"/>
            <w:hideMark/>
          </w:tcPr>
          <w:p w14:paraId="7AB7C6C8" w14:textId="60EA50E4"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0.6%</w:t>
            </w:r>
          </w:p>
        </w:tc>
        <w:tc>
          <w:tcPr>
            <w:tcW w:w="1350" w:type="dxa"/>
            <w:shd w:val="clear" w:color="auto" w:fill="auto"/>
            <w:vAlign w:val="center"/>
          </w:tcPr>
          <w:p w14:paraId="7751E92E" w14:textId="3BFB28DC"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-$110</w:t>
            </w:r>
          </w:p>
        </w:tc>
        <w:tc>
          <w:tcPr>
            <w:tcW w:w="1080" w:type="dxa"/>
            <w:shd w:val="clear" w:color="auto" w:fill="auto"/>
            <w:vAlign w:val="center"/>
          </w:tcPr>
          <w:p w14:paraId="1C6B73BD" w14:textId="25F98F38"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260" w:type="dxa"/>
            <w:shd w:val="clear" w:color="auto" w:fill="auto"/>
            <w:vAlign w:val="center"/>
          </w:tcPr>
          <w:p w14:paraId="6143CE09" w14:textId="565ECDF5"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421709" w:rsidRPr="00777B28" w14:paraId="7ABF87F4" w14:textId="77777777" w:rsidTr="009F355B">
        <w:trPr>
          <w:trHeight w:val="144"/>
          <w:jc w:val="center"/>
        </w:trPr>
        <w:tc>
          <w:tcPr>
            <w:tcW w:w="3325" w:type="dxa"/>
            <w:shd w:val="clear" w:color="auto" w:fill="auto"/>
            <w:vAlign w:val="center"/>
            <w:hideMark/>
          </w:tcPr>
          <w:p w14:paraId="29ED6B0B"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72 Accommodation and Food Services </w:t>
            </w:r>
          </w:p>
        </w:tc>
        <w:tc>
          <w:tcPr>
            <w:tcW w:w="1350" w:type="dxa"/>
            <w:shd w:val="clear" w:color="auto" w:fill="auto"/>
            <w:vAlign w:val="center"/>
            <w:hideMark/>
          </w:tcPr>
          <w:p w14:paraId="143057B9" w14:textId="2BABAC0E"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115</w:t>
            </w:r>
          </w:p>
        </w:tc>
        <w:tc>
          <w:tcPr>
            <w:tcW w:w="1350" w:type="dxa"/>
            <w:shd w:val="clear" w:color="auto" w:fill="auto"/>
            <w:vAlign w:val="center"/>
            <w:hideMark/>
          </w:tcPr>
          <w:p w14:paraId="1DA20134" w14:textId="57F1741E"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1.6%</w:t>
            </w:r>
          </w:p>
        </w:tc>
        <w:tc>
          <w:tcPr>
            <w:tcW w:w="1350" w:type="dxa"/>
            <w:shd w:val="clear" w:color="auto" w:fill="auto"/>
            <w:vAlign w:val="center"/>
          </w:tcPr>
          <w:p w14:paraId="6B14F16E" w14:textId="60A11A9B"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-$402</w:t>
            </w:r>
          </w:p>
        </w:tc>
        <w:tc>
          <w:tcPr>
            <w:tcW w:w="1080" w:type="dxa"/>
            <w:shd w:val="clear" w:color="auto" w:fill="auto"/>
            <w:vAlign w:val="center"/>
          </w:tcPr>
          <w:p w14:paraId="1D7F00BC" w14:textId="067EF55C"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260" w:type="dxa"/>
            <w:shd w:val="clear" w:color="auto" w:fill="auto"/>
            <w:vAlign w:val="center"/>
          </w:tcPr>
          <w:p w14:paraId="2C4C0098" w14:textId="02FC2443"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421709" w:rsidRPr="00777B28" w14:paraId="0BBEFE4F" w14:textId="77777777" w:rsidTr="009F355B">
        <w:trPr>
          <w:trHeight w:val="144"/>
          <w:jc w:val="center"/>
        </w:trPr>
        <w:tc>
          <w:tcPr>
            <w:tcW w:w="3325" w:type="dxa"/>
            <w:shd w:val="clear" w:color="auto" w:fill="auto"/>
            <w:vAlign w:val="center"/>
            <w:hideMark/>
          </w:tcPr>
          <w:p w14:paraId="20CF9973"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81 Other Services (except Public Administration) </w:t>
            </w:r>
          </w:p>
        </w:tc>
        <w:tc>
          <w:tcPr>
            <w:tcW w:w="1350" w:type="dxa"/>
            <w:shd w:val="clear" w:color="auto" w:fill="auto"/>
            <w:vAlign w:val="center"/>
            <w:hideMark/>
          </w:tcPr>
          <w:p w14:paraId="573E835A" w14:textId="73F47285"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111</w:t>
            </w:r>
          </w:p>
        </w:tc>
        <w:tc>
          <w:tcPr>
            <w:tcW w:w="1350" w:type="dxa"/>
            <w:shd w:val="clear" w:color="auto" w:fill="auto"/>
            <w:vAlign w:val="center"/>
            <w:hideMark/>
          </w:tcPr>
          <w:p w14:paraId="144204D7" w14:textId="639940D2"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1.6%</w:t>
            </w:r>
          </w:p>
        </w:tc>
        <w:tc>
          <w:tcPr>
            <w:tcW w:w="1350" w:type="dxa"/>
            <w:shd w:val="clear" w:color="auto" w:fill="auto"/>
            <w:vAlign w:val="center"/>
          </w:tcPr>
          <w:p w14:paraId="43C06A39" w14:textId="27943A86"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-$349</w:t>
            </w:r>
          </w:p>
        </w:tc>
        <w:tc>
          <w:tcPr>
            <w:tcW w:w="1080" w:type="dxa"/>
            <w:shd w:val="clear" w:color="auto" w:fill="auto"/>
            <w:vAlign w:val="center"/>
          </w:tcPr>
          <w:p w14:paraId="47B7D670" w14:textId="1C633C42"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260" w:type="dxa"/>
            <w:shd w:val="clear" w:color="auto" w:fill="auto"/>
            <w:vAlign w:val="center"/>
          </w:tcPr>
          <w:p w14:paraId="72AA5655" w14:textId="1E3827B6"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421709" w:rsidRPr="00777B28" w14:paraId="3961CD22" w14:textId="77777777" w:rsidTr="009F355B">
        <w:trPr>
          <w:trHeight w:val="144"/>
          <w:jc w:val="center"/>
        </w:trPr>
        <w:tc>
          <w:tcPr>
            <w:tcW w:w="3325" w:type="dxa"/>
            <w:shd w:val="clear" w:color="auto" w:fill="auto"/>
            <w:vAlign w:val="center"/>
            <w:hideMark/>
          </w:tcPr>
          <w:p w14:paraId="392EC0E4" w14:textId="6E87AB5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Others or unmatched</w:t>
            </w:r>
            <w:r w:rsidR="00946E9F">
              <w:rPr>
                <w:rFonts w:asciiTheme="majorHAnsi" w:eastAsia="Times New Roman" w:hAnsiTheme="majorHAnsi" w:cs="Helvetica"/>
                <w:color w:val="000000"/>
                <w:sz w:val="20"/>
                <w:szCs w:val="20"/>
                <w:lang w:eastAsia="ko-KR"/>
              </w:rPr>
              <w:t xml:space="preserve"> </w:t>
            </w:r>
            <w:r w:rsidR="00946E9F" w:rsidRPr="00107265">
              <w:rPr>
                <w:rStyle w:val="FootnoteReference"/>
                <w:rFonts w:eastAsiaTheme="majorEastAsia"/>
                <w:color w:val="000000" w:themeColor="text1"/>
              </w:rPr>
              <w:t>(2)</w:t>
            </w:r>
            <w:r w:rsidRPr="00EE5936">
              <w:rPr>
                <w:rFonts w:asciiTheme="majorHAnsi" w:eastAsia="Times New Roman" w:hAnsiTheme="majorHAnsi" w:cs="Helvetica"/>
                <w:color w:val="000000"/>
                <w:sz w:val="20"/>
                <w:szCs w:val="20"/>
                <w:lang w:eastAsia="ko-KR"/>
              </w:rPr>
              <w:t xml:space="preserve"> </w:t>
            </w:r>
          </w:p>
        </w:tc>
        <w:tc>
          <w:tcPr>
            <w:tcW w:w="1350" w:type="dxa"/>
            <w:shd w:val="clear" w:color="auto" w:fill="auto"/>
            <w:vAlign w:val="center"/>
            <w:hideMark/>
          </w:tcPr>
          <w:p w14:paraId="51AABA67" w14:textId="03DA4591"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627</w:t>
            </w:r>
          </w:p>
        </w:tc>
        <w:tc>
          <w:tcPr>
            <w:tcW w:w="1350" w:type="dxa"/>
            <w:shd w:val="clear" w:color="auto" w:fill="auto"/>
            <w:vAlign w:val="center"/>
            <w:hideMark/>
          </w:tcPr>
          <w:p w14:paraId="1DBDD783" w14:textId="48F4026E"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8.9%</w:t>
            </w:r>
          </w:p>
        </w:tc>
        <w:tc>
          <w:tcPr>
            <w:tcW w:w="1350" w:type="dxa"/>
            <w:shd w:val="clear" w:color="auto" w:fill="auto"/>
            <w:vAlign w:val="center"/>
          </w:tcPr>
          <w:p w14:paraId="17018B1E" w14:textId="3BB48F4F"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-$60,028</w:t>
            </w:r>
          </w:p>
        </w:tc>
        <w:tc>
          <w:tcPr>
            <w:tcW w:w="1080" w:type="dxa"/>
            <w:shd w:val="clear" w:color="auto" w:fill="auto"/>
            <w:vAlign w:val="center"/>
          </w:tcPr>
          <w:p w14:paraId="3142BF2A" w14:textId="79A8384C"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10.9%</w:t>
            </w:r>
          </w:p>
        </w:tc>
        <w:tc>
          <w:tcPr>
            <w:tcW w:w="1260" w:type="dxa"/>
            <w:shd w:val="clear" w:color="auto" w:fill="auto"/>
            <w:vAlign w:val="center"/>
          </w:tcPr>
          <w:p w14:paraId="68AC69C0" w14:textId="0F0F18EF"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-$96</w:t>
            </w:r>
          </w:p>
        </w:tc>
      </w:tr>
      <w:tr w:rsidR="00421709" w:rsidRPr="00777B28" w14:paraId="0548932E" w14:textId="77777777" w:rsidTr="009F355B">
        <w:trPr>
          <w:trHeight w:val="144"/>
          <w:jc w:val="center"/>
        </w:trPr>
        <w:tc>
          <w:tcPr>
            <w:tcW w:w="3325" w:type="dxa"/>
            <w:shd w:val="clear" w:color="auto" w:fill="auto"/>
            <w:vAlign w:val="center"/>
            <w:hideMark/>
          </w:tcPr>
          <w:p w14:paraId="780757C8" w14:textId="77777777" w:rsidR="00421709" w:rsidRPr="00EE5936" w:rsidRDefault="00421709" w:rsidP="00421709">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Total </w:t>
            </w:r>
          </w:p>
        </w:tc>
        <w:tc>
          <w:tcPr>
            <w:tcW w:w="1350" w:type="dxa"/>
            <w:shd w:val="clear" w:color="auto" w:fill="auto"/>
            <w:vAlign w:val="center"/>
            <w:hideMark/>
          </w:tcPr>
          <w:p w14:paraId="4CBF89F8" w14:textId="67AB78DB"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7,049</w:t>
            </w:r>
          </w:p>
        </w:tc>
        <w:tc>
          <w:tcPr>
            <w:tcW w:w="1350" w:type="dxa"/>
            <w:shd w:val="clear" w:color="auto" w:fill="auto"/>
            <w:vAlign w:val="center"/>
            <w:hideMark/>
          </w:tcPr>
          <w:p w14:paraId="6B1CC1BD" w14:textId="490CE961"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100.0%</w:t>
            </w:r>
          </w:p>
        </w:tc>
        <w:tc>
          <w:tcPr>
            <w:tcW w:w="1350" w:type="dxa"/>
            <w:shd w:val="clear" w:color="auto" w:fill="auto"/>
            <w:vAlign w:val="center"/>
          </w:tcPr>
          <w:p w14:paraId="494156E9" w14:textId="4101C03D"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-$551,690</w:t>
            </w:r>
          </w:p>
        </w:tc>
        <w:tc>
          <w:tcPr>
            <w:tcW w:w="1080" w:type="dxa"/>
            <w:shd w:val="clear" w:color="auto" w:fill="auto"/>
            <w:vAlign w:val="center"/>
          </w:tcPr>
          <w:p w14:paraId="6AB00E2C" w14:textId="47D2DAB8" w:rsidR="00421709" w:rsidRPr="0074057C" w:rsidRDefault="00421709">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100.0%</w:t>
            </w:r>
          </w:p>
        </w:tc>
        <w:tc>
          <w:tcPr>
            <w:tcW w:w="1260" w:type="dxa"/>
            <w:shd w:val="clear" w:color="auto" w:fill="auto"/>
            <w:vAlign w:val="center"/>
          </w:tcPr>
          <w:p w14:paraId="7F1C8C8A" w14:textId="2EF2EA86" w:rsidR="00421709" w:rsidRPr="0074057C" w:rsidRDefault="00421709">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-$78</w:t>
            </w:r>
          </w:p>
        </w:tc>
      </w:tr>
    </w:tbl>
    <w:p w14:paraId="4C4307BA" w14:textId="77777777" w:rsidR="00B773B1" w:rsidRPr="0020176D" w:rsidRDefault="00B773B1" w:rsidP="00B773B1">
      <w:pPr>
        <w:tabs>
          <w:tab w:val="left" w:pos="7050"/>
        </w:tabs>
        <w:spacing w:after="0"/>
        <w:rPr>
          <w:rFonts w:asciiTheme="majorHAnsi" w:eastAsiaTheme="majorEastAsia" w:hAnsiTheme="majorHAnsi" w:cstheme="majorBidi"/>
          <w:bCs/>
          <w:color w:val="000000" w:themeColor="text1"/>
          <w:sz w:val="18"/>
          <w:szCs w:val="18"/>
        </w:rPr>
      </w:pPr>
      <w:r w:rsidRPr="0020176D">
        <w:rPr>
          <w:rFonts w:asciiTheme="majorHAnsi" w:eastAsiaTheme="majorEastAsia" w:hAnsiTheme="majorHAnsi" w:cstheme="majorBidi"/>
          <w:bCs/>
          <w:color w:val="000000" w:themeColor="text1"/>
          <w:sz w:val="18"/>
          <w:szCs w:val="18"/>
        </w:rPr>
        <w:t>Source: Department of Revenue (2017 corporate excise return)</w:t>
      </w:r>
    </w:p>
    <w:p w14:paraId="428C575E" w14:textId="064239F6" w:rsidR="00B773B1" w:rsidRPr="0020176D" w:rsidRDefault="00B773B1" w:rsidP="00B773B1">
      <w:pPr>
        <w:tabs>
          <w:tab w:val="left" w:pos="7050"/>
        </w:tabs>
        <w:spacing w:after="0"/>
        <w:rPr>
          <w:rFonts w:asciiTheme="majorHAnsi" w:eastAsiaTheme="majorEastAsia" w:hAnsiTheme="majorHAnsi" w:cstheme="majorBidi"/>
          <w:bCs/>
          <w:color w:val="000000" w:themeColor="text1"/>
          <w:sz w:val="18"/>
          <w:szCs w:val="18"/>
        </w:rPr>
      </w:pPr>
      <w:r w:rsidRPr="0020176D">
        <w:rPr>
          <w:rFonts w:asciiTheme="majorHAnsi" w:eastAsiaTheme="majorEastAsia" w:hAnsiTheme="majorHAnsi" w:cstheme="majorBidi"/>
          <w:bCs/>
          <w:color w:val="000000" w:themeColor="text1"/>
          <w:sz w:val="18"/>
          <w:szCs w:val="18"/>
        </w:rPr>
        <w:t xml:space="preserve">Notes: 1. </w:t>
      </w:r>
      <w:r w:rsidR="00946E9F" w:rsidRPr="0020176D">
        <w:rPr>
          <w:rFonts w:asciiTheme="majorHAnsi" w:hAnsiTheme="majorHAnsi"/>
          <w:bCs/>
          <w:sz w:val="18"/>
          <w:szCs w:val="18"/>
        </w:rPr>
        <w:t>The data are preliminary and subject to change.</w:t>
      </w:r>
    </w:p>
    <w:p w14:paraId="1D008119" w14:textId="35B63908" w:rsidR="00B773B1" w:rsidRPr="0020176D" w:rsidRDefault="00B773B1" w:rsidP="00B773B1">
      <w:pPr>
        <w:tabs>
          <w:tab w:val="left" w:pos="7050"/>
        </w:tabs>
        <w:spacing w:after="0"/>
        <w:rPr>
          <w:rFonts w:asciiTheme="majorHAnsi" w:hAnsiTheme="majorHAnsi"/>
          <w:bCs/>
          <w:sz w:val="18"/>
          <w:szCs w:val="18"/>
        </w:rPr>
      </w:pPr>
      <w:r w:rsidRPr="0020176D">
        <w:rPr>
          <w:rFonts w:asciiTheme="majorHAnsi" w:eastAsiaTheme="majorEastAsia" w:hAnsiTheme="majorHAnsi" w:cstheme="majorBidi"/>
          <w:bCs/>
          <w:color w:val="000000" w:themeColor="text1"/>
          <w:sz w:val="18"/>
          <w:szCs w:val="18"/>
        </w:rPr>
        <w:t xml:space="preserve">              </w:t>
      </w:r>
      <w:r w:rsidRPr="0020176D">
        <w:rPr>
          <w:rFonts w:asciiTheme="majorHAnsi" w:hAnsiTheme="majorHAnsi"/>
          <w:bCs/>
          <w:sz w:val="18"/>
          <w:szCs w:val="18"/>
        </w:rPr>
        <w:t xml:space="preserve">2. </w:t>
      </w:r>
      <w:r w:rsidR="00946E9F" w:rsidRPr="0020176D">
        <w:rPr>
          <w:rFonts w:asciiTheme="majorHAnsi" w:eastAsiaTheme="majorEastAsia" w:hAnsiTheme="majorHAnsi" w:cstheme="majorBidi"/>
          <w:bCs/>
          <w:color w:val="000000" w:themeColor="text1"/>
          <w:sz w:val="18"/>
          <w:szCs w:val="18"/>
        </w:rPr>
        <w:t xml:space="preserve">Unmatched means that we could not find some taxpayers in one or more of data sets to match. </w:t>
      </w:r>
    </w:p>
    <w:p w14:paraId="3E7CC942" w14:textId="19A58462" w:rsidR="008A391D" w:rsidRPr="00847706" w:rsidRDefault="0020176D" w:rsidP="00A0692D">
      <w:pPr>
        <w:tabs>
          <w:tab w:val="left" w:pos="5710"/>
        </w:tabs>
        <w:spacing w:after="0"/>
        <w:rPr>
          <w:rFonts w:asciiTheme="majorHAnsi" w:hAnsiTheme="majorHAnsi"/>
          <w:b/>
          <w:color w:val="E36C0A" w:themeColor="accent6" w:themeShade="BF"/>
          <w:sz w:val="18"/>
          <w:szCs w:val="18"/>
        </w:rPr>
      </w:pPr>
      <w:r w:rsidRPr="00847706">
        <w:rPr>
          <w:rFonts w:asciiTheme="majorHAnsi" w:eastAsiaTheme="majorEastAsia" w:hAnsiTheme="majorHAnsi" w:cstheme="majorBidi"/>
          <w:bCs/>
          <w:color w:val="000000" w:themeColor="text1"/>
          <w:sz w:val="18"/>
          <w:szCs w:val="18"/>
        </w:rPr>
        <w:t xml:space="preserve">              </w:t>
      </w:r>
      <w:r w:rsidR="00B773B1" w:rsidRPr="00847706">
        <w:rPr>
          <w:rFonts w:asciiTheme="majorHAnsi" w:eastAsiaTheme="majorEastAsia" w:hAnsiTheme="majorHAnsi" w:cstheme="majorBidi"/>
          <w:bCs/>
          <w:color w:val="000000" w:themeColor="text1"/>
          <w:sz w:val="18"/>
          <w:szCs w:val="18"/>
        </w:rPr>
        <w:t xml:space="preserve">3. </w:t>
      </w:r>
      <w:r w:rsidR="00A0692D" w:rsidRPr="0020176D">
        <w:rPr>
          <w:rFonts w:asciiTheme="majorHAnsi" w:hAnsiTheme="majorHAnsi"/>
          <w:bCs/>
          <w:sz w:val="18"/>
          <w:szCs w:val="18"/>
        </w:rPr>
        <w:t>Negative number</w:t>
      </w:r>
      <w:r w:rsidR="00BB1B5B" w:rsidRPr="0020176D">
        <w:rPr>
          <w:rFonts w:asciiTheme="majorHAnsi" w:hAnsiTheme="majorHAnsi"/>
          <w:bCs/>
          <w:sz w:val="18"/>
          <w:szCs w:val="18"/>
        </w:rPr>
        <w:t>s</w:t>
      </w:r>
      <w:r w:rsidR="00A0692D" w:rsidRPr="0020176D">
        <w:rPr>
          <w:rFonts w:asciiTheme="majorHAnsi" w:hAnsiTheme="majorHAnsi"/>
          <w:bCs/>
          <w:sz w:val="18"/>
          <w:szCs w:val="18"/>
        </w:rPr>
        <w:t xml:space="preserve"> indicate that taxpayers owe less tax using formulas with higher weighted sales factor than using the formula with equal-weighted factors.</w:t>
      </w:r>
    </w:p>
    <w:p w14:paraId="09796E3B" w14:textId="77777777" w:rsidR="00726280" w:rsidRDefault="00726280">
      <w:pPr>
        <w:rPr>
          <w:rFonts w:asciiTheme="majorHAnsi" w:hAnsiTheme="majorHAnsi"/>
          <w:b/>
          <w:sz w:val="32"/>
          <w:szCs w:val="32"/>
        </w:rPr>
      </w:pPr>
    </w:p>
    <w:p w14:paraId="018671E8" w14:textId="459AB8FE" w:rsidR="0003538C" w:rsidRPr="00107265" w:rsidRDefault="00726280" w:rsidP="00847706">
      <w:pPr>
        <w:pStyle w:val="ListParagraph"/>
        <w:numPr>
          <w:ilvl w:val="0"/>
          <w:numId w:val="7"/>
        </w:numPr>
        <w:rPr>
          <w:rFonts w:asciiTheme="majorHAnsi" w:hAnsiTheme="majorHAnsi"/>
          <w:b/>
          <w:i/>
          <w:iCs/>
          <w:sz w:val="28"/>
          <w:szCs w:val="28"/>
        </w:rPr>
      </w:pPr>
      <w:r w:rsidRPr="00847706">
        <w:rPr>
          <w:rFonts w:asciiTheme="majorHAnsi" w:hAnsiTheme="majorHAnsi"/>
          <w:b/>
          <w:i/>
          <w:iCs/>
          <w:sz w:val="28"/>
          <w:szCs w:val="28"/>
        </w:rPr>
        <w:t>Impact on corporations that owe more tax using the formulas with higher weighted sales factor</w:t>
      </w:r>
      <w:r w:rsidR="0003538C" w:rsidRPr="00107265">
        <w:rPr>
          <w:rFonts w:asciiTheme="majorHAnsi" w:hAnsiTheme="majorHAnsi"/>
          <w:b/>
          <w:i/>
          <w:iCs/>
          <w:sz w:val="28"/>
          <w:szCs w:val="28"/>
        </w:rPr>
        <w:t xml:space="preserve">: </w:t>
      </w:r>
    </w:p>
    <w:p w14:paraId="5F1047BD" w14:textId="03087F00" w:rsidR="0003538C" w:rsidRDefault="00726280" w:rsidP="00726280">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The tables below show the profile of the corporations that </w:t>
      </w:r>
      <w:r w:rsidR="00333803">
        <w:rPr>
          <w:rFonts w:asciiTheme="majorHAnsi" w:eastAsiaTheme="majorEastAsia" w:hAnsiTheme="majorHAnsi" w:cstheme="majorBidi"/>
          <w:bCs/>
          <w:color w:val="000000" w:themeColor="text1"/>
          <w:sz w:val="24"/>
          <w:szCs w:val="24"/>
        </w:rPr>
        <w:t>owe more tax using</w:t>
      </w:r>
      <w:r>
        <w:rPr>
          <w:rFonts w:asciiTheme="majorHAnsi" w:eastAsiaTheme="majorEastAsia" w:hAnsiTheme="majorHAnsi" w:cstheme="majorBidi"/>
          <w:bCs/>
          <w:color w:val="000000" w:themeColor="text1"/>
          <w:sz w:val="24"/>
          <w:szCs w:val="24"/>
        </w:rPr>
        <w:t xml:space="preserve"> formulas with higher weighted sales factor. </w:t>
      </w:r>
    </w:p>
    <w:p w14:paraId="3B7B855F" w14:textId="77777777" w:rsidR="0003538C" w:rsidRDefault="0003538C" w:rsidP="00726280">
      <w:pPr>
        <w:tabs>
          <w:tab w:val="left" w:pos="7050"/>
        </w:tabs>
        <w:spacing w:after="0"/>
        <w:rPr>
          <w:rFonts w:asciiTheme="majorHAnsi" w:eastAsiaTheme="majorEastAsia" w:hAnsiTheme="majorHAnsi" w:cstheme="majorBidi"/>
          <w:bCs/>
          <w:color w:val="000000" w:themeColor="text1"/>
          <w:sz w:val="24"/>
          <w:szCs w:val="24"/>
        </w:rPr>
      </w:pPr>
    </w:p>
    <w:p w14:paraId="4E4B4DF6" w14:textId="13AC8A19" w:rsidR="00726280" w:rsidRDefault="00726280" w:rsidP="00726280">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Looking at Table A1-</w:t>
      </w:r>
      <w:r w:rsidR="00333803">
        <w:rPr>
          <w:rFonts w:asciiTheme="majorHAnsi" w:eastAsiaTheme="majorEastAsia" w:hAnsiTheme="majorHAnsi" w:cstheme="majorBidi"/>
          <w:bCs/>
          <w:color w:val="000000" w:themeColor="text1"/>
          <w:sz w:val="24"/>
          <w:szCs w:val="24"/>
        </w:rPr>
        <w:t>5</w:t>
      </w:r>
      <w:r w:rsidR="0003538C">
        <w:rPr>
          <w:rFonts w:asciiTheme="majorHAnsi" w:eastAsiaTheme="majorEastAsia" w:hAnsiTheme="majorHAnsi" w:cstheme="majorBidi"/>
          <w:bCs/>
          <w:color w:val="000000" w:themeColor="text1"/>
          <w:sz w:val="24"/>
          <w:szCs w:val="24"/>
        </w:rPr>
        <w:t xml:space="preserve"> below</w:t>
      </w:r>
      <w:r>
        <w:rPr>
          <w:rFonts w:asciiTheme="majorHAnsi" w:eastAsiaTheme="majorEastAsia" w:hAnsiTheme="majorHAnsi" w:cstheme="majorBidi"/>
          <w:bCs/>
          <w:color w:val="000000" w:themeColor="text1"/>
          <w:sz w:val="24"/>
          <w:szCs w:val="24"/>
        </w:rPr>
        <w:t xml:space="preserve">, in tax year 2017, about </w:t>
      </w:r>
      <w:r w:rsidR="00333803">
        <w:rPr>
          <w:rFonts w:asciiTheme="majorHAnsi" w:eastAsiaTheme="majorEastAsia" w:hAnsiTheme="majorHAnsi" w:cstheme="majorBidi"/>
          <w:bCs/>
          <w:color w:val="000000" w:themeColor="text1"/>
          <w:sz w:val="24"/>
          <w:szCs w:val="24"/>
        </w:rPr>
        <w:t>9</w:t>
      </w:r>
      <w:r>
        <w:rPr>
          <w:rFonts w:asciiTheme="majorHAnsi" w:eastAsiaTheme="majorEastAsia" w:hAnsiTheme="majorHAnsi" w:cstheme="majorBidi"/>
          <w:bCs/>
          <w:color w:val="000000" w:themeColor="text1"/>
          <w:sz w:val="24"/>
          <w:szCs w:val="24"/>
        </w:rPr>
        <w:t>,</w:t>
      </w:r>
      <w:r w:rsidR="00333803">
        <w:rPr>
          <w:rFonts w:asciiTheme="majorHAnsi" w:eastAsiaTheme="majorEastAsia" w:hAnsiTheme="majorHAnsi" w:cstheme="majorBidi"/>
          <w:bCs/>
          <w:color w:val="000000" w:themeColor="text1"/>
          <w:sz w:val="24"/>
          <w:szCs w:val="24"/>
        </w:rPr>
        <w:t>640</w:t>
      </w:r>
      <w:r>
        <w:rPr>
          <w:rFonts w:asciiTheme="majorHAnsi" w:eastAsiaTheme="majorEastAsia" w:hAnsiTheme="majorHAnsi" w:cstheme="majorBidi"/>
          <w:bCs/>
          <w:color w:val="000000" w:themeColor="text1"/>
          <w:sz w:val="24"/>
          <w:szCs w:val="24"/>
        </w:rPr>
        <w:t xml:space="preserve"> corporations had a </w:t>
      </w:r>
      <w:r w:rsidR="00333803">
        <w:rPr>
          <w:rFonts w:asciiTheme="majorHAnsi" w:eastAsiaTheme="majorEastAsia" w:hAnsiTheme="majorHAnsi" w:cstheme="majorBidi"/>
          <w:bCs/>
          <w:color w:val="000000" w:themeColor="text1"/>
          <w:sz w:val="24"/>
          <w:szCs w:val="24"/>
        </w:rPr>
        <w:t>larger</w:t>
      </w:r>
      <w:r>
        <w:rPr>
          <w:rFonts w:asciiTheme="majorHAnsi" w:eastAsiaTheme="majorEastAsia" w:hAnsiTheme="majorHAnsi" w:cstheme="majorBidi"/>
          <w:bCs/>
          <w:color w:val="000000" w:themeColor="text1"/>
          <w:sz w:val="24"/>
          <w:szCs w:val="24"/>
        </w:rPr>
        <w:t xml:space="preserve"> tax liability using formulas with higher weighted sales factor than they would have had using </w:t>
      </w:r>
      <w:r w:rsidR="0020176D">
        <w:rPr>
          <w:rFonts w:asciiTheme="majorHAnsi" w:eastAsiaTheme="majorEastAsia" w:hAnsiTheme="majorHAnsi" w:cstheme="majorBidi"/>
          <w:bCs/>
          <w:color w:val="000000" w:themeColor="text1"/>
          <w:sz w:val="24"/>
          <w:szCs w:val="24"/>
        </w:rPr>
        <w:t xml:space="preserve">the </w:t>
      </w:r>
      <w:r>
        <w:rPr>
          <w:rFonts w:asciiTheme="majorHAnsi" w:eastAsiaTheme="majorEastAsia" w:hAnsiTheme="majorHAnsi" w:cstheme="majorBidi"/>
          <w:bCs/>
          <w:color w:val="000000" w:themeColor="text1"/>
          <w:sz w:val="24"/>
          <w:szCs w:val="24"/>
        </w:rPr>
        <w:t xml:space="preserve">formula with equal-weighted factors. Among them, </w:t>
      </w:r>
      <w:r w:rsidR="00333803">
        <w:rPr>
          <w:rFonts w:asciiTheme="majorHAnsi" w:eastAsiaTheme="majorEastAsia" w:hAnsiTheme="majorHAnsi" w:cstheme="majorBidi"/>
          <w:bCs/>
          <w:color w:val="000000" w:themeColor="text1"/>
          <w:sz w:val="24"/>
          <w:szCs w:val="24"/>
        </w:rPr>
        <w:t>16.2</w:t>
      </w:r>
      <w:r w:rsidRPr="0079481F">
        <w:rPr>
          <w:rFonts w:asciiTheme="majorHAnsi" w:eastAsiaTheme="majorEastAsia" w:hAnsiTheme="majorHAnsi" w:cstheme="majorBidi"/>
          <w:bCs/>
          <w:color w:val="000000" w:themeColor="text1"/>
          <w:sz w:val="24"/>
          <w:szCs w:val="24"/>
        </w:rPr>
        <w:t xml:space="preserve">%, or </w:t>
      </w:r>
      <w:r w:rsidR="00333803">
        <w:rPr>
          <w:rFonts w:asciiTheme="majorHAnsi" w:eastAsiaTheme="majorEastAsia" w:hAnsiTheme="majorHAnsi" w:cstheme="majorBidi"/>
          <w:bCs/>
          <w:color w:val="000000" w:themeColor="text1"/>
          <w:sz w:val="24"/>
          <w:szCs w:val="24"/>
        </w:rPr>
        <w:t>1,563</w:t>
      </w:r>
      <w:r w:rsidRPr="0079481F">
        <w:rPr>
          <w:rFonts w:asciiTheme="majorHAnsi" w:eastAsiaTheme="majorEastAsia" w:hAnsiTheme="majorHAnsi" w:cstheme="majorBidi"/>
          <w:bCs/>
          <w:color w:val="000000" w:themeColor="text1"/>
          <w:sz w:val="24"/>
          <w:szCs w:val="24"/>
        </w:rPr>
        <w:t xml:space="preserve"> corporations used single-sales factor apportionment (1</w:t>
      </w:r>
      <w:r w:rsidR="00333803">
        <w:rPr>
          <w:rFonts w:asciiTheme="majorHAnsi" w:eastAsiaTheme="majorEastAsia" w:hAnsiTheme="majorHAnsi" w:cstheme="majorBidi"/>
          <w:bCs/>
          <w:color w:val="000000" w:themeColor="text1"/>
          <w:sz w:val="24"/>
          <w:szCs w:val="24"/>
        </w:rPr>
        <w:t>5</w:t>
      </w:r>
      <w:r>
        <w:rPr>
          <w:rFonts w:asciiTheme="majorHAnsi" w:eastAsiaTheme="majorEastAsia" w:hAnsiTheme="majorHAnsi" w:cstheme="majorBidi"/>
          <w:bCs/>
          <w:color w:val="000000" w:themeColor="text1"/>
          <w:sz w:val="24"/>
          <w:szCs w:val="24"/>
        </w:rPr>
        <w:t xml:space="preserve">.7% or </w:t>
      </w:r>
      <w:r w:rsidR="00333803">
        <w:rPr>
          <w:rFonts w:asciiTheme="majorHAnsi" w:eastAsiaTheme="majorEastAsia" w:hAnsiTheme="majorHAnsi" w:cstheme="majorBidi"/>
          <w:bCs/>
          <w:color w:val="000000" w:themeColor="text1"/>
          <w:sz w:val="24"/>
          <w:szCs w:val="24"/>
        </w:rPr>
        <w:t>1,510</w:t>
      </w:r>
      <w:r>
        <w:rPr>
          <w:rFonts w:asciiTheme="majorHAnsi" w:eastAsiaTheme="majorEastAsia" w:hAnsiTheme="majorHAnsi" w:cstheme="majorBidi"/>
          <w:bCs/>
          <w:color w:val="000000" w:themeColor="text1"/>
          <w:sz w:val="24"/>
          <w:szCs w:val="24"/>
        </w:rPr>
        <w:t xml:space="preserve"> corporations were section 38 manufacturers, 0.</w:t>
      </w:r>
      <w:r w:rsidR="00333803">
        <w:rPr>
          <w:rFonts w:asciiTheme="majorHAnsi" w:eastAsiaTheme="majorEastAsia" w:hAnsiTheme="majorHAnsi" w:cstheme="majorBidi"/>
          <w:bCs/>
          <w:color w:val="000000" w:themeColor="text1"/>
          <w:sz w:val="24"/>
          <w:szCs w:val="24"/>
        </w:rPr>
        <w:t>5</w:t>
      </w:r>
      <w:r>
        <w:rPr>
          <w:rFonts w:asciiTheme="majorHAnsi" w:eastAsiaTheme="majorEastAsia" w:hAnsiTheme="majorHAnsi" w:cstheme="majorBidi"/>
          <w:bCs/>
          <w:color w:val="000000" w:themeColor="text1"/>
          <w:sz w:val="24"/>
          <w:szCs w:val="24"/>
        </w:rPr>
        <w:t xml:space="preserve">% or </w:t>
      </w:r>
      <w:r w:rsidR="00333803">
        <w:rPr>
          <w:rFonts w:asciiTheme="majorHAnsi" w:eastAsiaTheme="majorEastAsia" w:hAnsiTheme="majorHAnsi" w:cstheme="majorBidi"/>
          <w:bCs/>
          <w:color w:val="000000" w:themeColor="text1"/>
          <w:sz w:val="24"/>
          <w:szCs w:val="24"/>
        </w:rPr>
        <w:t xml:space="preserve">53 </w:t>
      </w:r>
      <w:r>
        <w:rPr>
          <w:rFonts w:asciiTheme="majorHAnsi" w:eastAsiaTheme="majorEastAsia" w:hAnsiTheme="majorHAnsi" w:cstheme="majorBidi"/>
          <w:bCs/>
          <w:color w:val="000000" w:themeColor="text1"/>
          <w:sz w:val="24"/>
          <w:szCs w:val="24"/>
        </w:rPr>
        <w:t>were mutual fund services corporations), and 8</w:t>
      </w:r>
      <w:r w:rsidR="00333803">
        <w:rPr>
          <w:rFonts w:asciiTheme="majorHAnsi" w:eastAsiaTheme="majorEastAsia" w:hAnsiTheme="majorHAnsi" w:cstheme="majorBidi"/>
          <w:bCs/>
          <w:color w:val="000000" w:themeColor="text1"/>
          <w:sz w:val="24"/>
          <w:szCs w:val="24"/>
        </w:rPr>
        <w:t>3</w:t>
      </w:r>
      <w:r>
        <w:rPr>
          <w:rFonts w:asciiTheme="majorHAnsi" w:eastAsiaTheme="majorEastAsia" w:hAnsiTheme="majorHAnsi" w:cstheme="majorBidi"/>
          <w:bCs/>
          <w:color w:val="000000" w:themeColor="text1"/>
          <w:sz w:val="24"/>
          <w:szCs w:val="24"/>
        </w:rPr>
        <w:t>.</w:t>
      </w:r>
      <w:r w:rsidR="00333803">
        <w:rPr>
          <w:rFonts w:asciiTheme="majorHAnsi" w:eastAsiaTheme="majorEastAsia" w:hAnsiTheme="majorHAnsi" w:cstheme="majorBidi"/>
          <w:bCs/>
          <w:color w:val="000000" w:themeColor="text1"/>
          <w:sz w:val="24"/>
          <w:szCs w:val="24"/>
        </w:rPr>
        <w:t>8</w:t>
      </w:r>
      <w:r>
        <w:rPr>
          <w:rFonts w:asciiTheme="majorHAnsi" w:eastAsiaTheme="majorEastAsia" w:hAnsiTheme="majorHAnsi" w:cstheme="majorBidi"/>
          <w:bCs/>
          <w:color w:val="000000" w:themeColor="text1"/>
          <w:sz w:val="24"/>
          <w:szCs w:val="24"/>
        </w:rPr>
        <w:t xml:space="preserve">% or </w:t>
      </w:r>
      <w:r w:rsidR="00333803">
        <w:rPr>
          <w:rFonts w:asciiTheme="majorHAnsi" w:eastAsiaTheme="majorEastAsia" w:hAnsiTheme="majorHAnsi" w:cstheme="majorBidi"/>
          <w:bCs/>
          <w:color w:val="000000" w:themeColor="text1"/>
          <w:sz w:val="24"/>
          <w:szCs w:val="24"/>
        </w:rPr>
        <w:t>8,077</w:t>
      </w:r>
      <w:r>
        <w:rPr>
          <w:rFonts w:asciiTheme="majorHAnsi" w:eastAsiaTheme="majorEastAsia" w:hAnsiTheme="majorHAnsi" w:cstheme="majorBidi"/>
          <w:bCs/>
          <w:color w:val="000000" w:themeColor="text1"/>
          <w:sz w:val="24"/>
          <w:szCs w:val="24"/>
        </w:rPr>
        <w:t xml:space="preserve"> were other types of corporations applying a double-weighted sales factor formula. T</w:t>
      </w:r>
      <w:r w:rsidR="008D1F01">
        <w:rPr>
          <w:rFonts w:asciiTheme="majorHAnsi" w:eastAsiaTheme="majorEastAsia" w:hAnsiTheme="majorHAnsi" w:cstheme="majorBidi"/>
          <w:bCs/>
          <w:color w:val="000000" w:themeColor="text1"/>
          <w:sz w:val="24"/>
          <w:szCs w:val="24"/>
        </w:rPr>
        <w:t>he total t</w:t>
      </w:r>
      <w:r>
        <w:rPr>
          <w:rFonts w:asciiTheme="majorHAnsi" w:eastAsiaTheme="majorEastAsia" w:hAnsiTheme="majorHAnsi" w:cstheme="majorBidi"/>
          <w:bCs/>
          <w:color w:val="000000" w:themeColor="text1"/>
          <w:sz w:val="24"/>
          <w:szCs w:val="24"/>
        </w:rPr>
        <w:t xml:space="preserve">ax </w:t>
      </w:r>
      <w:r w:rsidR="00333803">
        <w:rPr>
          <w:rFonts w:asciiTheme="majorHAnsi" w:eastAsiaTheme="majorEastAsia" w:hAnsiTheme="majorHAnsi" w:cstheme="majorBidi"/>
          <w:bCs/>
          <w:color w:val="000000" w:themeColor="text1"/>
          <w:sz w:val="24"/>
          <w:szCs w:val="24"/>
        </w:rPr>
        <w:t xml:space="preserve">increase </w:t>
      </w:r>
      <w:r w:rsidR="008D1F01">
        <w:rPr>
          <w:rFonts w:asciiTheme="majorHAnsi" w:eastAsiaTheme="majorEastAsia" w:hAnsiTheme="majorHAnsi" w:cstheme="majorBidi"/>
          <w:bCs/>
          <w:color w:val="000000" w:themeColor="text1"/>
          <w:sz w:val="24"/>
          <w:szCs w:val="24"/>
        </w:rPr>
        <w:t>for</w:t>
      </w:r>
      <w:r w:rsidR="00333803">
        <w:rPr>
          <w:rFonts w:asciiTheme="majorHAnsi" w:eastAsiaTheme="majorEastAsia" w:hAnsiTheme="majorHAnsi" w:cstheme="majorBidi"/>
          <w:bCs/>
          <w:color w:val="000000" w:themeColor="text1"/>
          <w:sz w:val="24"/>
          <w:szCs w:val="24"/>
        </w:rPr>
        <w:t xml:space="preserve"> these corporations</w:t>
      </w:r>
      <w:r>
        <w:rPr>
          <w:rFonts w:asciiTheme="majorHAnsi" w:eastAsiaTheme="majorEastAsia" w:hAnsiTheme="majorHAnsi" w:cstheme="majorBidi"/>
          <w:bCs/>
          <w:color w:val="000000" w:themeColor="text1"/>
          <w:sz w:val="24"/>
          <w:szCs w:val="24"/>
        </w:rPr>
        <w:t xml:space="preserve"> totaled $</w:t>
      </w:r>
      <w:r w:rsidR="00333803">
        <w:rPr>
          <w:rFonts w:asciiTheme="majorHAnsi" w:eastAsiaTheme="majorEastAsia" w:hAnsiTheme="majorHAnsi" w:cstheme="majorBidi"/>
          <w:bCs/>
          <w:color w:val="000000" w:themeColor="text1"/>
          <w:sz w:val="24"/>
          <w:szCs w:val="24"/>
        </w:rPr>
        <w:t>159</w:t>
      </w:r>
      <w:r>
        <w:rPr>
          <w:rFonts w:asciiTheme="majorHAnsi" w:eastAsiaTheme="majorEastAsia" w:hAnsiTheme="majorHAnsi" w:cstheme="majorBidi"/>
          <w:bCs/>
          <w:color w:val="000000" w:themeColor="text1"/>
          <w:sz w:val="24"/>
          <w:szCs w:val="24"/>
        </w:rPr>
        <w:t xml:space="preserve"> million, with </w:t>
      </w:r>
      <w:r w:rsidR="00333803">
        <w:rPr>
          <w:rFonts w:asciiTheme="majorHAnsi" w:eastAsiaTheme="majorEastAsia" w:hAnsiTheme="majorHAnsi" w:cstheme="majorBidi"/>
          <w:bCs/>
          <w:color w:val="000000" w:themeColor="text1"/>
          <w:sz w:val="24"/>
          <w:szCs w:val="24"/>
        </w:rPr>
        <w:t>56.1</w:t>
      </w:r>
      <w:r>
        <w:rPr>
          <w:rFonts w:asciiTheme="majorHAnsi" w:eastAsiaTheme="majorEastAsia" w:hAnsiTheme="majorHAnsi" w:cstheme="majorBidi"/>
          <w:bCs/>
          <w:color w:val="000000" w:themeColor="text1"/>
          <w:sz w:val="24"/>
          <w:szCs w:val="24"/>
        </w:rPr>
        <w:t xml:space="preserve">% of the </w:t>
      </w:r>
      <w:r w:rsidR="00333803">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going to section 38 manufacturers, </w:t>
      </w:r>
      <w:r w:rsidR="00333803">
        <w:rPr>
          <w:rFonts w:asciiTheme="majorHAnsi" w:eastAsiaTheme="majorEastAsia" w:hAnsiTheme="majorHAnsi" w:cstheme="majorBidi"/>
          <w:bCs/>
          <w:color w:val="000000" w:themeColor="text1"/>
          <w:sz w:val="24"/>
          <w:szCs w:val="24"/>
        </w:rPr>
        <w:t>6.6</w:t>
      </w:r>
      <w:r>
        <w:rPr>
          <w:rFonts w:asciiTheme="majorHAnsi" w:eastAsiaTheme="majorEastAsia" w:hAnsiTheme="majorHAnsi" w:cstheme="majorBidi"/>
          <w:bCs/>
          <w:color w:val="000000" w:themeColor="text1"/>
          <w:sz w:val="24"/>
          <w:szCs w:val="24"/>
        </w:rPr>
        <w:t xml:space="preserve">% to mutual fund service corporations, and </w:t>
      </w:r>
      <w:r w:rsidR="00333803">
        <w:rPr>
          <w:rFonts w:asciiTheme="majorHAnsi" w:eastAsiaTheme="majorEastAsia" w:hAnsiTheme="majorHAnsi" w:cstheme="majorBidi"/>
          <w:bCs/>
          <w:color w:val="000000" w:themeColor="text1"/>
          <w:sz w:val="24"/>
          <w:szCs w:val="24"/>
        </w:rPr>
        <w:t>37.3</w:t>
      </w:r>
      <w:r>
        <w:rPr>
          <w:rFonts w:asciiTheme="majorHAnsi" w:eastAsiaTheme="majorEastAsia" w:hAnsiTheme="majorHAnsi" w:cstheme="majorBidi"/>
          <w:bCs/>
          <w:color w:val="000000" w:themeColor="text1"/>
          <w:sz w:val="24"/>
          <w:szCs w:val="24"/>
        </w:rPr>
        <w:t xml:space="preserve">% to other corporations. Note that mutual fund service corporations have a much higher average tax </w:t>
      </w:r>
      <w:r w:rsidR="00333803">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w:t>
      </w:r>
      <w:r w:rsidR="00333803">
        <w:rPr>
          <w:rFonts w:asciiTheme="majorHAnsi" w:eastAsiaTheme="majorEastAsia" w:hAnsiTheme="majorHAnsi" w:cstheme="majorBidi"/>
          <w:bCs/>
          <w:color w:val="000000" w:themeColor="text1"/>
          <w:sz w:val="24"/>
          <w:szCs w:val="24"/>
        </w:rPr>
        <w:t>198,000</w:t>
      </w:r>
      <w:r>
        <w:rPr>
          <w:rFonts w:asciiTheme="majorHAnsi" w:eastAsiaTheme="majorEastAsia" w:hAnsiTheme="majorHAnsi" w:cstheme="majorBidi"/>
          <w:bCs/>
          <w:color w:val="000000" w:themeColor="text1"/>
          <w:sz w:val="24"/>
          <w:szCs w:val="24"/>
        </w:rPr>
        <w:t>) than other corporation</w:t>
      </w:r>
      <w:r w:rsidR="008D1F01">
        <w:rPr>
          <w:rFonts w:asciiTheme="majorHAnsi" w:eastAsiaTheme="majorEastAsia" w:hAnsiTheme="majorHAnsi" w:cstheme="majorBidi"/>
          <w:bCs/>
          <w:color w:val="000000" w:themeColor="text1"/>
          <w:sz w:val="24"/>
          <w:szCs w:val="24"/>
        </w:rPr>
        <w:t>s</w:t>
      </w:r>
      <w:r>
        <w:rPr>
          <w:rFonts w:asciiTheme="majorHAnsi" w:eastAsiaTheme="majorEastAsia" w:hAnsiTheme="majorHAnsi" w:cstheme="majorBidi"/>
          <w:bCs/>
          <w:color w:val="000000" w:themeColor="text1"/>
          <w:sz w:val="24"/>
          <w:szCs w:val="24"/>
        </w:rPr>
        <w:t xml:space="preserve"> that </w:t>
      </w:r>
      <w:r w:rsidR="00333803">
        <w:rPr>
          <w:rFonts w:asciiTheme="majorHAnsi" w:eastAsiaTheme="majorEastAsia" w:hAnsiTheme="majorHAnsi" w:cstheme="majorBidi"/>
          <w:bCs/>
          <w:color w:val="000000" w:themeColor="text1"/>
          <w:sz w:val="24"/>
          <w:szCs w:val="24"/>
        </w:rPr>
        <w:t>owe more tax</w:t>
      </w:r>
      <w:r>
        <w:rPr>
          <w:rFonts w:asciiTheme="majorHAnsi" w:eastAsiaTheme="majorEastAsia" w:hAnsiTheme="majorHAnsi" w:cstheme="majorBidi"/>
          <w:bCs/>
          <w:color w:val="000000" w:themeColor="text1"/>
          <w:sz w:val="24"/>
          <w:szCs w:val="24"/>
        </w:rPr>
        <w:t xml:space="preserve"> (the average was $</w:t>
      </w:r>
      <w:r w:rsidR="00333803">
        <w:rPr>
          <w:rFonts w:asciiTheme="majorHAnsi" w:eastAsiaTheme="majorEastAsia" w:hAnsiTheme="majorHAnsi" w:cstheme="majorBidi"/>
          <w:bCs/>
          <w:color w:val="000000" w:themeColor="text1"/>
          <w:sz w:val="24"/>
          <w:szCs w:val="24"/>
        </w:rPr>
        <w:t>16</w:t>
      </w:r>
      <w:r>
        <w:rPr>
          <w:rFonts w:asciiTheme="majorHAnsi" w:eastAsiaTheme="majorEastAsia" w:hAnsiTheme="majorHAnsi" w:cstheme="majorBidi"/>
          <w:bCs/>
          <w:color w:val="000000" w:themeColor="text1"/>
          <w:sz w:val="24"/>
          <w:szCs w:val="24"/>
        </w:rPr>
        <w:t xml:space="preserve">,000 for all </w:t>
      </w:r>
      <w:r w:rsidR="00333803">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 xml:space="preserve">tively affected corporations). </w:t>
      </w:r>
      <w:r w:rsidR="0059479A">
        <w:rPr>
          <w:rFonts w:asciiTheme="majorHAnsi" w:eastAsiaTheme="majorEastAsia" w:hAnsiTheme="majorHAnsi" w:cstheme="majorBidi"/>
          <w:bCs/>
          <w:color w:val="000000" w:themeColor="text1"/>
          <w:sz w:val="24"/>
          <w:szCs w:val="24"/>
        </w:rPr>
        <w:t>Compared with positively impacted corporations</w:t>
      </w:r>
      <w:r w:rsidR="0016347E">
        <w:rPr>
          <w:rFonts w:asciiTheme="majorHAnsi" w:eastAsiaTheme="majorEastAsia" w:hAnsiTheme="majorHAnsi" w:cstheme="majorBidi"/>
          <w:bCs/>
          <w:color w:val="000000" w:themeColor="text1"/>
          <w:sz w:val="24"/>
          <w:szCs w:val="24"/>
        </w:rPr>
        <w:t xml:space="preserve"> (see Table A1-1)</w:t>
      </w:r>
      <w:r w:rsidR="0059479A">
        <w:rPr>
          <w:rFonts w:asciiTheme="majorHAnsi" w:eastAsiaTheme="majorEastAsia" w:hAnsiTheme="majorHAnsi" w:cstheme="majorBidi"/>
          <w:bCs/>
          <w:color w:val="000000" w:themeColor="text1"/>
          <w:sz w:val="24"/>
          <w:szCs w:val="24"/>
        </w:rPr>
        <w:t xml:space="preserve">, there were more negatively impacted corporations. But the average impact </w:t>
      </w:r>
      <w:r w:rsidR="0003538C">
        <w:rPr>
          <w:rFonts w:asciiTheme="majorHAnsi" w:eastAsiaTheme="majorEastAsia" w:hAnsiTheme="majorHAnsi" w:cstheme="majorBidi"/>
          <w:bCs/>
          <w:color w:val="000000" w:themeColor="text1"/>
          <w:sz w:val="24"/>
          <w:szCs w:val="24"/>
        </w:rPr>
        <w:t xml:space="preserve">in absolute terms </w:t>
      </w:r>
      <w:r w:rsidR="0059479A">
        <w:rPr>
          <w:rFonts w:asciiTheme="majorHAnsi" w:eastAsiaTheme="majorEastAsia" w:hAnsiTheme="majorHAnsi" w:cstheme="majorBidi"/>
          <w:bCs/>
          <w:color w:val="000000" w:themeColor="text1"/>
          <w:sz w:val="24"/>
          <w:szCs w:val="24"/>
        </w:rPr>
        <w:t>w</w:t>
      </w:r>
      <w:r w:rsidR="0016347E">
        <w:rPr>
          <w:rFonts w:asciiTheme="majorHAnsi" w:eastAsiaTheme="majorEastAsia" w:hAnsiTheme="majorHAnsi" w:cstheme="majorBidi"/>
          <w:bCs/>
          <w:color w:val="000000" w:themeColor="text1"/>
          <w:sz w:val="24"/>
          <w:szCs w:val="24"/>
        </w:rPr>
        <w:t>as</w:t>
      </w:r>
      <w:r w:rsidR="0059479A">
        <w:rPr>
          <w:rFonts w:asciiTheme="majorHAnsi" w:eastAsiaTheme="majorEastAsia" w:hAnsiTheme="majorHAnsi" w:cstheme="majorBidi"/>
          <w:bCs/>
          <w:color w:val="000000" w:themeColor="text1"/>
          <w:sz w:val="24"/>
          <w:szCs w:val="24"/>
        </w:rPr>
        <w:t xml:space="preserve"> smaller on negatively impacted corporations </w:t>
      </w:r>
      <w:r w:rsidR="0003538C">
        <w:rPr>
          <w:rFonts w:asciiTheme="majorHAnsi" w:eastAsiaTheme="majorEastAsia" w:hAnsiTheme="majorHAnsi" w:cstheme="majorBidi"/>
          <w:bCs/>
          <w:color w:val="000000" w:themeColor="text1"/>
          <w:sz w:val="24"/>
          <w:szCs w:val="24"/>
        </w:rPr>
        <w:t xml:space="preserve">(|+$159M|) </w:t>
      </w:r>
      <w:r w:rsidR="0059479A">
        <w:rPr>
          <w:rFonts w:asciiTheme="majorHAnsi" w:eastAsiaTheme="majorEastAsia" w:hAnsiTheme="majorHAnsi" w:cstheme="majorBidi"/>
          <w:bCs/>
          <w:color w:val="000000" w:themeColor="text1"/>
          <w:sz w:val="24"/>
          <w:szCs w:val="24"/>
        </w:rPr>
        <w:t>than on positively impacted corporations</w:t>
      </w:r>
      <w:r w:rsidR="0003538C">
        <w:rPr>
          <w:rFonts w:asciiTheme="majorHAnsi" w:eastAsiaTheme="majorEastAsia" w:hAnsiTheme="majorHAnsi" w:cstheme="majorBidi"/>
          <w:bCs/>
          <w:color w:val="000000" w:themeColor="text1"/>
          <w:sz w:val="24"/>
          <w:szCs w:val="24"/>
        </w:rPr>
        <w:t xml:space="preserve"> (|-552M|)</w:t>
      </w:r>
      <w:r w:rsidR="0059479A">
        <w:rPr>
          <w:rFonts w:asciiTheme="majorHAnsi" w:eastAsiaTheme="majorEastAsia" w:hAnsiTheme="majorHAnsi" w:cstheme="majorBidi"/>
          <w:bCs/>
          <w:color w:val="000000" w:themeColor="text1"/>
          <w:sz w:val="24"/>
          <w:szCs w:val="24"/>
        </w:rPr>
        <w:t>.</w:t>
      </w:r>
      <w:r w:rsidR="0016347E">
        <w:rPr>
          <w:rFonts w:asciiTheme="majorHAnsi" w:eastAsiaTheme="majorEastAsia" w:hAnsiTheme="majorHAnsi" w:cstheme="majorBidi"/>
          <w:bCs/>
          <w:color w:val="000000" w:themeColor="text1"/>
          <w:sz w:val="24"/>
          <w:szCs w:val="24"/>
        </w:rPr>
        <w:t xml:space="preserve"> </w:t>
      </w:r>
    </w:p>
    <w:p w14:paraId="39FAB2AE" w14:textId="77777777" w:rsidR="00726280" w:rsidRDefault="00726280" w:rsidP="00726280">
      <w:pPr>
        <w:tabs>
          <w:tab w:val="left" w:pos="7050"/>
        </w:tabs>
        <w:spacing w:after="0"/>
        <w:rPr>
          <w:rFonts w:asciiTheme="majorHAnsi" w:eastAsiaTheme="majorEastAsia" w:hAnsiTheme="majorHAnsi" w:cstheme="majorBidi"/>
          <w:bCs/>
          <w:color w:val="000000" w:themeColor="text1"/>
          <w:sz w:val="24"/>
          <w:szCs w:val="24"/>
        </w:rPr>
      </w:pPr>
    </w:p>
    <w:p w14:paraId="61A58EA8" w14:textId="6FBCB4D8" w:rsidR="00726280" w:rsidRPr="00CA0391" w:rsidRDefault="00726280" w:rsidP="00726280">
      <w:pPr>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A1-5</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C537D2">
        <w:rPr>
          <w:rFonts w:asciiTheme="majorHAnsi" w:hAnsiTheme="majorHAnsi"/>
          <w:b/>
          <w:sz w:val="24"/>
          <w:szCs w:val="24"/>
        </w:rPr>
        <w:t>Increase</w:t>
      </w:r>
      <w:r>
        <w:rPr>
          <w:rFonts w:asciiTheme="majorHAnsi" w:hAnsiTheme="majorHAnsi"/>
          <w:b/>
          <w:sz w:val="24"/>
          <w:szCs w:val="24"/>
        </w:rPr>
        <w:t xml:space="preserve"> by Corporation Type</w:t>
      </w:r>
      <w:r w:rsidR="00C537D2">
        <w:rPr>
          <w:rFonts w:asciiTheme="majorHAnsi" w:hAnsiTheme="majorHAnsi"/>
          <w:b/>
          <w:sz w:val="24"/>
          <w:szCs w:val="24"/>
        </w:rPr>
        <w:t xml:space="preserve"> </w:t>
      </w:r>
      <w:r w:rsidR="00C537D2" w:rsidRPr="00107265">
        <w:rPr>
          <w:rStyle w:val="FootnoteReference"/>
          <w:rFonts w:eastAsiaTheme="majorEastAsia"/>
          <w:b/>
          <w:bCs/>
          <w:color w:val="000000" w:themeColor="text1"/>
        </w:rPr>
        <w:t>(1)</w:t>
      </w:r>
    </w:p>
    <w:tbl>
      <w:tblPr>
        <w:tblW w:w="9265" w:type="dxa"/>
        <w:jc w:val="center"/>
        <w:tblLayout w:type="fixed"/>
        <w:tblLook w:val="04A0" w:firstRow="1" w:lastRow="0" w:firstColumn="1" w:lastColumn="0" w:noHBand="0" w:noVBand="1"/>
      </w:tblPr>
      <w:tblGrid>
        <w:gridCol w:w="2425"/>
        <w:gridCol w:w="1440"/>
        <w:gridCol w:w="1440"/>
        <w:gridCol w:w="1620"/>
        <w:gridCol w:w="1080"/>
        <w:gridCol w:w="1260"/>
      </w:tblGrid>
      <w:tr w:rsidR="00726280" w:rsidRPr="00D5431D" w14:paraId="3AC6ED16" w14:textId="77777777" w:rsidTr="00847706">
        <w:trPr>
          <w:trHeight w:val="764"/>
          <w:jc w:val="center"/>
        </w:trPr>
        <w:tc>
          <w:tcPr>
            <w:tcW w:w="24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75EADE1" w14:textId="77777777" w:rsidR="00726280" w:rsidRPr="00D5431D" w:rsidRDefault="00726280"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Corporation Type</w:t>
            </w:r>
          </w:p>
        </w:tc>
        <w:tc>
          <w:tcPr>
            <w:tcW w:w="144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6416B53" w14:textId="74FF41D4" w:rsidR="00726280" w:rsidRPr="00D5431D" w:rsidRDefault="00726280"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Number of</w:t>
            </w:r>
            <w:r w:rsidR="0016347E">
              <w:rPr>
                <w:rFonts w:ascii="Cambria" w:eastAsia="Times New Roman" w:hAnsi="Cambria" w:cs="Helvetica"/>
                <w:color w:val="000000"/>
                <w:sz w:val="20"/>
                <w:szCs w:val="20"/>
                <w:lang w:eastAsia="ko-KR"/>
              </w:rPr>
              <w:t xml:space="preserve"> Negatively</w:t>
            </w:r>
            <w:r w:rsidRPr="00D5431D">
              <w:rPr>
                <w:rFonts w:ascii="Cambria" w:eastAsia="Times New Roman" w:hAnsi="Cambria" w:cs="Helvetica"/>
                <w:color w:val="000000"/>
                <w:sz w:val="20"/>
                <w:szCs w:val="20"/>
                <w:lang w:eastAsia="ko-KR"/>
              </w:rPr>
              <w:t xml:space="preserve"> Impacted Corporations</w:t>
            </w:r>
          </w:p>
        </w:tc>
        <w:tc>
          <w:tcPr>
            <w:tcW w:w="144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6BF4025" w14:textId="41911C52" w:rsidR="00726280" w:rsidRPr="00D5431D" w:rsidRDefault="00726280"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of Total Number of</w:t>
            </w:r>
            <w:r w:rsidR="0016347E">
              <w:rPr>
                <w:rFonts w:ascii="Cambria" w:eastAsia="Times New Roman" w:hAnsi="Cambria" w:cs="Helvetica"/>
                <w:color w:val="000000"/>
                <w:sz w:val="20"/>
                <w:szCs w:val="20"/>
                <w:lang w:eastAsia="ko-KR"/>
              </w:rPr>
              <w:t xml:space="preserve"> Negatively</w:t>
            </w:r>
            <w:r w:rsidRPr="00D5431D">
              <w:rPr>
                <w:rFonts w:ascii="Cambria" w:eastAsia="Times New Roman" w:hAnsi="Cambria" w:cs="Helvetica"/>
                <w:color w:val="000000"/>
                <w:sz w:val="20"/>
                <w:szCs w:val="20"/>
                <w:lang w:eastAsia="ko-KR"/>
              </w:rPr>
              <w:t xml:space="preserve"> Impacted Corporations</w:t>
            </w:r>
          </w:p>
        </w:tc>
        <w:tc>
          <w:tcPr>
            <w:tcW w:w="162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0CA1FC" w14:textId="466A44C8" w:rsidR="00726280" w:rsidRPr="00D5431D" w:rsidRDefault="00726280"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r w:rsidRPr="00D5431D">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u</w:t>
            </w:r>
            <w:r w:rsidRPr="00D5431D">
              <w:rPr>
                <w:rFonts w:ascii="Cambria" w:eastAsia="Times New Roman" w:hAnsi="Cambria" w:cs="Helvetica"/>
                <w:color w:val="000000"/>
                <w:sz w:val="20"/>
                <w:szCs w:val="20"/>
                <w:lang w:eastAsia="ko-KR"/>
              </w:rPr>
              <w:t xml:space="preserve">sing Formulas with </w:t>
            </w:r>
            <w:r>
              <w:rPr>
                <w:rFonts w:ascii="Cambria" w:eastAsia="Times New Roman" w:hAnsi="Cambria" w:cs="Helvetica"/>
                <w:color w:val="000000"/>
                <w:sz w:val="20"/>
                <w:szCs w:val="20"/>
                <w:lang w:eastAsia="ko-KR"/>
              </w:rPr>
              <w:t xml:space="preserve">Higher </w:t>
            </w:r>
            <w:r w:rsidRPr="00D5431D">
              <w:rPr>
                <w:rFonts w:ascii="Cambria" w:eastAsia="Times New Roman" w:hAnsi="Cambria" w:cs="Helvetica"/>
                <w:color w:val="000000"/>
                <w:sz w:val="20"/>
                <w:szCs w:val="20"/>
                <w:lang w:eastAsia="ko-KR"/>
              </w:rPr>
              <w:t>Weighted Sales Factor ($000)</w:t>
            </w:r>
            <w:r w:rsidR="00C537D2">
              <w:rPr>
                <w:rFonts w:ascii="Cambria" w:eastAsia="Times New Roman" w:hAnsi="Cambria" w:cs="Helvetica"/>
                <w:color w:val="000000"/>
                <w:sz w:val="20"/>
                <w:szCs w:val="20"/>
                <w:lang w:eastAsia="ko-KR"/>
              </w:rPr>
              <w:t xml:space="preserve"> </w:t>
            </w:r>
            <w:r w:rsidR="00C537D2" w:rsidRPr="00107265">
              <w:rPr>
                <w:rStyle w:val="FootnoteReference"/>
                <w:rFonts w:eastAsiaTheme="majorEastAsia"/>
                <w:color w:val="000000" w:themeColor="text1"/>
              </w:rPr>
              <w:t>(2)</w:t>
            </w:r>
          </w:p>
        </w:tc>
        <w:tc>
          <w:tcPr>
            <w:tcW w:w="108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9AF1285" w14:textId="036C4CBF" w:rsidR="00726280" w:rsidRPr="00D5431D" w:rsidRDefault="00726280" w:rsidP="00690837">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p>
        </w:tc>
        <w:tc>
          <w:tcPr>
            <w:tcW w:w="126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3C664737" w14:textId="163C5BD2" w:rsidR="00726280" w:rsidRPr="00D5431D" w:rsidDel="00845E99" w:rsidRDefault="00726280" w:rsidP="00690837">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r w:rsidRPr="001C5672">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per</w:t>
            </w:r>
            <w:r w:rsidR="0016347E">
              <w:rPr>
                <w:rFonts w:ascii="Cambria" w:eastAsia="Times New Roman" w:hAnsi="Cambria" w:cs="Helvetica"/>
                <w:color w:val="000000"/>
                <w:sz w:val="20"/>
                <w:szCs w:val="20"/>
                <w:lang w:eastAsia="ko-KR"/>
              </w:rPr>
              <w:t xml:space="preserve"> Negatively</w:t>
            </w:r>
            <w:r w:rsidRPr="00EE5936">
              <w:rPr>
                <w:rFonts w:ascii="Cambria" w:eastAsia="Times New Roman" w:hAnsi="Cambria" w:cs="Helvetica"/>
                <w:color w:val="000000"/>
                <w:sz w:val="20"/>
                <w:szCs w:val="20"/>
                <w:lang w:eastAsia="ko-KR"/>
              </w:rPr>
              <w:t xml:space="preserve"> Impacted Corporation ($000)</w:t>
            </w:r>
            <w:r w:rsidR="00C537D2">
              <w:rPr>
                <w:rFonts w:ascii="Cambria" w:eastAsia="Times New Roman" w:hAnsi="Cambria" w:cs="Helvetica"/>
                <w:color w:val="000000"/>
                <w:sz w:val="20"/>
                <w:szCs w:val="20"/>
                <w:lang w:eastAsia="ko-KR"/>
              </w:rPr>
              <w:t xml:space="preserve"> </w:t>
            </w:r>
            <w:r w:rsidR="00C537D2" w:rsidRPr="00107265">
              <w:rPr>
                <w:rStyle w:val="FootnoteReference"/>
                <w:rFonts w:eastAsiaTheme="majorEastAsia"/>
                <w:color w:val="000000" w:themeColor="text1"/>
              </w:rPr>
              <w:t>(2)</w:t>
            </w:r>
          </w:p>
        </w:tc>
      </w:tr>
      <w:tr w:rsidR="00D15853" w:rsidRPr="00D5431D" w14:paraId="2C71A3C5" w14:textId="77777777" w:rsidTr="00847706">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C82323D" w14:textId="77777777" w:rsidR="00D15853" w:rsidRPr="00D5431D" w:rsidRDefault="00D15853" w:rsidP="00D15853">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Section 38 Manufacturers</w:t>
            </w:r>
          </w:p>
        </w:tc>
        <w:tc>
          <w:tcPr>
            <w:tcW w:w="1440" w:type="dxa"/>
            <w:tcBorders>
              <w:top w:val="nil"/>
              <w:left w:val="nil"/>
              <w:bottom w:val="single" w:sz="4" w:space="0" w:color="auto"/>
              <w:right w:val="single" w:sz="4" w:space="0" w:color="auto"/>
            </w:tcBorders>
            <w:shd w:val="clear" w:color="auto" w:fill="auto"/>
            <w:vAlign w:val="center"/>
          </w:tcPr>
          <w:p w14:paraId="29CE58C7" w14:textId="7B20C5F7"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1,510</w:t>
            </w:r>
          </w:p>
        </w:tc>
        <w:tc>
          <w:tcPr>
            <w:tcW w:w="1440" w:type="dxa"/>
            <w:tcBorders>
              <w:top w:val="single" w:sz="4" w:space="0" w:color="auto"/>
              <w:left w:val="nil"/>
              <w:bottom w:val="single" w:sz="4" w:space="0" w:color="auto"/>
              <w:right w:val="single" w:sz="4" w:space="0" w:color="auto"/>
            </w:tcBorders>
            <w:vAlign w:val="center"/>
          </w:tcPr>
          <w:p w14:paraId="6C30A5A1" w14:textId="2F4F11F1" w:rsidR="00D15853" w:rsidRPr="003A180F" w:rsidRDefault="00D15853">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15.7%</w:t>
            </w:r>
          </w:p>
        </w:tc>
        <w:tc>
          <w:tcPr>
            <w:tcW w:w="1620" w:type="dxa"/>
            <w:tcBorders>
              <w:top w:val="nil"/>
              <w:left w:val="single" w:sz="4" w:space="0" w:color="auto"/>
              <w:bottom w:val="single" w:sz="4" w:space="0" w:color="auto"/>
              <w:right w:val="single" w:sz="4" w:space="0" w:color="auto"/>
            </w:tcBorders>
            <w:vAlign w:val="center"/>
          </w:tcPr>
          <w:p w14:paraId="214EFB70" w14:textId="6F9936E4" w:rsidR="00D15853" w:rsidRPr="003A180F" w:rsidRDefault="00D15853">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$89,036</w:t>
            </w:r>
          </w:p>
        </w:tc>
        <w:tc>
          <w:tcPr>
            <w:tcW w:w="1080" w:type="dxa"/>
            <w:tcBorders>
              <w:top w:val="nil"/>
              <w:left w:val="nil"/>
              <w:bottom w:val="single" w:sz="4" w:space="0" w:color="auto"/>
              <w:right w:val="single" w:sz="4" w:space="0" w:color="auto"/>
            </w:tcBorders>
            <w:shd w:val="clear" w:color="auto" w:fill="auto"/>
            <w:vAlign w:val="center"/>
          </w:tcPr>
          <w:p w14:paraId="6E10CB88" w14:textId="014BEEA0"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56.1%</w:t>
            </w:r>
          </w:p>
        </w:tc>
        <w:tc>
          <w:tcPr>
            <w:tcW w:w="1260" w:type="dxa"/>
            <w:tcBorders>
              <w:top w:val="nil"/>
              <w:left w:val="nil"/>
              <w:bottom w:val="single" w:sz="4" w:space="0" w:color="auto"/>
              <w:right w:val="single" w:sz="4" w:space="0" w:color="auto"/>
            </w:tcBorders>
            <w:vAlign w:val="center"/>
          </w:tcPr>
          <w:p w14:paraId="155D0410" w14:textId="0F7E30DA"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$59</w:t>
            </w:r>
          </w:p>
        </w:tc>
      </w:tr>
      <w:tr w:rsidR="00D15853" w:rsidRPr="00D5431D" w14:paraId="7F393F67" w14:textId="77777777" w:rsidTr="00847706">
        <w:trPr>
          <w:trHeight w:val="41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EA47AC2" w14:textId="77777777" w:rsidR="00D15853" w:rsidRPr="00D5431D" w:rsidRDefault="00D15853" w:rsidP="00D15853">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Mutual Fund Services</w:t>
            </w:r>
          </w:p>
        </w:tc>
        <w:tc>
          <w:tcPr>
            <w:tcW w:w="1440" w:type="dxa"/>
            <w:tcBorders>
              <w:top w:val="nil"/>
              <w:left w:val="nil"/>
              <w:bottom w:val="single" w:sz="4" w:space="0" w:color="auto"/>
              <w:right w:val="single" w:sz="4" w:space="0" w:color="auto"/>
            </w:tcBorders>
            <w:shd w:val="clear" w:color="auto" w:fill="auto"/>
            <w:vAlign w:val="center"/>
          </w:tcPr>
          <w:p w14:paraId="2706352D" w14:textId="335793BC"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53</w:t>
            </w:r>
          </w:p>
        </w:tc>
        <w:tc>
          <w:tcPr>
            <w:tcW w:w="1440" w:type="dxa"/>
            <w:tcBorders>
              <w:top w:val="single" w:sz="4" w:space="0" w:color="auto"/>
              <w:left w:val="nil"/>
              <w:bottom w:val="single" w:sz="4" w:space="0" w:color="auto"/>
              <w:right w:val="single" w:sz="4" w:space="0" w:color="auto"/>
            </w:tcBorders>
            <w:vAlign w:val="center"/>
          </w:tcPr>
          <w:p w14:paraId="3432CAE0" w14:textId="3339BA16" w:rsidR="00D15853" w:rsidRPr="003A180F" w:rsidRDefault="00D15853">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0.5%</w:t>
            </w:r>
          </w:p>
        </w:tc>
        <w:tc>
          <w:tcPr>
            <w:tcW w:w="1620" w:type="dxa"/>
            <w:tcBorders>
              <w:top w:val="nil"/>
              <w:left w:val="single" w:sz="4" w:space="0" w:color="auto"/>
              <w:bottom w:val="single" w:sz="4" w:space="0" w:color="auto"/>
              <w:right w:val="single" w:sz="4" w:space="0" w:color="auto"/>
            </w:tcBorders>
            <w:vAlign w:val="center"/>
          </w:tcPr>
          <w:p w14:paraId="1B9DD0D0" w14:textId="6FCBD377" w:rsidR="00D15853" w:rsidRPr="003A180F" w:rsidRDefault="00D15853">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$10,500</w:t>
            </w:r>
          </w:p>
        </w:tc>
        <w:tc>
          <w:tcPr>
            <w:tcW w:w="1080" w:type="dxa"/>
            <w:tcBorders>
              <w:top w:val="nil"/>
              <w:left w:val="nil"/>
              <w:bottom w:val="single" w:sz="4" w:space="0" w:color="auto"/>
              <w:right w:val="single" w:sz="4" w:space="0" w:color="auto"/>
            </w:tcBorders>
            <w:shd w:val="clear" w:color="auto" w:fill="auto"/>
            <w:vAlign w:val="center"/>
          </w:tcPr>
          <w:p w14:paraId="10608273" w14:textId="365FCFDA"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6.6%</w:t>
            </w:r>
          </w:p>
        </w:tc>
        <w:tc>
          <w:tcPr>
            <w:tcW w:w="1260" w:type="dxa"/>
            <w:tcBorders>
              <w:top w:val="nil"/>
              <w:left w:val="nil"/>
              <w:bottom w:val="single" w:sz="4" w:space="0" w:color="auto"/>
              <w:right w:val="single" w:sz="4" w:space="0" w:color="auto"/>
            </w:tcBorders>
            <w:vAlign w:val="center"/>
          </w:tcPr>
          <w:p w14:paraId="617922CF" w14:textId="163A72CB"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$198</w:t>
            </w:r>
          </w:p>
        </w:tc>
      </w:tr>
      <w:tr w:rsidR="00D15853" w:rsidRPr="00D5431D" w14:paraId="45D69E99" w14:textId="77777777" w:rsidTr="00847706">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2425B50" w14:textId="77777777" w:rsidR="00D15853" w:rsidRPr="00D5431D" w:rsidRDefault="00D15853" w:rsidP="00D15853">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All others</w:t>
            </w:r>
          </w:p>
        </w:tc>
        <w:tc>
          <w:tcPr>
            <w:tcW w:w="1440" w:type="dxa"/>
            <w:tcBorders>
              <w:top w:val="nil"/>
              <w:left w:val="nil"/>
              <w:bottom w:val="single" w:sz="4" w:space="0" w:color="auto"/>
              <w:right w:val="single" w:sz="4" w:space="0" w:color="auto"/>
            </w:tcBorders>
            <w:shd w:val="clear" w:color="auto" w:fill="auto"/>
            <w:vAlign w:val="center"/>
          </w:tcPr>
          <w:p w14:paraId="56B5E081" w14:textId="41CB68A4"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8,077</w:t>
            </w:r>
          </w:p>
        </w:tc>
        <w:tc>
          <w:tcPr>
            <w:tcW w:w="1440" w:type="dxa"/>
            <w:tcBorders>
              <w:top w:val="single" w:sz="4" w:space="0" w:color="auto"/>
              <w:left w:val="nil"/>
              <w:bottom w:val="single" w:sz="4" w:space="0" w:color="auto"/>
              <w:right w:val="single" w:sz="4" w:space="0" w:color="auto"/>
            </w:tcBorders>
            <w:vAlign w:val="center"/>
          </w:tcPr>
          <w:p w14:paraId="1A72A9E7" w14:textId="3BC897FA" w:rsidR="00D15853" w:rsidRPr="003A180F" w:rsidRDefault="00D15853">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83.8%</w:t>
            </w:r>
          </w:p>
        </w:tc>
        <w:tc>
          <w:tcPr>
            <w:tcW w:w="1620" w:type="dxa"/>
            <w:tcBorders>
              <w:top w:val="nil"/>
              <w:left w:val="single" w:sz="4" w:space="0" w:color="auto"/>
              <w:bottom w:val="single" w:sz="4" w:space="0" w:color="auto"/>
              <w:right w:val="single" w:sz="4" w:space="0" w:color="auto"/>
            </w:tcBorders>
            <w:vAlign w:val="center"/>
          </w:tcPr>
          <w:p w14:paraId="3BECD21E" w14:textId="2377F8E4" w:rsidR="00D15853" w:rsidRPr="003A180F" w:rsidRDefault="00D15853">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$59,261</w:t>
            </w:r>
          </w:p>
        </w:tc>
        <w:tc>
          <w:tcPr>
            <w:tcW w:w="1080" w:type="dxa"/>
            <w:tcBorders>
              <w:top w:val="nil"/>
              <w:left w:val="nil"/>
              <w:bottom w:val="single" w:sz="4" w:space="0" w:color="auto"/>
              <w:right w:val="single" w:sz="4" w:space="0" w:color="auto"/>
            </w:tcBorders>
            <w:shd w:val="clear" w:color="auto" w:fill="auto"/>
            <w:vAlign w:val="center"/>
          </w:tcPr>
          <w:p w14:paraId="0745A284" w14:textId="64FDAD41"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37.3%</w:t>
            </w:r>
          </w:p>
        </w:tc>
        <w:tc>
          <w:tcPr>
            <w:tcW w:w="1260" w:type="dxa"/>
            <w:tcBorders>
              <w:top w:val="nil"/>
              <w:left w:val="nil"/>
              <w:bottom w:val="single" w:sz="4" w:space="0" w:color="auto"/>
              <w:right w:val="single" w:sz="4" w:space="0" w:color="auto"/>
            </w:tcBorders>
            <w:vAlign w:val="center"/>
          </w:tcPr>
          <w:p w14:paraId="15785EB9" w14:textId="76016886"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w:t>
            </w:r>
          </w:p>
        </w:tc>
      </w:tr>
      <w:tr w:rsidR="00D15853" w:rsidRPr="00D5431D" w14:paraId="3A9D57A1" w14:textId="77777777" w:rsidTr="00847706">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58F20AF" w14:textId="77777777" w:rsidR="00D15853" w:rsidRPr="00D5431D" w:rsidRDefault="00D15853" w:rsidP="00D15853">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Total or average</w:t>
            </w:r>
          </w:p>
        </w:tc>
        <w:tc>
          <w:tcPr>
            <w:tcW w:w="1440" w:type="dxa"/>
            <w:tcBorders>
              <w:top w:val="nil"/>
              <w:left w:val="nil"/>
              <w:bottom w:val="single" w:sz="4" w:space="0" w:color="auto"/>
              <w:right w:val="single" w:sz="4" w:space="0" w:color="auto"/>
            </w:tcBorders>
            <w:shd w:val="clear" w:color="auto" w:fill="auto"/>
            <w:vAlign w:val="center"/>
          </w:tcPr>
          <w:p w14:paraId="6EE5AFE4" w14:textId="337A3126"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9,640</w:t>
            </w:r>
          </w:p>
        </w:tc>
        <w:tc>
          <w:tcPr>
            <w:tcW w:w="1440" w:type="dxa"/>
            <w:tcBorders>
              <w:top w:val="single" w:sz="4" w:space="0" w:color="auto"/>
              <w:left w:val="nil"/>
              <w:bottom w:val="single" w:sz="4" w:space="0" w:color="auto"/>
              <w:right w:val="single" w:sz="4" w:space="0" w:color="auto"/>
            </w:tcBorders>
            <w:vAlign w:val="center"/>
          </w:tcPr>
          <w:p w14:paraId="7C99A141" w14:textId="65891FBF" w:rsidR="00D15853" w:rsidRPr="003A180F" w:rsidRDefault="00D15853">
            <w:pPr>
              <w:spacing w:after="0" w:line="240" w:lineRule="auto"/>
              <w:jc w:val="center"/>
              <w:rPr>
                <w:rFonts w:ascii="Cambria" w:eastAsia="Times New Roman" w:hAnsi="Cambria" w:cs="Helvetica"/>
                <w:sz w:val="20"/>
                <w:szCs w:val="20"/>
                <w:lang w:eastAsia="ko-KR"/>
              </w:rPr>
            </w:pPr>
            <w:r w:rsidRPr="00847706">
              <w:rPr>
                <w:rFonts w:ascii="Cambria" w:hAnsi="Cambria" w:cs="Helvetica"/>
                <w:color w:val="000000"/>
                <w:sz w:val="20"/>
                <w:szCs w:val="20"/>
              </w:rPr>
              <w:t>100.0%</w:t>
            </w:r>
          </w:p>
        </w:tc>
        <w:tc>
          <w:tcPr>
            <w:tcW w:w="1620" w:type="dxa"/>
            <w:tcBorders>
              <w:top w:val="nil"/>
              <w:left w:val="single" w:sz="4" w:space="0" w:color="auto"/>
              <w:bottom w:val="single" w:sz="4" w:space="0" w:color="auto"/>
              <w:right w:val="single" w:sz="4" w:space="0" w:color="auto"/>
            </w:tcBorders>
            <w:vAlign w:val="center"/>
          </w:tcPr>
          <w:p w14:paraId="2CCC3C51" w14:textId="38FBD3F9" w:rsidR="00D15853" w:rsidRPr="003A180F" w:rsidRDefault="00D15853">
            <w:pPr>
              <w:spacing w:after="0" w:line="240" w:lineRule="auto"/>
              <w:jc w:val="center"/>
              <w:rPr>
                <w:rFonts w:ascii="Cambria" w:eastAsia="Times New Roman" w:hAnsi="Cambria" w:cs="Helvetica"/>
                <w:sz w:val="20"/>
                <w:szCs w:val="20"/>
                <w:lang w:eastAsia="ko-KR"/>
              </w:rPr>
            </w:pPr>
            <w:r w:rsidRPr="00847706">
              <w:rPr>
                <w:rFonts w:ascii="Cambria" w:hAnsi="Cambria" w:cs="Helvetica"/>
                <w:sz w:val="20"/>
                <w:szCs w:val="20"/>
              </w:rPr>
              <w:t>$158,796</w:t>
            </w:r>
          </w:p>
        </w:tc>
        <w:tc>
          <w:tcPr>
            <w:tcW w:w="1080" w:type="dxa"/>
            <w:tcBorders>
              <w:top w:val="nil"/>
              <w:left w:val="nil"/>
              <w:bottom w:val="single" w:sz="4" w:space="0" w:color="auto"/>
              <w:right w:val="single" w:sz="4" w:space="0" w:color="auto"/>
            </w:tcBorders>
            <w:shd w:val="clear" w:color="auto" w:fill="auto"/>
            <w:vAlign w:val="center"/>
          </w:tcPr>
          <w:p w14:paraId="3232B316" w14:textId="02A012B6"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100.0%</w:t>
            </w:r>
          </w:p>
        </w:tc>
        <w:tc>
          <w:tcPr>
            <w:tcW w:w="1260" w:type="dxa"/>
            <w:tcBorders>
              <w:top w:val="nil"/>
              <w:left w:val="nil"/>
              <w:bottom w:val="single" w:sz="4" w:space="0" w:color="auto"/>
              <w:right w:val="single" w:sz="4" w:space="0" w:color="auto"/>
            </w:tcBorders>
            <w:vAlign w:val="center"/>
          </w:tcPr>
          <w:p w14:paraId="5E0D2DA7" w14:textId="1077E857"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$16</w:t>
            </w:r>
          </w:p>
        </w:tc>
      </w:tr>
    </w:tbl>
    <w:p w14:paraId="41378DE9" w14:textId="77777777" w:rsidR="00726280" w:rsidRPr="0020176D" w:rsidRDefault="00726280" w:rsidP="00726280">
      <w:pPr>
        <w:tabs>
          <w:tab w:val="left" w:pos="7050"/>
        </w:tabs>
        <w:spacing w:after="0"/>
        <w:rPr>
          <w:rFonts w:asciiTheme="majorHAnsi" w:eastAsiaTheme="majorEastAsia" w:hAnsiTheme="majorHAnsi" w:cstheme="majorBidi"/>
          <w:bCs/>
          <w:color w:val="000000" w:themeColor="text1"/>
          <w:sz w:val="18"/>
          <w:szCs w:val="18"/>
        </w:rPr>
      </w:pPr>
      <w:r w:rsidRPr="0020176D">
        <w:rPr>
          <w:rFonts w:asciiTheme="majorHAnsi" w:eastAsiaTheme="majorEastAsia" w:hAnsiTheme="majorHAnsi" w:cstheme="majorBidi"/>
          <w:bCs/>
          <w:color w:val="000000" w:themeColor="text1"/>
          <w:sz w:val="18"/>
          <w:szCs w:val="18"/>
        </w:rPr>
        <w:t xml:space="preserve">  Source: Department of Revenue (2017 corporate excise return)</w:t>
      </w:r>
    </w:p>
    <w:p w14:paraId="0B4BF5FF" w14:textId="77777777" w:rsidR="00726280" w:rsidRPr="0020176D" w:rsidRDefault="00726280" w:rsidP="00726280">
      <w:pPr>
        <w:spacing w:after="0"/>
        <w:rPr>
          <w:rFonts w:asciiTheme="majorHAnsi" w:hAnsiTheme="majorHAnsi"/>
          <w:bCs/>
          <w:sz w:val="18"/>
          <w:szCs w:val="18"/>
        </w:rPr>
      </w:pPr>
      <w:r w:rsidRPr="0020176D">
        <w:rPr>
          <w:rFonts w:asciiTheme="majorHAnsi" w:eastAsiaTheme="majorEastAsia" w:hAnsiTheme="majorHAnsi" w:cstheme="majorBidi"/>
          <w:bCs/>
          <w:color w:val="000000" w:themeColor="text1"/>
          <w:sz w:val="18"/>
          <w:szCs w:val="18"/>
        </w:rPr>
        <w:t xml:space="preserve">  Note: 1. The data</w:t>
      </w:r>
      <w:r w:rsidRPr="0020176D">
        <w:rPr>
          <w:rFonts w:asciiTheme="majorHAnsi" w:hAnsiTheme="majorHAnsi"/>
          <w:bCs/>
          <w:sz w:val="18"/>
          <w:szCs w:val="18"/>
        </w:rPr>
        <w:t xml:space="preserve"> are preliminary and subject to </w:t>
      </w:r>
      <w:r w:rsidRPr="0020176D">
        <w:rPr>
          <w:rFonts w:ascii="Cambria" w:eastAsia="Times New Roman" w:hAnsi="Cambria" w:cs="Helvetica"/>
          <w:color w:val="000000"/>
          <w:sz w:val="18"/>
          <w:szCs w:val="18"/>
          <w:lang w:eastAsia="ko-KR"/>
        </w:rPr>
        <w:t>change</w:t>
      </w:r>
      <w:r w:rsidRPr="0020176D">
        <w:rPr>
          <w:rFonts w:asciiTheme="majorHAnsi" w:hAnsiTheme="majorHAnsi"/>
          <w:bCs/>
          <w:sz w:val="18"/>
          <w:szCs w:val="18"/>
        </w:rPr>
        <w:t xml:space="preserve">. </w:t>
      </w:r>
    </w:p>
    <w:p w14:paraId="7C28DCA6" w14:textId="460659B0" w:rsidR="00726280" w:rsidRPr="0020176D" w:rsidRDefault="0020176D" w:rsidP="00726280">
      <w:pPr>
        <w:spacing w:after="0"/>
        <w:rPr>
          <w:rFonts w:asciiTheme="majorHAnsi" w:hAnsiTheme="majorHAnsi"/>
          <w:bCs/>
          <w:sz w:val="18"/>
          <w:szCs w:val="18"/>
        </w:rPr>
      </w:pPr>
      <w:r w:rsidRPr="0020176D">
        <w:rPr>
          <w:rFonts w:asciiTheme="majorHAnsi" w:hAnsiTheme="majorHAnsi"/>
          <w:bCs/>
          <w:sz w:val="18"/>
          <w:szCs w:val="18"/>
        </w:rPr>
        <w:t xml:space="preserve">             </w:t>
      </w:r>
      <w:r w:rsidR="00726280" w:rsidRPr="0020176D">
        <w:rPr>
          <w:rFonts w:asciiTheme="majorHAnsi" w:hAnsiTheme="majorHAnsi"/>
          <w:bCs/>
          <w:sz w:val="18"/>
          <w:szCs w:val="18"/>
        </w:rPr>
        <w:t xml:space="preserve">2. </w:t>
      </w:r>
      <w:r w:rsidR="006F63CA">
        <w:rPr>
          <w:rFonts w:asciiTheme="majorHAnsi" w:hAnsiTheme="majorHAnsi"/>
          <w:bCs/>
          <w:sz w:val="18"/>
          <w:szCs w:val="18"/>
        </w:rPr>
        <w:t>P</w:t>
      </w:r>
      <w:r w:rsidR="00A0692D" w:rsidRPr="0020176D">
        <w:rPr>
          <w:rFonts w:asciiTheme="majorHAnsi" w:hAnsiTheme="majorHAnsi"/>
          <w:bCs/>
          <w:sz w:val="18"/>
          <w:szCs w:val="18"/>
        </w:rPr>
        <w:t>ositive number</w:t>
      </w:r>
      <w:r w:rsidR="00BB1B5B" w:rsidRPr="0020176D">
        <w:rPr>
          <w:rFonts w:asciiTheme="majorHAnsi" w:hAnsiTheme="majorHAnsi"/>
          <w:bCs/>
          <w:sz w:val="18"/>
          <w:szCs w:val="18"/>
        </w:rPr>
        <w:t>s</w:t>
      </w:r>
      <w:r w:rsidR="00A0692D" w:rsidRPr="0020176D">
        <w:rPr>
          <w:rFonts w:asciiTheme="majorHAnsi" w:hAnsiTheme="majorHAnsi"/>
          <w:bCs/>
          <w:sz w:val="18"/>
          <w:szCs w:val="18"/>
        </w:rPr>
        <w:t xml:space="preserve"> indicate that taxpayers owe more tax using formulas with higher weighted sales factor than using the formula with equal-weighted factors.</w:t>
      </w:r>
    </w:p>
    <w:p w14:paraId="6309E3E7" w14:textId="77777777" w:rsidR="00726280" w:rsidRDefault="00726280" w:rsidP="00726280">
      <w:pPr>
        <w:tabs>
          <w:tab w:val="left" w:pos="7050"/>
        </w:tabs>
        <w:spacing w:after="0"/>
        <w:rPr>
          <w:rFonts w:asciiTheme="majorHAnsi" w:eastAsiaTheme="majorEastAsia" w:hAnsiTheme="majorHAnsi" w:cstheme="majorBidi"/>
          <w:bCs/>
          <w:color w:val="000000" w:themeColor="text1"/>
          <w:sz w:val="24"/>
          <w:szCs w:val="24"/>
        </w:rPr>
      </w:pPr>
    </w:p>
    <w:p w14:paraId="0D78F80D" w14:textId="69540627" w:rsidR="00726280" w:rsidRDefault="00726280" w:rsidP="00726280">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Table A1-</w:t>
      </w:r>
      <w:r w:rsidR="00333803">
        <w:rPr>
          <w:rFonts w:asciiTheme="majorHAnsi" w:eastAsiaTheme="majorEastAsia" w:hAnsiTheme="majorHAnsi" w:cstheme="majorBidi"/>
          <w:bCs/>
          <w:color w:val="000000" w:themeColor="text1"/>
          <w:sz w:val="24"/>
          <w:szCs w:val="24"/>
        </w:rPr>
        <w:t>6</w:t>
      </w:r>
      <w:r>
        <w:rPr>
          <w:rFonts w:asciiTheme="majorHAnsi" w:eastAsiaTheme="majorEastAsia" w:hAnsiTheme="majorHAnsi" w:cstheme="majorBidi"/>
          <w:bCs/>
          <w:color w:val="000000" w:themeColor="text1"/>
          <w:sz w:val="24"/>
          <w:szCs w:val="24"/>
        </w:rPr>
        <w:t xml:space="preserve"> </w:t>
      </w:r>
      <w:r w:rsidR="00265886">
        <w:rPr>
          <w:rFonts w:asciiTheme="majorHAnsi" w:eastAsiaTheme="majorEastAsia" w:hAnsiTheme="majorHAnsi" w:cstheme="majorBidi"/>
          <w:bCs/>
          <w:color w:val="000000" w:themeColor="text1"/>
          <w:sz w:val="24"/>
          <w:szCs w:val="24"/>
        </w:rPr>
        <w:t xml:space="preserve">below </w:t>
      </w:r>
      <w:r>
        <w:rPr>
          <w:rFonts w:asciiTheme="majorHAnsi" w:eastAsiaTheme="majorEastAsia" w:hAnsiTheme="majorHAnsi" w:cstheme="majorBidi"/>
          <w:bCs/>
          <w:color w:val="000000" w:themeColor="text1"/>
          <w:sz w:val="24"/>
          <w:szCs w:val="24"/>
        </w:rPr>
        <w:t xml:space="preserve">shows that, in tax year 2017, </w:t>
      </w:r>
      <w:r>
        <w:rPr>
          <w:rFonts w:asciiTheme="majorHAnsi" w:hAnsiTheme="majorHAnsi"/>
          <w:sz w:val="24"/>
          <w:szCs w:val="24"/>
        </w:rPr>
        <w:t xml:space="preserve">about </w:t>
      </w:r>
      <w:r w:rsidR="00333803">
        <w:rPr>
          <w:rFonts w:asciiTheme="majorHAnsi" w:hAnsiTheme="majorHAnsi"/>
          <w:sz w:val="24"/>
          <w:szCs w:val="24"/>
        </w:rPr>
        <w:t>33.0</w:t>
      </w:r>
      <w:r>
        <w:rPr>
          <w:rFonts w:asciiTheme="majorHAnsi" w:hAnsiTheme="majorHAnsi"/>
          <w:sz w:val="24"/>
          <w:szCs w:val="24"/>
        </w:rPr>
        <w:t xml:space="preserve">% of </w:t>
      </w:r>
      <w:r>
        <w:rPr>
          <w:rFonts w:asciiTheme="majorHAnsi" w:eastAsiaTheme="majorEastAsia" w:hAnsiTheme="majorHAnsi" w:cstheme="majorBidi"/>
          <w:bCs/>
          <w:color w:val="000000" w:themeColor="text1"/>
          <w:sz w:val="24"/>
          <w:szCs w:val="24"/>
        </w:rPr>
        <w:t xml:space="preserve">the corporations that </w:t>
      </w:r>
      <w:r w:rsidR="00333803">
        <w:rPr>
          <w:rFonts w:asciiTheme="majorHAnsi" w:eastAsiaTheme="majorEastAsia" w:hAnsiTheme="majorHAnsi" w:cstheme="majorBidi"/>
          <w:bCs/>
          <w:color w:val="000000" w:themeColor="text1"/>
          <w:sz w:val="24"/>
          <w:szCs w:val="24"/>
        </w:rPr>
        <w:t xml:space="preserve">owe more tax using </w:t>
      </w:r>
      <w:r w:rsidRPr="00650A9F">
        <w:rPr>
          <w:rFonts w:asciiTheme="majorHAnsi" w:hAnsiTheme="majorHAnsi"/>
          <w:sz w:val="24"/>
          <w:szCs w:val="24"/>
        </w:rPr>
        <w:t>formulas with</w:t>
      </w:r>
      <w:r>
        <w:rPr>
          <w:rFonts w:asciiTheme="majorHAnsi" w:hAnsiTheme="majorHAnsi"/>
          <w:sz w:val="24"/>
          <w:szCs w:val="24"/>
        </w:rPr>
        <w:t xml:space="preserve"> higher </w:t>
      </w:r>
      <w:r w:rsidRPr="00650A9F">
        <w:rPr>
          <w:rFonts w:asciiTheme="majorHAnsi" w:hAnsiTheme="majorHAnsi"/>
          <w:sz w:val="24"/>
          <w:szCs w:val="24"/>
        </w:rPr>
        <w:t>weighted sales factor</w:t>
      </w:r>
      <w:r>
        <w:rPr>
          <w:rFonts w:asciiTheme="majorHAnsi" w:hAnsiTheme="majorHAnsi"/>
        </w:rPr>
        <w:t xml:space="preserve"> </w:t>
      </w:r>
      <w:r>
        <w:rPr>
          <w:rFonts w:asciiTheme="majorHAnsi" w:hAnsiTheme="majorHAnsi"/>
          <w:sz w:val="24"/>
          <w:szCs w:val="24"/>
        </w:rPr>
        <w:t xml:space="preserve">had taxable income ranging between $0.1 </w:t>
      </w:r>
      <w:r w:rsidRPr="00F9238A">
        <w:rPr>
          <w:rFonts w:asciiTheme="majorHAnsi" w:eastAsiaTheme="majorEastAsia" w:hAnsiTheme="majorHAnsi" w:cstheme="majorBidi"/>
          <w:bCs/>
          <w:color w:val="000000" w:themeColor="text1"/>
          <w:sz w:val="24"/>
          <w:szCs w:val="24"/>
        </w:rPr>
        <w:t>million</w:t>
      </w:r>
      <w:r>
        <w:rPr>
          <w:rFonts w:asciiTheme="majorHAnsi" w:hAnsiTheme="majorHAnsi"/>
          <w:sz w:val="24"/>
          <w:szCs w:val="24"/>
        </w:rPr>
        <w:t xml:space="preserve"> and $1 </w:t>
      </w:r>
      <w:r w:rsidRPr="00F9238A">
        <w:rPr>
          <w:rFonts w:asciiTheme="majorHAnsi" w:eastAsiaTheme="majorEastAsia" w:hAnsiTheme="majorHAnsi" w:cstheme="majorBidi"/>
          <w:bCs/>
          <w:color w:val="000000" w:themeColor="text1"/>
          <w:sz w:val="24"/>
          <w:szCs w:val="24"/>
        </w:rPr>
        <w:t>million</w:t>
      </w:r>
      <w:r>
        <w:rPr>
          <w:rFonts w:asciiTheme="majorHAnsi" w:hAnsiTheme="majorHAnsi"/>
          <w:sz w:val="24"/>
          <w:szCs w:val="24"/>
        </w:rPr>
        <w:t xml:space="preserve">, with those corporations representing </w:t>
      </w:r>
      <w:r>
        <w:rPr>
          <w:rFonts w:asciiTheme="majorHAnsi" w:eastAsiaTheme="majorEastAsia" w:hAnsiTheme="majorHAnsi" w:cstheme="majorBidi"/>
          <w:bCs/>
          <w:color w:val="000000" w:themeColor="text1"/>
          <w:sz w:val="24"/>
          <w:szCs w:val="24"/>
        </w:rPr>
        <w:t>1</w:t>
      </w:r>
      <w:r w:rsidR="00333803">
        <w:rPr>
          <w:rFonts w:asciiTheme="majorHAnsi" w:eastAsiaTheme="majorEastAsia" w:hAnsiTheme="majorHAnsi" w:cstheme="majorBidi"/>
          <w:bCs/>
          <w:color w:val="000000" w:themeColor="text1"/>
          <w:sz w:val="24"/>
          <w:szCs w:val="24"/>
        </w:rPr>
        <w:t>2.4</w:t>
      </w:r>
      <w:r>
        <w:rPr>
          <w:rFonts w:asciiTheme="majorHAnsi" w:eastAsiaTheme="majorEastAsia" w:hAnsiTheme="majorHAnsi" w:cstheme="majorBidi"/>
          <w:bCs/>
          <w:color w:val="000000" w:themeColor="text1"/>
          <w:sz w:val="24"/>
          <w:szCs w:val="24"/>
        </w:rPr>
        <w:t xml:space="preserve">% of the total tax </w:t>
      </w:r>
      <w:r w:rsidR="00333803">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of all </w:t>
      </w:r>
      <w:r w:rsidR="00333803">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 xml:space="preserve">tively impacted corporations. About </w:t>
      </w:r>
      <w:r w:rsidR="00333803">
        <w:rPr>
          <w:rFonts w:asciiTheme="majorHAnsi" w:eastAsiaTheme="majorEastAsia" w:hAnsiTheme="majorHAnsi" w:cstheme="majorBidi"/>
          <w:bCs/>
          <w:color w:val="000000" w:themeColor="text1"/>
          <w:sz w:val="24"/>
          <w:szCs w:val="24"/>
        </w:rPr>
        <w:t>1.6</w:t>
      </w:r>
      <w:r>
        <w:rPr>
          <w:rFonts w:asciiTheme="majorHAnsi" w:eastAsiaTheme="majorEastAsia" w:hAnsiTheme="majorHAnsi" w:cstheme="majorBidi"/>
          <w:bCs/>
          <w:color w:val="000000" w:themeColor="text1"/>
          <w:sz w:val="24"/>
          <w:szCs w:val="24"/>
        </w:rPr>
        <w:t xml:space="preserve">% of the </w:t>
      </w:r>
      <w:r w:rsidR="00333803">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 xml:space="preserve">tively impacted corporations had more than $10 million in taxable income, representing </w:t>
      </w:r>
      <w:r w:rsidR="00333803">
        <w:rPr>
          <w:rFonts w:asciiTheme="majorHAnsi" w:eastAsiaTheme="majorEastAsia" w:hAnsiTheme="majorHAnsi" w:cstheme="majorBidi"/>
          <w:bCs/>
          <w:color w:val="000000" w:themeColor="text1"/>
          <w:sz w:val="24"/>
          <w:szCs w:val="24"/>
        </w:rPr>
        <w:t>49.1</w:t>
      </w:r>
      <w:r>
        <w:rPr>
          <w:rFonts w:asciiTheme="majorHAnsi" w:eastAsiaTheme="majorEastAsia" w:hAnsiTheme="majorHAnsi" w:cstheme="majorBidi"/>
          <w:bCs/>
          <w:color w:val="000000" w:themeColor="text1"/>
          <w:sz w:val="24"/>
          <w:szCs w:val="24"/>
        </w:rPr>
        <w:t xml:space="preserve">% of the total tax </w:t>
      </w:r>
      <w:r w:rsidR="00333803">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of all </w:t>
      </w:r>
      <w:r w:rsidR="00333803">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 xml:space="preserve">tively impacted corporations and having the highest average tax </w:t>
      </w:r>
      <w:r w:rsidR="00333803">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of all </w:t>
      </w:r>
      <w:r w:rsidR="00333803">
        <w:rPr>
          <w:rFonts w:asciiTheme="majorHAnsi" w:eastAsiaTheme="majorEastAsia" w:hAnsiTheme="majorHAnsi" w:cstheme="majorBidi"/>
          <w:bCs/>
          <w:color w:val="000000" w:themeColor="text1"/>
          <w:sz w:val="24"/>
          <w:szCs w:val="24"/>
        </w:rPr>
        <w:t xml:space="preserve">negatively impacted corporations </w:t>
      </w:r>
      <w:r>
        <w:rPr>
          <w:rFonts w:asciiTheme="majorHAnsi" w:eastAsiaTheme="majorEastAsia" w:hAnsiTheme="majorHAnsi" w:cstheme="majorBidi"/>
          <w:bCs/>
          <w:color w:val="000000" w:themeColor="text1"/>
          <w:sz w:val="24"/>
          <w:szCs w:val="24"/>
        </w:rPr>
        <w:t>($</w:t>
      </w:r>
      <w:r w:rsidR="0002775A">
        <w:rPr>
          <w:rFonts w:asciiTheme="majorHAnsi" w:eastAsiaTheme="majorEastAsia" w:hAnsiTheme="majorHAnsi" w:cstheme="majorBidi"/>
          <w:bCs/>
          <w:color w:val="000000" w:themeColor="text1"/>
          <w:sz w:val="24"/>
          <w:szCs w:val="24"/>
        </w:rPr>
        <w:t>510,000</w:t>
      </w:r>
      <w:r>
        <w:rPr>
          <w:rFonts w:asciiTheme="majorHAnsi" w:eastAsiaTheme="majorEastAsia" w:hAnsiTheme="majorHAnsi" w:cstheme="majorBidi"/>
          <w:bCs/>
          <w:color w:val="000000" w:themeColor="text1"/>
          <w:sz w:val="24"/>
          <w:szCs w:val="24"/>
        </w:rPr>
        <w:t xml:space="preserve"> compared with $</w:t>
      </w:r>
      <w:r w:rsidR="0002775A">
        <w:rPr>
          <w:rFonts w:asciiTheme="majorHAnsi" w:eastAsiaTheme="majorEastAsia" w:hAnsiTheme="majorHAnsi" w:cstheme="majorBidi"/>
          <w:bCs/>
          <w:color w:val="000000" w:themeColor="text1"/>
          <w:sz w:val="24"/>
          <w:szCs w:val="24"/>
        </w:rPr>
        <w:t>16</w:t>
      </w:r>
      <w:r>
        <w:rPr>
          <w:rFonts w:asciiTheme="majorHAnsi" w:eastAsiaTheme="majorEastAsia" w:hAnsiTheme="majorHAnsi" w:cstheme="majorBidi"/>
          <w:bCs/>
          <w:color w:val="000000" w:themeColor="text1"/>
          <w:sz w:val="24"/>
          <w:szCs w:val="24"/>
        </w:rPr>
        <w:t xml:space="preserve">,000 for all </w:t>
      </w:r>
      <w:r w:rsidR="0016347E">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tively affected corporations).</w:t>
      </w:r>
    </w:p>
    <w:p w14:paraId="74D0CA1C" w14:textId="77777777" w:rsidR="00726280" w:rsidRDefault="00726280" w:rsidP="00726280">
      <w:pPr>
        <w:spacing w:after="0"/>
        <w:rPr>
          <w:rFonts w:asciiTheme="majorHAnsi" w:eastAsiaTheme="majorEastAsia" w:hAnsiTheme="majorHAnsi" w:cstheme="majorBidi"/>
          <w:bCs/>
          <w:color w:val="000000" w:themeColor="text1"/>
          <w:sz w:val="24"/>
          <w:szCs w:val="24"/>
        </w:rPr>
      </w:pPr>
    </w:p>
    <w:p w14:paraId="08E687A4" w14:textId="0B1C7AD8" w:rsidR="00726280" w:rsidRDefault="00726280" w:rsidP="00726280">
      <w:pPr>
        <w:tabs>
          <w:tab w:val="left" w:pos="1894"/>
        </w:tabs>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A1-6</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C537D2">
        <w:rPr>
          <w:rFonts w:asciiTheme="majorHAnsi" w:hAnsiTheme="majorHAnsi"/>
          <w:b/>
          <w:sz w:val="24"/>
          <w:szCs w:val="24"/>
        </w:rPr>
        <w:t>Increase</w:t>
      </w:r>
      <w:r>
        <w:rPr>
          <w:rFonts w:asciiTheme="majorHAnsi" w:hAnsiTheme="majorHAnsi"/>
          <w:b/>
          <w:sz w:val="24"/>
          <w:szCs w:val="24"/>
        </w:rPr>
        <w:t xml:space="preserve"> </w:t>
      </w:r>
      <w:r w:rsidRPr="008F4A2D">
        <w:rPr>
          <w:rFonts w:asciiTheme="majorHAnsi" w:hAnsiTheme="majorHAnsi"/>
          <w:b/>
          <w:sz w:val="24"/>
          <w:szCs w:val="24"/>
        </w:rPr>
        <w:t>by Taxable Income</w:t>
      </w:r>
      <w:r>
        <w:rPr>
          <w:rFonts w:asciiTheme="majorHAnsi" w:hAnsiTheme="majorHAnsi"/>
          <w:b/>
          <w:sz w:val="24"/>
          <w:szCs w:val="24"/>
        </w:rPr>
        <w:t xml:space="preserve"> Level</w:t>
      </w:r>
      <w:r w:rsidR="00C537D2">
        <w:rPr>
          <w:rFonts w:asciiTheme="majorHAnsi" w:hAnsiTheme="majorHAnsi"/>
          <w:b/>
          <w:sz w:val="24"/>
          <w:szCs w:val="24"/>
        </w:rPr>
        <w:t xml:space="preserve"> </w:t>
      </w:r>
      <w:r w:rsidR="00C537D2" w:rsidRPr="00107265">
        <w:rPr>
          <w:rStyle w:val="FootnoteReference"/>
          <w:rFonts w:eastAsiaTheme="majorEastAsia"/>
          <w:b/>
          <w:bCs/>
          <w:color w:val="000000" w:themeColor="text1"/>
        </w:rPr>
        <w:t>(1)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40"/>
        <w:gridCol w:w="1350"/>
        <w:gridCol w:w="1620"/>
        <w:gridCol w:w="1170"/>
        <w:gridCol w:w="1260"/>
      </w:tblGrid>
      <w:tr w:rsidR="00726280" w:rsidRPr="00D5431D" w14:paraId="6F4FFB82" w14:textId="77777777" w:rsidTr="00847706">
        <w:trPr>
          <w:trHeight w:val="1610"/>
          <w:jc w:val="center"/>
        </w:trPr>
        <w:tc>
          <w:tcPr>
            <w:tcW w:w="2515" w:type="dxa"/>
            <w:shd w:val="clear" w:color="auto" w:fill="B6DDE8" w:themeFill="accent5" w:themeFillTint="66"/>
            <w:vAlign w:val="center"/>
            <w:hideMark/>
          </w:tcPr>
          <w:p w14:paraId="0EEE4E9C" w14:textId="77777777" w:rsidR="00726280" w:rsidRPr="00EE5936" w:rsidRDefault="00726280" w:rsidP="00690837">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Taxable Income Range </w:t>
            </w:r>
          </w:p>
        </w:tc>
        <w:tc>
          <w:tcPr>
            <w:tcW w:w="1440" w:type="dxa"/>
            <w:shd w:val="clear" w:color="auto" w:fill="B6DDE8" w:themeFill="accent5" w:themeFillTint="66"/>
            <w:vAlign w:val="center"/>
            <w:hideMark/>
          </w:tcPr>
          <w:p w14:paraId="674A7AB4" w14:textId="1DDB8C59" w:rsidR="00726280" w:rsidRPr="00EE5936" w:rsidRDefault="00726280"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Number of </w:t>
            </w:r>
            <w:r w:rsidR="0016347E">
              <w:rPr>
                <w:rFonts w:ascii="Cambria" w:eastAsia="Times New Roman" w:hAnsi="Cambria" w:cs="Helvetica"/>
                <w:color w:val="000000"/>
                <w:sz w:val="20"/>
                <w:szCs w:val="20"/>
                <w:lang w:eastAsia="ko-KR"/>
              </w:rPr>
              <w:t>Negatively</w:t>
            </w:r>
            <w:r w:rsidR="0016347E" w:rsidRPr="00D5431D">
              <w:rPr>
                <w:rFonts w:ascii="Cambria" w:eastAsia="Times New Roman" w:hAnsi="Cambria" w:cs="Helvetica"/>
                <w:color w:val="000000"/>
                <w:sz w:val="20"/>
                <w:szCs w:val="20"/>
                <w:lang w:eastAsia="ko-KR"/>
              </w:rPr>
              <w:t xml:space="preserve"> </w:t>
            </w:r>
            <w:r w:rsidRPr="00D5431D">
              <w:rPr>
                <w:rFonts w:ascii="Cambria" w:eastAsia="Times New Roman" w:hAnsi="Cambria" w:cs="Helvetica"/>
                <w:color w:val="000000"/>
                <w:sz w:val="20"/>
                <w:szCs w:val="20"/>
                <w:lang w:eastAsia="ko-KR"/>
              </w:rPr>
              <w:t>Impacted Corporations</w:t>
            </w:r>
          </w:p>
        </w:tc>
        <w:tc>
          <w:tcPr>
            <w:tcW w:w="1350" w:type="dxa"/>
            <w:shd w:val="clear" w:color="auto" w:fill="B6DDE8" w:themeFill="accent5" w:themeFillTint="66"/>
            <w:vAlign w:val="center"/>
            <w:hideMark/>
          </w:tcPr>
          <w:p w14:paraId="2F5248E6" w14:textId="0AA3E61C" w:rsidR="00726280" w:rsidRPr="00EE5936" w:rsidRDefault="00726280" w:rsidP="00690837">
            <w:pPr>
              <w:spacing w:after="0" w:line="240" w:lineRule="auto"/>
              <w:jc w:val="center"/>
              <w:rPr>
                <w:rFonts w:ascii="Cambria" w:eastAsia="Times New Roman" w:hAnsi="Cambria" w:cs="Helvetica"/>
                <w:i/>
                <w:iCs/>
                <w:color w:val="000000"/>
                <w:sz w:val="20"/>
                <w:szCs w:val="20"/>
                <w:lang w:eastAsia="ko-KR"/>
              </w:rPr>
            </w:pPr>
            <w:r w:rsidRPr="00D5431D">
              <w:rPr>
                <w:rFonts w:ascii="Cambria" w:eastAsia="Times New Roman" w:hAnsi="Cambria" w:cs="Helvetica"/>
                <w:color w:val="000000"/>
                <w:sz w:val="20"/>
                <w:szCs w:val="20"/>
                <w:lang w:eastAsia="ko-KR"/>
              </w:rPr>
              <w:t xml:space="preserve">% of Total Number of </w:t>
            </w:r>
            <w:r w:rsidR="0016347E">
              <w:rPr>
                <w:rFonts w:ascii="Cambria" w:eastAsia="Times New Roman" w:hAnsi="Cambria" w:cs="Helvetica"/>
                <w:color w:val="000000"/>
                <w:sz w:val="20"/>
                <w:szCs w:val="20"/>
                <w:lang w:eastAsia="ko-KR"/>
              </w:rPr>
              <w:t>Negatively</w:t>
            </w:r>
            <w:r w:rsidR="0016347E" w:rsidRPr="00D5431D">
              <w:rPr>
                <w:rFonts w:ascii="Cambria" w:eastAsia="Times New Roman" w:hAnsi="Cambria" w:cs="Helvetica"/>
                <w:color w:val="000000"/>
                <w:sz w:val="20"/>
                <w:szCs w:val="20"/>
                <w:lang w:eastAsia="ko-KR"/>
              </w:rPr>
              <w:t xml:space="preserve"> </w:t>
            </w:r>
            <w:r w:rsidRPr="00D5431D">
              <w:rPr>
                <w:rFonts w:ascii="Cambria" w:eastAsia="Times New Roman" w:hAnsi="Cambria" w:cs="Helvetica"/>
                <w:color w:val="000000"/>
                <w:sz w:val="20"/>
                <w:szCs w:val="20"/>
                <w:lang w:eastAsia="ko-KR"/>
              </w:rPr>
              <w:t>Impacted Corporations</w:t>
            </w:r>
          </w:p>
        </w:tc>
        <w:tc>
          <w:tcPr>
            <w:tcW w:w="1620" w:type="dxa"/>
            <w:shd w:val="clear" w:color="auto" w:fill="B6DDE8" w:themeFill="accent5" w:themeFillTint="66"/>
            <w:vAlign w:val="center"/>
            <w:hideMark/>
          </w:tcPr>
          <w:p w14:paraId="02C35C8D" w14:textId="6965C8CD" w:rsidR="00726280" w:rsidRPr="00EE5936" w:rsidRDefault="00726280"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r w:rsidRPr="00D5431D">
              <w:rPr>
                <w:rFonts w:ascii="Cambria" w:eastAsia="Times New Roman" w:hAnsi="Cambria" w:cs="Helvetica"/>
                <w:color w:val="000000"/>
                <w:sz w:val="20"/>
                <w:szCs w:val="20"/>
                <w:lang w:eastAsia="ko-KR"/>
              </w:rPr>
              <w:t xml:space="preserve"> using Formulas with </w:t>
            </w:r>
            <w:r>
              <w:rPr>
                <w:rFonts w:ascii="Cambria" w:eastAsia="Times New Roman" w:hAnsi="Cambria" w:cs="Helvetica"/>
                <w:color w:val="000000"/>
                <w:sz w:val="20"/>
                <w:szCs w:val="20"/>
                <w:lang w:eastAsia="ko-KR"/>
              </w:rPr>
              <w:t>Higher</w:t>
            </w:r>
            <w:r w:rsidRPr="00D5431D">
              <w:rPr>
                <w:rFonts w:ascii="Cambria" w:eastAsia="Times New Roman" w:hAnsi="Cambria" w:cs="Helvetica"/>
                <w:color w:val="000000"/>
                <w:sz w:val="20"/>
                <w:szCs w:val="20"/>
                <w:lang w:eastAsia="ko-KR"/>
              </w:rPr>
              <w:t xml:space="preserve"> Weighted Sales Factor ($000)</w:t>
            </w:r>
            <w:r w:rsidR="00C537D2">
              <w:rPr>
                <w:rFonts w:ascii="Cambria" w:eastAsia="Times New Roman" w:hAnsi="Cambria" w:cs="Helvetica"/>
                <w:color w:val="000000"/>
                <w:sz w:val="20"/>
                <w:szCs w:val="20"/>
                <w:lang w:eastAsia="ko-KR"/>
              </w:rPr>
              <w:t xml:space="preserve"> </w:t>
            </w:r>
            <w:r w:rsidR="00C537D2" w:rsidRPr="00107265">
              <w:rPr>
                <w:rStyle w:val="FootnoteReference"/>
                <w:rFonts w:eastAsiaTheme="majorEastAsia"/>
                <w:color w:val="000000" w:themeColor="text1"/>
              </w:rPr>
              <w:t>(2)</w:t>
            </w:r>
          </w:p>
        </w:tc>
        <w:tc>
          <w:tcPr>
            <w:tcW w:w="1170" w:type="dxa"/>
            <w:shd w:val="clear" w:color="auto" w:fill="B6DDE8" w:themeFill="accent5" w:themeFillTint="66"/>
            <w:vAlign w:val="center"/>
            <w:hideMark/>
          </w:tcPr>
          <w:p w14:paraId="1BC23B28" w14:textId="1CA3AF97" w:rsidR="00726280" w:rsidRPr="00EE5936" w:rsidRDefault="00726280" w:rsidP="00690837">
            <w:pPr>
              <w:spacing w:after="0" w:line="240" w:lineRule="auto"/>
              <w:jc w:val="center"/>
              <w:rPr>
                <w:rFonts w:ascii="Cambria" w:eastAsia="Times New Roman" w:hAnsi="Cambria" w:cs="Helvetica"/>
                <w:i/>
                <w:iCs/>
                <w:color w:val="000000"/>
                <w:sz w:val="20"/>
                <w:szCs w:val="20"/>
                <w:lang w:eastAsia="ko-KR"/>
              </w:rPr>
            </w:pPr>
            <w:r w:rsidRPr="00D5431D">
              <w:rPr>
                <w:rFonts w:ascii="Cambria" w:eastAsia="Times New Roman" w:hAnsi="Cambria" w:cs="Helvetica"/>
                <w:color w:val="000000"/>
                <w:sz w:val="20"/>
                <w:szCs w:val="20"/>
                <w:lang w:eastAsia="ko-KR"/>
              </w:rPr>
              <w:t xml:space="preserve">% of Total 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p>
        </w:tc>
        <w:tc>
          <w:tcPr>
            <w:tcW w:w="1260" w:type="dxa"/>
            <w:shd w:val="clear" w:color="auto" w:fill="B6DDE8" w:themeFill="accent5" w:themeFillTint="66"/>
            <w:vAlign w:val="center"/>
            <w:hideMark/>
          </w:tcPr>
          <w:p w14:paraId="05642E47" w14:textId="727F3E23" w:rsidR="00726280" w:rsidRPr="00EE5936" w:rsidRDefault="00726280" w:rsidP="00690837">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r w:rsidRPr="00D5431D">
              <w:rPr>
                <w:rFonts w:ascii="Cambria" w:eastAsia="Times New Roman" w:hAnsi="Cambria" w:cs="Helvetica"/>
                <w:color w:val="000000"/>
                <w:sz w:val="20"/>
                <w:szCs w:val="20"/>
                <w:lang w:eastAsia="ko-KR"/>
              </w:rPr>
              <w:t xml:space="preserve"> per</w:t>
            </w:r>
            <w:r w:rsidR="0016347E">
              <w:rPr>
                <w:rFonts w:ascii="Cambria" w:eastAsia="Times New Roman" w:hAnsi="Cambria" w:cs="Helvetica"/>
                <w:color w:val="000000"/>
                <w:sz w:val="20"/>
                <w:szCs w:val="20"/>
                <w:lang w:eastAsia="ko-KR"/>
              </w:rPr>
              <w:t xml:space="preserve"> Negatively</w:t>
            </w:r>
            <w:r w:rsidRPr="00D5431D">
              <w:rPr>
                <w:rFonts w:ascii="Cambria" w:eastAsia="Times New Roman" w:hAnsi="Cambria" w:cs="Helvetica"/>
                <w:color w:val="000000"/>
                <w:sz w:val="20"/>
                <w:szCs w:val="20"/>
                <w:lang w:eastAsia="ko-KR"/>
              </w:rPr>
              <w:t xml:space="preserve"> Impacted Corporation ($000)</w:t>
            </w:r>
            <w:r w:rsidR="00C537D2">
              <w:rPr>
                <w:rFonts w:ascii="Cambria" w:eastAsia="Times New Roman" w:hAnsi="Cambria" w:cs="Helvetica"/>
                <w:color w:val="000000"/>
                <w:sz w:val="20"/>
                <w:szCs w:val="20"/>
                <w:lang w:eastAsia="ko-KR"/>
              </w:rPr>
              <w:t xml:space="preserve"> </w:t>
            </w:r>
            <w:r w:rsidR="00C537D2" w:rsidRPr="00107265">
              <w:rPr>
                <w:rStyle w:val="FootnoteReference"/>
                <w:rFonts w:eastAsiaTheme="majorEastAsia"/>
                <w:color w:val="000000" w:themeColor="text1"/>
              </w:rPr>
              <w:t>(2)</w:t>
            </w:r>
          </w:p>
        </w:tc>
      </w:tr>
      <w:tr w:rsidR="00D15853" w:rsidRPr="00D5431D" w14:paraId="29FCBB33" w14:textId="77777777" w:rsidTr="00847706">
        <w:trPr>
          <w:trHeight w:val="240"/>
          <w:jc w:val="center"/>
        </w:trPr>
        <w:tc>
          <w:tcPr>
            <w:tcW w:w="2515" w:type="dxa"/>
            <w:shd w:val="clear" w:color="auto" w:fill="auto"/>
            <w:vAlign w:val="center"/>
            <w:hideMark/>
          </w:tcPr>
          <w:p w14:paraId="6A70A063"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0 to $9,999</w:t>
            </w:r>
          </w:p>
        </w:tc>
        <w:tc>
          <w:tcPr>
            <w:tcW w:w="1440" w:type="dxa"/>
            <w:shd w:val="clear" w:color="auto" w:fill="auto"/>
            <w:vAlign w:val="center"/>
            <w:hideMark/>
          </w:tcPr>
          <w:p w14:paraId="7DC5E109" w14:textId="31D153C4"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1,165</w:t>
            </w:r>
          </w:p>
        </w:tc>
        <w:tc>
          <w:tcPr>
            <w:tcW w:w="1350" w:type="dxa"/>
            <w:shd w:val="clear" w:color="auto" w:fill="auto"/>
            <w:vAlign w:val="center"/>
            <w:hideMark/>
          </w:tcPr>
          <w:p w14:paraId="2B5705C4" w14:textId="7F27FBC5"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12.1%</w:t>
            </w:r>
          </w:p>
        </w:tc>
        <w:tc>
          <w:tcPr>
            <w:tcW w:w="1620" w:type="dxa"/>
            <w:shd w:val="clear" w:color="auto" w:fill="auto"/>
            <w:vAlign w:val="center"/>
            <w:hideMark/>
          </w:tcPr>
          <w:p w14:paraId="4484EE78" w14:textId="6744AFCD"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$223.1</w:t>
            </w:r>
          </w:p>
        </w:tc>
        <w:tc>
          <w:tcPr>
            <w:tcW w:w="1170" w:type="dxa"/>
            <w:shd w:val="clear" w:color="auto" w:fill="auto"/>
            <w:vAlign w:val="center"/>
            <w:hideMark/>
          </w:tcPr>
          <w:p w14:paraId="3ABD4943" w14:textId="4D1DDB35"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0.1%</w:t>
            </w:r>
          </w:p>
        </w:tc>
        <w:tc>
          <w:tcPr>
            <w:tcW w:w="1260" w:type="dxa"/>
            <w:shd w:val="clear" w:color="auto" w:fill="auto"/>
            <w:vAlign w:val="center"/>
            <w:hideMark/>
          </w:tcPr>
          <w:p w14:paraId="0AB056C0" w14:textId="6AF7DDFB"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w:t>
            </w:r>
            <w:r w:rsidR="0016347E" w:rsidRPr="00847706">
              <w:rPr>
                <w:rFonts w:ascii="Cambria" w:hAnsi="Cambria" w:cs="Helvetica"/>
                <w:sz w:val="20"/>
                <w:szCs w:val="20"/>
              </w:rPr>
              <w:t>0</w:t>
            </w:r>
          </w:p>
        </w:tc>
      </w:tr>
      <w:tr w:rsidR="00D15853" w:rsidRPr="00D5431D" w14:paraId="3CE76063" w14:textId="77777777" w:rsidTr="00847706">
        <w:trPr>
          <w:trHeight w:val="410"/>
          <w:jc w:val="center"/>
        </w:trPr>
        <w:tc>
          <w:tcPr>
            <w:tcW w:w="2515" w:type="dxa"/>
            <w:shd w:val="clear" w:color="auto" w:fill="auto"/>
            <w:vAlign w:val="center"/>
            <w:hideMark/>
          </w:tcPr>
          <w:p w14:paraId="5FA656E3"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 to $99,999</w:t>
            </w:r>
          </w:p>
        </w:tc>
        <w:tc>
          <w:tcPr>
            <w:tcW w:w="1440" w:type="dxa"/>
            <w:shd w:val="clear" w:color="auto" w:fill="auto"/>
            <w:vAlign w:val="center"/>
            <w:hideMark/>
          </w:tcPr>
          <w:p w14:paraId="0B60279F" w14:textId="46875C25"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4,081</w:t>
            </w:r>
          </w:p>
        </w:tc>
        <w:tc>
          <w:tcPr>
            <w:tcW w:w="1350" w:type="dxa"/>
            <w:shd w:val="clear" w:color="auto" w:fill="auto"/>
            <w:vAlign w:val="center"/>
            <w:hideMark/>
          </w:tcPr>
          <w:p w14:paraId="02DCBA7C" w14:textId="23DA26BD"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42.3%</w:t>
            </w:r>
          </w:p>
        </w:tc>
        <w:tc>
          <w:tcPr>
            <w:tcW w:w="1620" w:type="dxa"/>
            <w:shd w:val="clear" w:color="auto" w:fill="auto"/>
            <w:vAlign w:val="center"/>
            <w:hideMark/>
          </w:tcPr>
          <w:p w14:paraId="68EAD19B" w14:textId="202CFDA1"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$2,908.0</w:t>
            </w:r>
          </w:p>
        </w:tc>
        <w:tc>
          <w:tcPr>
            <w:tcW w:w="1170" w:type="dxa"/>
            <w:shd w:val="clear" w:color="auto" w:fill="auto"/>
            <w:vAlign w:val="center"/>
            <w:hideMark/>
          </w:tcPr>
          <w:p w14:paraId="137807BF" w14:textId="2C78F2FA"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1.8%</w:t>
            </w:r>
          </w:p>
        </w:tc>
        <w:tc>
          <w:tcPr>
            <w:tcW w:w="1260" w:type="dxa"/>
            <w:shd w:val="clear" w:color="auto" w:fill="auto"/>
            <w:vAlign w:val="center"/>
            <w:hideMark/>
          </w:tcPr>
          <w:p w14:paraId="7ECDEC18" w14:textId="3391E93F"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w:t>
            </w:r>
          </w:p>
        </w:tc>
      </w:tr>
      <w:tr w:rsidR="00D15853" w:rsidRPr="00D5431D" w14:paraId="5A7D5200" w14:textId="77777777" w:rsidTr="00847706">
        <w:trPr>
          <w:trHeight w:val="440"/>
          <w:jc w:val="center"/>
        </w:trPr>
        <w:tc>
          <w:tcPr>
            <w:tcW w:w="2515" w:type="dxa"/>
            <w:shd w:val="clear" w:color="auto" w:fill="auto"/>
            <w:vAlign w:val="center"/>
            <w:hideMark/>
          </w:tcPr>
          <w:p w14:paraId="13697F9F"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 to $999,999</w:t>
            </w:r>
          </w:p>
        </w:tc>
        <w:tc>
          <w:tcPr>
            <w:tcW w:w="1440" w:type="dxa"/>
            <w:shd w:val="clear" w:color="auto" w:fill="auto"/>
            <w:vAlign w:val="center"/>
            <w:hideMark/>
          </w:tcPr>
          <w:p w14:paraId="5151BF71" w14:textId="51E6DE64"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3,179</w:t>
            </w:r>
          </w:p>
        </w:tc>
        <w:tc>
          <w:tcPr>
            <w:tcW w:w="1350" w:type="dxa"/>
            <w:shd w:val="clear" w:color="auto" w:fill="auto"/>
            <w:vAlign w:val="center"/>
            <w:hideMark/>
          </w:tcPr>
          <w:p w14:paraId="482A333C" w14:textId="557CF7C3"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33.0%</w:t>
            </w:r>
          </w:p>
        </w:tc>
        <w:tc>
          <w:tcPr>
            <w:tcW w:w="1620" w:type="dxa"/>
            <w:shd w:val="clear" w:color="auto" w:fill="auto"/>
            <w:vAlign w:val="center"/>
            <w:hideMark/>
          </w:tcPr>
          <w:p w14:paraId="15FC4ED4" w14:textId="63F30E1A"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$19,669.8</w:t>
            </w:r>
          </w:p>
        </w:tc>
        <w:tc>
          <w:tcPr>
            <w:tcW w:w="1170" w:type="dxa"/>
            <w:shd w:val="clear" w:color="auto" w:fill="auto"/>
            <w:vAlign w:val="center"/>
            <w:hideMark/>
          </w:tcPr>
          <w:p w14:paraId="0B68E02E" w14:textId="4EC668BC"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12.4%</w:t>
            </w:r>
          </w:p>
        </w:tc>
        <w:tc>
          <w:tcPr>
            <w:tcW w:w="1260" w:type="dxa"/>
            <w:shd w:val="clear" w:color="auto" w:fill="auto"/>
            <w:vAlign w:val="center"/>
            <w:hideMark/>
          </w:tcPr>
          <w:p w14:paraId="516CEAEC" w14:textId="7EF0C96A"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$6</w:t>
            </w:r>
          </w:p>
        </w:tc>
      </w:tr>
      <w:tr w:rsidR="00D15853" w:rsidRPr="00D5431D" w14:paraId="43B6E249" w14:textId="77777777" w:rsidTr="00847706">
        <w:trPr>
          <w:trHeight w:val="430"/>
          <w:jc w:val="center"/>
        </w:trPr>
        <w:tc>
          <w:tcPr>
            <w:tcW w:w="2515" w:type="dxa"/>
            <w:shd w:val="clear" w:color="auto" w:fill="auto"/>
            <w:vAlign w:val="center"/>
            <w:hideMark/>
          </w:tcPr>
          <w:p w14:paraId="14BFA3EB"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$1,000,000 to $9,999,99</w:t>
            </w:r>
          </w:p>
        </w:tc>
        <w:tc>
          <w:tcPr>
            <w:tcW w:w="1440" w:type="dxa"/>
            <w:shd w:val="clear" w:color="auto" w:fill="auto"/>
            <w:vAlign w:val="center"/>
            <w:hideMark/>
          </w:tcPr>
          <w:p w14:paraId="170020A7" w14:textId="20EE9233"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1,062</w:t>
            </w:r>
          </w:p>
        </w:tc>
        <w:tc>
          <w:tcPr>
            <w:tcW w:w="1350" w:type="dxa"/>
            <w:shd w:val="clear" w:color="auto" w:fill="auto"/>
            <w:vAlign w:val="center"/>
            <w:hideMark/>
          </w:tcPr>
          <w:p w14:paraId="7AF15592" w14:textId="67465435"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11.0%</w:t>
            </w:r>
          </w:p>
        </w:tc>
        <w:tc>
          <w:tcPr>
            <w:tcW w:w="1620" w:type="dxa"/>
            <w:shd w:val="clear" w:color="auto" w:fill="auto"/>
            <w:vAlign w:val="center"/>
            <w:hideMark/>
          </w:tcPr>
          <w:p w14:paraId="176CB701" w14:textId="3BDE59A0"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$58,008.8</w:t>
            </w:r>
          </w:p>
        </w:tc>
        <w:tc>
          <w:tcPr>
            <w:tcW w:w="1170" w:type="dxa"/>
            <w:shd w:val="clear" w:color="auto" w:fill="auto"/>
            <w:vAlign w:val="center"/>
            <w:hideMark/>
          </w:tcPr>
          <w:p w14:paraId="40B569AB" w14:textId="7D72B151"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36.5%</w:t>
            </w:r>
          </w:p>
        </w:tc>
        <w:tc>
          <w:tcPr>
            <w:tcW w:w="1260" w:type="dxa"/>
            <w:shd w:val="clear" w:color="auto" w:fill="auto"/>
            <w:vAlign w:val="center"/>
            <w:hideMark/>
          </w:tcPr>
          <w:p w14:paraId="0AA3A9D4" w14:textId="6680C145"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$55</w:t>
            </w:r>
          </w:p>
        </w:tc>
      </w:tr>
      <w:tr w:rsidR="00D15853" w:rsidRPr="00D5431D" w14:paraId="073575E6" w14:textId="77777777" w:rsidTr="00847706">
        <w:trPr>
          <w:trHeight w:val="490"/>
          <w:jc w:val="center"/>
        </w:trPr>
        <w:tc>
          <w:tcPr>
            <w:tcW w:w="2515" w:type="dxa"/>
            <w:shd w:val="clear" w:color="auto" w:fill="auto"/>
            <w:vAlign w:val="center"/>
            <w:hideMark/>
          </w:tcPr>
          <w:p w14:paraId="5A13F42B"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$10,000,000 or more</w:t>
            </w:r>
          </w:p>
        </w:tc>
        <w:tc>
          <w:tcPr>
            <w:tcW w:w="1440" w:type="dxa"/>
            <w:shd w:val="clear" w:color="auto" w:fill="auto"/>
            <w:vAlign w:val="center"/>
            <w:hideMark/>
          </w:tcPr>
          <w:p w14:paraId="4A8AF3CE" w14:textId="7B6B6945"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153</w:t>
            </w:r>
          </w:p>
        </w:tc>
        <w:tc>
          <w:tcPr>
            <w:tcW w:w="1350" w:type="dxa"/>
            <w:shd w:val="clear" w:color="auto" w:fill="auto"/>
            <w:vAlign w:val="center"/>
            <w:hideMark/>
          </w:tcPr>
          <w:p w14:paraId="4FB80C0A" w14:textId="0E0273D4"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1.6%</w:t>
            </w:r>
          </w:p>
        </w:tc>
        <w:tc>
          <w:tcPr>
            <w:tcW w:w="1620" w:type="dxa"/>
            <w:shd w:val="clear" w:color="auto" w:fill="auto"/>
            <w:vAlign w:val="center"/>
            <w:hideMark/>
          </w:tcPr>
          <w:p w14:paraId="62B2AC2E" w14:textId="2FED7651"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$77,986.6</w:t>
            </w:r>
          </w:p>
        </w:tc>
        <w:tc>
          <w:tcPr>
            <w:tcW w:w="1170" w:type="dxa"/>
            <w:shd w:val="clear" w:color="auto" w:fill="auto"/>
            <w:vAlign w:val="center"/>
            <w:hideMark/>
          </w:tcPr>
          <w:p w14:paraId="7B8444A9" w14:textId="23993944"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49.1%</w:t>
            </w:r>
          </w:p>
        </w:tc>
        <w:tc>
          <w:tcPr>
            <w:tcW w:w="1260" w:type="dxa"/>
            <w:shd w:val="clear" w:color="auto" w:fill="auto"/>
            <w:vAlign w:val="center"/>
            <w:hideMark/>
          </w:tcPr>
          <w:p w14:paraId="1C4B1370" w14:textId="74BB878E"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$510</w:t>
            </w:r>
          </w:p>
        </w:tc>
      </w:tr>
      <w:tr w:rsidR="00D15853" w:rsidRPr="00D5431D" w14:paraId="073A24A2" w14:textId="77777777" w:rsidTr="00847706">
        <w:trPr>
          <w:trHeight w:val="340"/>
          <w:jc w:val="center"/>
        </w:trPr>
        <w:tc>
          <w:tcPr>
            <w:tcW w:w="2515" w:type="dxa"/>
            <w:shd w:val="clear" w:color="auto" w:fill="auto"/>
            <w:vAlign w:val="center"/>
            <w:hideMark/>
          </w:tcPr>
          <w:p w14:paraId="28F8B39A"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Total or average</w:t>
            </w:r>
          </w:p>
        </w:tc>
        <w:tc>
          <w:tcPr>
            <w:tcW w:w="1440" w:type="dxa"/>
            <w:shd w:val="clear" w:color="auto" w:fill="auto"/>
            <w:vAlign w:val="center"/>
            <w:hideMark/>
          </w:tcPr>
          <w:p w14:paraId="680ED384" w14:textId="62B2657D"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9,640</w:t>
            </w:r>
          </w:p>
        </w:tc>
        <w:tc>
          <w:tcPr>
            <w:tcW w:w="1350" w:type="dxa"/>
            <w:shd w:val="clear" w:color="auto" w:fill="auto"/>
            <w:vAlign w:val="center"/>
            <w:hideMark/>
          </w:tcPr>
          <w:p w14:paraId="1BD54E1D" w14:textId="4EDCC575"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620" w:type="dxa"/>
            <w:shd w:val="clear" w:color="auto" w:fill="auto"/>
            <w:vAlign w:val="center"/>
            <w:hideMark/>
          </w:tcPr>
          <w:p w14:paraId="61227C3C" w14:textId="59E7BA9E"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$158,796.3</w:t>
            </w:r>
          </w:p>
        </w:tc>
        <w:tc>
          <w:tcPr>
            <w:tcW w:w="1170" w:type="dxa"/>
            <w:shd w:val="clear" w:color="auto" w:fill="auto"/>
            <w:vAlign w:val="center"/>
            <w:hideMark/>
          </w:tcPr>
          <w:p w14:paraId="0304F180" w14:textId="54323022"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260" w:type="dxa"/>
            <w:shd w:val="clear" w:color="auto" w:fill="auto"/>
            <w:vAlign w:val="center"/>
            <w:hideMark/>
          </w:tcPr>
          <w:p w14:paraId="6FB17DF5" w14:textId="159E897B"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$16</w:t>
            </w:r>
          </w:p>
        </w:tc>
      </w:tr>
    </w:tbl>
    <w:p w14:paraId="5C9C125F" w14:textId="77777777" w:rsidR="00726280" w:rsidRPr="00613824" w:rsidRDefault="00726280" w:rsidP="00726280">
      <w:pPr>
        <w:tabs>
          <w:tab w:val="left" w:pos="7050"/>
        </w:tabs>
        <w:spacing w:after="0"/>
        <w:rPr>
          <w:rFonts w:asciiTheme="majorHAnsi" w:eastAsiaTheme="majorEastAsia" w:hAnsiTheme="majorHAnsi" w:cstheme="majorBidi"/>
          <w:bCs/>
          <w:color w:val="000000" w:themeColor="text1"/>
          <w:sz w:val="18"/>
          <w:szCs w:val="18"/>
        </w:rPr>
      </w:pPr>
      <w:r w:rsidRPr="00613824">
        <w:rPr>
          <w:rFonts w:asciiTheme="majorHAnsi" w:eastAsiaTheme="majorEastAsia" w:hAnsiTheme="majorHAnsi" w:cstheme="majorBidi"/>
          <w:bCs/>
          <w:color w:val="000000" w:themeColor="text1"/>
          <w:sz w:val="18"/>
          <w:szCs w:val="18"/>
        </w:rPr>
        <w:lastRenderedPageBreak/>
        <w:t xml:space="preserve">  Source: Department of Revenue (2017 corporate excise return)</w:t>
      </w:r>
    </w:p>
    <w:p w14:paraId="6A79B734" w14:textId="77777777" w:rsidR="00726280" w:rsidRPr="00613824" w:rsidRDefault="00726280" w:rsidP="00726280">
      <w:pPr>
        <w:spacing w:after="0"/>
        <w:rPr>
          <w:rFonts w:asciiTheme="majorHAnsi" w:hAnsiTheme="majorHAnsi"/>
          <w:bCs/>
          <w:sz w:val="18"/>
          <w:szCs w:val="18"/>
        </w:rPr>
      </w:pPr>
      <w:r w:rsidRPr="00613824">
        <w:rPr>
          <w:rFonts w:asciiTheme="majorHAnsi" w:hAnsiTheme="majorHAnsi"/>
          <w:sz w:val="18"/>
          <w:szCs w:val="18"/>
        </w:rPr>
        <w:t xml:space="preserve">  Note: 1. The data</w:t>
      </w:r>
      <w:r w:rsidRPr="00613824">
        <w:rPr>
          <w:rFonts w:asciiTheme="majorHAnsi" w:hAnsiTheme="majorHAnsi"/>
          <w:bCs/>
          <w:sz w:val="18"/>
          <w:szCs w:val="18"/>
        </w:rPr>
        <w:t xml:space="preserve"> are preliminary and subject to </w:t>
      </w:r>
      <w:r w:rsidRPr="00613824">
        <w:rPr>
          <w:rFonts w:ascii="Cambria" w:eastAsia="Times New Roman" w:hAnsi="Cambria" w:cs="Helvetica"/>
          <w:color w:val="000000"/>
          <w:sz w:val="18"/>
          <w:szCs w:val="18"/>
          <w:lang w:eastAsia="ko-KR"/>
        </w:rPr>
        <w:t>change</w:t>
      </w:r>
      <w:r w:rsidRPr="00613824">
        <w:rPr>
          <w:rFonts w:asciiTheme="majorHAnsi" w:hAnsiTheme="majorHAnsi"/>
          <w:bCs/>
          <w:sz w:val="18"/>
          <w:szCs w:val="18"/>
        </w:rPr>
        <w:t xml:space="preserve">. </w:t>
      </w:r>
    </w:p>
    <w:p w14:paraId="01C00E32" w14:textId="19B819BB" w:rsidR="00726280" w:rsidRPr="00847706" w:rsidRDefault="00613824" w:rsidP="00726280">
      <w:pPr>
        <w:spacing w:after="0"/>
        <w:rPr>
          <w:rFonts w:asciiTheme="majorHAnsi" w:eastAsiaTheme="majorEastAsia" w:hAnsiTheme="majorHAnsi" w:cstheme="majorBidi"/>
          <w:bCs/>
          <w:color w:val="000000" w:themeColor="text1"/>
          <w:sz w:val="18"/>
          <w:szCs w:val="18"/>
        </w:rPr>
      </w:pPr>
      <w:r w:rsidRPr="00613824">
        <w:rPr>
          <w:rFonts w:asciiTheme="majorHAnsi" w:hAnsiTheme="majorHAnsi"/>
          <w:bCs/>
          <w:sz w:val="18"/>
          <w:szCs w:val="18"/>
        </w:rPr>
        <w:t xml:space="preserve">             </w:t>
      </w:r>
      <w:r w:rsidR="00726280" w:rsidRPr="00613824">
        <w:rPr>
          <w:rFonts w:asciiTheme="majorHAnsi" w:hAnsiTheme="majorHAnsi"/>
          <w:bCs/>
          <w:sz w:val="18"/>
          <w:szCs w:val="18"/>
        </w:rPr>
        <w:t xml:space="preserve">2. </w:t>
      </w:r>
      <w:r w:rsidR="00265886">
        <w:rPr>
          <w:rFonts w:asciiTheme="majorHAnsi" w:hAnsiTheme="majorHAnsi"/>
          <w:bCs/>
          <w:sz w:val="18"/>
          <w:szCs w:val="18"/>
        </w:rPr>
        <w:t>P</w:t>
      </w:r>
      <w:r w:rsidR="00BB1B5B" w:rsidRPr="00613824">
        <w:rPr>
          <w:rFonts w:asciiTheme="majorHAnsi" w:hAnsiTheme="majorHAnsi"/>
          <w:bCs/>
          <w:sz w:val="18"/>
          <w:szCs w:val="18"/>
        </w:rPr>
        <w:t>ositive numbers indicate that taxpayers owe more tax using formulas with higher weighted sales factor than using the formula with equal-weighted factors.</w:t>
      </w:r>
    </w:p>
    <w:p w14:paraId="3FED3B34" w14:textId="77777777" w:rsidR="00726280" w:rsidRDefault="00726280" w:rsidP="00726280">
      <w:pPr>
        <w:spacing w:after="0"/>
        <w:rPr>
          <w:rFonts w:asciiTheme="majorHAnsi" w:eastAsiaTheme="majorEastAsia" w:hAnsiTheme="majorHAnsi" w:cstheme="majorBidi"/>
          <w:bCs/>
          <w:color w:val="000000" w:themeColor="text1"/>
          <w:sz w:val="24"/>
          <w:szCs w:val="24"/>
        </w:rPr>
      </w:pPr>
    </w:p>
    <w:p w14:paraId="0B0505B9" w14:textId="1D62DA54" w:rsidR="00726280" w:rsidRDefault="00726280" w:rsidP="00726280">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Table A1-</w:t>
      </w:r>
      <w:r w:rsidR="0002775A">
        <w:rPr>
          <w:rFonts w:asciiTheme="majorHAnsi" w:eastAsiaTheme="majorEastAsia" w:hAnsiTheme="majorHAnsi" w:cstheme="majorBidi"/>
          <w:bCs/>
          <w:color w:val="000000" w:themeColor="text1"/>
          <w:sz w:val="24"/>
          <w:szCs w:val="24"/>
        </w:rPr>
        <w:t>7</w:t>
      </w:r>
      <w:r>
        <w:rPr>
          <w:rFonts w:asciiTheme="majorHAnsi" w:eastAsiaTheme="majorEastAsia" w:hAnsiTheme="majorHAnsi" w:cstheme="majorBidi"/>
          <w:bCs/>
          <w:color w:val="000000" w:themeColor="text1"/>
          <w:sz w:val="24"/>
          <w:szCs w:val="24"/>
        </w:rPr>
        <w:t xml:space="preserve"> </w:t>
      </w:r>
      <w:r w:rsidR="00265886">
        <w:rPr>
          <w:rFonts w:asciiTheme="majorHAnsi" w:eastAsiaTheme="majorEastAsia" w:hAnsiTheme="majorHAnsi" w:cstheme="majorBidi"/>
          <w:bCs/>
          <w:color w:val="000000" w:themeColor="text1"/>
          <w:sz w:val="24"/>
          <w:szCs w:val="24"/>
        </w:rPr>
        <w:t xml:space="preserve">below </w:t>
      </w:r>
      <w:r>
        <w:rPr>
          <w:rFonts w:asciiTheme="majorHAnsi" w:eastAsiaTheme="majorEastAsia" w:hAnsiTheme="majorHAnsi" w:cstheme="majorBidi"/>
          <w:bCs/>
          <w:color w:val="000000" w:themeColor="text1"/>
          <w:sz w:val="24"/>
          <w:szCs w:val="24"/>
        </w:rPr>
        <w:t xml:space="preserve">shows that about </w:t>
      </w:r>
      <w:r w:rsidR="0002775A">
        <w:rPr>
          <w:rFonts w:asciiTheme="majorHAnsi" w:eastAsiaTheme="majorEastAsia" w:hAnsiTheme="majorHAnsi" w:cstheme="majorBidi"/>
          <w:bCs/>
          <w:color w:val="000000" w:themeColor="text1"/>
          <w:sz w:val="24"/>
          <w:szCs w:val="24"/>
        </w:rPr>
        <w:t>51</w:t>
      </w:r>
      <w:r>
        <w:rPr>
          <w:rFonts w:asciiTheme="majorHAnsi" w:eastAsiaTheme="majorEastAsia" w:hAnsiTheme="majorHAnsi" w:cstheme="majorBidi"/>
          <w:bCs/>
          <w:color w:val="000000" w:themeColor="text1"/>
          <w:sz w:val="24"/>
          <w:szCs w:val="24"/>
        </w:rPr>
        <w:t xml:space="preserve">.9% of the </w:t>
      </w:r>
      <w:r w:rsidR="0002775A">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 xml:space="preserve">tively impacted corporations had fewer than 5 employees, and these corporations represented </w:t>
      </w:r>
      <w:r w:rsidR="0002775A">
        <w:rPr>
          <w:rFonts w:asciiTheme="majorHAnsi" w:eastAsiaTheme="majorEastAsia" w:hAnsiTheme="majorHAnsi" w:cstheme="majorBidi"/>
          <w:bCs/>
          <w:color w:val="000000" w:themeColor="text1"/>
          <w:sz w:val="24"/>
          <w:szCs w:val="24"/>
        </w:rPr>
        <w:t>3</w:t>
      </w:r>
      <w:r>
        <w:rPr>
          <w:rFonts w:asciiTheme="majorHAnsi" w:eastAsiaTheme="majorEastAsia" w:hAnsiTheme="majorHAnsi" w:cstheme="majorBidi"/>
          <w:bCs/>
          <w:color w:val="000000" w:themeColor="text1"/>
          <w:sz w:val="24"/>
          <w:szCs w:val="24"/>
        </w:rPr>
        <w:t>1.</w:t>
      </w:r>
      <w:r w:rsidR="0002775A">
        <w:rPr>
          <w:rFonts w:asciiTheme="majorHAnsi" w:eastAsiaTheme="majorEastAsia" w:hAnsiTheme="majorHAnsi" w:cstheme="majorBidi"/>
          <w:bCs/>
          <w:color w:val="000000" w:themeColor="text1"/>
          <w:sz w:val="24"/>
          <w:szCs w:val="24"/>
        </w:rPr>
        <w:t>6</w:t>
      </w:r>
      <w:r>
        <w:rPr>
          <w:rFonts w:asciiTheme="majorHAnsi" w:eastAsiaTheme="majorEastAsia" w:hAnsiTheme="majorHAnsi" w:cstheme="majorBidi"/>
          <w:bCs/>
          <w:color w:val="000000" w:themeColor="text1"/>
          <w:sz w:val="24"/>
          <w:szCs w:val="24"/>
        </w:rPr>
        <w:t xml:space="preserve">% of the total tax </w:t>
      </w:r>
      <w:r w:rsidR="0002775A">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of all </w:t>
      </w:r>
      <w:r w:rsidR="0002775A">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 xml:space="preserve">tively impacted corporations. About 9.9% of the </w:t>
      </w:r>
      <w:r w:rsidR="0002775A">
        <w:rPr>
          <w:rFonts w:asciiTheme="majorHAnsi" w:eastAsiaTheme="majorEastAsia" w:hAnsiTheme="majorHAnsi" w:cstheme="majorBidi"/>
          <w:bCs/>
          <w:color w:val="000000" w:themeColor="text1"/>
          <w:sz w:val="24"/>
          <w:szCs w:val="24"/>
        </w:rPr>
        <w:t>negatively</w:t>
      </w:r>
      <w:r>
        <w:rPr>
          <w:rFonts w:asciiTheme="majorHAnsi" w:eastAsiaTheme="majorEastAsia" w:hAnsiTheme="majorHAnsi" w:cstheme="majorBidi"/>
          <w:bCs/>
          <w:color w:val="000000" w:themeColor="text1"/>
          <w:sz w:val="24"/>
          <w:szCs w:val="24"/>
        </w:rPr>
        <w:t xml:space="preserve"> impacted corporations were corporations with 500 or more employees, representing </w:t>
      </w:r>
      <w:r w:rsidR="0002775A">
        <w:rPr>
          <w:rFonts w:asciiTheme="majorHAnsi" w:eastAsiaTheme="majorEastAsia" w:hAnsiTheme="majorHAnsi" w:cstheme="majorBidi"/>
          <w:bCs/>
          <w:color w:val="000000" w:themeColor="text1"/>
          <w:sz w:val="24"/>
          <w:szCs w:val="24"/>
        </w:rPr>
        <w:t>42.9</w:t>
      </w:r>
      <w:r>
        <w:rPr>
          <w:rFonts w:asciiTheme="majorHAnsi" w:eastAsiaTheme="majorEastAsia" w:hAnsiTheme="majorHAnsi" w:cstheme="majorBidi"/>
          <w:bCs/>
          <w:color w:val="000000" w:themeColor="text1"/>
          <w:sz w:val="24"/>
          <w:szCs w:val="24"/>
        </w:rPr>
        <w:t xml:space="preserve">% of the total tax </w:t>
      </w:r>
      <w:r w:rsidR="0002775A">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of a</w:t>
      </w:r>
      <w:r w:rsidR="0002775A">
        <w:rPr>
          <w:rFonts w:asciiTheme="majorHAnsi" w:eastAsiaTheme="majorEastAsia" w:hAnsiTheme="majorHAnsi" w:cstheme="majorBidi"/>
          <w:bCs/>
          <w:color w:val="000000" w:themeColor="text1"/>
          <w:sz w:val="24"/>
          <w:szCs w:val="24"/>
        </w:rPr>
        <w:t>ll nega</w:t>
      </w:r>
      <w:r>
        <w:rPr>
          <w:rFonts w:asciiTheme="majorHAnsi" w:eastAsiaTheme="majorEastAsia" w:hAnsiTheme="majorHAnsi" w:cstheme="majorBidi"/>
          <w:bCs/>
          <w:color w:val="000000" w:themeColor="text1"/>
          <w:sz w:val="24"/>
          <w:szCs w:val="24"/>
        </w:rPr>
        <w:t xml:space="preserve">tively impacted corporations and having the highest average tax </w:t>
      </w:r>
      <w:r w:rsidR="0002775A">
        <w:rPr>
          <w:rFonts w:asciiTheme="majorHAnsi" w:eastAsiaTheme="majorEastAsia" w:hAnsiTheme="majorHAnsi" w:cstheme="majorBidi"/>
          <w:bCs/>
          <w:color w:val="000000" w:themeColor="text1"/>
          <w:sz w:val="24"/>
          <w:szCs w:val="24"/>
        </w:rPr>
        <w:t xml:space="preserve">increase </w:t>
      </w:r>
      <w:r>
        <w:rPr>
          <w:rFonts w:asciiTheme="majorHAnsi" w:eastAsiaTheme="majorEastAsia" w:hAnsiTheme="majorHAnsi" w:cstheme="majorBidi"/>
          <w:bCs/>
          <w:color w:val="000000" w:themeColor="text1"/>
          <w:sz w:val="24"/>
          <w:szCs w:val="24"/>
        </w:rPr>
        <w:t xml:space="preserve">of all </w:t>
      </w:r>
      <w:r w:rsidR="0002775A">
        <w:rPr>
          <w:rFonts w:asciiTheme="majorHAnsi" w:eastAsiaTheme="majorEastAsia" w:hAnsiTheme="majorHAnsi" w:cstheme="majorBidi"/>
          <w:bCs/>
          <w:color w:val="000000" w:themeColor="text1"/>
          <w:sz w:val="24"/>
          <w:szCs w:val="24"/>
        </w:rPr>
        <w:t xml:space="preserve">negatively impacted corporations </w:t>
      </w:r>
      <w:r>
        <w:rPr>
          <w:rFonts w:asciiTheme="majorHAnsi" w:eastAsiaTheme="majorEastAsia" w:hAnsiTheme="majorHAnsi" w:cstheme="majorBidi"/>
          <w:bCs/>
          <w:color w:val="000000" w:themeColor="text1"/>
          <w:sz w:val="24"/>
          <w:szCs w:val="24"/>
        </w:rPr>
        <w:t>($</w:t>
      </w:r>
      <w:r w:rsidR="0002775A">
        <w:rPr>
          <w:rFonts w:asciiTheme="majorHAnsi" w:eastAsiaTheme="majorEastAsia" w:hAnsiTheme="majorHAnsi" w:cstheme="majorBidi"/>
          <w:bCs/>
          <w:color w:val="000000" w:themeColor="text1"/>
          <w:sz w:val="24"/>
          <w:szCs w:val="24"/>
        </w:rPr>
        <w:t>72</w:t>
      </w:r>
      <w:r>
        <w:rPr>
          <w:rFonts w:asciiTheme="majorHAnsi" w:eastAsiaTheme="majorEastAsia" w:hAnsiTheme="majorHAnsi" w:cstheme="majorBidi"/>
          <w:bCs/>
          <w:color w:val="000000" w:themeColor="text1"/>
          <w:sz w:val="24"/>
          <w:szCs w:val="24"/>
        </w:rPr>
        <w:t>,000 compared with $</w:t>
      </w:r>
      <w:r w:rsidR="0002775A">
        <w:rPr>
          <w:rFonts w:asciiTheme="majorHAnsi" w:eastAsiaTheme="majorEastAsia" w:hAnsiTheme="majorHAnsi" w:cstheme="majorBidi"/>
          <w:bCs/>
          <w:color w:val="000000" w:themeColor="text1"/>
          <w:sz w:val="24"/>
          <w:szCs w:val="24"/>
        </w:rPr>
        <w:t>16</w:t>
      </w:r>
      <w:r>
        <w:rPr>
          <w:rFonts w:asciiTheme="majorHAnsi" w:eastAsiaTheme="majorEastAsia" w:hAnsiTheme="majorHAnsi" w:cstheme="majorBidi"/>
          <w:bCs/>
          <w:color w:val="000000" w:themeColor="text1"/>
          <w:sz w:val="24"/>
          <w:szCs w:val="24"/>
        </w:rPr>
        <w:t xml:space="preserve">,000 for all </w:t>
      </w:r>
      <w:r w:rsidR="0002775A">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tively affected corporations).</w:t>
      </w:r>
    </w:p>
    <w:p w14:paraId="728C395C" w14:textId="0881800D" w:rsidR="00726280" w:rsidRDefault="00726280" w:rsidP="00726280">
      <w:pPr>
        <w:spacing w:after="0"/>
        <w:rPr>
          <w:rFonts w:asciiTheme="majorHAnsi" w:eastAsiaTheme="majorEastAsia" w:hAnsiTheme="majorHAnsi" w:cstheme="majorBidi"/>
          <w:bCs/>
          <w:color w:val="000000" w:themeColor="text1"/>
          <w:sz w:val="24"/>
          <w:szCs w:val="24"/>
        </w:rPr>
      </w:pPr>
    </w:p>
    <w:p w14:paraId="5AB94DCB" w14:textId="6FF1732E" w:rsidR="00726280" w:rsidRDefault="00726280" w:rsidP="00726280">
      <w:pPr>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A1-7</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C537D2">
        <w:rPr>
          <w:rFonts w:asciiTheme="majorHAnsi" w:hAnsiTheme="majorHAnsi"/>
          <w:b/>
          <w:sz w:val="24"/>
          <w:szCs w:val="24"/>
        </w:rPr>
        <w:t>Increase</w:t>
      </w:r>
      <w:r>
        <w:rPr>
          <w:rFonts w:asciiTheme="majorHAnsi" w:hAnsiTheme="majorHAnsi"/>
          <w:b/>
          <w:sz w:val="24"/>
          <w:szCs w:val="24"/>
        </w:rPr>
        <w:t xml:space="preserve"> </w:t>
      </w:r>
      <w:r w:rsidRPr="008F4A2D">
        <w:rPr>
          <w:rFonts w:asciiTheme="majorHAnsi" w:hAnsiTheme="majorHAnsi"/>
          <w:b/>
          <w:sz w:val="24"/>
          <w:szCs w:val="24"/>
        </w:rPr>
        <w:t xml:space="preserve">by </w:t>
      </w:r>
      <w:r w:rsidRPr="005000AB">
        <w:rPr>
          <w:rFonts w:asciiTheme="majorHAnsi" w:hAnsiTheme="majorHAnsi"/>
          <w:b/>
          <w:sz w:val="24"/>
          <w:szCs w:val="24"/>
        </w:rPr>
        <w:t>Number</w:t>
      </w:r>
      <w:r w:rsidRPr="008F4A2D">
        <w:rPr>
          <w:rFonts w:asciiTheme="majorHAnsi" w:hAnsiTheme="majorHAnsi"/>
          <w:b/>
          <w:sz w:val="24"/>
          <w:szCs w:val="24"/>
        </w:rPr>
        <w:t xml:space="preserve"> of </w:t>
      </w:r>
      <w:r>
        <w:rPr>
          <w:rFonts w:asciiTheme="majorHAnsi" w:hAnsiTheme="majorHAnsi"/>
          <w:b/>
          <w:sz w:val="24"/>
          <w:szCs w:val="24"/>
        </w:rPr>
        <w:t>Employees</w:t>
      </w:r>
      <w:r w:rsidR="00C537D2">
        <w:rPr>
          <w:rFonts w:asciiTheme="majorHAnsi" w:hAnsiTheme="majorHAnsi"/>
          <w:b/>
          <w:sz w:val="24"/>
          <w:szCs w:val="24"/>
        </w:rPr>
        <w:t xml:space="preserve"> </w:t>
      </w:r>
      <w:r w:rsidR="00C537D2" w:rsidRPr="00107265">
        <w:rPr>
          <w:rStyle w:val="FootnoteReference"/>
          <w:rFonts w:eastAsiaTheme="majorEastAsia"/>
          <w:b/>
          <w:bCs/>
          <w:color w:val="000000" w:themeColor="text1"/>
        </w:rPr>
        <w:t>(1)</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530"/>
        <w:gridCol w:w="1440"/>
        <w:gridCol w:w="1800"/>
        <w:gridCol w:w="1170"/>
        <w:gridCol w:w="1260"/>
      </w:tblGrid>
      <w:tr w:rsidR="00726280" w:rsidRPr="00CB14FB" w14:paraId="5DD5783A" w14:textId="77777777" w:rsidTr="00847706">
        <w:trPr>
          <w:trHeight w:val="1502"/>
          <w:jc w:val="center"/>
        </w:trPr>
        <w:tc>
          <w:tcPr>
            <w:tcW w:w="2245" w:type="dxa"/>
            <w:shd w:val="clear" w:color="auto" w:fill="B6DDE8" w:themeFill="accent5" w:themeFillTint="66"/>
            <w:vAlign w:val="center"/>
            <w:hideMark/>
          </w:tcPr>
          <w:p w14:paraId="11EA3872" w14:textId="7D785D19" w:rsidR="00726280" w:rsidRPr="00EE5936" w:rsidRDefault="00726280" w:rsidP="00690837">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Number of </w:t>
            </w:r>
            <w:r w:rsidRPr="00EE5936">
              <w:rPr>
                <w:rFonts w:ascii="Cambria" w:eastAsia="Times New Roman" w:hAnsi="Cambria" w:cs="Helvetica"/>
                <w:color w:val="000000"/>
                <w:sz w:val="20"/>
                <w:szCs w:val="20"/>
                <w:lang w:eastAsia="ko-KR"/>
              </w:rPr>
              <w:t>Employees</w:t>
            </w:r>
            <w:r w:rsidR="00C537D2">
              <w:rPr>
                <w:rFonts w:ascii="Cambria" w:eastAsia="Times New Roman" w:hAnsi="Cambria" w:cs="Helvetica"/>
                <w:color w:val="000000"/>
                <w:sz w:val="20"/>
                <w:szCs w:val="20"/>
                <w:lang w:eastAsia="ko-KR"/>
              </w:rPr>
              <w:t xml:space="preserve"> </w:t>
            </w:r>
            <w:r w:rsidR="00C537D2" w:rsidRPr="00107265">
              <w:rPr>
                <w:rStyle w:val="FootnoteReference"/>
                <w:rFonts w:eastAsiaTheme="majorEastAsia"/>
                <w:color w:val="000000" w:themeColor="text1"/>
              </w:rPr>
              <w:t>(2)</w:t>
            </w:r>
          </w:p>
        </w:tc>
        <w:tc>
          <w:tcPr>
            <w:tcW w:w="1530" w:type="dxa"/>
            <w:shd w:val="clear" w:color="auto" w:fill="B6DDE8" w:themeFill="accent5" w:themeFillTint="66"/>
            <w:vAlign w:val="center"/>
            <w:hideMark/>
          </w:tcPr>
          <w:p w14:paraId="61841CC4" w14:textId="59FC5CA0" w:rsidR="00726280" w:rsidRPr="00EE5936" w:rsidRDefault="00726280" w:rsidP="00690837">
            <w:pPr>
              <w:spacing w:after="0" w:line="240" w:lineRule="auto"/>
              <w:jc w:val="center"/>
              <w:rPr>
                <w:rFonts w:ascii="Cambria" w:eastAsia="Times New Roman" w:hAnsi="Cambria" w:cs="Helvetica"/>
                <w:color w:val="000000"/>
                <w:sz w:val="20"/>
                <w:szCs w:val="20"/>
                <w:lang w:eastAsia="ko-KR"/>
              </w:rPr>
            </w:pPr>
            <w:r w:rsidRPr="005000AB">
              <w:rPr>
                <w:rFonts w:ascii="Cambria" w:eastAsia="Times New Roman" w:hAnsi="Cambria" w:cs="Helvetica"/>
                <w:color w:val="000000"/>
                <w:sz w:val="20"/>
                <w:szCs w:val="20"/>
                <w:lang w:eastAsia="ko-KR"/>
              </w:rPr>
              <w:t xml:space="preserve">Number of </w:t>
            </w:r>
            <w:r w:rsidR="0016347E">
              <w:rPr>
                <w:rFonts w:ascii="Cambria" w:eastAsia="Times New Roman" w:hAnsi="Cambria" w:cs="Helvetica"/>
                <w:color w:val="000000"/>
                <w:sz w:val="20"/>
                <w:szCs w:val="20"/>
                <w:lang w:eastAsia="ko-KR"/>
              </w:rPr>
              <w:t>Negatively</w:t>
            </w:r>
            <w:r w:rsidR="0016347E" w:rsidRPr="00D5431D">
              <w:rPr>
                <w:rFonts w:ascii="Cambria" w:eastAsia="Times New Roman" w:hAnsi="Cambria" w:cs="Helvetica"/>
                <w:color w:val="000000"/>
                <w:sz w:val="20"/>
                <w:szCs w:val="20"/>
                <w:lang w:eastAsia="ko-KR"/>
              </w:rPr>
              <w:t xml:space="preserve"> </w:t>
            </w:r>
            <w:r w:rsidRPr="005000AB">
              <w:rPr>
                <w:rFonts w:ascii="Cambria" w:eastAsia="Times New Roman" w:hAnsi="Cambria" w:cs="Helvetica"/>
                <w:color w:val="000000"/>
                <w:sz w:val="20"/>
                <w:szCs w:val="20"/>
                <w:lang w:eastAsia="ko-KR"/>
              </w:rPr>
              <w:t>Impacted Corporations</w:t>
            </w:r>
          </w:p>
        </w:tc>
        <w:tc>
          <w:tcPr>
            <w:tcW w:w="1440" w:type="dxa"/>
            <w:shd w:val="clear" w:color="auto" w:fill="B6DDE8" w:themeFill="accent5" w:themeFillTint="66"/>
            <w:vAlign w:val="center"/>
            <w:hideMark/>
          </w:tcPr>
          <w:p w14:paraId="2450839D" w14:textId="417A3985" w:rsidR="00726280" w:rsidRPr="00EE5936" w:rsidRDefault="00726280" w:rsidP="00690837">
            <w:pPr>
              <w:spacing w:after="0" w:line="240" w:lineRule="auto"/>
              <w:jc w:val="center"/>
              <w:rPr>
                <w:rFonts w:ascii="Cambria" w:eastAsia="Times New Roman" w:hAnsi="Cambria" w:cs="Helvetica"/>
                <w:i/>
                <w:iCs/>
                <w:color w:val="000000"/>
                <w:sz w:val="20"/>
                <w:szCs w:val="20"/>
                <w:lang w:eastAsia="ko-KR"/>
              </w:rPr>
            </w:pPr>
            <w:r w:rsidRPr="005000AB">
              <w:rPr>
                <w:rFonts w:ascii="Cambria" w:eastAsia="Times New Roman" w:hAnsi="Cambria" w:cs="Helvetica"/>
                <w:color w:val="000000"/>
                <w:sz w:val="20"/>
                <w:szCs w:val="20"/>
                <w:lang w:eastAsia="ko-KR"/>
              </w:rPr>
              <w:t xml:space="preserve">% of Total Number of </w:t>
            </w:r>
            <w:r w:rsidR="0016347E">
              <w:rPr>
                <w:rFonts w:ascii="Cambria" w:eastAsia="Times New Roman" w:hAnsi="Cambria" w:cs="Helvetica"/>
                <w:color w:val="000000"/>
                <w:sz w:val="20"/>
                <w:szCs w:val="20"/>
                <w:lang w:eastAsia="ko-KR"/>
              </w:rPr>
              <w:t>Negatively</w:t>
            </w:r>
            <w:r w:rsidR="0016347E" w:rsidRPr="00D5431D">
              <w:rPr>
                <w:rFonts w:ascii="Cambria" w:eastAsia="Times New Roman" w:hAnsi="Cambria" w:cs="Helvetica"/>
                <w:color w:val="000000"/>
                <w:sz w:val="20"/>
                <w:szCs w:val="20"/>
                <w:lang w:eastAsia="ko-KR"/>
              </w:rPr>
              <w:t xml:space="preserve"> </w:t>
            </w:r>
            <w:r w:rsidRPr="005000AB">
              <w:rPr>
                <w:rFonts w:ascii="Cambria" w:eastAsia="Times New Roman" w:hAnsi="Cambria" w:cs="Helvetica"/>
                <w:color w:val="000000"/>
                <w:sz w:val="20"/>
                <w:szCs w:val="20"/>
                <w:lang w:eastAsia="ko-KR"/>
              </w:rPr>
              <w:t>Impacted Corporations</w:t>
            </w:r>
          </w:p>
        </w:tc>
        <w:tc>
          <w:tcPr>
            <w:tcW w:w="1800" w:type="dxa"/>
            <w:shd w:val="clear" w:color="auto" w:fill="B6DDE8" w:themeFill="accent5" w:themeFillTint="66"/>
            <w:vAlign w:val="center"/>
            <w:hideMark/>
          </w:tcPr>
          <w:p w14:paraId="3FD5F3E7" w14:textId="2A4EB33E" w:rsidR="00726280" w:rsidRPr="00EE5936" w:rsidRDefault="00726280" w:rsidP="00690837">
            <w:pPr>
              <w:spacing w:after="0" w:line="240" w:lineRule="auto"/>
              <w:jc w:val="center"/>
              <w:rPr>
                <w:rFonts w:ascii="Cambria" w:eastAsia="Times New Roman" w:hAnsi="Cambria" w:cs="Helvetica"/>
                <w:color w:val="000000"/>
                <w:sz w:val="20"/>
                <w:szCs w:val="20"/>
                <w:lang w:eastAsia="ko-KR"/>
              </w:rPr>
            </w:pPr>
            <w:r w:rsidRPr="005000AB">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r w:rsidRPr="005000AB">
              <w:rPr>
                <w:rFonts w:ascii="Cambria" w:eastAsia="Times New Roman" w:hAnsi="Cambria" w:cs="Helvetica"/>
                <w:color w:val="000000"/>
                <w:sz w:val="20"/>
                <w:szCs w:val="20"/>
                <w:lang w:eastAsia="ko-KR"/>
              </w:rPr>
              <w:t xml:space="preserve"> using Formulas with </w:t>
            </w:r>
            <w:r>
              <w:rPr>
                <w:rFonts w:ascii="Cambria" w:eastAsia="Times New Roman" w:hAnsi="Cambria" w:cs="Helvetica"/>
                <w:color w:val="000000"/>
                <w:sz w:val="20"/>
                <w:szCs w:val="20"/>
                <w:lang w:eastAsia="ko-KR"/>
              </w:rPr>
              <w:t>Higher</w:t>
            </w:r>
            <w:r w:rsidRPr="005000AB">
              <w:rPr>
                <w:rFonts w:ascii="Cambria" w:eastAsia="Times New Roman" w:hAnsi="Cambria" w:cs="Helvetica"/>
                <w:color w:val="000000"/>
                <w:sz w:val="20"/>
                <w:szCs w:val="20"/>
                <w:lang w:eastAsia="ko-KR"/>
              </w:rPr>
              <w:t xml:space="preserve"> Weighted Sales Factor ($000)</w:t>
            </w:r>
            <w:r w:rsidR="00C537D2">
              <w:rPr>
                <w:rFonts w:ascii="Cambria" w:eastAsia="Times New Roman" w:hAnsi="Cambria" w:cs="Helvetica"/>
                <w:color w:val="000000"/>
                <w:sz w:val="20"/>
                <w:szCs w:val="20"/>
                <w:lang w:eastAsia="ko-KR"/>
              </w:rPr>
              <w:t xml:space="preserve"> </w:t>
            </w:r>
            <w:r w:rsidR="00C537D2" w:rsidRPr="00107265">
              <w:rPr>
                <w:rStyle w:val="FootnoteReference"/>
                <w:rFonts w:eastAsiaTheme="majorEastAsia"/>
                <w:color w:val="000000" w:themeColor="text1"/>
              </w:rPr>
              <w:t>(</w:t>
            </w:r>
            <w:r w:rsidR="00C537D2">
              <w:rPr>
                <w:rStyle w:val="FootnoteReference"/>
                <w:rFonts w:eastAsiaTheme="majorEastAsia"/>
                <w:color w:val="000000" w:themeColor="text1"/>
              </w:rPr>
              <w:t>3</w:t>
            </w:r>
            <w:r w:rsidR="00C537D2" w:rsidRPr="00107265">
              <w:rPr>
                <w:rStyle w:val="FootnoteReference"/>
                <w:rFonts w:eastAsiaTheme="majorEastAsia"/>
                <w:color w:val="000000" w:themeColor="text1"/>
              </w:rPr>
              <w:t>)</w:t>
            </w:r>
          </w:p>
        </w:tc>
        <w:tc>
          <w:tcPr>
            <w:tcW w:w="1170" w:type="dxa"/>
            <w:shd w:val="clear" w:color="auto" w:fill="B6DDE8" w:themeFill="accent5" w:themeFillTint="66"/>
            <w:vAlign w:val="center"/>
            <w:hideMark/>
          </w:tcPr>
          <w:p w14:paraId="0DFAC4E8" w14:textId="5FBC70E1" w:rsidR="00726280" w:rsidRPr="00EE5936" w:rsidRDefault="00726280" w:rsidP="00690837">
            <w:pPr>
              <w:spacing w:after="0" w:line="240" w:lineRule="auto"/>
              <w:jc w:val="center"/>
              <w:rPr>
                <w:rFonts w:ascii="Cambria" w:eastAsia="Times New Roman" w:hAnsi="Cambria" w:cs="Helvetica"/>
                <w:i/>
                <w:iCs/>
                <w:color w:val="000000"/>
                <w:sz w:val="20"/>
                <w:szCs w:val="20"/>
                <w:lang w:eastAsia="ko-KR"/>
              </w:rPr>
            </w:pPr>
            <w:r w:rsidRPr="005000AB">
              <w:rPr>
                <w:rFonts w:ascii="Cambria" w:eastAsia="Times New Roman" w:hAnsi="Cambria" w:cs="Helvetica"/>
                <w:color w:val="000000"/>
                <w:sz w:val="20"/>
                <w:szCs w:val="20"/>
                <w:lang w:eastAsia="ko-KR"/>
              </w:rPr>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p>
        </w:tc>
        <w:tc>
          <w:tcPr>
            <w:tcW w:w="1260" w:type="dxa"/>
            <w:shd w:val="clear" w:color="auto" w:fill="B6DDE8" w:themeFill="accent5" w:themeFillTint="66"/>
            <w:vAlign w:val="center"/>
            <w:hideMark/>
          </w:tcPr>
          <w:p w14:paraId="68609F8B" w14:textId="18E924EB" w:rsidR="00726280" w:rsidRPr="00EE5936" w:rsidRDefault="00726280" w:rsidP="00690837">
            <w:pPr>
              <w:spacing w:after="0" w:line="240" w:lineRule="auto"/>
              <w:jc w:val="center"/>
              <w:rPr>
                <w:rFonts w:ascii="Cambria" w:eastAsia="Times New Roman" w:hAnsi="Cambria" w:cs="Helvetica"/>
                <w:color w:val="000000"/>
                <w:sz w:val="20"/>
                <w:szCs w:val="20"/>
                <w:lang w:eastAsia="ko-KR"/>
              </w:rPr>
            </w:pPr>
            <w:r w:rsidRPr="005000AB">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r w:rsidRPr="005000AB">
              <w:rPr>
                <w:rFonts w:ascii="Cambria" w:eastAsia="Times New Roman" w:hAnsi="Cambria" w:cs="Helvetica"/>
                <w:color w:val="000000"/>
                <w:sz w:val="20"/>
                <w:szCs w:val="20"/>
                <w:lang w:eastAsia="ko-KR"/>
              </w:rPr>
              <w:t xml:space="preserve"> per </w:t>
            </w:r>
            <w:r w:rsidR="0016347E">
              <w:rPr>
                <w:rFonts w:ascii="Cambria" w:eastAsia="Times New Roman" w:hAnsi="Cambria" w:cs="Helvetica"/>
                <w:color w:val="000000"/>
                <w:sz w:val="20"/>
                <w:szCs w:val="20"/>
                <w:lang w:eastAsia="ko-KR"/>
              </w:rPr>
              <w:t>Negatively</w:t>
            </w:r>
            <w:r w:rsidR="0016347E" w:rsidRPr="00D5431D">
              <w:rPr>
                <w:rFonts w:ascii="Cambria" w:eastAsia="Times New Roman" w:hAnsi="Cambria" w:cs="Helvetica"/>
                <w:color w:val="000000"/>
                <w:sz w:val="20"/>
                <w:szCs w:val="20"/>
                <w:lang w:eastAsia="ko-KR"/>
              </w:rPr>
              <w:t xml:space="preserve"> </w:t>
            </w:r>
            <w:r w:rsidRPr="005000AB">
              <w:rPr>
                <w:rFonts w:ascii="Cambria" w:eastAsia="Times New Roman" w:hAnsi="Cambria" w:cs="Helvetica"/>
                <w:color w:val="000000"/>
                <w:sz w:val="20"/>
                <w:szCs w:val="20"/>
                <w:lang w:eastAsia="ko-KR"/>
              </w:rPr>
              <w:t>Impacted Corporation ($000)</w:t>
            </w:r>
            <w:r w:rsidR="00C537D2">
              <w:rPr>
                <w:rFonts w:ascii="Cambria" w:eastAsia="Times New Roman" w:hAnsi="Cambria" w:cs="Helvetica"/>
                <w:color w:val="000000"/>
                <w:sz w:val="20"/>
                <w:szCs w:val="20"/>
                <w:lang w:eastAsia="ko-KR"/>
              </w:rPr>
              <w:t xml:space="preserve"> </w:t>
            </w:r>
            <w:r w:rsidR="00C537D2" w:rsidRPr="00107265">
              <w:rPr>
                <w:rStyle w:val="FootnoteReference"/>
                <w:rFonts w:eastAsiaTheme="majorEastAsia"/>
                <w:color w:val="000000" w:themeColor="text1"/>
              </w:rPr>
              <w:t>(</w:t>
            </w:r>
            <w:r w:rsidR="00C537D2">
              <w:rPr>
                <w:rStyle w:val="FootnoteReference"/>
                <w:rFonts w:eastAsiaTheme="majorEastAsia"/>
                <w:color w:val="000000" w:themeColor="text1"/>
              </w:rPr>
              <w:t>3</w:t>
            </w:r>
            <w:r w:rsidR="00C537D2" w:rsidRPr="00107265">
              <w:rPr>
                <w:rStyle w:val="FootnoteReference"/>
                <w:rFonts w:eastAsiaTheme="majorEastAsia"/>
                <w:color w:val="000000" w:themeColor="text1"/>
              </w:rPr>
              <w:t>)</w:t>
            </w:r>
          </w:p>
        </w:tc>
      </w:tr>
      <w:tr w:rsidR="00D15853" w:rsidRPr="00CB14FB" w14:paraId="550E2863" w14:textId="77777777" w:rsidTr="00847706">
        <w:trPr>
          <w:trHeight w:val="240"/>
          <w:jc w:val="center"/>
        </w:trPr>
        <w:tc>
          <w:tcPr>
            <w:tcW w:w="2245" w:type="dxa"/>
            <w:shd w:val="clear" w:color="auto" w:fill="auto"/>
            <w:vAlign w:val="center"/>
            <w:hideMark/>
          </w:tcPr>
          <w:p w14:paraId="61723604"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Less than 5</w:t>
            </w:r>
          </w:p>
        </w:tc>
        <w:tc>
          <w:tcPr>
            <w:tcW w:w="1530" w:type="dxa"/>
            <w:shd w:val="clear" w:color="auto" w:fill="auto"/>
            <w:vAlign w:val="center"/>
          </w:tcPr>
          <w:p w14:paraId="758F1556" w14:textId="011C0EBC"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4,999</w:t>
            </w:r>
          </w:p>
        </w:tc>
        <w:tc>
          <w:tcPr>
            <w:tcW w:w="1440" w:type="dxa"/>
            <w:shd w:val="clear" w:color="auto" w:fill="auto"/>
            <w:vAlign w:val="center"/>
          </w:tcPr>
          <w:p w14:paraId="0D3274F0" w14:textId="376E63C4"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51.9%</w:t>
            </w:r>
          </w:p>
        </w:tc>
        <w:tc>
          <w:tcPr>
            <w:tcW w:w="1800" w:type="dxa"/>
            <w:shd w:val="clear" w:color="auto" w:fill="auto"/>
            <w:vAlign w:val="center"/>
          </w:tcPr>
          <w:p w14:paraId="63BCD5DB" w14:textId="2136154E"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$50,171.4</w:t>
            </w:r>
          </w:p>
        </w:tc>
        <w:tc>
          <w:tcPr>
            <w:tcW w:w="1170" w:type="dxa"/>
            <w:shd w:val="clear" w:color="auto" w:fill="auto"/>
            <w:vAlign w:val="center"/>
          </w:tcPr>
          <w:p w14:paraId="5E651503" w14:textId="41EA409C"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31.6%</w:t>
            </w:r>
          </w:p>
        </w:tc>
        <w:tc>
          <w:tcPr>
            <w:tcW w:w="1260" w:type="dxa"/>
            <w:shd w:val="clear" w:color="auto" w:fill="auto"/>
            <w:vAlign w:val="center"/>
          </w:tcPr>
          <w:p w14:paraId="66E407DA" w14:textId="47C19FE7"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$10</w:t>
            </w:r>
          </w:p>
        </w:tc>
      </w:tr>
      <w:tr w:rsidR="00D15853" w:rsidRPr="00CB14FB" w14:paraId="6B70D8A7" w14:textId="77777777" w:rsidTr="00847706">
        <w:trPr>
          <w:trHeight w:val="240"/>
          <w:jc w:val="center"/>
        </w:trPr>
        <w:tc>
          <w:tcPr>
            <w:tcW w:w="2245" w:type="dxa"/>
            <w:shd w:val="clear" w:color="auto" w:fill="auto"/>
            <w:vAlign w:val="center"/>
            <w:hideMark/>
          </w:tcPr>
          <w:p w14:paraId="1B3030EA"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 to 49 </w:t>
            </w:r>
          </w:p>
        </w:tc>
        <w:tc>
          <w:tcPr>
            <w:tcW w:w="1530" w:type="dxa"/>
            <w:shd w:val="clear" w:color="auto" w:fill="auto"/>
            <w:vAlign w:val="center"/>
          </w:tcPr>
          <w:p w14:paraId="22D13768" w14:textId="2C6DFBB2"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1,708</w:t>
            </w:r>
          </w:p>
        </w:tc>
        <w:tc>
          <w:tcPr>
            <w:tcW w:w="1440" w:type="dxa"/>
            <w:shd w:val="clear" w:color="auto" w:fill="auto"/>
            <w:vAlign w:val="center"/>
          </w:tcPr>
          <w:p w14:paraId="4F4765AD" w14:textId="627EBDA1"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17.7%</w:t>
            </w:r>
          </w:p>
        </w:tc>
        <w:tc>
          <w:tcPr>
            <w:tcW w:w="1800" w:type="dxa"/>
            <w:shd w:val="clear" w:color="auto" w:fill="auto"/>
            <w:vAlign w:val="center"/>
          </w:tcPr>
          <w:p w14:paraId="01146FF9" w14:textId="21F0288E"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$19,066.1</w:t>
            </w:r>
          </w:p>
        </w:tc>
        <w:tc>
          <w:tcPr>
            <w:tcW w:w="1170" w:type="dxa"/>
            <w:shd w:val="clear" w:color="auto" w:fill="auto"/>
            <w:vAlign w:val="center"/>
          </w:tcPr>
          <w:p w14:paraId="081859EF" w14:textId="4E225E94"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12.0%</w:t>
            </w:r>
          </w:p>
        </w:tc>
        <w:tc>
          <w:tcPr>
            <w:tcW w:w="1260" w:type="dxa"/>
            <w:shd w:val="clear" w:color="auto" w:fill="auto"/>
            <w:vAlign w:val="center"/>
          </w:tcPr>
          <w:p w14:paraId="293EDB53" w14:textId="02FED3DB"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$11</w:t>
            </w:r>
          </w:p>
        </w:tc>
      </w:tr>
      <w:tr w:rsidR="00D15853" w:rsidRPr="00CB14FB" w14:paraId="3C94F38B" w14:textId="77777777" w:rsidTr="00847706">
        <w:trPr>
          <w:trHeight w:val="240"/>
          <w:jc w:val="center"/>
        </w:trPr>
        <w:tc>
          <w:tcPr>
            <w:tcW w:w="2245" w:type="dxa"/>
            <w:shd w:val="clear" w:color="auto" w:fill="auto"/>
            <w:vAlign w:val="center"/>
            <w:hideMark/>
          </w:tcPr>
          <w:p w14:paraId="63346A87"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50 to 99 </w:t>
            </w:r>
          </w:p>
        </w:tc>
        <w:tc>
          <w:tcPr>
            <w:tcW w:w="1530" w:type="dxa"/>
            <w:shd w:val="clear" w:color="auto" w:fill="auto"/>
            <w:vAlign w:val="center"/>
          </w:tcPr>
          <w:p w14:paraId="6CE795D5" w14:textId="125D9464"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696</w:t>
            </w:r>
          </w:p>
        </w:tc>
        <w:tc>
          <w:tcPr>
            <w:tcW w:w="1440" w:type="dxa"/>
            <w:shd w:val="clear" w:color="auto" w:fill="auto"/>
            <w:vAlign w:val="center"/>
          </w:tcPr>
          <w:p w14:paraId="0B6BEF96" w14:textId="1DF70F96"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7.2%</w:t>
            </w:r>
          </w:p>
        </w:tc>
        <w:tc>
          <w:tcPr>
            <w:tcW w:w="1800" w:type="dxa"/>
            <w:shd w:val="clear" w:color="auto" w:fill="auto"/>
            <w:vAlign w:val="center"/>
          </w:tcPr>
          <w:p w14:paraId="46D313DA" w14:textId="4E6E836C"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$8,184.1</w:t>
            </w:r>
          </w:p>
        </w:tc>
        <w:tc>
          <w:tcPr>
            <w:tcW w:w="1170" w:type="dxa"/>
            <w:shd w:val="clear" w:color="auto" w:fill="auto"/>
            <w:vAlign w:val="center"/>
          </w:tcPr>
          <w:p w14:paraId="2AAD5B2D" w14:textId="2FA5557C"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5.2%</w:t>
            </w:r>
          </w:p>
        </w:tc>
        <w:tc>
          <w:tcPr>
            <w:tcW w:w="1260" w:type="dxa"/>
            <w:shd w:val="clear" w:color="auto" w:fill="auto"/>
            <w:vAlign w:val="center"/>
          </w:tcPr>
          <w:p w14:paraId="578FA40A" w14:textId="0430CCA0"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$12</w:t>
            </w:r>
          </w:p>
        </w:tc>
      </w:tr>
      <w:tr w:rsidR="00D15853" w:rsidRPr="00CB14FB" w14:paraId="24E5B61B" w14:textId="77777777" w:rsidTr="00847706">
        <w:trPr>
          <w:trHeight w:val="240"/>
          <w:jc w:val="center"/>
        </w:trPr>
        <w:tc>
          <w:tcPr>
            <w:tcW w:w="2245" w:type="dxa"/>
            <w:shd w:val="clear" w:color="auto" w:fill="auto"/>
            <w:vAlign w:val="center"/>
            <w:hideMark/>
          </w:tcPr>
          <w:p w14:paraId="394FE227"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100 to 199 </w:t>
            </w:r>
          </w:p>
        </w:tc>
        <w:tc>
          <w:tcPr>
            <w:tcW w:w="1530" w:type="dxa"/>
            <w:shd w:val="clear" w:color="auto" w:fill="auto"/>
            <w:vAlign w:val="center"/>
          </w:tcPr>
          <w:p w14:paraId="48A3D705" w14:textId="2B126C33"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646</w:t>
            </w:r>
          </w:p>
        </w:tc>
        <w:tc>
          <w:tcPr>
            <w:tcW w:w="1440" w:type="dxa"/>
            <w:shd w:val="clear" w:color="auto" w:fill="auto"/>
            <w:vAlign w:val="center"/>
          </w:tcPr>
          <w:p w14:paraId="507CC763" w14:textId="793F1DAC"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6.7%</w:t>
            </w:r>
          </w:p>
        </w:tc>
        <w:tc>
          <w:tcPr>
            <w:tcW w:w="1800" w:type="dxa"/>
            <w:shd w:val="clear" w:color="auto" w:fill="auto"/>
            <w:vAlign w:val="center"/>
          </w:tcPr>
          <w:p w14:paraId="5DFA025F" w14:textId="24256C50"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$4,802.7</w:t>
            </w:r>
          </w:p>
        </w:tc>
        <w:tc>
          <w:tcPr>
            <w:tcW w:w="1170" w:type="dxa"/>
            <w:shd w:val="clear" w:color="auto" w:fill="auto"/>
            <w:vAlign w:val="center"/>
          </w:tcPr>
          <w:p w14:paraId="5B39D572" w14:textId="38E61BCA"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3.0%</w:t>
            </w:r>
          </w:p>
        </w:tc>
        <w:tc>
          <w:tcPr>
            <w:tcW w:w="1260" w:type="dxa"/>
            <w:shd w:val="clear" w:color="auto" w:fill="auto"/>
            <w:vAlign w:val="center"/>
          </w:tcPr>
          <w:p w14:paraId="54BE5592" w14:textId="12E2BEAB"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w:t>
            </w:r>
          </w:p>
        </w:tc>
      </w:tr>
      <w:tr w:rsidR="00D15853" w:rsidRPr="00CB14FB" w14:paraId="43153AD7" w14:textId="77777777" w:rsidTr="00847706">
        <w:trPr>
          <w:trHeight w:val="240"/>
          <w:jc w:val="center"/>
        </w:trPr>
        <w:tc>
          <w:tcPr>
            <w:tcW w:w="2245" w:type="dxa"/>
            <w:shd w:val="clear" w:color="auto" w:fill="auto"/>
            <w:vAlign w:val="center"/>
            <w:hideMark/>
          </w:tcPr>
          <w:p w14:paraId="1B87EB26"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200 to 499 </w:t>
            </w:r>
          </w:p>
        </w:tc>
        <w:tc>
          <w:tcPr>
            <w:tcW w:w="1530" w:type="dxa"/>
            <w:shd w:val="clear" w:color="auto" w:fill="auto"/>
            <w:vAlign w:val="center"/>
          </w:tcPr>
          <w:p w14:paraId="4854D344" w14:textId="7CCDB4A2"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639</w:t>
            </w:r>
          </w:p>
        </w:tc>
        <w:tc>
          <w:tcPr>
            <w:tcW w:w="1440" w:type="dxa"/>
            <w:shd w:val="clear" w:color="auto" w:fill="auto"/>
            <w:vAlign w:val="center"/>
          </w:tcPr>
          <w:p w14:paraId="7939B5F6" w14:textId="11B5D7DE"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6.6%</w:t>
            </w:r>
          </w:p>
        </w:tc>
        <w:tc>
          <w:tcPr>
            <w:tcW w:w="1800" w:type="dxa"/>
            <w:shd w:val="clear" w:color="auto" w:fill="auto"/>
            <w:vAlign w:val="center"/>
          </w:tcPr>
          <w:p w14:paraId="36068B8A" w14:textId="60B0664B"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$8,444.5</w:t>
            </w:r>
          </w:p>
        </w:tc>
        <w:tc>
          <w:tcPr>
            <w:tcW w:w="1170" w:type="dxa"/>
            <w:shd w:val="clear" w:color="auto" w:fill="auto"/>
            <w:vAlign w:val="center"/>
          </w:tcPr>
          <w:p w14:paraId="3423F9A3" w14:textId="466A4A44"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5.3%</w:t>
            </w:r>
          </w:p>
        </w:tc>
        <w:tc>
          <w:tcPr>
            <w:tcW w:w="1260" w:type="dxa"/>
            <w:shd w:val="clear" w:color="auto" w:fill="auto"/>
            <w:vAlign w:val="center"/>
          </w:tcPr>
          <w:p w14:paraId="632CA726" w14:textId="5800CBEC"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$13</w:t>
            </w:r>
          </w:p>
        </w:tc>
      </w:tr>
      <w:tr w:rsidR="00D15853" w:rsidRPr="00CB14FB" w14:paraId="117E2774" w14:textId="77777777" w:rsidTr="00847706">
        <w:trPr>
          <w:trHeight w:val="240"/>
          <w:jc w:val="center"/>
        </w:trPr>
        <w:tc>
          <w:tcPr>
            <w:tcW w:w="2245" w:type="dxa"/>
            <w:shd w:val="clear" w:color="auto" w:fill="auto"/>
            <w:vAlign w:val="center"/>
            <w:hideMark/>
          </w:tcPr>
          <w:p w14:paraId="207F2260"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500 or more </w:t>
            </w:r>
          </w:p>
        </w:tc>
        <w:tc>
          <w:tcPr>
            <w:tcW w:w="1530" w:type="dxa"/>
            <w:shd w:val="clear" w:color="auto" w:fill="auto"/>
            <w:vAlign w:val="center"/>
          </w:tcPr>
          <w:p w14:paraId="48566F4D" w14:textId="7A9793B6"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952</w:t>
            </w:r>
          </w:p>
        </w:tc>
        <w:tc>
          <w:tcPr>
            <w:tcW w:w="1440" w:type="dxa"/>
            <w:shd w:val="clear" w:color="auto" w:fill="auto"/>
            <w:vAlign w:val="center"/>
          </w:tcPr>
          <w:p w14:paraId="36F8C02E" w14:textId="2CB79A01"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9.9%</w:t>
            </w:r>
          </w:p>
        </w:tc>
        <w:tc>
          <w:tcPr>
            <w:tcW w:w="1800" w:type="dxa"/>
            <w:shd w:val="clear" w:color="auto" w:fill="auto"/>
            <w:vAlign w:val="center"/>
          </w:tcPr>
          <w:p w14:paraId="7FF16B11" w14:textId="68322E65"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$68,127.4</w:t>
            </w:r>
          </w:p>
        </w:tc>
        <w:tc>
          <w:tcPr>
            <w:tcW w:w="1170" w:type="dxa"/>
            <w:shd w:val="clear" w:color="auto" w:fill="auto"/>
            <w:vAlign w:val="center"/>
          </w:tcPr>
          <w:p w14:paraId="6BA55A84" w14:textId="497D182A"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42.9%</w:t>
            </w:r>
          </w:p>
        </w:tc>
        <w:tc>
          <w:tcPr>
            <w:tcW w:w="1260" w:type="dxa"/>
            <w:shd w:val="clear" w:color="auto" w:fill="auto"/>
            <w:vAlign w:val="center"/>
          </w:tcPr>
          <w:p w14:paraId="418E7729" w14:textId="3DE8DFF6"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$72</w:t>
            </w:r>
          </w:p>
        </w:tc>
      </w:tr>
      <w:tr w:rsidR="00D15853" w:rsidRPr="00CB14FB" w14:paraId="2C2B1C98" w14:textId="77777777" w:rsidTr="00847706">
        <w:trPr>
          <w:trHeight w:val="240"/>
          <w:jc w:val="center"/>
        </w:trPr>
        <w:tc>
          <w:tcPr>
            <w:tcW w:w="2245" w:type="dxa"/>
            <w:shd w:val="clear" w:color="auto" w:fill="auto"/>
            <w:vAlign w:val="center"/>
            <w:hideMark/>
          </w:tcPr>
          <w:p w14:paraId="2FBC5287" w14:textId="77777777" w:rsidR="00D15853" w:rsidRPr="00EE5936" w:rsidRDefault="00D15853" w:rsidP="00D15853">
            <w:pPr>
              <w:spacing w:after="0" w:line="240" w:lineRule="auto"/>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Total or average</w:t>
            </w:r>
          </w:p>
        </w:tc>
        <w:tc>
          <w:tcPr>
            <w:tcW w:w="1530" w:type="dxa"/>
            <w:shd w:val="clear" w:color="auto" w:fill="auto"/>
            <w:vAlign w:val="center"/>
          </w:tcPr>
          <w:p w14:paraId="66B6C029" w14:textId="240AA215"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color w:val="000000"/>
                <w:sz w:val="20"/>
                <w:szCs w:val="20"/>
              </w:rPr>
              <w:t>9,640</w:t>
            </w:r>
          </w:p>
        </w:tc>
        <w:tc>
          <w:tcPr>
            <w:tcW w:w="1440" w:type="dxa"/>
            <w:shd w:val="clear" w:color="auto" w:fill="auto"/>
            <w:vAlign w:val="center"/>
          </w:tcPr>
          <w:p w14:paraId="0BF6CACD" w14:textId="42DC75A4"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800" w:type="dxa"/>
            <w:shd w:val="clear" w:color="auto" w:fill="auto"/>
            <w:vAlign w:val="center"/>
          </w:tcPr>
          <w:p w14:paraId="15CECF26" w14:textId="11765AE4"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$158,796.3</w:t>
            </w:r>
          </w:p>
        </w:tc>
        <w:tc>
          <w:tcPr>
            <w:tcW w:w="1170" w:type="dxa"/>
            <w:shd w:val="clear" w:color="auto" w:fill="auto"/>
            <w:vAlign w:val="center"/>
          </w:tcPr>
          <w:p w14:paraId="39EDB2E1" w14:textId="2FCA6B78" w:rsidR="00D15853" w:rsidRPr="003A180F" w:rsidRDefault="00D15853">
            <w:pPr>
              <w:spacing w:after="0" w:line="240" w:lineRule="auto"/>
              <w:jc w:val="center"/>
              <w:rPr>
                <w:rFonts w:ascii="Cambria" w:eastAsia="Times New Roman" w:hAnsi="Cambria" w:cs="Helvetica"/>
                <w:i/>
                <w:iCs/>
                <w:color w:val="000000"/>
                <w:sz w:val="20"/>
                <w:szCs w:val="20"/>
                <w:lang w:eastAsia="ko-KR"/>
              </w:rPr>
            </w:pPr>
            <w:r w:rsidRPr="00847706">
              <w:rPr>
                <w:rFonts w:ascii="Cambria" w:hAnsi="Cambria" w:cs="Helvetica"/>
                <w:color w:val="000000"/>
                <w:sz w:val="20"/>
                <w:szCs w:val="20"/>
              </w:rPr>
              <w:t>100.0%</w:t>
            </w:r>
          </w:p>
        </w:tc>
        <w:tc>
          <w:tcPr>
            <w:tcW w:w="1260" w:type="dxa"/>
            <w:shd w:val="clear" w:color="auto" w:fill="auto"/>
            <w:vAlign w:val="center"/>
          </w:tcPr>
          <w:p w14:paraId="6EF445EA" w14:textId="54B9598C" w:rsidR="00D15853" w:rsidRPr="003A180F" w:rsidRDefault="00D15853">
            <w:pPr>
              <w:spacing w:after="0" w:line="240" w:lineRule="auto"/>
              <w:jc w:val="center"/>
              <w:rPr>
                <w:rFonts w:ascii="Cambria" w:eastAsia="Times New Roman" w:hAnsi="Cambria" w:cs="Helvetica"/>
                <w:color w:val="000000"/>
                <w:sz w:val="20"/>
                <w:szCs w:val="20"/>
                <w:lang w:eastAsia="ko-KR"/>
              </w:rPr>
            </w:pPr>
            <w:r w:rsidRPr="00847706">
              <w:rPr>
                <w:rFonts w:ascii="Cambria" w:hAnsi="Cambria" w:cs="Helvetica"/>
                <w:sz w:val="20"/>
                <w:szCs w:val="20"/>
              </w:rPr>
              <w:t>$16</w:t>
            </w:r>
          </w:p>
        </w:tc>
      </w:tr>
    </w:tbl>
    <w:p w14:paraId="0CF4ACFE" w14:textId="77777777" w:rsidR="00726280" w:rsidRPr="00847706" w:rsidRDefault="00726280" w:rsidP="00726280">
      <w:pPr>
        <w:tabs>
          <w:tab w:val="left" w:pos="705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Source: Department of Revenue (2017 corporate excise return)</w:t>
      </w:r>
    </w:p>
    <w:p w14:paraId="219D417A" w14:textId="1ED7E51E" w:rsidR="00726280" w:rsidRPr="00847706" w:rsidRDefault="00726280" w:rsidP="00726280">
      <w:pPr>
        <w:tabs>
          <w:tab w:val="left" w:pos="705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 xml:space="preserve">Notes: 1. </w:t>
      </w:r>
      <w:r w:rsidR="00265886" w:rsidRPr="00107265">
        <w:rPr>
          <w:rFonts w:asciiTheme="majorHAnsi" w:eastAsiaTheme="majorEastAsia" w:hAnsiTheme="majorHAnsi" w:cstheme="majorBidi"/>
          <w:bCs/>
          <w:color w:val="000000" w:themeColor="text1"/>
          <w:sz w:val="18"/>
          <w:szCs w:val="18"/>
        </w:rPr>
        <w:t>The data are preliminary and subject to change.</w:t>
      </w:r>
    </w:p>
    <w:p w14:paraId="28E59773" w14:textId="2F476D5A" w:rsidR="00726280" w:rsidRPr="00847706" w:rsidRDefault="00726280" w:rsidP="00726280">
      <w:pPr>
        <w:tabs>
          <w:tab w:val="left" w:pos="5710"/>
        </w:tabs>
        <w:spacing w:after="0"/>
        <w:rPr>
          <w:rFonts w:asciiTheme="majorHAnsi" w:eastAsiaTheme="majorEastAsia" w:hAnsiTheme="majorHAnsi" w:cstheme="majorBidi"/>
          <w:bCs/>
          <w:color w:val="000000" w:themeColor="text1"/>
          <w:sz w:val="18"/>
          <w:szCs w:val="18"/>
        </w:rPr>
      </w:pPr>
      <w:r w:rsidRPr="00847706">
        <w:rPr>
          <w:rFonts w:asciiTheme="majorHAnsi" w:eastAsiaTheme="majorEastAsia" w:hAnsiTheme="majorHAnsi" w:cstheme="majorBidi"/>
          <w:bCs/>
          <w:color w:val="000000" w:themeColor="text1"/>
          <w:sz w:val="18"/>
          <w:szCs w:val="18"/>
        </w:rPr>
        <w:t xml:space="preserve">             2. </w:t>
      </w:r>
      <w:r w:rsidR="00265886" w:rsidRPr="00107265">
        <w:rPr>
          <w:rFonts w:asciiTheme="majorHAnsi" w:hAnsiTheme="majorHAnsi"/>
          <w:sz w:val="18"/>
          <w:szCs w:val="18"/>
        </w:rPr>
        <w:t>Information is based on number of employees as reported by taxpayers.</w:t>
      </w:r>
    </w:p>
    <w:p w14:paraId="46CEF3EF" w14:textId="4269C872" w:rsidR="00726280" w:rsidRPr="000B06FD" w:rsidRDefault="000B06FD" w:rsidP="00A0692D">
      <w:pPr>
        <w:tabs>
          <w:tab w:val="left" w:pos="5710"/>
        </w:tabs>
        <w:spacing w:after="0"/>
        <w:rPr>
          <w:rFonts w:asciiTheme="majorHAnsi" w:hAnsiTheme="majorHAnsi"/>
          <w:bCs/>
          <w:sz w:val="18"/>
          <w:szCs w:val="18"/>
        </w:rPr>
      </w:pPr>
      <w:r w:rsidRPr="00847706">
        <w:rPr>
          <w:rFonts w:asciiTheme="majorHAnsi" w:eastAsiaTheme="majorEastAsia" w:hAnsiTheme="majorHAnsi" w:cstheme="majorBidi"/>
          <w:bCs/>
          <w:color w:val="000000" w:themeColor="text1"/>
          <w:sz w:val="18"/>
          <w:szCs w:val="18"/>
        </w:rPr>
        <w:t xml:space="preserve">             </w:t>
      </w:r>
      <w:r w:rsidR="00726280" w:rsidRPr="00847706">
        <w:rPr>
          <w:rFonts w:asciiTheme="majorHAnsi" w:eastAsiaTheme="majorEastAsia" w:hAnsiTheme="majorHAnsi" w:cstheme="majorBidi"/>
          <w:bCs/>
          <w:color w:val="000000" w:themeColor="text1"/>
          <w:sz w:val="18"/>
          <w:szCs w:val="18"/>
        </w:rPr>
        <w:t xml:space="preserve">3. </w:t>
      </w:r>
      <w:r w:rsidR="00265886">
        <w:rPr>
          <w:rFonts w:asciiTheme="majorHAnsi" w:hAnsiTheme="majorHAnsi"/>
          <w:bCs/>
          <w:sz w:val="18"/>
          <w:szCs w:val="18"/>
        </w:rPr>
        <w:t>P</w:t>
      </w:r>
      <w:r w:rsidR="00A0692D" w:rsidRPr="000B06FD">
        <w:rPr>
          <w:rFonts w:asciiTheme="majorHAnsi" w:hAnsiTheme="majorHAnsi"/>
          <w:bCs/>
          <w:sz w:val="18"/>
          <w:szCs w:val="18"/>
        </w:rPr>
        <w:t>ositive number</w:t>
      </w:r>
      <w:r w:rsidR="00BB1B5B" w:rsidRPr="000B06FD">
        <w:rPr>
          <w:rFonts w:asciiTheme="majorHAnsi" w:hAnsiTheme="majorHAnsi"/>
          <w:bCs/>
          <w:sz w:val="18"/>
          <w:szCs w:val="18"/>
        </w:rPr>
        <w:t>s</w:t>
      </w:r>
      <w:r w:rsidR="00A0692D" w:rsidRPr="000B06FD">
        <w:rPr>
          <w:rFonts w:asciiTheme="majorHAnsi" w:hAnsiTheme="majorHAnsi"/>
          <w:bCs/>
          <w:sz w:val="18"/>
          <w:szCs w:val="18"/>
        </w:rPr>
        <w:t xml:space="preserve"> indicate that taxpayers owe more tax using formulas with higher weighted sales factor than using the formula with equal-weighted factors.</w:t>
      </w:r>
    </w:p>
    <w:p w14:paraId="66B0C302" w14:textId="77777777" w:rsidR="00A0692D" w:rsidRDefault="00A0692D" w:rsidP="00A0692D">
      <w:pPr>
        <w:tabs>
          <w:tab w:val="left" w:pos="5710"/>
        </w:tabs>
        <w:spacing w:after="0"/>
        <w:rPr>
          <w:rFonts w:asciiTheme="majorHAnsi" w:eastAsiaTheme="majorEastAsia" w:hAnsiTheme="majorHAnsi" w:cstheme="majorBidi"/>
          <w:bCs/>
          <w:color w:val="000000" w:themeColor="text1"/>
          <w:sz w:val="24"/>
          <w:szCs w:val="24"/>
        </w:rPr>
      </w:pPr>
    </w:p>
    <w:p w14:paraId="0C70FC9B" w14:textId="44C1EE9F" w:rsidR="00726280" w:rsidRDefault="00726280" w:rsidP="00726280">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By industry, Table A1-</w:t>
      </w:r>
      <w:r w:rsidR="0002775A">
        <w:rPr>
          <w:rFonts w:asciiTheme="majorHAnsi" w:eastAsiaTheme="majorEastAsia" w:hAnsiTheme="majorHAnsi" w:cstheme="majorBidi"/>
          <w:bCs/>
          <w:color w:val="000000" w:themeColor="text1"/>
          <w:sz w:val="24"/>
          <w:szCs w:val="24"/>
        </w:rPr>
        <w:t>8</w:t>
      </w:r>
      <w:r>
        <w:rPr>
          <w:rFonts w:asciiTheme="majorHAnsi" w:eastAsiaTheme="majorEastAsia" w:hAnsiTheme="majorHAnsi" w:cstheme="majorBidi"/>
          <w:bCs/>
          <w:color w:val="000000" w:themeColor="text1"/>
          <w:sz w:val="24"/>
          <w:szCs w:val="24"/>
        </w:rPr>
        <w:t xml:space="preserve"> </w:t>
      </w:r>
      <w:r w:rsidR="0085585D">
        <w:rPr>
          <w:rFonts w:asciiTheme="majorHAnsi" w:eastAsiaTheme="majorEastAsia" w:hAnsiTheme="majorHAnsi" w:cstheme="majorBidi"/>
          <w:bCs/>
          <w:color w:val="000000" w:themeColor="text1"/>
          <w:sz w:val="24"/>
          <w:szCs w:val="24"/>
        </w:rPr>
        <w:t xml:space="preserve">below </w:t>
      </w:r>
      <w:r>
        <w:rPr>
          <w:rFonts w:asciiTheme="majorHAnsi" w:eastAsiaTheme="majorEastAsia" w:hAnsiTheme="majorHAnsi" w:cstheme="majorBidi"/>
          <w:bCs/>
          <w:color w:val="000000" w:themeColor="text1"/>
          <w:sz w:val="24"/>
          <w:szCs w:val="24"/>
        </w:rPr>
        <w:t>shows that the “P</w:t>
      </w:r>
      <w:r w:rsidRPr="001052D6">
        <w:rPr>
          <w:rFonts w:asciiTheme="majorHAnsi" w:eastAsiaTheme="majorEastAsia" w:hAnsiTheme="majorHAnsi" w:cstheme="majorBidi"/>
          <w:bCs/>
          <w:color w:val="000000" w:themeColor="text1"/>
          <w:sz w:val="24"/>
          <w:szCs w:val="24"/>
        </w:rPr>
        <w:t xml:space="preserve">rofessional, </w:t>
      </w:r>
      <w:r>
        <w:rPr>
          <w:rFonts w:asciiTheme="majorHAnsi" w:eastAsiaTheme="majorEastAsia" w:hAnsiTheme="majorHAnsi" w:cstheme="majorBidi"/>
          <w:bCs/>
          <w:color w:val="000000" w:themeColor="text1"/>
          <w:sz w:val="24"/>
          <w:szCs w:val="24"/>
        </w:rPr>
        <w:t>S</w:t>
      </w:r>
      <w:r w:rsidRPr="001052D6">
        <w:rPr>
          <w:rFonts w:asciiTheme="majorHAnsi" w:eastAsiaTheme="majorEastAsia" w:hAnsiTheme="majorHAnsi" w:cstheme="majorBidi"/>
          <w:bCs/>
          <w:color w:val="000000" w:themeColor="text1"/>
          <w:sz w:val="24"/>
          <w:szCs w:val="24"/>
        </w:rPr>
        <w:t xml:space="preserve">cientific, and </w:t>
      </w:r>
      <w:r>
        <w:rPr>
          <w:rFonts w:asciiTheme="majorHAnsi" w:eastAsiaTheme="majorEastAsia" w:hAnsiTheme="majorHAnsi" w:cstheme="majorBidi"/>
          <w:bCs/>
          <w:color w:val="000000" w:themeColor="text1"/>
          <w:sz w:val="24"/>
          <w:szCs w:val="24"/>
        </w:rPr>
        <w:t>T</w:t>
      </w:r>
      <w:r w:rsidRPr="001052D6">
        <w:rPr>
          <w:rFonts w:asciiTheme="majorHAnsi" w:eastAsiaTheme="majorEastAsia" w:hAnsiTheme="majorHAnsi" w:cstheme="majorBidi"/>
          <w:bCs/>
          <w:color w:val="000000" w:themeColor="text1"/>
          <w:sz w:val="24"/>
          <w:szCs w:val="24"/>
        </w:rPr>
        <w:t xml:space="preserve">echnical </w:t>
      </w:r>
      <w:r>
        <w:rPr>
          <w:rFonts w:asciiTheme="majorHAnsi" w:eastAsiaTheme="majorEastAsia" w:hAnsiTheme="majorHAnsi" w:cstheme="majorBidi"/>
          <w:bCs/>
          <w:color w:val="000000" w:themeColor="text1"/>
          <w:sz w:val="24"/>
          <w:szCs w:val="24"/>
        </w:rPr>
        <w:t>S</w:t>
      </w:r>
      <w:r w:rsidRPr="001052D6">
        <w:rPr>
          <w:rFonts w:asciiTheme="majorHAnsi" w:eastAsiaTheme="majorEastAsia" w:hAnsiTheme="majorHAnsi" w:cstheme="majorBidi"/>
          <w:bCs/>
          <w:color w:val="000000" w:themeColor="text1"/>
          <w:sz w:val="24"/>
          <w:szCs w:val="24"/>
        </w:rPr>
        <w:t>ervices</w:t>
      </w:r>
      <w:r>
        <w:rPr>
          <w:rFonts w:asciiTheme="majorHAnsi" w:eastAsiaTheme="majorEastAsia" w:hAnsiTheme="majorHAnsi" w:cstheme="majorBidi"/>
          <w:bCs/>
          <w:color w:val="000000" w:themeColor="text1"/>
          <w:sz w:val="24"/>
          <w:szCs w:val="24"/>
        </w:rPr>
        <w:t xml:space="preserve">” industry represented about </w:t>
      </w:r>
      <w:r w:rsidR="009D1794">
        <w:rPr>
          <w:rFonts w:asciiTheme="majorHAnsi" w:eastAsiaTheme="majorEastAsia" w:hAnsiTheme="majorHAnsi" w:cstheme="majorBidi"/>
          <w:bCs/>
          <w:color w:val="000000" w:themeColor="text1"/>
          <w:sz w:val="24"/>
          <w:szCs w:val="24"/>
        </w:rPr>
        <w:t>17.1</w:t>
      </w:r>
      <w:r>
        <w:rPr>
          <w:rFonts w:asciiTheme="majorHAnsi" w:eastAsiaTheme="majorEastAsia" w:hAnsiTheme="majorHAnsi" w:cstheme="majorBidi"/>
          <w:bCs/>
          <w:color w:val="000000" w:themeColor="text1"/>
          <w:sz w:val="24"/>
          <w:szCs w:val="24"/>
        </w:rPr>
        <w:t xml:space="preserve">% of </w:t>
      </w:r>
      <w:r w:rsidR="009D1794">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 xml:space="preserve">tively impacted corporations and </w:t>
      </w:r>
      <w:r w:rsidR="009D1794">
        <w:rPr>
          <w:rFonts w:asciiTheme="majorHAnsi" w:eastAsiaTheme="majorEastAsia" w:hAnsiTheme="majorHAnsi" w:cstheme="majorBidi"/>
          <w:bCs/>
          <w:color w:val="000000" w:themeColor="text1"/>
          <w:sz w:val="24"/>
          <w:szCs w:val="24"/>
        </w:rPr>
        <w:t>4.8</w:t>
      </w:r>
      <w:r>
        <w:rPr>
          <w:rFonts w:asciiTheme="majorHAnsi" w:eastAsiaTheme="majorEastAsia" w:hAnsiTheme="majorHAnsi" w:cstheme="majorBidi"/>
          <w:bCs/>
          <w:color w:val="000000" w:themeColor="text1"/>
          <w:sz w:val="24"/>
          <w:szCs w:val="24"/>
        </w:rPr>
        <w:t xml:space="preserve">% of total tax </w:t>
      </w:r>
      <w:r w:rsidR="009D1794">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The “Manufacturing” industry represented about 1</w:t>
      </w:r>
      <w:r w:rsidR="009D1794">
        <w:rPr>
          <w:rFonts w:asciiTheme="majorHAnsi" w:eastAsiaTheme="majorEastAsia" w:hAnsiTheme="majorHAnsi" w:cstheme="majorBidi"/>
          <w:bCs/>
          <w:color w:val="000000" w:themeColor="text1"/>
          <w:sz w:val="24"/>
          <w:szCs w:val="24"/>
        </w:rPr>
        <w:t>8.2</w:t>
      </w:r>
      <w:r>
        <w:rPr>
          <w:rFonts w:asciiTheme="majorHAnsi" w:eastAsiaTheme="majorEastAsia" w:hAnsiTheme="majorHAnsi" w:cstheme="majorBidi"/>
          <w:bCs/>
          <w:color w:val="000000" w:themeColor="text1"/>
          <w:sz w:val="24"/>
          <w:szCs w:val="24"/>
        </w:rPr>
        <w:t xml:space="preserve">% of total </w:t>
      </w:r>
      <w:r w:rsidR="009D1794">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 xml:space="preserve">tively impacted corporations, </w:t>
      </w:r>
      <w:r w:rsidR="009D1794">
        <w:rPr>
          <w:rFonts w:asciiTheme="majorHAnsi" w:eastAsiaTheme="majorEastAsia" w:hAnsiTheme="majorHAnsi" w:cstheme="majorBidi"/>
          <w:bCs/>
          <w:color w:val="000000" w:themeColor="text1"/>
          <w:sz w:val="24"/>
          <w:szCs w:val="24"/>
        </w:rPr>
        <w:t>38.8</w:t>
      </w:r>
      <w:r>
        <w:rPr>
          <w:rFonts w:asciiTheme="majorHAnsi" w:eastAsiaTheme="majorEastAsia" w:hAnsiTheme="majorHAnsi" w:cstheme="majorBidi"/>
          <w:bCs/>
          <w:color w:val="000000" w:themeColor="text1"/>
          <w:sz w:val="24"/>
          <w:szCs w:val="24"/>
        </w:rPr>
        <w:t xml:space="preserve">% of total tax </w:t>
      </w:r>
      <w:r w:rsidR="009D1794">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and had the highest average tax </w:t>
      </w:r>
      <w:r w:rsidR="009D1794">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of $</w:t>
      </w:r>
      <w:r w:rsidR="009D1794">
        <w:rPr>
          <w:rFonts w:asciiTheme="majorHAnsi" w:eastAsiaTheme="majorEastAsia" w:hAnsiTheme="majorHAnsi" w:cstheme="majorBidi"/>
          <w:bCs/>
          <w:color w:val="000000" w:themeColor="text1"/>
          <w:sz w:val="24"/>
          <w:szCs w:val="24"/>
        </w:rPr>
        <w:t>35</w:t>
      </w:r>
      <w:r>
        <w:rPr>
          <w:rFonts w:asciiTheme="majorHAnsi" w:eastAsiaTheme="majorEastAsia" w:hAnsiTheme="majorHAnsi" w:cstheme="majorBidi"/>
          <w:bCs/>
          <w:color w:val="000000" w:themeColor="text1"/>
          <w:sz w:val="24"/>
          <w:szCs w:val="24"/>
        </w:rPr>
        <w:t>,000 compared with $</w:t>
      </w:r>
      <w:r w:rsidR="009D1794">
        <w:rPr>
          <w:rFonts w:asciiTheme="majorHAnsi" w:eastAsiaTheme="majorEastAsia" w:hAnsiTheme="majorHAnsi" w:cstheme="majorBidi"/>
          <w:bCs/>
          <w:color w:val="000000" w:themeColor="text1"/>
          <w:sz w:val="24"/>
          <w:szCs w:val="24"/>
        </w:rPr>
        <w:t>16</w:t>
      </w:r>
      <w:r>
        <w:rPr>
          <w:rFonts w:asciiTheme="majorHAnsi" w:eastAsiaTheme="majorEastAsia" w:hAnsiTheme="majorHAnsi" w:cstheme="majorBidi"/>
          <w:bCs/>
          <w:color w:val="000000" w:themeColor="text1"/>
          <w:sz w:val="24"/>
          <w:szCs w:val="24"/>
        </w:rPr>
        <w:t xml:space="preserve">,000 for all </w:t>
      </w:r>
      <w:r w:rsidR="009D1794">
        <w:rPr>
          <w:rFonts w:asciiTheme="majorHAnsi" w:eastAsiaTheme="majorEastAsia" w:hAnsiTheme="majorHAnsi" w:cstheme="majorBidi"/>
          <w:bCs/>
          <w:color w:val="000000" w:themeColor="text1"/>
          <w:sz w:val="24"/>
          <w:szCs w:val="24"/>
        </w:rPr>
        <w:t>nega</w:t>
      </w:r>
      <w:r>
        <w:rPr>
          <w:rFonts w:asciiTheme="majorHAnsi" w:eastAsiaTheme="majorEastAsia" w:hAnsiTheme="majorHAnsi" w:cstheme="majorBidi"/>
          <w:bCs/>
          <w:color w:val="000000" w:themeColor="text1"/>
          <w:sz w:val="24"/>
          <w:szCs w:val="24"/>
        </w:rPr>
        <w:t>tively affected corporations.</w:t>
      </w:r>
    </w:p>
    <w:p w14:paraId="00EB3164" w14:textId="77777777" w:rsidR="00726280" w:rsidRDefault="00726280" w:rsidP="00726280">
      <w:pPr>
        <w:spacing w:after="0"/>
        <w:rPr>
          <w:rFonts w:asciiTheme="majorHAnsi" w:eastAsiaTheme="majorEastAsia" w:hAnsiTheme="majorHAnsi" w:cstheme="majorBidi"/>
          <w:bCs/>
          <w:color w:val="000000" w:themeColor="text1"/>
          <w:sz w:val="24"/>
          <w:szCs w:val="24"/>
        </w:rPr>
      </w:pPr>
    </w:p>
    <w:p w14:paraId="59D28186" w14:textId="55AB4522" w:rsidR="00726280" w:rsidRDefault="00726280" w:rsidP="00726280">
      <w:pPr>
        <w:tabs>
          <w:tab w:val="left" w:pos="5710"/>
        </w:tabs>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A1-8</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C537D2">
        <w:rPr>
          <w:rFonts w:asciiTheme="majorHAnsi" w:hAnsiTheme="majorHAnsi"/>
          <w:b/>
          <w:sz w:val="24"/>
          <w:szCs w:val="24"/>
        </w:rPr>
        <w:t>Increase</w:t>
      </w:r>
      <w:r>
        <w:rPr>
          <w:rFonts w:asciiTheme="majorHAnsi" w:hAnsiTheme="majorHAnsi"/>
          <w:b/>
          <w:sz w:val="24"/>
          <w:szCs w:val="24"/>
        </w:rPr>
        <w:t xml:space="preserve"> </w:t>
      </w:r>
      <w:r w:rsidRPr="008F4A2D">
        <w:rPr>
          <w:rFonts w:asciiTheme="majorHAnsi" w:hAnsiTheme="majorHAnsi"/>
          <w:b/>
          <w:sz w:val="24"/>
          <w:szCs w:val="24"/>
        </w:rPr>
        <w:t xml:space="preserve">by </w:t>
      </w:r>
      <w:r>
        <w:rPr>
          <w:rFonts w:asciiTheme="majorHAnsi" w:hAnsiTheme="majorHAnsi"/>
          <w:b/>
          <w:sz w:val="24"/>
          <w:szCs w:val="24"/>
        </w:rPr>
        <w:t>Industry</w:t>
      </w:r>
      <w:r w:rsidR="00C537D2">
        <w:rPr>
          <w:rFonts w:asciiTheme="majorHAnsi" w:hAnsiTheme="majorHAnsi"/>
          <w:b/>
          <w:sz w:val="24"/>
          <w:szCs w:val="24"/>
        </w:rPr>
        <w:t xml:space="preserve"> </w:t>
      </w:r>
      <w:r w:rsidR="00C537D2" w:rsidRPr="00107265">
        <w:rPr>
          <w:rStyle w:val="FootnoteReference"/>
          <w:rFonts w:eastAsiaTheme="majorEastAsia"/>
          <w:b/>
          <w:bCs/>
          <w:color w:val="000000" w:themeColor="text1"/>
        </w:rPr>
        <w:t>(1)</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1350"/>
        <w:gridCol w:w="1350"/>
        <w:gridCol w:w="1530"/>
        <w:gridCol w:w="1080"/>
        <w:gridCol w:w="1170"/>
      </w:tblGrid>
      <w:tr w:rsidR="00726280" w:rsidRPr="00777B28" w14:paraId="56553E75" w14:textId="77777777" w:rsidTr="00847706">
        <w:trPr>
          <w:trHeight w:val="144"/>
          <w:jc w:val="center"/>
        </w:trPr>
        <w:tc>
          <w:tcPr>
            <w:tcW w:w="3235" w:type="dxa"/>
            <w:shd w:val="clear" w:color="auto" w:fill="B6DDE8" w:themeFill="accent5" w:themeFillTint="66"/>
            <w:vAlign w:val="center"/>
            <w:hideMark/>
          </w:tcPr>
          <w:p w14:paraId="7BBFD45C" w14:textId="77777777" w:rsidR="00726280" w:rsidRPr="00EE5936" w:rsidRDefault="00726280" w:rsidP="00690837">
            <w:pPr>
              <w:spacing w:after="0" w:line="240" w:lineRule="auto"/>
              <w:jc w:val="center"/>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Industry </w:t>
            </w:r>
          </w:p>
        </w:tc>
        <w:tc>
          <w:tcPr>
            <w:tcW w:w="1350" w:type="dxa"/>
            <w:shd w:val="clear" w:color="auto" w:fill="B6DDE8" w:themeFill="accent5" w:themeFillTint="66"/>
            <w:vAlign w:val="center"/>
            <w:hideMark/>
          </w:tcPr>
          <w:p w14:paraId="0942BB32" w14:textId="484DACA7" w:rsidR="00726280" w:rsidRPr="00EE5936" w:rsidRDefault="00726280" w:rsidP="00690837">
            <w:pPr>
              <w:spacing w:after="0" w:line="240" w:lineRule="auto"/>
              <w:jc w:val="center"/>
              <w:rPr>
                <w:rFonts w:asciiTheme="majorHAnsi" w:eastAsia="Times New Roman" w:hAnsiTheme="majorHAnsi" w:cs="Helvetica"/>
                <w:color w:val="000000"/>
                <w:sz w:val="20"/>
                <w:szCs w:val="20"/>
                <w:lang w:eastAsia="ko-KR"/>
              </w:rPr>
            </w:pPr>
            <w:r w:rsidRPr="005000AB">
              <w:rPr>
                <w:rFonts w:ascii="Cambria" w:eastAsia="Times New Roman" w:hAnsi="Cambria" w:cs="Helvetica"/>
                <w:color w:val="000000"/>
                <w:sz w:val="20"/>
                <w:szCs w:val="20"/>
                <w:lang w:eastAsia="ko-KR"/>
              </w:rPr>
              <w:t xml:space="preserve">Number of </w:t>
            </w:r>
            <w:r w:rsidR="0016347E">
              <w:rPr>
                <w:rFonts w:ascii="Cambria" w:eastAsia="Times New Roman" w:hAnsi="Cambria" w:cs="Helvetica"/>
                <w:color w:val="000000"/>
                <w:sz w:val="20"/>
                <w:szCs w:val="20"/>
                <w:lang w:eastAsia="ko-KR"/>
              </w:rPr>
              <w:t>Negatively</w:t>
            </w:r>
            <w:r w:rsidR="0016347E" w:rsidRPr="00D5431D">
              <w:rPr>
                <w:rFonts w:ascii="Cambria" w:eastAsia="Times New Roman" w:hAnsi="Cambria" w:cs="Helvetica"/>
                <w:color w:val="000000"/>
                <w:sz w:val="20"/>
                <w:szCs w:val="20"/>
                <w:lang w:eastAsia="ko-KR"/>
              </w:rPr>
              <w:t xml:space="preserve"> </w:t>
            </w:r>
            <w:r w:rsidRPr="005000AB">
              <w:rPr>
                <w:rFonts w:ascii="Cambria" w:eastAsia="Times New Roman" w:hAnsi="Cambria" w:cs="Helvetica"/>
                <w:color w:val="000000"/>
                <w:sz w:val="20"/>
                <w:szCs w:val="20"/>
                <w:lang w:eastAsia="ko-KR"/>
              </w:rPr>
              <w:t>Impacted Corporations</w:t>
            </w:r>
          </w:p>
        </w:tc>
        <w:tc>
          <w:tcPr>
            <w:tcW w:w="1350" w:type="dxa"/>
            <w:shd w:val="clear" w:color="auto" w:fill="B6DDE8" w:themeFill="accent5" w:themeFillTint="66"/>
            <w:vAlign w:val="center"/>
            <w:hideMark/>
          </w:tcPr>
          <w:p w14:paraId="601424AF" w14:textId="66E55191" w:rsidR="00726280" w:rsidRPr="00EE5936" w:rsidRDefault="00726280" w:rsidP="00690837">
            <w:pPr>
              <w:spacing w:after="0" w:line="240" w:lineRule="auto"/>
              <w:jc w:val="center"/>
              <w:rPr>
                <w:rFonts w:asciiTheme="majorHAnsi" w:eastAsia="Times New Roman" w:hAnsiTheme="majorHAnsi" w:cs="Helvetica"/>
                <w:i/>
                <w:iCs/>
                <w:color w:val="000000"/>
                <w:sz w:val="20"/>
                <w:szCs w:val="20"/>
                <w:lang w:eastAsia="ko-KR"/>
              </w:rPr>
            </w:pPr>
            <w:r w:rsidRPr="005000AB">
              <w:rPr>
                <w:rFonts w:ascii="Cambria" w:eastAsia="Times New Roman" w:hAnsi="Cambria" w:cs="Helvetica"/>
                <w:color w:val="000000"/>
                <w:sz w:val="20"/>
                <w:szCs w:val="20"/>
                <w:lang w:eastAsia="ko-KR"/>
              </w:rPr>
              <w:t xml:space="preserve">% of Total Number of </w:t>
            </w:r>
            <w:r w:rsidR="0016347E">
              <w:rPr>
                <w:rFonts w:ascii="Cambria" w:eastAsia="Times New Roman" w:hAnsi="Cambria" w:cs="Helvetica"/>
                <w:color w:val="000000"/>
                <w:sz w:val="20"/>
                <w:szCs w:val="20"/>
                <w:lang w:eastAsia="ko-KR"/>
              </w:rPr>
              <w:t>Negatively</w:t>
            </w:r>
            <w:r w:rsidR="0016347E" w:rsidRPr="00D5431D">
              <w:rPr>
                <w:rFonts w:ascii="Cambria" w:eastAsia="Times New Roman" w:hAnsi="Cambria" w:cs="Helvetica"/>
                <w:color w:val="000000"/>
                <w:sz w:val="20"/>
                <w:szCs w:val="20"/>
                <w:lang w:eastAsia="ko-KR"/>
              </w:rPr>
              <w:t xml:space="preserve"> </w:t>
            </w:r>
            <w:r w:rsidRPr="005000AB">
              <w:rPr>
                <w:rFonts w:ascii="Cambria" w:eastAsia="Times New Roman" w:hAnsi="Cambria" w:cs="Helvetica"/>
                <w:color w:val="000000"/>
                <w:sz w:val="20"/>
                <w:szCs w:val="20"/>
                <w:lang w:eastAsia="ko-KR"/>
              </w:rPr>
              <w:t>Impacted Corporations</w:t>
            </w:r>
          </w:p>
        </w:tc>
        <w:tc>
          <w:tcPr>
            <w:tcW w:w="1530" w:type="dxa"/>
            <w:shd w:val="clear" w:color="auto" w:fill="B6DDE8" w:themeFill="accent5" w:themeFillTint="66"/>
            <w:vAlign w:val="center"/>
            <w:hideMark/>
          </w:tcPr>
          <w:p w14:paraId="7FD03E43" w14:textId="56C22E0D" w:rsidR="00726280" w:rsidRPr="00EE5936" w:rsidRDefault="00726280" w:rsidP="00690837">
            <w:pPr>
              <w:spacing w:after="0" w:line="240" w:lineRule="auto"/>
              <w:jc w:val="center"/>
              <w:rPr>
                <w:rFonts w:asciiTheme="majorHAnsi" w:eastAsia="Times New Roman" w:hAnsiTheme="majorHAnsi" w:cs="Helvetica"/>
                <w:color w:val="000000"/>
                <w:sz w:val="20"/>
                <w:szCs w:val="20"/>
                <w:lang w:eastAsia="ko-KR"/>
              </w:rPr>
            </w:pPr>
            <w:r w:rsidRPr="005000AB">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r w:rsidRPr="005000AB">
              <w:rPr>
                <w:rFonts w:ascii="Cambria" w:eastAsia="Times New Roman" w:hAnsi="Cambria" w:cs="Helvetica"/>
                <w:color w:val="000000"/>
                <w:sz w:val="20"/>
                <w:szCs w:val="20"/>
                <w:lang w:eastAsia="ko-KR"/>
              </w:rPr>
              <w:t xml:space="preserve"> using Formulas with </w:t>
            </w:r>
            <w:r>
              <w:rPr>
                <w:rFonts w:ascii="Cambria" w:eastAsia="Times New Roman" w:hAnsi="Cambria" w:cs="Helvetica"/>
                <w:color w:val="000000"/>
                <w:sz w:val="20"/>
                <w:szCs w:val="20"/>
                <w:lang w:eastAsia="ko-KR"/>
              </w:rPr>
              <w:t>Higher</w:t>
            </w:r>
            <w:r w:rsidRPr="005000AB">
              <w:rPr>
                <w:rFonts w:ascii="Cambria" w:eastAsia="Times New Roman" w:hAnsi="Cambria" w:cs="Helvetica"/>
                <w:color w:val="000000"/>
                <w:sz w:val="20"/>
                <w:szCs w:val="20"/>
                <w:lang w:eastAsia="ko-KR"/>
              </w:rPr>
              <w:t xml:space="preserve"> Weighted Sales </w:t>
            </w:r>
            <w:r w:rsidRPr="005000AB">
              <w:rPr>
                <w:rFonts w:ascii="Cambria" w:eastAsia="Times New Roman" w:hAnsi="Cambria" w:cs="Helvetica"/>
                <w:color w:val="000000"/>
                <w:sz w:val="20"/>
                <w:szCs w:val="20"/>
                <w:lang w:eastAsia="ko-KR"/>
              </w:rPr>
              <w:lastRenderedPageBreak/>
              <w:t>Factor ($000)</w:t>
            </w:r>
            <w:r w:rsidR="00C537D2" w:rsidRPr="00107265">
              <w:rPr>
                <w:rStyle w:val="FootnoteReference"/>
                <w:rFonts w:eastAsiaTheme="majorEastAsia"/>
                <w:color w:val="000000" w:themeColor="text1"/>
              </w:rPr>
              <w:t xml:space="preserve"> (</w:t>
            </w:r>
            <w:r w:rsidR="00C537D2">
              <w:rPr>
                <w:rStyle w:val="FootnoteReference"/>
                <w:rFonts w:eastAsiaTheme="majorEastAsia"/>
                <w:color w:val="000000" w:themeColor="text1"/>
              </w:rPr>
              <w:t>3</w:t>
            </w:r>
            <w:r w:rsidR="00C537D2" w:rsidRPr="00107265">
              <w:rPr>
                <w:rStyle w:val="FootnoteReference"/>
                <w:rFonts w:eastAsiaTheme="majorEastAsia"/>
                <w:color w:val="000000" w:themeColor="text1"/>
              </w:rPr>
              <w:t>)</w:t>
            </w:r>
          </w:p>
        </w:tc>
        <w:tc>
          <w:tcPr>
            <w:tcW w:w="1080" w:type="dxa"/>
            <w:shd w:val="clear" w:color="auto" w:fill="B6DDE8" w:themeFill="accent5" w:themeFillTint="66"/>
            <w:vAlign w:val="center"/>
            <w:hideMark/>
          </w:tcPr>
          <w:p w14:paraId="72F197BC" w14:textId="5F4880BA" w:rsidR="00726280" w:rsidRPr="00EE5936" w:rsidRDefault="00726280" w:rsidP="00690837">
            <w:pPr>
              <w:spacing w:after="0" w:line="240" w:lineRule="auto"/>
              <w:jc w:val="center"/>
              <w:rPr>
                <w:rFonts w:asciiTheme="majorHAnsi" w:eastAsia="Times New Roman" w:hAnsiTheme="majorHAnsi" w:cs="Helvetica"/>
                <w:i/>
                <w:iCs/>
                <w:color w:val="000000"/>
                <w:sz w:val="20"/>
                <w:szCs w:val="20"/>
                <w:lang w:eastAsia="ko-KR"/>
              </w:rPr>
            </w:pPr>
            <w:r w:rsidRPr="005000AB">
              <w:rPr>
                <w:rFonts w:ascii="Cambria" w:eastAsia="Times New Roman" w:hAnsi="Cambria" w:cs="Helvetica"/>
                <w:color w:val="000000"/>
                <w:sz w:val="20"/>
                <w:szCs w:val="20"/>
                <w:lang w:eastAsia="ko-KR"/>
              </w:rPr>
              <w:lastRenderedPageBreak/>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p>
        </w:tc>
        <w:tc>
          <w:tcPr>
            <w:tcW w:w="1170" w:type="dxa"/>
            <w:shd w:val="clear" w:color="auto" w:fill="B6DDE8" w:themeFill="accent5" w:themeFillTint="66"/>
            <w:vAlign w:val="center"/>
            <w:hideMark/>
          </w:tcPr>
          <w:p w14:paraId="3956E9D4" w14:textId="7EB9976A" w:rsidR="00726280" w:rsidRPr="00EE5936" w:rsidRDefault="00726280" w:rsidP="00690837">
            <w:pPr>
              <w:spacing w:after="0" w:line="240" w:lineRule="auto"/>
              <w:jc w:val="center"/>
              <w:rPr>
                <w:rFonts w:asciiTheme="majorHAnsi" w:eastAsia="Times New Roman" w:hAnsiTheme="majorHAnsi" w:cs="Helvetica"/>
                <w:color w:val="000000"/>
                <w:sz w:val="20"/>
                <w:szCs w:val="20"/>
                <w:lang w:eastAsia="ko-KR"/>
              </w:rPr>
            </w:pPr>
            <w:r w:rsidRPr="005000AB">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6F63CA">
              <w:rPr>
                <w:rFonts w:ascii="Cambria" w:eastAsia="Times New Roman" w:hAnsi="Cambria" w:cs="Helvetica"/>
                <w:color w:val="000000"/>
                <w:sz w:val="20"/>
                <w:szCs w:val="20"/>
                <w:lang w:eastAsia="ko-KR"/>
              </w:rPr>
              <w:t>Increase</w:t>
            </w:r>
            <w:r w:rsidRPr="005000AB">
              <w:rPr>
                <w:rFonts w:ascii="Cambria" w:eastAsia="Times New Roman" w:hAnsi="Cambria" w:cs="Helvetica"/>
                <w:color w:val="000000"/>
                <w:sz w:val="20"/>
                <w:szCs w:val="20"/>
                <w:lang w:eastAsia="ko-KR"/>
              </w:rPr>
              <w:t xml:space="preserve"> per </w:t>
            </w:r>
            <w:r w:rsidR="0016347E">
              <w:rPr>
                <w:rFonts w:ascii="Cambria" w:eastAsia="Times New Roman" w:hAnsi="Cambria" w:cs="Helvetica"/>
                <w:color w:val="000000"/>
                <w:sz w:val="20"/>
                <w:szCs w:val="20"/>
                <w:lang w:eastAsia="ko-KR"/>
              </w:rPr>
              <w:t>Negatively</w:t>
            </w:r>
            <w:r w:rsidR="0016347E" w:rsidRPr="00D5431D">
              <w:rPr>
                <w:rFonts w:ascii="Cambria" w:eastAsia="Times New Roman" w:hAnsi="Cambria" w:cs="Helvetica"/>
                <w:color w:val="000000"/>
                <w:sz w:val="20"/>
                <w:szCs w:val="20"/>
                <w:lang w:eastAsia="ko-KR"/>
              </w:rPr>
              <w:t xml:space="preserve"> </w:t>
            </w:r>
            <w:r w:rsidRPr="005000AB">
              <w:rPr>
                <w:rFonts w:ascii="Cambria" w:eastAsia="Times New Roman" w:hAnsi="Cambria" w:cs="Helvetica"/>
                <w:color w:val="000000"/>
                <w:sz w:val="20"/>
                <w:szCs w:val="20"/>
                <w:lang w:eastAsia="ko-KR"/>
              </w:rPr>
              <w:lastRenderedPageBreak/>
              <w:t>Impacted Corporation ($000)</w:t>
            </w:r>
            <w:r w:rsidR="00C537D2">
              <w:rPr>
                <w:rFonts w:ascii="Cambria" w:eastAsia="Times New Roman" w:hAnsi="Cambria" w:cs="Helvetica"/>
                <w:color w:val="000000"/>
                <w:sz w:val="20"/>
                <w:szCs w:val="20"/>
                <w:lang w:eastAsia="ko-KR"/>
              </w:rPr>
              <w:t xml:space="preserve"> </w:t>
            </w:r>
            <w:r w:rsidR="00C537D2" w:rsidRPr="00107265">
              <w:rPr>
                <w:rStyle w:val="FootnoteReference"/>
                <w:rFonts w:eastAsiaTheme="majorEastAsia"/>
                <w:color w:val="000000" w:themeColor="text1"/>
              </w:rPr>
              <w:t>(</w:t>
            </w:r>
            <w:r w:rsidR="00C537D2">
              <w:rPr>
                <w:rStyle w:val="FootnoteReference"/>
                <w:rFonts w:eastAsiaTheme="majorEastAsia"/>
                <w:color w:val="000000" w:themeColor="text1"/>
              </w:rPr>
              <w:t>3</w:t>
            </w:r>
            <w:r w:rsidR="00C537D2" w:rsidRPr="00107265">
              <w:rPr>
                <w:rStyle w:val="FootnoteReference"/>
                <w:rFonts w:eastAsiaTheme="majorEastAsia"/>
                <w:color w:val="000000" w:themeColor="text1"/>
              </w:rPr>
              <w:t>)</w:t>
            </w:r>
          </w:p>
        </w:tc>
      </w:tr>
      <w:tr w:rsidR="00D15853" w:rsidRPr="00777B28" w14:paraId="22FC70A7" w14:textId="77777777" w:rsidTr="00847706">
        <w:trPr>
          <w:trHeight w:val="144"/>
          <w:jc w:val="center"/>
        </w:trPr>
        <w:tc>
          <w:tcPr>
            <w:tcW w:w="3235" w:type="dxa"/>
            <w:shd w:val="clear" w:color="auto" w:fill="auto"/>
            <w:vAlign w:val="center"/>
            <w:hideMark/>
          </w:tcPr>
          <w:p w14:paraId="1F4A038B"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lastRenderedPageBreak/>
              <w:t xml:space="preserve"> 11 Agriculture, Forestry, Fishing and Hunting </w:t>
            </w:r>
          </w:p>
        </w:tc>
        <w:tc>
          <w:tcPr>
            <w:tcW w:w="1350" w:type="dxa"/>
            <w:shd w:val="clear" w:color="auto" w:fill="auto"/>
            <w:vAlign w:val="center"/>
            <w:hideMark/>
          </w:tcPr>
          <w:p w14:paraId="7576BAB1" w14:textId="56168FD2"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39</w:t>
            </w:r>
          </w:p>
        </w:tc>
        <w:tc>
          <w:tcPr>
            <w:tcW w:w="1350" w:type="dxa"/>
            <w:shd w:val="clear" w:color="auto" w:fill="auto"/>
            <w:vAlign w:val="center"/>
            <w:hideMark/>
          </w:tcPr>
          <w:p w14:paraId="66E51847" w14:textId="7001E31E"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0.4%</w:t>
            </w:r>
          </w:p>
        </w:tc>
        <w:tc>
          <w:tcPr>
            <w:tcW w:w="1530" w:type="dxa"/>
            <w:shd w:val="clear" w:color="auto" w:fill="auto"/>
            <w:vAlign w:val="center"/>
          </w:tcPr>
          <w:p w14:paraId="7DE13EEB" w14:textId="392D79AA"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$190.9</w:t>
            </w:r>
          </w:p>
        </w:tc>
        <w:tc>
          <w:tcPr>
            <w:tcW w:w="1080" w:type="dxa"/>
            <w:shd w:val="clear" w:color="auto" w:fill="auto"/>
            <w:vAlign w:val="center"/>
          </w:tcPr>
          <w:p w14:paraId="4537C97D" w14:textId="63546AD1"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170" w:type="dxa"/>
            <w:shd w:val="clear" w:color="auto" w:fill="auto"/>
            <w:vAlign w:val="center"/>
          </w:tcPr>
          <w:p w14:paraId="08398DAA" w14:textId="712C06D3"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$5</w:t>
            </w:r>
          </w:p>
        </w:tc>
      </w:tr>
      <w:tr w:rsidR="00D15853" w:rsidRPr="00777B28" w14:paraId="1B0048D8" w14:textId="77777777" w:rsidTr="00847706">
        <w:trPr>
          <w:trHeight w:val="144"/>
          <w:jc w:val="center"/>
        </w:trPr>
        <w:tc>
          <w:tcPr>
            <w:tcW w:w="3235" w:type="dxa"/>
            <w:shd w:val="clear" w:color="auto" w:fill="auto"/>
            <w:vAlign w:val="center"/>
            <w:hideMark/>
          </w:tcPr>
          <w:p w14:paraId="497A6B7E"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21 Mining, Quarrying, and Oil and Gas Extract </w:t>
            </w:r>
          </w:p>
        </w:tc>
        <w:tc>
          <w:tcPr>
            <w:tcW w:w="1350" w:type="dxa"/>
            <w:shd w:val="clear" w:color="auto" w:fill="auto"/>
            <w:vAlign w:val="center"/>
            <w:hideMark/>
          </w:tcPr>
          <w:p w14:paraId="787A9CC8" w14:textId="3A985131"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8</w:t>
            </w:r>
          </w:p>
        </w:tc>
        <w:tc>
          <w:tcPr>
            <w:tcW w:w="1350" w:type="dxa"/>
            <w:shd w:val="clear" w:color="auto" w:fill="auto"/>
            <w:vAlign w:val="center"/>
            <w:hideMark/>
          </w:tcPr>
          <w:p w14:paraId="12DDA6F6" w14:textId="212669FD"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0.1%</w:t>
            </w:r>
          </w:p>
        </w:tc>
        <w:tc>
          <w:tcPr>
            <w:tcW w:w="1530" w:type="dxa"/>
            <w:shd w:val="clear" w:color="auto" w:fill="auto"/>
            <w:vAlign w:val="center"/>
          </w:tcPr>
          <w:p w14:paraId="5C5ADA0C" w14:textId="3B01100D"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$10.2</w:t>
            </w:r>
          </w:p>
        </w:tc>
        <w:tc>
          <w:tcPr>
            <w:tcW w:w="1080" w:type="dxa"/>
            <w:shd w:val="clear" w:color="auto" w:fill="auto"/>
            <w:vAlign w:val="center"/>
          </w:tcPr>
          <w:p w14:paraId="246BDE6B" w14:textId="2ADDFB1D"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170" w:type="dxa"/>
            <w:shd w:val="clear" w:color="auto" w:fill="auto"/>
            <w:vAlign w:val="center"/>
          </w:tcPr>
          <w:p w14:paraId="59408377" w14:textId="487A29EF"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w:t>
            </w:r>
          </w:p>
        </w:tc>
      </w:tr>
      <w:tr w:rsidR="00D15853" w:rsidRPr="00777B28" w14:paraId="781B27C6" w14:textId="77777777" w:rsidTr="00847706">
        <w:trPr>
          <w:trHeight w:val="144"/>
          <w:jc w:val="center"/>
        </w:trPr>
        <w:tc>
          <w:tcPr>
            <w:tcW w:w="3235" w:type="dxa"/>
            <w:shd w:val="clear" w:color="auto" w:fill="auto"/>
            <w:vAlign w:val="center"/>
            <w:hideMark/>
          </w:tcPr>
          <w:p w14:paraId="74F74D6C"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22 Utilities </w:t>
            </w:r>
          </w:p>
        </w:tc>
        <w:tc>
          <w:tcPr>
            <w:tcW w:w="1350" w:type="dxa"/>
            <w:shd w:val="clear" w:color="auto" w:fill="auto"/>
            <w:vAlign w:val="center"/>
            <w:hideMark/>
          </w:tcPr>
          <w:p w14:paraId="4E6228F6" w14:textId="006F9FD8"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15</w:t>
            </w:r>
          </w:p>
        </w:tc>
        <w:tc>
          <w:tcPr>
            <w:tcW w:w="1350" w:type="dxa"/>
            <w:shd w:val="clear" w:color="auto" w:fill="auto"/>
            <w:vAlign w:val="center"/>
            <w:hideMark/>
          </w:tcPr>
          <w:p w14:paraId="26CA419B" w14:textId="4EF9A7AC"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0.2%</w:t>
            </w:r>
          </w:p>
        </w:tc>
        <w:tc>
          <w:tcPr>
            <w:tcW w:w="1530" w:type="dxa"/>
            <w:shd w:val="clear" w:color="auto" w:fill="auto"/>
            <w:vAlign w:val="center"/>
          </w:tcPr>
          <w:p w14:paraId="3843A1CA" w14:textId="1E9547CF"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$47.6</w:t>
            </w:r>
          </w:p>
        </w:tc>
        <w:tc>
          <w:tcPr>
            <w:tcW w:w="1080" w:type="dxa"/>
            <w:shd w:val="clear" w:color="auto" w:fill="auto"/>
            <w:vAlign w:val="center"/>
          </w:tcPr>
          <w:p w14:paraId="15A28AFE" w14:textId="2D81A146"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170" w:type="dxa"/>
            <w:shd w:val="clear" w:color="auto" w:fill="auto"/>
            <w:vAlign w:val="center"/>
          </w:tcPr>
          <w:p w14:paraId="17BAE620" w14:textId="74C487E5"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D15853" w:rsidRPr="00777B28" w14:paraId="2512AEDE" w14:textId="77777777" w:rsidTr="00847706">
        <w:trPr>
          <w:trHeight w:val="144"/>
          <w:jc w:val="center"/>
        </w:trPr>
        <w:tc>
          <w:tcPr>
            <w:tcW w:w="3235" w:type="dxa"/>
            <w:shd w:val="clear" w:color="auto" w:fill="auto"/>
            <w:vAlign w:val="center"/>
            <w:hideMark/>
          </w:tcPr>
          <w:p w14:paraId="44D1C214"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23 Construction </w:t>
            </w:r>
          </w:p>
        </w:tc>
        <w:tc>
          <w:tcPr>
            <w:tcW w:w="1350" w:type="dxa"/>
            <w:shd w:val="clear" w:color="auto" w:fill="auto"/>
            <w:vAlign w:val="center"/>
            <w:hideMark/>
          </w:tcPr>
          <w:p w14:paraId="3E0F4984" w14:textId="5553C92E"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611</w:t>
            </w:r>
          </w:p>
        </w:tc>
        <w:tc>
          <w:tcPr>
            <w:tcW w:w="1350" w:type="dxa"/>
            <w:shd w:val="clear" w:color="auto" w:fill="auto"/>
            <w:vAlign w:val="center"/>
            <w:hideMark/>
          </w:tcPr>
          <w:p w14:paraId="6B841508" w14:textId="5FD0AC92"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6.3%</w:t>
            </w:r>
          </w:p>
        </w:tc>
        <w:tc>
          <w:tcPr>
            <w:tcW w:w="1530" w:type="dxa"/>
            <w:shd w:val="clear" w:color="auto" w:fill="auto"/>
            <w:vAlign w:val="center"/>
          </w:tcPr>
          <w:p w14:paraId="4527CA11" w14:textId="3DFB933C"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$1,112.4</w:t>
            </w:r>
          </w:p>
        </w:tc>
        <w:tc>
          <w:tcPr>
            <w:tcW w:w="1080" w:type="dxa"/>
            <w:shd w:val="clear" w:color="auto" w:fill="auto"/>
            <w:vAlign w:val="center"/>
          </w:tcPr>
          <w:p w14:paraId="227FD940" w14:textId="445EF5A0"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0.7%</w:t>
            </w:r>
          </w:p>
        </w:tc>
        <w:tc>
          <w:tcPr>
            <w:tcW w:w="1170" w:type="dxa"/>
            <w:shd w:val="clear" w:color="auto" w:fill="auto"/>
            <w:vAlign w:val="center"/>
          </w:tcPr>
          <w:p w14:paraId="1DBE3562" w14:textId="051FC4B7"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w:t>
            </w:r>
          </w:p>
        </w:tc>
      </w:tr>
      <w:tr w:rsidR="00D15853" w:rsidRPr="00777B28" w14:paraId="1BEB13FA" w14:textId="77777777" w:rsidTr="00847706">
        <w:trPr>
          <w:trHeight w:val="144"/>
          <w:jc w:val="center"/>
        </w:trPr>
        <w:tc>
          <w:tcPr>
            <w:tcW w:w="3235" w:type="dxa"/>
            <w:shd w:val="clear" w:color="auto" w:fill="auto"/>
            <w:vAlign w:val="center"/>
            <w:hideMark/>
          </w:tcPr>
          <w:p w14:paraId="58CB5250"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31-33 Manufacturing </w:t>
            </w:r>
          </w:p>
        </w:tc>
        <w:tc>
          <w:tcPr>
            <w:tcW w:w="1350" w:type="dxa"/>
            <w:shd w:val="clear" w:color="auto" w:fill="auto"/>
            <w:vAlign w:val="center"/>
            <w:hideMark/>
          </w:tcPr>
          <w:p w14:paraId="0B21B4D6" w14:textId="0A59CDE5"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1,756</w:t>
            </w:r>
          </w:p>
        </w:tc>
        <w:tc>
          <w:tcPr>
            <w:tcW w:w="1350" w:type="dxa"/>
            <w:shd w:val="clear" w:color="auto" w:fill="auto"/>
            <w:vAlign w:val="center"/>
            <w:hideMark/>
          </w:tcPr>
          <w:p w14:paraId="27232D31" w14:textId="303F52B4"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18.2%</w:t>
            </w:r>
          </w:p>
        </w:tc>
        <w:tc>
          <w:tcPr>
            <w:tcW w:w="1530" w:type="dxa"/>
            <w:shd w:val="clear" w:color="auto" w:fill="auto"/>
            <w:vAlign w:val="center"/>
          </w:tcPr>
          <w:p w14:paraId="0B89742A" w14:textId="3120B21B"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$61,666.0</w:t>
            </w:r>
          </w:p>
        </w:tc>
        <w:tc>
          <w:tcPr>
            <w:tcW w:w="1080" w:type="dxa"/>
            <w:shd w:val="clear" w:color="auto" w:fill="auto"/>
            <w:vAlign w:val="center"/>
          </w:tcPr>
          <w:p w14:paraId="333A2E0D" w14:textId="764B65C0"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38.8%</w:t>
            </w:r>
          </w:p>
        </w:tc>
        <w:tc>
          <w:tcPr>
            <w:tcW w:w="1170" w:type="dxa"/>
            <w:shd w:val="clear" w:color="auto" w:fill="auto"/>
            <w:vAlign w:val="center"/>
          </w:tcPr>
          <w:p w14:paraId="5A056470" w14:textId="1042D8B4"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$35</w:t>
            </w:r>
          </w:p>
        </w:tc>
      </w:tr>
      <w:tr w:rsidR="00D15853" w:rsidRPr="00777B28" w14:paraId="43DA8642" w14:textId="77777777" w:rsidTr="00847706">
        <w:trPr>
          <w:trHeight w:val="144"/>
          <w:jc w:val="center"/>
        </w:trPr>
        <w:tc>
          <w:tcPr>
            <w:tcW w:w="3235" w:type="dxa"/>
            <w:shd w:val="clear" w:color="auto" w:fill="auto"/>
            <w:vAlign w:val="center"/>
            <w:hideMark/>
          </w:tcPr>
          <w:p w14:paraId="246A17E4"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42 Wholesale Trade </w:t>
            </w:r>
          </w:p>
        </w:tc>
        <w:tc>
          <w:tcPr>
            <w:tcW w:w="1350" w:type="dxa"/>
            <w:shd w:val="clear" w:color="auto" w:fill="auto"/>
            <w:vAlign w:val="center"/>
            <w:hideMark/>
          </w:tcPr>
          <w:p w14:paraId="152356E7" w14:textId="323C8383"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1,207</w:t>
            </w:r>
          </w:p>
        </w:tc>
        <w:tc>
          <w:tcPr>
            <w:tcW w:w="1350" w:type="dxa"/>
            <w:shd w:val="clear" w:color="auto" w:fill="auto"/>
            <w:vAlign w:val="center"/>
            <w:hideMark/>
          </w:tcPr>
          <w:p w14:paraId="07C9A3EE" w14:textId="574B75D5"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12.5%</w:t>
            </w:r>
          </w:p>
        </w:tc>
        <w:tc>
          <w:tcPr>
            <w:tcW w:w="1530" w:type="dxa"/>
            <w:shd w:val="clear" w:color="auto" w:fill="auto"/>
            <w:vAlign w:val="center"/>
          </w:tcPr>
          <w:p w14:paraId="5DA283ED" w14:textId="2B6A362E"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$20,876.4</w:t>
            </w:r>
          </w:p>
        </w:tc>
        <w:tc>
          <w:tcPr>
            <w:tcW w:w="1080" w:type="dxa"/>
            <w:shd w:val="clear" w:color="auto" w:fill="auto"/>
            <w:vAlign w:val="center"/>
          </w:tcPr>
          <w:p w14:paraId="3EAC0A37" w14:textId="26DBE064"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13.1%</w:t>
            </w:r>
          </w:p>
        </w:tc>
        <w:tc>
          <w:tcPr>
            <w:tcW w:w="1170" w:type="dxa"/>
            <w:shd w:val="clear" w:color="auto" w:fill="auto"/>
            <w:vAlign w:val="center"/>
          </w:tcPr>
          <w:p w14:paraId="6910C821" w14:textId="0BE00DD7"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$17</w:t>
            </w:r>
          </w:p>
        </w:tc>
      </w:tr>
      <w:tr w:rsidR="00D15853" w:rsidRPr="00777B28" w14:paraId="53AA44E1" w14:textId="77777777" w:rsidTr="00847706">
        <w:trPr>
          <w:trHeight w:val="144"/>
          <w:jc w:val="center"/>
        </w:trPr>
        <w:tc>
          <w:tcPr>
            <w:tcW w:w="3235" w:type="dxa"/>
            <w:shd w:val="clear" w:color="auto" w:fill="auto"/>
            <w:vAlign w:val="center"/>
            <w:hideMark/>
          </w:tcPr>
          <w:p w14:paraId="315D7DE0"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44-45 Retail Trade </w:t>
            </w:r>
          </w:p>
        </w:tc>
        <w:tc>
          <w:tcPr>
            <w:tcW w:w="1350" w:type="dxa"/>
            <w:shd w:val="clear" w:color="auto" w:fill="auto"/>
            <w:vAlign w:val="center"/>
            <w:hideMark/>
          </w:tcPr>
          <w:p w14:paraId="6AB2C36E" w14:textId="568E10B4"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514</w:t>
            </w:r>
          </w:p>
        </w:tc>
        <w:tc>
          <w:tcPr>
            <w:tcW w:w="1350" w:type="dxa"/>
            <w:shd w:val="clear" w:color="auto" w:fill="auto"/>
            <w:vAlign w:val="center"/>
            <w:hideMark/>
          </w:tcPr>
          <w:p w14:paraId="6700309F" w14:textId="5F317376"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5.3%</w:t>
            </w:r>
          </w:p>
        </w:tc>
        <w:tc>
          <w:tcPr>
            <w:tcW w:w="1530" w:type="dxa"/>
            <w:shd w:val="clear" w:color="auto" w:fill="auto"/>
            <w:vAlign w:val="center"/>
          </w:tcPr>
          <w:p w14:paraId="0D561F8D" w14:textId="0C5D0B15"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$4,041.6</w:t>
            </w:r>
          </w:p>
        </w:tc>
        <w:tc>
          <w:tcPr>
            <w:tcW w:w="1080" w:type="dxa"/>
            <w:shd w:val="clear" w:color="auto" w:fill="auto"/>
            <w:vAlign w:val="center"/>
          </w:tcPr>
          <w:p w14:paraId="3C052B41" w14:textId="64D399E0"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2.5%</w:t>
            </w:r>
          </w:p>
        </w:tc>
        <w:tc>
          <w:tcPr>
            <w:tcW w:w="1170" w:type="dxa"/>
            <w:shd w:val="clear" w:color="auto" w:fill="auto"/>
            <w:vAlign w:val="center"/>
          </w:tcPr>
          <w:p w14:paraId="2D593DF2" w14:textId="6B9AE53B"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$8</w:t>
            </w:r>
          </w:p>
        </w:tc>
      </w:tr>
      <w:tr w:rsidR="00D15853" w:rsidRPr="00777B28" w14:paraId="37B5A729" w14:textId="77777777" w:rsidTr="00847706">
        <w:trPr>
          <w:trHeight w:val="144"/>
          <w:jc w:val="center"/>
        </w:trPr>
        <w:tc>
          <w:tcPr>
            <w:tcW w:w="3235" w:type="dxa"/>
            <w:shd w:val="clear" w:color="auto" w:fill="auto"/>
            <w:vAlign w:val="center"/>
            <w:hideMark/>
          </w:tcPr>
          <w:p w14:paraId="46214F05"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48-49 Transportation and Warehousing </w:t>
            </w:r>
          </w:p>
        </w:tc>
        <w:tc>
          <w:tcPr>
            <w:tcW w:w="1350" w:type="dxa"/>
            <w:shd w:val="clear" w:color="auto" w:fill="auto"/>
            <w:vAlign w:val="center"/>
            <w:hideMark/>
          </w:tcPr>
          <w:p w14:paraId="06E14025" w14:textId="2323BA9C"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206</w:t>
            </w:r>
          </w:p>
        </w:tc>
        <w:tc>
          <w:tcPr>
            <w:tcW w:w="1350" w:type="dxa"/>
            <w:shd w:val="clear" w:color="auto" w:fill="auto"/>
            <w:vAlign w:val="center"/>
            <w:hideMark/>
          </w:tcPr>
          <w:p w14:paraId="0A66904E" w14:textId="67B9AF20"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2.1%</w:t>
            </w:r>
          </w:p>
        </w:tc>
        <w:tc>
          <w:tcPr>
            <w:tcW w:w="1530" w:type="dxa"/>
            <w:shd w:val="clear" w:color="auto" w:fill="auto"/>
            <w:vAlign w:val="center"/>
          </w:tcPr>
          <w:p w14:paraId="1BBAB10B" w14:textId="28369111"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$1,100.1</w:t>
            </w:r>
          </w:p>
        </w:tc>
        <w:tc>
          <w:tcPr>
            <w:tcW w:w="1080" w:type="dxa"/>
            <w:shd w:val="clear" w:color="auto" w:fill="auto"/>
            <w:vAlign w:val="center"/>
          </w:tcPr>
          <w:p w14:paraId="6426A904" w14:textId="40C5D39F"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0.7%</w:t>
            </w:r>
          </w:p>
        </w:tc>
        <w:tc>
          <w:tcPr>
            <w:tcW w:w="1170" w:type="dxa"/>
            <w:shd w:val="clear" w:color="auto" w:fill="auto"/>
            <w:vAlign w:val="center"/>
          </w:tcPr>
          <w:p w14:paraId="3A2EFD3C" w14:textId="3D27962A"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$5</w:t>
            </w:r>
          </w:p>
        </w:tc>
      </w:tr>
      <w:tr w:rsidR="00D15853" w:rsidRPr="00777B28" w14:paraId="2C4007D0" w14:textId="77777777" w:rsidTr="00847706">
        <w:trPr>
          <w:trHeight w:val="144"/>
          <w:jc w:val="center"/>
        </w:trPr>
        <w:tc>
          <w:tcPr>
            <w:tcW w:w="3235" w:type="dxa"/>
            <w:shd w:val="clear" w:color="auto" w:fill="auto"/>
            <w:vAlign w:val="center"/>
            <w:hideMark/>
          </w:tcPr>
          <w:p w14:paraId="4EDAAADB"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51 Information </w:t>
            </w:r>
          </w:p>
        </w:tc>
        <w:tc>
          <w:tcPr>
            <w:tcW w:w="1350" w:type="dxa"/>
            <w:shd w:val="clear" w:color="auto" w:fill="auto"/>
            <w:vAlign w:val="center"/>
            <w:hideMark/>
          </w:tcPr>
          <w:p w14:paraId="35D98108" w14:textId="2CBAB7C2"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420</w:t>
            </w:r>
          </w:p>
        </w:tc>
        <w:tc>
          <w:tcPr>
            <w:tcW w:w="1350" w:type="dxa"/>
            <w:shd w:val="clear" w:color="auto" w:fill="auto"/>
            <w:vAlign w:val="center"/>
            <w:hideMark/>
          </w:tcPr>
          <w:p w14:paraId="7437D1D7" w14:textId="7A4B70CE"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4.4%</w:t>
            </w:r>
          </w:p>
        </w:tc>
        <w:tc>
          <w:tcPr>
            <w:tcW w:w="1530" w:type="dxa"/>
            <w:shd w:val="clear" w:color="auto" w:fill="auto"/>
            <w:vAlign w:val="center"/>
          </w:tcPr>
          <w:p w14:paraId="1C7A1F51" w14:textId="42347947"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$9,723.3</w:t>
            </w:r>
          </w:p>
        </w:tc>
        <w:tc>
          <w:tcPr>
            <w:tcW w:w="1080" w:type="dxa"/>
            <w:shd w:val="clear" w:color="auto" w:fill="auto"/>
            <w:vAlign w:val="center"/>
          </w:tcPr>
          <w:p w14:paraId="141023CC" w14:textId="6CBB39EE"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6.1%</w:t>
            </w:r>
          </w:p>
        </w:tc>
        <w:tc>
          <w:tcPr>
            <w:tcW w:w="1170" w:type="dxa"/>
            <w:shd w:val="clear" w:color="auto" w:fill="auto"/>
            <w:vAlign w:val="center"/>
          </w:tcPr>
          <w:p w14:paraId="4A39F385" w14:textId="50E33402"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$23</w:t>
            </w:r>
          </w:p>
        </w:tc>
      </w:tr>
      <w:tr w:rsidR="00D15853" w:rsidRPr="00777B28" w14:paraId="7FDE9138" w14:textId="77777777" w:rsidTr="00847706">
        <w:trPr>
          <w:trHeight w:val="144"/>
          <w:jc w:val="center"/>
        </w:trPr>
        <w:tc>
          <w:tcPr>
            <w:tcW w:w="3235" w:type="dxa"/>
            <w:shd w:val="clear" w:color="auto" w:fill="auto"/>
            <w:vAlign w:val="center"/>
            <w:hideMark/>
          </w:tcPr>
          <w:p w14:paraId="2F788FE1"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52 Finance and Insurance</w:t>
            </w:r>
          </w:p>
        </w:tc>
        <w:tc>
          <w:tcPr>
            <w:tcW w:w="1350" w:type="dxa"/>
            <w:shd w:val="clear" w:color="auto" w:fill="auto"/>
            <w:vAlign w:val="center"/>
            <w:hideMark/>
          </w:tcPr>
          <w:p w14:paraId="3F3471FF" w14:textId="12285317"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682</w:t>
            </w:r>
          </w:p>
        </w:tc>
        <w:tc>
          <w:tcPr>
            <w:tcW w:w="1350" w:type="dxa"/>
            <w:shd w:val="clear" w:color="auto" w:fill="auto"/>
            <w:vAlign w:val="center"/>
            <w:hideMark/>
          </w:tcPr>
          <w:p w14:paraId="5A061382" w14:textId="4CAC6A0A"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7.1%</w:t>
            </w:r>
          </w:p>
        </w:tc>
        <w:tc>
          <w:tcPr>
            <w:tcW w:w="1530" w:type="dxa"/>
            <w:shd w:val="clear" w:color="auto" w:fill="auto"/>
            <w:vAlign w:val="center"/>
          </w:tcPr>
          <w:p w14:paraId="36275432" w14:textId="234F2C97"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$16,405.2</w:t>
            </w:r>
          </w:p>
        </w:tc>
        <w:tc>
          <w:tcPr>
            <w:tcW w:w="1080" w:type="dxa"/>
            <w:shd w:val="clear" w:color="auto" w:fill="auto"/>
            <w:vAlign w:val="center"/>
          </w:tcPr>
          <w:p w14:paraId="1DD5C035" w14:textId="378AED5A"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10.3%</w:t>
            </w:r>
          </w:p>
        </w:tc>
        <w:tc>
          <w:tcPr>
            <w:tcW w:w="1170" w:type="dxa"/>
            <w:shd w:val="clear" w:color="auto" w:fill="auto"/>
            <w:vAlign w:val="center"/>
          </w:tcPr>
          <w:p w14:paraId="2C3B7404" w14:textId="5ACBE03A"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$24</w:t>
            </w:r>
          </w:p>
        </w:tc>
      </w:tr>
      <w:tr w:rsidR="00D15853" w:rsidRPr="00777B28" w14:paraId="38D35615" w14:textId="77777777" w:rsidTr="00847706">
        <w:trPr>
          <w:trHeight w:val="144"/>
          <w:jc w:val="center"/>
        </w:trPr>
        <w:tc>
          <w:tcPr>
            <w:tcW w:w="3235" w:type="dxa"/>
            <w:shd w:val="clear" w:color="auto" w:fill="auto"/>
            <w:vAlign w:val="center"/>
            <w:hideMark/>
          </w:tcPr>
          <w:p w14:paraId="18761465"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53 Real Estate and Rental and Leasing </w:t>
            </w:r>
          </w:p>
        </w:tc>
        <w:tc>
          <w:tcPr>
            <w:tcW w:w="1350" w:type="dxa"/>
            <w:shd w:val="clear" w:color="auto" w:fill="auto"/>
            <w:vAlign w:val="center"/>
            <w:hideMark/>
          </w:tcPr>
          <w:p w14:paraId="04F934B2" w14:textId="30084304"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306</w:t>
            </w:r>
          </w:p>
        </w:tc>
        <w:tc>
          <w:tcPr>
            <w:tcW w:w="1350" w:type="dxa"/>
            <w:shd w:val="clear" w:color="auto" w:fill="auto"/>
            <w:vAlign w:val="center"/>
            <w:hideMark/>
          </w:tcPr>
          <w:p w14:paraId="67674782" w14:textId="0F6BD628"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3.2%</w:t>
            </w:r>
          </w:p>
        </w:tc>
        <w:tc>
          <w:tcPr>
            <w:tcW w:w="1530" w:type="dxa"/>
            <w:shd w:val="clear" w:color="auto" w:fill="auto"/>
            <w:vAlign w:val="center"/>
          </w:tcPr>
          <w:p w14:paraId="002F44EF" w14:textId="18464169"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$1,299.8</w:t>
            </w:r>
          </w:p>
        </w:tc>
        <w:tc>
          <w:tcPr>
            <w:tcW w:w="1080" w:type="dxa"/>
            <w:shd w:val="clear" w:color="auto" w:fill="auto"/>
            <w:vAlign w:val="center"/>
          </w:tcPr>
          <w:p w14:paraId="30743E38" w14:textId="1D93EDD6"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0.8%</w:t>
            </w:r>
          </w:p>
        </w:tc>
        <w:tc>
          <w:tcPr>
            <w:tcW w:w="1170" w:type="dxa"/>
            <w:shd w:val="clear" w:color="auto" w:fill="auto"/>
            <w:vAlign w:val="center"/>
          </w:tcPr>
          <w:p w14:paraId="7683C96D" w14:textId="626FB39C"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w:t>
            </w:r>
          </w:p>
        </w:tc>
      </w:tr>
      <w:tr w:rsidR="00D15853" w:rsidRPr="00777B28" w14:paraId="7EF05510" w14:textId="77777777" w:rsidTr="00847706">
        <w:trPr>
          <w:trHeight w:val="144"/>
          <w:jc w:val="center"/>
        </w:trPr>
        <w:tc>
          <w:tcPr>
            <w:tcW w:w="3235" w:type="dxa"/>
            <w:shd w:val="clear" w:color="auto" w:fill="auto"/>
            <w:vAlign w:val="center"/>
            <w:hideMark/>
          </w:tcPr>
          <w:p w14:paraId="1E9A244B"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54 Professional, Scientific, and Technical Services </w:t>
            </w:r>
          </w:p>
        </w:tc>
        <w:tc>
          <w:tcPr>
            <w:tcW w:w="1350" w:type="dxa"/>
            <w:shd w:val="clear" w:color="auto" w:fill="auto"/>
            <w:vAlign w:val="center"/>
            <w:hideMark/>
          </w:tcPr>
          <w:p w14:paraId="1A6F21B9" w14:textId="47FFC9FE"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1,649</w:t>
            </w:r>
          </w:p>
        </w:tc>
        <w:tc>
          <w:tcPr>
            <w:tcW w:w="1350" w:type="dxa"/>
            <w:shd w:val="clear" w:color="auto" w:fill="auto"/>
            <w:vAlign w:val="center"/>
            <w:hideMark/>
          </w:tcPr>
          <w:p w14:paraId="346D6CD5" w14:textId="41AFABA3"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17.1%</w:t>
            </w:r>
          </w:p>
        </w:tc>
        <w:tc>
          <w:tcPr>
            <w:tcW w:w="1530" w:type="dxa"/>
            <w:shd w:val="clear" w:color="auto" w:fill="auto"/>
            <w:vAlign w:val="center"/>
          </w:tcPr>
          <w:p w14:paraId="64F4EAD0" w14:textId="5ABFE834"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$7,643.5</w:t>
            </w:r>
          </w:p>
        </w:tc>
        <w:tc>
          <w:tcPr>
            <w:tcW w:w="1080" w:type="dxa"/>
            <w:shd w:val="clear" w:color="auto" w:fill="auto"/>
            <w:vAlign w:val="center"/>
          </w:tcPr>
          <w:p w14:paraId="22E119B0" w14:textId="0A5443D5"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4.8%</w:t>
            </w:r>
          </w:p>
        </w:tc>
        <w:tc>
          <w:tcPr>
            <w:tcW w:w="1170" w:type="dxa"/>
            <w:shd w:val="clear" w:color="auto" w:fill="auto"/>
            <w:vAlign w:val="center"/>
          </w:tcPr>
          <w:p w14:paraId="30A32C89" w14:textId="52067362"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$5</w:t>
            </w:r>
          </w:p>
        </w:tc>
      </w:tr>
      <w:tr w:rsidR="00D15853" w:rsidRPr="00777B28" w14:paraId="4D8FFDF8" w14:textId="77777777" w:rsidTr="00847706">
        <w:trPr>
          <w:trHeight w:val="144"/>
          <w:jc w:val="center"/>
        </w:trPr>
        <w:tc>
          <w:tcPr>
            <w:tcW w:w="3235" w:type="dxa"/>
            <w:shd w:val="clear" w:color="auto" w:fill="auto"/>
            <w:vAlign w:val="center"/>
            <w:hideMark/>
          </w:tcPr>
          <w:p w14:paraId="64FC4A16"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55 Management of Companies and Enterprises </w:t>
            </w:r>
          </w:p>
        </w:tc>
        <w:tc>
          <w:tcPr>
            <w:tcW w:w="1350" w:type="dxa"/>
            <w:shd w:val="clear" w:color="auto" w:fill="auto"/>
            <w:vAlign w:val="center"/>
            <w:hideMark/>
          </w:tcPr>
          <w:p w14:paraId="3DB310D3" w14:textId="3AF4F170"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359</w:t>
            </w:r>
          </w:p>
        </w:tc>
        <w:tc>
          <w:tcPr>
            <w:tcW w:w="1350" w:type="dxa"/>
            <w:shd w:val="clear" w:color="auto" w:fill="auto"/>
            <w:vAlign w:val="center"/>
            <w:hideMark/>
          </w:tcPr>
          <w:p w14:paraId="19993889" w14:textId="20C0F15F"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3.7%</w:t>
            </w:r>
          </w:p>
        </w:tc>
        <w:tc>
          <w:tcPr>
            <w:tcW w:w="1530" w:type="dxa"/>
            <w:shd w:val="clear" w:color="auto" w:fill="auto"/>
            <w:vAlign w:val="center"/>
          </w:tcPr>
          <w:p w14:paraId="261A96FE" w14:textId="6BDFC794"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$8,128.4</w:t>
            </w:r>
          </w:p>
        </w:tc>
        <w:tc>
          <w:tcPr>
            <w:tcW w:w="1080" w:type="dxa"/>
            <w:shd w:val="clear" w:color="auto" w:fill="auto"/>
            <w:vAlign w:val="center"/>
          </w:tcPr>
          <w:p w14:paraId="651F6317" w14:textId="1134549F"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5.1%</w:t>
            </w:r>
          </w:p>
        </w:tc>
        <w:tc>
          <w:tcPr>
            <w:tcW w:w="1170" w:type="dxa"/>
            <w:shd w:val="clear" w:color="auto" w:fill="auto"/>
            <w:vAlign w:val="center"/>
          </w:tcPr>
          <w:p w14:paraId="00295AE0" w14:textId="326DF81F"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$23</w:t>
            </w:r>
          </w:p>
        </w:tc>
      </w:tr>
      <w:tr w:rsidR="00D15853" w:rsidRPr="00777B28" w14:paraId="22700D06" w14:textId="77777777" w:rsidTr="00847706">
        <w:trPr>
          <w:trHeight w:val="144"/>
          <w:jc w:val="center"/>
        </w:trPr>
        <w:tc>
          <w:tcPr>
            <w:tcW w:w="3235" w:type="dxa"/>
            <w:shd w:val="clear" w:color="auto" w:fill="auto"/>
            <w:vAlign w:val="center"/>
            <w:hideMark/>
          </w:tcPr>
          <w:p w14:paraId="280EEE96"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56 Administrative and Support and Waste Management </w:t>
            </w:r>
          </w:p>
        </w:tc>
        <w:tc>
          <w:tcPr>
            <w:tcW w:w="1350" w:type="dxa"/>
            <w:shd w:val="clear" w:color="auto" w:fill="auto"/>
            <w:vAlign w:val="center"/>
            <w:hideMark/>
          </w:tcPr>
          <w:p w14:paraId="5FE3AA09" w14:textId="61DF1932"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374</w:t>
            </w:r>
          </w:p>
        </w:tc>
        <w:tc>
          <w:tcPr>
            <w:tcW w:w="1350" w:type="dxa"/>
            <w:shd w:val="clear" w:color="auto" w:fill="auto"/>
            <w:vAlign w:val="center"/>
            <w:hideMark/>
          </w:tcPr>
          <w:p w14:paraId="3BFF084A" w14:textId="253F9AA6"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3.9%</w:t>
            </w:r>
          </w:p>
        </w:tc>
        <w:tc>
          <w:tcPr>
            <w:tcW w:w="1530" w:type="dxa"/>
            <w:shd w:val="clear" w:color="auto" w:fill="auto"/>
            <w:vAlign w:val="center"/>
          </w:tcPr>
          <w:p w14:paraId="41EDE3BD" w14:textId="29053023"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$1,023.4</w:t>
            </w:r>
          </w:p>
        </w:tc>
        <w:tc>
          <w:tcPr>
            <w:tcW w:w="1080" w:type="dxa"/>
            <w:shd w:val="clear" w:color="auto" w:fill="auto"/>
            <w:vAlign w:val="center"/>
          </w:tcPr>
          <w:p w14:paraId="5E468FDE" w14:textId="74A8BC3A"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0.6%</w:t>
            </w:r>
          </w:p>
        </w:tc>
        <w:tc>
          <w:tcPr>
            <w:tcW w:w="1170" w:type="dxa"/>
            <w:shd w:val="clear" w:color="auto" w:fill="auto"/>
            <w:vAlign w:val="center"/>
          </w:tcPr>
          <w:p w14:paraId="540A190E" w14:textId="195DF9FD"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D15853" w:rsidRPr="00777B28" w14:paraId="1B3CE59F" w14:textId="77777777" w:rsidTr="00847706">
        <w:trPr>
          <w:trHeight w:val="144"/>
          <w:jc w:val="center"/>
        </w:trPr>
        <w:tc>
          <w:tcPr>
            <w:tcW w:w="3235" w:type="dxa"/>
            <w:shd w:val="clear" w:color="auto" w:fill="auto"/>
            <w:vAlign w:val="center"/>
            <w:hideMark/>
          </w:tcPr>
          <w:p w14:paraId="3FB057FA"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61 Educational Services </w:t>
            </w:r>
          </w:p>
        </w:tc>
        <w:tc>
          <w:tcPr>
            <w:tcW w:w="1350" w:type="dxa"/>
            <w:shd w:val="clear" w:color="auto" w:fill="auto"/>
            <w:vAlign w:val="center"/>
            <w:hideMark/>
          </w:tcPr>
          <w:p w14:paraId="6B2BDF85" w14:textId="46D68641"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53</w:t>
            </w:r>
          </w:p>
        </w:tc>
        <w:tc>
          <w:tcPr>
            <w:tcW w:w="1350" w:type="dxa"/>
            <w:shd w:val="clear" w:color="auto" w:fill="auto"/>
            <w:vAlign w:val="center"/>
            <w:hideMark/>
          </w:tcPr>
          <w:p w14:paraId="0D2AD905" w14:textId="5C78057D"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0.5%</w:t>
            </w:r>
          </w:p>
        </w:tc>
        <w:tc>
          <w:tcPr>
            <w:tcW w:w="1530" w:type="dxa"/>
            <w:shd w:val="clear" w:color="auto" w:fill="auto"/>
            <w:vAlign w:val="center"/>
          </w:tcPr>
          <w:p w14:paraId="3FD45747" w14:textId="1663D962"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$79.0</w:t>
            </w:r>
          </w:p>
        </w:tc>
        <w:tc>
          <w:tcPr>
            <w:tcW w:w="1080" w:type="dxa"/>
            <w:shd w:val="clear" w:color="auto" w:fill="auto"/>
            <w:vAlign w:val="center"/>
          </w:tcPr>
          <w:p w14:paraId="50251D0D" w14:textId="377A4700"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0.0%</w:t>
            </w:r>
          </w:p>
        </w:tc>
        <w:tc>
          <w:tcPr>
            <w:tcW w:w="1170" w:type="dxa"/>
            <w:shd w:val="clear" w:color="auto" w:fill="auto"/>
            <w:vAlign w:val="center"/>
          </w:tcPr>
          <w:p w14:paraId="3AD868E5" w14:textId="21E5A709"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w:t>
            </w:r>
          </w:p>
        </w:tc>
      </w:tr>
      <w:tr w:rsidR="00D15853" w:rsidRPr="00777B28" w14:paraId="34F9ABFA" w14:textId="77777777" w:rsidTr="00847706">
        <w:trPr>
          <w:trHeight w:val="144"/>
          <w:jc w:val="center"/>
        </w:trPr>
        <w:tc>
          <w:tcPr>
            <w:tcW w:w="3235" w:type="dxa"/>
            <w:shd w:val="clear" w:color="auto" w:fill="auto"/>
            <w:vAlign w:val="center"/>
            <w:hideMark/>
          </w:tcPr>
          <w:p w14:paraId="0A41C2BB"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62 Health Care and Social Assistance </w:t>
            </w:r>
          </w:p>
        </w:tc>
        <w:tc>
          <w:tcPr>
            <w:tcW w:w="1350" w:type="dxa"/>
            <w:shd w:val="clear" w:color="auto" w:fill="auto"/>
            <w:vAlign w:val="center"/>
            <w:hideMark/>
          </w:tcPr>
          <w:p w14:paraId="17D83BBB" w14:textId="2EE94574"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131</w:t>
            </w:r>
          </w:p>
        </w:tc>
        <w:tc>
          <w:tcPr>
            <w:tcW w:w="1350" w:type="dxa"/>
            <w:shd w:val="clear" w:color="auto" w:fill="auto"/>
            <w:vAlign w:val="center"/>
            <w:hideMark/>
          </w:tcPr>
          <w:p w14:paraId="5D782676" w14:textId="6F912BE5"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1.4%</w:t>
            </w:r>
          </w:p>
        </w:tc>
        <w:tc>
          <w:tcPr>
            <w:tcW w:w="1530" w:type="dxa"/>
            <w:shd w:val="clear" w:color="auto" w:fill="auto"/>
            <w:vAlign w:val="center"/>
          </w:tcPr>
          <w:p w14:paraId="6568592D" w14:textId="586E8E14"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$456.5</w:t>
            </w:r>
          </w:p>
        </w:tc>
        <w:tc>
          <w:tcPr>
            <w:tcW w:w="1080" w:type="dxa"/>
            <w:shd w:val="clear" w:color="auto" w:fill="auto"/>
            <w:vAlign w:val="center"/>
          </w:tcPr>
          <w:p w14:paraId="6F320B28" w14:textId="4E0A5E2C"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0.3%</w:t>
            </w:r>
          </w:p>
        </w:tc>
        <w:tc>
          <w:tcPr>
            <w:tcW w:w="1170" w:type="dxa"/>
            <w:shd w:val="clear" w:color="auto" w:fill="auto"/>
            <w:vAlign w:val="center"/>
          </w:tcPr>
          <w:p w14:paraId="6DE2E860" w14:textId="64B45E00"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D15853" w:rsidRPr="00777B28" w14:paraId="6D9CD73D" w14:textId="77777777" w:rsidTr="00847706">
        <w:trPr>
          <w:trHeight w:val="144"/>
          <w:jc w:val="center"/>
        </w:trPr>
        <w:tc>
          <w:tcPr>
            <w:tcW w:w="3235" w:type="dxa"/>
            <w:shd w:val="clear" w:color="auto" w:fill="auto"/>
            <w:vAlign w:val="center"/>
            <w:hideMark/>
          </w:tcPr>
          <w:p w14:paraId="69476E75"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71 Arts, Entertainment, and Recreation </w:t>
            </w:r>
          </w:p>
        </w:tc>
        <w:tc>
          <w:tcPr>
            <w:tcW w:w="1350" w:type="dxa"/>
            <w:shd w:val="clear" w:color="auto" w:fill="auto"/>
            <w:vAlign w:val="center"/>
            <w:hideMark/>
          </w:tcPr>
          <w:p w14:paraId="74657A22" w14:textId="461A44D0"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105</w:t>
            </w:r>
          </w:p>
        </w:tc>
        <w:tc>
          <w:tcPr>
            <w:tcW w:w="1350" w:type="dxa"/>
            <w:shd w:val="clear" w:color="auto" w:fill="auto"/>
            <w:vAlign w:val="center"/>
            <w:hideMark/>
          </w:tcPr>
          <w:p w14:paraId="740B5F50" w14:textId="2C31B2EA"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1.1%</w:t>
            </w:r>
          </w:p>
        </w:tc>
        <w:tc>
          <w:tcPr>
            <w:tcW w:w="1530" w:type="dxa"/>
            <w:shd w:val="clear" w:color="auto" w:fill="auto"/>
            <w:vAlign w:val="center"/>
          </w:tcPr>
          <w:p w14:paraId="73546EBB" w14:textId="44B294B3"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$271.7</w:t>
            </w:r>
          </w:p>
        </w:tc>
        <w:tc>
          <w:tcPr>
            <w:tcW w:w="1080" w:type="dxa"/>
            <w:shd w:val="clear" w:color="auto" w:fill="auto"/>
            <w:vAlign w:val="center"/>
          </w:tcPr>
          <w:p w14:paraId="0928E0B7" w14:textId="117CB099"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0.2%</w:t>
            </w:r>
          </w:p>
        </w:tc>
        <w:tc>
          <w:tcPr>
            <w:tcW w:w="1170" w:type="dxa"/>
            <w:shd w:val="clear" w:color="auto" w:fill="auto"/>
            <w:vAlign w:val="center"/>
          </w:tcPr>
          <w:p w14:paraId="00418BCD" w14:textId="59668200"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D15853" w:rsidRPr="00777B28" w14:paraId="2766DAEA" w14:textId="77777777" w:rsidTr="00847706">
        <w:trPr>
          <w:trHeight w:val="144"/>
          <w:jc w:val="center"/>
        </w:trPr>
        <w:tc>
          <w:tcPr>
            <w:tcW w:w="3235" w:type="dxa"/>
            <w:shd w:val="clear" w:color="auto" w:fill="auto"/>
            <w:vAlign w:val="center"/>
            <w:hideMark/>
          </w:tcPr>
          <w:p w14:paraId="34FA3FF7"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72 Accommodation and Food Services </w:t>
            </w:r>
          </w:p>
        </w:tc>
        <w:tc>
          <w:tcPr>
            <w:tcW w:w="1350" w:type="dxa"/>
            <w:shd w:val="clear" w:color="auto" w:fill="auto"/>
            <w:vAlign w:val="center"/>
            <w:hideMark/>
          </w:tcPr>
          <w:p w14:paraId="7F74B1E1" w14:textId="78CEB8F3"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113</w:t>
            </w:r>
          </w:p>
        </w:tc>
        <w:tc>
          <w:tcPr>
            <w:tcW w:w="1350" w:type="dxa"/>
            <w:shd w:val="clear" w:color="auto" w:fill="auto"/>
            <w:vAlign w:val="center"/>
            <w:hideMark/>
          </w:tcPr>
          <w:p w14:paraId="3AD90C0F" w14:textId="6310DE13"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1.2%</w:t>
            </w:r>
          </w:p>
        </w:tc>
        <w:tc>
          <w:tcPr>
            <w:tcW w:w="1530" w:type="dxa"/>
            <w:shd w:val="clear" w:color="auto" w:fill="auto"/>
            <w:vAlign w:val="center"/>
          </w:tcPr>
          <w:p w14:paraId="33B07716" w14:textId="260DB8ED"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$504.1</w:t>
            </w:r>
          </w:p>
        </w:tc>
        <w:tc>
          <w:tcPr>
            <w:tcW w:w="1080" w:type="dxa"/>
            <w:shd w:val="clear" w:color="auto" w:fill="auto"/>
            <w:vAlign w:val="center"/>
          </w:tcPr>
          <w:p w14:paraId="13D56674" w14:textId="6F1A98CD"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0.3%</w:t>
            </w:r>
          </w:p>
        </w:tc>
        <w:tc>
          <w:tcPr>
            <w:tcW w:w="1170" w:type="dxa"/>
            <w:shd w:val="clear" w:color="auto" w:fill="auto"/>
            <w:vAlign w:val="center"/>
          </w:tcPr>
          <w:p w14:paraId="7CC83359" w14:textId="3D5AEFA1"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$4</w:t>
            </w:r>
          </w:p>
        </w:tc>
      </w:tr>
      <w:tr w:rsidR="00D15853" w:rsidRPr="00777B28" w14:paraId="4618FC56" w14:textId="77777777" w:rsidTr="00847706">
        <w:trPr>
          <w:trHeight w:val="144"/>
          <w:jc w:val="center"/>
        </w:trPr>
        <w:tc>
          <w:tcPr>
            <w:tcW w:w="3235" w:type="dxa"/>
            <w:shd w:val="clear" w:color="auto" w:fill="auto"/>
            <w:vAlign w:val="center"/>
            <w:hideMark/>
          </w:tcPr>
          <w:p w14:paraId="2FE906F8"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81 Other Services (except Public Administration) </w:t>
            </w:r>
          </w:p>
        </w:tc>
        <w:tc>
          <w:tcPr>
            <w:tcW w:w="1350" w:type="dxa"/>
            <w:shd w:val="clear" w:color="auto" w:fill="auto"/>
            <w:vAlign w:val="center"/>
            <w:hideMark/>
          </w:tcPr>
          <w:p w14:paraId="19BD2845" w14:textId="2D9A36DE"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108</w:t>
            </w:r>
          </w:p>
        </w:tc>
        <w:tc>
          <w:tcPr>
            <w:tcW w:w="1350" w:type="dxa"/>
            <w:shd w:val="clear" w:color="auto" w:fill="auto"/>
            <w:vAlign w:val="center"/>
            <w:hideMark/>
          </w:tcPr>
          <w:p w14:paraId="08BEA02F" w14:textId="43929148"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1.1%</w:t>
            </w:r>
          </w:p>
        </w:tc>
        <w:tc>
          <w:tcPr>
            <w:tcW w:w="1530" w:type="dxa"/>
            <w:shd w:val="clear" w:color="auto" w:fill="auto"/>
            <w:vAlign w:val="center"/>
          </w:tcPr>
          <w:p w14:paraId="1413D8A2" w14:textId="6894A75D"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$337.6</w:t>
            </w:r>
          </w:p>
        </w:tc>
        <w:tc>
          <w:tcPr>
            <w:tcW w:w="1080" w:type="dxa"/>
            <w:shd w:val="clear" w:color="auto" w:fill="auto"/>
            <w:vAlign w:val="center"/>
          </w:tcPr>
          <w:p w14:paraId="586A831C" w14:textId="67FC1324"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0.2%</w:t>
            </w:r>
          </w:p>
        </w:tc>
        <w:tc>
          <w:tcPr>
            <w:tcW w:w="1170" w:type="dxa"/>
            <w:shd w:val="clear" w:color="auto" w:fill="auto"/>
            <w:vAlign w:val="center"/>
          </w:tcPr>
          <w:p w14:paraId="0934B539" w14:textId="157471D3"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$3</w:t>
            </w:r>
          </w:p>
        </w:tc>
      </w:tr>
      <w:tr w:rsidR="00D15853" w:rsidRPr="00777B28" w14:paraId="4AE8F22F" w14:textId="77777777" w:rsidTr="00847706">
        <w:trPr>
          <w:trHeight w:val="144"/>
          <w:jc w:val="center"/>
        </w:trPr>
        <w:tc>
          <w:tcPr>
            <w:tcW w:w="3235" w:type="dxa"/>
            <w:shd w:val="clear" w:color="auto" w:fill="auto"/>
            <w:vAlign w:val="center"/>
            <w:hideMark/>
          </w:tcPr>
          <w:p w14:paraId="479544A9" w14:textId="38C86EFF"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Others or unmatched</w:t>
            </w:r>
            <w:r w:rsidR="00C537D2">
              <w:rPr>
                <w:rFonts w:asciiTheme="majorHAnsi" w:eastAsia="Times New Roman" w:hAnsiTheme="majorHAnsi" w:cs="Helvetica"/>
                <w:color w:val="000000"/>
                <w:sz w:val="20"/>
                <w:szCs w:val="20"/>
                <w:lang w:eastAsia="ko-KR"/>
              </w:rPr>
              <w:t xml:space="preserve"> </w:t>
            </w:r>
            <w:r w:rsidR="00C537D2" w:rsidRPr="00107265">
              <w:rPr>
                <w:rStyle w:val="FootnoteReference"/>
                <w:rFonts w:eastAsiaTheme="majorEastAsia"/>
                <w:color w:val="000000" w:themeColor="text1"/>
              </w:rPr>
              <w:t>(2)</w:t>
            </w:r>
          </w:p>
        </w:tc>
        <w:tc>
          <w:tcPr>
            <w:tcW w:w="1350" w:type="dxa"/>
            <w:shd w:val="clear" w:color="auto" w:fill="auto"/>
            <w:vAlign w:val="center"/>
            <w:hideMark/>
          </w:tcPr>
          <w:p w14:paraId="4477E3EE" w14:textId="1037AE67"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984</w:t>
            </w:r>
          </w:p>
        </w:tc>
        <w:tc>
          <w:tcPr>
            <w:tcW w:w="1350" w:type="dxa"/>
            <w:shd w:val="clear" w:color="auto" w:fill="auto"/>
            <w:vAlign w:val="center"/>
            <w:hideMark/>
          </w:tcPr>
          <w:p w14:paraId="467007D0" w14:textId="0C77EB78"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10.2%</w:t>
            </w:r>
          </w:p>
        </w:tc>
        <w:tc>
          <w:tcPr>
            <w:tcW w:w="1530" w:type="dxa"/>
            <w:shd w:val="clear" w:color="auto" w:fill="auto"/>
            <w:vAlign w:val="center"/>
          </w:tcPr>
          <w:p w14:paraId="52E8950C" w14:textId="2CF4E1C5"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$23,878.5</w:t>
            </w:r>
          </w:p>
        </w:tc>
        <w:tc>
          <w:tcPr>
            <w:tcW w:w="1080" w:type="dxa"/>
            <w:shd w:val="clear" w:color="auto" w:fill="auto"/>
            <w:vAlign w:val="center"/>
          </w:tcPr>
          <w:p w14:paraId="3FAAC912" w14:textId="3730A825"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15.0%</w:t>
            </w:r>
          </w:p>
        </w:tc>
        <w:tc>
          <w:tcPr>
            <w:tcW w:w="1170" w:type="dxa"/>
            <w:shd w:val="clear" w:color="auto" w:fill="auto"/>
            <w:vAlign w:val="center"/>
          </w:tcPr>
          <w:p w14:paraId="15F09DF8" w14:textId="4602E930"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$24</w:t>
            </w:r>
          </w:p>
        </w:tc>
      </w:tr>
      <w:tr w:rsidR="00D15853" w:rsidRPr="00777B28" w14:paraId="7BAFD876" w14:textId="77777777" w:rsidTr="00847706">
        <w:trPr>
          <w:trHeight w:val="144"/>
          <w:jc w:val="center"/>
        </w:trPr>
        <w:tc>
          <w:tcPr>
            <w:tcW w:w="3235" w:type="dxa"/>
            <w:shd w:val="clear" w:color="auto" w:fill="auto"/>
            <w:vAlign w:val="center"/>
            <w:hideMark/>
          </w:tcPr>
          <w:p w14:paraId="659FCCAA" w14:textId="77777777" w:rsidR="00D15853" w:rsidRPr="00EE5936" w:rsidRDefault="00D15853" w:rsidP="00D15853">
            <w:pPr>
              <w:spacing w:after="0" w:line="240" w:lineRule="auto"/>
              <w:rPr>
                <w:rFonts w:asciiTheme="majorHAnsi" w:eastAsia="Times New Roman" w:hAnsiTheme="majorHAnsi" w:cs="Helvetica"/>
                <w:color w:val="000000"/>
                <w:sz w:val="20"/>
                <w:szCs w:val="20"/>
                <w:lang w:eastAsia="ko-KR"/>
              </w:rPr>
            </w:pPr>
            <w:r w:rsidRPr="00EE5936">
              <w:rPr>
                <w:rFonts w:asciiTheme="majorHAnsi" w:eastAsia="Times New Roman" w:hAnsiTheme="majorHAnsi" w:cs="Helvetica"/>
                <w:color w:val="000000"/>
                <w:sz w:val="20"/>
                <w:szCs w:val="20"/>
                <w:lang w:eastAsia="ko-KR"/>
              </w:rPr>
              <w:t xml:space="preserve"> Total </w:t>
            </w:r>
          </w:p>
        </w:tc>
        <w:tc>
          <w:tcPr>
            <w:tcW w:w="1350" w:type="dxa"/>
            <w:shd w:val="clear" w:color="auto" w:fill="auto"/>
            <w:vAlign w:val="center"/>
            <w:hideMark/>
          </w:tcPr>
          <w:p w14:paraId="3E7B7C8F" w14:textId="432A7165" w:rsidR="00D15853" w:rsidRPr="003A180F" w:rsidRDefault="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color w:val="000000"/>
                <w:sz w:val="20"/>
                <w:szCs w:val="20"/>
              </w:rPr>
              <w:t>9,640</w:t>
            </w:r>
          </w:p>
        </w:tc>
        <w:tc>
          <w:tcPr>
            <w:tcW w:w="1350" w:type="dxa"/>
            <w:shd w:val="clear" w:color="auto" w:fill="auto"/>
            <w:vAlign w:val="center"/>
            <w:hideMark/>
          </w:tcPr>
          <w:p w14:paraId="22665BE2" w14:textId="36EE45FC"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100.0%</w:t>
            </w:r>
          </w:p>
        </w:tc>
        <w:tc>
          <w:tcPr>
            <w:tcW w:w="1530" w:type="dxa"/>
            <w:shd w:val="clear" w:color="auto" w:fill="auto"/>
            <w:vAlign w:val="center"/>
          </w:tcPr>
          <w:p w14:paraId="4BDFB016" w14:textId="0128C7CD"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$158,796.3</w:t>
            </w:r>
          </w:p>
        </w:tc>
        <w:tc>
          <w:tcPr>
            <w:tcW w:w="1080" w:type="dxa"/>
            <w:shd w:val="clear" w:color="auto" w:fill="auto"/>
            <w:vAlign w:val="center"/>
          </w:tcPr>
          <w:p w14:paraId="5F7324AA" w14:textId="68D3D96E" w:rsidR="00D15853" w:rsidRPr="003A180F" w:rsidRDefault="00D15853" w:rsidP="00D15853">
            <w:pPr>
              <w:spacing w:after="0" w:line="240" w:lineRule="auto"/>
              <w:jc w:val="center"/>
              <w:rPr>
                <w:rFonts w:asciiTheme="majorHAnsi" w:eastAsia="Times New Roman" w:hAnsiTheme="majorHAnsi" w:cs="Helvetica"/>
                <w:i/>
                <w:iCs/>
                <w:color w:val="000000"/>
                <w:sz w:val="20"/>
                <w:szCs w:val="20"/>
                <w:lang w:eastAsia="ko-KR"/>
              </w:rPr>
            </w:pPr>
            <w:r w:rsidRPr="00847706">
              <w:rPr>
                <w:rFonts w:ascii="Cambria" w:hAnsi="Cambria" w:cs="Helvetica"/>
                <w:color w:val="000000"/>
                <w:sz w:val="20"/>
                <w:szCs w:val="20"/>
              </w:rPr>
              <w:t>100.0%</w:t>
            </w:r>
          </w:p>
        </w:tc>
        <w:tc>
          <w:tcPr>
            <w:tcW w:w="1170" w:type="dxa"/>
            <w:shd w:val="clear" w:color="auto" w:fill="auto"/>
            <w:vAlign w:val="center"/>
          </w:tcPr>
          <w:p w14:paraId="5F528471" w14:textId="70EB2357" w:rsidR="00D15853" w:rsidRPr="003A180F" w:rsidRDefault="00D15853" w:rsidP="00D15853">
            <w:pPr>
              <w:spacing w:after="0" w:line="240" w:lineRule="auto"/>
              <w:jc w:val="center"/>
              <w:rPr>
                <w:rFonts w:asciiTheme="majorHAnsi" w:eastAsia="Times New Roman" w:hAnsiTheme="majorHAnsi" w:cs="Helvetica"/>
                <w:color w:val="000000"/>
                <w:sz w:val="20"/>
                <w:szCs w:val="20"/>
                <w:lang w:eastAsia="ko-KR"/>
              </w:rPr>
            </w:pPr>
            <w:r w:rsidRPr="00847706">
              <w:rPr>
                <w:rFonts w:ascii="Cambria" w:hAnsi="Cambria" w:cs="Helvetica"/>
                <w:sz w:val="20"/>
                <w:szCs w:val="20"/>
              </w:rPr>
              <w:t>$16</w:t>
            </w:r>
          </w:p>
        </w:tc>
      </w:tr>
    </w:tbl>
    <w:p w14:paraId="241018E9" w14:textId="77777777" w:rsidR="00726280" w:rsidRPr="000B06FD" w:rsidRDefault="00726280" w:rsidP="00726280">
      <w:pPr>
        <w:tabs>
          <w:tab w:val="left" w:pos="7050"/>
        </w:tabs>
        <w:spacing w:after="0"/>
        <w:rPr>
          <w:rFonts w:asciiTheme="majorHAnsi" w:eastAsiaTheme="majorEastAsia" w:hAnsiTheme="majorHAnsi" w:cstheme="majorBidi"/>
          <w:bCs/>
          <w:color w:val="000000" w:themeColor="text1"/>
          <w:sz w:val="18"/>
          <w:szCs w:val="18"/>
        </w:rPr>
      </w:pPr>
      <w:r w:rsidRPr="000B06FD">
        <w:rPr>
          <w:rFonts w:asciiTheme="majorHAnsi" w:eastAsiaTheme="majorEastAsia" w:hAnsiTheme="majorHAnsi" w:cstheme="majorBidi"/>
          <w:bCs/>
          <w:color w:val="000000" w:themeColor="text1"/>
          <w:sz w:val="18"/>
          <w:szCs w:val="18"/>
        </w:rPr>
        <w:t>Source: Department of Revenue (2017 corporate excise return)</w:t>
      </w:r>
    </w:p>
    <w:p w14:paraId="189867CE" w14:textId="3F4B183E" w:rsidR="00726280" w:rsidRPr="000B06FD" w:rsidRDefault="00726280" w:rsidP="00726280">
      <w:pPr>
        <w:tabs>
          <w:tab w:val="left" w:pos="7050"/>
        </w:tabs>
        <w:spacing w:after="0"/>
        <w:rPr>
          <w:rFonts w:asciiTheme="majorHAnsi" w:eastAsiaTheme="majorEastAsia" w:hAnsiTheme="majorHAnsi" w:cstheme="majorBidi"/>
          <w:bCs/>
          <w:color w:val="000000" w:themeColor="text1"/>
          <w:sz w:val="18"/>
          <w:szCs w:val="18"/>
        </w:rPr>
      </w:pPr>
      <w:r w:rsidRPr="000B06FD">
        <w:rPr>
          <w:rFonts w:asciiTheme="majorHAnsi" w:eastAsiaTheme="majorEastAsia" w:hAnsiTheme="majorHAnsi" w:cstheme="majorBidi"/>
          <w:bCs/>
          <w:color w:val="000000" w:themeColor="text1"/>
          <w:sz w:val="18"/>
          <w:szCs w:val="18"/>
        </w:rPr>
        <w:t xml:space="preserve">Notes: 1. </w:t>
      </w:r>
      <w:r w:rsidR="0085585D" w:rsidRPr="000B06FD">
        <w:rPr>
          <w:rFonts w:asciiTheme="majorHAnsi" w:hAnsiTheme="majorHAnsi"/>
          <w:bCs/>
          <w:sz w:val="18"/>
          <w:szCs w:val="18"/>
        </w:rPr>
        <w:t>The data are preliminary and subject to change.</w:t>
      </w:r>
      <w:r w:rsidRPr="000B06FD">
        <w:rPr>
          <w:rFonts w:asciiTheme="majorHAnsi" w:eastAsiaTheme="majorEastAsia" w:hAnsiTheme="majorHAnsi" w:cstheme="majorBidi"/>
          <w:bCs/>
          <w:color w:val="000000" w:themeColor="text1"/>
          <w:sz w:val="18"/>
          <w:szCs w:val="18"/>
        </w:rPr>
        <w:t xml:space="preserve"> </w:t>
      </w:r>
    </w:p>
    <w:p w14:paraId="29D3166A" w14:textId="65705EF8" w:rsidR="00726280" w:rsidRPr="000B06FD" w:rsidRDefault="00726280" w:rsidP="00726280">
      <w:pPr>
        <w:tabs>
          <w:tab w:val="left" w:pos="7050"/>
        </w:tabs>
        <w:spacing w:after="0"/>
        <w:rPr>
          <w:rFonts w:asciiTheme="majorHAnsi" w:hAnsiTheme="majorHAnsi"/>
          <w:bCs/>
          <w:sz w:val="18"/>
          <w:szCs w:val="18"/>
        </w:rPr>
      </w:pPr>
      <w:r w:rsidRPr="000B06FD">
        <w:rPr>
          <w:rFonts w:asciiTheme="majorHAnsi" w:eastAsiaTheme="majorEastAsia" w:hAnsiTheme="majorHAnsi" w:cstheme="majorBidi"/>
          <w:bCs/>
          <w:color w:val="000000" w:themeColor="text1"/>
          <w:sz w:val="18"/>
          <w:szCs w:val="18"/>
        </w:rPr>
        <w:t xml:space="preserve">              </w:t>
      </w:r>
      <w:r w:rsidRPr="000B06FD">
        <w:rPr>
          <w:rFonts w:asciiTheme="majorHAnsi" w:hAnsiTheme="majorHAnsi"/>
          <w:bCs/>
          <w:sz w:val="18"/>
          <w:szCs w:val="18"/>
        </w:rPr>
        <w:t xml:space="preserve">2. </w:t>
      </w:r>
      <w:r w:rsidR="0085585D" w:rsidRPr="000B06FD">
        <w:rPr>
          <w:rFonts w:asciiTheme="majorHAnsi" w:eastAsiaTheme="majorEastAsia" w:hAnsiTheme="majorHAnsi" w:cstheme="majorBidi"/>
          <w:bCs/>
          <w:color w:val="000000" w:themeColor="text1"/>
          <w:sz w:val="18"/>
          <w:szCs w:val="18"/>
        </w:rPr>
        <w:t xml:space="preserve">Unmatched means that we could not find some taxpayers in one or more of data sets to match. </w:t>
      </w:r>
    </w:p>
    <w:p w14:paraId="220FAC6A" w14:textId="4400C4C1" w:rsidR="00726280" w:rsidRPr="00847706" w:rsidRDefault="000B06FD" w:rsidP="00726280">
      <w:pPr>
        <w:tabs>
          <w:tab w:val="left" w:pos="5710"/>
        </w:tabs>
        <w:spacing w:after="0"/>
        <w:rPr>
          <w:rFonts w:asciiTheme="majorHAnsi" w:eastAsiaTheme="majorEastAsia" w:hAnsiTheme="majorHAnsi" w:cstheme="majorBidi"/>
          <w:bCs/>
          <w:color w:val="000000" w:themeColor="text1"/>
          <w:sz w:val="18"/>
          <w:szCs w:val="18"/>
        </w:rPr>
      </w:pPr>
      <w:r>
        <w:rPr>
          <w:rFonts w:asciiTheme="majorHAnsi" w:eastAsiaTheme="majorEastAsia" w:hAnsiTheme="majorHAnsi" w:cstheme="majorBidi"/>
          <w:bCs/>
          <w:color w:val="000000" w:themeColor="text1"/>
          <w:sz w:val="18"/>
          <w:szCs w:val="18"/>
        </w:rPr>
        <w:t xml:space="preserve">              </w:t>
      </w:r>
      <w:r w:rsidR="00726280" w:rsidRPr="00847706">
        <w:rPr>
          <w:rFonts w:asciiTheme="majorHAnsi" w:eastAsiaTheme="majorEastAsia" w:hAnsiTheme="majorHAnsi" w:cstheme="majorBidi"/>
          <w:bCs/>
          <w:color w:val="000000" w:themeColor="text1"/>
          <w:sz w:val="18"/>
          <w:szCs w:val="18"/>
        </w:rPr>
        <w:t xml:space="preserve">3. </w:t>
      </w:r>
      <w:r w:rsidR="0085585D">
        <w:rPr>
          <w:rFonts w:asciiTheme="majorHAnsi" w:hAnsiTheme="majorHAnsi"/>
          <w:bCs/>
          <w:sz w:val="18"/>
          <w:szCs w:val="18"/>
        </w:rPr>
        <w:t>P</w:t>
      </w:r>
      <w:r w:rsidR="00A0692D" w:rsidRPr="000B06FD">
        <w:rPr>
          <w:rFonts w:asciiTheme="majorHAnsi" w:hAnsiTheme="majorHAnsi"/>
          <w:bCs/>
          <w:sz w:val="18"/>
          <w:szCs w:val="18"/>
        </w:rPr>
        <w:t>ositive number</w:t>
      </w:r>
      <w:r w:rsidR="00BB1B5B" w:rsidRPr="000B06FD">
        <w:rPr>
          <w:rFonts w:asciiTheme="majorHAnsi" w:hAnsiTheme="majorHAnsi"/>
          <w:bCs/>
          <w:sz w:val="18"/>
          <w:szCs w:val="18"/>
        </w:rPr>
        <w:t>s</w:t>
      </w:r>
      <w:r w:rsidR="00A0692D" w:rsidRPr="000B06FD">
        <w:rPr>
          <w:rFonts w:asciiTheme="majorHAnsi" w:hAnsiTheme="majorHAnsi"/>
          <w:bCs/>
          <w:sz w:val="18"/>
          <w:szCs w:val="18"/>
        </w:rPr>
        <w:t xml:space="preserve"> indicate that taxpayers owe more tax using formulas with higher weighted sales factor than using the formula with equal-weighted factors.</w:t>
      </w:r>
    </w:p>
    <w:p w14:paraId="4E56120F" w14:textId="48F46252" w:rsidR="00C537D2" w:rsidRDefault="00C537D2">
      <w:pPr>
        <w:rPr>
          <w:rFonts w:asciiTheme="majorHAnsi" w:hAnsiTheme="majorHAnsi"/>
          <w:b/>
          <w:color w:val="E36C0A" w:themeColor="accent6" w:themeShade="BF"/>
          <w:sz w:val="28"/>
          <w:szCs w:val="28"/>
        </w:rPr>
      </w:pPr>
      <w:r>
        <w:rPr>
          <w:rFonts w:asciiTheme="majorHAnsi" w:hAnsiTheme="majorHAnsi"/>
          <w:b/>
          <w:color w:val="E36C0A" w:themeColor="accent6" w:themeShade="BF"/>
          <w:sz w:val="28"/>
          <w:szCs w:val="28"/>
        </w:rPr>
        <w:br w:type="page"/>
      </w:r>
    </w:p>
    <w:p w14:paraId="281C4721" w14:textId="30211345" w:rsidR="0085547A" w:rsidRDefault="0085547A" w:rsidP="0085547A">
      <w:pPr>
        <w:jc w:val="center"/>
        <w:rPr>
          <w:rFonts w:asciiTheme="majorHAnsi" w:hAnsiTheme="majorHAnsi"/>
          <w:b/>
          <w:sz w:val="32"/>
          <w:szCs w:val="32"/>
        </w:rPr>
      </w:pPr>
      <w:r w:rsidRPr="008C67C1">
        <w:rPr>
          <w:rFonts w:asciiTheme="majorHAnsi" w:hAnsiTheme="majorHAnsi"/>
          <w:b/>
          <w:sz w:val="32"/>
          <w:szCs w:val="32"/>
        </w:rPr>
        <w:lastRenderedPageBreak/>
        <w:t>Appendix</w:t>
      </w:r>
      <w:r>
        <w:rPr>
          <w:rFonts w:asciiTheme="majorHAnsi" w:hAnsiTheme="majorHAnsi"/>
          <w:b/>
          <w:sz w:val="32"/>
          <w:szCs w:val="32"/>
        </w:rPr>
        <w:t xml:space="preserve"> 2</w:t>
      </w:r>
      <w:r w:rsidRPr="008C67C1">
        <w:rPr>
          <w:rFonts w:asciiTheme="majorHAnsi" w:hAnsiTheme="majorHAnsi"/>
          <w:b/>
          <w:sz w:val="32"/>
          <w:szCs w:val="32"/>
        </w:rPr>
        <w:t xml:space="preserve">: </w:t>
      </w:r>
      <w:r w:rsidR="008D1F01">
        <w:rPr>
          <w:rFonts w:asciiTheme="majorHAnsi" w:hAnsiTheme="majorHAnsi"/>
          <w:b/>
          <w:sz w:val="32"/>
          <w:szCs w:val="32"/>
        </w:rPr>
        <w:t xml:space="preserve">Change in </w:t>
      </w:r>
      <w:r>
        <w:rPr>
          <w:rFonts w:asciiTheme="majorHAnsi" w:hAnsiTheme="majorHAnsi"/>
          <w:b/>
          <w:sz w:val="32"/>
          <w:szCs w:val="32"/>
        </w:rPr>
        <w:t xml:space="preserve">Tax Liability for </w:t>
      </w:r>
      <w:r w:rsidRPr="00847706">
        <w:rPr>
          <w:rFonts w:asciiTheme="majorHAnsi" w:hAnsiTheme="majorHAnsi"/>
          <w:b/>
          <w:sz w:val="32"/>
          <w:szCs w:val="32"/>
        </w:rPr>
        <w:t xml:space="preserve">Section 38 Manufacturers and Mutual Fund Services </w:t>
      </w:r>
      <w:r w:rsidR="00D55E96">
        <w:rPr>
          <w:rFonts w:asciiTheme="majorHAnsi" w:hAnsiTheme="majorHAnsi"/>
          <w:b/>
          <w:sz w:val="32"/>
          <w:szCs w:val="32"/>
        </w:rPr>
        <w:t>C</w:t>
      </w:r>
      <w:r w:rsidRPr="00847706">
        <w:rPr>
          <w:rFonts w:asciiTheme="majorHAnsi" w:hAnsiTheme="majorHAnsi"/>
          <w:b/>
          <w:sz w:val="32"/>
          <w:szCs w:val="32"/>
        </w:rPr>
        <w:t xml:space="preserve">orporations </w:t>
      </w:r>
      <w:r w:rsidR="008D1F01">
        <w:rPr>
          <w:rFonts w:asciiTheme="majorHAnsi" w:hAnsiTheme="majorHAnsi"/>
          <w:b/>
          <w:sz w:val="32"/>
          <w:szCs w:val="32"/>
        </w:rPr>
        <w:t>Were</w:t>
      </w:r>
      <w:r w:rsidRPr="00847706">
        <w:rPr>
          <w:rFonts w:asciiTheme="majorHAnsi" w:hAnsiTheme="majorHAnsi"/>
          <w:b/>
          <w:sz w:val="32"/>
          <w:szCs w:val="32"/>
        </w:rPr>
        <w:t xml:space="preserve"> </w:t>
      </w:r>
      <w:r w:rsidR="00A844AE">
        <w:rPr>
          <w:rFonts w:asciiTheme="majorHAnsi" w:hAnsiTheme="majorHAnsi"/>
          <w:b/>
          <w:sz w:val="32"/>
          <w:szCs w:val="32"/>
        </w:rPr>
        <w:t>T</w:t>
      </w:r>
      <w:r w:rsidR="00A844AE" w:rsidRPr="007843B9">
        <w:rPr>
          <w:rFonts w:asciiTheme="majorHAnsi" w:hAnsiTheme="majorHAnsi"/>
          <w:b/>
          <w:sz w:val="32"/>
          <w:szCs w:val="32"/>
        </w:rPr>
        <w:t xml:space="preserve">hey </w:t>
      </w:r>
      <w:r w:rsidR="008D1F01">
        <w:rPr>
          <w:rFonts w:asciiTheme="majorHAnsi" w:hAnsiTheme="majorHAnsi"/>
          <w:b/>
          <w:sz w:val="32"/>
          <w:szCs w:val="32"/>
        </w:rPr>
        <w:t xml:space="preserve">to </w:t>
      </w:r>
      <w:r w:rsidR="00A844AE">
        <w:rPr>
          <w:rFonts w:asciiTheme="majorHAnsi" w:hAnsiTheme="majorHAnsi"/>
          <w:b/>
          <w:sz w:val="32"/>
          <w:szCs w:val="32"/>
        </w:rPr>
        <w:t>U</w:t>
      </w:r>
      <w:r w:rsidR="00A844AE" w:rsidRPr="007843B9">
        <w:rPr>
          <w:rFonts w:asciiTheme="majorHAnsi" w:hAnsiTheme="majorHAnsi"/>
          <w:b/>
          <w:sz w:val="32"/>
          <w:szCs w:val="32"/>
        </w:rPr>
        <w:t xml:space="preserve">se </w:t>
      </w:r>
      <w:r w:rsidR="00A844AE">
        <w:rPr>
          <w:rFonts w:asciiTheme="majorHAnsi" w:hAnsiTheme="majorHAnsi"/>
          <w:b/>
          <w:sz w:val="32"/>
          <w:szCs w:val="32"/>
        </w:rPr>
        <w:t xml:space="preserve">Double-Weighted Sales </w:t>
      </w:r>
      <w:r w:rsidR="008D1F01">
        <w:rPr>
          <w:rFonts w:asciiTheme="majorHAnsi" w:hAnsiTheme="majorHAnsi"/>
          <w:b/>
          <w:sz w:val="32"/>
          <w:szCs w:val="32"/>
        </w:rPr>
        <w:t xml:space="preserve">Factor Apportionment </w:t>
      </w:r>
      <w:r w:rsidR="00A844AE">
        <w:rPr>
          <w:rFonts w:asciiTheme="majorHAnsi" w:hAnsiTheme="majorHAnsi"/>
          <w:b/>
          <w:sz w:val="32"/>
          <w:szCs w:val="32"/>
        </w:rPr>
        <w:t>I</w:t>
      </w:r>
      <w:r w:rsidR="00A844AE" w:rsidRPr="007843B9">
        <w:rPr>
          <w:rFonts w:asciiTheme="majorHAnsi" w:hAnsiTheme="majorHAnsi"/>
          <w:b/>
          <w:sz w:val="32"/>
          <w:szCs w:val="32"/>
        </w:rPr>
        <w:t xml:space="preserve">nstead of </w:t>
      </w:r>
      <w:r w:rsidR="00A844AE">
        <w:rPr>
          <w:rFonts w:asciiTheme="majorHAnsi" w:hAnsiTheme="majorHAnsi"/>
          <w:b/>
          <w:sz w:val="32"/>
          <w:szCs w:val="32"/>
        </w:rPr>
        <w:t>Single-</w:t>
      </w:r>
      <w:r w:rsidR="008D1F01">
        <w:rPr>
          <w:rFonts w:asciiTheme="majorHAnsi" w:hAnsiTheme="majorHAnsi"/>
          <w:b/>
          <w:sz w:val="32"/>
          <w:szCs w:val="32"/>
        </w:rPr>
        <w:t>S</w:t>
      </w:r>
      <w:r w:rsidR="00A844AE">
        <w:rPr>
          <w:rFonts w:asciiTheme="majorHAnsi" w:hAnsiTheme="majorHAnsi"/>
          <w:b/>
          <w:sz w:val="32"/>
          <w:szCs w:val="32"/>
        </w:rPr>
        <w:t xml:space="preserve">ales </w:t>
      </w:r>
      <w:r w:rsidR="008D1F01">
        <w:rPr>
          <w:rFonts w:asciiTheme="majorHAnsi" w:hAnsiTheme="majorHAnsi"/>
          <w:b/>
          <w:sz w:val="32"/>
          <w:szCs w:val="32"/>
        </w:rPr>
        <w:t>F</w:t>
      </w:r>
      <w:r w:rsidR="00A844AE">
        <w:rPr>
          <w:rFonts w:asciiTheme="majorHAnsi" w:hAnsiTheme="majorHAnsi"/>
          <w:b/>
          <w:sz w:val="32"/>
          <w:szCs w:val="32"/>
        </w:rPr>
        <w:t xml:space="preserve">actor </w:t>
      </w:r>
      <w:r w:rsidR="008D1F01">
        <w:rPr>
          <w:rFonts w:asciiTheme="majorHAnsi" w:hAnsiTheme="majorHAnsi"/>
          <w:b/>
          <w:sz w:val="32"/>
          <w:szCs w:val="32"/>
        </w:rPr>
        <w:t>Apportionment</w:t>
      </w:r>
    </w:p>
    <w:p w14:paraId="6BE192C4" w14:textId="77777777" w:rsidR="00A844AE" w:rsidRPr="008C67C1" w:rsidRDefault="00A844AE" w:rsidP="0085547A">
      <w:pPr>
        <w:jc w:val="center"/>
        <w:rPr>
          <w:rFonts w:asciiTheme="majorHAnsi" w:hAnsiTheme="majorHAnsi"/>
          <w:b/>
          <w:sz w:val="32"/>
          <w:szCs w:val="32"/>
        </w:rPr>
      </w:pPr>
    </w:p>
    <w:p w14:paraId="6C9191D2" w14:textId="54285C87" w:rsidR="00A844AE" w:rsidRDefault="0085547A" w:rsidP="00A844AE">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In </w:t>
      </w:r>
      <w:r w:rsidR="00A844AE">
        <w:rPr>
          <w:rFonts w:asciiTheme="majorHAnsi" w:eastAsiaTheme="majorEastAsia" w:hAnsiTheme="majorHAnsi" w:cstheme="majorBidi"/>
          <w:bCs/>
          <w:color w:val="000000" w:themeColor="text1"/>
          <w:sz w:val="24"/>
          <w:szCs w:val="24"/>
        </w:rPr>
        <w:t>T</w:t>
      </w:r>
      <w:r>
        <w:rPr>
          <w:rFonts w:asciiTheme="majorHAnsi" w:eastAsiaTheme="majorEastAsia" w:hAnsiTheme="majorHAnsi" w:cstheme="majorBidi"/>
          <w:bCs/>
          <w:color w:val="000000" w:themeColor="text1"/>
          <w:sz w:val="24"/>
          <w:szCs w:val="24"/>
        </w:rPr>
        <w:t>able 2 of the text</w:t>
      </w:r>
      <w:r w:rsidR="00A844AE">
        <w:rPr>
          <w:rFonts w:asciiTheme="majorHAnsi" w:eastAsiaTheme="majorEastAsia" w:hAnsiTheme="majorHAnsi" w:cstheme="majorBidi"/>
          <w:bCs/>
          <w:color w:val="000000" w:themeColor="text1"/>
          <w:sz w:val="24"/>
          <w:szCs w:val="24"/>
        </w:rPr>
        <w:t>,</w:t>
      </w:r>
      <w:r>
        <w:rPr>
          <w:rFonts w:asciiTheme="majorHAnsi" w:eastAsiaTheme="majorEastAsia" w:hAnsiTheme="majorHAnsi" w:cstheme="majorBidi"/>
          <w:bCs/>
          <w:color w:val="000000" w:themeColor="text1"/>
          <w:sz w:val="24"/>
          <w:szCs w:val="24"/>
        </w:rPr>
        <w:t xml:space="preserve"> </w:t>
      </w:r>
      <w:r w:rsidR="00A844AE">
        <w:rPr>
          <w:rFonts w:asciiTheme="majorHAnsi" w:eastAsiaTheme="majorEastAsia" w:hAnsiTheme="majorHAnsi" w:cstheme="majorBidi"/>
          <w:bCs/>
          <w:color w:val="000000" w:themeColor="text1"/>
          <w:sz w:val="24"/>
          <w:szCs w:val="24"/>
        </w:rPr>
        <w:t>we report the net impact on s</w:t>
      </w:r>
      <w:r w:rsidR="00A844AE" w:rsidRPr="007843B9">
        <w:rPr>
          <w:rFonts w:asciiTheme="majorHAnsi" w:eastAsiaTheme="majorEastAsia" w:hAnsiTheme="majorHAnsi" w:cstheme="majorBidi"/>
          <w:bCs/>
          <w:color w:val="000000" w:themeColor="text1"/>
          <w:sz w:val="24"/>
          <w:szCs w:val="24"/>
        </w:rPr>
        <w:t xml:space="preserve">ection 38 </w:t>
      </w:r>
      <w:r w:rsidR="00A844AE">
        <w:rPr>
          <w:rFonts w:asciiTheme="majorHAnsi" w:eastAsiaTheme="majorEastAsia" w:hAnsiTheme="majorHAnsi" w:cstheme="majorBidi"/>
          <w:bCs/>
          <w:color w:val="000000" w:themeColor="text1"/>
          <w:sz w:val="24"/>
          <w:szCs w:val="24"/>
        </w:rPr>
        <w:t>m</w:t>
      </w:r>
      <w:r w:rsidR="00A844AE" w:rsidRPr="007843B9">
        <w:rPr>
          <w:rFonts w:asciiTheme="majorHAnsi" w:eastAsiaTheme="majorEastAsia" w:hAnsiTheme="majorHAnsi" w:cstheme="majorBidi"/>
          <w:bCs/>
          <w:color w:val="000000" w:themeColor="text1"/>
          <w:sz w:val="24"/>
          <w:szCs w:val="24"/>
        </w:rPr>
        <w:t xml:space="preserve">anufacturers and </w:t>
      </w:r>
      <w:r w:rsidR="00A844AE">
        <w:rPr>
          <w:rFonts w:asciiTheme="majorHAnsi" w:eastAsiaTheme="majorEastAsia" w:hAnsiTheme="majorHAnsi" w:cstheme="majorBidi"/>
          <w:bCs/>
          <w:color w:val="000000" w:themeColor="text1"/>
          <w:sz w:val="24"/>
          <w:szCs w:val="24"/>
        </w:rPr>
        <w:t>m</w:t>
      </w:r>
      <w:r w:rsidR="00A844AE" w:rsidRPr="007843B9">
        <w:rPr>
          <w:rFonts w:asciiTheme="majorHAnsi" w:eastAsiaTheme="majorEastAsia" w:hAnsiTheme="majorHAnsi" w:cstheme="majorBidi"/>
          <w:bCs/>
          <w:color w:val="000000" w:themeColor="text1"/>
          <w:sz w:val="24"/>
          <w:szCs w:val="24"/>
        </w:rPr>
        <w:t xml:space="preserve">utual </w:t>
      </w:r>
      <w:r w:rsidR="00A844AE">
        <w:rPr>
          <w:rFonts w:asciiTheme="majorHAnsi" w:eastAsiaTheme="majorEastAsia" w:hAnsiTheme="majorHAnsi" w:cstheme="majorBidi"/>
          <w:bCs/>
          <w:color w:val="000000" w:themeColor="text1"/>
          <w:sz w:val="24"/>
          <w:szCs w:val="24"/>
        </w:rPr>
        <w:t>f</w:t>
      </w:r>
      <w:r w:rsidR="00A844AE" w:rsidRPr="007843B9">
        <w:rPr>
          <w:rFonts w:asciiTheme="majorHAnsi" w:eastAsiaTheme="majorEastAsia" w:hAnsiTheme="majorHAnsi" w:cstheme="majorBidi"/>
          <w:bCs/>
          <w:color w:val="000000" w:themeColor="text1"/>
          <w:sz w:val="24"/>
          <w:szCs w:val="24"/>
        </w:rPr>
        <w:t xml:space="preserve">und </w:t>
      </w:r>
      <w:r w:rsidR="00A844AE">
        <w:rPr>
          <w:rFonts w:asciiTheme="majorHAnsi" w:eastAsiaTheme="majorEastAsia" w:hAnsiTheme="majorHAnsi" w:cstheme="majorBidi"/>
          <w:bCs/>
          <w:color w:val="000000" w:themeColor="text1"/>
          <w:sz w:val="24"/>
          <w:szCs w:val="24"/>
        </w:rPr>
        <w:t>s</w:t>
      </w:r>
      <w:r w:rsidR="00A844AE" w:rsidRPr="007843B9">
        <w:rPr>
          <w:rFonts w:asciiTheme="majorHAnsi" w:eastAsiaTheme="majorEastAsia" w:hAnsiTheme="majorHAnsi" w:cstheme="majorBidi"/>
          <w:bCs/>
          <w:color w:val="000000" w:themeColor="text1"/>
          <w:sz w:val="24"/>
          <w:szCs w:val="24"/>
        </w:rPr>
        <w:t xml:space="preserve">ervices corporations </w:t>
      </w:r>
      <w:r w:rsidR="008D1F01">
        <w:rPr>
          <w:rFonts w:asciiTheme="majorHAnsi" w:eastAsiaTheme="majorEastAsia" w:hAnsiTheme="majorHAnsi" w:cstheme="majorBidi"/>
          <w:bCs/>
          <w:color w:val="000000" w:themeColor="text1"/>
          <w:sz w:val="24"/>
          <w:szCs w:val="24"/>
        </w:rPr>
        <w:t>of using</w:t>
      </w:r>
      <w:r w:rsidR="00A844AE">
        <w:rPr>
          <w:rFonts w:asciiTheme="majorHAnsi" w:eastAsiaTheme="majorEastAsia" w:hAnsiTheme="majorHAnsi" w:cstheme="majorBidi"/>
          <w:bCs/>
          <w:color w:val="000000" w:themeColor="text1"/>
          <w:sz w:val="24"/>
          <w:szCs w:val="24"/>
        </w:rPr>
        <w:t xml:space="preserve"> </w:t>
      </w:r>
      <w:r w:rsidR="00A844AE" w:rsidRPr="007843B9">
        <w:rPr>
          <w:rFonts w:asciiTheme="majorHAnsi" w:eastAsiaTheme="majorEastAsia" w:hAnsiTheme="majorHAnsi" w:cstheme="majorBidi"/>
          <w:bCs/>
          <w:color w:val="000000" w:themeColor="text1"/>
          <w:sz w:val="24"/>
          <w:szCs w:val="24"/>
        </w:rPr>
        <w:t>single sales factor</w:t>
      </w:r>
      <w:r w:rsidR="00A844AE">
        <w:rPr>
          <w:rFonts w:asciiTheme="majorHAnsi" w:eastAsiaTheme="majorEastAsia" w:hAnsiTheme="majorHAnsi" w:cstheme="majorBidi"/>
          <w:bCs/>
          <w:color w:val="000000" w:themeColor="text1"/>
          <w:sz w:val="24"/>
          <w:szCs w:val="24"/>
        </w:rPr>
        <w:t xml:space="preserve"> </w:t>
      </w:r>
      <w:r w:rsidR="008D1F01">
        <w:rPr>
          <w:rFonts w:asciiTheme="majorHAnsi" w:eastAsiaTheme="majorEastAsia" w:hAnsiTheme="majorHAnsi" w:cstheme="majorBidi"/>
          <w:bCs/>
          <w:color w:val="000000" w:themeColor="text1"/>
          <w:sz w:val="24"/>
          <w:szCs w:val="24"/>
        </w:rPr>
        <w:t xml:space="preserve">apportionment </w:t>
      </w:r>
      <w:r w:rsidR="00A844AE">
        <w:rPr>
          <w:rFonts w:asciiTheme="majorHAnsi" w:eastAsiaTheme="majorEastAsia" w:hAnsiTheme="majorHAnsi" w:cstheme="majorBidi"/>
          <w:bCs/>
          <w:color w:val="000000" w:themeColor="text1"/>
          <w:sz w:val="24"/>
          <w:szCs w:val="24"/>
        </w:rPr>
        <w:t>(SSF)</w:t>
      </w:r>
      <w:r w:rsidR="00A844AE" w:rsidRPr="007843B9">
        <w:rPr>
          <w:rFonts w:asciiTheme="majorHAnsi" w:eastAsiaTheme="majorEastAsia" w:hAnsiTheme="majorHAnsi" w:cstheme="majorBidi"/>
          <w:bCs/>
          <w:color w:val="000000" w:themeColor="text1"/>
          <w:sz w:val="24"/>
          <w:szCs w:val="24"/>
        </w:rPr>
        <w:t xml:space="preserve"> instead of equal</w:t>
      </w:r>
      <w:r w:rsidR="00A844AE">
        <w:rPr>
          <w:rFonts w:asciiTheme="majorHAnsi" w:eastAsiaTheme="majorEastAsia" w:hAnsiTheme="majorHAnsi" w:cstheme="majorBidi"/>
          <w:bCs/>
          <w:color w:val="000000" w:themeColor="text1"/>
          <w:sz w:val="24"/>
          <w:szCs w:val="24"/>
        </w:rPr>
        <w:t>-</w:t>
      </w:r>
      <w:r w:rsidR="00A844AE" w:rsidRPr="007843B9">
        <w:rPr>
          <w:rFonts w:asciiTheme="majorHAnsi" w:eastAsiaTheme="majorEastAsia" w:hAnsiTheme="majorHAnsi" w:cstheme="majorBidi"/>
          <w:bCs/>
          <w:color w:val="000000" w:themeColor="text1"/>
          <w:sz w:val="24"/>
          <w:szCs w:val="24"/>
        </w:rPr>
        <w:t>weighted factors.</w:t>
      </w:r>
      <w:r w:rsidR="00A844AE">
        <w:rPr>
          <w:rFonts w:asciiTheme="majorHAnsi" w:eastAsiaTheme="majorEastAsia" w:hAnsiTheme="majorHAnsi" w:cstheme="majorBidi"/>
          <w:bCs/>
          <w:color w:val="000000" w:themeColor="text1"/>
          <w:sz w:val="24"/>
          <w:szCs w:val="24"/>
        </w:rPr>
        <w:t xml:space="preserve"> In this appendix, we provide figures for </w:t>
      </w:r>
      <w:r w:rsidR="00A844AE" w:rsidRPr="007843B9">
        <w:rPr>
          <w:rFonts w:asciiTheme="majorHAnsi" w:eastAsiaTheme="majorEastAsia" w:hAnsiTheme="majorHAnsi" w:cstheme="majorBidi"/>
          <w:bCs/>
          <w:color w:val="000000" w:themeColor="text1"/>
          <w:sz w:val="24"/>
          <w:szCs w:val="24"/>
        </w:rPr>
        <w:t>how much the tax liability would change if</w:t>
      </w:r>
      <w:r w:rsidR="00A844AE">
        <w:rPr>
          <w:rFonts w:asciiTheme="majorHAnsi" w:eastAsiaTheme="majorEastAsia" w:hAnsiTheme="majorHAnsi" w:cstheme="majorBidi"/>
          <w:bCs/>
          <w:color w:val="000000" w:themeColor="text1"/>
          <w:sz w:val="24"/>
          <w:szCs w:val="24"/>
        </w:rPr>
        <w:t xml:space="preserve"> s</w:t>
      </w:r>
      <w:r w:rsidR="00A844AE" w:rsidRPr="007843B9">
        <w:rPr>
          <w:rFonts w:asciiTheme="majorHAnsi" w:eastAsiaTheme="majorEastAsia" w:hAnsiTheme="majorHAnsi" w:cstheme="majorBidi"/>
          <w:bCs/>
          <w:color w:val="000000" w:themeColor="text1"/>
          <w:sz w:val="24"/>
          <w:szCs w:val="24"/>
        </w:rPr>
        <w:t xml:space="preserve">ection 38 </w:t>
      </w:r>
      <w:r w:rsidR="00A844AE">
        <w:rPr>
          <w:rFonts w:asciiTheme="majorHAnsi" w:eastAsiaTheme="majorEastAsia" w:hAnsiTheme="majorHAnsi" w:cstheme="majorBidi"/>
          <w:bCs/>
          <w:color w:val="000000" w:themeColor="text1"/>
          <w:sz w:val="24"/>
          <w:szCs w:val="24"/>
        </w:rPr>
        <w:t>m</w:t>
      </w:r>
      <w:r w:rsidR="00A844AE" w:rsidRPr="007843B9">
        <w:rPr>
          <w:rFonts w:asciiTheme="majorHAnsi" w:eastAsiaTheme="majorEastAsia" w:hAnsiTheme="majorHAnsi" w:cstheme="majorBidi"/>
          <w:bCs/>
          <w:color w:val="000000" w:themeColor="text1"/>
          <w:sz w:val="24"/>
          <w:szCs w:val="24"/>
        </w:rPr>
        <w:t xml:space="preserve">anufacturers and </w:t>
      </w:r>
      <w:r w:rsidR="00A844AE">
        <w:rPr>
          <w:rFonts w:asciiTheme="majorHAnsi" w:eastAsiaTheme="majorEastAsia" w:hAnsiTheme="majorHAnsi" w:cstheme="majorBidi"/>
          <w:bCs/>
          <w:color w:val="000000" w:themeColor="text1"/>
          <w:sz w:val="24"/>
          <w:szCs w:val="24"/>
        </w:rPr>
        <w:t>m</w:t>
      </w:r>
      <w:r w:rsidR="00A844AE" w:rsidRPr="007843B9">
        <w:rPr>
          <w:rFonts w:asciiTheme="majorHAnsi" w:eastAsiaTheme="majorEastAsia" w:hAnsiTheme="majorHAnsi" w:cstheme="majorBidi"/>
          <w:bCs/>
          <w:color w:val="000000" w:themeColor="text1"/>
          <w:sz w:val="24"/>
          <w:szCs w:val="24"/>
        </w:rPr>
        <w:t xml:space="preserve">utual </w:t>
      </w:r>
      <w:r w:rsidR="00A844AE">
        <w:rPr>
          <w:rFonts w:asciiTheme="majorHAnsi" w:eastAsiaTheme="majorEastAsia" w:hAnsiTheme="majorHAnsi" w:cstheme="majorBidi"/>
          <w:bCs/>
          <w:color w:val="000000" w:themeColor="text1"/>
          <w:sz w:val="24"/>
          <w:szCs w:val="24"/>
        </w:rPr>
        <w:t>f</w:t>
      </w:r>
      <w:r w:rsidR="00A844AE" w:rsidRPr="007843B9">
        <w:rPr>
          <w:rFonts w:asciiTheme="majorHAnsi" w:eastAsiaTheme="majorEastAsia" w:hAnsiTheme="majorHAnsi" w:cstheme="majorBidi"/>
          <w:bCs/>
          <w:color w:val="000000" w:themeColor="text1"/>
          <w:sz w:val="24"/>
          <w:szCs w:val="24"/>
        </w:rPr>
        <w:t xml:space="preserve">und </w:t>
      </w:r>
      <w:r w:rsidR="00A844AE">
        <w:rPr>
          <w:rFonts w:asciiTheme="majorHAnsi" w:eastAsiaTheme="majorEastAsia" w:hAnsiTheme="majorHAnsi" w:cstheme="majorBidi"/>
          <w:bCs/>
          <w:color w:val="000000" w:themeColor="text1"/>
          <w:sz w:val="24"/>
          <w:szCs w:val="24"/>
        </w:rPr>
        <w:t>s</w:t>
      </w:r>
      <w:r w:rsidR="00A844AE" w:rsidRPr="007843B9">
        <w:rPr>
          <w:rFonts w:asciiTheme="majorHAnsi" w:eastAsiaTheme="majorEastAsia" w:hAnsiTheme="majorHAnsi" w:cstheme="majorBidi"/>
          <w:bCs/>
          <w:color w:val="000000" w:themeColor="text1"/>
          <w:sz w:val="24"/>
          <w:szCs w:val="24"/>
        </w:rPr>
        <w:t xml:space="preserve">ervices corporations </w:t>
      </w:r>
      <w:r w:rsidR="008D1F01">
        <w:rPr>
          <w:rFonts w:asciiTheme="majorHAnsi" w:eastAsiaTheme="majorEastAsia" w:hAnsiTheme="majorHAnsi" w:cstheme="majorBidi"/>
          <w:bCs/>
          <w:color w:val="000000" w:themeColor="text1"/>
          <w:sz w:val="24"/>
          <w:szCs w:val="24"/>
        </w:rPr>
        <w:t xml:space="preserve">were to </w:t>
      </w:r>
      <w:r w:rsidR="00A844AE" w:rsidRPr="007843B9">
        <w:rPr>
          <w:rFonts w:asciiTheme="majorHAnsi" w:eastAsiaTheme="majorEastAsia" w:hAnsiTheme="majorHAnsi" w:cstheme="majorBidi"/>
          <w:bCs/>
          <w:color w:val="000000" w:themeColor="text1"/>
          <w:sz w:val="24"/>
          <w:szCs w:val="24"/>
        </w:rPr>
        <w:t>use double</w:t>
      </w:r>
      <w:r w:rsidR="00A844AE">
        <w:rPr>
          <w:rFonts w:asciiTheme="majorHAnsi" w:eastAsiaTheme="majorEastAsia" w:hAnsiTheme="majorHAnsi" w:cstheme="majorBidi"/>
          <w:bCs/>
          <w:color w:val="000000" w:themeColor="text1"/>
          <w:sz w:val="24"/>
          <w:szCs w:val="24"/>
        </w:rPr>
        <w:t>-</w:t>
      </w:r>
      <w:r w:rsidR="00A844AE" w:rsidRPr="007843B9">
        <w:rPr>
          <w:rFonts w:asciiTheme="majorHAnsi" w:eastAsiaTheme="majorEastAsia" w:hAnsiTheme="majorHAnsi" w:cstheme="majorBidi"/>
          <w:bCs/>
          <w:color w:val="000000" w:themeColor="text1"/>
          <w:sz w:val="24"/>
          <w:szCs w:val="24"/>
        </w:rPr>
        <w:t>weighted sales factor</w:t>
      </w:r>
      <w:r w:rsidR="00A844AE">
        <w:rPr>
          <w:rFonts w:asciiTheme="majorHAnsi" w:eastAsiaTheme="majorEastAsia" w:hAnsiTheme="majorHAnsi" w:cstheme="majorBidi"/>
          <w:bCs/>
          <w:color w:val="000000" w:themeColor="text1"/>
          <w:sz w:val="24"/>
          <w:szCs w:val="24"/>
        </w:rPr>
        <w:t xml:space="preserve"> </w:t>
      </w:r>
      <w:r w:rsidR="008D1F01">
        <w:rPr>
          <w:rFonts w:asciiTheme="majorHAnsi" w:eastAsiaTheme="majorEastAsia" w:hAnsiTheme="majorHAnsi" w:cstheme="majorBidi"/>
          <w:bCs/>
          <w:color w:val="000000" w:themeColor="text1"/>
          <w:sz w:val="24"/>
          <w:szCs w:val="24"/>
        </w:rPr>
        <w:t xml:space="preserve">apportionment </w:t>
      </w:r>
      <w:r w:rsidR="00A844AE">
        <w:rPr>
          <w:rFonts w:asciiTheme="majorHAnsi" w:eastAsiaTheme="majorEastAsia" w:hAnsiTheme="majorHAnsi" w:cstheme="majorBidi"/>
          <w:bCs/>
          <w:color w:val="000000" w:themeColor="text1"/>
          <w:sz w:val="24"/>
          <w:szCs w:val="24"/>
        </w:rPr>
        <w:t>(DSF)</w:t>
      </w:r>
      <w:r w:rsidR="00A844AE" w:rsidRPr="007843B9">
        <w:rPr>
          <w:rFonts w:asciiTheme="majorHAnsi" w:eastAsiaTheme="majorEastAsia" w:hAnsiTheme="majorHAnsi" w:cstheme="majorBidi"/>
          <w:bCs/>
          <w:color w:val="000000" w:themeColor="text1"/>
          <w:sz w:val="24"/>
          <w:szCs w:val="24"/>
        </w:rPr>
        <w:t xml:space="preserve"> instead of</w:t>
      </w:r>
      <w:r w:rsidR="00A844AE">
        <w:rPr>
          <w:rFonts w:asciiTheme="majorHAnsi" w:eastAsiaTheme="majorEastAsia" w:hAnsiTheme="majorHAnsi" w:cstheme="majorBidi"/>
          <w:bCs/>
          <w:color w:val="000000" w:themeColor="text1"/>
          <w:sz w:val="24"/>
          <w:szCs w:val="24"/>
        </w:rPr>
        <w:t xml:space="preserve"> </w:t>
      </w:r>
      <w:r w:rsidR="00A844AE" w:rsidRPr="007843B9">
        <w:rPr>
          <w:rFonts w:asciiTheme="majorHAnsi" w:eastAsiaTheme="majorEastAsia" w:hAnsiTheme="majorHAnsi" w:cstheme="majorBidi"/>
          <w:bCs/>
          <w:color w:val="000000" w:themeColor="text1"/>
          <w:sz w:val="24"/>
          <w:szCs w:val="24"/>
        </w:rPr>
        <w:t>single</w:t>
      </w:r>
      <w:r w:rsidR="00A844AE">
        <w:rPr>
          <w:rFonts w:asciiTheme="majorHAnsi" w:eastAsiaTheme="majorEastAsia" w:hAnsiTheme="majorHAnsi" w:cstheme="majorBidi"/>
          <w:bCs/>
          <w:color w:val="000000" w:themeColor="text1"/>
          <w:sz w:val="24"/>
          <w:szCs w:val="24"/>
        </w:rPr>
        <w:t>-</w:t>
      </w:r>
      <w:r w:rsidR="00A844AE" w:rsidRPr="007843B9">
        <w:rPr>
          <w:rFonts w:asciiTheme="majorHAnsi" w:eastAsiaTheme="majorEastAsia" w:hAnsiTheme="majorHAnsi" w:cstheme="majorBidi"/>
          <w:bCs/>
          <w:color w:val="000000" w:themeColor="text1"/>
          <w:sz w:val="24"/>
          <w:szCs w:val="24"/>
        </w:rPr>
        <w:t xml:space="preserve">sales factor </w:t>
      </w:r>
      <w:r w:rsidR="008D1F01">
        <w:rPr>
          <w:rFonts w:asciiTheme="majorHAnsi" w:eastAsiaTheme="majorEastAsia" w:hAnsiTheme="majorHAnsi" w:cstheme="majorBidi"/>
          <w:bCs/>
          <w:color w:val="000000" w:themeColor="text1"/>
          <w:sz w:val="24"/>
          <w:szCs w:val="24"/>
        </w:rPr>
        <w:t xml:space="preserve">apportionment </w:t>
      </w:r>
      <w:r w:rsidR="00A844AE">
        <w:rPr>
          <w:rFonts w:asciiTheme="majorHAnsi" w:eastAsiaTheme="majorEastAsia" w:hAnsiTheme="majorHAnsi" w:cstheme="majorBidi"/>
          <w:bCs/>
          <w:color w:val="000000" w:themeColor="text1"/>
          <w:sz w:val="24"/>
          <w:szCs w:val="24"/>
        </w:rPr>
        <w:t>(SSF).</w:t>
      </w:r>
    </w:p>
    <w:p w14:paraId="1C8243EF" w14:textId="77777777" w:rsidR="00D55E96" w:rsidRDefault="00D55E96" w:rsidP="00D55E96">
      <w:pPr>
        <w:tabs>
          <w:tab w:val="left" w:pos="7050"/>
        </w:tabs>
        <w:spacing w:after="0"/>
        <w:rPr>
          <w:rFonts w:asciiTheme="majorHAnsi" w:eastAsiaTheme="majorEastAsia" w:hAnsiTheme="majorHAnsi" w:cstheme="majorBidi"/>
          <w:bCs/>
          <w:color w:val="000000" w:themeColor="text1"/>
          <w:sz w:val="24"/>
          <w:szCs w:val="24"/>
        </w:rPr>
      </w:pPr>
    </w:p>
    <w:p w14:paraId="38B97D60" w14:textId="2B727A5D" w:rsidR="00D55E96" w:rsidRDefault="00D55E96" w:rsidP="00D55E96">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Looking at Table </w:t>
      </w:r>
      <w:r w:rsidR="006D365D">
        <w:rPr>
          <w:rFonts w:asciiTheme="majorHAnsi" w:eastAsiaTheme="majorEastAsia" w:hAnsiTheme="majorHAnsi" w:cstheme="majorBidi"/>
          <w:bCs/>
          <w:color w:val="000000" w:themeColor="text1"/>
          <w:sz w:val="24"/>
          <w:szCs w:val="24"/>
        </w:rPr>
        <w:t>A</w:t>
      </w:r>
      <w:r>
        <w:rPr>
          <w:rFonts w:asciiTheme="majorHAnsi" w:eastAsiaTheme="majorEastAsia" w:hAnsiTheme="majorHAnsi" w:cstheme="majorBidi"/>
          <w:bCs/>
          <w:color w:val="000000" w:themeColor="text1"/>
          <w:sz w:val="24"/>
          <w:szCs w:val="24"/>
        </w:rPr>
        <w:t>2</w:t>
      </w:r>
      <w:r w:rsidR="006D365D">
        <w:rPr>
          <w:rFonts w:asciiTheme="majorHAnsi" w:eastAsiaTheme="majorEastAsia" w:hAnsiTheme="majorHAnsi" w:cstheme="majorBidi"/>
          <w:bCs/>
          <w:color w:val="000000" w:themeColor="text1"/>
          <w:sz w:val="24"/>
          <w:szCs w:val="24"/>
        </w:rPr>
        <w:t>-1</w:t>
      </w:r>
      <w:r w:rsidR="00A844AE">
        <w:rPr>
          <w:rFonts w:asciiTheme="majorHAnsi" w:eastAsiaTheme="majorEastAsia" w:hAnsiTheme="majorHAnsi" w:cstheme="majorBidi"/>
          <w:bCs/>
          <w:color w:val="000000" w:themeColor="text1"/>
          <w:sz w:val="24"/>
          <w:szCs w:val="24"/>
        </w:rPr>
        <w:t xml:space="preserve"> below</w:t>
      </w:r>
      <w:r>
        <w:rPr>
          <w:rFonts w:asciiTheme="majorHAnsi" w:eastAsiaTheme="majorEastAsia" w:hAnsiTheme="majorHAnsi" w:cstheme="majorBidi"/>
          <w:bCs/>
          <w:color w:val="000000" w:themeColor="text1"/>
          <w:sz w:val="24"/>
          <w:szCs w:val="24"/>
        </w:rPr>
        <w:t xml:space="preserve">, in tax year 2017, about </w:t>
      </w:r>
      <w:r w:rsidR="00F72141">
        <w:rPr>
          <w:rFonts w:asciiTheme="majorHAnsi" w:eastAsiaTheme="majorEastAsia" w:hAnsiTheme="majorHAnsi" w:cstheme="majorBidi"/>
          <w:bCs/>
          <w:color w:val="000000" w:themeColor="text1"/>
          <w:sz w:val="24"/>
          <w:szCs w:val="24"/>
        </w:rPr>
        <w:t>2</w:t>
      </w:r>
      <w:r>
        <w:rPr>
          <w:rFonts w:asciiTheme="majorHAnsi" w:eastAsiaTheme="majorEastAsia" w:hAnsiTheme="majorHAnsi" w:cstheme="majorBidi"/>
          <w:bCs/>
          <w:color w:val="000000" w:themeColor="text1"/>
          <w:sz w:val="24"/>
          <w:szCs w:val="24"/>
        </w:rPr>
        <w:t>,</w:t>
      </w:r>
      <w:r w:rsidR="00F72141">
        <w:rPr>
          <w:rFonts w:asciiTheme="majorHAnsi" w:eastAsiaTheme="majorEastAsia" w:hAnsiTheme="majorHAnsi" w:cstheme="majorBidi"/>
          <w:bCs/>
          <w:color w:val="000000" w:themeColor="text1"/>
          <w:sz w:val="24"/>
          <w:szCs w:val="24"/>
        </w:rPr>
        <w:t>487</w:t>
      </w:r>
      <w:r>
        <w:rPr>
          <w:rFonts w:asciiTheme="majorHAnsi" w:eastAsiaTheme="majorEastAsia" w:hAnsiTheme="majorHAnsi" w:cstheme="majorBidi"/>
          <w:bCs/>
          <w:color w:val="000000" w:themeColor="text1"/>
          <w:sz w:val="24"/>
          <w:szCs w:val="24"/>
        </w:rPr>
        <w:t xml:space="preserve"> corporations had a smaller or larger tax liability using </w:t>
      </w:r>
      <w:r w:rsidR="00F72141">
        <w:rPr>
          <w:rFonts w:asciiTheme="majorHAnsi" w:eastAsiaTheme="majorEastAsia" w:hAnsiTheme="majorHAnsi" w:cstheme="majorBidi"/>
          <w:bCs/>
          <w:color w:val="000000" w:themeColor="text1"/>
          <w:sz w:val="24"/>
          <w:szCs w:val="24"/>
        </w:rPr>
        <w:t xml:space="preserve">the DSF </w:t>
      </w:r>
      <w:r>
        <w:rPr>
          <w:rFonts w:asciiTheme="majorHAnsi" w:eastAsiaTheme="majorEastAsia" w:hAnsiTheme="majorHAnsi" w:cstheme="majorBidi"/>
          <w:bCs/>
          <w:color w:val="000000" w:themeColor="text1"/>
          <w:sz w:val="24"/>
          <w:szCs w:val="24"/>
        </w:rPr>
        <w:t xml:space="preserve">formula than they would have had using the </w:t>
      </w:r>
      <w:r w:rsidR="00F72141">
        <w:rPr>
          <w:rFonts w:asciiTheme="majorHAnsi" w:eastAsiaTheme="majorEastAsia" w:hAnsiTheme="majorHAnsi" w:cstheme="majorBidi"/>
          <w:bCs/>
          <w:color w:val="000000" w:themeColor="text1"/>
          <w:sz w:val="24"/>
          <w:szCs w:val="24"/>
        </w:rPr>
        <w:t xml:space="preserve">SSF </w:t>
      </w:r>
      <w:r>
        <w:rPr>
          <w:rFonts w:asciiTheme="majorHAnsi" w:eastAsiaTheme="majorEastAsia" w:hAnsiTheme="majorHAnsi" w:cstheme="majorBidi"/>
          <w:bCs/>
          <w:color w:val="000000" w:themeColor="text1"/>
          <w:sz w:val="24"/>
          <w:szCs w:val="24"/>
        </w:rPr>
        <w:t xml:space="preserve">formula. Among them, </w:t>
      </w:r>
      <w:r w:rsidR="00F72141">
        <w:rPr>
          <w:rFonts w:asciiTheme="majorHAnsi" w:eastAsiaTheme="majorEastAsia" w:hAnsiTheme="majorHAnsi" w:cstheme="majorBidi"/>
          <w:bCs/>
          <w:color w:val="000000" w:themeColor="text1"/>
          <w:sz w:val="24"/>
          <w:szCs w:val="24"/>
        </w:rPr>
        <w:t>9</w:t>
      </w:r>
      <w:r w:rsidR="00930A21">
        <w:rPr>
          <w:rFonts w:asciiTheme="majorHAnsi" w:eastAsiaTheme="majorEastAsia" w:hAnsiTheme="majorHAnsi" w:cstheme="majorBidi"/>
          <w:bCs/>
          <w:color w:val="000000" w:themeColor="text1"/>
          <w:sz w:val="24"/>
          <w:szCs w:val="24"/>
        </w:rPr>
        <w:t>6</w:t>
      </w:r>
      <w:r>
        <w:rPr>
          <w:rFonts w:asciiTheme="majorHAnsi" w:eastAsiaTheme="majorEastAsia" w:hAnsiTheme="majorHAnsi" w:cstheme="majorBidi"/>
          <w:bCs/>
          <w:color w:val="000000" w:themeColor="text1"/>
          <w:sz w:val="24"/>
          <w:szCs w:val="24"/>
        </w:rPr>
        <w:t>.</w:t>
      </w:r>
      <w:r w:rsidR="00930A21">
        <w:rPr>
          <w:rFonts w:asciiTheme="majorHAnsi" w:eastAsiaTheme="majorEastAsia" w:hAnsiTheme="majorHAnsi" w:cstheme="majorBidi"/>
          <w:bCs/>
          <w:color w:val="000000" w:themeColor="text1"/>
          <w:sz w:val="24"/>
          <w:szCs w:val="24"/>
        </w:rPr>
        <w:t>9</w:t>
      </w:r>
      <w:r>
        <w:rPr>
          <w:rFonts w:asciiTheme="majorHAnsi" w:eastAsiaTheme="majorEastAsia" w:hAnsiTheme="majorHAnsi" w:cstheme="majorBidi"/>
          <w:bCs/>
          <w:color w:val="000000" w:themeColor="text1"/>
          <w:sz w:val="24"/>
          <w:szCs w:val="24"/>
        </w:rPr>
        <w:t>% or 2,40</w:t>
      </w:r>
      <w:r w:rsidR="00F72141">
        <w:rPr>
          <w:rFonts w:asciiTheme="majorHAnsi" w:eastAsiaTheme="majorEastAsia" w:hAnsiTheme="majorHAnsi" w:cstheme="majorBidi"/>
          <w:bCs/>
          <w:color w:val="000000" w:themeColor="text1"/>
          <w:sz w:val="24"/>
          <w:szCs w:val="24"/>
        </w:rPr>
        <w:t>9</w:t>
      </w:r>
      <w:r>
        <w:rPr>
          <w:rFonts w:asciiTheme="majorHAnsi" w:eastAsiaTheme="majorEastAsia" w:hAnsiTheme="majorHAnsi" w:cstheme="majorBidi"/>
          <w:bCs/>
          <w:color w:val="000000" w:themeColor="text1"/>
          <w:sz w:val="24"/>
          <w:szCs w:val="24"/>
        </w:rPr>
        <w:t xml:space="preserve"> corporations were section 38 manufacturers, </w:t>
      </w:r>
      <w:r w:rsidR="008D1F01">
        <w:rPr>
          <w:rFonts w:asciiTheme="majorHAnsi" w:eastAsiaTheme="majorEastAsia" w:hAnsiTheme="majorHAnsi" w:cstheme="majorBidi"/>
          <w:bCs/>
          <w:color w:val="000000" w:themeColor="text1"/>
          <w:sz w:val="24"/>
          <w:szCs w:val="24"/>
        </w:rPr>
        <w:t xml:space="preserve">and </w:t>
      </w:r>
      <w:r w:rsidR="00930A21">
        <w:rPr>
          <w:rFonts w:asciiTheme="majorHAnsi" w:eastAsiaTheme="majorEastAsia" w:hAnsiTheme="majorHAnsi" w:cstheme="majorBidi"/>
          <w:bCs/>
          <w:color w:val="000000" w:themeColor="text1"/>
          <w:sz w:val="24"/>
          <w:szCs w:val="24"/>
        </w:rPr>
        <w:t>3.1</w:t>
      </w:r>
      <w:r>
        <w:rPr>
          <w:rFonts w:asciiTheme="majorHAnsi" w:eastAsiaTheme="majorEastAsia" w:hAnsiTheme="majorHAnsi" w:cstheme="majorBidi"/>
          <w:bCs/>
          <w:color w:val="000000" w:themeColor="text1"/>
          <w:sz w:val="24"/>
          <w:szCs w:val="24"/>
        </w:rPr>
        <w:t>% or 7</w:t>
      </w:r>
      <w:r w:rsidR="00F72141">
        <w:rPr>
          <w:rFonts w:asciiTheme="majorHAnsi" w:eastAsiaTheme="majorEastAsia" w:hAnsiTheme="majorHAnsi" w:cstheme="majorBidi"/>
          <w:bCs/>
          <w:color w:val="000000" w:themeColor="text1"/>
          <w:sz w:val="24"/>
          <w:szCs w:val="24"/>
        </w:rPr>
        <w:t>8</w:t>
      </w:r>
      <w:r>
        <w:rPr>
          <w:rFonts w:asciiTheme="majorHAnsi" w:eastAsiaTheme="majorEastAsia" w:hAnsiTheme="majorHAnsi" w:cstheme="majorBidi"/>
          <w:bCs/>
          <w:color w:val="000000" w:themeColor="text1"/>
          <w:sz w:val="24"/>
          <w:szCs w:val="24"/>
        </w:rPr>
        <w:t xml:space="preserve"> were mutual fund services corporations. </w:t>
      </w:r>
      <w:r w:rsidR="008D1F01">
        <w:rPr>
          <w:rFonts w:asciiTheme="majorHAnsi" w:eastAsiaTheme="majorEastAsia" w:hAnsiTheme="majorHAnsi" w:cstheme="majorBidi"/>
          <w:bCs/>
          <w:color w:val="000000" w:themeColor="text1"/>
          <w:sz w:val="24"/>
          <w:szCs w:val="24"/>
        </w:rPr>
        <w:t>T</w:t>
      </w:r>
      <w:r>
        <w:rPr>
          <w:rFonts w:asciiTheme="majorHAnsi" w:eastAsiaTheme="majorEastAsia" w:hAnsiTheme="majorHAnsi" w:cstheme="majorBidi"/>
          <w:bCs/>
          <w:color w:val="000000" w:themeColor="text1"/>
          <w:sz w:val="24"/>
          <w:szCs w:val="24"/>
        </w:rPr>
        <w:t xml:space="preserve">he impacted corporations’ tax liability </w:t>
      </w:r>
      <w:r w:rsidR="00930A21">
        <w:rPr>
          <w:rFonts w:asciiTheme="majorHAnsi" w:eastAsiaTheme="majorEastAsia" w:hAnsiTheme="majorHAnsi" w:cstheme="majorBidi"/>
          <w:bCs/>
          <w:color w:val="000000" w:themeColor="text1"/>
          <w:sz w:val="24"/>
          <w:szCs w:val="24"/>
        </w:rPr>
        <w:t>in</w:t>
      </w:r>
      <w:r>
        <w:rPr>
          <w:rFonts w:asciiTheme="majorHAnsi" w:eastAsiaTheme="majorEastAsia" w:hAnsiTheme="majorHAnsi" w:cstheme="majorBidi"/>
          <w:bCs/>
          <w:color w:val="000000" w:themeColor="text1"/>
          <w:sz w:val="24"/>
          <w:szCs w:val="24"/>
        </w:rPr>
        <w:t>creased by</w:t>
      </w:r>
      <w:r w:rsidR="008D1F01">
        <w:rPr>
          <w:rFonts w:asciiTheme="majorHAnsi" w:eastAsiaTheme="majorEastAsia" w:hAnsiTheme="majorHAnsi" w:cstheme="majorBidi"/>
          <w:bCs/>
          <w:color w:val="000000" w:themeColor="text1"/>
          <w:sz w:val="24"/>
          <w:szCs w:val="24"/>
        </w:rPr>
        <w:t xml:space="preserve"> a net amount of</w:t>
      </w:r>
      <w:r>
        <w:rPr>
          <w:rFonts w:asciiTheme="majorHAnsi" w:eastAsiaTheme="majorEastAsia" w:hAnsiTheme="majorHAnsi" w:cstheme="majorBidi"/>
          <w:bCs/>
          <w:color w:val="000000" w:themeColor="text1"/>
          <w:sz w:val="24"/>
          <w:szCs w:val="24"/>
        </w:rPr>
        <w:t xml:space="preserve"> $</w:t>
      </w:r>
      <w:r w:rsidR="00930A21">
        <w:rPr>
          <w:rFonts w:asciiTheme="majorHAnsi" w:eastAsiaTheme="majorEastAsia" w:hAnsiTheme="majorHAnsi" w:cstheme="majorBidi"/>
          <w:bCs/>
          <w:color w:val="000000" w:themeColor="text1"/>
          <w:sz w:val="24"/>
          <w:szCs w:val="24"/>
        </w:rPr>
        <w:t>276</w:t>
      </w:r>
      <w:r>
        <w:rPr>
          <w:rFonts w:asciiTheme="majorHAnsi" w:eastAsiaTheme="majorEastAsia" w:hAnsiTheme="majorHAnsi" w:cstheme="majorBidi"/>
          <w:bCs/>
          <w:color w:val="000000" w:themeColor="text1"/>
          <w:sz w:val="24"/>
          <w:szCs w:val="24"/>
        </w:rPr>
        <w:t xml:space="preserve"> million,</w:t>
      </w:r>
      <w:r>
        <w:rPr>
          <w:rStyle w:val="FootnoteReference"/>
          <w:rFonts w:asciiTheme="majorHAnsi" w:eastAsiaTheme="majorEastAsia" w:hAnsiTheme="majorHAnsi"/>
          <w:bCs/>
          <w:color w:val="000000" w:themeColor="text1"/>
          <w:sz w:val="24"/>
          <w:szCs w:val="24"/>
        </w:rPr>
        <w:footnoteReference w:id="8"/>
      </w:r>
      <w:r>
        <w:rPr>
          <w:rFonts w:asciiTheme="majorHAnsi" w:eastAsiaTheme="majorEastAsia" w:hAnsiTheme="majorHAnsi" w:cstheme="majorBidi"/>
          <w:bCs/>
          <w:color w:val="000000" w:themeColor="text1"/>
          <w:sz w:val="24"/>
          <w:szCs w:val="24"/>
        </w:rPr>
        <w:t xml:space="preserve"> with </w:t>
      </w:r>
      <w:r w:rsidR="00930A21">
        <w:rPr>
          <w:rFonts w:asciiTheme="majorHAnsi" w:eastAsiaTheme="majorEastAsia" w:hAnsiTheme="majorHAnsi" w:cstheme="majorBidi"/>
          <w:bCs/>
          <w:color w:val="000000" w:themeColor="text1"/>
          <w:sz w:val="24"/>
          <w:szCs w:val="24"/>
        </w:rPr>
        <w:t>92.4</w:t>
      </w:r>
      <w:r>
        <w:rPr>
          <w:rFonts w:asciiTheme="majorHAnsi" w:eastAsiaTheme="majorEastAsia" w:hAnsiTheme="majorHAnsi" w:cstheme="majorBidi"/>
          <w:bCs/>
          <w:color w:val="000000" w:themeColor="text1"/>
          <w:sz w:val="24"/>
          <w:szCs w:val="24"/>
        </w:rPr>
        <w:t xml:space="preserve">% of the tax </w:t>
      </w:r>
      <w:r w:rsidR="00930A21">
        <w:rPr>
          <w:rFonts w:asciiTheme="majorHAnsi" w:eastAsiaTheme="majorEastAsia" w:hAnsiTheme="majorHAnsi" w:cstheme="majorBidi"/>
          <w:bCs/>
          <w:color w:val="000000" w:themeColor="text1"/>
          <w:sz w:val="24"/>
          <w:szCs w:val="24"/>
        </w:rPr>
        <w:t>increase</w:t>
      </w:r>
      <w:r>
        <w:rPr>
          <w:rFonts w:asciiTheme="majorHAnsi" w:eastAsiaTheme="majorEastAsia" w:hAnsiTheme="majorHAnsi" w:cstheme="majorBidi"/>
          <w:bCs/>
          <w:color w:val="000000" w:themeColor="text1"/>
          <w:sz w:val="24"/>
          <w:szCs w:val="24"/>
        </w:rPr>
        <w:t xml:space="preserve"> going to section 38 manufacturers</w:t>
      </w:r>
      <w:r w:rsidR="00930A21">
        <w:rPr>
          <w:rFonts w:asciiTheme="majorHAnsi" w:eastAsiaTheme="majorEastAsia" w:hAnsiTheme="majorHAnsi" w:cstheme="majorBidi"/>
          <w:bCs/>
          <w:color w:val="000000" w:themeColor="text1"/>
          <w:sz w:val="24"/>
          <w:szCs w:val="24"/>
        </w:rPr>
        <w:t xml:space="preserve"> and </w:t>
      </w:r>
      <w:r>
        <w:rPr>
          <w:rFonts w:asciiTheme="majorHAnsi" w:eastAsiaTheme="majorEastAsia" w:hAnsiTheme="majorHAnsi" w:cstheme="majorBidi"/>
          <w:bCs/>
          <w:color w:val="000000" w:themeColor="text1"/>
          <w:sz w:val="24"/>
          <w:szCs w:val="24"/>
        </w:rPr>
        <w:t>7.</w:t>
      </w:r>
      <w:r w:rsidR="00930A21">
        <w:rPr>
          <w:rFonts w:asciiTheme="majorHAnsi" w:eastAsiaTheme="majorEastAsia" w:hAnsiTheme="majorHAnsi" w:cstheme="majorBidi"/>
          <w:bCs/>
          <w:color w:val="000000" w:themeColor="text1"/>
          <w:sz w:val="24"/>
          <w:szCs w:val="24"/>
        </w:rPr>
        <w:t>6</w:t>
      </w:r>
      <w:r>
        <w:rPr>
          <w:rFonts w:asciiTheme="majorHAnsi" w:eastAsiaTheme="majorEastAsia" w:hAnsiTheme="majorHAnsi" w:cstheme="majorBidi"/>
          <w:bCs/>
          <w:color w:val="000000" w:themeColor="text1"/>
          <w:sz w:val="24"/>
          <w:szCs w:val="24"/>
        </w:rPr>
        <w:t xml:space="preserve">% to mutual fund service corporations. </w:t>
      </w:r>
      <w:r w:rsidR="004325CC">
        <w:rPr>
          <w:rFonts w:asciiTheme="majorHAnsi" w:eastAsiaTheme="majorEastAsia" w:hAnsiTheme="majorHAnsi" w:cstheme="majorBidi"/>
          <w:bCs/>
          <w:color w:val="000000" w:themeColor="text1"/>
          <w:sz w:val="24"/>
          <w:szCs w:val="24"/>
        </w:rPr>
        <w:t xml:space="preserve">Looking at Table 2 in the text, </w:t>
      </w:r>
      <w:r w:rsidR="002F5711">
        <w:rPr>
          <w:rFonts w:asciiTheme="majorHAnsi" w:eastAsiaTheme="majorEastAsia" w:hAnsiTheme="majorHAnsi" w:cstheme="majorBidi"/>
          <w:bCs/>
          <w:color w:val="000000" w:themeColor="text1"/>
          <w:sz w:val="24"/>
          <w:szCs w:val="24"/>
        </w:rPr>
        <w:t>the simulation results indicate</w:t>
      </w:r>
      <w:r w:rsidR="004325CC">
        <w:rPr>
          <w:rFonts w:asciiTheme="majorHAnsi" w:eastAsiaTheme="majorEastAsia" w:hAnsiTheme="majorHAnsi" w:cstheme="majorBidi"/>
          <w:bCs/>
          <w:color w:val="000000" w:themeColor="text1"/>
          <w:sz w:val="24"/>
          <w:szCs w:val="24"/>
        </w:rPr>
        <w:t xml:space="preserve"> that by using the SSF formula instead of the formula with equal-weighted factors, </w:t>
      </w:r>
      <w:r w:rsidR="001A4D37">
        <w:rPr>
          <w:rFonts w:asciiTheme="majorHAnsi" w:eastAsiaTheme="majorEastAsia" w:hAnsiTheme="majorHAnsi" w:cstheme="majorBidi"/>
          <w:bCs/>
          <w:color w:val="000000" w:themeColor="text1"/>
          <w:sz w:val="24"/>
          <w:szCs w:val="24"/>
        </w:rPr>
        <w:t xml:space="preserve">the </w:t>
      </w:r>
      <w:r w:rsidR="004325CC">
        <w:rPr>
          <w:rFonts w:asciiTheme="majorHAnsi" w:eastAsiaTheme="majorEastAsia" w:hAnsiTheme="majorHAnsi" w:cstheme="majorBidi"/>
          <w:bCs/>
          <w:color w:val="000000" w:themeColor="text1"/>
          <w:sz w:val="24"/>
          <w:szCs w:val="24"/>
        </w:rPr>
        <w:t>section 38 manufacturers and mutual fund services corporations</w:t>
      </w:r>
      <w:r w:rsidR="001A4D37">
        <w:rPr>
          <w:rFonts w:asciiTheme="majorHAnsi" w:eastAsiaTheme="majorEastAsia" w:hAnsiTheme="majorHAnsi" w:cstheme="majorBidi"/>
          <w:bCs/>
          <w:color w:val="000000" w:themeColor="text1"/>
          <w:sz w:val="24"/>
          <w:szCs w:val="24"/>
        </w:rPr>
        <w:t xml:space="preserve">’ combined net tax saving was </w:t>
      </w:r>
      <w:r w:rsidR="004325CC">
        <w:rPr>
          <w:rFonts w:asciiTheme="majorHAnsi" w:eastAsiaTheme="majorEastAsia" w:hAnsiTheme="majorHAnsi" w:cstheme="majorBidi"/>
          <w:bCs/>
          <w:color w:val="000000" w:themeColor="text1"/>
          <w:sz w:val="24"/>
          <w:szCs w:val="24"/>
        </w:rPr>
        <w:t xml:space="preserve">$370 million in </w:t>
      </w:r>
      <w:r w:rsidR="001A4D37">
        <w:rPr>
          <w:rFonts w:asciiTheme="majorHAnsi" w:eastAsiaTheme="majorEastAsia" w:hAnsiTheme="majorHAnsi" w:cstheme="majorBidi"/>
          <w:bCs/>
          <w:color w:val="000000" w:themeColor="text1"/>
          <w:sz w:val="24"/>
          <w:szCs w:val="24"/>
        </w:rPr>
        <w:t>2017</w:t>
      </w:r>
      <w:r w:rsidR="004325CC">
        <w:rPr>
          <w:rFonts w:asciiTheme="majorHAnsi" w:eastAsiaTheme="majorEastAsia" w:hAnsiTheme="majorHAnsi" w:cstheme="majorBidi"/>
          <w:bCs/>
          <w:color w:val="000000" w:themeColor="text1"/>
          <w:sz w:val="24"/>
          <w:szCs w:val="24"/>
        </w:rPr>
        <w:t xml:space="preserve"> ($342 million for section 38 manufacturers and $28 million for mutual fund services corporations). </w:t>
      </w:r>
      <w:r w:rsidR="002F5711">
        <w:rPr>
          <w:rFonts w:asciiTheme="majorHAnsi" w:eastAsiaTheme="majorEastAsia" w:hAnsiTheme="majorHAnsi" w:cstheme="majorBidi"/>
          <w:bCs/>
          <w:color w:val="000000" w:themeColor="text1"/>
          <w:sz w:val="24"/>
          <w:szCs w:val="24"/>
        </w:rPr>
        <w:t>But if the</w:t>
      </w:r>
      <w:r w:rsidR="001A4D37">
        <w:rPr>
          <w:rFonts w:asciiTheme="majorHAnsi" w:eastAsiaTheme="majorEastAsia" w:hAnsiTheme="majorHAnsi" w:cstheme="majorBidi"/>
          <w:bCs/>
          <w:color w:val="000000" w:themeColor="text1"/>
          <w:sz w:val="24"/>
          <w:szCs w:val="24"/>
        </w:rPr>
        <w:t>se same corporations were to</w:t>
      </w:r>
      <w:r w:rsidR="002F5711">
        <w:rPr>
          <w:rFonts w:asciiTheme="majorHAnsi" w:eastAsiaTheme="majorEastAsia" w:hAnsiTheme="majorHAnsi" w:cstheme="majorBidi"/>
          <w:bCs/>
          <w:color w:val="000000" w:themeColor="text1"/>
          <w:sz w:val="24"/>
          <w:szCs w:val="24"/>
        </w:rPr>
        <w:t xml:space="preserve"> use the DSF formula instead of SSF formula, </w:t>
      </w:r>
      <w:r w:rsidR="001A4D37">
        <w:rPr>
          <w:rFonts w:asciiTheme="majorHAnsi" w:eastAsiaTheme="majorEastAsia" w:hAnsiTheme="majorHAnsi" w:cstheme="majorBidi"/>
          <w:bCs/>
          <w:color w:val="000000" w:themeColor="text1"/>
          <w:sz w:val="24"/>
          <w:szCs w:val="24"/>
        </w:rPr>
        <w:t>their net tax liability would increase by</w:t>
      </w:r>
      <w:r w:rsidR="002F5711">
        <w:rPr>
          <w:rFonts w:asciiTheme="majorHAnsi" w:eastAsiaTheme="majorEastAsia" w:hAnsiTheme="majorHAnsi" w:cstheme="majorBidi"/>
          <w:bCs/>
          <w:color w:val="000000" w:themeColor="text1"/>
          <w:sz w:val="24"/>
          <w:szCs w:val="24"/>
        </w:rPr>
        <w:t xml:space="preserve"> $276 million ($255 million for section 38 manufacturers and $21 million for mutual fund services corporations). </w:t>
      </w:r>
    </w:p>
    <w:p w14:paraId="7790CBFA" w14:textId="77777777" w:rsidR="006D365D" w:rsidRDefault="006D365D" w:rsidP="0085547A">
      <w:pPr>
        <w:spacing w:after="0"/>
        <w:jc w:val="center"/>
        <w:rPr>
          <w:rFonts w:asciiTheme="majorHAnsi" w:hAnsiTheme="majorHAnsi"/>
          <w:b/>
          <w:sz w:val="24"/>
          <w:szCs w:val="24"/>
        </w:rPr>
      </w:pPr>
    </w:p>
    <w:p w14:paraId="550FCB4C" w14:textId="430C632C" w:rsidR="0085547A" w:rsidRPr="00CA0391" w:rsidRDefault="0085547A" w:rsidP="0085547A">
      <w:pPr>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w:t>
      </w:r>
      <w:r w:rsidR="00172571">
        <w:rPr>
          <w:rFonts w:asciiTheme="majorHAnsi" w:hAnsiTheme="majorHAnsi"/>
          <w:b/>
          <w:sz w:val="24"/>
          <w:szCs w:val="24"/>
        </w:rPr>
        <w:t>2</w:t>
      </w:r>
      <w:r>
        <w:rPr>
          <w:rFonts w:asciiTheme="majorHAnsi" w:hAnsiTheme="majorHAnsi"/>
          <w:b/>
          <w:sz w:val="24"/>
          <w:szCs w:val="24"/>
        </w:rPr>
        <w:t>-1</w:t>
      </w:r>
      <w:r w:rsidRPr="00CA0391">
        <w:rPr>
          <w:rFonts w:asciiTheme="majorHAnsi" w:hAnsiTheme="majorHAnsi"/>
          <w:b/>
          <w:sz w:val="24"/>
          <w:szCs w:val="24"/>
        </w:rPr>
        <w:t xml:space="preserve">. </w:t>
      </w:r>
      <w:r>
        <w:rPr>
          <w:rFonts w:asciiTheme="majorHAnsi" w:hAnsiTheme="majorHAnsi"/>
          <w:b/>
          <w:sz w:val="24"/>
          <w:szCs w:val="24"/>
        </w:rPr>
        <w:t>Net Tax Liability Change by Corporation Type</w:t>
      </w:r>
      <w:r w:rsidR="001A4D37">
        <w:rPr>
          <w:rFonts w:asciiTheme="majorHAnsi" w:hAnsiTheme="majorHAnsi"/>
          <w:b/>
          <w:sz w:val="24"/>
          <w:szCs w:val="24"/>
        </w:rPr>
        <w:t xml:space="preserve"> </w:t>
      </w:r>
      <w:r w:rsidR="001A4D37" w:rsidRPr="00107265">
        <w:rPr>
          <w:rStyle w:val="FootnoteReference"/>
          <w:rFonts w:eastAsiaTheme="majorEastAsia"/>
          <w:b/>
          <w:bCs/>
          <w:color w:val="000000" w:themeColor="text1"/>
        </w:rPr>
        <w:t>(1)</w:t>
      </w:r>
    </w:p>
    <w:tbl>
      <w:tblPr>
        <w:tblW w:w="9265" w:type="dxa"/>
        <w:jc w:val="center"/>
        <w:tblLayout w:type="fixed"/>
        <w:tblLook w:val="04A0" w:firstRow="1" w:lastRow="0" w:firstColumn="1" w:lastColumn="0" w:noHBand="0" w:noVBand="1"/>
      </w:tblPr>
      <w:tblGrid>
        <w:gridCol w:w="2425"/>
        <w:gridCol w:w="1350"/>
        <w:gridCol w:w="1350"/>
        <w:gridCol w:w="1530"/>
        <w:gridCol w:w="1350"/>
        <w:gridCol w:w="1260"/>
      </w:tblGrid>
      <w:tr w:rsidR="0085547A" w:rsidRPr="00D5431D" w14:paraId="48955127" w14:textId="77777777" w:rsidTr="00333803">
        <w:trPr>
          <w:trHeight w:val="764"/>
          <w:jc w:val="center"/>
        </w:trPr>
        <w:tc>
          <w:tcPr>
            <w:tcW w:w="24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9F704EA" w14:textId="77777777" w:rsidR="0085547A" w:rsidRPr="00D5431D" w:rsidRDefault="0085547A"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Corporation Type</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4846AD5" w14:textId="77777777" w:rsidR="0085547A" w:rsidRPr="00D5431D" w:rsidRDefault="0085547A"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Number of Impacted Corporations</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170367D1" w14:textId="77777777" w:rsidR="0085547A" w:rsidRPr="00D5431D" w:rsidRDefault="0085547A"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of Total Number of Impacted Corporations</w:t>
            </w:r>
          </w:p>
        </w:tc>
        <w:tc>
          <w:tcPr>
            <w:tcW w:w="15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8B268E8" w14:textId="58169F43" w:rsidR="0085547A" w:rsidRPr="00D5431D" w:rsidRDefault="0085547A" w:rsidP="00333803">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Net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Liability Change</w:t>
            </w:r>
            <w:r w:rsidRPr="00D5431D">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u</w:t>
            </w:r>
            <w:r w:rsidRPr="00D5431D">
              <w:rPr>
                <w:rFonts w:ascii="Cambria" w:eastAsia="Times New Roman" w:hAnsi="Cambria" w:cs="Helvetica"/>
                <w:color w:val="000000"/>
                <w:sz w:val="20"/>
                <w:szCs w:val="20"/>
                <w:lang w:eastAsia="ko-KR"/>
              </w:rPr>
              <w:t xml:space="preserve">sing </w:t>
            </w:r>
            <w:r w:rsidR="00C37BE0">
              <w:rPr>
                <w:rFonts w:ascii="Cambria" w:eastAsia="Times New Roman" w:hAnsi="Cambria" w:cs="Helvetica"/>
                <w:color w:val="000000"/>
                <w:sz w:val="20"/>
                <w:szCs w:val="20"/>
                <w:lang w:eastAsia="ko-KR"/>
              </w:rPr>
              <w:t xml:space="preserve">the DSF </w:t>
            </w:r>
            <w:r w:rsidRPr="00D5431D">
              <w:rPr>
                <w:rFonts w:ascii="Cambria" w:eastAsia="Times New Roman" w:hAnsi="Cambria" w:cs="Helvetica"/>
                <w:color w:val="000000"/>
                <w:sz w:val="20"/>
                <w:szCs w:val="20"/>
                <w:lang w:eastAsia="ko-KR"/>
              </w:rPr>
              <w:t>Formula ($000)</w:t>
            </w:r>
            <w:r w:rsidR="001A4D37">
              <w:rPr>
                <w:rFonts w:ascii="Cambria" w:eastAsia="Times New Roman" w:hAnsi="Cambria" w:cs="Helvetica"/>
                <w:color w:val="000000"/>
                <w:sz w:val="20"/>
                <w:szCs w:val="20"/>
                <w:lang w:eastAsia="ko-KR"/>
              </w:rPr>
              <w:t xml:space="preserve"> </w:t>
            </w:r>
            <w:r w:rsidR="001A4D37" w:rsidRPr="00107265">
              <w:rPr>
                <w:rStyle w:val="FootnoteReference"/>
                <w:rFonts w:eastAsiaTheme="majorEastAsia"/>
                <w:color w:val="000000" w:themeColor="text1"/>
              </w:rPr>
              <w:t>(2)</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F6F7E05" w14:textId="77777777" w:rsidR="0085547A" w:rsidRPr="00D5431D" w:rsidRDefault="0085547A" w:rsidP="00333803">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of Total </w:t>
            </w:r>
            <w:r>
              <w:rPr>
                <w:rFonts w:ascii="Cambria" w:eastAsia="Times New Roman" w:hAnsi="Cambria" w:cs="Helvetica"/>
                <w:color w:val="000000"/>
                <w:sz w:val="20"/>
                <w:szCs w:val="20"/>
                <w:lang w:eastAsia="ko-KR"/>
              </w:rPr>
              <w:t xml:space="preserve">Net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Liability Change</w:t>
            </w:r>
          </w:p>
        </w:tc>
        <w:tc>
          <w:tcPr>
            <w:tcW w:w="126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3427BD5" w14:textId="39F743B8" w:rsidR="0085547A" w:rsidRPr="00D5431D" w:rsidDel="00845E99" w:rsidRDefault="0085547A" w:rsidP="00333803">
            <w:pPr>
              <w:spacing w:after="0" w:line="240" w:lineRule="auto"/>
              <w:jc w:val="center"/>
              <w:rPr>
                <w:rFonts w:ascii="Cambria" w:eastAsia="Times New Roman" w:hAnsi="Cambria" w:cs="Helvetica"/>
                <w:color w:val="000000"/>
                <w:sz w:val="20"/>
                <w:szCs w:val="20"/>
                <w:lang w:eastAsia="ko-KR"/>
              </w:rPr>
            </w:pPr>
            <w:r>
              <w:rPr>
                <w:rFonts w:ascii="Cambria" w:eastAsia="Times New Roman" w:hAnsi="Cambria" w:cs="Helvetica"/>
                <w:color w:val="000000"/>
                <w:sz w:val="20"/>
                <w:szCs w:val="20"/>
                <w:lang w:eastAsia="ko-KR"/>
              </w:rPr>
              <w:t xml:space="preserve">Net </w:t>
            </w:r>
            <w:r w:rsidRPr="00EE5936">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Change </w:t>
            </w:r>
            <w:r w:rsidRPr="00EE5936">
              <w:rPr>
                <w:rFonts w:ascii="Cambria" w:eastAsia="Times New Roman" w:hAnsi="Cambria" w:cs="Helvetica"/>
                <w:color w:val="000000"/>
                <w:sz w:val="20"/>
                <w:szCs w:val="20"/>
                <w:lang w:eastAsia="ko-KR"/>
              </w:rPr>
              <w:t>per Impacted Corporation ($000)</w:t>
            </w:r>
            <w:r w:rsidR="001A4D37">
              <w:rPr>
                <w:rFonts w:ascii="Cambria" w:eastAsia="Times New Roman" w:hAnsi="Cambria" w:cs="Helvetica"/>
                <w:color w:val="000000"/>
                <w:sz w:val="20"/>
                <w:szCs w:val="20"/>
                <w:lang w:eastAsia="ko-KR"/>
              </w:rPr>
              <w:t xml:space="preserve"> </w:t>
            </w:r>
            <w:r w:rsidR="001A4D37" w:rsidRPr="00107265">
              <w:rPr>
                <w:rStyle w:val="FootnoteReference"/>
                <w:rFonts w:eastAsiaTheme="majorEastAsia"/>
                <w:color w:val="000000" w:themeColor="text1"/>
              </w:rPr>
              <w:t>(2)</w:t>
            </w:r>
          </w:p>
        </w:tc>
      </w:tr>
      <w:tr w:rsidR="00172571" w:rsidRPr="00D5431D" w14:paraId="4867DDFD" w14:textId="77777777" w:rsidTr="00333803">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357168B"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Section 38 Manufacturers</w:t>
            </w:r>
          </w:p>
        </w:tc>
        <w:tc>
          <w:tcPr>
            <w:tcW w:w="1350" w:type="dxa"/>
            <w:tcBorders>
              <w:top w:val="nil"/>
              <w:left w:val="nil"/>
              <w:bottom w:val="single" w:sz="4" w:space="0" w:color="auto"/>
              <w:right w:val="single" w:sz="4" w:space="0" w:color="auto"/>
            </w:tcBorders>
            <w:shd w:val="clear" w:color="auto" w:fill="auto"/>
            <w:vAlign w:val="center"/>
          </w:tcPr>
          <w:p w14:paraId="5F089003" w14:textId="082678C6"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2,409</w:t>
            </w:r>
          </w:p>
        </w:tc>
        <w:tc>
          <w:tcPr>
            <w:tcW w:w="1350" w:type="dxa"/>
            <w:tcBorders>
              <w:top w:val="single" w:sz="4" w:space="0" w:color="auto"/>
              <w:left w:val="nil"/>
              <w:bottom w:val="single" w:sz="4" w:space="0" w:color="auto"/>
              <w:right w:val="single" w:sz="4" w:space="0" w:color="auto"/>
            </w:tcBorders>
            <w:vAlign w:val="center"/>
          </w:tcPr>
          <w:p w14:paraId="6689A1CC" w14:textId="6B75A0F6" w:rsidR="00172571" w:rsidRPr="00911076"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96.9%</w:t>
            </w:r>
          </w:p>
        </w:tc>
        <w:tc>
          <w:tcPr>
            <w:tcW w:w="1530" w:type="dxa"/>
            <w:tcBorders>
              <w:top w:val="nil"/>
              <w:left w:val="single" w:sz="4" w:space="0" w:color="auto"/>
              <w:bottom w:val="single" w:sz="4" w:space="0" w:color="auto"/>
              <w:right w:val="single" w:sz="4" w:space="0" w:color="auto"/>
            </w:tcBorders>
            <w:vAlign w:val="center"/>
          </w:tcPr>
          <w:p w14:paraId="4910FFBA" w14:textId="787C0F97" w:rsidR="00172571" w:rsidRPr="00911076"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$254,710</w:t>
            </w:r>
          </w:p>
        </w:tc>
        <w:tc>
          <w:tcPr>
            <w:tcW w:w="1350" w:type="dxa"/>
            <w:tcBorders>
              <w:top w:val="nil"/>
              <w:left w:val="nil"/>
              <w:bottom w:val="single" w:sz="4" w:space="0" w:color="auto"/>
              <w:right w:val="single" w:sz="4" w:space="0" w:color="auto"/>
            </w:tcBorders>
            <w:shd w:val="clear" w:color="auto" w:fill="auto"/>
            <w:vAlign w:val="center"/>
          </w:tcPr>
          <w:p w14:paraId="2C2F5CA3" w14:textId="4E33BB13"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92.4%</w:t>
            </w:r>
          </w:p>
        </w:tc>
        <w:tc>
          <w:tcPr>
            <w:tcW w:w="1260" w:type="dxa"/>
            <w:tcBorders>
              <w:top w:val="nil"/>
              <w:left w:val="nil"/>
              <w:bottom w:val="single" w:sz="4" w:space="0" w:color="auto"/>
              <w:right w:val="single" w:sz="4" w:space="0" w:color="auto"/>
            </w:tcBorders>
            <w:vAlign w:val="center"/>
          </w:tcPr>
          <w:p w14:paraId="3001996E" w14:textId="03B0E97C"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$106</w:t>
            </w:r>
          </w:p>
        </w:tc>
      </w:tr>
      <w:tr w:rsidR="00172571" w:rsidRPr="00D5431D" w14:paraId="773F81A5" w14:textId="77777777" w:rsidTr="00333803">
        <w:trPr>
          <w:trHeight w:val="41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3BC0242"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Mutual Fund Services</w:t>
            </w:r>
          </w:p>
        </w:tc>
        <w:tc>
          <w:tcPr>
            <w:tcW w:w="1350" w:type="dxa"/>
            <w:tcBorders>
              <w:top w:val="nil"/>
              <w:left w:val="nil"/>
              <w:bottom w:val="single" w:sz="4" w:space="0" w:color="auto"/>
              <w:right w:val="single" w:sz="4" w:space="0" w:color="auto"/>
            </w:tcBorders>
            <w:shd w:val="clear" w:color="auto" w:fill="auto"/>
            <w:vAlign w:val="center"/>
          </w:tcPr>
          <w:p w14:paraId="6EAF8586" w14:textId="46F40112"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78</w:t>
            </w:r>
          </w:p>
        </w:tc>
        <w:tc>
          <w:tcPr>
            <w:tcW w:w="1350" w:type="dxa"/>
            <w:tcBorders>
              <w:top w:val="single" w:sz="4" w:space="0" w:color="auto"/>
              <w:left w:val="nil"/>
              <w:bottom w:val="single" w:sz="4" w:space="0" w:color="auto"/>
              <w:right w:val="single" w:sz="4" w:space="0" w:color="auto"/>
            </w:tcBorders>
            <w:vAlign w:val="center"/>
          </w:tcPr>
          <w:p w14:paraId="5EA266EE" w14:textId="06DD6B42" w:rsidR="00172571" w:rsidRPr="00911076"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3.1%</w:t>
            </w:r>
          </w:p>
        </w:tc>
        <w:tc>
          <w:tcPr>
            <w:tcW w:w="1530" w:type="dxa"/>
            <w:tcBorders>
              <w:top w:val="nil"/>
              <w:left w:val="single" w:sz="4" w:space="0" w:color="auto"/>
              <w:bottom w:val="single" w:sz="4" w:space="0" w:color="auto"/>
              <w:right w:val="single" w:sz="4" w:space="0" w:color="auto"/>
            </w:tcBorders>
            <w:vAlign w:val="center"/>
          </w:tcPr>
          <w:p w14:paraId="17539F0A" w14:textId="4A6EFF87" w:rsidR="00172571" w:rsidRPr="00911076"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$20,923</w:t>
            </w:r>
          </w:p>
        </w:tc>
        <w:tc>
          <w:tcPr>
            <w:tcW w:w="1350" w:type="dxa"/>
            <w:tcBorders>
              <w:top w:val="nil"/>
              <w:left w:val="nil"/>
              <w:bottom w:val="single" w:sz="4" w:space="0" w:color="auto"/>
              <w:right w:val="single" w:sz="4" w:space="0" w:color="auto"/>
            </w:tcBorders>
            <w:shd w:val="clear" w:color="auto" w:fill="auto"/>
            <w:vAlign w:val="center"/>
          </w:tcPr>
          <w:p w14:paraId="7E090FA8" w14:textId="6DCB24EF"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7.6%</w:t>
            </w:r>
          </w:p>
        </w:tc>
        <w:tc>
          <w:tcPr>
            <w:tcW w:w="1260" w:type="dxa"/>
            <w:tcBorders>
              <w:top w:val="nil"/>
              <w:left w:val="nil"/>
              <w:bottom w:val="single" w:sz="4" w:space="0" w:color="auto"/>
              <w:right w:val="single" w:sz="4" w:space="0" w:color="auto"/>
            </w:tcBorders>
            <w:vAlign w:val="center"/>
          </w:tcPr>
          <w:p w14:paraId="3CAA95BE" w14:textId="34F9EA3A"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$268</w:t>
            </w:r>
          </w:p>
        </w:tc>
      </w:tr>
      <w:tr w:rsidR="00172571" w:rsidRPr="00D5431D" w14:paraId="6E3795AF" w14:textId="77777777" w:rsidTr="00333803">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DC515B9"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Total or average</w:t>
            </w:r>
          </w:p>
        </w:tc>
        <w:tc>
          <w:tcPr>
            <w:tcW w:w="1350" w:type="dxa"/>
            <w:tcBorders>
              <w:top w:val="nil"/>
              <w:left w:val="nil"/>
              <w:bottom w:val="single" w:sz="4" w:space="0" w:color="auto"/>
              <w:right w:val="single" w:sz="4" w:space="0" w:color="auto"/>
            </w:tcBorders>
            <w:shd w:val="clear" w:color="auto" w:fill="auto"/>
            <w:vAlign w:val="center"/>
          </w:tcPr>
          <w:p w14:paraId="0CDF486E" w14:textId="19D9F1C6"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2,487</w:t>
            </w:r>
          </w:p>
        </w:tc>
        <w:tc>
          <w:tcPr>
            <w:tcW w:w="1350" w:type="dxa"/>
            <w:tcBorders>
              <w:top w:val="single" w:sz="4" w:space="0" w:color="auto"/>
              <w:left w:val="nil"/>
              <w:bottom w:val="single" w:sz="4" w:space="0" w:color="auto"/>
              <w:right w:val="single" w:sz="4" w:space="0" w:color="auto"/>
            </w:tcBorders>
            <w:vAlign w:val="center"/>
          </w:tcPr>
          <w:p w14:paraId="6CEA5EED" w14:textId="657A1886" w:rsidR="00172571" w:rsidRPr="00911076"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100.0%</w:t>
            </w:r>
          </w:p>
        </w:tc>
        <w:tc>
          <w:tcPr>
            <w:tcW w:w="1530" w:type="dxa"/>
            <w:tcBorders>
              <w:top w:val="nil"/>
              <w:left w:val="single" w:sz="4" w:space="0" w:color="auto"/>
              <w:bottom w:val="single" w:sz="4" w:space="0" w:color="auto"/>
              <w:right w:val="single" w:sz="4" w:space="0" w:color="auto"/>
            </w:tcBorders>
            <w:vAlign w:val="center"/>
          </w:tcPr>
          <w:p w14:paraId="7648A86C" w14:textId="1F4DB8A2" w:rsidR="00172571" w:rsidRPr="00911076"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$275,633</w:t>
            </w:r>
          </w:p>
        </w:tc>
        <w:tc>
          <w:tcPr>
            <w:tcW w:w="1350" w:type="dxa"/>
            <w:tcBorders>
              <w:top w:val="nil"/>
              <w:left w:val="nil"/>
              <w:bottom w:val="single" w:sz="4" w:space="0" w:color="auto"/>
              <w:right w:val="single" w:sz="4" w:space="0" w:color="auto"/>
            </w:tcBorders>
            <w:shd w:val="clear" w:color="auto" w:fill="auto"/>
            <w:vAlign w:val="center"/>
          </w:tcPr>
          <w:p w14:paraId="5C724107" w14:textId="4AD119BA"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100.0%</w:t>
            </w:r>
          </w:p>
        </w:tc>
        <w:tc>
          <w:tcPr>
            <w:tcW w:w="1260" w:type="dxa"/>
            <w:tcBorders>
              <w:top w:val="nil"/>
              <w:left w:val="nil"/>
              <w:bottom w:val="single" w:sz="4" w:space="0" w:color="auto"/>
              <w:right w:val="single" w:sz="4" w:space="0" w:color="auto"/>
            </w:tcBorders>
            <w:vAlign w:val="center"/>
          </w:tcPr>
          <w:p w14:paraId="263584E2" w14:textId="729B850A" w:rsidR="00172571" w:rsidRPr="00911076"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$111</w:t>
            </w:r>
          </w:p>
        </w:tc>
      </w:tr>
    </w:tbl>
    <w:p w14:paraId="657654A1" w14:textId="77777777" w:rsidR="0085547A" w:rsidRPr="00D3191E" w:rsidRDefault="0085547A" w:rsidP="0085547A">
      <w:pPr>
        <w:tabs>
          <w:tab w:val="left" w:pos="7050"/>
        </w:tabs>
        <w:spacing w:after="0"/>
        <w:rPr>
          <w:rFonts w:asciiTheme="majorHAnsi" w:eastAsiaTheme="majorEastAsia" w:hAnsiTheme="majorHAnsi" w:cstheme="majorBidi"/>
          <w:bCs/>
          <w:color w:val="000000" w:themeColor="text1"/>
          <w:sz w:val="18"/>
          <w:szCs w:val="18"/>
        </w:rPr>
      </w:pPr>
      <w:r w:rsidRPr="00D3191E">
        <w:rPr>
          <w:rFonts w:asciiTheme="majorHAnsi" w:eastAsiaTheme="majorEastAsia" w:hAnsiTheme="majorHAnsi" w:cstheme="majorBidi"/>
          <w:bCs/>
          <w:color w:val="000000" w:themeColor="text1"/>
          <w:sz w:val="18"/>
          <w:szCs w:val="18"/>
        </w:rPr>
        <w:lastRenderedPageBreak/>
        <w:t xml:space="preserve">  Source: Department of Revenue (2017 corporate excise return)</w:t>
      </w:r>
    </w:p>
    <w:p w14:paraId="0799A0A6" w14:textId="77777777" w:rsidR="0085547A" w:rsidRPr="00D3191E" w:rsidRDefault="0085547A" w:rsidP="0085547A">
      <w:pPr>
        <w:spacing w:after="0"/>
        <w:rPr>
          <w:rFonts w:asciiTheme="majorHAnsi" w:hAnsiTheme="majorHAnsi"/>
          <w:bCs/>
          <w:sz w:val="18"/>
          <w:szCs w:val="18"/>
        </w:rPr>
      </w:pPr>
      <w:r w:rsidRPr="00D3191E">
        <w:rPr>
          <w:rFonts w:asciiTheme="majorHAnsi" w:eastAsiaTheme="majorEastAsia" w:hAnsiTheme="majorHAnsi" w:cstheme="majorBidi"/>
          <w:bCs/>
          <w:color w:val="000000" w:themeColor="text1"/>
          <w:sz w:val="18"/>
          <w:szCs w:val="18"/>
        </w:rPr>
        <w:t xml:space="preserve">  Note: 1. The data</w:t>
      </w:r>
      <w:r w:rsidRPr="00D3191E">
        <w:rPr>
          <w:rFonts w:asciiTheme="majorHAnsi" w:hAnsiTheme="majorHAnsi"/>
          <w:bCs/>
          <w:sz w:val="18"/>
          <w:szCs w:val="18"/>
        </w:rPr>
        <w:t xml:space="preserve"> are preliminary and subject to </w:t>
      </w:r>
      <w:r w:rsidRPr="00D3191E">
        <w:rPr>
          <w:rFonts w:ascii="Cambria" w:eastAsia="Times New Roman" w:hAnsi="Cambria" w:cs="Helvetica"/>
          <w:color w:val="000000"/>
          <w:sz w:val="18"/>
          <w:szCs w:val="18"/>
          <w:lang w:eastAsia="ko-KR"/>
        </w:rPr>
        <w:t>change</w:t>
      </w:r>
      <w:r w:rsidRPr="00D3191E">
        <w:rPr>
          <w:rFonts w:asciiTheme="majorHAnsi" w:hAnsiTheme="majorHAnsi"/>
          <w:bCs/>
          <w:sz w:val="18"/>
          <w:szCs w:val="18"/>
        </w:rPr>
        <w:t xml:space="preserve">. </w:t>
      </w:r>
    </w:p>
    <w:p w14:paraId="16F746C1" w14:textId="2ACB6E76" w:rsidR="00D55E96" w:rsidRPr="00847706" w:rsidRDefault="00D3191E" w:rsidP="00D55E96">
      <w:pPr>
        <w:tabs>
          <w:tab w:val="left" w:pos="5710"/>
        </w:tabs>
        <w:spacing w:after="0"/>
        <w:rPr>
          <w:rFonts w:asciiTheme="majorHAnsi" w:eastAsiaTheme="majorEastAsia" w:hAnsiTheme="majorHAnsi" w:cstheme="majorBidi"/>
          <w:bCs/>
          <w:color w:val="000000" w:themeColor="text1"/>
          <w:sz w:val="18"/>
          <w:szCs w:val="18"/>
        </w:rPr>
      </w:pPr>
      <w:r w:rsidRPr="00D3191E">
        <w:rPr>
          <w:rFonts w:asciiTheme="majorHAnsi" w:hAnsiTheme="majorHAnsi"/>
          <w:bCs/>
          <w:sz w:val="18"/>
          <w:szCs w:val="18"/>
        </w:rPr>
        <w:t xml:space="preserve">             </w:t>
      </w:r>
      <w:r w:rsidR="0085547A" w:rsidRPr="00D3191E">
        <w:rPr>
          <w:rFonts w:asciiTheme="majorHAnsi" w:hAnsiTheme="majorHAnsi"/>
          <w:bCs/>
          <w:sz w:val="18"/>
          <w:szCs w:val="18"/>
        </w:rPr>
        <w:t xml:space="preserve">2. </w:t>
      </w:r>
      <w:r w:rsidR="001A4D37">
        <w:rPr>
          <w:rFonts w:asciiTheme="majorHAnsi" w:hAnsiTheme="majorHAnsi"/>
          <w:bCs/>
          <w:sz w:val="18"/>
          <w:szCs w:val="18"/>
        </w:rPr>
        <w:t>P</w:t>
      </w:r>
      <w:r w:rsidR="00D55E96" w:rsidRPr="00D3191E">
        <w:rPr>
          <w:rFonts w:asciiTheme="majorHAnsi" w:hAnsiTheme="majorHAnsi"/>
          <w:bCs/>
          <w:sz w:val="18"/>
          <w:szCs w:val="18"/>
        </w:rPr>
        <w:t>ositive number</w:t>
      </w:r>
      <w:r w:rsidR="00BB1B5B" w:rsidRPr="00D3191E">
        <w:rPr>
          <w:rFonts w:asciiTheme="majorHAnsi" w:hAnsiTheme="majorHAnsi"/>
          <w:bCs/>
          <w:sz w:val="18"/>
          <w:szCs w:val="18"/>
        </w:rPr>
        <w:t>s</w:t>
      </w:r>
      <w:r w:rsidR="00D55E96" w:rsidRPr="00D3191E">
        <w:rPr>
          <w:rFonts w:asciiTheme="majorHAnsi" w:hAnsiTheme="majorHAnsi"/>
          <w:bCs/>
          <w:sz w:val="18"/>
          <w:szCs w:val="18"/>
        </w:rPr>
        <w:t xml:space="preserve"> indicate that taxpayers owe more tax using </w:t>
      </w:r>
      <w:r w:rsidR="00911076" w:rsidRPr="00D3191E">
        <w:rPr>
          <w:rFonts w:asciiTheme="majorHAnsi" w:hAnsiTheme="majorHAnsi"/>
          <w:bCs/>
          <w:sz w:val="18"/>
          <w:szCs w:val="18"/>
        </w:rPr>
        <w:t>the DSF apportionment than using SSF apportionment</w:t>
      </w:r>
      <w:r w:rsidR="00103E03">
        <w:rPr>
          <w:rFonts w:asciiTheme="majorHAnsi" w:hAnsiTheme="majorHAnsi"/>
          <w:bCs/>
          <w:sz w:val="18"/>
          <w:szCs w:val="18"/>
        </w:rPr>
        <w:t>; n</w:t>
      </w:r>
      <w:r w:rsidR="00103E03" w:rsidRPr="00D3191E">
        <w:rPr>
          <w:rFonts w:asciiTheme="majorHAnsi" w:hAnsiTheme="majorHAnsi"/>
          <w:bCs/>
          <w:sz w:val="18"/>
          <w:szCs w:val="18"/>
        </w:rPr>
        <w:t>egative numbers indicate that taxpayers owe less tax using the DSF apportionment than using SSF apportionment</w:t>
      </w:r>
    </w:p>
    <w:p w14:paraId="59463498" w14:textId="77777777" w:rsidR="005438EA" w:rsidRDefault="005438EA" w:rsidP="00D55E96">
      <w:pPr>
        <w:tabs>
          <w:tab w:val="left" w:pos="7050"/>
        </w:tabs>
        <w:spacing w:after="0"/>
        <w:rPr>
          <w:rFonts w:asciiTheme="majorHAnsi" w:eastAsiaTheme="majorEastAsia" w:hAnsiTheme="majorHAnsi" w:cstheme="majorBidi"/>
          <w:bCs/>
          <w:color w:val="000000" w:themeColor="text1"/>
          <w:sz w:val="24"/>
          <w:szCs w:val="24"/>
        </w:rPr>
      </w:pPr>
    </w:p>
    <w:p w14:paraId="3AF8191D" w14:textId="2741441B" w:rsidR="00D55E96" w:rsidRDefault="00D55E96" w:rsidP="00D55E96">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Looking at Table A</w:t>
      </w:r>
      <w:r w:rsidR="00930A21">
        <w:rPr>
          <w:rFonts w:asciiTheme="majorHAnsi" w:eastAsiaTheme="majorEastAsia" w:hAnsiTheme="majorHAnsi" w:cstheme="majorBidi"/>
          <w:bCs/>
          <w:color w:val="000000" w:themeColor="text1"/>
          <w:sz w:val="24"/>
          <w:szCs w:val="24"/>
        </w:rPr>
        <w:t>2</w:t>
      </w:r>
      <w:r>
        <w:rPr>
          <w:rFonts w:asciiTheme="majorHAnsi" w:eastAsiaTheme="majorEastAsia" w:hAnsiTheme="majorHAnsi" w:cstheme="majorBidi"/>
          <w:bCs/>
          <w:color w:val="000000" w:themeColor="text1"/>
          <w:sz w:val="24"/>
          <w:szCs w:val="24"/>
        </w:rPr>
        <w:t>-</w:t>
      </w:r>
      <w:r w:rsidR="00930A21">
        <w:rPr>
          <w:rFonts w:asciiTheme="majorHAnsi" w:eastAsiaTheme="majorEastAsia" w:hAnsiTheme="majorHAnsi" w:cstheme="majorBidi"/>
          <w:bCs/>
          <w:color w:val="000000" w:themeColor="text1"/>
          <w:sz w:val="24"/>
          <w:szCs w:val="24"/>
        </w:rPr>
        <w:t>2</w:t>
      </w:r>
      <w:r w:rsidR="001A4D37">
        <w:rPr>
          <w:rFonts w:asciiTheme="majorHAnsi" w:eastAsiaTheme="majorEastAsia" w:hAnsiTheme="majorHAnsi" w:cstheme="majorBidi"/>
          <w:bCs/>
          <w:color w:val="000000" w:themeColor="text1"/>
          <w:sz w:val="24"/>
          <w:szCs w:val="24"/>
        </w:rPr>
        <w:t xml:space="preserve"> below</w:t>
      </w:r>
      <w:r>
        <w:rPr>
          <w:rFonts w:asciiTheme="majorHAnsi" w:eastAsiaTheme="majorEastAsia" w:hAnsiTheme="majorHAnsi" w:cstheme="majorBidi"/>
          <w:bCs/>
          <w:color w:val="000000" w:themeColor="text1"/>
          <w:sz w:val="24"/>
          <w:szCs w:val="24"/>
        </w:rPr>
        <w:t xml:space="preserve">, in tax year 2017, about </w:t>
      </w:r>
      <w:r w:rsidR="005B34D7">
        <w:rPr>
          <w:rFonts w:asciiTheme="majorHAnsi" w:eastAsiaTheme="majorEastAsia" w:hAnsiTheme="majorHAnsi" w:cstheme="majorBidi"/>
          <w:bCs/>
          <w:color w:val="000000" w:themeColor="text1"/>
          <w:sz w:val="24"/>
          <w:szCs w:val="24"/>
        </w:rPr>
        <w:t>921</w:t>
      </w:r>
      <w:r>
        <w:rPr>
          <w:rFonts w:asciiTheme="majorHAnsi" w:eastAsiaTheme="majorEastAsia" w:hAnsiTheme="majorHAnsi" w:cstheme="majorBidi"/>
          <w:bCs/>
          <w:color w:val="000000" w:themeColor="text1"/>
          <w:sz w:val="24"/>
          <w:szCs w:val="24"/>
        </w:rPr>
        <w:t xml:space="preserve"> corporations had a larger tax liability using </w:t>
      </w:r>
      <w:r w:rsidR="005B34D7">
        <w:rPr>
          <w:rFonts w:asciiTheme="majorHAnsi" w:eastAsiaTheme="majorEastAsia" w:hAnsiTheme="majorHAnsi" w:cstheme="majorBidi"/>
          <w:bCs/>
          <w:color w:val="000000" w:themeColor="text1"/>
          <w:sz w:val="24"/>
          <w:szCs w:val="24"/>
        </w:rPr>
        <w:t xml:space="preserve">the DSF </w:t>
      </w:r>
      <w:r>
        <w:rPr>
          <w:rFonts w:asciiTheme="majorHAnsi" w:eastAsiaTheme="majorEastAsia" w:hAnsiTheme="majorHAnsi" w:cstheme="majorBidi"/>
          <w:bCs/>
          <w:color w:val="000000" w:themeColor="text1"/>
          <w:sz w:val="24"/>
          <w:szCs w:val="24"/>
        </w:rPr>
        <w:t xml:space="preserve">formula than they would have had using </w:t>
      </w:r>
      <w:r w:rsidR="005B34D7">
        <w:rPr>
          <w:rFonts w:asciiTheme="majorHAnsi" w:eastAsiaTheme="majorEastAsia" w:hAnsiTheme="majorHAnsi" w:cstheme="majorBidi"/>
          <w:bCs/>
          <w:color w:val="000000" w:themeColor="text1"/>
          <w:sz w:val="24"/>
          <w:szCs w:val="24"/>
        </w:rPr>
        <w:t xml:space="preserve">the SSF </w:t>
      </w:r>
      <w:r>
        <w:rPr>
          <w:rFonts w:asciiTheme="majorHAnsi" w:eastAsiaTheme="majorEastAsia" w:hAnsiTheme="majorHAnsi" w:cstheme="majorBidi"/>
          <w:bCs/>
          <w:color w:val="000000" w:themeColor="text1"/>
          <w:sz w:val="24"/>
          <w:szCs w:val="24"/>
        </w:rPr>
        <w:t>formula</w:t>
      </w:r>
      <w:r w:rsidR="005B34D7">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 xml:space="preserve">Among them, </w:t>
      </w:r>
      <w:r w:rsidR="007E53E3">
        <w:rPr>
          <w:rFonts w:asciiTheme="majorHAnsi" w:eastAsiaTheme="majorEastAsia" w:hAnsiTheme="majorHAnsi" w:cstheme="majorBidi"/>
          <w:bCs/>
          <w:color w:val="000000" w:themeColor="text1"/>
          <w:sz w:val="24"/>
          <w:szCs w:val="24"/>
        </w:rPr>
        <w:t>97.2</w:t>
      </w:r>
      <w:r>
        <w:rPr>
          <w:rFonts w:asciiTheme="majorHAnsi" w:eastAsiaTheme="majorEastAsia" w:hAnsiTheme="majorHAnsi" w:cstheme="majorBidi"/>
          <w:bCs/>
          <w:color w:val="000000" w:themeColor="text1"/>
          <w:sz w:val="24"/>
          <w:szCs w:val="24"/>
        </w:rPr>
        <w:t xml:space="preserve">% or </w:t>
      </w:r>
      <w:r w:rsidR="007E53E3">
        <w:rPr>
          <w:rFonts w:asciiTheme="majorHAnsi" w:eastAsiaTheme="majorEastAsia" w:hAnsiTheme="majorHAnsi" w:cstheme="majorBidi"/>
          <w:bCs/>
          <w:color w:val="000000" w:themeColor="text1"/>
          <w:sz w:val="24"/>
          <w:szCs w:val="24"/>
        </w:rPr>
        <w:t>895</w:t>
      </w:r>
      <w:r>
        <w:rPr>
          <w:rFonts w:asciiTheme="majorHAnsi" w:eastAsiaTheme="majorEastAsia" w:hAnsiTheme="majorHAnsi" w:cstheme="majorBidi"/>
          <w:bCs/>
          <w:color w:val="000000" w:themeColor="text1"/>
          <w:sz w:val="24"/>
          <w:szCs w:val="24"/>
        </w:rPr>
        <w:t xml:space="preserve"> corporations were section 38 manufacturers</w:t>
      </w:r>
      <w:r w:rsidR="007E53E3">
        <w:rPr>
          <w:rFonts w:asciiTheme="majorHAnsi" w:eastAsiaTheme="majorEastAsia" w:hAnsiTheme="majorHAnsi" w:cstheme="majorBidi"/>
          <w:bCs/>
          <w:color w:val="000000" w:themeColor="text1"/>
          <w:sz w:val="24"/>
          <w:szCs w:val="24"/>
        </w:rPr>
        <w:t xml:space="preserve"> and 2.8</w:t>
      </w:r>
      <w:r>
        <w:rPr>
          <w:rFonts w:asciiTheme="majorHAnsi" w:eastAsiaTheme="majorEastAsia" w:hAnsiTheme="majorHAnsi" w:cstheme="majorBidi"/>
          <w:bCs/>
          <w:color w:val="000000" w:themeColor="text1"/>
          <w:sz w:val="24"/>
          <w:szCs w:val="24"/>
        </w:rPr>
        <w:t xml:space="preserve">% or </w:t>
      </w:r>
      <w:r w:rsidR="007E53E3">
        <w:rPr>
          <w:rFonts w:asciiTheme="majorHAnsi" w:eastAsiaTheme="majorEastAsia" w:hAnsiTheme="majorHAnsi" w:cstheme="majorBidi"/>
          <w:bCs/>
          <w:color w:val="000000" w:themeColor="text1"/>
          <w:sz w:val="24"/>
          <w:szCs w:val="24"/>
        </w:rPr>
        <w:t>26</w:t>
      </w:r>
      <w:r>
        <w:rPr>
          <w:rFonts w:asciiTheme="majorHAnsi" w:eastAsiaTheme="majorEastAsia" w:hAnsiTheme="majorHAnsi" w:cstheme="majorBidi"/>
          <w:bCs/>
          <w:color w:val="000000" w:themeColor="text1"/>
          <w:sz w:val="24"/>
          <w:szCs w:val="24"/>
        </w:rPr>
        <w:t xml:space="preserve"> were mutual fund service corporations. </w:t>
      </w:r>
      <w:r w:rsidR="00FE31E6">
        <w:rPr>
          <w:rFonts w:asciiTheme="majorHAnsi" w:eastAsiaTheme="majorEastAsia" w:hAnsiTheme="majorHAnsi" w:cstheme="majorBidi"/>
          <w:bCs/>
          <w:color w:val="000000" w:themeColor="text1"/>
          <w:sz w:val="24"/>
          <w:szCs w:val="24"/>
        </w:rPr>
        <w:t>The t</w:t>
      </w:r>
      <w:r>
        <w:rPr>
          <w:rFonts w:asciiTheme="majorHAnsi" w:eastAsiaTheme="majorEastAsia" w:hAnsiTheme="majorHAnsi" w:cstheme="majorBidi"/>
          <w:bCs/>
          <w:color w:val="000000" w:themeColor="text1"/>
          <w:sz w:val="24"/>
          <w:szCs w:val="24"/>
        </w:rPr>
        <w:t>ax increase to these corporations totaled $</w:t>
      </w:r>
      <w:r w:rsidR="007E53E3">
        <w:rPr>
          <w:rFonts w:asciiTheme="majorHAnsi" w:eastAsiaTheme="majorEastAsia" w:hAnsiTheme="majorHAnsi" w:cstheme="majorBidi"/>
          <w:bCs/>
          <w:color w:val="000000" w:themeColor="text1"/>
          <w:sz w:val="24"/>
          <w:szCs w:val="24"/>
        </w:rPr>
        <w:t>351</w:t>
      </w:r>
      <w:r>
        <w:rPr>
          <w:rFonts w:asciiTheme="majorHAnsi" w:eastAsiaTheme="majorEastAsia" w:hAnsiTheme="majorHAnsi" w:cstheme="majorBidi"/>
          <w:bCs/>
          <w:color w:val="000000" w:themeColor="text1"/>
          <w:sz w:val="24"/>
          <w:szCs w:val="24"/>
        </w:rPr>
        <w:t xml:space="preserve"> million, with </w:t>
      </w:r>
      <w:r w:rsidR="007E53E3">
        <w:rPr>
          <w:rFonts w:asciiTheme="majorHAnsi" w:eastAsiaTheme="majorEastAsia" w:hAnsiTheme="majorHAnsi" w:cstheme="majorBidi"/>
          <w:bCs/>
          <w:color w:val="000000" w:themeColor="text1"/>
          <w:sz w:val="24"/>
          <w:szCs w:val="24"/>
        </w:rPr>
        <w:t>91.8</w:t>
      </w:r>
      <w:r>
        <w:rPr>
          <w:rFonts w:asciiTheme="majorHAnsi" w:eastAsiaTheme="majorEastAsia" w:hAnsiTheme="majorHAnsi" w:cstheme="majorBidi"/>
          <w:bCs/>
          <w:color w:val="000000" w:themeColor="text1"/>
          <w:sz w:val="24"/>
          <w:szCs w:val="24"/>
        </w:rPr>
        <w:t>% of the increase going to section 38 manufacturers</w:t>
      </w:r>
      <w:r w:rsidR="00BB766E">
        <w:rPr>
          <w:rFonts w:asciiTheme="majorHAnsi" w:eastAsiaTheme="majorEastAsia" w:hAnsiTheme="majorHAnsi" w:cstheme="majorBidi"/>
          <w:bCs/>
          <w:color w:val="000000" w:themeColor="text1"/>
          <w:sz w:val="24"/>
          <w:szCs w:val="24"/>
        </w:rPr>
        <w:t xml:space="preserve"> and 8.2</w:t>
      </w:r>
      <w:r>
        <w:rPr>
          <w:rFonts w:asciiTheme="majorHAnsi" w:eastAsiaTheme="majorEastAsia" w:hAnsiTheme="majorHAnsi" w:cstheme="majorBidi"/>
          <w:bCs/>
          <w:color w:val="000000" w:themeColor="text1"/>
          <w:sz w:val="24"/>
          <w:szCs w:val="24"/>
        </w:rPr>
        <w:t xml:space="preserve">% to mutual fund service corporations. Note that mutual fund service corporations have a much higher average tax increase </w:t>
      </w:r>
      <w:r w:rsidR="008178F3">
        <w:rPr>
          <w:rFonts w:asciiTheme="majorHAnsi" w:eastAsiaTheme="majorEastAsia" w:hAnsiTheme="majorHAnsi" w:cstheme="majorBidi"/>
          <w:bCs/>
          <w:color w:val="000000" w:themeColor="text1"/>
          <w:sz w:val="24"/>
          <w:szCs w:val="24"/>
        </w:rPr>
        <w:t xml:space="preserve">than section 38 manufacturers </w:t>
      </w:r>
      <w:r>
        <w:rPr>
          <w:rFonts w:asciiTheme="majorHAnsi" w:eastAsiaTheme="majorEastAsia" w:hAnsiTheme="majorHAnsi" w:cstheme="majorBidi"/>
          <w:bCs/>
          <w:color w:val="000000" w:themeColor="text1"/>
          <w:sz w:val="24"/>
          <w:szCs w:val="24"/>
        </w:rPr>
        <w:t>($</w:t>
      </w:r>
      <w:r w:rsidR="008178F3">
        <w:rPr>
          <w:rFonts w:asciiTheme="majorHAnsi" w:eastAsiaTheme="majorEastAsia" w:hAnsiTheme="majorHAnsi" w:cstheme="majorBidi"/>
          <w:bCs/>
          <w:color w:val="000000" w:themeColor="text1"/>
          <w:sz w:val="24"/>
          <w:szCs w:val="24"/>
        </w:rPr>
        <w:t>1.1 million vs $360,000).</w:t>
      </w:r>
    </w:p>
    <w:p w14:paraId="79E4FC8F" w14:textId="77777777" w:rsidR="005438EA" w:rsidRDefault="005438EA" w:rsidP="00172571">
      <w:pPr>
        <w:spacing w:after="0"/>
        <w:jc w:val="center"/>
        <w:rPr>
          <w:rFonts w:asciiTheme="majorHAnsi" w:hAnsiTheme="majorHAnsi"/>
          <w:b/>
          <w:sz w:val="24"/>
          <w:szCs w:val="24"/>
        </w:rPr>
      </w:pPr>
    </w:p>
    <w:p w14:paraId="16AC6E9A" w14:textId="78713657" w:rsidR="00172571" w:rsidRPr="00CA0391" w:rsidRDefault="00172571" w:rsidP="00172571">
      <w:pPr>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A2-2</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1A4D37">
        <w:rPr>
          <w:rFonts w:asciiTheme="majorHAnsi" w:hAnsiTheme="majorHAnsi"/>
          <w:b/>
          <w:sz w:val="24"/>
          <w:szCs w:val="24"/>
        </w:rPr>
        <w:t>Increase</w:t>
      </w:r>
      <w:r>
        <w:rPr>
          <w:rFonts w:asciiTheme="majorHAnsi" w:hAnsiTheme="majorHAnsi"/>
          <w:b/>
          <w:sz w:val="24"/>
          <w:szCs w:val="24"/>
        </w:rPr>
        <w:t xml:space="preserve"> by Corporation Type</w:t>
      </w:r>
      <w:r w:rsidR="001A4D37">
        <w:rPr>
          <w:rFonts w:asciiTheme="majorHAnsi" w:hAnsiTheme="majorHAnsi"/>
          <w:b/>
          <w:sz w:val="24"/>
          <w:szCs w:val="24"/>
        </w:rPr>
        <w:t xml:space="preserve"> </w:t>
      </w:r>
      <w:r w:rsidR="001A4D37" w:rsidRPr="00107265">
        <w:rPr>
          <w:rStyle w:val="FootnoteReference"/>
          <w:rFonts w:eastAsiaTheme="majorEastAsia"/>
          <w:b/>
          <w:bCs/>
          <w:color w:val="000000" w:themeColor="text1"/>
        </w:rPr>
        <w:t>(1)</w:t>
      </w:r>
    </w:p>
    <w:tbl>
      <w:tblPr>
        <w:tblW w:w="9265" w:type="dxa"/>
        <w:jc w:val="center"/>
        <w:tblLayout w:type="fixed"/>
        <w:tblLook w:val="04A0" w:firstRow="1" w:lastRow="0" w:firstColumn="1" w:lastColumn="0" w:noHBand="0" w:noVBand="1"/>
      </w:tblPr>
      <w:tblGrid>
        <w:gridCol w:w="2425"/>
        <w:gridCol w:w="1350"/>
        <w:gridCol w:w="1350"/>
        <w:gridCol w:w="1530"/>
        <w:gridCol w:w="1350"/>
        <w:gridCol w:w="1260"/>
      </w:tblGrid>
      <w:tr w:rsidR="00172571" w:rsidRPr="00D5431D" w14:paraId="79AEA9E6" w14:textId="77777777" w:rsidTr="00333803">
        <w:trPr>
          <w:trHeight w:val="764"/>
          <w:jc w:val="center"/>
        </w:trPr>
        <w:tc>
          <w:tcPr>
            <w:tcW w:w="24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01BC9B5" w14:textId="77777777"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Corporation Type</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51614B2" w14:textId="094FA3F4"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Number of</w:t>
            </w:r>
            <w:r w:rsidR="005438EA">
              <w:rPr>
                <w:rFonts w:ascii="Cambria" w:eastAsia="Times New Roman" w:hAnsi="Cambria" w:cs="Helvetica"/>
                <w:color w:val="000000"/>
                <w:sz w:val="20"/>
                <w:szCs w:val="20"/>
                <w:lang w:eastAsia="ko-KR"/>
              </w:rPr>
              <w:t xml:space="preserve"> Negatively</w:t>
            </w:r>
            <w:r w:rsidRPr="00D5431D">
              <w:rPr>
                <w:rFonts w:ascii="Cambria" w:eastAsia="Times New Roman" w:hAnsi="Cambria" w:cs="Helvetica"/>
                <w:color w:val="000000"/>
                <w:sz w:val="20"/>
                <w:szCs w:val="20"/>
                <w:lang w:eastAsia="ko-KR"/>
              </w:rPr>
              <w:t xml:space="preserve"> Impacted Corporations</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B24D8E3" w14:textId="69559F2B"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 of Total Number of </w:t>
            </w:r>
            <w:r w:rsidR="005438EA">
              <w:rPr>
                <w:rFonts w:ascii="Cambria" w:eastAsia="Times New Roman" w:hAnsi="Cambria" w:cs="Helvetica"/>
                <w:color w:val="000000"/>
                <w:sz w:val="20"/>
                <w:szCs w:val="20"/>
                <w:lang w:eastAsia="ko-KR"/>
              </w:rPr>
              <w:t xml:space="preserve">Negatively </w:t>
            </w:r>
            <w:r w:rsidRPr="00D5431D">
              <w:rPr>
                <w:rFonts w:ascii="Cambria" w:eastAsia="Times New Roman" w:hAnsi="Cambria" w:cs="Helvetica"/>
                <w:color w:val="000000"/>
                <w:sz w:val="20"/>
                <w:szCs w:val="20"/>
                <w:lang w:eastAsia="ko-KR"/>
              </w:rPr>
              <w:t>Impacted Corporations</w:t>
            </w:r>
          </w:p>
        </w:tc>
        <w:tc>
          <w:tcPr>
            <w:tcW w:w="15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FA16FC7" w14:textId="7CF5F98E"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1A4D37">
              <w:rPr>
                <w:rFonts w:ascii="Cambria" w:eastAsia="Times New Roman" w:hAnsi="Cambria" w:cs="Helvetica"/>
                <w:color w:val="000000"/>
                <w:sz w:val="20"/>
                <w:szCs w:val="20"/>
                <w:lang w:eastAsia="ko-KR"/>
              </w:rPr>
              <w:t>Increase</w:t>
            </w:r>
            <w:r w:rsidRPr="00D5431D">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u</w:t>
            </w:r>
            <w:r w:rsidRPr="00D5431D">
              <w:rPr>
                <w:rFonts w:ascii="Cambria" w:eastAsia="Times New Roman" w:hAnsi="Cambria" w:cs="Helvetica"/>
                <w:color w:val="000000"/>
                <w:sz w:val="20"/>
                <w:szCs w:val="20"/>
                <w:lang w:eastAsia="ko-KR"/>
              </w:rPr>
              <w:t xml:space="preserve">sing </w:t>
            </w:r>
            <w:r w:rsidR="00C37BE0">
              <w:rPr>
                <w:rFonts w:ascii="Cambria" w:eastAsia="Times New Roman" w:hAnsi="Cambria" w:cs="Helvetica"/>
                <w:color w:val="000000"/>
                <w:sz w:val="20"/>
                <w:szCs w:val="20"/>
                <w:lang w:eastAsia="ko-KR"/>
              </w:rPr>
              <w:t xml:space="preserve">the DSF </w:t>
            </w:r>
            <w:r w:rsidRPr="00D5431D">
              <w:rPr>
                <w:rFonts w:ascii="Cambria" w:eastAsia="Times New Roman" w:hAnsi="Cambria" w:cs="Helvetica"/>
                <w:color w:val="000000"/>
                <w:sz w:val="20"/>
                <w:szCs w:val="20"/>
                <w:lang w:eastAsia="ko-KR"/>
              </w:rPr>
              <w:t>Formula ($000)</w:t>
            </w:r>
            <w:r w:rsidR="001A4D37">
              <w:rPr>
                <w:rFonts w:ascii="Cambria" w:eastAsia="Times New Roman" w:hAnsi="Cambria" w:cs="Helvetica"/>
                <w:color w:val="000000"/>
                <w:sz w:val="20"/>
                <w:szCs w:val="20"/>
                <w:lang w:eastAsia="ko-KR"/>
              </w:rPr>
              <w:t xml:space="preserve"> </w:t>
            </w:r>
            <w:r w:rsidR="001A4D37" w:rsidRPr="00107265">
              <w:rPr>
                <w:rStyle w:val="FootnoteReference"/>
                <w:rFonts w:eastAsiaTheme="majorEastAsia"/>
                <w:color w:val="000000" w:themeColor="text1"/>
              </w:rPr>
              <w:t>(2)</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F4A141C" w14:textId="7899CF92"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1A4D37">
              <w:rPr>
                <w:rFonts w:ascii="Cambria" w:eastAsia="Times New Roman" w:hAnsi="Cambria" w:cs="Helvetica"/>
                <w:color w:val="000000"/>
                <w:sz w:val="20"/>
                <w:szCs w:val="20"/>
                <w:lang w:eastAsia="ko-KR"/>
              </w:rPr>
              <w:t>Increase</w:t>
            </w:r>
          </w:p>
        </w:tc>
        <w:tc>
          <w:tcPr>
            <w:tcW w:w="126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07F268E4" w14:textId="19625A12" w:rsidR="00172571" w:rsidRPr="00D5431D" w:rsidDel="00845E99" w:rsidRDefault="00172571">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1A4D37">
              <w:rPr>
                <w:rFonts w:ascii="Cambria" w:eastAsia="Times New Roman" w:hAnsi="Cambria" w:cs="Helvetica"/>
                <w:color w:val="000000"/>
                <w:sz w:val="20"/>
                <w:szCs w:val="20"/>
                <w:lang w:eastAsia="ko-KR"/>
              </w:rPr>
              <w:t>Increase</w:t>
            </w:r>
            <w:r w:rsidRPr="001C5672">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 xml:space="preserve">per </w:t>
            </w:r>
            <w:r w:rsidR="005438EA">
              <w:rPr>
                <w:rFonts w:ascii="Cambria" w:eastAsia="Times New Roman" w:hAnsi="Cambria" w:cs="Helvetica"/>
                <w:color w:val="000000"/>
                <w:sz w:val="20"/>
                <w:szCs w:val="20"/>
                <w:lang w:eastAsia="ko-KR"/>
              </w:rPr>
              <w:t xml:space="preserve">Negatively </w:t>
            </w:r>
            <w:r w:rsidRPr="00EE5936">
              <w:rPr>
                <w:rFonts w:ascii="Cambria" w:eastAsia="Times New Roman" w:hAnsi="Cambria" w:cs="Helvetica"/>
                <w:color w:val="000000"/>
                <w:sz w:val="20"/>
                <w:szCs w:val="20"/>
                <w:lang w:eastAsia="ko-KR"/>
              </w:rPr>
              <w:t>Impacted Corporation ($000)</w:t>
            </w:r>
            <w:r w:rsidR="001A4D37">
              <w:rPr>
                <w:rFonts w:ascii="Cambria" w:eastAsia="Times New Roman" w:hAnsi="Cambria" w:cs="Helvetica"/>
                <w:color w:val="000000"/>
                <w:sz w:val="20"/>
                <w:szCs w:val="20"/>
                <w:lang w:eastAsia="ko-KR"/>
              </w:rPr>
              <w:t xml:space="preserve"> </w:t>
            </w:r>
            <w:r w:rsidR="001A4D37" w:rsidRPr="00107265">
              <w:rPr>
                <w:rStyle w:val="FootnoteReference"/>
                <w:rFonts w:eastAsiaTheme="majorEastAsia"/>
                <w:color w:val="000000" w:themeColor="text1"/>
              </w:rPr>
              <w:t>(2)</w:t>
            </w:r>
          </w:p>
        </w:tc>
      </w:tr>
      <w:tr w:rsidR="00172571" w:rsidRPr="00D5431D" w14:paraId="050C121E" w14:textId="77777777" w:rsidTr="00333803">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CB8C9CD"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Section 38 Manufacturers</w:t>
            </w:r>
          </w:p>
        </w:tc>
        <w:tc>
          <w:tcPr>
            <w:tcW w:w="1350" w:type="dxa"/>
            <w:tcBorders>
              <w:top w:val="nil"/>
              <w:left w:val="nil"/>
              <w:bottom w:val="single" w:sz="4" w:space="0" w:color="auto"/>
              <w:right w:val="single" w:sz="4" w:space="0" w:color="auto"/>
            </w:tcBorders>
            <w:shd w:val="clear" w:color="auto" w:fill="auto"/>
            <w:vAlign w:val="center"/>
          </w:tcPr>
          <w:p w14:paraId="18229105" w14:textId="4B946857"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895</w:t>
            </w:r>
          </w:p>
        </w:tc>
        <w:tc>
          <w:tcPr>
            <w:tcW w:w="1350" w:type="dxa"/>
            <w:tcBorders>
              <w:top w:val="single" w:sz="4" w:space="0" w:color="auto"/>
              <w:left w:val="nil"/>
              <w:bottom w:val="single" w:sz="4" w:space="0" w:color="auto"/>
              <w:right w:val="single" w:sz="4" w:space="0" w:color="auto"/>
            </w:tcBorders>
            <w:vAlign w:val="center"/>
          </w:tcPr>
          <w:p w14:paraId="0122349A" w14:textId="493449DF" w:rsidR="00172571" w:rsidRPr="005438EA"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97.2%</w:t>
            </w:r>
          </w:p>
        </w:tc>
        <w:tc>
          <w:tcPr>
            <w:tcW w:w="1530" w:type="dxa"/>
            <w:tcBorders>
              <w:top w:val="nil"/>
              <w:left w:val="single" w:sz="4" w:space="0" w:color="auto"/>
              <w:bottom w:val="single" w:sz="4" w:space="0" w:color="auto"/>
              <w:right w:val="single" w:sz="4" w:space="0" w:color="auto"/>
            </w:tcBorders>
            <w:vAlign w:val="center"/>
          </w:tcPr>
          <w:p w14:paraId="1848ABE0" w14:textId="534BC5E5" w:rsidR="00172571" w:rsidRPr="005438EA"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$322,257</w:t>
            </w:r>
          </w:p>
        </w:tc>
        <w:tc>
          <w:tcPr>
            <w:tcW w:w="1350" w:type="dxa"/>
            <w:tcBorders>
              <w:top w:val="nil"/>
              <w:left w:val="nil"/>
              <w:bottom w:val="single" w:sz="4" w:space="0" w:color="auto"/>
              <w:right w:val="single" w:sz="4" w:space="0" w:color="auto"/>
            </w:tcBorders>
            <w:shd w:val="clear" w:color="auto" w:fill="auto"/>
            <w:vAlign w:val="center"/>
          </w:tcPr>
          <w:p w14:paraId="36F65F22" w14:textId="69135BF9"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91.8%</w:t>
            </w:r>
          </w:p>
        </w:tc>
        <w:tc>
          <w:tcPr>
            <w:tcW w:w="1260" w:type="dxa"/>
            <w:tcBorders>
              <w:top w:val="nil"/>
              <w:left w:val="nil"/>
              <w:bottom w:val="single" w:sz="4" w:space="0" w:color="auto"/>
              <w:right w:val="single" w:sz="4" w:space="0" w:color="auto"/>
            </w:tcBorders>
            <w:vAlign w:val="center"/>
          </w:tcPr>
          <w:p w14:paraId="24AC6785" w14:textId="66F22C11"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$360</w:t>
            </w:r>
          </w:p>
        </w:tc>
      </w:tr>
      <w:tr w:rsidR="00172571" w:rsidRPr="00D5431D" w14:paraId="35BBB478" w14:textId="77777777" w:rsidTr="00333803">
        <w:trPr>
          <w:trHeight w:val="41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B1FB03D"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Mutual Fund Services</w:t>
            </w:r>
          </w:p>
        </w:tc>
        <w:tc>
          <w:tcPr>
            <w:tcW w:w="1350" w:type="dxa"/>
            <w:tcBorders>
              <w:top w:val="nil"/>
              <w:left w:val="nil"/>
              <w:bottom w:val="single" w:sz="4" w:space="0" w:color="auto"/>
              <w:right w:val="single" w:sz="4" w:space="0" w:color="auto"/>
            </w:tcBorders>
            <w:shd w:val="clear" w:color="auto" w:fill="auto"/>
            <w:vAlign w:val="center"/>
          </w:tcPr>
          <w:p w14:paraId="49B8D57F" w14:textId="1773A681"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26</w:t>
            </w:r>
          </w:p>
        </w:tc>
        <w:tc>
          <w:tcPr>
            <w:tcW w:w="1350" w:type="dxa"/>
            <w:tcBorders>
              <w:top w:val="single" w:sz="4" w:space="0" w:color="auto"/>
              <w:left w:val="nil"/>
              <w:bottom w:val="single" w:sz="4" w:space="0" w:color="auto"/>
              <w:right w:val="single" w:sz="4" w:space="0" w:color="auto"/>
            </w:tcBorders>
            <w:vAlign w:val="center"/>
          </w:tcPr>
          <w:p w14:paraId="52E351F6" w14:textId="7D4F1BD0" w:rsidR="00172571" w:rsidRPr="005438EA"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2.8%</w:t>
            </w:r>
          </w:p>
        </w:tc>
        <w:tc>
          <w:tcPr>
            <w:tcW w:w="1530" w:type="dxa"/>
            <w:tcBorders>
              <w:top w:val="nil"/>
              <w:left w:val="single" w:sz="4" w:space="0" w:color="auto"/>
              <w:bottom w:val="single" w:sz="4" w:space="0" w:color="auto"/>
              <w:right w:val="single" w:sz="4" w:space="0" w:color="auto"/>
            </w:tcBorders>
            <w:vAlign w:val="center"/>
          </w:tcPr>
          <w:p w14:paraId="75CC28A0" w14:textId="1CF3C65F" w:rsidR="00172571" w:rsidRPr="005438EA"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$28,759</w:t>
            </w:r>
          </w:p>
        </w:tc>
        <w:tc>
          <w:tcPr>
            <w:tcW w:w="1350" w:type="dxa"/>
            <w:tcBorders>
              <w:top w:val="nil"/>
              <w:left w:val="nil"/>
              <w:bottom w:val="single" w:sz="4" w:space="0" w:color="auto"/>
              <w:right w:val="single" w:sz="4" w:space="0" w:color="auto"/>
            </w:tcBorders>
            <w:shd w:val="clear" w:color="auto" w:fill="auto"/>
            <w:vAlign w:val="center"/>
          </w:tcPr>
          <w:p w14:paraId="343F6F4C" w14:textId="71AFC21A"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8.2%</w:t>
            </w:r>
          </w:p>
        </w:tc>
        <w:tc>
          <w:tcPr>
            <w:tcW w:w="1260" w:type="dxa"/>
            <w:tcBorders>
              <w:top w:val="nil"/>
              <w:left w:val="nil"/>
              <w:bottom w:val="single" w:sz="4" w:space="0" w:color="auto"/>
              <w:right w:val="single" w:sz="4" w:space="0" w:color="auto"/>
            </w:tcBorders>
            <w:vAlign w:val="center"/>
          </w:tcPr>
          <w:p w14:paraId="009D831E" w14:textId="739163BC"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$1,106</w:t>
            </w:r>
          </w:p>
        </w:tc>
      </w:tr>
      <w:tr w:rsidR="00172571" w:rsidRPr="00D5431D" w14:paraId="1FB28493" w14:textId="77777777" w:rsidTr="00333803">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D073DA0"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Total or average</w:t>
            </w:r>
          </w:p>
        </w:tc>
        <w:tc>
          <w:tcPr>
            <w:tcW w:w="1350" w:type="dxa"/>
            <w:tcBorders>
              <w:top w:val="nil"/>
              <w:left w:val="nil"/>
              <w:bottom w:val="single" w:sz="4" w:space="0" w:color="auto"/>
              <w:right w:val="single" w:sz="4" w:space="0" w:color="auto"/>
            </w:tcBorders>
            <w:shd w:val="clear" w:color="auto" w:fill="auto"/>
            <w:vAlign w:val="center"/>
          </w:tcPr>
          <w:p w14:paraId="19D42D38" w14:textId="4AC74E9F"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921</w:t>
            </w:r>
          </w:p>
        </w:tc>
        <w:tc>
          <w:tcPr>
            <w:tcW w:w="1350" w:type="dxa"/>
            <w:tcBorders>
              <w:top w:val="single" w:sz="4" w:space="0" w:color="auto"/>
              <w:left w:val="nil"/>
              <w:bottom w:val="single" w:sz="4" w:space="0" w:color="auto"/>
              <w:right w:val="single" w:sz="4" w:space="0" w:color="auto"/>
            </w:tcBorders>
            <w:vAlign w:val="center"/>
          </w:tcPr>
          <w:p w14:paraId="7BD78E30" w14:textId="15189A72" w:rsidR="00172571" w:rsidRPr="005438EA"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100.0%</w:t>
            </w:r>
          </w:p>
        </w:tc>
        <w:tc>
          <w:tcPr>
            <w:tcW w:w="1530" w:type="dxa"/>
            <w:tcBorders>
              <w:top w:val="nil"/>
              <w:left w:val="single" w:sz="4" w:space="0" w:color="auto"/>
              <w:bottom w:val="single" w:sz="4" w:space="0" w:color="auto"/>
              <w:right w:val="single" w:sz="4" w:space="0" w:color="auto"/>
            </w:tcBorders>
            <w:vAlign w:val="center"/>
          </w:tcPr>
          <w:p w14:paraId="1776C745" w14:textId="4F0DFEBB" w:rsidR="00172571" w:rsidRPr="005438EA"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$351,016</w:t>
            </w:r>
          </w:p>
        </w:tc>
        <w:tc>
          <w:tcPr>
            <w:tcW w:w="1350" w:type="dxa"/>
            <w:tcBorders>
              <w:top w:val="nil"/>
              <w:left w:val="nil"/>
              <w:bottom w:val="single" w:sz="4" w:space="0" w:color="auto"/>
              <w:right w:val="single" w:sz="4" w:space="0" w:color="auto"/>
            </w:tcBorders>
            <w:shd w:val="clear" w:color="auto" w:fill="auto"/>
            <w:vAlign w:val="center"/>
          </w:tcPr>
          <w:p w14:paraId="42C7510C" w14:textId="2A042B2E"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100.0%</w:t>
            </w:r>
          </w:p>
        </w:tc>
        <w:tc>
          <w:tcPr>
            <w:tcW w:w="1260" w:type="dxa"/>
            <w:tcBorders>
              <w:top w:val="nil"/>
              <w:left w:val="nil"/>
              <w:bottom w:val="single" w:sz="4" w:space="0" w:color="auto"/>
              <w:right w:val="single" w:sz="4" w:space="0" w:color="auto"/>
            </w:tcBorders>
            <w:vAlign w:val="center"/>
          </w:tcPr>
          <w:p w14:paraId="737D0EED" w14:textId="2BAC2227" w:rsidR="00172571" w:rsidRPr="005438EA"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$381</w:t>
            </w:r>
          </w:p>
        </w:tc>
      </w:tr>
    </w:tbl>
    <w:p w14:paraId="1E94B33A" w14:textId="77777777" w:rsidR="00172571" w:rsidRPr="006E678E" w:rsidRDefault="00172571" w:rsidP="00172571">
      <w:pPr>
        <w:tabs>
          <w:tab w:val="left" w:pos="7050"/>
        </w:tabs>
        <w:spacing w:after="0"/>
        <w:rPr>
          <w:rFonts w:asciiTheme="majorHAnsi" w:eastAsiaTheme="majorEastAsia" w:hAnsiTheme="majorHAnsi" w:cstheme="majorBidi"/>
          <w:bCs/>
          <w:color w:val="000000" w:themeColor="text1"/>
          <w:sz w:val="18"/>
          <w:szCs w:val="18"/>
        </w:rPr>
      </w:pPr>
      <w:r w:rsidRPr="006E678E">
        <w:rPr>
          <w:rFonts w:asciiTheme="majorHAnsi" w:eastAsiaTheme="majorEastAsia" w:hAnsiTheme="majorHAnsi" w:cstheme="majorBidi"/>
          <w:bCs/>
          <w:color w:val="000000" w:themeColor="text1"/>
          <w:sz w:val="18"/>
          <w:szCs w:val="18"/>
        </w:rPr>
        <w:t xml:space="preserve">  Source: Department of Revenue (2017 corporate excise return)</w:t>
      </w:r>
    </w:p>
    <w:p w14:paraId="49AC77E9" w14:textId="77777777" w:rsidR="00172571" w:rsidRPr="006E678E" w:rsidRDefault="00172571" w:rsidP="00172571">
      <w:pPr>
        <w:spacing w:after="0"/>
        <w:rPr>
          <w:rFonts w:asciiTheme="majorHAnsi" w:hAnsiTheme="majorHAnsi"/>
          <w:bCs/>
          <w:sz w:val="18"/>
          <w:szCs w:val="18"/>
        </w:rPr>
      </w:pPr>
      <w:r w:rsidRPr="006E678E">
        <w:rPr>
          <w:rFonts w:asciiTheme="majorHAnsi" w:eastAsiaTheme="majorEastAsia" w:hAnsiTheme="majorHAnsi" w:cstheme="majorBidi"/>
          <w:bCs/>
          <w:color w:val="000000" w:themeColor="text1"/>
          <w:sz w:val="18"/>
          <w:szCs w:val="18"/>
        </w:rPr>
        <w:t xml:space="preserve">  Note: 1. The data</w:t>
      </w:r>
      <w:r w:rsidRPr="006E678E">
        <w:rPr>
          <w:rFonts w:asciiTheme="majorHAnsi" w:hAnsiTheme="majorHAnsi"/>
          <w:bCs/>
          <w:sz w:val="18"/>
          <w:szCs w:val="18"/>
        </w:rPr>
        <w:t xml:space="preserve"> are preliminary and subject to </w:t>
      </w:r>
      <w:r w:rsidRPr="006E678E">
        <w:rPr>
          <w:rFonts w:ascii="Cambria" w:eastAsia="Times New Roman" w:hAnsi="Cambria" w:cs="Helvetica"/>
          <w:color w:val="000000"/>
          <w:sz w:val="18"/>
          <w:szCs w:val="18"/>
          <w:lang w:eastAsia="ko-KR"/>
        </w:rPr>
        <w:t>change</w:t>
      </w:r>
      <w:r w:rsidRPr="006E678E">
        <w:rPr>
          <w:rFonts w:asciiTheme="majorHAnsi" w:hAnsiTheme="majorHAnsi"/>
          <w:bCs/>
          <w:sz w:val="18"/>
          <w:szCs w:val="18"/>
        </w:rPr>
        <w:t xml:space="preserve">. </w:t>
      </w:r>
    </w:p>
    <w:p w14:paraId="27FB4659" w14:textId="1F94CD39" w:rsidR="00D55E96" w:rsidRPr="006E678E" w:rsidRDefault="006E678E" w:rsidP="00172571">
      <w:pPr>
        <w:spacing w:after="0"/>
        <w:rPr>
          <w:rFonts w:asciiTheme="majorHAnsi" w:hAnsiTheme="majorHAnsi"/>
          <w:bCs/>
          <w:sz w:val="18"/>
          <w:szCs w:val="18"/>
        </w:rPr>
      </w:pPr>
      <w:r w:rsidRPr="006E678E">
        <w:rPr>
          <w:rFonts w:asciiTheme="majorHAnsi" w:hAnsiTheme="majorHAnsi"/>
          <w:bCs/>
          <w:sz w:val="18"/>
          <w:szCs w:val="18"/>
        </w:rPr>
        <w:t xml:space="preserve">             </w:t>
      </w:r>
      <w:r w:rsidR="00172571" w:rsidRPr="006E678E">
        <w:rPr>
          <w:rFonts w:asciiTheme="majorHAnsi" w:hAnsiTheme="majorHAnsi"/>
          <w:bCs/>
          <w:sz w:val="18"/>
          <w:szCs w:val="18"/>
        </w:rPr>
        <w:t xml:space="preserve">2. </w:t>
      </w:r>
      <w:r w:rsidR="001A4D37">
        <w:rPr>
          <w:rFonts w:asciiTheme="majorHAnsi" w:hAnsiTheme="majorHAnsi"/>
          <w:bCs/>
          <w:sz w:val="18"/>
          <w:szCs w:val="18"/>
        </w:rPr>
        <w:t>P</w:t>
      </w:r>
      <w:r w:rsidR="00BB1B5B" w:rsidRPr="006E678E">
        <w:rPr>
          <w:rFonts w:asciiTheme="majorHAnsi" w:hAnsiTheme="majorHAnsi"/>
          <w:bCs/>
          <w:sz w:val="18"/>
          <w:szCs w:val="18"/>
        </w:rPr>
        <w:t>ositive numbers indicate that taxpayers owe more tax using the DSF apportionment than using SSF apportionment.</w:t>
      </w:r>
    </w:p>
    <w:p w14:paraId="76D1799C" w14:textId="29E39EC1" w:rsidR="00D55E96" w:rsidRDefault="00D55E96" w:rsidP="00172571">
      <w:pPr>
        <w:spacing w:after="0"/>
        <w:rPr>
          <w:rFonts w:asciiTheme="majorHAnsi" w:hAnsiTheme="majorHAnsi"/>
          <w:bCs/>
          <w:sz w:val="18"/>
          <w:szCs w:val="18"/>
        </w:rPr>
      </w:pPr>
    </w:p>
    <w:p w14:paraId="16F372CC" w14:textId="60C6B9A2" w:rsidR="00D55E96" w:rsidRDefault="00D55E96" w:rsidP="00172571">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Looking at Table A</w:t>
      </w:r>
      <w:r w:rsidR="00B6682C">
        <w:rPr>
          <w:rFonts w:asciiTheme="majorHAnsi" w:eastAsiaTheme="majorEastAsia" w:hAnsiTheme="majorHAnsi" w:cstheme="majorBidi"/>
          <w:bCs/>
          <w:color w:val="000000" w:themeColor="text1"/>
          <w:sz w:val="24"/>
          <w:szCs w:val="24"/>
        </w:rPr>
        <w:t>2</w:t>
      </w:r>
      <w:r>
        <w:rPr>
          <w:rFonts w:asciiTheme="majorHAnsi" w:eastAsiaTheme="majorEastAsia" w:hAnsiTheme="majorHAnsi" w:cstheme="majorBidi"/>
          <w:bCs/>
          <w:color w:val="000000" w:themeColor="text1"/>
          <w:sz w:val="24"/>
          <w:szCs w:val="24"/>
        </w:rPr>
        <w:t>-</w:t>
      </w:r>
      <w:r w:rsidR="00B6682C">
        <w:rPr>
          <w:rFonts w:asciiTheme="majorHAnsi" w:eastAsiaTheme="majorEastAsia" w:hAnsiTheme="majorHAnsi" w:cstheme="majorBidi"/>
          <w:bCs/>
          <w:color w:val="000000" w:themeColor="text1"/>
          <w:sz w:val="24"/>
          <w:szCs w:val="24"/>
        </w:rPr>
        <w:t>3</w:t>
      </w:r>
      <w:r w:rsidR="001A4D37">
        <w:rPr>
          <w:rFonts w:asciiTheme="majorHAnsi" w:eastAsiaTheme="majorEastAsia" w:hAnsiTheme="majorHAnsi" w:cstheme="majorBidi"/>
          <w:bCs/>
          <w:color w:val="000000" w:themeColor="text1"/>
          <w:sz w:val="24"/>
          <w:szCs w:val="24"/>
        </w:rPr>
        <w:t xml:space="preserve"> below</w:t>
      </w:r>
      <w:r>
        <w:rPr>
          <w:rFonts w:asciiTheme="majorHAnsi" w:eastAsiaTheme="majorEastAsia" w:hAnsiTheme="majorHAnsi" w:cstheme="majorBidi"/>
          <w:bCs/>
          <w:color w:val="000000" w:themeColor="text1"/>
          <w:sz w:val="24"/>
          <w:szCs w:val="24"/>
        </w:rPr>
        <w:t xml:space="preserve">, in tax year 2017, about </w:t>
      </w:r>
      <w:r w:rsidR="00CF2928">
        <w:rPr>
          <w:rFonts w:asciiTheme="majorHAnsi" w:eastAsiaTheme="majorEastAsia" w:hAnsiTheme="majorHAnsi" w:cstheme="majorBidi"/>
          <w:bCs/>
          <w:color w:val="000000" w:themeColor="text1"/>
          <w:sz w:val="24"/>
          <w:szCs w:val="24"/>
        </w:rPr>
        <w:t>1,566</w:t>
      </w:r>
      <w:r>
        <w:rPr>
          <w:rFonts w:asciiTheme="majorHAnsi" w:eastAsiaTheme="majorEastAsia" w:hAnsiTheme="majorHAnsi" w:cstheme="majorBidi"/>
          <w:bCs/>
          <w:color w:val="000000" w:themeColor="text1"/>
          <w:sz w:val="24"/>
          <w:szCs w:val="24"/>
        </w:rPr>
        <w:t xml:space="preserve"> corporations had a smaller tax liability using</w:t>
      </w:r>
      <w:r w:rsidR="00CF2928">
        <w:rPr>
          <w:rFonts w:asciiTheme="majorHAnsi" w:eastAsiaTheme="majorEastAsia" w:hAnsiTheme="majorHAnsi" w:cstheme="majorBidi"/>
          <w:bCs/>
          <w:color w:val="000000" w:themeColor="text1"/>
          <w:sz w:val="24"/>
          <w:szCs w:val="24"/>
        </w:rPr>
        <w:t xml:space="preserve"> the DSF</w:t>
      </w:r>
      <w:r>
        <w:rPr>
          <w:rFonts w:asciiTheme="majorHAnsi" w:eastAsiaTheme="majorEastAsia" w:hAnsiTheme="majorHAnsi" w:cstheme="majorBidi"/>
          <w:bCs/>
          <w:color w:val="000000" w:themeColor="text1"/>
          <w:sz w:val="24"/>
          <w:szCs w:val="24"/>
        </w:rPr>
        <w:t xml:space="preserve"> formula than they would have had using the </w:t>
      </w:r>
      <w:r w:rsidR="00CF2928">
        <w:rPr>
          <w:rFonts w:asciiTheme="majorHAnsi" w:eastAsiaTheme="majorEastAsia" w:hAnsiTheme="majorHAnsi" w:cstheme="majorBidi"/>
          <w:bCs/>
          <w:color w:val="000000" w:themeColor="text1"/>
          <w:sz w:val="24"/>
          <w:szCs w:val="24"/>
        </w:rPr>
        <w:t xml:space="preserve">SSF </w:t>
      </w:r>
      <w:r>
        <w:rPr>
          <w:rFonts w:asciiTheme="majorHAnsi" w:eastAsiaTheme="majorEastAsia" w:hAnsiTheme="majorHAnsi" w:cstheme="majorBidi"/>
          <w:bCs/>
          <w:color w:val="000000" w:themeColor="text1"/>
          <w:sz w:val="24"/>
          <w:szCs w:val="24"/>
        </w:rPr>
        <w:t xml:space="preserve">formula. Among them, </w:t>
      </w:r>
      <w:r w:rsidR="00CF2928">
        <w:rPr>
          <w:rFonts w:asciiTheme="majorHAnsi" w:eastAsiaTheme="majorEastAsia" w:hAnsiTheme="majorHAnsi" w:cstheme="majorBidi"/>
          <w:bCs/>
          <w:color w:val="000000" w:themeColor="text1"/>
          <w:sz w:val="24"/>
          <w:szCs w:val="24"/>
        </w:rPr>
        <w:t>96</w:t>
      </w:r>
      <w:r>
        <w:rPr>
          <w:rFonts w:asciiTheme="majorHAnsi" w:eastAsiaTheme="majorEastAsia" w:hAnsiTheme="majorHAnsi" w:cstheme="majorBidi"/>
          <w:bCs/>
          <w:color w:val="000000" w:themeColor="text1"/>
          <w:sz w:val="24"/>
          <w:szCs w:val="24"/>
        </w:rPr>
        <w:t xml:space="preserve">.7% or </w:t>
      </w:r>
      <w:r w:rsidR="00CF2928">
        <w:rPr>
          <w:rFonts w:asciiTheme="majorHAnsi" w:eastAsiaTheme="majorEastAsia" w:hAnsiTheme="majorHAnsi" w:cstheme="majorBidi"/>
          <w:bCs/>
          <w:color w:val="000000" w:themeColor="text1"/>
          <w:sz w:val="24"/>
          <w:szCs w:val="24"/>
        </w:rPr>
        <w:t>1,514</w:t>
      </w:r>
      <w:r>
        <w:rPr>
          <w:rFonts w:asciiTheme="majorHAnsi" w:eastAsiaTheme="majorEastAsia" w:hAnsiTheme="majorHAnsi" w:cstheme="majorBidi"/>
          <w:bCs/>
          <w:color w:val="000000" w:themeColor="text1"/>
          <w:sz w:val="24"/>
          <w:szCs w:val="24"/>
        </w:rPr>
        <w:t xml:space="preserve"> corporations were section 38 manufacturers</w:t>
      </w:r>
      <w:r w:rsidR="00CF2928">
        <w:rPr>
          <w:rFonts w:asciiTheme="majorHAnsi" w:eastAsiaTheme="majorEastAsia" w:hAnsiTheme="majorHAnsi" w:cstheme="majorBidi"/>
          <w:bCs/>
          <w:color w:val="000000" w:themeColor="text1"/>
          <w:sz w:val="24"/>
          <w:szCs w:val="24"/>
        </w:rPr>
        <w:t xml:space="preserve"> and</w:t>
      </w:r>
      <w:r>
        <w:rPr>
          <w:rFonts w:asciiTheme="majorHAnsi" w:eastAsiaTheme="majorEastAsia" w:hAnsiTheme="majorHAnsi" w:cstheme="majorBidi"/>
          <w:bCs/>
          <w:color w:val="000000" w:themeColor="text1"/>
          <w:sz w:val="24"/>
          <w:szCs w:val="24"/>
        </w:rPr>
        <w:t xml:space="preserve"> </w:t>
      </w:r>
      <w:r w:rsidR="00CF2928">
        <w:rPr>
          <w:rFonts w:asciiTheme="majorHAnsi" w:eastAsiaTheme="majorEastAsia" w:hAnsiTheme="majorHAnsi" w:cstheme="majorBidi"/>
          <w:bCs/>
          <w:color w:val="000000" w:themeColor="text1"/>
          <w:sz w:val="24"/>
          <w:szCs w:val="24"/>
        </w:rPr>
        <w:t>3.3</w:t>
      </w:r>
      <w:r>
        <w:rPr>
          <w:rFonts w:asciiTheme="majorHAnsi" w:eastAsiaTheme="majorEastAsia" w:hAnsiTheme="majorHAnsi" w:cstheme="majorBidi"/>
          <w:bCs/>
          <w:color w:val="000000" w:themeColor="text1"/>
          <w:sz w:val="24"/>
          <w:szCs w:val="24"/>
        </w:rPr>
        <w:t xml:space="preserve">% or </w:t>
      </w:r>
      <w:r w:rsidR="00CF2928">
        <w:rPr>
          <w:rFonts w:asciiTheme="majorHAnsi" w:eastAsiaTheme="majorEastAsia" w:hAnsiTheme="majorHAnsi" w:cstheme="majorBidi"/>
          <w:bCs/>
          <w:color w:val="000000" w:themeColor="text1"/>
          <w:sz w:val="24"/>
          <w:szCs w:val="24"/>
        </w:rPr>
        <w:t>52</w:t>
      </w:r>
      <w:r>
        <w:rPr>
          <w:rFonts w:asciiTheme="majorHAnsi" w:eastAsiaTheme="majorEastAsia" w:hAnsiTheme="majorHAnsi" w:cstheme="majorBidi"/>
          <w:bCs/>
          <w:color w:val="000000" w:themeColor="text1"/>
          <w:sz w:val="24"/>
          <w:szCs w:val="24"/>
        </w:rPr>
        <w:t xml:space="preserve"> were mutual fund services corporations. Tax savings to these corporations totaled $</w:t>
      </w:r>
      <w:r w:rsidR="00CF2928">
        <w:rPr>
          <w:rFonts w:asciiTheme="majorHAnsi" w:eastAsiaTheme="majorEastAsia" w:hAnsiTheme="majorHAnsi" w:cstheme="majorBidi"/>
          <w:bCs/>
          <w:color w:val="000000" w:themeColor="text1"/>
          <w:sz w:val="24"/>
          <w:szCs w:val="24"/>
        </w:rPr>
        <w:t>75</w:t>
      </w:r>
      <w:r>
        <w:rPr>
          <w:rFonts w:asciiTheme="majorHAnsi" w:eastAsiaTheme="majorEastAsia" w:hAnsiTheme="majorHAnsi" w:cstheme="majorBidi"/>
          <w:bCs/>
          <w:color w:val="000000" w:themeColor="text1"/>
          <w:sz w:val="24"/>
          <w:szCs w:val="24"/>
        </w:rPr>
        <w:t xml:space="preserve"> million, with </w:t>
      </w:r>
      <w:r w:rsidR="00CF2928">
        <w:rPr>
          <w:rFonts w:asciiTheme="majorHAnsi" w:eastAsiaTheme="majorEastAsia" w:hAnsiTheme="majorHAnsi" w:cstheme="majorBidi"/>
          <w:bCs/>
          <w:color w:val="000000" w:themeColor="text1"/>
          <w:sz w:val="24"/>
          <w:szCs w:val="24"/>
        </w:rPr>
        <w:t>89.6</w:t>
      </w:r>
      <w:r>
        <w:rPr>
          <w:rFonts w:asciiTheme="majorHAnsi" w:eastAsiaTheme="majorEastAsia" w:hAnsiTheme="majorHAnsi" w:cstheme="majorBidi"/>
          <w:bCs/>
          <w:color w:val="000000" w:themeColor="text1"/>
          <w:sz w:val="24"/>
          <w:szCs w:val="24"/>
        </w:rPr>
        <w:t>% of the savings going to section 38 manufacturers</w:t>
      </w:r>
      <w:r w:rsidR="00CF2928">
        <w:rPr>
          <w:rFonts w:asciiTheme="majorHAnsi" w:eastAsiaTheme="majorEastAsia" w:hAnsiTheme="majorHAnsi" w:cstheme="majorBidi"/>
          <w:bCs/>
          <w:color w:val="000000" w:themeColor="text1"/>
          <w:sz w:val="24"/>
          <w:szCs w:val="24"/>
        </w:rPr>
        <w:t xml:space="preserve"> and 10.4</w:t>
      </w:r>
      <w:r>
        <w:rPr>
          <w:rFonts w:asciiTheme="majorHAnsi" w:eastAsiaTheme="majorEastAsia" w:hAnsiTheme="majorHAnsi" w:cstheme="majorBidi"/>
          <w:bCs/>
          <w:color w:val="000000" w:themeColor="text1"/>
          <w:sz w:val="24"/>
          <w:szCs w:val="24"/>
        </w:rPr>
        <w:t>% to mutual fund service corporations. Note that mutual fund service corporations have a much higher average tax savings</w:t>
      </w:r>
      <w:r w:rsidR="00CF2928">
        <w:rPr>
          <w:rFonts w:asciiTheme="majorHAnsi" w:eastAsiaTheme="majorEastAsia" w:hAnsiTheme="majorHAnsi" w:cstheme="majorBidi"/>
          <w:bCs/>
          <w:color w:val="000000" w:themeColor="text1"/>
          <w:sz w:val="24"/>
          <w:szCs w:val="24"/>
        </w:rPr>
        <w:t xml:space="preserve"> than section 38 manufacturers</w:t>
      </w:r>
      <w:r>
        <w:rPr>
          <w:rFonts w:asciiTheme="majorHAnsi" w:eastAsiaTheme="majorEastAsia" w:hAnsiTheme="majorHAnsi" w:cstheme="majorBidi"/>
          <w:bCs/>
          <w:color w:val="000000" w:themeColor="text1"/>
          <w:sz w:val="24"/>
          <w:szCs w:val="24"/>
        </w:rPr>
        <w:t xml:space="preserve"> ($</w:t>
      </w:r>
      <w:r w:rsidR="00CF2928">
        <w:rPr>
          <w:rFonts w:asciiTheme="majorHAnsi" w:eastAsiaTheme="majorEastAsia" w:hAnsiTheme="majorHAnsi" w:cstheme="majorBidi"/>
          <w:bCs/>
          <w:color w:val="000000" w:themeColor="text1"/>
          <w:sz w:val="24"/>
          <w:szCs w:val="24"/>
        </w:rPr>
        <w:t>151,000 vs $45,000</w:t>
      </w:r>
      <w:r>
        <w:rPr>
          <w:rFonts w:asciiTheme="majorHAnsi" w:eastAsiaTheme="majorEastAsia" w:hAnsiTheme="majorHAnsi" w:cstheme="majorBidi"/>
          <w:bCs/>
          <w:color w:val="000000" w:themeColor="text1"/>
          <w:sz w:val="24"/>
          <w:szCs w:val="24"/>
        </w:rPr>
        <w:t>)</w:t>
      </w:r>
      <w:r w:rsidR="00CF2928">
        <w:rPr>
          <w:rFonts w:asciiTheme="majorHAnsi" w:eastAsiaTheme="majorEastAsia" w:hAnsiTheme="majorHAnsi" w:cstheme="majorBidi"/>
          <w:bCs/>
          <w:color w:val="000000" w:themeColor="text1"/>
          <w:sz w:val="24"/>
          <w:szCs w:val="24"/>
        </w:rPr>
        <w:t>.</w:t>
      </w:r>
    </w:p>
    <w:p w14:paraId="4E3F42B9" w14:textId="77777777" w:rsidR="00D55E96" w:rsidRPr="00F46B61" w:rsidRDefault="00D55E96" w:rsidP="00172571">
      <w:pPr>
        <w:spacing w:after="0"/>
        <w:rPr>
          <w:rFonts w:asciiTheme="majorHAnsi" w:hAnsiTheme="majorHAnsi"/>
          <w:bCs/>
          <w:sz w:val="18"/>
          <w:szCs w:val="18"/>
        </w:rPr>
      </w:pPr>
    </w:p>
    <w:p w14:paraId="428FEFDA" w14:textId="66BEA1BD" w:rsidR="00172571" w:rsidRPr="00CA0391" w:rsidRDefault="00172571" w:rsidP="00172571">
      <w:pPr>
        <w:spacing w:after="0"/>
        <w:jc w:val="center"/>
        <w:rPr>
          <w:rFonts w:asciiTheme="majorHAnsi" w:hAnsiTheme="majorHAnsi"/>
          <w:b/>
          <w:sz w:val="24"/>
          <w:szCs w:val="24"/>
        </w:rPr>
      </w:pPr>
      <w:r w:rsidRPr="00CA0391">
        <w:rPr>
          <w:rFonts w:asciiTheme="majorHAnsi" w:hAnsiTheme="majorHAnsi"/>
          <w:b/>
          <w:sz w:val="24"/>
          <w:szCs w:val="24"/>
        </w:rPr>
        <w:t xml:space="preserve">Table </w:t>
      </w:r>
      <w:r>
        <w:rPr>
          <w:rFonts w:asciiTheme="majorHAnsi" w:hAnsiTheme="majorHAnsi"/>
          <w:b/>
          <w:sz w:val="24"/>
          <w:szCs w:val="24"/>
        </w:rPr>
        <w:t>A2-3</w:t>
      </w:r>
      <w:r w:rsidRPr="00CA0391">
        <w:rPr>
          <w:rFonts w:asciiTheme="majorHAnsi" w:hAnsiTheme="majorHAnsi"/>
          <w:b/>
          <w:sz w:val="24"/>
          <w:szCs w:val="24"/>
        </w:rPr>
        <w:t xml:space="preserve">. </w:t>
      </w:r>
      <w:r>
        <w:rPr>
          <w:rFonts w:asciiTheme="majorHAnsi" w:hAnsiTheme="majorHAnsi"/>
          <w:b/>
          <w:sz w:val="24"/>
          <w:szCs w:val="24"/>
        </w:rPr>
        <w:t xml:space="preserve">Tax Liability </w:t>
      </w:r>
      <w:r w:rsidR="001A4D37">
        <w:rPr>
          <w:rFonts w:asciiTheme="majorHAnsi" w:hAnsiTheme="majorHAnsi"/>
          <w:b/>
          <w:sz w:val="24"/>
          <w:szCs w:val="24"/>
        </w:rPr>
        <w:t>Decrease</w:t>
      </w:r>
      <w:r>
        <w:rPr>
          <w:rFonts w:asciiTheme="majorHAnsi" w:hAnsiTheme="majorHAnsi"/>
          <w:b/>
          <w:sz w:val="24"/>
          <w:szCs w:val="24"/>
        </w:rPr>
        <w:t xml:space="preserve"> by Corporation Type</w:t>
      </w:r>
      <w:r w:rsidR="001A4D37">
        <w:rPr>
          <w:rFonts w:asciiTheme="majorHAnsi" w:hAnsiTheme="majorHAnsi"/>
          <w:b/>
          <w:sz w:val="24"/>
          <w:szCs w:val="24"/>
        </w:rPr>
        <w:t xml:space="preserve"> </w:t>
      </w:r>
      <w:r w:rsidR="001A4D37" w:rsidRPr="00107265">
        <w:rPr>
          <w:rStyle w:val="FootnoteReference"/>
          <w:rFonts w:eastAsiaTheme="majorEastAsia"/>
          <w:b/>
          <w:bCs/>
          <w:color w:val="000000" w:themeColor="text1"/>
        </w:rPr>
        <w:t>(1)</w:t>
      </w:r>
    </w:p>
    <w:tbl>
      <w:tblPr>
        <w:tblW w:w="9265" w:type="dxa"/>
        <w:jc w:val="center"/>
        <w:tblLayout w:type="fixed"/>
        <w:tblLook w:val="04A0" w:firstRow="1" w:lastRow="0" w:firstColumn="1" w:lastColumn="0" w:noHBand="0" w:noVBand="1"/>
      </w:tblPr>
      <w:tblGrid>
        <w:gridCol w:w="2425"/>
        <w:gridCol w:w="1350"/>
        <w:gridCol w:w="1350"/>
        <w:gridCol w:w="1530"/>
        <w:gridCol w:w="1350"/>
        <w:gridCol w:w="1260"/>
      </w:tblGrid>
      <w:tr w:rsidR="00172571" w:rsidRPr="00D5431D" w14:paraId="59392AFF" w14:textId="77777777" w:rsidTr="00333803">
        <w:trPr>
          <w:trHeight w:val="764"/>
          <w:jc w:val="center"/>
        </w:trPr>
        <w:tc>
          <w:tcPr>
            <w:tcW w:w="24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6F15A36" w14:textId="77777777"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Corporation Type</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141E7F32" w14:textId="7EDB9F9B"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Number of </w:t>
            </w:r>
            <w:r w:rsidR="004B31D4">
              <w:rPr>
                <w:rFonts w:ascii="Cambria" w:eastAsia="Times New Roman" w:hAnsi="Cambria" w:cs="Helvetica"/>
                <w:color w:val="000000"/>
                <w:sz w:val="20"/>
                <w:szCs w:val="20"/>
                <w:lang w:eastAsia="ko-KR"/>
              </w:rPr>
              <w:t xml:space="preserve">Positively </w:t>
            </w:r>
            <w:r w:rsidRPr="00D5431D">
              <w:rPr>
                <w:rFonts w:ascii="Cambria" w:eastAsia="Times New Roman" w:hAnsi="Cambria" w:cs="Helvetica"/>
                <w:color w:val="000000"/>
                <w:sz w:val="20"/>
                <w:szCs w:val="20"/>
                <w:lang w:eastAsia="ko-KR"/>
              </w:rPr>
              <w:t>Impacted Corporations</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1024FC4" w14:textId="405BB8D0"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 of Total Number of </w:t>
            </w:r>
            <w:r w:rsidR="004B31D4">
              <w:rPr>
                <w:rFonts w:ascii="Cambria" w:eastAsia="Times New Roman" w:hAnsi="Cambria" w:cs="Helvetica"/>
                <w:color w:val="000000"/>
                <w:sz w:val="20"/>
                <w:szCs w:val="20"/>
                <w:lang w:eastAsia="ko-KR"/>
              </w:rPr>
              <w:t xml:space="preserve">Positively </w:t>
            </w:r>
            <w:r w:rsidRPr="00D5431D">
              <w:rPr>
                <w:rFonts w:ascii="Cambria" w:eastAsia="Times New Roman" w:hAnsi="Cambria" w:cs="Helvetica"/>
                <w:color w:val="000000"/>
                <w:sz w:val="20"/>
                <w:szCs w:val="20"/>
                <w:lang w:eastAsia="ko-KR"/>
              </w:rPr>
              <w:t>Impacted Corporations</w:t>
            </w:r>
          </w:p>
        </w:tc>
        <w:tc>
          <w:tcPr>
            <w:tcW w:w="15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0BB11A9" w14:textId="02D12890"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1A4D37">
              <w:rPr>
                <w:rFonts w:ascii="Cambria" w:eastAsia="Times New Roman" w:hAnsi="Cambria" w:cs="Helvetica"/>
                <w:color w:val="000000"/>
                <w:sz w:val="20"/>
                <w:szCs w:val="20"/>
                <w:lang w:eastAsia="ko-KR"/>
              </w:rPr>
              <w:t>Decrease</w:t>
            </w:r>
            <w:r w:rsidRPr="00D5431D">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u</w:t>
            </w:r>
            <w:r w:rsidRPr="00D5431D">
              <w:rPr>
                <w:rFonts w:ascii="Cambria" w:eastAsia="Times New Roman" w:hAnsi="Cambria" w:cs="Helvetica"/>
                <w:color w:val="000000"/>
                <w:sz w:val="20"/>
                <w:szCs w:val="20"/>
                <w:lang w:eastAsia="ko-KR"/>
              </w:rPr>
              <w:t xml:space="preserve">sing </w:t>
            </w:r>
            <w:r w:rsidR="00C37BE0">
              <w:rPr>
                <w:rFonts w:ascii="Cambria" w:eastAsia="Times New Roman" w:hAnsi="Cambria" w:cs="Helvetica"/>
                <w:color w:val="000000"/>
                <w:sz w:val="20"/>
                <w:szCs w:val="20"/>
                <w:lang w:eastAsia="ko-KR"/>
              </w:rPr>
              <w:t xml:space="preserve">the </w:t>
            </w:r>
            <w:r w:rsidR="004B31D4">
              <w:rPr>
                <w:rFonts w:ascii="Cambria" w:eastAsia="Times New Roman" w:hAnsi="Cambria" w:cs="Helvetica"/>
                <w:color w:val="000000"/>
                <w:sz w:val="20"/>
                <w:szCs w:val="20"/>
                <w:lang w:eastAsia="ko-KR"/>
              </w:rPr>
              <w:t>DSF Formula</w:t>
            </w:r>
            <w:r w:rsidRPr="00D5431D">
              <w:rPr>
                <w:rFonts w:ascii="Cambria" w:eastAsia="Times New Roman" w:hAnsi="Cambria" w:cs="Helvetica"/>
                <w:color w:val="000000"/>
                <w:sz w:val="20"/>
                <w:szCs w:val="20"/>
                <w:lang w:eastAsia="ko-KR"/>
              </w:rPr>
              <w:t xml:space="preserve"> ($000)</w:t>
            </w:r>
            <w:r w:rsidR="001A4D37">
              <w:rPr>
                <w:rFonts w:ascii="Cambria" w:eastAsia="Times New Roman" w:hAnsi="Cambria" w:cs="Helvetica"/>
                <w:color w:val="000000"/>
                <w:sz w:val="20"/>
                <w:szCs w:val="20"/>
                <w:lang w:eastAsia="ko-KR"/>
              </w:rPr>
              <w:t xml:space="preserve"> </w:t>
            </w:r>
            <w:r w:rsidR="001A4D37" w:rsidRPr="00107265">
              <w:rPr>
                <w:rStyle w:val="FootnoteReference"/>
                <w:rFonts w:eastAsiaTheme="majorEastAsia"/>
                <w:color w:val="000000" w:themeColor="text1"/>
              </w:rPr>
              <w:t>(2)</w:t>
            </w:r>
          </w:p>
        </w:tc>
        <w:tc>
          <w:tcPr>
            <w:tcW w:w="135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3A132D3" w14:textId="7CE1A70F" w:rsidR="00172571" w:rsidRPr="00D5431D" w:rsidRDefault="00172571" w:rsidP="00333803">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 of Total </w:t>
            </w:r>
            <w:r w:rsidRPr="00D5431D">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1A4D37">
              <w:rPr>
                <w:rFonts w:ascii="Cambria" w:eastAsia="Times New Roman" w:hAnsi="Cambria" w:cs="Helvetica"/>
                <w:color w:val="000000"/>
                <w:sz w:val="20"/>
                <w:szCs w:val="20"/>
                <w:lang w:eastAsia="ko-KR"/>
              </w:rPr>
              <w:t>Decrease</w:t>
            </w:r>
          </w:p>
        </w:tc>
        <w:tc>
          <w:tcPr>
            <w:tcW w:w="126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A27857E" w14:textId="23B98AA0" w:rsidR="00172571" w:rsidRPr="00D5431D" w:rsidDel="00845E99" w:rsidRDefault="00172571" w:rsidP="00333803">
            <w:pPr>
              <w:spacing w:after="0" w:line="240" w:lineRule="auto"/>
              <w:jc w:val="center"/>
              <w:rPr>
                <w:rFonts w:ascii="Cambria" w:eastAsia="Times New Roman" w:hAnsi="Cambria" w:cs="Helvetica"/>
                <w:color w:val="000000"/>
                <w:sz w:val="20"/>
                <w:szCs w:val="20"/>
                <w:lang w:eastAsia="ko-KR"/>
              </w:rPr>
            </w:pPr>
            <w:r w:rsidRPr="00EE5936">
              <w:rPr>
                <w:rFonts w:ascii="Cambria" w:eastAsia="Times New Roman" w:hAnsi="Cambria" w:cs="Helvetica"/>
                <w:color w:val="000000"/>
                <w:sz w:val="20"/>
                <w:szCs w:val="20"/>
                <w:lang w:eastAsia="ko-KR"/>
              </w:rPr>
              <w:t xml:space="preserve">Tax </w:t>
            </w:r>
            <w:r w:rsidRPr="001C5672">
              <w:rPr>
                <w:rFonts w:ascii="Cambria" w:eastAsia="Times New Roman" w:hAnsi="Cambria" w:cs="Helvetica"/>
                <w:color w:val="000000"/>
                <w:sz w:val="20"/>
                <w:szCs w:val="20"/>
                <w:lang w:eastAsia="ko-KR"/>
              </w:rPr>
              <w:t xml:space="preserve">Liability </w:t>
            </w:r>
            <w:r w:rsidR="001A4D37">
              <w:rPr>
                <w:rFonts w:ascii="Cambria" w:eastAsia="Times New Roman" w:hAnsi="Cambria" w:cs="Helvetica"/>
                <w:color w:val="000000"/>
                <w:sz w:val="20"/>
                <w:szCs w:val="20"/>
                <w:lang w:eastAsia="ko-KR"/>
              </w:rPr>
              <w:t>Decrease</w:t>
            </w:r>
            <w:r w:rsidRPr="001C5672">
              <w:rPr>
                <w:rFonts w:ascii="Cambria" w:eastAsia="Times New Roman" w:hAnsi="Cambria" w:cs="Helvetica"/>
                <w:color w:val="000000"/>
                <w:sz w:val="20"/>
                <w:szCs w:val="20"/>
                <w:lang w:eastAsia="ko-KR"/>
              </w:rPr>
              <w:t xml:space="preserve"> </w:t>
            </w:r>
            <w:r w:rsidRPr="00EE5936">
              <w:rPr>
                <w:rFonts w:ascii="Cambria" w:eastAsia="Times New Roman" w:hAnsi="Cambria" w:cs="Helvetica"/>
                <w:color w:val="000000"/>
                <w:sz w:val="20"/>
                <w:szCs w:val="20"/>
                <w:lang w:eastAsia="ko-KR"/>
              </w:rPr>
              <w:t>per</w:t>
            </w:r>
            <w:r w:rsidR="004B31D4">
              <w:rPr>
                <w:rFonts w:ascii="Cambria" w:eastAsia="Times New Roman" w:hAnsi="Cambria" w:cs="Helvetica"/>
                <w:color w:val="000000"/>
                <w:sz w:val="20"/>
                <w:szCs w:val="20"/>
                <w:lang w:eastAsia="ko-KR"/>
              </w:rPr>
              <w:t xml:space="preserve"> Positively</w:t>
            </w:r>
            <w:r w:rsidRPr="00EE5936">
              <w:rPr>
                <w:rFonts w:ascii="Cambria" w:eastAsia="Times New Roman" w:hAnsi="Cambria" w:cs="Helvetica"/>
                <w:color w:val="000000"/>
                <w:sz w:val="20"/>
                <w:szCs w:val="20"/>
                <w:lang w:eastAsia="ko-KR"/>
              </w:rPr>
              <w:t xml:space="preserve"> Impacted </w:t>
            </w:r>
            <w:r w:rsidRPr="00EE5936">
              <w:rPr>
                <w:rFonts w:ascii="Cambria" w:eastAsia="Times New Roman" w:hAnsi="Cambria" w:cs="Helvetica"/>
                <w:color w:val="000000"/>
                <w:sz w:val="20"/>
                <w:szCs w:val="20"/>
                <w:lang w:eastAsia="ko-KR"/>
              </w:rPr>
              <w:lastRenderedPageBreak/>
              <w:t>Corporation ($000)</w:t>
            </w:r>
            <w:r w:rsidR="001A4D37">
              <w:rPr>
                <w:rFonts w:ascii="Cambria" w:eastAsia="Times New Roman" w:hAnsi="Cambria" w:cs="Helvetica"/>
                <w:color w:val="000000"/>
                <w:sz w:val="20"/>
                <w:szCs w:val="20"/>
                <w:lang w:eastAsia="ko-KR"/>
              </w:rPr>
              <w:t xml:space="preserve"> </w:t>
            </w:r>
            <w:r w:rsidR="001A4D37" w:rsidRPr="00107265">
              <w:rPr>
                <w:rStyle w:val="FootnoteReference"/>
                <w:rFonts w:eastAsiaTheme="majorEastAsia"/>
                <w:color w:val="000000" w:themeColor="text1"/>
              </w:rPr>
              <w:t>(2)</w:t>
            </w:r>
          </w:p>
        </w:tc>
      </w:tr>
      <w:tr w:rsidR="00172571" w:rsidRPr="00D5431D" w14:paraId="5239B8E5" w14:textId="77777777" w:rsidTr="00333803">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1335062"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lastRenderedPageBreak/>
              <w:t>Section 38 Manufacturers</w:t>
            </w:r>
          </w:p>
        </w:tc>
        <w:tc>
          <w:tcPr>
            <w:tcW w:w="1350" w:type="dxa"/>
            <w:tcBorders>
              <w:top w:val="nil"/>
              <w:left w:val="nil"/>
              <w:bottom w:val="single" w:sz="4" w:space="0" w:color="auto"/>
              <w:right w:val="single" w:sz="4" w:space="0" w:color="auto"/>
            </w:tcBorders>
            <w:shd w:val="clear" w:color="auto" w:fill="auto"/>
            <w:vAlign w:val="center"/>
          </w:tcPr>
          <w:p w14:paraId="289F679D" w14:textId="5D3D76F2" w:rsidR="00172571" w:rsidRPr="004B31D4"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1,514</w:t>
            </w:r>
          </w:p>
        </w:tc>
        <w:tc>
          <w:tcPr>
            <w:tcW w:w="1350" w:type="dxa"/>
            <w:tcBorders>
              <w:top w:val="single" w:sz="4" w:space="0" w:color="auto"/>
              <w:left w:val="nil"/>
              <w:bottom w:val="single" w:sz="4" w:space="0" w:color="auto"/>
              <w:right w:val="single" w:sz="4" w:space="0" w:color="auto"/>
            </w:tcBorders>
            <w:vAlign w:val="center"/>
          </w:tcPr>
          <w:p w14:paraId="0656CBBB" w14:textId="77AF62B0" w:rsidR="00172571" w:rsidRPr="004B31D4"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96.7%</w:t>
            </w:r>
          </w:p>
        </w:tc>
        <w:tc>
          <w:tcPr>
            <w:tcW w:w="1530" w:type="dxa"/>
            <w:tcBorders>
              <w:top w:val="nil"/>
              <w:left w:val="single" w:sz="4" w:space="0" w:color="auto"/>
              <w:bottom w:val="single" w:sz="4" w:space="0" w:color="auto"/>
              <w:right w:val="single" w:sz="4" w:space="0" w:color="auto"/>
            </w:tcBorders>
            <w:vAlign w:val="center"/>
          </w:tcPr>
          <w:p w14:paraId="4AD26DCF" w14:textId="05A6F994" w:rsidR="00172571" w:rsidRPr="004B31D4" w:rsidRDefault="000A2DBA">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w:t>
            </w:r>
            <w:r w:rsidR="00172571" w:rsidRPr="00847706">
              <w:rPr>
                <w:rFonts w:ascii="Cambria" w:hAnsi="Cambria" w:cs="Calibri"/>
                <w:sz w:val="20"/>
                <w:szCs w:val="20"/>
              </w:rPr>
              <w:t>$67,547</w:t>
            </w:r>
          </w:p>
        </w:tc>
        <w:tc>
          <w:tcPr>
            <w:tcW w:w="1350" w:type="dxa"/>
            <w:tcBorders>
              <w:top w:val="nil"/>
              <w:left w:val="nil"/>
              <w:bottom w:val="single" w:sz="4" w:space="0" w:color="auto"/>
              <w:right w:val="single" w:sz="4" w:space="0" w:color="auto"/>
            </w:tcBorders>
            <w:shd w:val="clear" w:color="auto" w:fill="auto"/>
            <w:vAlign w:val="center"/>
          </w:tcPr>
          <w:p w14:paraId="05CB681F" w14:textId="3E92B10B" w:rsidR="00172571" w:rsidRPr="004B31D4"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89.6%</w:t>
            </w:r>
          </w:p>
        </w:tc>
        <w:tc>
          <w:tcPr>
            <w:tcW w:w="1260" w:type="dxa"/>
            <w:tcBorders>
              <w:top w:val="nil"/>
              <w:left w:val="nil"/>
              <w:bottom w:val="single" w:sz="4" w:space="0" w:color="auto"/>
              <w:right w:val="single" w:sz="4" w:space="0" w:color="auto"/>
            </w:tcBorders>
            <w:vAlign w:val="center"/>
          </w:tcPr>
          <w:p w14:paraId="676614D2" w14:textId="4622F5D5" w:rsidR="00172571" w:rsidRPr="004B31D4" w:rsidRDefault="000A2DBA">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w:t>
            </w:r>
            <w:r w:rsidR="00172571" w:rsidRPr="00847706">
              <w:rPr>
                <w:rFonts w:ascii="Cambria" w:hAnsi="Cambria" w:cs="Calibri"/>
                <w:sz w:val="20"/>
                <w:szCs w:val="20"/>
              </w:rPr>
              <w:t>$45</w:t>
            </w:r>
          </w:p>
        </w:tc>
      </w:tr>
      <w:tr w:rsidR="00172571" w:rsidRPr="00D5431D" w14:paraId="43E71982" w14:textId="77777777" w:rsidTr="00333803">
        <w:trPr>
          <w:trHeight w:val="41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B7705A8"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Mutual Fund Services</w:t>
            </w:r>
          </w:p>
        </w:tc>
        <w:tc>
          <w:tcPr>
            <w:tcW w:w="1350" w:type="dxa"/>
            <w:tcBorders>
              <w:top w:val="nil"/>
              <w:left w:val="nil"/>
              <w:bottom w:val="single" w:sz="4" w:space="0" w:color="auto"/>
              <w:right w:val="single" w:sz="4" w:space="0" w:color="auto"/>
            </w:tcBorders>
            <w:shd w:val="clear" w:color="auto" w:fill="auto"/>
            <w:vAlign w:val="center"/>
          </w:tcPr>
          <w:p w14:paraId="7020B70D" w14:textId="1A090CEA" w:rsidR="00172571" w:rsidRPr="004B31D4"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52</w:t>
            </w:r>
          </w:p>
        </w:tc>
        <w:tc>
          <w:tcPr>
            <w:tcW w:w="1350" w:type="dxa"/>
            <w:tcBorders>
              <w:top w:val="single" w:sz="4" w:space="0" w:color="auto"/>
              <w:left w:val="nil"/>
              <w:bottom w:val="single" w:sz="4" w:space="0" w:color="auto"/>
              <w:right w:val="single" w:sz="4" w:space="0" w:color="auto"/>
            </w:tcBorders>
            <w:vAlign w:val="center"/>
          </w:tcPr>
          <w:p w14:paraId="321B5054" w14:textId="72C8487B" w:rsidR="00172571" w:rsidRPr="004B31D4"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3.3%</w:t>
            </w:r>
          </w:p>
        </w:tc>
        <w:tc>
          <w:tcPr>
            <w:tcW w:w="1530" w:type="dxa"/>
            <w:tcBorders>
              <w:top w:val="nil"/>
              <w:left w:val="single" w:sz="4" w:space="0" w:color="auto"/>
              <w:bottom w:val="single" w:sz="4" w:space="0" w:color="auto"/>
              <w:right w:val="single" w:sz="4" w:space="0" w:color="auto"/>
            </w:tcBorders>
            <w:vAlign w:val="center"/>
          </w:tcPr>
          <w:p w14:paraId="5CE581DA" w14:textId="71C15A36" w:rsidR="00172571" w:rsidRPr="004B31D4" w:rsidRDefault="000A2DBA">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w:t>
            </w:r>
            <w:r w:rsidR="00172571" w:rsidRPr="00847706">
              <w:rPr>
                <w:rFonts w:ascii="Cambria" w:hAnsi="Cambria" w:cs="Calibri"/>
                <w:sz w:val="20"/>
                <w:szCs w:val="20"/>
              </w:rPr>
              <w:t>$7,836</w:t>
            </w:r>
          </w:p>
        </w:tc>
        <w:tc>
          <w:tcPr>
            <w:tcW w:w="1350" w:type="dxa"/>
            <w:tcBorders>
              <w:top w:val="nil"/>
              <w:left w:val="nil"/>
              <w:bottom w:val="single" w:sz="4" w:space="0" w:color="auto"/>
              <w:right w:val="single" w:sz="4" w:space="0" w:color="auto"/>
            </w:tcBorders>
            <w:shd w:val="clear" w:color="auto" w:fill="auto"/>
            <w:vAlign w:val="center"/>
          </w:tcPr>
          <w:p w14:paraId="6BB37224" w14:textId="67525753" w:rsidR="00172571" w:rsidRPr="004B31D4"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10.4%</w:t>
            </w:r>
          </w:p>
        </w:tc>
        <w:tc>
          <w:tcPr>
            <w:tcW w:w="1260" w:type="dxa"/>
            <w:tcBorders>
              <w:top w:val="nil"/>
              <w:left w:val="nil"/>
              <w:bottom w:val="single" w:sz="4" w:space="0" w:color="auto"/>
              <w:right w:val="single" w:sz="4" w:space="0" w:color="auto"/>
            </w:tcBorders>
            <w:vAlign w:val="center"/>
          </w:tcPr>
          <w:p w14:paraId="5E2EC923" w14:textId="463DD56E" w:rsidR="00172571" w:rsidRPr="004B31D4" w:rsidRDefault="000A2DBA">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w:t>
            </w:r>
            <w:r w:rsidR="00172571" w:rsidRPr="00847706">
              <w:rPr>
                <w:rFonts w:ascii="Cambria" w:hAnsi="Cambria" w:cs="Calibri"/>
                <w:sz w:val="20"/>
                <w:szCs w:val="20"/>
              </w:rPr>
              <w:t>$151</w:t>
            </w:r>
          </w:p>
        </w:tc>
      </w:tr>
      <w:tr w:rsidR="00172571" w:rsidRPr="00D5431D" w14:paraId="6DB5F234" w14:textId="77777777" w:rsidTr="00333803">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3CA693F" w14:textId="77777777" w:rsidR="00172571" w:rsidRPr="00D5431D" w:rsidRDefault="00172571" w:rsidP="00172571">
            <w:pPr>
              <w:spacing w:after="0" w:line="240" w:lineRule="auto"/>
              <w:rPr>
                <w:rFonts w:ascii="Cambria" w:eastAsia="Times New Roman" w:hAnsi="Cambria" w:cs="Helvetica"/>
                <w:color w:val="000000"/>
                <w:sz w:val="20"/>
                <w:szCs w:val="20"/>
                <w:lang w:eastAsia="ko-KR"/>
              </w:rPr>
            </w:pPr>
            <w:r w:rsidRPr="00D5431D">
              <w:rPr>
                <w:rFonts w:ascii="Cambria" w:eastAsia="Times New Roman" w:hAnsi="Cambria" w:cs="Helvetica"/>
                <w:color w:val="000000"/>
                <w:sz w:val="20"/>
                <w:szCs w:val="20"/>
                <w:lang w:eastAsia="ko-KR"/>
              </w:rPr>
              <w:t>Total or average</w:t>
            </w:r>
          </w:p>
        </w:tc>
        <w:tc>
          <w:tcPr>
            <w:tcW w:w="1350" w:type="dxa"/>
            <w:tcBorders>
              <w:top w:val="nil"/>
              <w:left w:val="nil"/>
              <w:bottom w:val="single" w:sz="4" w:space="0" w:color="auto"/>
              <w:right w:val="single" w:sz="4" w:space="0" w:color="auto"/>
            </w:tcBorders>
            <w:shd w:val="clear" w:color="auto" w:fill="auto"/>
            <w:vAlign w:val="center"/>
          </w:tcPr>
          <w:p w14:paraId="57344145" w14:textId="68412F2B" w:rsidR="00172571" w:rsidRPr="004B31D4"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1,566</w:t>
            </w:r>
          </w:p>
        </w:tc>
        <w:tc>
          <w:tcPr>
            <w:tcW w:w="1350" w:type="dxa"/>
            <w:tcBorders>
              <w:top w:val="single" w:sz="4" w:space="0" w:color="auto"/>
              <w:left w:val="nil"/>
              <w:bottom w:val="single" w:sz="4" w:space="0" w:color="auto"/>
              <w:right w:val="single" w:sz="4" w:space="0" w:color="auto"/>
            </w:tcBorders>
            <w:vAlign w:val="center"/>
          </w:tcPr>
          <w:p w14:paraId="0AB8D46E" w14:textId="03681742" w:rsidR="00172571" w:rsidRPr="004B31D4" w:rsidRDefault="00172571">
            <w:pPr>
              <w:spacing w:after="0" w:line="240" w:lineRule="auto"/>
              <w:jc w:val="center"/>
              <w:rPr>
                <w:rFonts w:ascii="Cambria" w:eastAsia="Times New Roman" w:hAnsi="Cambria" w:cs="Helvetica"/>
                <w:sz w:val="20"/>
                <w:szCs w:val="20"/>
                <w:lang w:eastAsia="ko-KR"/>
              </w:rPr>
            </w:pPr>
            <w:r w:rsidRPr="00847706">
              <w:rPr>
                <w:rFonts w:ascii="Cambria" w:hAnsi="Cambria" w:cs="Calibri"/>
                <w:color w:val="000000"/>
                <w:sz w:val="20"/>
                <w:szCs w:val="20"/>
              </w:rPr>
              <w:t>100.0%</w:t>
            </w:r>
          </w:p>
        </w:tc>
        <w:tc>
          <w:tcPr>
            <w:tcW w:w="1530" w:type="dxa"/>
            <w:tcBorders>
              <w:top w:val="nil"/>
              <w:left w:val="single" w:sz="4" w:space="0" w:color="auto"/>
              <w:bottom w:val="single" w:sz="4" w:space="0" w:color="auto"/>
              <w:right w:val="single" w:sz="4" w:space="0" w:color="auto"/>
            </w:tcBorders>
            <w:vAlign w:val="center"/>
          </w:tcPr>
          <w:p w14:paraId="6FBA23B3" w14:textId="21AEB358" w:rsidR="00172571" w:rsidRPr="004B31D4" w:rsidRDefault="000A2DBA">
            <w:pPr>
              <w:spacing w:after="0" w:line="240" w:lineRule="auto"/>
              <w:jc w:val="center"/>
              <w:rPr>
                <w:rFonts w:ascii="Cambria" w:eastAsia="Times New Roman" w:hAnsi="Cambria" w:cs="Helvetica"/>
                <w:sz w:val="20"/>
                <w:szCs w:val="20"/>
                <w:lang w:eastAsia="ko-KR"/>
              </w:rPr>
            </w:pPr>
            <w:r w:rsidRPr="00847706">
              <w:rPr>
                <w:rFonts w:ascii="Cambria" w:hAnsi="Cambria" w:cs="Calibri"/>
                <w:sz w:val="20"/>
                <w:szCs w:val="20"/>
              </w:rPr>
              <w:t>-</w:t>
            </w:r>
            <w:r w:rsidR="00172571" w:rsidRPr="00847706">
              <w:rPr>
                <w:rFonts w:ascii="Cambria" w:hAnsi="Cambria" w:cs="Calibri"/>
                <w:sz w:val="20"/>
                <w:szCs w:val="20"/>
              </w:rPr>
              <w:t>$75,383</w:t>
            </w:r>
          </w:p>
        </w:tc>
        <w:tc>
          <w:tcPr>
            <w:tcW w:w="1350" w:type="dxa"/>
            <w:tcBorders>
              <w:top w:val="nil"/>
              <w:left w:val="nil"/>
              <w:bottom w:val="single" w:sz="4" w:space="0" w:color="auto"/>
              <w:right w:val="single" w:sz="4" w:space="0" w:color="auto"/>
            </w:tcBorders>
            <w:shd w:val="clear" w:color="auto" w:fill="auto"/>
            <w:vAlign w:val="center"/>
          </w:tcPr>
          <w:p w14:paraId="52F87C84" w14:textId="5268CFC6" w:rsidR="00172571" w:rsidRPr="004B31D4" w:rsidRDefault="00172571">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color w:val="000000"/>
                <w:sz w:val="20"/>
                <w:szCs w:val="20"/>
              </w:rPr>
              <w:t>100.0%</w:t>
            </w:r>
          </w:p>
        </w:tc>
        <w:tc>
          <w:tcPr>
            <w:tcW w:w="1260" w:type="dxa"/>
            <w:tcBorders>
              <w:top w:val="nil"/>
              <w:left w:val="nil"/>
              <w:bottom w:val="single" w:sz="4" w:space="0" w:color="auto"/>
              <w:right w:val="single" w:sz="4" w:space="0" w:color="auto"/>
            </w:tcBorders>
            <w:vAlign w:val="center"/>
          </w:tcPr>
          <w:p w14:paraId="21CDC2C6" w14:textId="4D31A9C3" w:rsidR="00172571" w:rsidRPr="004B31D4" w:rsidRDefault="000A2DBA">
            <w:pPr>
              <w:spacing w:after="0" w:line="240" w:lineRule="auto"/>
              <w:jc w:val="center"/>
              <w:rPr>
                <w:rFonts w:ascii="Cambria" w:eastAsia="Times New Roman" w:hAnsi="Cambria" w:cs="Helvetica"/>
                <w:color w:val="000000"/>
                <w:sz w:val="20"/>
                <w:szCs w:val="20"/>
                <w:lang w:eastAsia="ko-KR"/>
              </w:rPr>
            </w:pPr>
            <w:r w:rsidRPr="00847706">
              <w:rPr>
                <w:rFonts w:ascii="Cambria" w:hAnsi="Cambria" w:cs="Calibri"/>
                <w:sz w:val="20"/>
                <w:szCs w:val="20"/>
              </w:rPr>
              <w:t>-</w:t>
            </w:r>
            <w:r w:rsidR="00172571" w:rsidRPr="00847706">
              <w:rPr>
                <w:rFonts w:ascii="Cambria" w:hAnsi="Cambria" w:cs="Calibri"/>
                <w:sz w:val="20"/>
                <w:szCs w:val="20"/>
              </w:rPr>
              <w:t>$48</w:t>
            </w:r>
          </w:p>
        </w:tc>
      </w:tr>
    </w:tbl>
    <w:p w14:paraId="7819B1A5" w14:textId="77777777" w:rsidR="00172571" w:rsidRPr="006E678E" w:rsidRDefault="00172571" w:rsidP="00172571">
      <w:pPr>
        <w:tabs>
          <w:tab w:val="left" w:pos="7050"/>
        </w:tabs>
        <w:spacing w:after="0"/>
        <w:rPr>
          <w:rFonts w:asciiTheme="majorHAnsi" w:eastAsiaTheme="majorEastAsia" w:hAnsiTheme="majorHAnsi" w:cstheme="majorBidi"/>
          <w:bCs/>
          <w:color w:val="000000" w:themeColor="text1"/>
          <w:sz w:val="18"/>
          <w:szCs w:val="18"/>
        </w:rPr>
      </w:pPr>
      <w:r w:rsidRPr="006E678E">
        <w:rPr>
          <w:rFonts w:asciiTheme="majorHAnsi" w:eastAsiaTheme="majorEastAsia" w:hAnsiTheme="majorHAnsi" w:cstheme="majorBidi"/>
          <w:bCs/>
          <w:color w:val="000000" w:themeColor="text1"/>
          <w:sz w:val="18"/>
          <w:szCs w:val="18"/>
        </w:rPr>
        <w:t xml:space="preserve">  Source: Department of Revenue (2017 corporate excise return)</w:t>
      </w:r>
    </w:p>
    <w:p w14:paraId="0CC0F16B" w14:textId="77777777" w:rsidR="00172571" w:rsidRPr="006E678E" w:rsidRDefault="00172571" w:rsidP="00172571">
      <w:pPr>
        <w:spacing w:after="0"/>
        <w:rPr>
          <w:rFonts w:asciiTheme="majorHAnsi" w:hAnsiTheme="majorHAnsi"/>
          <w:bCs/>
          <w:sz w:val="18"/>
          <w:szCs w:val="18"/>
        </w:rPr>
      </w:pPr>
      <w:r w:rsidRPr="006E678E">
        <w:rPr>
          <w:rFonts w:asciiTheme="majorHAnsi" w:eastAsiaTheme="majorEastAsia" w:hAnsiTheme="majorHAnsi" w:cstheme="majorBidi"/>
          <w:bCs/>
          <w:color w:val="000000" w:themeColor="text1"/>
          <w:sz w:val="18"/>
          <w:szCs w:val="18"/>
        </w:rPr>
        <w:t xml:space="preserve">  Note: 1. The data</w:t>
      </w:r>
      <w:r w:rsidRPr="006E678E">
        <w:rPr>
          <w:rFonts w:asciiTheme="majorHAnsi" w:hAnsiTheme="majorHAnsi"/>
          <w:bCs/>
          <w:sz w:val="18"/>
          <w:szCs w:val="18"/>
        </w:rPr>
        <w:t xml:space="preserve"> are preliminary and subject to </w:t>
      </w:r>
      <w:r w:rsidRPr="006E678E">
        <w:rPr>
          <w:rFonts w:ascii="Cambria" w:eastAsia="Times New Roman" w:hAnsi="Cambria" w:cs="Helvetica"/>
          <w:color w:val="000000"/>
          <w:sz w:val="18"/>
          <w:szCs w:val="18"/>
          <w:lang w:eastAsia="ko-KR"/>
        </w:rPr>
        <w:t>change</w:t>
      </w:r>
      <w:r w:rsidRPr="006E678E">
        <w:rPr>
          <w:rFonts w:asciiTheme="majorHAnsi" w:hAnsiTheme="majorHAnsi"/>
          <w:bCs/>
          <w:sz w:val="18"/>
          <w:szCs w:val="18"/>
        </w:rPr>
        <w:t xml:space="preserve">. </w:t>
      </w:r>
    </w:p>
    <w:p w14:paraId="60FA4DB1" w14:textId="3AA367F1" w:rsidR="00172571" w:rsidRPr="006E678E" w:rsidRDefault="006E678E" w:rsidP="00172571">
      <w:pPr>
        <w:spacing w:after="0"/>
        <w:rPr>
          <w:rFonts w:asciiTheme="majorHAnsi" w:hAnsiTheme="majorHAnsi"/>
          <w:bCs/>
          <w:sz w:val="18"/>
          <w:szCs w:val="18"/>
        </w:rPr>
      </w:pPr>
      <w:r w:rsidRPr="006E678E">
        <w:rPr>
          <w:rFonts w:asciiTheme="majorHAnsi" w:hAnsiTheme="majorHAnsi"/>
          <w:bCs/>
          <w:sz w:val="18"/>
          <w:szCs w:val="18"/>
        </w:rPr>
        <w:t xml:space="preserve">             </w:t>
      </w:r>
      <w:r w:rsidR="00172571" w:rsidRPr="006E678E">
        <w:rPr>
          <w:rFonts w:asciiTheme="majorHAnsi" w:hAnsiTheme="majorHAnsi"/>
          <w:bCs/>
          <w:sz w:val="18"/>
          <w:szCs w:val="18"/>
        </w:rPr>
        <w:t xml:space="preserve">2. </w:t>
      </w:r>
      <w:r w:rsidR="00BB1B5B" w:rsidRPr="006E678E">
        <w:rPr>
          <w:rFonts w:asciiTheme="majorHAnsi" w:hAnsiTheme="majorHAnsi"/>
          <w:bCs/>
          <w:sz w:val="18"/>
          <w:szCs w:val="18"/>
        </w:rPr>
        <w:t>Negative numbers indicate that taxpayers owe less tax using the DSF apportionment than using SSF apportionment</w:t>
      </w:r>
      <w:r w:rsidR="001A4D37">
        <w:rPr>
          <w:rFonts w:asciiTheme="majorHAnsi" w:hAnsiTheme="majorHAnsi"/>
          <w:bCs/>
          <w:sz w:val="18"/>
          <w:szCs w:val="18"/>
        </w:rPr>
        <w:t>.</w:t>
      </w:r>
    </w:p>
    <w:p w14:paraId="0DCE931A" w14:textId="49F782C6" w:rsidR="0085547A" w:rsidRDefault="0085547A">
      <w:pPr>
        <w:rPr>
          <w:rFonts w:asciiTheme="majorHAnsi" w:hAnsiTheme="majorHAnsi"/>
          <w:b/>
          <w:sz w:val="32"/>
          <w:szCs w:val="32"/>
        </w:rPr>
      </w:pPr>
      <w:r>
        <w:rPr>
          <w:rFonts w:asciiTheme="majorHAnsi" w:hAnsiTheme="majorHAnsi"/>
          <w:b/>
          <w:sz w:val="32"/>
          <w:szCs w:val="32"/>
        </w:rPr>
        <w:br w:type="page"/>
      </w:r>
    </w:p>
    <w:p w14:paraId="53ED47CB" w14:textId="3F4DD901" w:rsidR="00D27980" w:rsidRPr="008C67C1" w:rsidRDefault="00D27980" w:rsidP="00D27980">
      <w:pPr>
        <w:jc w:val="center"/>
        <w:rPr>
          <w:rFonts w:asciiTheme="majorHAnsi" w:hAnsiTheme="majorHAnsi"/>
          <w:b/>
          <w:sz w:val="32"/>
          <w:szCs w:val="32"/>
        </w:rPr>
      </w:pPr>
      <w:r w:rsidRPr="008C67C1">
        <w:rPr>
          <w:rFonts w:asciiTheme="majorHAnsi" w:hAnsiTheme="majorHAnsi"/>
          <w:b/>
          <w:sz w:val="32"/>
          <w:szCs w:val="32"/>
        </w:rPr>
        <w:lastRenderedPageBreak/>
        <w:t>Appendix</w:t>
      </w:r>
      <w:r w:rsidR="00062EA9">
        <w:rPr>
          <w:rFonts w:asciiTheme="majorHAnsi" w:hAnsiTheme="majorHAnsi"/>
          <w:b/>
          <w:sz w:val="32"/>
          <w:szCs w:val="32"/>
        </w:rPr>
        <w:t xml:space="preserve"> 3</w:t>
      </w:r>
      <w:r w:rsidRPr="008C67C1">
        <w:rPr>
          <w:rFonts w:asciiTheme="majorHAnsi" w:hAnsiTheme="majorHAnsi"/>
          <w:b/>
          <w:sz w:val="32"/>
          <w:szCs w:val="32"/>
        </w:rPr>
        <w:t xml:space="preserve">: </w:t>
      </w:r>
      <w:r>
        <w:rPr>
          <w:rFonts w:asciiTheme="majorHAnsi" w:hAnsiTheme="majorHAnsi"/>
          <w:b/>
          <w:sz w:val="32"/>
          <w:szCs w:val="32"/>
        </w:rPr>
        <w:t>Further</w:t>
      </w:r>
      <w:r w:rsidRPr="008C67C1">
        <w:rPr>
          <w:rFonts w:asciiTheme="majorHAnsi" w:hAnsiTheme="majorHAnsi"/>
          <w:b/>
          <w:sz w:val="32"/>
          <w:szCs w:val="32"/>
        </w:rPr>
        <w:t xml:space="preserve"> Discussion on Costs and Benefits</w:t>
      </w:r>
    </w:p>
    <w:p w14:paraId="50E81528" w14:textId="2F498215" w:rsidR="00D27980" w:rsidRDefault="00D27980" w:rsidP="00D27980">
      <w:pPr>
        <w:rPr>
          <w:rFonts w:asciiTheme="majorHAnsi" w:hAnsiTheme="majorHAnsi"/>
          <w:bCs/>
          <w:sz w:val="24"/>
          <w:szCs w:val="24"/>
        </w:rPr>
      </w:pPr>
      <w:r>
        <w:rPr>
          <w:rFonts w:asciiTheme="majorHAnsi" w:hAnsiTheme="majorHAnsi"/>
          <w:bCs/>
          <w:sz w:val="24"/>
          <w:szCs w:val="24"/>
        </w:rPr>
        <w:t>The text of the report discusses the direct costs (to the Commonwealth, or more specifically, to the Massachusetts residents or businesses who benefit from state expenditures</w:t>
      </w:r>
      <w:r>
        <w:rPr>
          <w:rStyle w:val="FootnoteReference"/>
          <w:rFonts w:asciiTheme="majorHAnsi" w:hAnsiTheme="majorHAnsi"/>
          <w:bCs/>
          <w:sz w:val="24"/>
          <w:szCs w:val="24"/>
        </w:rPr>
        <w:footnoteReference w:id="9"/>
      </w:r>
      <w:r>
        <w:rPr>
          <w:rFonts w:asciiTheme="majorHAnsi" w:hAnsiTheme="majorHAnsi"/>
          <w:bCs/>
          <w:sz w:val="24"/>
          <w:szCs w:val="24"/>
        </w:rPr>
        <w:t xml:space="preserve">) and </w:t>
      </w:r>
      <w:r w:rsidR="006162D2">
        <w:rPr>
          <w:rFonts w:asciiTheme="majorHAnsi" w:hAnsiTheme="majorHAnsi"/>
          <w:bCs/>
          <w:sz w:val="24"/>
          <w:szCs w:val="24"/>
        </w:rPr>
        <w:t xml:space="preserve">net </w:t>
      </w:r>
      <w:r>
        <w:rPr>
          <w:rFonts w:asciiTheme="majorHAnsi" w:hAnsiTheme="majorHAnsi"/>
          <w:bCs/>
          <w:sz w:val="24"/>
          <w:szCs w:val="24"/>
        </w:rPr>
        <w:t>direct benefits</w:t>
      </w:r>
      <w:r w:rsidR="006162D2">
        <w:rPr>
          <w:rStyle w:val="FootnoteReference"/>
          <w:rFonts w:asciiTheme="majorHAnsi" w:hAnsiTheme="majorHAnsi"/>
          <w:bCs/>
          <w:sz w:val="24"/>
          <w:szCs w:val="24"/>
        </w:rPr>
        <w:footnoteReference w:id="10"/>
      </w:r>
      <w:r>
        <w:rPr>
          <w:rFonts w:asciiTheme="majorHAnsi" w:hAnsiTheme="majorHAnsi"/>
          <w:bCs/>
          <w:sz w:val="24"/>
          <w:szCs w:val="24"/>
        </w:rPr>
        <w:t xml:space="preserve"> of this tax expenditure. It also summarizes indirect and induced costs and benefits associated with this tax expenditure.  This appendix will discuss the indirect and induced, as well as other costs and benefits in more detail.</w:t>
      </w:r>
    </w:p>
    <w:p w14:paraId="72807446" w14:textId="77777777" w:rsidR="00D27980" w:rsidRDefault="00D27980" w:rsidP="00D27980">
      <w:pPr>
        <w:rPr>
          <w:rFonts w:asciiTheme="majorHAnsi" w:hAnsiTheme="majorHAnsi"/>
          <w:b/>
          <w:sz w:val="24"/>
          <w:szCs w:val="24"/>
        </w:rPr>
      </w:pPr>
      <w:r w:rsidRPr="00782E31">
        <w:rPr>
          <w:rFonts w:asciiTheme="majorHAnsi" w:hAnsiTheme="majorHAnsi"/>
          <w:b/>
          <w:sz w:val="24"/>
          <w:szCs w:val="24"/>
        </w:rPr>
        <w:t>Other costs</w:t>
      </w:r>
      <w:r>
        <w:rPr>
          <w:rFonts w:asciiTheme="majorHAnsi" w:hAnsiTheme="majorHAnsi"/>
          <w:b/>
          <w:sz w:val="24"/>
          <w:szCs w:val="24"/>
        </w:rPr>
        <w:t xml:space="preserve"> and benefits</w:t>
      </w:r>
      <w:r w:rsidRPr="00A046B8">
        <w:rPr>
          <w:rFonts w:asciiTheme="majorHAnsi" w:hAnsiTheme="majorHAnsi"/>
          <w:b/>
          <w:sz w:val="24"/>
          <w:szCs w:val="24"/>
        </w:rPr>
        <w:t>:  Indirect and Induced</w:t>
      </w:r>
    </w:p>
    <w:p w14:paraId="44F98BFA" w14:textId="77777777" w:rsidR="00D27980" w:rsidRPr="00EB68D5" w:rsidRDefault="00D27980" w:rsidP="00D27980">
      <w:pPr>
        <w:spacing w:after="0"/>
        <w:rPr>
          <w:rFonts w:asciiTheme="majorHAnsi" w:eastAsiaTheme="majorEastAsia" w:hAnsiTheme="majorHAnsi" w:cstheme="majorBidi"/>
          <w:bCs/>
          <w:i/>
          <w:iCs/>
          <w:color w:val="000000" w:themeColor="text1"/>
          <w:sz w:val="24"/>
          <w:szCs w:val="24"/>
        </w:rPr>
      </w:pPr>
      <w:r w:rsidRPr="00EB68D5">
        <w:rPr>
          <w:rFonts w:asciiTheme="majorHAnsi" w:eastAsiaTheme="majorEastAsia" w:hAnsiTheme="majorHAnsi" w:cstheme="majorBidi"/>
          <w:bCs/>
          <w:i/>
          <w:iCs/>
          <w:color w:val="000000" w:themeColor="text1"/>
          <w:sz w:val="24"/>
          <w:szCs w:val="24"/>
        </w:rPr>
        <w:t>Indirect and Induced Costs</w:t>
      </w:r>
    </w:p>
    <w:p w14:paraId="347BDB0D" w14:textId="49842281" w:rsidR="00D27980" w:rsidRDefault="00D27980" w:rsidP="00D27980">
      <w:pPr>
        <w:spacing w:after="0"/>
        <w:rPr>
          <w:rFonts w:asciiTheme="majorHAnsi" w:eastAsiaTheme="majorEastAsia" w:hAnsiTheme="majorHAnsi" w:cstheme="majorBidi"/>
          <w:bCs/>
          <w:color w:val="000000" w:themeColor="text1"/>
          <w:sz w:val="24"/>
          <w:szCs w:val="24"/>
        </w:rPr>
      </w:pPr>
      <w:r w:rsidRPr="00DF1213">
        <w:rPr>
          <w:rFonts w:asciiTheme="majorHAnsi" w:eastAsiaTheme="majorEastAsia" w:hAnsiTheme="majorHAnsi" w:cstheme="majorBidi"/>
          <w:bCs/>
          <w:color w:val="000000" w:themeColor="text1"/>
          <w:sz w:val="24"/>
          <w:szCs w:val="24"/>
        </w:rPr>
        <w:t xml:space="preserve">Regardless of its size, </w:t>
      </w:r>
      <w:r>
        <w:rPr>
          <w:rFonts w:asciiTheme="majorHAnsi" w:eastAsiaTheme="majorEastAsia" w:hAnsiTheme="majorHAnsi" w:cstheme="majorBidi"/>
          <w:bCs/>
          <w:color w:val="000000" w:themeColor="text1"/>
          <w:sz w:val="24"/>
          <w:szCs w:val="24"/>
        </w:rPr>
        <w:t xml:space="preserve">the existence of </w:t>
      </w:r>
      <w:r w:rsidRPr="00DF1213">
        <w:rPr>
          <w:rFonts w:asciiTheme="majorHAnsi" w:eastAsiaTheme="majorEastAsia" w:hAnsiTheme="majorHAnsi" w:cstheme="majorBidi"/>
          <w:bCs/>
          <w:color w:val="000000" w:themeColor="text1"/>
          <w:sz w:val="24"/>
          <w:szCs w:val="24"/>
        </w:rPr>
        <w:t xml:space="preserve">a specific tax incentive means less </w:t>
      </w:r>
      <w:r>
        <w:rPr>
          <w:rFonts w:asciiTheme="majorHAnsi" w:eastAsiaTheme="majorEastAsia" w:hAnsiTheme="majorHAnsi" w:cstheme="majorBidi"/>
          <w:bCs/>
          <w:color w:val="000000" w:themeColor="text1"/>
          <w:sz w:val="24"/>
          <w:szCs w:val="24"/>
        </w:rPr>
        <w:t xml:space="preserve">revenue for other </w:t>
      </w:r>
      <w:r w:rsidRPr="00DF1213">
        <w:rPr>
          <w:rFonts w:asciiTheme="majorHAnsi" w:eastAsiaTheme="majorEastAsia" w:hAnsiTheme="majorHAnsi" w:cstheme="majorBidi"/>
          <w:bCs/>
          <w:color w:val="000000" w:themeColor="text1"/>
          <w:sz w:val="24"/>
          <w:szCs w:val="24"/>
        </w:rPr>
        <w:t xml:space="preserve">spending </w:t>
      </w:r>
      <w:r>
        <w:rPr>
          <w:rFonts w:asciiTheme="majorHAnsi" w:eastAsiaTheme="majorEastAsia" w:hAnsiTheme="majorHAnsi" w:cstheme="majorBidi"/>
          <w:bCs/>
          <w:color w:val="000000" w:themeColor="text1"/>
          <w:sz w:val="24"/>
          <w:szCs w:val="24"/>
        </w:rPr>
        <w:t>given</w:t>
      </w:r>
      <w:r w:rsidRPr="00DF1213">
        <w:rPr>
          <w:rFonts w:asciiTheme="majorHAnsi" w:eastAsiaTheme="majorEastAsia" w:hAnsiTheme="majorHAnsi" w:cstheme="majorBidi"/>
          <w:bCs/>
          <w:color w:val="000000" w:themeColor="text1"/>
          <w:sz w:val="24"/>
          <w:szCs w:val="24"/>
        </w:rPr>
        <w:t xml:space="preserve"> the Commonwealth</w:t>
      </w:r>
      <w:r>
        <w:rPr>
          <w:rFonts w:asciiTheme="majorHAnsi" w:eastAsiaTheme="majorEastAsia" w:hAnsiTheme="majorHAnsi" w:cstheme="majorBidi"/>
          <w:bCs/>
          <w:color w:val="000000" w:themeColor="text1"/>
          <w:sz w:val="24"/>
          <w:szCs w:val="24"/>
        </w:rPr>
        <w:t>’s</w:t>
      </w:r>
      <w:r w:rsidRPr="009A02FB">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balanced budget requirement, assuming that there is no increase in state revenues. R</w:t>
      </w:r>
      <w:r w:rsidRPr="00DF1213">
        <w:rPr>
          <w:rFonts w:asciiTheme="majorHAnsi" w:eastAsiaTheme="majorEastAsia" w:hAnsiTheme="majorHAnsi" w:cstheme="majorBidi"/>
          <w:bCs/>
          <w:color w:val="000000" w:themeColor="text1"/>
          <w:sz w:val="24"/>
          <w:szCs w:val="24"/>
        </w:rPr>
        <w:t xml:space="preserve">educed spending on </w:t>
      </w:r>
      <w:r>
        <w:rPr>
          <w:rFonts w:asciiTheme="majorHAnsi" w:eastAsiaTheme="majorEastAsia" w:hAnsiTheme="majorHAnsi" w:cstheme="majorBidi"/>
          <w:bCs/>
          <w:color w:val="000000" w:themeColor="text1"/>
          <w:sz w:val="24"/>
          <w:szCs w:val="24"/>
        </w:rPr>
        <w:t>other</w:t>
      </w:r>
      <w:r w:rsidRPr="00DF1213">
        <w:rPr>
          <w:rFonts w:asciiTheme="majorHAnsi" w:eastAsiaTheme="majorEastAsia" w:hAnsiTheme="majorHAnsi" w:cstheme="majorBidi"/>
          <w:bCs/>
          <w:color w:val="000000" w:themeColor="text1"/>
          <w:sz w:val="24"/>
          <w:szCs w:val="24"/>
        </w:rPr>
        <w:t xml:space="preserve"> expenditure </w:t>
      </w:r>
      <w:r>
        <w:rPr>
          <w:rFonts w:asciiTheme="majorHAnsi" w:eastAsiaTheme="majorEastAsia" w:hAnsiTheme="majorHAnsi" w:cstheme="majorBidi"/>
          <w:bCs/>
          <w:color w:val="000000" w:themeColor="text1"/>
          <w:sz w:val="24"/>
          <w:szCs w:val="24"/>
        </w:rPr>
        <w:t>items</w:t>
      </w:r>
      <w:r w:rsidRPr="00DF1213">
        <w:rPr>
          <w:rFonts w:asciiTheme="majorHAnsi" w:eastAsiaTheme="majorEastAsia" w:hAnsiTheme="majorHAnsi" w:cstheme="majorBidi"/>
          <w:bCs/>
          <w:color w:val="000000" w:themeColor="text1"/>
          <w:sz w:val="24"/>
          <w:szCs w:val="24"/>
        </w:rPr>
        <w:t xml:space="preserve"> means forgone benefits from </w:t>
      </w:r>
      <w:r>
        <w:rPr>
          <w:rFonts w:asciiTheme="majorHAnsi" w:eastAsiaTheme="majorEastAsia" w:hAnsiTheme="majorHAnsi" w:cstheme="majorBidi"/>
          <w:bCs/>
          <w:color w:val="000000" w:themeColor="text1"/>
          <w:sz w:val="24"/>
          <w:szCs w:val="24"/>
        </w:rPr>
        <w:t>those</w:t>
      </w:r>
      <w:r w:rsidRPr="00DF1213">
        <w:rPr>
          <w:rFonts w:asciiTheme="majorHAnsi" w:eastAsiaTheme="majorEastAsia" w:hAnsiTheme="majorHAnsi" w:cstheme="majorBidi"/>
          <w:bCs/>
          <w:color w:val="000000" w:themeColor="text1"/>
          <w:sz w:val="24"/>
          <w:szCs w:val="24"/>
        </w:rPr>
        <w:t xml:space="preserve"> items. This is an </w:t>
      </w:r>
      <w:r w:rsidRPr="00AF6539">
        <w:rPr>
          <w:rFonts w:asciiTheme="majorHAnsi" w:eastAsiaTheme="majorEastAsia" w:hAnsiTheme="majorHAnsi" w:cstheme="majorBidi"/>
          <w:b/>
          <w:color w:val="000000" w:themeColor="text1"/>
          <w:sz w:val="24"/>
          <w:szCs w:val="24"/>
        </w:rPr>
        <w:t>“</w:t>
      </w:r>
      <w:r w:rsidRPr="002E73F2">
        <w:rPr>
          <w:rFonts w:asciiTheme="majorHAnsi" w:eastAsiaTheme="majorEastAsia" w:hAnsiTheme="majorHAnsi" w:cstheme="majorBidi"/>
          <w:b/>
          <w:color w:val="000000" w:themeColor="text1"/>
          <w:sz w:val="24"/>
          <w:szCs w:val="24"/>
        </w:rPr>
        <w:t>opportunity cost</w:t>
      </w:r>
      <w:r>
        <w:rPr>
          <w:rFonts w:asciiTheme="majorHAnsi" w:eastAsiaTheme="majorEastAsia" w:hAnsiTheme="majorHAnsi" w:cstheme="majorBidi"/>
          <w:b/>
          <w:color w:val="000000" w:themeColor="text1"/>
          <w:sz w:val="24"/>
          <w:szCs w:val="24"/>
        </w:rPr>
        <w:t>”</w:t>
      </w:r>
      <w:r w:rsidRPr="00DF1213">
        <w:rPr>
          <w:rFonts w:asciiTheme="majorHAnsi" w:eastAsiaTheme="majorEastAsia" w:hAnsiTheme="majorHAnsi" w:cstheme="majorBidi"/>
          <w:bCs/>
          <w:color w:val="000000" w:themeColor="text1"/>
          <w:sz w:val="24"/>
          <w:szCs w:val="24"/>
        </w:rPr>
        <w:t xml:space="preserve"> to the Commonwealth. </w:t>
      </w:r>
      <w:r>
        <w:rPr>
          <w:rFonts w:asciiTheme="majorHAnsi" w:eastAsiaTheme="majorEastAsia" w:hAnsiTheme="majorHAnsi" w:cstheme="majorBidi"/>
          <w:bCs/>
          <w:color w:val="000000" w:themeColor="text1"/>
          <w:sz w:val="24"/>
          <w:szCs w:val="24"/>
        </w:rPr>
        <w:t xml:space="preserve">The opportunity cost to the state includes not only the impact on the businesses and their employees that directly benefit from those expenditure items (this is called “direct impact”), but also the indirect impact on the chain of businesses that provide intermediate products and services to the directly impacted businesses (this is called “indirect impact”).  In addition, there is the cost to the chain of businesses that benefit when the employees working for the directly impacted businesses spend their wages and salaries to buy goods and services (this is called “induced impact”). The total forgone benefits to the whole economy are larger than the initial forgone benefits. This phenomenon is called the “Multiplier Effect”. </w:t>
      </w:r>
    </w:p>
    <w:p w14:paraId="0E8F446A" w14:textId="77777777" w:rsidR="00D27980" w:rsidRDefault="00D27980" w:rsidP="00D27980">
      <w:pPr>
        <w:spacing w:after="0"/>
        <w:rPr>
          <w:rFonts w:asciiTheme="majorHAnsi" w:eastAsiaTheme="majorEastAsia" w:hAnsiTheme="majorHAnsi" w:cstheme="majorBidi"/>
          <w:bCs/>
          <w:color w:val="000000" w:themeColor="text1"/>
          <w:sz w:val="24"/>
          <w:szCs w:val="24"/>
        </w:rPr>
      </w:pPr>
    </w:p>
    <w:p w14:paraId="29403CF3" w14:textId="77777777" w:rsidR="00D27980" w:rsidRDefault="00D27980" w:rsidP="00D27980">
      <w:pPr>
        <w:spacing w:after="0"/>
        <w:rPr>
          <w:rFonts w:asciiTheme="majorHAnsi" w:eastAsiaTheme="majorEastAsia" w:hAnsiTheme="majorHAnsi" w:cstheme="majorBidi"/>
          <w:bCs/>
          <w:color w:val="000000" w:themeColor="text1"/>
          <w:sz w:val="24"/>
          <w:szCs w:val="24"/>
        </w:rPr>
      </w:pPr>
      <w:r w:rsidRPr="00DF1213">
        <w:rPr>
          <w:rFonts w:asciiTheme="majorHAnsi" w:eastAsiaTheme="majorEastAsia" w:hAnsiTheme="majorHAnsi" w:cstheme="majorBidi"/>
          <w:bCs/>
          <w:color w:val="000000" w:themeColor="text1"/>
          <w:sz w:val="24"/>
          <w:szCs w:val="24"/>
        </w:rPr>
        <w:t xml:space="preserve">To estimate the </w:t>
      </w:r>
      <w:r>
        <w:rPr>
          <w:rFonts w:asciiTheme="majorHAnsi" w:eastAsiaTheme="majorEastAsia" w:hAnsiTheme="majorHAnsi" w:cstheme="majorBidi"/>
          <w:bCs/>
          <w:color w:val="000000" w:themeColor="text1"/>
          <w:sz w:val="24"/>
          <w:szCs w:val="24"/>
        </w:rPr>
        <w:t xml:space="preserve">total </w:t>
      </w:r>
      <w:r w:rsidRPr="00DF1213">
        <w:rPr>
          <w:rFonts w:asciiTheme="majorHAnsi" w:eastAsiaTheme="majorEastAsia" w:hAnsiTheme="majorHAnsi" w:cstheme="majorBidi"/>
          <w:bCs/>
          <w:color w:val="000000" w:themeColor="text1"/>
          <w:sz w:val="24"/>
          <w:szCs w:val="24"/>
        </w:rPr>
        <w:t xml:space="preserve">forgone </w:t>
      </w:r>
      <w:r>
        <w:rPr>
          <w:rFonts w:asciiTheme="majorHAnsi" w:eastAsiaTheme="majorEastAsia" w:hAnsiTheme="majorHAnsi" w:cstheme="majorBidi"/>
          <w:bCs/>
          <w:color w:val="000000" w:themeColor="text1"/>
          <w:sz w:val="24"/>
          <w:szCs w:val="24"/>
        </w:rPr>
        <w:t>benefits</w:t>
      </w:r>
      <w:r w:rsidRPr="00DF1213">
        <w:rPr>
          <w:rFonts w:asciiTheme="majorHAnsi" w:eastAsiaTheme="majorEastAsia" w:hAnsiTheme="majorHAnsi" w:cstheme="majorBidi"/>
          <w:bCs/>
          <w:color w:val="000000" w:themeColor="text1"/>
          <w:sz w:val="24"/>
          <w:szCs w:val="24"/>
        </w:rPr>
        <w:t xml:space="preserve"> of the reduced spending, we employed Tax-PI</w:t>
      </w:r>
      <w:r>
        <w:rPr>
          <w:rFonts w:asciiTheme="majorHAnsi" w:eastAsiaTheme="majorEastAsia" w:hAnsiTheme="majorHAnsi" w:cstheme="majorBidi"/>
          <w:bCs/>
          <w:color w:val="000000" w:themeColor="text1"/>
          <w:sz w:val="24"/>
          <w:szCs w:val="24"/>
        </w:rPr>
        <w:t xml:space="preserve">, an economic analysis </w:t>
      </w:r>
      <w:r w:rsidRPr="00DF1213">
        <w:rPr>
          <w:rFonts w:asciiTheme="majorHAnsi" w:eastAsiaTheme="majorEastAsia" w:hAnsiTheme="majorHAnsi" w:cstheme="majorBidi"/>
          <w:bCs/>
          <w:color w:val="000000" w:themeColor="text1"/>
          <w:sz w:val="24"/>
          <w:szCs w:val="24"/>
        </w:rPr>
        <w:t xml:space="preserve">tool for evaluating the total fiscal and economic effects of tax policy changes. Tax-PI is built on over 30 years of experience in modeling the economic effects of tax policy changes, according to MODELS: TAX-PI in the reference. The popularity of the model has grown substantially since it was introduced.  Note that while the tax incentive </w:t>
      </w:r>
      <w:r>
        <w:rPr>
          <w:rFonts w:asciiTheme="majorHAnsi" w:eastAsiaTheme="majorEastAsia" w:hAnsiTheme="majorHAnsi" w:cstheme="majorBidi"/>
          <w:bCs/>
          <w:color w:val="000000" w:themeColor="text1"/>
          <w:sz w:val="24"/>
          <w:szCs w:val="24"/>
        </w:rPr>
        <w:t>has a</w:t>
      </w:r>
      <w:r w:rsidRPr="00DF1213">
        <w:rPr>
          <w:rFonts w:asciiTheme="majorHAnsi" w:eastAsiaTheme="majorEastAsia" w:hAnsiTheme="majorHAnsi" w:cstheme="majorBidi"/>
          <w:bCs/>
          <w:color w:val="000000" w:themeColor="text1"/>
          <w:sz w:val="24"/>
          <w:szCs w:val="24"/>
        </w:rPr>
        <w:t xml:space="preserve"> specific</w:t>
      </w:r>
      <w:r>
        <w:rPr>
          <w:rFonts w:asciiTheme="majorHAnsi" w:eastAsiaTheme="majorEastAsia" w:hAnsiTheme="majorHAnsi" w:cstheme="majorBidi"/>
          <w:bCs/>
          <w:color w:val="000000" w:themeColor="text1"/>
          <w:sz w:val="24"/>
          <w:szCs w:val="24"/>
        </w:rPr>
        <w:t xml:space="preserve"> purpose</w:t>
      </w:r>
      <w:r w:rsidRPr="00DF1213">
        <w:rPr>
          <w:rFonts w:asciiTheme="majorHAnsi" w:eastAsiaTheme="majorEastAsia" w:hAnsiTheme="majorHAnsi" w:cstheme="majorBidi"/>
          <w:bCs/>
          <w:color w:val="000000" w:themeColor="text1"/>
          <w:sz w:val="24"/>
          <w:szCs w:val="24"/>
        </w:rPr>
        <w:t>, the reduced spending is assumed to be</w:t>
      </w:r>
      <w:r>
        <w:rPr>
          <w:rFonts w:asciiTheme="majorHAnsi" w:eastAsiaTheme="majorEastAsia" w:hAnsiTheme="majorHAnsi" w:cstheme="majorBidi"/>
          <w:bCs/>
          <w:color w:val="000000" w:themeColor="text1"/>
          <w:sz w:val="24"/>
          <w:szCs w:val="24"/>
        </w:rPr>
        <w:t xml:space="preserve"> proportionally distributed across</w:t>
      </w:r>
      <w:r w:rsidRPr="00DF1213">
        <w:rPr>
          <w:rFonts w:asciiTheme="majorHAnsi" w:eastAsiaTheme="majorEastAsia" w:hAnsiTheme="majorHAnsi" w:cstheme="majorBidi"/>
          <w:bCs/>
          <w:color w:val="000000" w:themeColor="text1"/>
          <w:sz w:val="24"/>
          <w:szCs w:val="24"/>
        </w:rPr>
        <w:t xml:space="preserve"> the Commonwealth’s </w:t>
      </w:r>
      <w:r>
        <w:rPr>
          <w:rFonts w:asciiTheme="majorHAnsi" w:eastAsiaTheme="majorEastAsia" w:hAnsiTheme="majorHAnsi" w:cstheme="majorBidi"/>
          <w:bCs/>
          <w:color w:val="000000" w:themeColor="text1"/>
          <w:sz w:val="24"/>
          <w:szCs w:val="24"/>
        </w:rPr>
        <w:t xml:space="preserve">current </w:t>
      </w:r>
      <w:r w:rsidRPr="00DF1213">
        <w:rPr>
          <w:rFonts w:asciiTheme="majorHAnsi" w:eastAsiaTheme="majorEastAsia" w:hAnsiTheme="majorHAnsi" w:cstheme="majorBidi"/>
          <w:bCs/>
          <w:color w:val="000000" w:themeColor="text1"/>
          <w:sz w:val="24"/>
          <w:szCs w:val="24"/>
        </w:rPr>
        <w:t>expenditure</w:t>
      </w:r>
      <w:r>
        <w:rPr>
          <w:rFonts w:asciiTheme="majorHAnsi" w:eastAsiaTheme="majorEastAsia" w:hAnsiTheme="majorHAnsi" w:cstheme="majorBidi"/>
          <w:bCs/>
          <w:color w:val="000000" w:themeColor="text1"/>
          <w:sz w:val="24"/>
          <w:szCs w:val="24"/>
        </w:rPr>
        <w:t>s</w:t>
      </w:r>
      <w:r w:rsidRPr="00DF1213">
        <w:rPr>
          <w:rFonts w:asciiTheme="majorHAnsi" w:eastAsiaTheme="majorEastAsia" w:hAnsiTheme="majorHAnsi" w:cstheme="majorBidi"/>
          <w:bCs/>
          <w:color w:val="000000" w:themeColor="text1"/>
          <w:sz w:val="24"/>
          <w:szCs w:val="24"/>
        </w:rPr>
        <w:t>.</w:t>
      </w:r>
    </w:p>
    <w:p w14:paraId="206EF0B9" w14:textId="77777777" w:rsidR="00D27980" w:rsidRDefault="00D27980" w:rsidP="00D27980">
      <w:pPr>
        <w:spacing w:after="0"/>
        <w:rPr>
          <w:rFonts w:asciiTheme="majorHAnsi" w:eastAsiaTheme="majorEastAsia" w:hAnsiTheme="majorHAnsi" w:cstheme="majorBidi"/>
          <w:bCs/>
          <w:color w:val="000000" w:themeColor="text1"/>
          <w:sz w:val="24"/>
          <w:szCs w:val="24"/>
        </w:rPr>
      </w:pPr>
    </w:p>
    <w:p w14:paraId="5B15B6C2" w14:textId="77777777" w:rsidR="00D27980" w:rsidRPr="00E0511F" w:rsidRDefault="00D27980" w:rsidP="00D27980">
      <w:pPr>
        <w:spacing w:after="0"/>
        <w:rPr>
          <w:rFonts w:asciiTheme="majorHAnsi" w:eastAsiaTheme="majorEastAsia" w:hAnsiTheme="majorHAnsi" w:cstheme="majorBidi"/>
          <w:bCs/>
          <w:i/>
          <w:iCs/>
          <w:color w:val="000000" w:themeColor="text1"/>
          <w:sz w:val="24"/>
          <w:szCs w:val="24"/>
        </w:rPr>
      </w:pPr>
      <w:r w:rsidRPr="00E0511F">
        <w:rPr>
          <w:rFonts w:asciiTheme="majorHAnsi" w:eastAsiaTheme="majorEastAsia" w:hAnsiTheme="majorHAnsi" w:cstheme="majorBidi"/>
          <w:bCs/>
          <w:i/>
          <w:iCs/>
          <w:color w:val="000000" w:themeColor="text1"/>
          <w:sz w:val="24"/>
          <w:szCs w:val="24"/>
        </w:rPr>
        <w:t xml:space="preserve">Quantifying </w:t>
      </w:r>
      <w:r>
        <w:rPr>
          <w:rFonts w:asciiTheme="majorHAnsi" w:eastAsiaTheme="majorEastAsia" w:hAnsiTheme="majorHAnsi" w:cstheme="majorBidi"/>
          <w:bCs/>
          <w:i/>
          <w:iCs/>
          <w:color w:val="000000" w:themeColor="text1"/>
          <w:sz w:val="24"/>
          <w:szCs w:val="24"/>
        </w:rPr>
        <w:t>total</w:t>
      </w:r>
      <w:r w:rsidRPr="00E0511F">
        <w:rPr>
          <w:rFonts w:asciiTheme="majorHAnsi" w:eastAsiaTheme="majorEastAsia" w:hAnsiTheme="majorHAnsi" w:cstheme="majorBidi"/>
          <w:bCs/>
          <w:i/>
          <w:iCs/>
          <w:color w:val="000000" w:themeColor="text1"/>
          <w:sz w:val="24"/>
          <w:szCs w:val="24"/>
        </w:rPr>
        <w:t xml:space="preserve"> costs </w:t>
      </w:r>
      <w:r>
        <w:rPr>
          <w:rFonts w:asciiTheme="majorHAnsi" w:eastAsiaTheme="majorEastAsia" w:hAnsiTheme="majorHAnsi" w:cstheme="majorBidi"/>
          <w:bCs/>
          <w:i/>
          <w:iCs/>
          <w:color w:val="000000" w:themeColor="text1"/>
          <w:sz w:val="24"/>
          <w:szCs w:val="24"/>
        </w:rPr>
        <w:t xml:space="preserve">(direct, </w:t>
      </w:r>
      <w:proofErr w:type="gramStart"/>
      <w:r>
        <w:rPr>
          <w:rFonts w:asciiTheme="majorHAnsi" w:eastAsiaTheme="majorEastAsia" w:hAnsiTheme="majorHAnsi" w:cstheme="majorBidi"/>
          <w:bCs/>
          <w:i/>
          <w:iCs/>
          <w:color w:val="000000" w:themeColor="text1"/>
          <w:sz w:val="24"/>
          <w:szCs w:val="24"/>
        </w:rPr>
        <w:t>indirect</w:t>
      </w:r>
      <w:proofErr w:type="gramEnd"/>
      <w:r>
        <w:rPr>
          <w:rFonts w:asciiTheme="majorHAnsi" w:eastAsiaTheme="majorEastAsia" w:hAnsiTheme="majorHAnsi" w:cstheme="majorBidi"/>
          <w:bCs/>
          <w:i/>
          <w:iCs/>
          <w:color w:val="000000" w:themeColor="text1"/>
          <w:sz w:val="24"/>
          <w:szCs w:val="24"/>
        </w:rPr>
        <w:t xml:space="preserve"> and induced)</w:t>
      </w:r>
    </w:p>
    <w:p w14:paraId="6B110A3D" w14:textId="77777777" w:rsidR="00D27980" w:rsidRDefault="00D27980" w:rsidP="00D27980">
      <w:pPr>
        <w:spacing w:after="0"/>
        <w:rPr>
          <w:rFonts w:asciiTheme="majorHAnsi" w:eastAsiaTheme="majorEastAsia" w:hAnsiTheme="majorHAnsi" w:cstheme="majorBidi"/>
          <w:bCs/>
          <w:color w:val="000000" w:themeColor="text1"/>
          <w:sz w:val="24"/>
          <w:szCs w:val="24"/>
        </w:rPr>
      </w:pPr>
      <w:r w:rsidRPr="00537A8B">
        <w:rPr>
          <w:rFonts w:asciiTheme="majorHAnsi" w:eastAsiaTheme="majorEastAsia" w:hAnsiTheme="majorHAnsi" w:cstheme="majorBidi"/>
          <w:bCs/>
          <w:color w:val="000000" w:themeColor="text1"/>
          <w:sz w:val="24"/>
          <w:szCs w:val="24"/>
        </w:rPr>
        <w:lastRenderedPageBreak/>
        <w:t xml:space="preserve">The period of study is limited to </w:t>
      </w:r>
      <w:r>
        <w:rPr>
          <w:rFonts w:asciiTheme="majorHAnsi" w:eastAsiaTheme="majorEastAsia" w:hAnsiTheme="majorHAnsi" w:cstheme="majorBidi"/>
          <w:bCs/>
          <w:color w:val="000000" w:themeColor="text1"/>
          <w:sz w:val="24"/>
          <w:szCs w:val="24"/>
        </w:rPr>
        <w:t xml:space="preserve">the </w:t>
      </w:r>
      <w:r w:rsidRPr="00537A8B">
        <w:rPr>
          <w:rFonts w:asciiTheme="majorHAnsi" w:eastAsiaTheme="majorEastAsia" w:hAnsiTheme="majorHAnsi" w:cstheme="majorBidi"/>
          <w:bCs/>
          <w:color w:val="000000" w:themeColor="text1"/>
          <w:sz w:val="24"/>
          <w:szCs w:val="24"/>
        </w:rPr>
        <w:t xml:space="preserve">five years from 2018 through 2022, for which we prepared input data to run the model. Tables </w:t>
      </w:r>
      <w:r>
        <w:rPr>
          <w:rFonts w:asciiTheme="majorHAnsi" w:eastAsiaTheme="majorEastAsia" w:hAnsiTheme="majorHAnsi" w:cstheme="majorBidi"/>
          <w:bCs/>
          <w:color w:val="000000" w:themeColor="text1"/>
          <w:sz w:val="24"/>
          <w:szCs w:val="24"/>
        </w:rPr>
        <w:t>A1</w:t>
      </w:r>
      <w:r w:rsidRPr="00537A8B">
        <w:rPr>
          <w:rFonts w:asciiTheme="majorHAnsi" w:eastAsiaTheme="majorEastAsia" w:hAnsiTheme="majorHAnsi" w:cstheme="majorBidi"/>
          <w:bCs/>
          <w:color w:val="000000" w:themeColor="text1"/>
          <w:sz w:val="24"/>
          <w:szCs w:val="24"/>
        </w:rPr>
        <w:t xml:space="preserve"> and </w:t>
      </w:r>
      <w:r>
        <w:rPr>
          <w:rFonts w:asciiTheme="majorHAnsi" w:eastAsiaTheme="majorEastAsia" w:hAnsiTheme="majorHAnsi" w:cstheme="majorBidi"/>
          <w:bCs/>
          <w:color w:val="000000" w:themeColor="text1"/>
          <w:sz w:val="24"/>
          <w:szCs w:val="24"/>
        </w:rPr>
        <w:t>A2</w:t>
      </w:r>
      <w:r w:rsidRPr="00537A8B">
        <w:rPr>
          <w:rFonts w:asciiTheme="majorHAnsi" w:eastAsiaTheme="majorEastAsia" w:hAnsiTheme="majorHAnsi" w:cstheme="majorBidi"/>
          <w:bCs/>
          <w:color w:val="000000" w:themeColor="text1"/>
          <w:sz w:val="24"/>
          <w:szCs w:val="24"/>
        </w:rPr>
        <w:t xml:space="preserve"> report </w:t>
      </w:r>
      <w:r>
        <w:rPr>
          <w:rFonts w:asciiTheme="majorHAnsi" w:eastAsiaTheme="majorEastAsia" w:hAnsiTheme="majorHAnsi" w:cstheme="majorBidi"/>
          <w:bCs/>
          <w:color w:val="000000" w:themeColor="text1"/>
          <w:sz w:val="24"/>
          <w:szCs w:val="24"/>
        </w:rPr>
        <w:t xml:space="preserve">the model </w:t>
      </w:r>
      <w:r w:rsidRPr="00537A8B">
        <w:rPr>
          <w:rFonts w:asciiTheme="majorHAnsi" w:eastAsiaTheme="majorEastAsia" w:hAnsiTheme="majorHAnsi" w:cstheme="majorBidi"/>
          <w:bCs/>
          <w:color w:val="000000" w:themeColor="text1"/>
          <w:sz w:val="24"/>
          <w:szCs w:val="24"/>
        </w:rPr>
        <w:t xml:space="preserve">results. </w:t>
      </w:r>
      <w:r w:rsidRPr="001F3681">
        <w:rPr>
          <w:rFonts w:asciiTheme="majorHAnsi" w:eastAsiaTheme="majorEastAsia" w:hAnsiTheme="majorHAnsi" w:cstheme="majorBidi"/>
          <w:bCs/>
          <w:color w:val="000000" w:themeColor="text1"/>
          <w:sz w:val="24"/>
          <w:szCs w:val="24"/>
        </w:rPr>
        <w:t xml:space="preserve">The figures for 2018 and 2019 are estimates of forgone benefits (opportunity costs) that the Massachusetts economy </w:t>
      </w:r>
      <w:r>
        <w:rPr>
          <w:rFonts w:asciiTheme="majorHAnsi" w:eastAsiaTheme="majorEastAsia" w:hAnsiTheme="majorHAnsi" w:cstheme="majorBidi"/>
          <w:bCs/>
          <w:color w:val="000000" w:themeColor="text1"/>
          <w:sz w:val="24"/>
          <w:szCs w:val="24"/>
        </w:rPr>
        <w:t xml:space="preserve">experienced due to having the expenditure, </w:t>
      </w:r>
      <w:r w:rsidRPr="001F3681">
        <w:rPr>
          <w:rFonts w:asciiTheme="majorHAnsi" w:eastAsiaTheme="majorEastAsia" w:hAnsiTheme="majorHAnsi" w:cstheme="majorBidi"/>
          <w:bCs/>
          <w:color w:val="000000" w:themeColor="text1"/>
          <w:sz w:val="24"/>
          <w:szCs w:val="24"/>
        </w:rPr>
        <w:t xml:space="preserve">and those for 2020, 2021 and 2022 are </w:t>
      </w:r>
      <w:r>
        <w:rPr>
          <w:rFonts w:asciiTheme="majorHAnsi" w:eastAsiaTheme="majorEastAsia" w:hAnsiTheme="majorHAnsi" w:cstheme="majorBidi"/>
          <w:bCs/>
          <w:color w:val="000000" w:themeColor="text1"/>
          <w:sz w:val="24"/>
          <w:szCs w:val="24"/>
        </w:rPr>
        <w:t>projections</w:t>
      </w:r>
      <w:r w:rsidRPr="001F3681">
        <w:rPr>
          <w:rFonts w:asciiTheme="majorHAnsi" w:eastAsiaTheme="majorEastAsia" w:hAnsiTheme="majorHAnsi" w:cstheme="majorBidi"/>
          <w:bCs/>
          <w:color w:val="000000" w:themeColor="text1"/>
          <w:sz w:val="24"/>
          <w:szCs w:val="24"/>
        </w:rPr>
        <w:t xml:space="preserve"> of forgone benefits that the Massachusetts economy </w:t>
      </w:r>
      <w:r>
        <w:rPr>
          <w:rFonts w:asciiTheme="majorHAnsi" w:eastAsiaTheme="majorEastAsia" w:hAnsiTheme="majorHAnsi" w:cstheme="majorBidi"/>
          <w:bCs/>
          <w:color w:val="000000" w:themeColor="text1"/>
          <w:sz w:val="24"/>
          <w:szCs w:val="24"/>
        </w:rPr>
        <w:t>will</w:t>
      </w:r>
      <w:r w:rsidRPr="001F3681">
        <w:rPr>
          <w:rFonts w:asciiTheme="majorHAnsi" w:eastAsiaTheme="majorEastAsia" w:hAnsiTheme="majorHAnsi" w:cstheme="majorBidi"/>
          <w:bCs/>
          <w:color w:val="000000" w:themeColor="text1"/>
          <w:sz w:val="24"/>
          <w:szCs w:val="24"/>
        </w:rPr>
        <w:t xml:space="preserve"> experience going forward.  </w:t>
      </w:r>
      <w:r>
        <w:rPr>
          <w:rFonts w:asciiTheme="majorHAnsi" w:eastAsiaTheme="majorEastAsia" w:hAnsiTheme="majorHAnsi" w:cstheme="majorBidi"/>
          <w:bCs/>
          <w:color w:val="000000" w:themeColor="text1"/>
          <w:sz w:val="24"/>
          <w:szCs w:val="24"/>
        </w:rPr>
        <w:t>The effects are displayed as negative numbers as reduced spending has a negative impact on the state economy.</w:t>
      </w:r>
    </w:p>
    <w:p w14:paraId="07C2B73B" w14:textId="77777777" w:rsidR="00D27980" w:rsidRDefault="00D27980" w:rsidP="00D27980">
      <w:pPr>
        <w:spacing w:after="0"/>
        <w:rPr>
          <w:rFonts w:asciiTheme="majorHAnsi" w:hAnsiTheme="majorHAnsi"/>
          <w:bCs/>
          <w:sz w:val="24"/>
          <w:szCs w:val="24"/>
        </w:rPr>
      </w:pPr>
    </w:p>
    <w:p w14:paraId="53FC09A8" w14:textId="5BB7BEF7" w:rsidR="00D27980" w:rsidRDefault="00D27980" w:rsidP="00D27980">
      <w:pPr>
        <w:spacing w:after="0"/>
        <w:rPr>
          <w:rFonts w:asciiTheme="majorHAnsi" w:eastAsiaTheme="majorEastAsia" w:hAnsiTheme="majorHAnsi" w:cstheme="majorBidi"/>
          <w:bCs/>
          <w:color w:val="000000" w:themeColor="text1"/>
          <w:sz w:val="24"/>
          <w:szCs w:val="24"/>
        </w:rPr>
      </w:pPr>
      <w:r w:rsidRPr="00D86973">
        <w:rPr>
          <w:rFonts w:asciiTheme="majorHAnsi" w:eastAsiaTheme="majorEastAsia" w:hAnsiTheme="majorHAnsi" w:cstheme="majorBidi"/>
          <w:bCs/>
          <w:color w:val="000000" w:themeColor="text1"/>
          <w:sz w:val="24"/>
          <w:szCs w:val="24"/>
        </w:rPr>
        <w:t xml:space="preserve">Tables </w:t>
      </w:r>
      <w:r>
        <w:rPr>
          <w:rFonts w:asciiTheme="majorHAnsi" w:eastAsiaTheme="majorEastAsia" w:hAnsiTheme="majorHAnsi" w:cstheme="majorBidi"/>
          <w:bCs/>
          <w:color w:val="000000" w:themeColor="text1"/>
          <w:sz w:val="24"/>
          <w:szCs w:val="24"/>
        </w:rPr>
        <w:t>A</w:t>
      </w:r>
      <w:r w:rsidR="00F34ABA">
        <w:rPr>
          <w:rFonts w:asciiTheme="majorHAnsi" w:eastAsiaTheme="majorEastAsia" w:hAnsiTheme="majorHAnsi" w:cstheme="majorBidi"/>
          <w:bCs/>
          <w:color w:val="000000" w:themeColor="text1"/>
          <w:sz w:val="24"/>
          <w:szCs w:val="24"/>
        </w:rPr>
        <w:t>3-</w:t>
      </w:r>
      <w:r>
        <w:rPr>
          <w:rFonts w:asciiTheme="majorHAnsi" w:eastAsiaTheme="majorEastAsia" w:hAnsiTheme="majorHAnsi" w:cstheme="majorBidi"/>
          <w:bCs/>
          <w:color w:val="000000" w:themeColor="text1"/>
          <w:sz w:val="24"/>
          <w:szCs w:val="24"/>
        </w:rPr>
        <w:t>1</w:t>
      </w:r>
      <w:r w:rsidRPr="00D86973">
        <w:rPr>
          <w:rFonts w:asciiTheme="majorHAnsi" w:eastAsiaTheme="majorEastAsia" w:hAnsiTheme="majorHAnsi" w:cstheme="majorBidi"/>
          <w:bCs/>
          <w:color w:val="000000" w:themeColor="text1"/>
          <w:sz w:val="24"/>
          <w:szCs w:val="24"/>
        </w:rPr>
        <w:t xml:space="preserve"> and </w:t>
      </w:r>
      <w:r>
        <w:rPr>
          <w:rFonts w:asciiTheme="majorHAnsi" w:eastAsiaTheme="majorEastAsia" w:hAnsiTheme="majorHAnsi" w:cstheme="majorBidi"/>
          <w:bCs/>
          <w:color w:val="000000" w:themeColor="text1"/>
          <w:sz w:val="24"/>
          <w:szCs w:val="24"/>
        </w:rPr>
        <w:t>A</w:t>
      </w:r>
      <w:r w:rsidR="00F34ABA">
        <w:rPr>
          <w:rFonts w:asciiTheme="majorHAnsi" w:eastAsiaTheme="majorEastAsia" w:hAnsiTheme="majorHAnsi" w:cstheme="majorBidi"/>
          <w:bCs/>
          <w:color w:val="000000" w:themeColor="text1"/>
          <w:sz w:val="24"/>
          <w:szCs w:val="24"/>
        </w:rPr>
        <w:t>3-</w:t>
      </w:r>
      <w:r>
        <w:rPr>
          <w:rFonts w:asciiTheme="majorHAnsi" w:eastAsiaTheme="majorEastAsia" w:hAnsiTheme="majorHAnsi" w:cstheme="majorBidi"/>
          <w:bCs/>
          <w:color w:val="000000" w:themeColor="text1"/>
          <w:sz w:val="24"/>
          <w:szCs w:val="24"/>
        </w:rPr>
        <w:t>2</w:t>
      </w:r>
      <w:r w:rsidRPr="00D86973">
        <w:rPr>
          <w:rFonts w:asciiTheme="majorHAnsi" w:eastAsiaTheme="majorEastAsia" w:hAnsiTheme="majorHAnsi" w:cstheme="majorBidi"/>
          <w:bCs/>
          <w:color w:val="000000" w:themeColor="text1"/>
          <w:sz w:val="24"/>
          <w:szCs w:val="24"/>
        </w:rPr>
        <w:t xml:space="preserve"> show that the </w:t>
      </w:r>
      <w:r>
        <w:rPr>
          <w:rFonts w:asciiTheme="majorHAnsi" w:eastAsiaTheme="majorEastAsia" w:hAnsiTheme="majorHAnsi" w:cstheme="majorBidi"/>
          <w:bCs/>
          <w:color w:val="000000" w:themeColor="text1"/>
          <w:sz w:val="24"/>
          <w:szCs w:val="24"/>
        </w:rPr>
        <w:t>reduction</w:t>
      </w:r>
      <w:r w:rsidRPr="00D86973">
        <w:rPr>
          <w:rFonts w:asciiTheme="majorHAnsi" w:eastAsiaTheme="majorEastAsia" w:hAnsiTheme="majorHAnsi" w:cstheme="majorBidi"/>
          <w:bCs/>
          <w:color w:val="000000" w:themeColor="text1"/>
          <w:sz w:val="24"/>
          <w:szCs w:val="24"/>
        </w:rPr>
        <w:t xml:space="preserve"> in state government spending results in lost economic activit</w:t>
      </w:r>
      <w:r>
        <w:rPr>
          <w:rFonts w:asciiTheme="majorHAnsi" w:eastAsiaTheme="majorEastAsia" w:hAnsiTheme="majorHAnsi" w:cstheme="majorBidi"/>
          <w:bCs/>
          <w:color w:val="000000" w:themeColor="text1"/>
          <w:sz w:val="24"/>
          <w:szCs w:val="24"/>
        </w:rPr>
        <w:t>y</w:t>
      </w:r>
      <w:r w:rsidRPr="00D86973">
        <w:rPr>
          <w:rFonts w:asciiTheme="majorHAnsi" w:eastAsiaTheme="majorEastAsia" w:hAnsiTheme="majorHAnsi" w:cstheme="majorBidi"/>
          <w:bCs/>
          <w:color w:val="000000" w:themeColor="text1"/>
          <w:sz w:val="24"/>
          <w:szCs w:val="24"/>
        </w:rPr>
        <w:t xml:space="preserve">, with real state GDP declining </w:t>
      </w:r>
      <w:r>
        <w:rPr>
          <w:rFonts w:asciiTheme="majorHAnsi" w:eastAsiaTheme="majorEastAsia" w:hAnsiTheme="majorHAnsi" w:cstheme="majorBidi"/>
          <w:bCs/>
          <w:color w:val="000000" w:themeColor="text1"/>
          <w:sz w:val="24"/>
          <w:szCs w:val="24"/>
        </w:rPr>
        <w:t xml:space="preserve">by </w:t>
      </w:r>
      <w:r w:rsidR="00AD6B46" w:rsidRPr="00D86973">
        <w:rPr>
          <w:rFonts w:asciiTheme="majorHAnsi" w:eastAsiaTheme="majorEastAsia" w:hAnsiTheme="majorHAnsi" w:cstheme="majorBidi"/>
          <w:bCs/>
          <w:color w:val="000000" w:themeColor="text1"/>
          <w:sz w:val="24"/>
          <w:szCs w:val="24"/>
        </w:rPr>
        <w:t>$</w:t>
      </w:r>
      <w:r w:rsidR="00894626">
        <w:rPr>
          <w:rFonts w:asciiTheme="majorHAnsi" w:eastAsiaTheme="majorEastAsia" w:hAnsiTheme="majorHAnsi" w:cstheme="majorBidi"/>
          <w:bCs/>
          <w:color w:val="000000" w:themeColor="text1"/>
          <w:sz w:val="24"/>
          <w:szCs w:val="24"/>
        </w:rPr>
        <w:t>897</w:t>
      </w:r>
      <w:r w:rsidR="00894626" w:rsidRPr="00D86973">
        <w:rPr>
          <w:rFonts w:asciiTheme="majorHAnsi" w:eastAsiaTheme="majorEastAsia" w:hAnsiTheme="majorHAnsi" w:cstheme="majorBidi"/>
          <w:bCs/>
          <w:color w:val="000000" w:themeColor="text1"/>
          <w:sz w:val="24"/>
          <w:szCs w:val="24"/>
        </w:rPr>
        <w:t xml:space="preserve"> </w:t>
      </w:r>
      <w:r w:rsidR="00AD6B46" w:rsidRPr="00D86973">
        <w:rPr>
          <w:rFonts w:asciiTheme="majorHAnsi" w:eastAsiaTheme="majorEastAsia" w:hAnsiTheme="majorHAnsi" w:cstheme="majorBidi"/>
          <w:bCs/>
          <w:color w:val="000000" w:themeColor="text1"/>
          <w:sz w:val="24"/>
          <w:szCs w:val="24"/>
        </w:rPr>
        <w:t>million-$</w:t>
      </w:r>
      <w:r w:rsidR="00894626">
        <w:rPr>
          <w:rFonts w:asciiTheme="majorHAnsi" w:eastAsiaTheme="majorEastAsia" w:hAnsiTheme="majorHAnsi" w:cstheme="majorBidi"/>
          <w:bCs/>
          <w:color w:val="000000" w:themeColor="text1"/>
          <w:sz w:val="24"/>
          <w:szCs w:val="24"/>
        </w:rPr>
        <w:t>968</w:t>
      </w:r>
      <w:r w:rsidR="00894626" w:rsidRPr="00D86973">
        <w:rPr>
          <w:rFonts w:asciiTheme="majorHAnsi" w:eastAsiaTheme="majorEastAsia" w:hAnsiTheme="majorHAnsi" w:cstheme="majorBidi"/>
          <w:bCs/>
          <w:color w:val="000000" w:themeColor="text1"/>
          <w:sz w:val="24"/>
          <w:szCs w:val="24"/>
        </w:rPr>
        <w:t xml:space="preserve"> </w:t>
      </w:r>
      <w:r w:rsidRPr="00D86973">
        <w:rPr>
          <w:rFonts w:asciiTheme="majorHAnsi" w:eastAsiaTheme="majorEastAsia" w:hAnsiTheme="majorHAnsi" w:cstheme="majorBidi"/>
          <w:bCs/>
          <w:color w:val="000000" w:themeColor="text1"/>
          <w:sz w:val="24"/>
          <w:szCs w:val="24"/>
        </w:rPr>
        <w:t xml:space="preserve">million and total employment declining </w:t>
      </w:r>
      <w:r>
        <w:rPr>
          <w:rFonts w:asciiTheme="majorHAnsi" w:eastAsiaTheme="majorEastAsia" w:hAnsiTheme="majorHAnsi" w:cstheme="majorBidi"/>
          <w:bCs/>
          <w:color w:val="000000" w:themeColor="text1"/>
          <w:sz w:val="24"/>
          <w:szCs w:val="24"/>
        </w:rPr>
        <w:t xml:space="preserve">by </w:t>
      </w:r>
      <w:r w:rsidR="00894626">
        <w:rPr>
          <w:rFonts w:asciiTheme="majorHAnsi" w:eastAsiaTheme="majorEastAsia" w:hAnsiTheme="majorHAnsi" w:cstheme="majorBidi"/>
          <w:bCs/>
          <w:color w:val="000000" w:themeColor="text1"/>
          <w:sz w:val="24"/>
          <w:szCs w:val="24"/>
        </w:rPr>
        <w:t>10,021</w:t>
      </w:r>
      <w:r w:rsidR="00AD6B46" w:rsidRPr="00D86973">
        <w:rPr>
          <w:rFonts w:asciiTheme="majorHAnsi" w:eastAsiaTheme="majorEastAsia" w:hAnsiTheme="majorHAnsi" w:cstheme="majorBidi"/>
          <w:bCs/>
          <w:color w:val="000000" w:themeColor="text1"/>
          <w:sz w:val="24"/>
          <w:szCs w:val="24"/>
        </w:rPr>
        <w:t xml:space="preserve"> </w:t>
      </w:r>
      <w:r w:rsidR="005271E9">
        <w:rPr>
          <w:rFonts w:asciiTheme="majorHAnsi" w:eastAsiaTheme="majorEastAsia" w:hAnsiTheme="majorHAnsi" w:cstheme="majorBidi"/>
          <w:bCs/>
          <w:color w:val="000000" w:themeColor="text1"/>
          <w:sz w:val="24"/>
          <w:szCs w:val="24"/>
        </w:rPr>
        <w:t xml:space="preserve">to </w:t>
      </w:r>
      <w:r w:rsidR="00894626">
        <w:rPr>
          <w:rFonts w:asciiTheme="majorHAnsi" w:eastAsiaTheme="majorEastAsia" w:hAnsiTheme="majorHAnsi" w:cstheme="majorBidi"/>
          <w:bCs/>
          <w:color w:val="000000" w:themeColor="text1"/>
          <w:sz w:val="24"/>
          <w:szCs w:val="24"/>
        </w:rPr>
        <w:t>10,998</w:t>
      </w:r>
      <w:r w:rsidR="00AD6B46" w:rsidRPr="00D86973">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 xml:space="preserve">jobs </w:t>
      </w:r>
      <w:r w:rsidRPr="00D86973">
        <w:rPr>
          <w:rFonts w:asciiTheme="majorHAnsi" w:eastAsiaTheme="majorEastAsia" w:hAnsiTheme="majorHAnsi" w:cstheme="majorBidi"/>
          <w:bCs/>
          <w:color w:val="000000" w:themeColor="text1"/>
          <w:sz w:val="24"/>
          <w:szCs w:val="24"/>
        </w:rPr>
        <w:t>annually. Lost economic activit</w:t>
      </w:r>
      <w:r>
        <w:rPr>
          <w:rFonts w:asciiTheme="majorHAnsi" w:eastAsiaTheme="majorEastAsia" w:hAnsiTheme="majorHAnsi" w:cstheme="majorBidi"/>
          <w:bCs/>
          <w:color w:val="000000" w:themeColor="text1"/>
          <w:sz w:val="24"/>
          <w:szCs w:val="24"/>
        </w:rPr>
        <w:t>y</w:t>
      </w:r>
      <w:r w:rsidRPr="00D86973">
        <w:rPr>
          <w:rFonts w:asciiTheme="majorHAnsi" w:eastAsiaTheme="majorEastAsia" w:hAnsiTheme="majorHAnsi" w:cstheme="majorBidi"/>
          <w:bCs/>
          <w:color w:val="000000" w:themeColor="text1"/>
          <w:sz w:val="24"/>
          <w:szCs w:val="24"/>
        </w:rPr>
        <w:t xml:space="preserve"> result</w:t>
      </w:r>
      <w:r>
        <w:rPr>
          <w:rFonts w:asciiTheme="majorHAnsi" w:eastAsiaTheme="majorEastAsia" w:hAnsiTheme="majorHAnsi" w:cstheme="majorBidi"/>
          <w:bCs/>
          <w:color w:val="000000" w:themeColor="text1"/>
          <w:sz w:val="24"/>
          <w:szCs w:val="24"/>
        </w:rPr>
        <w:t>s</w:t>
      </w:r>
      <w:r w:rsidRPr="00D86973">
        <w:rPr>
          <w:rFonts w:asciiTheme="majorHAnsi" w:eastAsiaTheme="majorEastAsia" w:hAnsiTheme="majorHAnsi" w:cstheme="majorBidi"/>
          <w:bCs/>
          <w:color w:val="000000" w:themeColor="text1"/>
          <w:sz w:val="24"/>
          <w:szCs w:val="24"/>
        </w:rPr>
        <w:t xml:space="preserve"> in further loss </w:t>
      </w:r>
      <w:r>
        <w:rPr>
          <w:rFonts w:asciiTheme="majorHAnsi" w:eastAsiaTheme="majorEastAsia" w:hAnsiTheme="majorHAnsi" w:cstheme="majorBidi"/>
          <w:bCs/>
          <w:color w:val="000000" w:themeColor="text1"/>
          <w:sz w:val="24"/>
          <w:szCs w:val="24"/>
        </w:rPr>
        <w:t>of</w:t>
      </w:r>
      <w:r w:rsidRPr="00D86973">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 xml:space="preserve">state </w:t>
      </w:r>
      <w:r w:rsidRPr="00D86973">
        <w:rPr>
          <w:rFonts w:asciiTheme="majorHAnsi" w:eastAsiaTheme="majorEastAsia" w:hAnsiTheme="majorHAnsi" w:cstheme="majorBidi"/>
          <w:bCs/>
          <w:color w:val="000000" w:themeColor="text1"/>
          <w:sz w:val="24"/>
          <w:szCs w:val="24"/>
        </w:rPr>
        <w:t>revenues,</w:t>
      </w:r>
      <w:r w:rsidR="00B84E57">
        <w:rPr>
          <w:rStyle w:val="FootnoteReference"/>
          <w:rFonts w:asciiTheme="majorHAnsi" w:eastAsiaTheme="majorEastAsia" w:hAnsiTheme="majorHAnsi"/>
          <w:bCs/>
          <w:color w:val="000000" w:themeColor="text1"/>
          <w:sz w:val="24"/>
          <w:szCs w:val="24"/>
        </w:rPr>
        <w:footnoteReference w:id="11"/>
      </w:r>
      <w:r w:rsidRPr="00D86973">
        <w:rPr>
          <w:rFonts w:asciiTheme="majorHAnsi" w:eastAsiaTheme="majorEastAsia" w:hAnsiTheme="majorHAnsi" w:cstheme="majorBidi"/>
          <w:bCs/>
          <w:color w:val="000000" w:themeColor="text1"/>
          <w:sz w:val="24"/>
          <w:szCs w:val="24"/>
        </w:rPr>
        <w:t xml:space="preserve"> ranging from </w:t>
      </w:r>
      <w:r w:rsidR="00AD6B46" w:rsidRPr="00D86973">
        <w:rPr>
          <w:rFonts w:asciiTheme="majorHAnsi" w:eastAsiaTheme="majorEastAsia" w:hAnsiTheme="majorHAnsi" w:cstheme="majorBidi"/>
          <w:bCs/>
          <w:color w:val="000000" w:themeColor="text1"/>
          <w:sz w:val="24"/>
          <w:szCs w:val="24"/>
        </w:rPr>
        <w:t>$</w:t>
      </w:r>
      <w:r w:rsidR="00894626">
        <w:rPr>
          <w:rFonts w:asciiTheme="majorHAnsi" w:eastAsiaTheme="majorEastAsia" w:hAnsiTheme="majorHAnsi" w:cstheme="majorBidi"/>
          <w:bCs/>
          <w:color w:val="000000" w:themeColor="text1"/>
          <w:sz w:val="24"/>
          <w:szCs w:val="24"/>
        </w:rPr>
        <w:t>19.1</w:t>
      </w:r>
      <w:r w:rsidR="00AD6B46" w:rsidRPr="00D86973">
        <w:rPr>
          <w:rFonts w:asciiTheme="majorHAnsi" w:eastAsiaTheme="majorEastAsia" w:hAnsiTheme="majorHAnsi" w:cstheme="majorBidi"/>
          <w:bCs/>
          <w:color w:val="000000" w:themeColor="text1"/>
          <w:sz w:val="24"/>
          <w:szCs w:val="24"/>
        </w:rPr>
        <w:t xml:space="preserve"> million to $</w:t>
      </w:r>
      <w:r w:rsidR="00894626">
        <w:rPr>
          <w:rFonts w:asciiTheme="majorHAnsi" w:eastAsiaTheme="majorEastAsia" w:hAnsiTheme="majorHAnsi" w:cstheme="majorBidi"/>
          <w:bCs/>
          <w:color w:val="000000" w:themeColor="text1"/>
          <w:sz w:val="24"/>
          <w:szCs w:val="24"/>
        </w:rPr>
        <w:t>51.9</w:t>
      </w:r>
      <w:r w:rsidRPr="00857C1A">
        <w:rPr>
          <w:rFonts w:asciiTheme="majorHAnsi" w:eastAsiaTheme="majorEastAsia" w:hAnsiTheme="majorHAnsi" w:cstheme="majorBidi"/>
          <w:bCs/>
          <w:color w:val="000000" w:themeColor="text1"/>
          <w:sz w:val="24"/>
          <w:szCs w:val="24"/>
        </w:rPr>
        <w:t xml:space="preserve"> </w:t>
      </w:r>
      <w:r w:rsidRPr="00D86973">
        <w:rPr>
          <w:rFonts w:asciiTheme="majorHAnsi" w:eastAsiaTheme="majorEastAsia" w:hAnsiTheme="majorHAnsi" w:cstheme="majorBidi"/>
          <w:bCs/>
          <w:color w:val="000000" w:themeColor="text1"/>
          <w:sz w:val="24"/>
          <w:szCs w:val="24"/>
        </w:rPr>
        <w:t xml:space="preserve">million annually. </w:t>
      </w:r>
      <w:r>
        <w:rPr>
          <w:rFonts w:asciiTheme="majorHAnsi" w:eastAsiaTheme="majorEastAsia" w:hAnsiTheme="majorHAnsi" w:cstheme="majorBidi"/>
          <w:bCs/>
          <w:color w:val="000000" w:themeColor="text1"/>
          <w:sz w:val="24"/>
          <w:szCs w:val="24"/>
        </w:rPr>
        <w:t>Note that the revenue impact reported in Table A</w:t>
      </w:r>
      <w:r w:rsidR="00F34ABA">
        <w:rPr>
          <w:rFonts w:asciiTheme="majorHAnsi" w:eastAsiaTheme="majorEastAsia" w:hAnsiTheme="majorHAnsi" w:cstheme="majorBidi"/>
          <w:bCs/>
          <w:color w:val="000000" w:themeColor="text1"/>
          <w:sz w:val="24"/>
          <w:szCs w:val="24"/>
        </w:rPr>
        <w:t>3-</w:t>
      </w:r>
      <w:r>
        <w:rPr>
          <w:rFonts w:asciiTheme="majorHAnsi" w:eastAsiaTheme="majorEastAsia" w:hAnsiTheme="majorHAnsi" w:cstheme="majorBidi"/>
          <w:bCs/>
          <w:color w:val="000000" w:themeColor="text1"/>
          <w:sz w:val="24"/>
          <w:szCs w:val="24"/>
        </w:rPr>
        <w:t xml:space="preserve">1 does not include the estimated direct impact of the tax expenditure from Table </w:t>
      </w:r>
      <w:r w:rsidR="006A03A1">
        <w:rPr>
          <w:rFonts w:asciiTheme="majorHAnsi" w:eastAsiaTheme="majorEastAsia" w:hAnsiTheme="majorHAnsi" w:cstheme="majorBidi"/>
          <w:bCs/>
          <w:color w:val="000000" w:themeColor="text1"/>
          <w:sz w:val="24"/>
          <w:szCs w:val="24"/>
        </w:rPr>
        <w:t>1</w:t>
      </w:r>
      <w:r>
        <w:rPr>
          <w:rFonts w:asciiTheme="majorHAnsi" w:eastAsiaTheme="majorEastAsia" w:hAnsiTheme="majorHAnsi" w:cstheme="majorBidi"/>
          <w:bCs/>
          <w:color w:val="000000" w:themeColor="text1"/>
          <w:sz w:val="24"/>
          <w:szCs w:val="24"/>
        </w:rPr>
        <w:t>, but only the additional indirect/induced impact.</w:t>
      </w:r>
    </w:p>
    <w:p w14:paraId="070B46DB" w14:textId="77777777" w:rsidR="00D27980" w:rsidRDefault="00D27980" w:rsidP="00D27980">
      <w:pPr>
        <w:spacing w:after="0"/>
        <w:rPr>
          <w:rFonts w:asciiTheme="majorHAnsi" w:hAnsiTheme="majorHAnsi"/>
          <w:bCs/>
          <w:sz w:val="24"/>
          <w:szCs w:val="24"/>
        </w:rPr>
      </w:pPr>
    </w:p>
    <w:p w14:paraId="56A9E459" w14:textId="254B01FC" w:rsidR="00D27980" w:rsidRDefault="00D27980" w:rsidP="00D27980">
      <w:pPr>
        <w:spacing w:after="0"/>
        <w:jc w:val="center"/>
        <w:rPr>
          <w:rFonts w:asciiTheme="majorHAnsi" w:eastAsiaTheme="majorEastAsia" w:hAnsiTheme="majorHAnsi" w:cstheme="majorBidi"/>
          <w:b/>
          <w:color w:val="000000" w:themeColor="text1"/>
          <w:sz w:val="24"/>
          <w:szCs w:val="24"/>
        </w:rPr>
      </w:pPr>
      <w:r w:rsidRPr="00366FFC">
        <w:rPr>
          <w:rFonts w:asciiTheme="majorHAnsi" w:eastAsiaTheme="majorEastAsia" w:hAnsiTheme="majorHAnsi" w:cstheme="majorBidi"/>
          <w:b/>
          <w:color w:val="000000" w:themeColor="text1"/>
          <w:sz w:val="24"/>
          <w:szCs w:val="24"/>
        </w:rPr>
        <w:t xml:space="preserve">Table </w:t>
      </w:r>
      <w:r>
        <w:rPr>
          <w:rFonts w:asciiTheme="majorHAnsi" w:eastAsiaTheme="majorEastAsia" w:hAnsiTheme="majorHAnsi" w:cstheme="majorBidi"/>
          <w:b/>
          <w:color w:val="000000" w:themeColor="text1"/>
          <w:sz w:val="24"/>
          <w:szCs w:val="24"/>
        </w:rPr>
        <w:t>A</w:t>
      </w:r>
      <w:r w:rsidR="00F34ABA">
        <w:rPr>
          <w:rFonts w:asciiTheme="majorHAnsi" w:eastAsiaTheme="majorEastAsia" w:hAnsiTheme="majorHAnsi" w:cstheme="majorBidi"/>
          <w:b/>
          <w:color w:val="000000" w:themeColor="text1"/>
          <w:sz w:val="24"/>
          <w:szCs w:val="24"/>
        </w:rPr>
        <w:t>3-</w:t>
      </w:r>
      <w:r>
        <w:rPr>
          <w:rFonts w:asciiTheme="majorHAnsi" w:eastAsiaTheme="majorEastAsia" w:hAnsiTheme="majorHAnsi" w:cstheme="majorBidi"/>
          <w:b/>
          <w:color w:val="000000" w:themeColor="text1"/>
          <w:sz w:val="24"/>
          <w:szCs w:val="24"/>
        </w:rPr>
        <w:t>1</w:t>
      </w:r>
      <w:r w:rsidRPr="00366FFC">
        <w:rPr>
          <w:rFonts w:asciiTheme="majorHAnsi" w:eastAsiaTheme="majorEastAsia" w:hAnsiTheme="majorHAnsi" w:cstheme="majorBidi"/>
          <w:b/>
          <w:color w:val="000000" w:themeColor="text1"/>
          <w:sz w:val="24"/>
          <w:szCs w:val="24"/>
        </w:rPr>
        <w:t xml:space="preserve">. </w:t>
      </w:r>
      <w:r>
        <w:rPr>
          <w:rFonts w:asciiTheme="majorHAnsi" w:eastAsiaTheme="majorEastAsia" w:hAnsiTheme="majorHAnsi" w:cstheme="majorBidi"/>
          <w:b/>
          <w:color w:val="000000" w:themeColor="text1"/>
          <w:sz w:val="24"/>
          <w:szCs w:val="24"/>
        </w:rPr>
        <w:t xml:space="preserve">Additional Revenue Impact due to Decreased Government Spending* </w:t>
      </w:r>
    </w:p>
    <w:tbl>
      <w:tblPr>
        <w:tblW w:w="9350" w:type="dxa"/>
        <w:jc w:val="center"/>
        <w:tblLook w:val="04A0" w:firstRow="1" w:lastRow="0" w:firstColumn="1" w:lastColumn="0" w:noHBand="0" w:noVBand="1"/>
      </w:tblPr>
      <w:tblGrid>
        <w:gridCol w:w="3655"/>
        <w:gridCol w:w="1139"/>
        <w:gridCol w:w="1139"/>
        <w:gridCol w:w="1139"/>
        <w:gridCol w:w="1139"/>
        <w:gridCol w:w="1139"/>
      </w:tblGrid>
      <w:tr w:rsidR="00D27980" w:rsidRPr="008B33E0" w14:paraId="65663F08" w14:textId="77777777" w:rsidTr="00AD6B46">
        <w:trPr>
          <w:trHeight w:val="500"/>
          <w:jc w:val="center"/>
        </w:trPr>
        <w:tc>
          <w:tcPr>
            <w:tcW w:w="365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4EAA0B4A" w14:textId="77777777" w:rsidR="00D27980" w:rsidRPr="008B33E0" w:rsidRDefault="00D27980" w:rsidP="00AD6B46">
            <w:pPr>
              <w:spacing w:after="0" w:line="240" w:lineRule="auto"/>
              <w:jc w:val="center"/>
              <w:rPr>
                <w:rFonts w:ascii="Cambria" w:eastAsia="Times New Roman" w:hAnsi="Cambria" w:cs="Helvetica"/>
                <w:sz w:val="20"/>
                <w:szCs w:val="20"/>
                <w:lang w:eastAsia="ko-KR"/>
              </w:rPr>
            </w:pPr>
            <w:r w:rsidRPr="008B33E0">
              <w:rPr>
                <w:rFonts w:ascii="Cambria" w:eastAsia="Times New Roman" w:hAnsi="Cambria" w:cs="Helvetica"/>
                <w:sz w:val="20"/>
                <w:szCs w:val="20"/>
                <w:lang w:eastAsia="ko-KR"/>
              </w:rPr>
              <w:t>Fiscal Year</w:t>
            </w:r>
          </w:p>
        </w:tc>
        <w:tc>
          <w:tcPr>
            <w:tcW w:w="1139" w:type="dxa"/>
            <w:tcBorders>
              <w:top w:val="single" w:sz="4" w:space="0" w:color="auto"/>
              <w:left w:val="nil"/>
              <w:bottom w:val="single" w:sz="4" w:space="0" w:color="auto"/>
              <w:right w:val="single" w:sz="4" w:space="0" w:color="auto"/>
            </w:tcBorders>
            <w:shd w:val="clear" w:color="000000" w:fill="B7DEE8"/>
            <w:noWrap/>
            <w:vAlign w:val="center"/>
            <w:hideMark/>
          </w:tcPr>
          <w:p w14:paraId="6C7FF15E" w14:textId="77777777" w:rsidR="00D27980" w:rsidRPr="008B33E0" w:rsidRDefault="00D27980" w:rsidP="00AD6B46">
            <w:pPr>
              <w:spacing w:after="0" w:line="240" w:lineRule="auto"/>
              <w:jc w:val="center"/>
              <w:rPr>
                <w:rFonts w:ascii="Cambria" w:eastAsia="Times New Roman" w:hAnsi="Cambria" w:cs="Helvetica"/>
                <w:sz w:val="20"/>
                <w:szCs w:val="20"/>
                <w:lang w:eastAsia="ko-KR"/>
              </w:rPr>
            </w:pPr>
            <w:r w:rsidRPr="008B33E0">
              <w:rPr>
                <w:rFonts w:ascii="Cambria" w:eastAsia="Times New Roman" w:hAnsi="Cambria" w:cs="Helvetica"/>
                <w:sz w:val="20"/>
                <w:szCs w:val="20"/>
                <w:lang w:eastAsia="ko-KR"/>
              </w:rPr>
              <w:t>2018</w:t>
            </w:r>
          </w:p>
        </w:tc>
        <w:tc>
          <w:tcPr>
            <w:tcW w:w="1139" w:type="dxa"/>
            <w:tcBorders>
              <w:top w:val="single" w:sz="4" w:space="0" w:color="auto"/>
              <w:left w:val="nil"/>
              <w:bottom w:val="single" w:sz="4" w:space="0" w:color="auto"/>
              <w:right w:val="single" w:sz="4" w:space="0" w:color="auto"/>
            </w:tcBorders>
            <w:shd w:val="clear" w:color="000000" w:fill="B7DEE8"/>
            <w:noWrap/>
            <w:vAlign w:val="center"/>
            <w:hideMark/>
          </w:tcPr>
          <w:p w14:paraId="035B9B0A" w14:textId="77777777" w:rsidR="00D27980" w:rsidRPr="008B33E0" w:rsidRDefault="00D27980" w:rsidP="00AD6B46">
            <w:pPr>
              <w:spacing w:after="0" w:line="240" w:lineRule="auto"/>
              <w:jc w:val="center"/>
              <w:rPr>
                <w:rFonts w:ascii="Cambria" w:eastAsia="Times New Roman" w:hAnsi="Cambria" w:cs="Helvetica"/>
                <w:sz w:val="20"/>
                <w:szCs w:val="20"/>
                <w:lang w:eastAsia="ko-KR"/>
              </w:rPr>
            </w:pPr>
            <w:r w:rsidRPr="008B33E0">
              <w:rPr>
                <w:rFonts w:ascii="Cambria" w:eastAsia="Times New Roman" w:hAnsi="Cambria" w:cs="Helvetica"/>
                <w:sz w:val="20"/>
                <w:szCs w:val="20"/>
                <w:lang w:eastAsia="ko-KR"/>
              </w:rPr>
              <w:t>2019</w:t>
            </w:r>
          </w:p>
        </w:tc>
        <w:tc>
          <w:tcPr>
            <w:tcW w:w="1139" w:type="dxa"/>
            <w:tcBorders>
              <w:top w:val="single" w:sz="4" w:space="0" w:color="auto"/>
              <w:left w:val="nil"/>
              <w:bottom w:val="single" w:sz="4" w:space="0" w:color="auto"/>
              <w:right w:val="single" w:sz="4" w:space="0" w:color="auto"/>
            </w:tcBorders>
            <w:shd w:val="clear" w:color="000000" w:fill="B7DEE8"/>
            <w:noWrap/>
            <w:vAlign w:val="center"/>
            <w:hideMark/>
          </w:tcPr>
          <w:p w14:paraId="6C5773B8" w14:textId="77777777" w:rsidR="00D27980" w:rsidRPr="008B33E0" w:rsidRDefault="00D27980" w:rsidP="00AD6B46">
            <w:pPr>
              <w:spacing w:after="0" w:line="240" w:lineRule="auto"/>
              <w:jc w:val="center"/>
              <w:rPr>
                <w:rFonts w:ascii="Cambria" w:eastAsia="Times New Roman" w:hAnsi="Cambria" w:cs="Helvetica"/>
                <w:sz w:val="20"/>
                <w:szCs w:val="20"/>
                <w:lang w:eastAsia="ko-KR"/>
              </w:rPr>
            </w:pPr>
            <w:r w:rsidRPr="008B33E0">
              <w:rPr>
                <w:rFonts w:ascii="Cambria" w:eastAsia="Times New Roman" w:hAnsi="Cambria" w:cs="Helvetica"/>
                <w:sz w:val="20"/>
                <w:szCs w:val="20"/>
                <w:lang w:eastAsia="ko-KR"/>
              </w:rPr>
              <w:t>2020</w:t>
            </w:r>
          </w:p>
        </w:tc>
        <w:tc>
          <w:tcPr>
            <w:tcW w:w="1139" w:type="dxa"/>
            <w:tcBorders>
              <w:top w:val="single" w:sz="4" w:space="0" w:color="auto"/>
              <w:left w:val="nil"/>
              <w:bottom w:val="single" w:sz="4" w:space="0" w:color="auto"/>
              <w:right w:val="single" w:sz="4" w:space="0" w:color="auto"/>
            </w:tcBorders>
            <w:shd w:val="clear" w:color="000000" w:fill="B7DEE8"/>
            <w:noWrap/>
            <w:vAlign w:val="center"/>
            <w:hideMark/>
          </w:tcPr>
          <w:p w14:paraId="71FF56AC" w14:textId="77777777" w:rsidR="00D27980" w:rsidRPr="008B33E0" w:rsidRDefault="00D27980" w:rsidP="00AD6B46">
            <w:pPr>
              <w:spacing w:after="0" w:line="240" w:lineRule="auto"/>
              <w:jc w:val="center"/>
              <w:rPr>
                <w:rFonts w:ascii="Cambria" w:eastAsia="Times New Roman" w:hAnsi="Cambria" w:cs="Helvetica"/>
                <w:sz w:val="20"/>
                <w:szCs w:val="20"/>
                <w:lang w:eastAsia="ko-KR"/>
              </w:rPr>
            </w:pPr>
            <w:r w:rsidRPr="008B33E0">
              <w:rPr>
                <w:rFonts w:ascii="Cambria" w:eastAsia="Times New Roman" w:hAnsi="Cambria" w:cs="Helvetica"/>
                <w:sz w:val="20"/>
                <w:szCs w:val="20"/>
                <w:lang w:eastAsia="ko-KR"/>
              </w:rPr>
              <w:t>2021</w:t>
            </w:r>
          </w:p>
        </w:tc>
        <w:tc>
          <w:tcPr>
            <w:tcW w:w="1139" w:type="dxa"/>
            <w:tcBorders>
              <w:top w:val="single" w:sz="4" w:space="0" w:color="auto"/>
              <w:left w:val="nil"/>
              <w:bottom w:val="single" w:sz="4" w:space="0" w:color="auto"/>
              <w:right w:val="single" w:sz="4" w:space="0" w:color="auto"/>
            </w:tcBorders>
            <w:shd w:val="clear" w:color="000000" w:fill="B7DEE8"/>
            <w:noWrap/>
            <w:vAlign w:val="center"/>
            <w:hideMark/>
          </w:tcPr>
          <w:p w14:paraId="6BACF600" w14:textId="77777777" w:rsidR="00D27980" w:rsidRPr="008B33E0" w:rsidRDefault="00D27980" w:rsidP="00AD6B46">
            <w:pPr>
              <w:spacing w:after="0" w:line="240" w:lineRule="auto"/>
              <w:jc w:val="center"/>
              <w:rPr>
                <w:rFonts w:ascii="Cambria" w:eastAsia="Times New Roman" w:hAnsi="Cambria" w:cs="Helvetica"/>
                <w:sz w:val="20"/>
                <w:szCs w:val="20"/>
                <w:lang w:eastAsia="ko-KR"/>
              </w:rPr>
            </w:pPr>
            <w:r w:rsidRPr="008B33E0">
              <w:rPr>
                <w:rFonts w:ascii="Cambria" w:eastAsia="Times New Roman" w:hAnsi="Cambria" w:cs="Helvetica"/>
                <w:sz w:val="20"/>
                <w:szCs w:val="20"/>
                <w:lang w:eastAsia="ko-KR"/>
              </w:rPr>
              <w:t>2022</w:t>
            </w:r>
          </w:p>
        </w:tc>
      </w:tr>
      <w:tr w:rsidR="00F34ABA" w:rsidRPr="008B33E0" w14:paraId="3203B3D1" w14:textId="77777777" w:rsidTr="00AD6B46">
        <w:trPr>
          <w:trHeight w:val="500"/>
          <w:jc w:val="center"/>
        </w:trPr>
        <w:tc>
          <w:tcPr>
            <w:tcW w:w="3655" w:type="dxa"/>
            <w:tcBorders>
              <w:top w:val="nil"/>
              <w:left w:val="single" w:sz="4" w:space="0" w:color="auto"/>
              <w:bottom w:val="single" w:sz="4" w:space="0" w:color="auto"/>
              <w:right w:val="single" w:sz="4" w:space="0" w:color="auto"/>
            </w:tcBorders>
            <w:shd w:val="clear" w:color="auto" w:fill="auto"/>
            <w:noWrap/>
            <w:vAlign w:val="center"/>
            <w:hideMark/>
          </w:tcPr>
          <w:p w14:paraId="1E8CF870" w14:textId="77777777" w:rsidR="00F34ABA" w:rsidRPr="008B33E0" w:rsidRDefault="00F34ABA" w:rsidP="00F34ABA">
            <w:pPr>
              <w:spacing w:after="0" w:line="240" w:lineRule="auto"/>
              <w:jc w:val="center"/>
              <w:rPr>
                <w:rFonts w:ascii="Cambria" w:eastAsia="Times New Roman" w:hAnsi="Cambria" w:cs="Helvetica"/>
                <w:sz w:val="20"/>
                <w:szCs w:val="20"/>
                <w:lang w:eastAsia="ko-KR"/>
              </w:rPr>
            </w:pPr>
            <w:r>
              <w:rPr>
                <w:rFonts w:ascii="Cambria" w:eastAsia="Times New Roman" w:hAnsi="Cambria" w:cs="Helvetica"/>
                <w:sz w:val="20"/>
                <w:szCs w:val="20"/>
                <w:lang w:eastAsia="ko-KR"/>
              </w:rPr>
              <w:t>Additional r</w:t>
            </w:r>
            <w:r w:rsidRPr="008B33E0">
              <w:rPr>
                <w:rFonts w:ascii="Cambria" w:eastAsia="Times New Roman" w:hAnsi="Cambria" w:cs="Helvetica"/>
                <w:sz w:val="20"/>
                <w:szCs w:val="20"/>
                <w:lang w:eastAsia="ko-KR"/>
              </w:rPr>
              <w:t xml:space="preserve">evenue </w:t>
            </w:r>
            <w:r>
              <w:rPr>
                <w:rFonts w:ascii="Cambria" w:eastAsia="Times New Roman" w:hAnsi="Cambria" w:cs="Helvetica"/>
                <w:sz w:val="20"/>
                <w:szCs w:val="20"/>
                <w:lang w:eastAsia="ko-KR"/>
              </w:rPr>
              <w:t xml:space="preserve">impact </w:t>
            </w:r>
            <w:r w:rsidRPr="008B33E0">
              <w:rPr>
                <w:rFonts w:ascii="Cambria" w:eastAsia="Times New Roman" w:hAnsi="Cambria" w:cs="Helvetica"/>
                <w:sz w:val="20"/>
                <w:szCs w:val="20"/>
                <w:lang w:eastAsia="ko-KR"/>
              </w:rPr>
              <w:t>($000)</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3B50F" w14:textId="2F5E408C" w:rsidR="00F34ABA" w:rsidRPr="008B33E0"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-$19,121</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71E5C827" w14:textId="4DDF15BF" w:rsidR="00F34ABA" w:rsidRPr="008B33E0"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-$41,867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173C79DB" w14:textId="025226E5" w:rsidR="00F34ABA" w:rsidRPr="008B33E0"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-$46,977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061B7970" w14:textId="24AABEE3" w:rsidR="00F34ABA" w:rsidRPr="008B33E0"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-$50,537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670E7DF9" w14:textId="4569DDF0" w:rsidR="00F34ABA" w:rsidRPr="008B33E0"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-$51,917</w:t>
            </w:r>
          </w:p>
        </w:tc>
      </w:tr>
    </w:tbl>
    <w:p w14:paraId="53162427" w14:textId="6D2C9C68" w:rsidR="00D27980" w:rsidRPr="00304366" w:rsidRDefault="00D27980" w:rsidP="00D27980">
      <w:pPr>
        <w:spacing w:after="0"/>
        <w:rPr>
          <w:rFonts w:asciiTheme="majorHAnsi" w:eastAsiaTheme="majorEastAsia" w:hAnsiTheme="majorHAnsi" w:cstheme="majorBidi"/>
          <w:bCs/>
          <w:color w:val="000000" w:themeColor="text1"/>
          <w:sz w:val="20"/>
          <w:szCs w:val="20"/>
        </w:rPr>
      </w:pPr>
      <w:r w:rsidRPr="00304366">
        <w:rPr>
          <w:rFonts w:asciiTheme="majorHAnsi" w:eastAsiaTheme="majorEastAsia" w:hAnsiTheme="majorHAnsi" w:cstheme="majorBidi"/>
          <w:bCs/>
          <w:color w:val="000000" w:themeColor="text1"/>
          <w:sz w:val="20"/>
          <w:szCs w:val="20"/>
        </w:rPr>
        <w:t>*</w:t>
      </w:r>
      <w:r w:rsidRPr="001E30CF">
        <w:rPr>
          <w:rFonts w:asciiTheme="majorHAnsi" w:eastAsiaTheme="majorEastAsia" w:hAnsiTheme="majorHAnsi" w:cstheme="majorBidi"/>
          <w:bCs/>
          <w:color w:val="000000" w:themeColor="text1"/>
          <w:sz w:val="20"/>
          <w:szCs w:val="20"/>
        </w:rPr>
        <w:t xml:space="preserve"> </w:t>
      </w:r>
      <w:r w:rsidRPr="00304366">
        <w:rPr>
          <w:rFonts w:asciiTheme="majorHAnsi" w:eastAsiaTheme="majorEastAsia" w:hAnsiTheme="majorHAnsi" w:cstheme="majorBidi"/>
          <w:bCs/>
          <w:color w:val="000000" w:themeColor="text1"/>
          <w:sz w:val="20"/>
          <w:szCs w:val="20"/>
        </w:rPr>
        <w:t>This table report</w:t>
      </w:r>
      <w:r>
        <w:rPr>
          <w:rFonts w:asciiTheme="majorHAnsi" w:eastAsiaTheme="majorEastAsia" w:hAnsiTheme="majorHAnsi" w:cstheme="majorBidi"/>
          <w:bCs/>
          <w:color w:val="000000" w:themeColor="text1"/>
          <w:sz w:val="20"/>
          <w:szCs w:val="20"/>
        </w:rPr>
        <w:t>s</w:t>
      </w:r>
      <w:r w:rsidRPr="00304366">
        <w:rPr>
          <w:rFonts w:asciiTheme="majorHAnsi" w:eastAsiaTheme="majorEastAsia" w:hAnsiTheme="majorHAnsi" w:cstheme="majorBidi"/>
          <w:bCs/>
          <w:color w:val="000000" w:themeColor="text1"/>
          <w:sz w:val="20"/>
          <w:szCs w:val="20"/>
        </w:rPr>
        <w:t xml:space="preserve"> the lost revenues from the foregone economic activit</w:t>
      </w:r>
      <w:r>
        <w:rPr>
          <w:rFonts w:asciiTheme="majorHAnsi" w:eastAsiaTheme="majorEastAsia" w:hAnsiTheme="majorHAnsi" w:cstheme="majorBidi"/>
          <w:bCs/>
          <w:color w:val="000000" w:themeColor="text1"/>
          <w:sz w:val="20"/>
          <w:szCs w:val="20"/>
        </w:rPr>
        <w:t>y</w:t>
      </w:r>
      <w:r w:rsidRPr="00304366">
        <w:rPr>
          <w:rFonts w:asciiTheme="majorHAnsi" w:eastAsiaTheme="majorEastAsia" w:hAnsiTheme="majorHAnsi" w:cstheme="majorBidi"/>
          <w:bCs/>
          <w:color w:val="000000" w:themeColor="text1"/>
          <w:sz w:val="20"/>
          <w:szCs w:val="20"/>
        </w:rPr>
        <w:t xml:space="preserve"> as the state </w:t>
      </w:r>
      <w:r>
        <w:rPr>
          <w:rFonts w:asciiTheme="majorHAnsi" w:eastAsiaTheme="majorEastAsia" w:hAnsiTheme="majorHAnsi" w:cstheme="majorBidi"/>
          <w:bCs/>
          <w:color w:val="000000" w:themeColor="text1"/>
          <w:sz w:val="20"/>
          <w:szCs w:val="20"/>
        </w:rPr>
        <w:t>reduced</w:t>
      </w:r>
      <w:r w:rsidRPr="00304366">
        <w:rPr>
          <w:rFonts w:asciiTheme="majorHAnsi" w:eastAsiaTheme="majorEastAsia" w:hAnsiTheme="majorHAnsi" w:cstheme="majorBidi"/>
          <w:bCs/>
          <w:color w:val="000000" w:themeColor="text1"/>
          <w:sz w:val="20"/>
          <w:szCs w:val="20"/>
        </w:rPr>
        <w:t xml:space="preserve"> government spending to finance the </w:t>
      </w:r>
      <w:r w:rsidR="00AD6B46">
        <w:rPr>
          <w:rFonts w:asciiTheme="majorHAnsi" w:eastAsiaTheme="majorEastAsia" w:hAnsiTheme="majorHAnsi" w:cstheme="majorBidi"/>
          <w:bCs/>
          <w:color w:val="000000" w:themeColor="text1"/>
          <w:sz w:val="20"/>
          <w:szCs w:val="20"/>
        </w:rPr>
        <w:t>apportionment formula</w:t>
      </w:r>
      <w:r w:rsidR="0069127A">
        <w:rPr>
          <w:rFonts w:asciiTheme="majorHAnsi" w:eastAsiaTheme="majorEastAsia" w:hAnsiTheme="majorHAnsi" w:cstheme="majorBidi"/>
          <w:bCs/>
          <w:color w:val="000000" w:themeColor="text1"/>
          <w:sz w:val="20"/>
          <w:szCs w:val="20"/>
        </w:rPr>
        <w:t>s</w:t>
      </w:r>
      <w:r w:rsidR="00AD6B46">
        <w:rPr>
          <w:rFonts w:asciiTheme="majorHAnsi" w:eastAsiaTheme="majorEastAsia" w:hAnsiTheme="majorHAnsi" w:cstheme="majorBidi"/>
          <w:bCs/>
          <w:color w:val="000000" w:themeColor="text1"/>
          <w:sz w:val="20"/>
          <w:szCs w:val="20"/>
        </w:rPr>
        <w:t xml:space="preserve"> </w:t>
      </w:r>
      <w:r w:rsidR="0069127A">
        <w:rPr>
          <w:rFonts w:asciiTheme="majorHAnsi" w:eastAsiaTheme="majorEastAsia" w:hAnsiTheme="majorHAnsi" w:cstheme="majorBidi"/>
          <w:bCs/>
          <w:color w:val="000000" w:themeColor="text1"/>
          <w:sz w:val="20"/>
          <w:szCs w:val="20"/>
        </w:rPr>
        <w:t>with</w:t>
      </w:r>
      <w:r w:rsidR="00AD6B46">
        <w:rPr>
          <w:rFonts w:asciiTheme="majorHAnsi" w:eastAsiaTheme="majorEastAsia" w:hAnsiTheme="majorHAnsi" w:cstheme="majorBidi"/>
          <w:bCs/>
          <w:color w:val="000000" w:themeColor="text1"/>
          <w:sz w:val="20"/>
          <w:szCs w:val="20"/>
        </w:rPr>
        <w:t xml:space="preserve"> </w:t>
      </w:r>
      <w:r w:rsidR="0020671E">
        <w:rPr>
          <w:rFonts w:asciiTheme="majorHAnsi" w:eastAsiaTheme="majorEastAsia" w:hAnsiTheme="majorHAnsi" w:cstheme="majorBidi"/>
          <w:bCs/>
          <w:color w:val="000000" w:themeColor="text1"/>
          <w:sz w:val="20"/>
          <w:szCs w:val="20"/>
        </w:rPr>
        <w:t xml:space="preserve">higher </w:t>
      </w:r>
      <w:r w:rsidR="00AD6B46">
        <w:rPr>
          <w:rFonts w:asciiTheme="majorHAnsi" w:eastAsiaTheme="majorEastAsia" w:hAnsiTheme="majorHAnsi" w:cstheme="majorBidi"/>
          <w:bCs/>
          <w:color w:val="000000" w:themeColor="text1"/>
          <w:sz w:val="20"/>
          <w:szCs w:val="20"/>
        </w:rPr>
        <w:t xml:space="preserve">weighted </w:t>
      </w:r>
      <w:r w:rsidR="0069127A">
        <w:rPr>
          <w:rFonts w:asciiTheme="majorHAnsi" w:eastAsiaTheme="majorEastAsia" w:hAnsiTheme="majorHAnsi" w:cstheme="majorBidi"/>
          <w:bCs/>
          <w:color w:val="000000" w:themeColor="text1"/>
          <w:sz w:val="20"/>
          <w:szCs w:val="20"/>
        </w:rPr>
        <w:t>sales</w:t>
      </w:r>
      <w:r w:rsidR="00AD6B46">
        <w:rPr>
          <w:rFonts w:asciiTheme="majorHAnsi" w:eastAsiaTheme="majorEastAsia" w:hAnsiTheme="majorHAnsi" w:cstheme="majorBidi"/>
          <w:bCs/>
          <w:color w:val="000000" w:themeColor="text1"/>
          <w:sz w:val="20"/>
          <w:szCs w:val="20"/>
        </w:rPr>
        <w:t xml:space="preserve"> factor</w:t>
      </w:r>
      <w:r w:rsidRPr="00304366">
        <w:rPr>
          <w:rFonts w:asciiTheme="majorHAnsi" w:eastAsiaTheme="majorEastAsia" w:hAnsiTheme="majorHAnsi" w:cstheme="majorBidi"/>
          <w:bCs/>
          <w:color w:val="000000" w:themeColor="text1"/>
          <w:sz w:val="20"/>
          <w:szCs w:val="20"/>
        </w:rPr>
        <w:t>.</w:t>
      </w:r>
    </w:p>
    <w:p w14:paraId="1375D419" w14:textId="77777777" w:rsidR="00D27980" w:rsidRDefault="00D27980" w:rsidP="00D27980">
      <w:pPr>
        <w:spacing w:after="0"/>
        <w:rPr>
          <w:rFonts w:asciiTheme="majorHAnsi" w:eastAsiaTheme="majorEastAsia" w:hAnsiTheme="majorHAnsi" w:cstheme="majorBidi"/>
          <w:bCs/>
          <w:color w:val="000000" w:themeColor="text1"/>
          <w:sz w:val="24"/>
          <w:szCs w:val="24"/>
        </w:rPr>
      </w:pPr>
    </w:p>
    <w:p w14:paraId="47E5B394" w14:textId="657C0480" w:rsidR="00D31266" w:rsidRDefault="00D27980" w:rsidP="00D27980">
      <w:pPr>
        <w:spacing w:after="0"/>
        <w:jc w:val="center"/>
        <w:rPr>
          <w:rFonts w:asciiTheme="majorHAnsi" w:eastAsiaTheme="majorEastAsia" w:hAnsiTheme="majorHAnsi" w:cstheme="majorBidi"/>
          <w:b/>
          <w:color w:val="000000" w:themeColor="text1"/>
          <w:sz w:val="24"/>
          <w:szCs w:val="24"/>
        </w:rPr>
      </w:pPr>
      <w:r w:rsidRPr="00366FFC">
        <w:rPr>
          <w:rFonts w:asciiTheme="majorHAnsi" w:eastAsiaTheme="majorEastAsia" w:hAnsiTheme="majorHAnsi" w:cstheme="majorBidi"/>
          <w:b/>
          <w:color w:val="000000" w:themeColor="text1"/>
          <w:sz w:val="24"/>
          <w:szCs w:val="24"/>
        </w:rPr>
        <w:t xml:space="preserve">Table </w:t>
      </w:r>
      <w:r>
        <w:rPr>
          <w:rFonts w:asciiTheme="majorHAnsi" w:eastAsiaTheme="majorEastAsia" w:hAnsiTheme="majorHAnsi" w:cstheme="majorBidi"/>
          <w:b/>
          <w:color w:val="000000" w:themeColor="text1"/>
          <w:sz w:val="24"/>
          <w:szCs w:val="24"/>
        </w:rPr>
        <w:t>A</w:t>
      </w:r>
      <w:r w:rsidR="00F34ABA">
        <w:rPr>
          <w:rFonts w:asciiTheme="majorHAnsi" w:eastAsiaTheme="majorEastAsia" w:hAnsiTheme="majorHAnsi" w:cstheme="majorBidi"/>
          <w:b/>
          <w:color w:val="000000" w:themeColor="text1"/>
          <w:sz w:val="24"/>
          <w:szCs w:val="24"/>
        </w:rPr>
        <w:t>3-</w:t>
      </w:r>
      <w:r>
        <w:rPr>
          <w:rFonts w:asciiTheme="majorHAnsi" w:eastAsiaTheme="majorEastAsia" w:hAnsiTheme="majorHAnsi" w:cstheme="majorBidi"/>
          <w:b/>
          <w:color w:val="000000" w:themeColor="text1"/>
          <w:sz w:val="24"/>
          <w:szCs w:val="24"/>
        </w:rPr>
        <w:t>2</w:t>
      </w:r>
      <w:r w:rsidRPr="00366FFC">
        <w:rPr>
          <w:rFonts w:asciiTheme="majorHAnsi" w:eastAsiaTheme="majorEastAsia" w:hAnsiTheme="majorHAnsi" w:cstheme="majorBidi"/>
          <w:b/>
          <w:color w:val="000000" w:themeColor="text1"/>
          <w:sz w:val="24"/>
          <w:szCs w:val="24"/>
        </w:rPr>
        <w:t xml:space="preserve">. </w:t>
      </w:r>
      <w:r>
        <w:rPr>
          <w:rFonts w:asciiTheme="majorHAnsi" w:eastAsiaTheme="majorEastAsia" w:hAnsiTheme="majorHAnsi" w:cstheme="majorBidi"/>
          <w:b/>
          <w:color w:val="000000" w:themeColor="text1"/>
          <w:sz w:val="24"/>
          <w:szCs w:val="24"/>
        </w:rPr>
        <w:t xml:space="preserve">Economic Impacts due to Decreased Government Spending </w:t>
      </w:r>
    </w:p>
    <w:p w14:paraId="2A567416" w14:textId="552A03EE" w:rsidR="00D27980" w:rsidRDefault="00D27980" w:rsidP="00D27980">
      <w:pPr>
        <w:spacing w:after="0"/>
        <w:jc w:val="cente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by Selected Economic Measure*</w:t>
      </w:r>
    </w:p>
    <w:tbl>
      <w:tblPr>
        <w:tblW w:w="9355" w:type="dxa"/>
        <w:jc w:val="center"/>
        <w:tblLook w:val="04A0" w:firstRow="1" w:lastRow="0" w:firstColumn="1" w:lastColumn="0" w:noHBand="0" w:noVBand="1"/>
      </w:tblPr>
      <w:tblGrid>
        <w:gridCol w:w="3260"/>
        <w:gridCol w:w="1219"/>
        <w:gridCol w:w="1219"/>
        <w:gridCol w:w="1219"/>
        <w:gridCol w:w="1219"/>
        <w:gridCol w:w="1219"/>
      </w:tblGrid>
      <w:tr w:rsidR="00D27980" w:rsidRPr="00DC336F" w14:paraId="06650DE1" w14:textId="77777777" w:rsidTr="00F34ABA">
        <w:trPr>
          <w:trHeight w:val="380"/>
          <w:jc w:val="center"/>
        </w:trPr>
        <w:tc>
          <w:tcPr>
            <w:tcW w:w="3260"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1B041E3" w14:textId="77777777" w:rsidR="00D27980" w:rsidRPr="00DC336F" w:rsidRDefault="00D27980" w:rsidP="00AD6B46">
            <w:pPr>
              <w:spacing w:after="0" w:line="240" w:lineRule="auto"/>
              <w:jc w:val="center"/>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Calendar Year</w:t>
            </w:r>
          </w:p>
        </w:tc>
        <w:tc>
          <w:tcPr>
            <w:tcW w:w="1219" w:type="dxa"/>
            <w:tcBorders>
              <w:top w:val="single" w:sz="4" w:space="0" w:color="auto"/>
              <w:left w:val="nil"/>
              <w:bottom w:val="single" w:sz="4" w:space="0" w:color="auto"/>
              <w:right w:val="single" w:sz="4" w:space="0" w:color="auto"/>
            </w:tcBorders>
            <w:shd w:val="clear" w:color="000000" w:fill="B7DEE8"/>
            <w:noWrap/>
            <w:vAlign w:val="center"/>
            <w:hideMark/>
          </w:tcPr>
          <w:p w14:paraId="71DC8FC2" w14:textId="77777777" w:rsidR="00D27980" w:rsidRPr="00DC336F" w:rsidRDefault="00D27980" w:rsidP="00AD6B46">
            <w:pPr>
              <w:spacing w:after="0" w:line="240" w:lineRule="auto"/>
              <w:jc w:val="center"/>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2018</w:t>
            </w:r>
          </w:p>
        </w:tc>
        <w:tc>
          <w:tcPr>
            <w:tcW w:w="1219" w:type="dxa"/>
            <w:tcBorders>
              <w:top w:val="single" w:sz="4" w:space="0" w:color="auto"/>
              <w:left w:val="nil"/>
              <w:bottom w:val="single" w:sz="4" w:space="0" w:color="auto"/>
              <w:right w:val="single" w:sz="4" w:space="0" w:color="auto"/>
            </w:tcBorders>
            <w:shd w:val="clear" w:color="000000" w:fill="B7DEE8"/>
            <w:noWrap/>
            <w:vAlign w:val="center"/>
            <w:hideMark/>
          </w:tcPr>
          <w:p w14:paraId="3583EDB4" w14:textId="77777777" w:rsidR="00D27980" w:rsidRPr="00DC336F" w:rsidRDefault="00D27980" w:rsidP="00AD6B46">
            <w:pPr>
              <w:spacing w:after="0" w:line="240" w:lineRule="auto"/>
              <w:jc w:val="center"/>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2019</w:t>
            </w:r>
          </w:p>
        </w:tc>
        <w:tc>
          <w:tcPr>
            <w:tcW w:w="1219" w:type="dxa"/>
            <w:tcBorders>
              <w:top w:val="single" w:sz="4" w:space="0" w:color="auto"/>
              <w:left w:val="nil"/>
              <w:bottom w:val="single" w:sz="4" w:space="0" w:color="auto"/>
              <w:right w:val="single" w:sz="4" w:space="0" w:color="auto"/>
            </w:tcBorders>
            <w:shd w:val="clear" w:color="000000" w:fill="B7DEE8"/>
            <w:noWrap/>
            <w:vAlign w:val="center"/>
            <w:hideMark/>
          </w:tcPr>
          <w:p w14:paraId="2142DF58" w14:textId="77777777" w:rsidR="00D27980" w:rsidRPr="00DC336F" w:rsidRDefault="00D27980" w:rsidP="00AD6B46">
            <w:pPr>
              <w:spacing w:after="0" w:line="240" w:lineRule="auto"/>
              <w:jc w:val="center"/>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2020</w:t>
            </w:r>
          </w:p>
        </w:tc>
        <w:tc>
          <w:tcPr>
            <w:tcW w:w="1219" w:type="dxa"/>
            <w:tcBorders>
              <w:top w:val="single" w:sz="4" w:space="0" w:color="auto"/>
              <w:left w:val="nil"/>
              <w:bottom w:val="single" w:sz="4" w:space="0" w:color="auto"/>
              <w:right w:val="single" w:sz="4" w:space="0" w:color="auto"/>
            </w:tcBorders>
            <w:shd w:val="clear" w:color="000000" w:fill="B7DEE8"/>
            <w:noWrap/>
            <w:vAlign w:val="center"/>
            <w:hideMark/>
          </w:tcPr>
          <w:p w14:paraId="1D7EFB5A" w14:textId="77777777" w:rsidR="00D27980" w:rsidRPr="00DC336F" w:rsidRDefault="00D27980" w:rsidP="00AD6B46">
            <w:pPr>
              <w:spacing w:after="0" w:line="240" w:lineRule="auto"/>
              <w:jc w:val="center"/>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2021</w:t>
            </w:r>
          </w:p>
        </w:tc>
        <w:tc>
          <w:tcPr>
            <w:tcW w:w="1219" w:type="dxa"/>
            <w:tcBorders>
              <w:top w:val="single" w:sz="4" w:space="0" w:color="auto"/>
              <w:left w:val="nil"/>
              <w:bottom w:val="single" w:sz="4" w:space="0" w:color="auto"/>
              <w:right w:val="single" w:sz="4" w:space="0" w:color="auto"/>
            </w:tcBorders>
            <w:shd w:val="clear" w:color="000000" w:fill="B7DEE8"/>
            <w:noWrap/>
            <w:vAlign w:val="center"/>
            <w:hideMark/>
          </w:tcPr>
          <w:p w14:paraId="2B7D7101" w14:textId="77777777" w:rsidR="00D27980" w:rsidRPr="00DC336F" w:rsidRDefault="00D27980" w:rsidP="00AD6B46">
            <w:pPr>
              <w:spacing w:after="0" w:line="240" w:lineRule="auto"/>
              <w:jc w:val="center"/>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2022</w:t>
            </w:r>
          </w:p>
        </w:tc>
      </w:tr>
      <w:tr w:rsidR="00F34ABA" w:rsidRPr="00DC336F" w14:paraId="2E1C11B8" w14:textId="77777777" w:rsidTr="00F34ABA">
        <w:trPr>
          <w:trHeight w:val="54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DD23465" w14:textId="77777777" w:rsidR="00F34ABA" w:rsidRPr="00DC336F" w:rsidRDefault="00F34ABA" w:rsidP="00F34ABA">
            <w:pPr>
              <w:spacing w:after="0" w:line="240" w:lineRule="auto"/>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Impact on total employment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07B8" w14:textId="09741802"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-10,380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5801EF97" w14:textId="45C9B3B5"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-10,670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5D515436" w14:textId="65FFFC52"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-10,998</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14188C16" w14:textId="287FC044"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-10,569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2F41F" w14:textId="47FFA873"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-10,021</w:t>
            </w:r>
          </w:p>
        </w:tc>
      </w:tr>
      <w:tr w:rsidR="00F34ABA" w:rsidRPr="00DC336F" w14:paraId="01E51E20" w14:textId="77777777" w:rsidTr="00F34ABA">
        <w:trPr>
          <w:trHeight w:val="50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5E08C20" w14:textId="77777777" w:rsidR="00F34ABA" w:rsidRPr="00DC336F" w:rsidRDefault="00F34ABA" w:rsidP="00F34ABA">
            <w:pPr>
              <w:spacing w:after="0" w:line="240" w:lineRule="auto"/>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Impact on private non-farm employment</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126C57A8" w14:textId="35EE2303"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-5,724</w:t>
            </w:r>
          </w:p>
        </w:tc>
        <w:tc>
          <w:tcPr>
            <w:tcW w:w="1219" w:type="dxa"/>
            <w:tcBorders>
              <w:top w:val="nil"/>
              <w:left w:val="nil"/>
              <w:bottom w:val="single" w:sz="4" w:space="0" w:color="auto"/>
              <w:right w:val="single" w:sz="4" w:space="0" w:color="auto"/>
            </w:tcBorders>
            <w:shd w:val="clear" w:color="auto" w:fill="auto"/>
            <w:noWrap/>
            <w:vAlign w:val="center"/>
            <w:hideMark/>
          </w:tcPr>
          <w:p w14:paraId="616B8C10" w14:textId="0BC1FEC3"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-5,882</w:t>
            </w:r>
          </w:p>
        </w:tc>
        <w:tc>
          <w:tcPr>
            <w:tcW w:w="1219" w:type="dxa"/>
            <w:tcBorders>
              <w:top w:val="nil"/>
              <w:left w:val="nil"/>
              <w:bottom w:val="single" w:sz="4" w:space="0" w:color="auto"/>
              <w:right w:val="single" w:sz="4" w:space="0" w:color="auto"/>
            </w:tcBorders>
            <w:shd w:val="clear" w:color="auto" w:fill="auto"/>
            <w:noWrap/>
            <w:vAlign w:val="center"/>
            <w:hideMark/>
          </w:tcPr>
          <w:p w14:paraId="75E93F50" w14:textId="2C573C0F"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-6,087</w:t>
            </w:r>
          </w:p>
        </w:tc>
        <w:tc>
          <w:tcPr>
            <w:tcW w:w="1219" w:type="dxa"/>
            <w:tcBorders>
              <w:top w:val="nil"/>
              <w:left w:val="nil"/>
              <w:bottom w:val="single" w:sz="4" w:space="0" w:color="auto"/>
              <w:right w:val="single" w:sz="4" w:space="0" w:color="auto"/>
            </w:tcBorders>
            <w:shd w:val="clear" w:color="auto" w:fill="auto"/>
            <w:noWrap/>
            <w:vAlign w:val="center"/>
            <w:hideMark/>
          </w:tcPr>
          <w:p w14:paraId="102EE9C9" w14:textId="29A7CE49"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-5,758</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72CB7219" w14:textId="25A1A142"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-5,326</w:t>
            </w:r>
          </w:p>
        </w:tc>
      </w:tr>
      <w:tr w:rsidR="00F34ABA" w:rsidRPr="00DC336F" w14:paraId="47E63871" w14:textId="77777777" w:rsidTr="00F34ABA">
        <w:trPr>
          <w:trHeight w:val="50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DC15A9C" w14:textId="77777777" w:rsidR="00F34ABA" w:rsidRPr="00DC336F" w:rsidRDefault="00F34ABA" w:rsidP="00F34ABA">
            <w:pPr>
              <w:spacing w:after="0" w:line="240" w:lineRule="auto"/>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Impact on GDP ($000), real dollars (2012)</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0DBDFA3A" w14:textId="44B4398B"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-$897,000</w:t>
            </w:r>
          </w:p>
        </w:tc>
        <w:tc>
          <w:tcPr>
            <w:tcW w:w="1219" w:type="dxa"/>
            <w:tcBorders>
              <w:top w:val="nil"/>
              <w:left w:val="nil"/>
              <w:bottom w:val="single" w:sz="4" w:space="0" w:color="auto"/>
              <w:right w:val="single" w:sz="4" w:space="0" w:color="auto"/>
            </w:tcBorders>
            <w:shd w:val="clear" w:color="auto" w:fill="auto"/>
            <w:noWrap/>
            <w:vAlign w:val="center"/>
            <w:hideMark/>
          </w:tcPr>
          <w:p w14:paraId="4C354E99" w14:textId="511057CC"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-$930,000</w:t>
            </w:r>
          </w:p>
        </w:tc>
        <w:tc>
          <w:tcPr>
            <w:tcW w:w="1219" w:type="dxa"/>
            <w:tcBorders>
              <w:top w:val="nil"/>
              <w:left w:val="nil"/>
              <w:bottom w:val="single" w:sz="4" w:space="0" w:color="auto"/>
              <w:right w:val="single" w:sz="4" w:space="0" w:color="auto"/>
            </w:tcBorders>
            <w:shd w:val="clear" w:color="auto" w:fill="auto"/>
            <w:noWrap/>
            <w:vAlign w:val="center"/>
            <w:hideMark/>
          </w:tcPr>
          <w:p w14:paraId="34152105" w14:textId="7B04FFD4"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-$968,000</w:t>
            </w:r>
          </w:p>
        </w:tc>
        <w:tc>
          <w:tcPr>
            <w:tcW w:w="1219" w:type="dxa"/>
            <w:tcBorders>
              <w:top w:val="nil"/>
              <w:left w:val="nil"/>
              <w:bottom w:val="single" w:sz="4" w:space="0" w:color="auto"/>
              <w:right w:val="single" w:sz="4" w:space="0" w:color="auto"/>
            </w:tcBorders>
            <w:shd w:val="clear" w:color="auto" w:fill="auto"/>
            <w:noWrap/>
            <w:vAlign w:val="center"/>
            <w:hideMark/>
          </w:tcPr>
          <w:p w14:paraId="29A083B3" w14:textId="09D7563D"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-$943,000</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0DE93D6D" w14:textId="25141D21"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-$906,000</w:t>
            </w:r>
          </w:p>
        </w:tc>
      </w:tr>
      <w:tr w:rsidR="00F34ABA" w:rsidRPr="00DC336F" w14:paraId="49FA906E" w14:textId="77777777" w:rsidTr="00F34ABA">
        <w:trPr>
          <w:trHeight w:val="50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6102994" w14:textId="77777777" w:rsidR="00F34ABA" w:rsidRPr="00DC336F" w:rsidRDefault="00F34ABA" w:rsidP="00F34ABA">
            <w:pPr>
              <w:spacing w:after="0" w:line="240" w:lineRule="auto"/>
              <w:rPr>
                <w:rFonts w:ascii="Cambria" w:eastAsia="Times New Roman" w:hAnsi="Cambria" w:cs="Helvetica"/>
                <w:sz w:val="20"/>
                <w:szCs w:val="20"/>
                <w:lang w:eastAsia="ko-KR"/>
              </w:rPr>
            </w:pPr>
            <w:r w:rsidRPr="00DC336F">
              <w:rPr>
                <w:rFonts w:ascii="Cambria" w:eastAsia="Times New Roman" w:hAnsi="Cambria" w:cs="Helvetica"/>
                <w:sz w:val="20"/>
                <w:szCs w:val="20"/>
                <w:lang w:eastAsia="ko-KR"/>
              </w:rPr>
              <w:t>Impact on personal income ($000)</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15180D80" w14:textId="0FAE52F5"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-$748,000</w:t>
            </w:r>
          </w:p>
        </w:tc>
        <w:tc>
          <w:tcPr>
            <w:tcW w:w="1219" w:type="dxa"/>
            <w:tcBorders>
              <w:top w:val="nil"/>
              <w:left w:val="nil"/>
              <w:bottom w:val="single" w:sz="4" w:space="0" w:color="auto"/>
              <w:right w:val="single" w:sz="4" w:space="0" w:color="auto"/>
            </w:tcBorders>
            <w:shd w:val="clear" w:color="auto" w:fill="auto"/>
            <w:noWrap/>
            <w:vAlign w:val="center"/>
            <w:hideMark/>
          </w:tcPr>
          <w:p w14:paraId="56CAAF35" w14:textId="2DB13DEC"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-$853,000</w:t>
            </w:r>
          </w:p>
        </w:tc>
        <w:tc>
          <w:tcPr>
            <w:tcW w:w="1219" w:type="dxa"/>
            <w:tcBorders>
              <w:top w:val="nil"/>
              <w:left w:val="nil"/>
              <w:bottom w:val="single" w:sz="4" w:space="0" w:color="auto"/>
              <w:right w:val="single" w:sz="4" w:space="0" w:color="auto"/>
            </w:tcBorders>
            <w:shd w:val="clear" w:color="auto" w:fill="auto"/>
            <w:noWrap/>
            <w:vAlign w:val="center"/>
            <w:hideMark/>
          </w:tcPr>
          <w:p w14:paraId="38B05793" w14:textId="03A15410"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-$954,000</w:t>
            </w:r>
          </w:p>
        </w:tc>
        <w:tc>
          <w:tcPr>
            <w:tcW w:w="1219" w:type="dxa"/>
            <w:tcBorders>
              <w:top w:val="nil"/>
              <w:left w:val="nil"/>
              <w:bottom w:val="single" w:sz="4" w:space="0" w:color="auto"/>
              <w:right w:val="single" w:sz="4" w:space="0" w:color="auto"/>
            </w:tcBorders>
            <w:shd w:val="clear" w:color="auto" w:fill="auto"/>
            <w:noWrap/>
            <w:vAlign w:val="center"/>
            <w:hideMark/>
          </w:tcPr>
          <w:p w14:paraId="601C7BA4" w14:textId="5F22AEAC"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-$992,000</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3FC0293B" w14:textId="5093D38D" w:rsidR="00F34ABA" w:rsidRPr="00DC336F"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-$1,009,000</w:t>
            </w:r>
          </w:p>
        </w:tc>
      </w:tr>
    </w:tbl>
    <w:p w14:paraId="73FC0EEC" w14:textId="6379310C" w:rsidR="00AD6B46" w:rsidRPr="00304366" w:rsidRDefault="00D27980" w:rsidP="00AD6B46">
      <w:pPr>
        <w:spacing w:after="0"/>
        <w:rPr>
          <w:rFonts w:asciiTheme="majorHAnsi" w:eastAsiaTheme="majorEastAsia" w:hAnsiTheme="majorHAnsi" w:cstheme="majorBidi"/>
          <w:bCs/>
          <w:color w:val="000000" w:themeColor="text1"/>
          <w:sz w:val="20"/>
          <w:szCs w:val="20"/>
        </w:rPr>
      </w:pPr>
      <w:r w:rsidRPr="008A3AB7">
        <w:rPr>
          <w:rFonts w:asciiTheme="majorHAnsi" w:eastAsiaTheme="majorEastAsia" w:hAnsiTheme="majorHAnsi" w:cstheme="majorBidi"/>
          <w:bCs/>
          <w:color w:val="000000" w:themeColor="text1"/>
          <w:sz w:val="20"/>
          <w:szCs w:val="20"/>
        </w:rPr>
        <w:t>*This table report</w:t>
      </w:r>
      <w:r>
        <w:rPr>
          <w:rFonts w:asciiTheme="majorHAnsi" w:eastAsiaTheme="majorEastAsia" w:hAnsiTheme="majorHAnsi" w:cstheme="majorBidi"/>
          <w:bCs/>
          <w:color w:val="000000" w:themeColor="text1"/>
          <w:sz w:val="20"/>
          <w:szCs w:val="20"/>
        </w:rPr>
        <w:t>s</w:t>
      </w:r>
      <w:r w:rsidRPr="008A3AB7">
        <w:rPr>
          <w:rFonts w:asciiTheme="majorHAnsi" w:eastAsiaTheme="majorEastAsia" w:hAnsiTheme="majorHAnsi" w:cstheme="majorBidi"/>
          <w:bCs/>
          <w:color w:val="000000" w:themeColor="text1"/>
          <w:sz w:val="20"/>
          <w:szCs w:val="20"/>
        </w:rPr>
        <w:t xml:space="preserve"> the </w:t>
      </w:r>
      <w:r>
        <w:rPr>
          <w:rFonts w:asciiTheme="majorHAnsi" w:eastAsiaTheme="majorEastAsia" w:hAnsiTheme="majorHAnsi" w:cstheme="majorBidi"/>
          <w:bCs/>
          <w:color w:val="000000" w:themeColor="text1"/>
          <w:sz w:val="20"/>
          <w:szCs w:val="20"/>
        </w:rPr>
        <w:t>lost</w:t>
      </w:r>
      <w:r w:rsidRPr="008A3AB7">
        <w:rPr>
          <w:rFonts w:asciiTheme="majorHAnsi" w:eastAsiaTheme="majorEastAsia" w:hAnsiTheme="majorHAnsi" w:cstheme="majorBidi"/>
          <w:bCs/>
          <w:color w:val="000000" w:themeColor="text1"/>
          <w:sz w:val="20"/>
          <w:szCs w:val="20"/>
        </w:rPr>
        <w:t xml:space="preserve"> economic activit</w:t>
      </w:r>
      <w:r>
        <w:rPr>
          <w:rFonts w:asciiTheme="majorHAnsi" w:eastAsiaTheme="majorEastAsia" w:hAnsiTheme="majorHAnsi" w:cstheme="majorBidi"/>
          <w:bCs/>
          <w:color w:val="000000" w:themeColor="text1"/>
          <w:sz w:val="20"/>
          <w:szCs w:val="20"/>
        </w:rPr>
        <w:t>y</w:t>
      </w:r>
      <w:r w:rsidRPr="008A3AB7">
        <w:rPr>
          <w:rFonts w:asciiTheme="majorHAnsi" w:eastAsiaTheme="majorEastAsia" w:hAnsiTheme="majorHAnsi" w:cstheme="majorBidi"/>
          <w:bCs/>
          <w:color w:val="000000" w:themeColor="text1"/>
          <w:sz w:val="20"/>
          <w:szCs w:val="20"/>
        </w:rPr>
        <w:t xml:space="preserve"> as the state </w:t>
      </w:r>
      <w:r>
        <w:rPr>
          <w:rFonts w:asciiTheme="majorHAnsi" w:eastAsiaTheme="majorEastAsia" w:hAnsiTheme="majorHAnsi" w:cstheme="majorBidi"/>
          <w:bCs/>
          <w:color w:val="000000" w:themeColor="text1"/>
          <w:sz w:val="20"/>
          <w:szCs w:val="20"/>
        </w:rPr>
        <w:t>reduced</w:t>
      </w:r>
      <w:r w:rsidRPr="008A3AB7">
        <w:rPr>
          <w:rFonts w:asciiTheme="majorHAnsi" w:eastAsiaTheme="majorEastAsia" w:hAnsiTheme="majorHAnsi" w:cstheme="majorBidi"/>
          <w:bCs/>
          <w:color w:val="000000" w:themeColor="text1"/>
          <w:sz w:val="20"/>
          <w:szCs w:val="20"/>
        </w:rPr>
        <w:t xml:space="preserve"> government spending to finance </w:t>
      </w:r>
      <w:r w:rsidR="00AD6B46" w:rsidRPr="00304366">
        <w:rPr>
          <w:rFonts w:asciiTheme="majorHAnsi" w:eastAsiaTheme="majorEastAsia" w:hAnsiTheme="majorHAnsi" w:cstheme="majorBidi"/>
          <w:bCs/>
          <w:color w:val="000000" w:themeColor="text1"/>
          <w:sz w:val="20"/>
          <w:szCs w:val="20"/>
        </w:rPr>
        <w:t xml:space="preserve">the </w:t>
      </w:r>
      <w:r w:rsidR="00AD6B46">
        <w:rPr>
          <w:rFonts w:asciiTheme="majorHAnsi" w:eastAsiaTheme="majorEastAsia" w:hAnsiTheme="majorHAnsi" w:cstheme="majorBidi"/>
          <w:bCs/>
          <w:color w:val="000000" w:themeColor="text1"/>
          <w:sz w:val="20"/>
          <w:szCs w:val="20"/>
        </w:rPr>
        <w:t>apportionment formula</w:t>
      </w:r>
      <w:r w:rsidR="0069127A">
        <w:rPr>
          <w:rFonts w:asciiTheme="majorHAnsi" w:eastAsiaTheme="majorEastAsia" w:hAnsiTheme="majorHAnsi" w:cstheme="majorBidi"/>
          <w:bCs/>
          <w:color w:val="000000" w:themeColor="text1"/>
          <w:sz w:val="20"/>
          <w:szCs w:val="20"/>
        </w:rPr>
        <w:t>s</w:t>
      </w:r>
      <w:r w:rsidR="00AD6B46">
        <w:rPr>
          <w:rFonts w:asciiTheme="majorHAnsi" w:eastAsiaTheme="majorEastAsia" w:hAnsiTheme="majorHAnsi" w:cstheme="majorBidi"/>
          <w:bCs/>
          <w:color w:val="000000" w:themeColor="text1"/>
          <w:sz w:val="20"/>
          <w:szCs w:val="20"/>
        </w:rPr>
        <w:t xml:space="preserve"> </w:t>
      </w:r>
      <w:r w:rsidR="0069127A">
        <w:rPr>
          <w:rFonts w:asciiTheme="majorHAnsi" w:eastAsiaTheme="majorEastAsia" w:hAnsiTheme="majorHAnsi" w:cstheme="majorBidi"/>
          <w:bCs/>
          <w:color w:val="000000" w:themeColor="text1"/>
          <w:sz w:val="20"/>
          <w:szCs w:val="20"/>
        </w:rPr>
        <w:t xml:space="preserve">with </w:t>
      </w:r>
      <w:r w:rsidR="0020671E">
        <w:rPr>
          <w:rFonts w:asciiTheme="majorHAnsi" w:eastAsiaTheme="majorEastAsia" w:hAnsiTheme="majorHAnsi" w:cstheme="majorBidi"/>
          <w:bCs/>
          <w:color w:val="000000" w:themeColor="text1"/>
          <w:sz w:val="20"/>
          <w:szCs w:val="20"/>
        </w:rPr>
        <w:t xml:space="preserve">higher </w:t>
      </w:r>
      <w:r w:rsidR="0069127A">
        <w:rPr>
          <w:rFonts w:asciiTheme="majorHAnsi" w:eastAsiaTheme="majorEastAsia" w:hAnsiTheme="majorHAnsi" w:cstheme="majorBidi"/>
          <w:bCs/>
          <w:color w:val="000000" w:themeColor="text1"/>
          <w:sz w:val="20"/>
          <w:szCs w:val="20"/>
        </w:rPr>
        <w:t>weighted sales factor</w:t>
      </w:r>
      <w:r w:rsidR="00AD6B46" w:rsidRPr="00304366">
        <w:rPr>
          <w:rFonts w:asciiTheme="majorHAnsi" w:eastAsiaTheme="majorEastAsia" w:hAnsiTheme="majorHAnsi" w:cstheme="majorBidi"/>
          <w:bCs/>
          <w:color w:val="000000" w:themeColor="text1"/>
          <w:sz w:val="20"/>
          <w:szCs w:val="20"/>
        </w:rPr>
        <w:t>.</w:t>
      </w:r>
    </w:p>
    <w:p w14:paraId="4F4BF45D" w14:textId="77777777" w:rsidR="00D27980" w:rsidRPr="008A3AB7" w:rsidRDefault="00D27980" w:rsidP="00D27980">
      <w:pPr>
        <w:spacing w:after="0"/>
        <w:rPr>
          <w:rFonts w:asciiTheme="majorHAnsi" w:eastAsiaTheme="majorEastAsia" w:hAnsiTheme="majorHAnsi" w:cstheme="majorBidi"/>
          <w:bCs/>
          <w:color w:val="000000" w:themeColor="text1"/>
          <w:sz w:val="20"/>
          <w:szCs w:val="20"/>
        </w:rPr>
      </w:pPr>
    </w:p>
    <w:p w14:paraId="2FEA6B27" w14:textId="77777777" w:rsidR="00D27980" w:rsidRDefault="00D27980" w:rsidP="00D27980">
      <w:pPr>
        <w:rPr>
          <w:rFonts w:asciiTheme="majorHAnsi" w:hAnsiTheme="majorHAnsi"/>
          <w:bCs/>
          <w:sz w:val="24"/>
          <w:szCs w:val="24"/>
        </w:rPr>
      </w:pPr>
    </w:p>
    <w:p w14:paraId="4F1D8910" w14:textId="77777777" w:rsidR="00D27980" w:rsidRPr="00782E31" w:rsidRDefault="00D27980" w:rsidP="00D27980">
      <w:pPr>
        <w:rPr>
          <w:rFonts w:asciiTheme="majorHAnsi" w:hAnsiTheme="majorHAnsi"/>
          <w:b/>
          <w:sz w:val="24"/>
          <w:szCs w:val="24"/>
        </w:rPr>
      </w:pPr>
      <w:r w:rsidRPr="00924C01">
        <w:rPr>
          <w:rFonts w:asciiTheme="majorHAnsi" w:eastAsiaTheme="majorEastAsia" w:hAnsiTheme="majorHAnsi" w:cstheme="majorBidi"/>
          <w:bCs/>
          <w:i/>
          <w:iCs/>
          <w:color w:val="000000" w:themeColor="text1"/>
          <w:sz w:val="24"/>
          <w:szCs w:val="24"/>
        </w:rPr>
        <w:t xml:space="preserve">Indirect and Induced </w:t>
      </w:r>
      <w:r w:rsidRPr="00EB68D5">
        <w:rPr>
          <w:rFonts w:asciiTheme="majorHAnsi" w:eastAsiaTheme="majorEastAsia" w:hAnsiTheme="majorHAnsi" w:cstheme="majorBidi"/>
          <w:bCs/>
          <w:i/>
          <w:iCs/>
          <w:color w:val="000000" w:themeColor="text1"/>
          <w:sz w:val="24"/>
          <w:szCs w:val="24"/>
        </w:rPr>
        <w:t>Benefits</w:t>
      </w:r>
    </w:p>
    <w:p w14:paraId="3B20191C" w14:textId="429DCC50" w:rsidR="00D27980" w:rsidRDefault="00D27980" w:rsidP="00D27980">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lastRenderedPageBreak/>
        <w:t xml:space="preserve">The cost savings due to the </w:t>
      </w:r>
      <w:r w:rsidR="00AD6B46" w:rsidRPr="00EE5936">
        <w:rPr>
          <w:rFonts w:asciiTheme="majorHAnsi" w:eastAsiaTheme="majorEastAsia" w:hAnsiTheme="majorHAnsi" w:cstheme="majorBidi"/>
          <w:bCs/>
          <w:color w:val="000000" w:themeColor="text1"/>
          <w:sz w:val="24"/>
          <w:szCs w:val="24"/>
        </w:rPr>
        <w:t>apportionment formula</w:t>
      </w:r>
      <w:r w:rsidR="0069127A">
        <w:rPr>
          <w:rFonts w:asciiTheme="majorHAnsi" w:eastAsiaTheme="majorEastAsia" w:hAnsiTheme="majorHAnsi" w:cstheme="majorBidi"/>
          <w:bCs/>
          <w:color w:val="000000" w:themeColor="text1"/>
          <w:sz w:val="24"/>
          <w:szCs w:val="24"/>
        </w:rPr>
        <w:t>s</w:t>
      </w:r>
      <w:r w:rsidR="00AD6B46" w:rsidRPr="00EE5936">
        <w:rPr>
          <w:rFonts w:asciiTheme="majorHAnsi" w:eastAsiaTheme="majorEastAsia" w:hAnsiTheme="majorHAnsi" w:cstheme="majorBidi"/>
          <w:bCs/>
          <w:color w:val="000000" w:themeColor="text1"/>
          <w:sz w:val="24"/>
          <w:szCs w:val="24"/>
        </w:rPr>
        <w:t xml:space="preserve"> </w:t>
      </w:r>
      <w:r w:rsidR="0069127A">
        <w:rPr>
          <w:rFonts w:asciiTheme="majorHAnsi" w:eastAsiaTheme="majorEastAsia" w:hAnsiTheme="majorHAnsi" w:cstheme="majorBidi"/>
          <w:bCs/>
          <w:color w:val="000000" w:themeColor="text1"/>
          <w:sz w:val="24"/>
          <w:szCs w:val="24"/>
        </w:rPr>
        <w:t>with</w:t>
      </w:r>
      <w:r w:rsidR="00AD6B46" w:rsidRPr="00EE5936">
        <w:rPr>
          <w:rFonts w:asciiTheme="majorHAnsi" w:eastAsiaTheme="majorEastAsia" w:hAnsiTheme="majorHAnsi" w:cstheme="majorBidi"/>
          <w:bCs/>
          <w:color w:val="000000" w:themeColor="text1"/>
          <w:sz w:val="24"/>
          <w:szCs w:val="24"/>
        </w:rPr>
        <w:t xml:space="preserve"> </w:t>
      </w:r>
      <w:r w:rsidR="0020671E">
        <w:rPr>
          <w:rFonts w:asciiTheme="majorHAnsi" w:eastAsiaTheme="majorEastAsia" w:hAnsiTheme="majorHAnsi" w:cstheme="majorBidi"/>
          <w:bCs/>
          <w:color w:val="000000" w:themeColor="text1"/>
          <w:sz w:val="24"/>
          <w:szCs w:val="24"/>
        </w:rPr>
        <w:t>higher</w:t>
      </w:r>
      <w:r w:rsidR="0020671E" w:rsidRPr="00EE5936">
        <w:rPr>
          <w:rFonts w:asciiTheme="majorHAnsi" w:eastAsiaTheme="majorEastAsia" w:hAnsiTheme="majorHAnsi" w:cstheme="majorBidi"/>
          <w:bCs/>
          <w:color w:val="000000" w:themeColor="text1"/>
          <w:sz w:val="24"/>
          <w:szCs w:val="24"/>
        </w:rPr>
        <w:t xml:space="preserve"> </w:t>
      </w:r>
      <w:r w:rsidR="00AD6B46" w:rsidRPr="00EE5936">
        <w:rPr>
          <w:rFonts w:asciiTheme="majorHAnsi" w:eastAsiaTheme="majorEastAsia" w:hAnsiTheme="majorHAnsi" w:cstheme="majorBidi"/>
          <w:bCs/>
          <w:color w:val="000000" w:themeColor="text1"/>
          <w:sz w:val="24"/>
          <w:szCs w:val="24"/>
        </w:rPr>
        <w:t xml:space="preserve">weighted </w:t>
      </w:r>
      <w:r w:rsidR="0069127A">
        <w:rPr>
          <w:rFonts w:asciiTheme="majorHAnsi" w:eastAsiaTheme="majorEastAsia" w:hAnsiTheme="majorHAnsi" w:cstheme="majorBidi"/>
          <w:bCs/>
          <w:color w:val="000000" w:themeColor="text1"/>
          <w:sz w:val="24"/>
          <w:szCs w:val="24"/>
        </w:rPr>
        <w:t>sales</w:t>
      </w:r>
      <w:r w:rsidR="00AD6B46" w:rsidRPr="00EE5936">
        <w:rPr>
          <w:rFonts w:asciiTheme="majorHAnsi" w:eastAsiaTheme="majorEastAsia" w:hAnsiTheme="majorHAnsi" w:cstheme="majorBidi"/>
          <w:bCs/>
          <w:color w:val="000000" w:themeColor="text1"/>
          <w:sz w:val="24"/>
          <w:szCs w:val="24"/>
        </w:rPr>
        <w:t xml:space="preserve"> factor</w:t>
      </w:r>
      <w:r>
        <w:rPr>
          <w:rFonts w:asciiTheme="majorHAnsi" w:eastAsiaTheme="majorEastAsia" w:hAnsiTheme="majorHAnsi" w:cstheme="majorBidi"/>
          <w:bCs/>
          <w:color w:val="000000" w:themeColor="text1"/>
          <w:sz w:val="24"/>
          <w:szCs w:val="24"/>
        </w:rPr>
        <w:t xml:space="preserve"> encourage the directly affected businesses to invest, expand, hire additional workers</w:t>
      </w:r>
      <w:r w:rsidR="00AD6B46">
        <w:rPr>
          <w:rFonts w:asciiTheme="majorHAnsi" w:eastAsiaTheme="majorEastAsia" w:hAnsiTheme="majorHAnsi" w:cstheme="majorBidi"/>
          <w:bCs/>
          <w:color w:val="000000" w:themeColor="text1"/>
          <w:sz w:val="24"/>
          <w:szCs w:val="24"/>
        </w:rPr>
        <w:t xml:space="preserve"> in Massachusetts</w:t>
      </w:r>
      <w:r>
        <w:rPr>
          <w:rFonts w:asciiTheme="majorHAnsi" w:eastAsiaTheme="majorEastAsia" w:hAnsiTheme="majorHAnsi" w:cstheme="majorBidi"/>
          <w:bCs/>
          <w:color w:val="000000" w:themeColor="text1"/>
          <w:sz w:val="24"/>
          <w:szCs w:val="24"/>
        </w:rPr>
        <w:t>. Such decisions would increase demand for goods and services provided by other individuals and businesses in the economy, or put another way, generate a “Multiplier Effect” (see discussion in the previous section) from the initial or direct benefits as reported in the text. As a result, the total benefits of th</w:t>
      </w:r>
      <w:r w:rsidR="00670F24">
        <w:rPr>
          <w:rFonts w:asciiTheme="majorHAnsi" w:eastAsiaTheme="majorEastAsia" w:hAnsiTheme="majorHAnsi" w:cstheme="majorBidi"/>
          <w:bCs/>
          <w:color w:val="000000" w:themeColor="text1"/>
          <w:sz w:val="24"/>
          <w:szCs w:val="24"/>
        </w:rPr>
        <w:t xml:space="preserve">is tax expenditure </w:t>
      </w:r>
      <w:r>
        <w:rPr>
          <w:rFonts w:asciiTheme="majorHAnsi" w:eastAsiaTheme="majorEastAsia" w:hAnsiTheme="majorHAnsi" w:cstheme="majorBidi"/>
          <w:bCs/>
          <w:color w:val="000000" w:themeColor="text1"/>
          <w:sz w:val="24"/>
          <w:szCs w:val="24"/>
        </w:rPr>
        <w:t>would be larger than the initial or direct benefits.</w:t>
      </w:r>
    </w:p>
    <w:p w14:paraId="59700908" w14:textId="77777777" w:rsidR="00D27980" w:rsidRDefault="00D27980" w:rsidP="00D27980">
      <w:pPr>
        <w:spacing w:after="0"/>
        <w:rPr>
          <w:rFonts w:asciiTheme="majorHAnsi" w:eastAsiaTheme="majorEastAsia" w:hAnsiTheme="majorHAnsi" w:cstheme="majorBidi"/>
          <w:bCs/>
          <w:color w:val="000000" w:themeColor="text1"/>
          <w:sz w:val="24"/>
          <w:szCs w:val="24"/>
        </w:rPr>
      </w:pPr>
    </w:p>
    <w:p w14:paraId="3A176B26" w14:textId="77777777" w:rsidR="00D27980" w:rsidRDefault="00D27980" w:rsidP="00D27980">
      <w:pPr>
        <w:spacing w:after="0"/>
        <w:rPr>
          <w:rFonts w:asciiTheme="majorHAnsi" w:eastAsiaTheme="majorEastAsia" w:hAnsiTheme="majorHAnsi" w:cstheme="majorBidi"/>
          <w:bCs/>
          <w:color w:val="000000" w:themeColor="text1"/>
          <w:sz w:val="24"/>
          <w:szCs w:val="24"/>
        </w:rPr>
      </w:pPr>
      <w:r w:rsidRPr="00E0511F">
        <w:rPr>
          <w:rFonts w:asciiTheme="majorHAnsi" w:eastAsiaTheme="majorEastAsia" w:hAnsiTheme="majorHAnsi" w:cstheme="majorBidi"/>
          <w:bCs/>
          <w:i/>
          <w:iCs/>
          <w:color w:val="000000" w:themeColor="text1"/>
          <w:sz w:val="24"/>
          <w:szCs w:val="24"/>
        </w:rPr>
        <w:t>Quantifying t</w:t>
      </w:r>
      <w:r>
        <w:rPr>
          <w:rFonts w:asciiTheme="majorHAnsi" w:eastAsiaTheme="majorEastAsia" w:hAnsiTheme="majorHAnsi" w:cstheme="majorBidi"/>
          <w:bCs/>
          <w:i/>
          <w:iCs/>
          <w:color w:val="000000" w:themeColor="text1"/>
          <w:sz w:val="24"/>
          <w:szCs w:val="24"/>
        </w:rPr>
        <w:t>otal</w:t>
      </w:r>
      <w:r w:rsidRPr="00E0511F">
        <w:rPr>
          <w:rFonts w:asciiTheme="majorHAnsi" w:eastAsiaTheme="majorEastAsia" w:hAnsiTheme="majorHAnsi" w:cstheme="majorBidi"/>
          <w:bCs/>
          <w:i/>
          <w:iCs/>
          <w:color w:val="000000" w:themeColor="text1"/>
          <w:sz w:val="24"/>
          <w:szCs w:val="24"/>
        </w:rPr>
        <w:t xml:space="preserve"> </w:t>
      </w:r>
      <w:r>
        <w:rPr>
          <w:rFonts w:asciiTheme="majorHAnsi" w:eastAsiaTheme="majorEastAsia" w:hAnsiTheme="majorHAnsi" w:cstheme="majorBidi"/>
          <w:bCs/>
          <w:i/>
          <w:iCs/>
          <w:color w:val="000000" w:themeColor="text1"/>
          <w:sz w:val="24"/>
          <w:szCs w:val="24"/>
        </w:rPr>
        <w:t xml:space="preserve">benefits (direct, </w:t>
      </w:r>
      <w:proofErr w:type="gramStart"/>
      <w:r>
        <w:rPr>
          <w:rFonts w:asciiTheme="majorHAnsi" w:eastAsiaTheme="majorEastAsia" w:hAnsiTheme="majorHAnsi" w:cstheme="majorBidi"/>
          <w:bCs/>
          <w:i/>
          <w:iCs/>
          <w:color w:val="000000" w:themeColor="text1"/>
          <w:sz w:val="24"/>
          <w:szCs w:val="24"/>
        </w:rPr>
        <w:t>indirect</w:t>
      </w:r>
      <w:proofErr w:type="gramEnd"/>
      <w:r>
        <w:rPr>
          <w:rFonts w:asciiTheme="majorHAnsi" w:eastAsiaTheme="majorEastAsia" w:hAnsiTheme="majorHAnsi" w:cstheme="majorBidi"/>
          <w:bCs/>
          <w:i/>
          <w:iCs/>
          <w:color w:val="000000" w:themeColor="text1"/>
          <w:sz w:val="24"/>
          <w:szCs w:val="24"/>
        </w:rPr>
        <w:t xml:space="preserve"> and induced)</w:t>
      </w:r>
    </w:p>
    <w:p w14:paraId="2F765238" w14:textId="062E3BD6" w:rsidR="00D27980" w:rsidRDefault="00D27980" w:rsidP="00D27980">
      <w:pPr>
        <w:spacing w:after="0"/>
        <w:rPr>
          <w:rFonts w:asciiTheme="majorHAnsi" w:eastAsiaTheme="majorEastAsia" w:hAnsiTheme="majorHAnsi" w:cstheme="majorBidi"/>
          <w:noProof/>
          <w:color w:val="000000" w:themeColor="text1"/>
          <w:sz w:val="24"/>
          <w:szCs w:val="24"/>
        </w:rPr>
      </w:pPr>
      <w:r>
        <w:rPr>
          <w:rFonts w:asciiTheme="majorHAnsi" w:eastAsiaTheme="majorEastAsia" w:hAnsiTheme="majorHAnsi" w:cstheme="majorBidi"/>
          <w:bCs/>
          <w:color w:val="000000" w:themeColor="text1"/>
          <w:sz w:val="24"/>
          <w:szCs w:val="24"/>
        </w:rPr>
        <w:t xml:space="preserve">To quantify the total benefits, including indirect/induced benefits, we again employed Tax-PI.  A summary of the revenue impact of </w:t>
      </w:r>
      <w:r w:rsidR="00670F24">
        <w:rPr>
          <w:rFonts w:asciiTheme="majorHAnsi" w:eastAsiaTheme="majorEastAsia" w:hAnsiTheme="majorHAnsi" w:cstheme="majorBidi"/>
          <w:bCs/>
          <w:color w:val="000000" w:themeColor="text1"/>
          <w:sz w:val="24"/>
          <w:szCs w:val="24"/>
        </w:rPr>
        <w:t xml:space="preserve">this tax expenditure </w:t>
      </w:r>
      <w:r>
        <w:rPr>
          <w:rFonts w:asciiTheme="majorHAnsi" w:eastAsiaTheme="majorEastAsia" w:hAnsiTheme="majorHAnsi" w:cstheme="majorBidi"/>
          <w:noProof/>
          <w:color w:val="000000" w:themeColor="text1"/>
          <w:sz w:val="24"/>
          <w:szCs w:val="24"/>
        </w:rPr>
        <w:t>is reported in Table A</w:t>
      </w:r>
      <w:r w:rsidR="00D15853">
        <w:rPr>
          <w:rFonts w:asciiTheme="majorHAnsi" w:eastAsiaTheme="majorEastAsia" w:hAnsiTheme="majorHAnsi" w:cstheme="majorBidi"/>
          <w:noProof/>
          <w:color w:val="000000" w:themeColor="text1"/>
          <w:sz w:val="24"/>
          <w:szCs w:val="24"/>
        </w:rPr>
        <w:t>3-</w:t>
      </w:r>
      <w:r>
        <w:rPr>
          <w:rFonts w:asciiTheme="majorHAnsi" w:eastAsiaTheme="majorEastAsia" w:hAnsiTheme="majorHAnsi" w:cstheme="majorBidi"/>
          <w:noProof/>
          <w:color w:val="000000" w:themeColor="text1"/>
          <w:sz w:val="24"/>
          <w:szCs w:val="24"/>
        </w:rPr>
        <w:t xml:space="preserve">3, and the economic benefit from </w:t>
      </w:r>
      <w:r w:rsidR="00670F24">
        <w:rPr>
          <w:rFonts w:asciiTheme="majorHAnsi" w:eastAsiaTheme="majorEastAsia" w:hAnsiTheme="majorHAnsi" w:cstheme="majorBidi"/>
          <w:bCs/>
          <w:color w:val="000000" w:themeColor="text1"/>
          <w:sz w:val="24"/>
          <w:szCs w:val="24"/>
        </w:rPr>
        <w:t xml:space="preserve">this tax expenditure </w:t>
      </w:r>
      <w:r>
        <w:rPr>
          <w:rFonts w:asciiTheme="majorHAnsi" w:eastAsiaTheme="majorEastAsia" w:hAnsiTheme="majorHAnsi" w:cstheme="majorBidi"/>
          <w:noProof/>
          <w:color w:val="000000" w:themeColor="text1"/>
          <w:sz w:val="24"/>
          <w:szCs w:val="24"/>
        </w:rPr>
        <w:t>is reflected in Table A</w:t>
      </w:r>
      <w:r w:rsidR="003D05D5">
        <w:rPr>
          <w:rFonts w:asciiTheme="majorHAnsi" w:eastAsiaTheme="majorEastAsia" w:hAnsiTheme="majorHAnsi" w:cstheme="majorBidi"/>
          <w:noProof/>
          <w:color w:val="000000" w:themeColor="text1"/>
          <w:sz w:val="24"/>
          <w:szCs w:val="24"/>
        </w:rPr>
        <w:t>3-</w:t>
      </w:r>
      <w:r>
        <w:rPr>
          <w:rFonts w:asciiTheme="majorHAnsi" w:eastAsiaTheme="majorEastAsia" w:hAnsiTheme="majorHAnsi" w:cstheme="majorBidi"/>
          <w:noProof/>
          <w:color w:val="000000" w:themeColor="text1"/>
          <w:sz w:val="24"/>
          <w:szCs w:val="24"/>
        </w:rPr>
        <w:t xml:space="preserve">4 below. The figures for 2018 and 2019 are estimates of benefits that the Massachusetts economy experienced and those for 2020, 2021 and 2022 are projections of the benefits that the Massachusetts economy will experience going forward.  </w:t>
      </w:r>
    </w:p>
    <w:p w14:paraId="693CF7C5" w14:textId="77777777" w:rsidR="00D27980" w:rsidRDefault="00D27980" w:rsidP="00D27980">
      <w:pPr>
        <w:spacing w:after="0"/>
        <w:rPr>
          <w:rFonts w:asciiTheme="majorHAnsi" w:eastAsiaTheme="majorEastAsia" w:hAnsiTheme="majorHAnsi" w:cstheme="majorBidi"/>
          <w:bCs/>
          <w:color w:val="000000" w:themeColor="text1"/>
          <w:sz w:val="24"/>
          <w:szCs w:val="24"/>
        </w:rPr>
      </w:pPr>
    </w:p>
    <w:p w14:paraId="62FA4111" w14:textId="5080FF3C" w:rsidR="00D27980" w:rsidRDefault="00D27980" w:rsidP="00D27980">
      <w:pPr>
        <w:spacing w:after="0"/>
        <w:rPr>
          <w:rFonts w:asciiTheme="majorHAnsi" w:eastAsiaTheme="majorEastAsia" w:hAnsiTheme="majorHAnsi" w:cstheme="majorBidi"/>
          <w:bCs/>
          <w:color w:val="000000" w:themeColor="text1"/>
          <w:sz w:val="24"/>
          <w:szCs w:val="24"/>
        </w:rPr>
      </w:pPr>
      <w:r w:rsidRPr="009E0158">
        <w:rPr>
          <w:rFonts w:asciiTheme="majorHAnsi" w:eastAsiaTheme="majorEastAsia" w:hAnsiTheme="majorHAnsi" w:cstheme="majorBidi"/>
          <w:bCs/>
          <w:color w:val="000000" w:themeColor="text1"/>
          <w:sz w:val="24"/>
          <w:szCs w:val="24"/>
        </w:rPr>
        <w:t xml:space="preserve">Tables </w:t>
      </w:r>
      <w:r>
        <w:rPr>
          <w:rFonts w:asciiTheme="majorHAnsi" w:eastAsiaTheme="majorEastAsia" w:hAnsiTheme="majorHAnsi" w:cstheme="majorBidi"/>
          <w:bCs/>
          <w:color w:val="000000" w:themeColor="text1"/>
          <w:sz w:val="24"/>
          <w:szCs w:val="24"/>
        </w:rPr>
        <w:t>A3</w:t>
      </w:r>
      <w:r w:rsidR="00D15853">
        <w:rPr>
          <w:rFonts w:asciiTheme="majorHAnsi" w:eastAsiaTheme="majorEastAsia" w:hAnsiTheme="majorHAnsi" w:cstheme="majorBidi"/>
          <w:bCs/>
          <w:color w:val="000000" w:themeColor="text1"/>
          <w:sz w:val="24"/>
          <w:szCs w:val="24"/>
        </w:rPr>
        <w:t>-3</w:t>
      </w:r>
      <w:r w:rsidRPr="009E0158">
        <w:rPr>
          <w:rFonts w:asciiTheme="majorHAnsi" w:eastAsiaTheme="majorEastAsia" w:hAnsiTheme="majorHAnsi" w:cstheme="majorBidi"/>
          <w:bCs/>
          <w:color w:val="000000" w:themeColor="text1"/>
          <w:sz w:val="24"/>
          <w:szCs w:val="24"/>
        </w:rPr>
        <w:t xml:space="preserve"> and </w:t>
      </w:r>
      <w:r>
        <w:rPr>
          <w:rFonts w:asciiTheme="majorHAnsi" w:eastAsiaTheme="majorEastAsia" w:hAnsiTheme="majorHAnsi" w:cstheme="majorBidi"/>
          <w:bCs/>
          <w:color w:val="000000" w:themeColor="text1"/>
          <w:sz w:val="24"/>
          <w:szCs w:val="24"/>
        </w:rPr>
        <w:t>A</w:t>
      </w:r>
      <w:r w:rsidR="00D15853">
        <w:rPr>
          <w:rFonts w:asciiTheme="majorHAnsi" w:eastAsiaTheme="majorEastAsia" w:hAnsiTheme="majorHAnsi" w:cstheme="majorBidi"/>
          <w:bCs/>
          <w:color w:val="000000" w:themeColor="text1"/>
          <w:sz w:val="24"/>
          <w:szCs w:val="24"/>
        </w:rPr>
        <w:t>3-</w:t>
      </w:r>
      <w:r>
        <w:rPr>
          <w:rFonts w:asciiTheme="majorHAnsi" w:eastAsiaTheme="majorEastAsia" w:hAnsiTheme="majorHAnsi" w:cstheme="majorBidi"/>
          <w:bCs/>
          <w:color w:val="000000" w:themeColor="text1"/>
          <w:sz w:val="24"/>
          <w:szCs w:val="24"/>
        </w:rPr>
        <w:t>4</w:t>
      </w:r>
      <w:r w:rsidRPr="009E0158">
        <w:rPr>
          <w:rFonts w:asciiTheme="majorHAnsi" w:eastAsiaTheme="majorEastAsia" w:hAnsiTheme="majorHAnsi" w:cstheme="majorBidi"/>
          <w:bCs/>
          <w:color w:val="000000" w:themeColor="text1"/>
          <w:sz w:val="24"/>
          <w:szCs w:val="24"/>
        </w:rPr>
        <w:t xml:space="preserve"> show that, </w:t>
      </w:r>
      <w:r w:rsidR="00670F24">
        <w:rPr>
          <w:rFonts w:asciiTheme="majorHAnsi" w:eastAsiaTheme="majorEastAsia" w:hAnsiTheme="majorHAnsi" w:cstheme="majorBidi"/>
          <w:bCs/>
          <w:color w:val="000000" w:themeColor="text1"/>
          <w:sz w:val="24"/>
          <w:szCs w:val="24"/>
        </w:rPr>
        <w:t xml:space="preserve">the </w:t>
      </w:r>
      <w:r w:rsidR="00670F24" w:rsidRPr="00345AB7">
        <w:rPr>
          <w:rFonts w:asciiTheme="majorHAnsi" w:eastAsiaTheme="majorEastAsia" w:hAnsiTheme="majorHAnsi" w:cstheme="majorBidi"/>
          <w:bCs/>
          <w:color w:val="000000" w:themeColor="text1"/>
          <w:sz w:val="24"/>
          <w:szCs w:val="24"/>
        </w:rPr>
        <w:t xml:space="preserve">apportionment formula </w:t>
      </w:r>
      <w:r w:rsidR="0069127A">
        <w:rPr>
          <w:rFonts w:asciiTheme="majorHAnsi" w:eastAsiaTheme="majorEastAsia" w:hAnsiTheme="majorHAnsi" w:cstheme="majorBidi"/>
          <w:bCs/>
          <w:color w:val="000000" w:themeColor="text1"/>
          <w:sz w:val="24"/>
          <w:szCs w:val="24"/>
        </w:rPr>
        <w:t>with</w:t>
      </w:r>
      <w:r w:rsidR="00670F24" w:rsidRPr="00345AB7">
        <w:rPr>
          <w:rFonts w:asciiTheme="majorHAnsi" w:eastAsiaTheme="majorEastAsia" w:hAnsiTheme="majorHAnsi" w:cstheme="majorBidi"/>
          <w:bCs/>
          <w:color w:val="000000" w:themeColor="text1"/>
          <w:sz w:val="24"/>
          <w:szCs w:val="24"/>
        </w:rPr>
        <w:t xml:space="preserve"> </w:t>
      </w:r>
      <w:r w:rsidR="0020671E">
        <w:rPr>
          <w:rFonts w:asciiTheme="majorHAnsi" w:eastAsiaTheme="majorEastAsia" w:hAnsiTheme="majorHAnsi" w:cstheme="majorBidi"/>
          <w:bCs/>
          <w:color w:val="000000" w:themeColor="text1"/>
          <w:sz w:val="24"/>
          <w:szCs w:val="24"/>
        </w:rPr>
        <w:t>higher</w:t>
      </w:r>
      <w:r w:rsidR="0020671E" w:rsidRPr="00345AB7">
        <w:rPr>
          <w:rFonts w:asciiTheme="majorHAnsi" w:eastAsiaTheme="majorEastAsia" w:hAnsiTheme="majorHAnsi" w:cstheme="majorBidi"/>
          <w:bCs/>
          <w:color w:val="000000" w:themeColor="text1"/>
          <w:sz w:val="24"/>
          <w:szCs w:val="24"/>
        </w:rPr>
        <w:t xml:space="preserve"> </w:t>
      </w:r>
      <w:r w:rsidR="00670F24" w:rsidRPr="00345AB7">
        <w:rPr>
          <w:rFonts w:asciiTheme="majorHAnsi" w:eastAsiaTheme="majorEastAsia" w:hAnsiTheme="majorHAnsi" w:cstheme="majorBidi"/>
          <w:bCs/>
          <w:color w:val="000000" w:themeColor="text1"/>
          <w:sz w:val="24"/>
          <w:szCs w:val="24"/>
        </w:rPr>
        <w:t xml:space="preserve">weighted </w:t>
      </w:r>
      <w:r w:rsidR="0069127A">
        <w:rPr>
          <w:rFonts w:asciiTheme="majorHAnsi" w:eastAsiaTheme="majorEastAsia" w:hAnsiTheme="majorHAnsi" w:cstheme="majorBidi"/>
          <w:bCs/>
          <w:color w:val="000000" w:themeColor="text1"/>
          <w:sz w:val="24"/>
          <w:szCs w:val="24"/>
        </w:rPr>
        <w:t>sales</w:t>
      </w:r>
      <w:r w:rsidR="00670F24" w:rsidRPr="00345AB7">
        <w:rPr>
          <w:rFonts w:asciiTheme="majorHAnsi" w:eastAsiaTheme="majorEastAsia" w:hAnsiTheme="majorHAnsi" w:cstheme="majorBidi"/>
          <w:bCs/>
          <w:color w:val="000000" w:themeColor="text1"/>
          <w:sz w:val="24"/>
          <w:szCs w:val="24"/>
        </w:rPr>
        <w:t xml:space="preserve"> factor</w:t>
      </w:r>
      <w:r w:rsidR="00670F24">
        <w:rPr>
          <w:rFonts w:asciiTheme="majorHAnsi" w:eastAsiaTheme="majorEastAsia" w:hAnsiTheme="majorHAnsi" w:cstheme="majorBidi"/>
          <w:bCs/>
          <w:color w:val="000000" w:themeColor="text1"/>
          <w:sz w:val="24"/>
          <w:szCs w:val="24"/>
        </w:rPr>
        <w:t xml:space="preserve"> </w:t>
      </w:r>
      <w:r w:rsidRPr="009E0158">
        <w:rPr>
          <w:rFonts w:asciiTheme="majorHAnsi" w:eastAsiaTheme="majorEastAsia" w:hAnsiTheme="majorHAnsi" w:cstheme="majorBidi"/>
          <w:bCs/>
          <w:color w:val="000000" w:themeColor="text1"/>
          <w:sz w:val="24"/>
          <w:szCs w:val="24"/>
        </w:rPr>
        <w:t>results in more economic activit</w:t>
      </w:r>
      <w:r>
        <w:rPr>
          <w:rFonts w:asciiTheme="majorHAnsi" w:eastAsiaTheme="majorEastAsia" w:hAnsiTheme="majorHAnsi" w:cstheme="majorBidi"/>
          <w:bCs/>
          <w:color w:val="000000" w:themeColor="text1"/>
          <w:sz w:val="24"/>
          <w:szCs w:val="24"/>
        </w:rPr>
        <w:t>y</w:t>
      </w:r>
      <w:r w:rsidRPr="009E0158">
        <w:rPr>
          <w:rFonts w:asciiTheme="majorHAnsi" w:eastAsiaTheme="majorEastAsia" w:hAnsiTheme="majorHAnsi" w:cstheme="majorBidi"/>
          <w:bCs/>
          <w:color w:val="000000" w:themeColor="text1"/>
          <w:sz w:val="24"/>
          <w:szCs w:val="24"/>
        </w:rPr>
        <w:t xml:space="preserve">, with real state GDP increasing </w:t>
      </w:r>
      <w:r>
        <w:rPr>
          <w:rFonts w:asciiTheme="majorHAnsi" w:eastAsiaTheme="majorEastAsia" w:hAnsiTheme="majorHAnsi" w:cstheme="majorBidi"/>
          <w:bCs/>
          <w:color w:val="000000" w:themeColor="text1"/>
          <w:sz w:val="24"/>
          <w:szCs w:val="24"/>
        </w:rPr>
        <w:t xml:space="preserve">by </w:t>
      </w:r>
      <w:r w:rsidR="00670F24" w:rsidRPr="009E0158">
        <w:rPr>
          <w:rFonts w:asciiTheme="majorHAnsi" w:eastAsiaTheme="majorEastAsia" w:hAnsiTheme="majorHAnsi" w:cstheme="majorBidi"/>
          <w:bCs/>
          <w:color w:val="000000" w:themeColor="text1"/>
          <w:sz w:val="24"/>
          <w:szCs w:val="24"/>
        </w:rPr>
        <w:t>$</w:t>
      </w:r>
      <w:r w:rsidR="00043A35">
        <w:rPr>
          <w:rFonts w:asciiTheme="majorHAnsi" w:eastAsiaTheme="majorEastAsia" w:hAnsiTheme="majorHAnsi" w:cstheme="majorBidi"/>
          <w:bCs/>
          <w:color w:val="000000" w:themeColor="text1"/>
          <w:sz w:val="24"/>
          <w:szCs w:val="24"/>
        </w:rPr>
        <w:t xml:space="preserve">719 </w:t>
      </w:r>
      <w:r w:rsidR="00670F24" w:rsidRPr="009E0158">
        <w:rPr>
          <w:rFonts w:asciiTheme="majorHAnsi" w:eastAsiaTheme="majorEastAsia" w:hAnsiTheme="majorHAnsi" w:cstheme="majorBidi"/>
          <w:bCs/>
          <w:color w:val="000000" w:themeColor="text1"/>
          <w:sz w:val="24"/>
          <w:szCs w:val="24"/>
        </w:rPr>
        <w:t>million</w:t>
      </w:r>
      <w:r w:rsidR="00670F24">
        <w:rPr>
          <w:rFonts w:asciiTheme="majorHAnsi" w:eastAsiaTheme="majorEastAsia" w:hAnsiTheme="majorHAnsi" w:cstheme="majorBidi"/>
          <w:bCs/>
          <w:color w:val="000000" w:themeColor="text1"/>
          <w:sz w:val="24"/>
          <w:szCs w:val="24"/>
        </w:rPr>
        <w:t xml:space="preserve"> </w:t>
      </w:r>
      <w:r w:rsidR="00670F24" w:rsidRPr="009E0158">
        <w:rPr>
          <w:rFonts w:asciiTheme="majorHAnsi" w:eastAsiaTheme="majorEastAsia" w:hAnsiTheme="majorHAnsi" w:cstheme="majorBidi"/>
          <w:bCs/>
          <w:color w:val="000000" w:themeColor="text1"/>
          <w:sz w:val="24"/>
          <w:szCs w:val="24"/>
        </w:rPr>
        <w:t>-</w:t>
      </w:r>
      <w:r w:rsidR="00670F24">
        <w:rPr>
          <w:rFonts w:asciiTheme="majorHAnsi" w:eastAsiaTheme="majorEastAsia" w:hAnsiTheme="majorHAnsi" w:cstheme="majorBidi"/>
          <w:bCs/>
          <w:color w:val="000000" w:themeColor="text1"/>
          <w:sz w:val="24"/>
          <w:szCs w:val="24"/>
        </w:rPr>
        <w:t xml:space="preserve"> </w:t>
      </w:r>
      <w:r w:rsidR="00670F24" w:rsidRPr="009E0158">
        <w:rPr>
          <w:rFonts w:asciiTheme="majorHAnsi" w:eastAsiaTheme="majorEastAsia" w:hAnsiTheme="majorHAnsi" w:cstheme="majorBidi"/>
          <w:bCs/>
          <w:color w:val="000000" w:themeColor="text1"/>
          <w:sz w:val="24"/>
          <w:szCs w:val="24"/>
        </w:rPr>
        <w:t>$</w:t>
      </w:r>
      <w:r w:rsidR="00043A35">
        <w:rPr>
          <w:rFonts w:asciiTheme="majorHAnsi" w:eastAsiaTheme="majorEastAsia" w:hAnsiTheme="majorHAnsi" w:cstheme="majorBidi"/>
          <w:bCs/>
          <w:color w:val="000000" w:themeColor="text1"/>
          <w:sz w:val="24"/>
          <w:szCs w:val="24"/>
        </w:rPr>
        <w:t>924</w:t>
      </w:r>
      <w:r w:rsidR="00043A35" w:rsidRPr="009E0158">
        <w:rPr>
          <w:rFonts w:asciiTheme="majorHAnsi" w:eastAsiaTheme="majorEastAsia" w:hAnsiTheme="majorHAnsi" w:cstheme="majorBidi"/>
          <w:bCs/>
          <w:color w:val="000000" w:themeColor="text1"/>
          <w:sz w:val="24"/>
          <w:szCs w:val="24"/>
        </w:rPr>
        <w:t xml:space="preserve"> </w:t>
      </w:r>
      <w:r w:rsidRPr="009E0158">
        <w:rPr>
          <w:rFonts w:asciiTheme="majorHAnsi" w:eastAsiaTheme="majorEastAsia" w:hAnsiTheme="majorHAnsi" w:cstheme="majorBidi"/>
          <w:bCs/>
          <w:color w:val="000000" w:themeColor="text1"/>
          <w:sz w:val="24"/>
          <w:szCs w:val="24"/>
        </w:rPr>
        <w:t xml:space="preserve">million and total employment increasing </w:t>
      </w:r>
      <w:r>
        <w:rPr>
          <w:rFonts w:asciiTheme="majorHAnsi" w:eastAsiaTheme="majorEastAsia" w:hAnsiTheme="majorHAnsi" w:cstheme="majorBidi"/>
          <w:bCs/>
          <w:color w:val="000000" w:themeColor="text1"/>
          <w:sz w:val="24"/>
          <w:szCs w:val="24"/>
        </w:rPr>
        <w:t xml:space="preserve">by </w:t>
      </w:r>
      <w:r w:rsidR="00B84883">
        <w:rPr>
          <w:rFonts w:asciiTheme="majorHAnsi" w:eastAsiaTheme="majorEastAsia" w:hAnsiTheme="majorHAnsi" w:cstheme="majorBidi"/>
          <w:bCs/>
          <w:color w:val="000000" w:themeColor="text1"/>
          <w:sz w:val="24"/>
          <w:szCs w:val="24"/>
        </w:rPr>
        <w:t>6</w:t>
      </w:r>
      <w:r w:rsidR="00670F24">
        <w:rPr>
          <w:rFonts w:asciiTheme="majorHAnsi" w:eastAsiaTheme="majorEastAsia" w:hAnsiTheme="majorHAnsi" w:cstheme="majorBidi"/>
          <w:bCs/>
          <w:color w:val="000000" w:themeColor="text1"/>
          <w:sz w:val="24"/>
          <w:szCs w:val="24"/>
        </w:rPr>
        <w:t>,</w:t>
      </w:r>
      <w:r w:rsidR="00043A35">
        <w:rPr>
          <w:rFonts w:asciiTheme="majorHAnsi" w:eastAsiaTheme="majorEastAsia" w:hAnsiTheme="majorHAnsi" w:cstheme="majorBidi"/>
          <w:bCs/>
          <w:color w:val="000000" w:themeColor="text1"/>
          <w:sz w:val="24"/>
          <w:szCs w:val="24"/>
        </w:rPr>
        <w:t>718</w:t>
      </w:r>
      <w:r w:rsidR="00B84E57">
        <w:rPr>
          <w:rFonts w:asciiTheme="majorHAnsi" w:eastAsiaTheme="majorEastAsia" w:hAnsiTheme="majorHAnsi" w:cstheme="majorBidi"/>
          <w:bCs/>
          <w:color w:val="000000" w:themeColor="text1"/>
          <w:sz w:val="24"/>
          <w:szCs w:val="24"/>
        </w:rPr>
        <w:t xml:space="preserve"> to </w:t>
      </w:r>
      <w:r w:rsidR="00043A35">
        <w:rPr>
          <w:rFonts w:asciiTheme="majorHAnsi" w:eastAsiaTheme="majorEastAsia" w:hAnsiTheme="majorHAnsi" w:cstheme="majorBidi"/>
          <w:bCs/>
          <w:color w:val="000000" w:themeColor="text1"/>
          <w:sz w:val="24"/>
          <w:szCs w:val="24"/>
        </w:rPr>
        <w:t>8,403</w:t>
      </w:r>
      <w:r w:rsidR="00670F24" w:rsidRPr="009E0158">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 xml:space="preserve">jobs </w:t>
      </w:r>
      <w:r w:rsidRPr="009E0158">
        <w:rPr>
          <w:rFonts w:asciiTheme="majorHAnsi" w:eastAsiaTheme="majorEastAsia" w:hAnsiTheme="majorHAnsi" w:cstheme="majorBidi"/>
          <w:bCs/>
          <w:color w:val="000000" w:themeColor="text1"/>
          <w:sz w:val="24"/>
          <w:szCs w:val="24"/>
        </w:rPr>
        <w:t>annually. More economic activit</w:t>
      </w:r>
      <w:r>
        <w:rPr>
          <w:rFonts w:asciiTheme="majorHAnsi" w:eastAsiaTheme="majorEastAsia" w:hAnsiTheme="majorHAnsi" w:cstheme="majorBidi"/>
          <w:bCs/>
          <w:color w:val="000000" w:themeColor="text1"/>
          <w:sz w:val="24"/>
          <w:szCs w:val="24"/>
        </w:rPr>
        <w:t>y</w:t>
      </w:r>
      <w:r w:rsidRPr="009E0158">
        <w:rPr>
          <w:rFonts w:asciiTheme="majorHAnsi" w:eastAsiaTheme="majorEastAsia" w:hAnsiTheme="majorHAnsi" w:cstheme="majorBidi"/>
          <w:bCs/>
          <w:color w:val="000000" w:themeColor="text1"/>
          <w:sz w:val="24"/>
          <w:szCs w:val="24"/>
        </w:rPr>
        <w:t xml:space="preserve"> result</w:t>
      </w:r>
      <w:r>
        <w:rPr>
          <w:rFonts w:asciiTheme="majorHAnsi" w:eastAsiaTheme="majorEastAsia" w:hAnsiTheme="majorHAnsi" w:cstheme="majorBidi"/>
          <w:bCs/>
          <w:color w:val="000000" w:themeColor="text1"/>
          <w:sz w:val="24"/>
          <w:szCs w:val="24"/>
        </w:rPr>
        <w:t>s</w:t>
      </w:r>
      <w:r w:rsidRPr="009E0158">
        <w:rPr>
          <w:rFonts w:asciiTheme="majorHAnsi" w:eastAsiaTheme="majorEastAsia" w:hAnsiTheme="majorHAnsi" w:cstheme="majorBidi"/>
          <w:bCs/>
          <w:color w:val="000000" w:themeColor="text1"/>
          <w:sz w:val="24"/>
          <w:szCs w:val="24"/>
        </w:rPr>
        <w:t xml:space="preserve"> in more </w:t>
      </w:r>
      <w:r>
        <w:rPr>
          <w:rFonts w:asciiTheme="majorHAnsi" w:eastAsiaTheme="majorEastAsia" w:hAnsiTheme="majorHAnsi" w:cstheme="majorBidi"/>
          <w:bCs/>
          <w:color w:val="000000" w:themeColor="text1"/>
          <w:sz w:val="24"/>
          <w:szCs w:val="24"/>
        </w:rPr>
        <w:t xml:space="preserve">state </w:t>
      </w:r>
      <w:r w:rsidRPr="009E0158">
        <w:rPr>
          <w:rFonts w:asciiTheme="majorHAnsi" w:eastAsiaTheme="majorEastAsia" w:hAnsiTheme="majorHAnsi" w:cstheme="majorBidi"/>
          <w:bCs/>
          <w:color w:val="000000" w:themeColor="text1"/>
          <w:sz w:val="24"/>
          <w:szCs w:val="24"/>
        </w:rPr>
        <w:t xml:space="preserve">revenues, ranging from </w:t>
      </w:r>
      <w:r w:rsidR="00670F24" w:rsidRPr="009E0158">
        <w:rPr>
          <w:rFonts w:asciiTheme="majorHAnsi" w:eastAsiaTheme="majorEastAsia" w:hAnsiTheme="majorHAnsi" w:cstheme="majorBidi"/>
          <w:bCs/>
          <w:color w:val="000000" w:themeColor="text1"/>
          <w:sz w:val="24"/>
          <w:szCs w:val="24"/>
        </w:rPr>
        <w:t>$</w:t>
      </w:r>
      <w:r w:rsidR="00043A35">
        <w:rPr>
          <w:rFonts w:asciiTheme="majorHAnsi" w:eastAsiaTheme="majorEastAsia" w:hAnsiTheme="majorHAnsi" w:cstheme="majorBidi"/>
          <w:bCs/>
          <w:color w:val="000000" w:themeColor="text1"/>
          <w:sz w:val="24"/>
          <w:szCs w:val="24"/>
        </w:rPr>
        <w:t>14.7</w:t>
      </w:r>
      <w:r w:rsidR="00670F24" w:rsidRPr="009E0158">
        <w:rPr>
          <w:rFonts w:asciiTheme="majorHAnsi" w:eastAsiaTheme="majorEastAsia" w:hAnsiTheme="majorHAnsi" w:cstheme="majorBidi"/>
          <w:bCs/>
          <w:color w:val="000000" w:themeColor="text1"/>
          <w:sz w:val="24"/>
          <w:szCs w:val="24"/>
        </w:rPr>
        <w:t xml:space="preserve"> million to $</w:t>
      </w:r>
      <w:r w:rsidR="003E3BDD">
        <w:rPr>
          <w:rFonts w:asciiTheme="majorHAnsi" w:eastAsiaTheme="majorEastAsia" w:hAnsiTheme="majorHAnsi" w:cstheme="majorBidi"/>
          <w:bCs/>
          <w:color w:val="000000" w:themeColor="text1"/>
          <w:sz w:val="24"/>
          <w:szCs w:val="24"/>
        </w:rPr>
        <w:t>47.8</w:t>
      </w:r>
      <w:r w:rsidR="00670F24" w:rsidRPr="009E0158">
        <w:rPr>
          <w:rFonts w:asciiTheme="majorHAnsi" w:eastAsiaTheme="majorEastAsia" w:hAnsiTheme="majorHAnsi" w:cstheme="majorBidi"/>
          <w:bCs/>
          <w:color w:val="000000" w:themeColor="text1"/>
          <w:sz w:val="24"/>
          <w:szCs w:val="24"/>
        </w:rPr>
        <w:t xml:space="preserve"> </w:t>
      </w:r>
      <w:r w:rsidRPr="009E0158">
        <w:rPr>
          <w:rFonts w:asciiTheme="majorHAnsi" w:eastAsiaTheme="majorEastAsia" w:hAnsiTheme="majorHAnsi" w:cstheme="majorBidi"/>
          <w:bCs/>
          <w:color w:val="000000" w:themeColor="text1"/>
          <w:sz w:val="24"/>
          <w:szCs w:val="24"/>
        </w:rPr>
        <w:t>million annually, which partially offset</w:t>
      </w:r>
      <w:r>
        <w:rPr>
          <w:rFonts w:asciiTheme="majorHAnsi" w:eastAsiaTheme="majorEastAsia" w:hAnsiTheme="majorHAnsi" w:cstheme="majorBidi"/>
          <w:bCs/>
          <w:color w:val="000000" w:themeColor="text1"/>
          <w:sz w:val="24"/>
          <w:szCs w:val="24"/>
        </w:rPr>
        <w:t>s</w:t>
      </w:r>
      <w:r w:rsidRPr="009E0158">
        <w:rPr>
          <w:rFonts w:asciiTheme="majorHAnsi" w:eastAsiaTheme="majorEastAsia" w:hAnsiTheme="majorHAnsi" w:cstheme="majorBidi"/>
          <w:bCs/>
          <w:color w:val="000000" w:themeColor="text1"/>
          <w:sz w:val="24"/>
          <w:szCs w:val="24"/>
        </w:rPr>
        <w:t xml:space="preserve"> the </w:t>
      </w:r>
      <w:r>
        <w:rPr>
          <w:rFonts w:asciiTheme="majorHAnsi" w:eastAsiaTheme="majorEastAsia" w:hAnsiTheme="majorHAnsi" w:cstheme="majorBidi"/>
          <w:bCs/>
          <w:color w:val="000000" w:themeColor="text1"/>
          <w:sz w:val="24"/>
          <w:szCs w:val="24"/>
        </w:rPr>
        <w:t xml:space="preserve">cost of </w:t>
      </w:r>
      <w:r w:rsidRPr="009E0158">
        <w:rPr>
          <w:rFonts w:asciiTheme="majorHAnsi" w:eastAsiaTheme="majorEastAsia" w:hAnsiTheme="majorHAnsi" w:cstheme="majorBidi"/>
          <w:bCs/>
          <w:color w:val="000000" w:themeColor="text1"/>
          <w:sz w:val="24"/>
          <w:szCs w:val="24"/>
        </w:rPr>
        <w:t>this tax incentive.</w:t>
      </w:r>
    </w:p>
    <w:p w14:paraId="359F16B9" w14:textId="77777777" w:rsidR="00D27980" w:rsidRDefault="00D27980" w:rsidP="00D27980">
      <w:pPr>
        <w:spacing w:after="0"/>
        <w:rPr>
          <w:rFonts w:asciiTheme="majorHAnsi" w:eastAsiaTheme="majorEastAsia" w:hAnsiTheme="majorHAnsi" w:cstheme="majorBidi"/>
          <w:bCs/>
          <w:color w:val="000000" w:themeColor="text1"/>
          <w:sz w:val="24"/>
          <w:szCs w:val="24"/>
        </w:rPr>
      </w:pPr>
    </w:p>
    <w:p w14:paraId="582B4BD5" w14:textId="0A575496" w:rsidR="00430623" w:rsidRDefault="00D27980" w:rsidP="00D27980">
      <w:pPr>
        <w:spacing w:after="0"/>
        <w:jc w:val="center"/>
        <w:rPr>
          <w:rFonts w:asciiTheme="majorHAnsi" w:eastAsiaTheme="majorEastAsia" w:hAnsiTheme="majorHAnsi" w:cstheme="majorBidi"/>
          <w:b/>
          <w:color w:val="000000" w:themeColor="text1"/>
          <w:sz w:val="24"/>
          <w:szCs w:val="24"/>
        </w:rPr>
      </w:pPr>
      <w:r w:rsidRPr="00366FFC">
        <w:rPr>
          <w:rFonts w:asciiTheme="majorHAnsi" w:eastAsiaTheme="majorEastAsia" w:hAnsiTheme="majorHAnsi" w:cstheme="majorBidi"/>
          <w:b/>
          <w:color w:val="000000" w:themeColor="text1"/>
          <w:sz w:val="24"/>
          <w:szCs w:val="24"/>
        </w:rPr>
        <w:t xml:space="preserve">Table </w:t>
      </w:r>
      <w:r>
        <w:rPr>
          <w:rFonts w:asciiTheme="majorHAnsi" w:eastAsiaTheme="majorEastAsia" w:hAnsiTheme="majorHAnsi" w:cstheme="majorBidi"/>
          <w:b/>
          <w:color w:val="000000" w:themeColor="text1"/>
          <w:sz w:val="24"/>
          <w:szCs w:val="24"/>
        </w:rPr>
        <w:t>A</w:t>
      </w:r>
      <w:r w:rsidR="00D15853">
        <w:rPr>
          <w:rFonts w:asciiTheme="majorHAnsi" w:eastAsiaTheme="majorEastAsia" w:hAnsiTheme="majorHAnsi" w:cstheme="majorBidi"/>
          <w:b/>
          <w:color w:val="000000" w:themeColor="text1"/>
          <w:sz w:val="24"/>
          <w:szCs w:val="24"/>
        </w:rPr>
        <w:t>3-</w:t>
      </w:r>
      <w:r>
        <w:rPr>
          <w:rFonts w:asciiTheme="majorHAnsi" w:eastAsiaTheme="majorEastAsia" w:hAnsiTheme="majorHAnsi" w:cstheme="majorBidi"/>
          <w:b/>
          <w:color w:val="000000" w:themeColor="text1"/>
          <w:sz w:val="24"/>
          <w:szCs w:val="24"/>
        </w:rPr>
        <w:t>3</w:t>
      </w:r>
      <w:r w:rsidRPr="00366FFC">
        <w:rPr>
          <w:rFonts w:asciiTheme="majorHAnsi" w:eastAsiaTheme="majorEastAsia" w:hAnsiTheme="majorHAnsi" w:cstheme="majorBidi"/>
          <w:b/>
          <w:color w:val="000000" w:themeColor="text1"/>
          <w:sz w:val="24"/>
          <w:szCs w:val="24"/>
        </w:rPr>
        <w:t xml:space="preserve">. </w:t>
      </w:r>
      <w:r>
        <w:rPr>
          <w:rFonts w:asciiTheme="majorHAnsi" w:eastAsiaTheme="majorEastAsia" w:hAnsiTheme="majorHAnsi" w:cstheme="majorBidi"/>
          <w:b/>
          <w:color w:val="000000" w:themeColor="text1"/>
          <w:sz w:val="24"/>
          <w:szCs w:val="24"/>
        </w:rPr>
        <w:t xml:space="preserve"> Additional Revenue Impact of </w:t>
      </w:r>
      <w:r w:rsidR="00C60A71">
        <w:rPr>
          <w:rFonts w:asciiTheme="majorHAnsi" w:eastAsiaTheme="majorEastAsia" w:hAnsiTheme="majorHAnsi" w:cstheme="majorBidi"/>
          <w:b/>
          <w:color w:val="000000" w:themeColor="text1"/>
          <w:sz w:val="24"/>
          <w:szCs w:val="24"/>
        </w:rPr>
        <w:t xml:space="preserve">Formulas </w:t>
      </w:r>
    </w:p>
    <w:p w14:paraId="3337801D" w14:textId="26ADC03E" w:rsidR="00D27980" w:rsidRDefault="00C60A71" w:rsidP="00D27980">
      <w:pPr>
        <w:spacing w:after="0"/>
        <w:jc w:val="cente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with</w:t>
      </w:r>
      <w:r w:rsidRPr="00B726D0">
        <w:rPr>
          <w:rFonts w:asciiTheme="majorHAnsi" w:eastAsiaTheme="majorEastAsia" w:hAnsiTheme="majorHAnsi" w:cstheme="majorBidi"/>
          <w:b/>
          <w:color w:val="000000" w:themeColor="text1"/>
          <w:sz w:val="24"/>
          <w:szCs w:val="24"/>
        </w:rPr>
        <w:t xml:space="preserve"> </w:t>
      </w:r>
      <w:r w:rsidR="0020671E">
        <w:rPr>
          <w:rFonts w:asciiTheme="majorHAnsi" w:eastAsiaTheme="majorEastAsia" w:hAnsiTheme="majorHAnsi" w:cstheme="majorBidi"/>
          <w:b/>
          <w:color w:val="000000" w:themeColor="text1"/>
          <w:sz w:val="24"/>
          <w:szCs w:val="24"/>
        </w:rPr>
        <w:t>Higher</w:t>
      </w:r>
      <w:r w:rsidR="0020671E" w:rsidRPr="0077589F">
        <w:rPr>
          <w:rFonts w:asciiTheme="majorHAnsi" w:eastAsiaTheme="majorEastAsia" w:hAnsiTheme="majorHAnsi" w:cstheme="majorBidi"/>
          <w:b/>
          <w:color w:val="000000" w:themeColor="text1"/>
          <w:sz w:val="24"/>
          <w:szCs w:val="24"/>
        </w:rPr>
        <w:t xml:space="preserve"> </w:t>
      </w:r>
      <w:r w:rsidRPr="0077589F">
        <w:rPr>
          <w:rFonts w:asciiTheme="majorHAnsi" w:eastAsiaTheme="majorEastAsia" w:hAnsiTheme="majorHAnsi" w:cstheme="majorBidi"/>
          <w:b/>
          <w:color w:val="000000" w:themeColor="text1"/>
          <w:sz w:val="24"/>
          <w:szCs w:val="24"/>
        </w:rPr>
        <w:t>Weight</w:t>
      </w:r>
      <w:r>
        <w:rPr>
          <w:rFonts w:asciiTheme="majorHAnsi" w:eastAsiaTheme="majorEastAsia" w:hAnsiTheme="majorHAnsi" w:cstheme="majorBidi"/>
          <w:b/>
          <w:color w:val="000000" w:themeColor="text1"/>
          <w:sz w:val="24"/>
          <w:szCs w:val="24"/>
        </w:rPr>
        <w:t xml:space="preserve">ed </w:t>
      </w:r>
      <w:r w:rsidRPr="0077589F">
        <w:rPr>
          <w:rFonts w:asciiTheme="majorHAnsi" w:eastAsiaTheme="majorEastAsia" w:hAnsiTheme="majorHAnsi" w:cstheme="majorBidi"/>
          <w:b/>
          <w:color w:val="000000" w:themeColor="text1"/>
          <w:sz w:val="24"/>
          <w:szCs w:val="24"/>
        </w:rPr>
        <w:t>Sales Factor</w:t>
      </w:r>
    </w:p>
    <w:tbl>
      <w:tblPr>
        <w:tblW w:w="9265" w:type="dxa"/>
        <w:tblLook w:val="04A0" w:firstRow="1" w:lastRow="0" w:firstColumn="1" w:lastColumn="0" w:noHBand="0" w:noVBand="1"/>
      </w:tblPr>
      <w:tblGrid>
        <w:gridCol w:w="3505"/>
        <w:gridCol w:w="1152"/>
        <w:gridCol w:w="1152"/>
        <w:gridCol w:w="1152"/>
        <w:gridCol w:w="1152"/>
        <w:gridCol w:w="1152"/>
      </w:tblGrid>
      <w:tr w:rsidR="00D27980" w:rsidRPr="006809CE" w14:paraId="4498C9EB" w14:textId="77777777" w:rsidTr="00AD6B46">
        <w:trPr>
          <w:trHeight w:val="500"/>
        </w:trPr>
        <w:tc>
          <w:tcPr>
            <w:tcW w:w="350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733AA842" w14:textId="77777777" w:rsidR="00D27980" w:rsidRPr="006809CE" w:rsidRDefault="00D27980" w:rsidP="00AD6B46">
            <w:pPr>
              <w:spacing w:after="0" w:line="240" w:lineRule="auto"/>
              <w:jc w:val="center"/>
              <w:rPr>
                <w:rFonts w:ascii="Cambria" w:eastAsia="Times New Roman" w:hAnsi="Cambria" w:cs="Helvetica"/>
                <w:sz w:val="20"/>
                <w:szCs w:val="20"/>
                <w:lang w:eastAsia="ko-KR"/>
              </w:rPr>
            </w:pPr>
            <w:r>
              <w:rPr>
                <w:rFonts w:ascii="Cambria" w:eastAsia="Times New Roman" w:hAnsi="Cambria" w:cs="Helvetica"/>
                <w:sz w:val="20"/>
                <w:szCs w:val="20"/>
                <w:lang w:eastAsia="ko-KR"/>
              </w:rPr>
              <w:t xml:space="preserve">Fiscal </w:t>
            </w:r>
            <w:r w:rsidRPr="006809CE">
              <w:rPr>
                <w:rFonts w:ascii="Cambria" w:eastAsia="Times New Roman" w:hAnsi="Cambria" w:cs="Helvetica"/>
                <w:sz w:val="20"/>
                <w:szCs w:val="20"/>
                <w:lang w:eastAsia="ko-KR"/>
              </w:rPr>
              <w:t>Year</w:t>
            </w:r>
          </w:p>
        </w:tc>
        <w:tc>
          <w:tcPr>
            <w:tcW w:w="1152" w:type="dxa"/>
            <w:tcBorders>
              <w:top w:val="single" w:sz="4" w:space="0" w:color="auto"/>
              <w:left w:val="nil"/>
              <w:bottom w:val="single" w:sz="4" w:space="0" w:color="auto"/>
              <w:right w:val="single" w:sz="4" w:space="0" w:color="auto"/>
            </w:tcBorders>
            <w:shd w:val="clear" w:color="000000" w:fill="B7DEE8"/>
            <w:noWrap/>
            <w:vAlign w:val="center"/>
            <w:hideMark/>
          </w:tcPr>
          <w:p w14:paraId="2C55D002" w14:textId="77777777" w:rsidR="00D27980" w:rsidRPr="006809CE" w:rsidRDefault="00D27980" w:rsidP="00AD6B46">
            <w:pPr>
              <w:spacing w:after="0" w:line="240" w:lineRule="auto"/>
              <w:jc w:val="center"/>
              <w:rPr>
                <w:rFonts w:ascii="Cambria" w:eastAsia="Times New Roman" w:hAnsi="Cambria" w:cs="Helvetica"/>
                <w:sz w:val="20"/>
                <w:szCs w:val="20"/>
                <w:lang w:eastAsia="ko-KR"/>
              </w:rPr>
            </w:pPr>
            <w:r w:rsidRPr="006809CE">
              <w:rPr>
                <w:rFonts w:ascii="Cambria" w:eastAsia="Times New Roman" w:hAnsi="Cambria" w:cs="Helvetica"/>
                <w:sz w:val="20"/>
                <w:szCs w:val="20"/>
                <w:lang w:eastAsia="ko-KR"/>
              </w:rPr>
              <w:t>2018</w:t>
            </w:r>
          </w:p>
        </w:tc>
        <w:tc>
          <w:tcPr>
            <w:tcW w:w="1152" w:type="dxa"/>
            <w:tcBorders>
              <w:top w:val="single" w:sz="4" w:space="0" w:color="auto"/>
              <w:left w:val="nil"/>
              <w:bottom w:val="single" w:sz="4" w:space="0" w:color="auto"/>
              <w:right w:val="single" w:sz="4" w:space="0" w:color="auto"/>
            </w:tcBorders>
            <w:shd w:val="clear" w:color="000000" w:fill="B7DEE8"/>
            <w:noWrap/>
            <w:vAlign w:val="center"/>
            <w:hideMark/>
          </w:tcPr>
          <w:p w14:paraId="7319A315" w14:textId="77777777" w:rsidR="00D27980" w:rsidRPr="006809CE" w:rsidRDefault="00D27980" w:rsidP="00AD6B46">
            <w:pPr>
              <w:spacing w:after="0" w:line="240" w:lineRule="auto"/>
              <w:jc w:val="center"/>
              <w:rPr>
                <w:rFonts w:ascii="Cambria" w:eastAsia="Times New Roman" w:hAnsi="Cambria" w:cs="Helvetica"/>
                <w:sz w:val="20"/>
                <w:szCs w:val="20"/>
                <w:lang w:eastAsia="ko-KR"/>
              </w:rPr>
            </w:pPr>
            <w:r w:rsidRPr="006809CE">
              <w:rPr>
                <w:rFonts w:ascii="Cambria" w:eastAsia="Times New Roman" w:hAnsi="Cambria" w:cs="Helvetica"/>
                <w:sz w:val="20"/>
                <w:szCs w:val="20"/>
                <w:lang w:eastAsia="ko-KR"/>
              </w:rPr>
              <w:t>2019</w:t>
            </w:r>
          </w:p>
        </w:tc>
        <w:tc>
          <w:tcPr>
            <w:tcW w:w="1152" w:type="dxa"/>
            <w:tcBorders>
              <w:top w:val="single" w:sz="4" w:space="0" w:color="auto"/>
              <w:left w:val="nil"/>
              <w:bottom w:val="single" w:sz="4" w:space="0" w:color="auto"/>
              <w:right w:val="single" w:sz="4" w:space="0" w:color="auto"/>
            </w:tcBorders>
            <w:shd w:val="clear" w:color="000000" w:fill="B7DEE8"/>
            <w:noWrap/>
            <w:vAlign w:val="center"/>
            <w:hideMark/>
          </w:tcPr>
          <w:p w14:paraId="39924BF9" w14:textId="77777777" w:rsidR="00D27980" w:rsidRPr="006809CE" w:rsidRDefault="00D27980" w:rsidP="00AD6B46">
            <w:pPr>
              <w:spacing w:after="0" w:line="240" w:lineRule="auto"/>
              <w:jc w:val="center"/>
              <w:rPr>
                <w:rFonts w:ascii="Cambria" w:eastAsia="Times New Roman" w:hAnsi="Cambria" w:cs="Helvetica"/>
                <w:sz w:val="20"/>
                <w:szCs w:val="20"/>
                <w:lang w:eastAsia="ko-KR"/>
              </w:rPr>
            </w:pPr>
            <w:r w:rsidRPr="006809CE">
              <w:rPr>
                <w:rFonts w:ascii="Cambria" w:eastAsia="Times New Roman" w:hAnsi="Cambria" w:cs="Helvetica"/>
                <w:sz w:val="20"/>
                <w:szCs w:val="20"/>
                <w:lang w:eastAsia="ko-KR"/>
              </w:rPr>
              <w:t>2020</w:t>
            </w:r>
          </w:p>
        </w:tc>
        <w:tc>
          <w:tcPr>
            <w:tcW w:w="1152" w:type="dxa"/>
            <w:tcBorders>
              <w:top w:val="single" w:sz="4" w:space="0" w:color="auto"/>
              <w:left w:val="nil"/>
              <w:bottom w:val="single" w:sz="4" w:space="0" w:color="auto"/>
              <w:right w:val="single" w:sz="4" w:space="0" w:color="auto"/>
            </w:tcBorders>
            <w:shd w:val="clear" w:color="000000" w:fill="B7DEE8"/>
            <w:noWrap/>
            <w:vAlign w:val="center"/>
            <w:hideMark/>
          </w:tcPr>
          <w:p w14:paraId="3C79664D" w14:textId="77777777" w:rsidR="00D27980" w:rsidRPr="006809CE" w:rsidRDefault="00D27980" w:rsidP="00AD6B46">
            <w:pPr>
              <w:spacing w:after="0" w:line="240" w:lineRule="auto"/>
              <w:jc w:val="center"/>
              <w:rPr>
                <w:rFonts w:ascii="Cambria" w:eastAsia="Times New Roman" w:hAnsi="Cambria" w:cs="Helvetica"/>
                <w:sz w:val="20"/>
                <w:szCs w:val="20"/>
                <w:lang w:eastAsia="ko-KR"/>
              </w:rPr>
            </w:pPr>
            <w:r w:rsidRPr="006809CE">
              <w:rPr>
                <w:rFonts w:ascii="Cambria" w:eastAsia="Times New Roman" w:hAnsi="Cambria" w:cs="Helvetica"/>
                <w:sz w:val="20"/>
                <w:szCs w:val="20"/>
                <w:lang w:eastAsia="ko-KR"/>
              </w:rPr>
              <w:t>2021</w:t>
            </w:r>
          </w:p>
        </w:tc>
        <w:tc>
          <w:tcPr>
            <w:tcW w:w="1152" w:type="dxa"/>
            <w:tcBorders>
              <w:top w:val="single" w:sz="4" w:space="0" w:color="auto"/>
              <w:left w:val="nil"/>
              <w:bottom w:val="single" w:sz="4" w:space="0" w:color="auto"/>
              <w:right w:val="single" w:sz="4" w:space="0" w:color="auto"/>
            </w:tcBorders>
            <w:shd w:val="clear" w:color="000000" w:fill="B7DEE8"/>
            <w:noWrap/>
            <w:vAlign w:val="center"/>
            <w:hideMark/>
          </w:tcPr>
          <w:p w14:paraId="18565F75" w14:textId="77777777" w:rsidR="00D27980" w:rsidRPr="006809CE" w:rsidRDefault="00D27980" w:rsidP="00AD6B46">
            <w:pPr>
              <w:spacing w:after="0" w:line="240" w:lineRule="auto"/>
              <w:jc w:val="center"/>
              <w:rPr>
                <w:rFonts w:ascii="Cambria" w:eastAsia="Times New Roman" w:hAnsi="Cambria" w:cs="Helvetica"/>
                <w:sz w:val="20"/>
                <w:szCs w:val="20"/>
                <w:lang w:eastAsia="ko-KR"/>
              </w:rPr>
            </w:pPr>
            <w:r w:rsidRPr="006809CE">
              <w:rPr>
                <w:rFonts w:ascii="Cambria" w:eastAsia="Times New Roman" w:hAnsi="Cambria" w:cs="Helvetica"/>
                <w:sz w:val="20"/>
                <w:szCs w:val="20"/>
                <w:lang w:eastAsia="ko-KR"/>
              </w:rPr>
              <w:t>2022</w:t>
            </w:r>
          </w:p>
        </w:tc>
      </w:tr>
      <w:tr w:rsidR="00F34ABA" w:rsidRPr="006809CE" w14:paraId="1CD7EBC5" w14:textId="77777777" w:rsidTr="00AD6B46">
        <w:trPr>
          <w:trHeight w:val="5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48721FA" w14:textId="77777777" w:rsidR="00F34ABA" w:rsidRPr="006809CE" w:rsidRDefault="00F34ABA" w:rsidP="00F34ABA">
            <w:pPr>
              <w:spacing w:after="0" w:line="240" w:lineRule="auto"/>
              <w:jc w:val="center"/>
              <w:rPr>
                <w:rFonts w:ascii="Cambria" w:eastAsia="Times New Roman" w:hAnsi="Cambria" w:cs="Helvetica"/>
                <w:sz w:val="20"/>
                <w:szCs w:val="20"/>
                <w:lang w:eastAsia="ko-KR"/>
              </w:rPr>
            </w:pPr>
            <w:r>
              <w:rPr>
                <w:rFonts w:ascii="Cambria" w:eastAsia="Times New Roman" w:hAnsi="Cambria" w:cs="Helvetica"/>
                <w:sz w:val="20"/>
                <w:szCs w:val="20"/>
                <w:lang w:eastAsia="ko-KR"/>
              </w:rPr>
              <w:t>A</w:t>
            </w:r>
            <w:r w:rsidRPr="006809CE">
              <w:rPr>
                <w:rFonts w:ascii="Cambria" w:eastAsia="Times New Roman" w:hAnsi="Cambria" w:cs="Helvetica"/>
                <w:sz w:val="20"/>
                <w:szCs w:val="20"/>
                <w:lang w:eastAsia="ko-KR"/>
              </w:rPr>
              <w:t>dditional revenue impact ($000)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32FC" w14:textId="68E10082" w:rsidR="00F34ABA" w:rsidRPr="006809CE"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$14,658</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0C3CC1C" w14:textId="1ADD645B" w:rsidR="00F34ABA" w:rsidRPr="006809CE"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$33,413</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427A0A7D" w14:textId="3A5FA477" w:rsidR="00F34ABA" w:rsidRPr="006809CE"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$40,055</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EF13FB7" w14:textId="023545EC" w:rsidR="00F34ABA" w:rsidRPr="006809CE"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$45,097</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826354E" w14:textId="50C8164C" w:rsidR="00F34ABA" w:rsidRPr="006809CE"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$47,818</w:t>
            </w:r>
          </w:p>
        </w:tc>
      </w:tr>
    </w:tbl>
    <w:p w14:paraId="227CB6C4" w14:textId="77777777" w:rsidR="00D27980" w:rsidRDefault="00D27980" w:rsidP="00D27980">
      <w:pPr>
        <w:tabs>
          <w:tab w:val="left" w:pos="7050"/>
        </w:tabs>
        <w:spacing w:after="0"/>
        <w:rPr>
          <w:rFonts w:asciiTheme="majorHAnsi" w:hAnsiTheme="majorHAnsi"/>
          <w:sz w:val="24"/>
          <w:szCs w:val="24"/>
        </w:rPr>
      </w:pPr>
    </w:p>
    <w:p w14:paraId="473B2FC3" w14:textId="747E3A47" w:rsidR="00430623" w:rsidRDefault="00D27980" w:rsidP="00D27980">
      <w:pPr>
        <w:spacing w:after="0"/>
        <w:jc w:val="center"/>
        <w:rPr>
          <w:rFonts w:asciiTheme="majorHAnsi" w:eastAsiaTheme="majorEastAsia" w:hAnsiTheme="majorHAnsi" w:cstheme="majorBidi"/>
          <w:b/>
          <w:color w:val="000000" w:themeColor="text1"/>
          <w:sz w:val="24"/>
          <w:szCs w:val="24"/>
        </w:rPr>
      </w:pPr>
      <w:r w:rsidRPr="00366FFC">
        <w:rPr>
          <w:rFonts w:asciiTheme="majorHAnsi" w:eastAsiaTheme="majorEastAsia" w:hAnsiTheme="majorHAnsi" w:cstheme="majorBidi"/>
          <w:b/>
          <w:color w:val="000000" w:themeColor="text1"/>
          <w:sz w:val="24"/>
          <w:szCs w:val="24"/>
        </w:rPr>
        <w:t xml:space="preserve">Table </w:t>
      </w:r>
      <w:r>
        <w:rPr>
          <w:rFonts w:asciiTheme="majorHAnsi" w:eastAsiaTheme="majorEastAsia" w:hAnsiTheme="majorHAnsi" w:cstheme="majorBidi"/>
          <w:b/>
          <w:color w:val="000000" w:themeColor="text1"/>
          <w:sz w:val="24"/>
          <w:szCs w:val="24"/>
        </w:rPr>
        <w:t>A</w:t>
      </w:r>
      <w:r w:rsidR="00D15853">
        <w:rPr>
          <w:rFonts w:asciiTheme="majorHAnsi" w:eastAsiaTheme="majorEastAsia" w:hAnsiTheme="majorHAnsi" w:cstheme="majorBidi"/>
          <w:b/>
          <w:color w:val="000000" w:themeColor="text1"/>
          <w:sz w:val="24"/>
          <w:szCs w:val="24"/>
        </w:rPr>
        <w:t>3-</w:t>
      </w:r>
      <w:r>
        <w:rPr>
          <w:rFonts w:asciiTheme="majorHAnsi" w:eastAsiaTheme="majorEastAsia" w:hAnsiTheme="majorHAnsi" w:cstheme="majorBidi"/>
          <w:b/>
          <w:color w:val="000000" w:themeColor="text1"/>
          <w:sz w:val="24"/>
          <w:szCs w:val="24"/>
        </w:rPr>
        <w:t>4</w:t>
      </w:r>
      <w:r w:rsidRPr="00366FFC">
        <w:rPr>
          <w:rFonts w:asciiTheme="majorHAnsi" w:eastAsiaTheme="majorEastAsia" w:hAnsiTheme="majorHAnsi" w:cstheme="majorBidi"/>
          <w:b/>
          <w:color w:val="000000" w:themeColor="text1"/>
          <w:sz w:val="24"/>
          <w:szCs w:val="24"/>
        </w:rPr>
        <w:t xml:space="preserve">. </w:t>
      </w:r>
      <w:r>
        <w:rPr>
          <w:rFonts w:asciiTheme="majorHAnsi" w:eastAsiaTheme="majorEastAsia" w:hAnsiTheme="majorHAnsi" w:cstheme="majorBidi"/>
          <w:b/>
          <w:color w:val="000000" w:themeColor="text1"/>
          <w:sz w:val="24"/>
          <w:szCs w:val="24"/>
        </w:rPr>
        <w:t xml:space="preserve">Economic Impacts of </w:t>
      </w:r>
      <w:r w:rsidR="00C60A71">
        <w:rPr>
          <w:rFonts w:asciiTheme="majorHAnsi" w:eastAsiaTheme="majorEastAsia" w:hAnsiTheme="majorHAnsi" w:cstheme="majorBidi"/>
          <w:b/>
          <w:color w:val="000000" w:themeColor="text1"/>
          <w:sz w:val="24"/>
          <w:szCs w:val="24"/>
        </w:rPr>
        <w:t>Formulas with</w:t>
      </w:r>
      <w:r w:rsidR="00C60A71" w:rsidRPr="00B726D0">
        <w:rPr>
          <w:rFonts w:asciiTheme="majorHAnsi" w:eastAsiaTheme="majorEastAsia" w:hAnsiTheme="majorHAnsi" w:cstheme="majorBidi"/>
          <w:b/>
          <w:color w:val="000000" w:themeColor="text1"/>
          <w:sz w:val="24"/>
          <w:szCs w:val="24"/>
        </w:rPr>
        <w:t xml:space="preserve"> </w:t>
      </w:r>
      <w:r w:rsidR="0020671E">
        <w:rPr>
          <w:rFonts w:asciiTheme="majorHAnsi" w:eastAsiaTheme="majorEastAsia" w:hAnsiTheme="majorHAnsi" w:cstheme="majorBidi"/>
          <w:b/>
          <w:color w:val="000000" w:themeColor="text1"/>
          <w:sz w:val="24"/>
          <w:szCs w:val="24"/>
        </w:rPr>
        <w:t>Higher</w:t>
      </w:r>
      <w:r w:rsidR="0020671E" w:rsidRPr="0077589F">
        <w:rPr>
          <w:rFonts w:asciiTheme="majorHAnsi" w:eastAsiaTheme="majorEastAsia" w:hAnsiTheme="majorHAnsi" w:cstheme="majorBidi"/>
          <w:b/>
          <w:color w:val="000000" w:themeColor="text1"/>
          <w:sz w:val="24"/>
          <w:szCs w:val="24"/>
        </w:rPr>
        <w:t xml:space="preserve"> </w:t>
      </w:r>
      <w:r w:rsidR="00C60A71" w:rsidRPr="0077589F">
        <w:rPr>
          <w:rFonts w:asciiTheme="majorHAnsi" w:eastAsiaTheme="majorEastAsia" w:hAnsiTheme="majorHAnsi" w:cstheme="majorBidi"/>
          <w:b/>
          <w:color w:val="000000" w:themeColor="text1"/>
          <w:sz w:val="24"/>
          <w:szCs w:val="24"/>
        </w:rPr>
        <w:t>Weight</w:t>
      </w:r>
      <w:r w:rsidR="00C60A71">
        <w:rPr>
          <w:rFonts w:asciiTheme="majorHAnsi" w:eastAsiaTheme="majorEastAsia" w:hAnsiTheme="majorHAnsi" w:cstheme="majorBidi"/>
          <w:b/>
          <w:color w:val="000000" w:themeColor="text1"/>
          <w:sz w:val="24"/>
          <w:szCs w:val="24"/>
        </w:rPr>
        <w:t xml:space="preserve">ed </w:t>
      </w:r>
      <w:r w:rsidR="00C60A71" w:rsidRPr="0077589F">
        <w:rPr>
          <w:rFonts w:asciiTheme="majorHAnsi" w:eastAsiaTheme="majorEastAsia" w:hAnsiTheme="majorHAnsi" w:cstheme="majorBidi"/>
          <w:b/>
          <w:color w:val="000000" w:themeColor="text1"/>
          <w:sz w:val="24"/>
          <w:szCs w:val="24"/>
        </w:rPr>
        <w:t>Sales Factor</w:t>
      </w:r>
      <w:r w:rsidR="00670F24" w:rsidRPr="00670F24">
        <w:rPr>
          <w:rFonts w:asciiTheme="majorHAnsi" w:eastAsiaTheme="majorEastAsia" w:hAnsiTheme="majorHAnsi" w:cstheme="majorBidi"/>
          <w:b/>
          <w:color w:val="000000" w:themeColor="text1"/>
          <w:sz w:val="24"/>
          <w:szCs w:val="24"/>
        </w:rPr>
        <w:t xml:space="preserve"> </w:t>
      </w:r>
    </w:p>
    <w:p w14:paraId="257C3AA5" w14:textId="1009136E" w:rsidR="00D27980" w:rsidRDefault="00670F24" w:rsidP="00D27980">
      <w:pPr>
        <w:spacing w:after="0"/>
        <w:jc w:val="cente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by Selected Economic Measure</w:t>
      </w:r>
    </w:p>
    <w:tbl>
      <w:tblPr>
        <w:tblW w:w="9350" w:type="dxa"/>
        <w:tblLook w:val="04A0" w:firstRow="1" w:lastRow="0" w:firstColumn="1" w:lastColumn="0" w:noHBand="0" w:noVBand="1"/>
      </w:tblPr>
      <w:tblGrid>
        <w:gridCol w:w="3234"/>
        <w:gridCol w:w="1224"/>
        <w:gridCol w:w="1223"/>
        <w:gridCol w:w="1223"/>
        <w:gridCol w:w="1223"/>
        <w:gridCol w:w="1223"/>
      </w:tblGrid>
      <w:tr w:rsidR="00D27980" w:rsidRPr="00A94F48" w14:paraId="779704A7" w14:textId="77777777" w:rsidTr="00D27980">
        <w:trPr>
          <w:trHeight w:val="380"/>
        </w:trPr>
        <w:tc>
          <w:tcPr>
            <w:tcW w:w="3234"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9E2A3AF"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Calendar Year</w:t>
            </w:r>
          </w:p>
        </w:tc>
        <w:tc>
          <w:tcPr>
            <w:tcW w:w="1224" w:type="dxa"/>
            <w:tcBorders>
              <w:top w:val="single" w:sz="4" w:space="0" w:color="auto"/>
              <w:left w:val="nil"/>
              <w:bottom w:val="single" w:sz="4" w:space="0" w:color="auto"/>
              <w:right w:val="single" w:sz="4" w:space="0" w:color="auto"/>
            </w:tcBorders>
            <w:shd w:val="clear" w:color="000000" w:fill="B7DEE8"/>
            <w:noWrap/>
            <w:vAlign w:val="center"/>
            <w:hideMark/>
          </w:tcPr>
          <w:p w14:paraId="76AE3EF2"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2018</w:t>
            </w:r>
          </w:p>
        </w:tc>
        <w:tc>
          <w:tcPr>
            <w:tcW w:w="1223" w:type="dxa"/>
            <w:tcBorders>
              <w:top w:val="single" w:sz="4" w:space="0" w:color="auto"/>
              <w:left w:val="nil"/>
              <w:bottom w:val="single" w:sz="4" w:space="0" w:color="auto"/>
              <w:right w:val="single" w:sz="4" w:space="0" w:color="auto"/>
            </w:tcBorders>
            <w:shd w:val="clear" w:color="000000" w:fill="B7DEE8"/>
            <w:noWrap/>
            <w:vAlign w:val="center"/>
            <w:hideMark/>
          </w:tcPr>
          <w:p w14:paraId="15B1C9F8"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2019</w:t>
            </w:r>
          </w:p>
        </w:tc>
        <w:tc>
          <w:tcPr>
            <w:tcW w:w="1223" w:type="dxa"/>
            <w:tcBorders>
              <w:top w:val="single" w:sz="4" w:space="0" w:color="auto"/>
              <w:left w:val="nil"/>
              <w:bottom w:val="single" w:sz="4" w:space="0" w:color="auto"/>
              <w:right w:val="single" w:sz="4" w:space="0" w:color="auto"/>
            </w:tcBorders>
            <w:shd w:val="clear" w:color="000000" w:fill="B7DEE8"/>
            <w:noWrap/>
            <w:vAlign w:val="center"/>
            <w:hideMark/>
          </w:tcPr>
          <w:p w14:paraId="609DF2E7"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2020</w:t>
            </w:r>
          </w:p>
        </w:tc>
        <w:tc>
          <w:tcPr>
            <w:tcW w:w="1223" w:type="dxa"/>
            <w:tcBorders>
              <w:top w:val="single" w:sz="4" w:space="0" w:color="auto"/>
              <w:left w:val="nil"/>
              <w:bottom w:val="single" w:sz="4" w:space="0" w:color="auto"/>
              <w:right w:val="single" w:sz="4" w:space="0" w:color="auto"/>
            </w:tcBorders>
            <w:shd w:val="clear" w:color="000000" w:fill="B7DEE8"/>
            <w:noWrap/>
            <w:vAlign w:val="center"/>
            <w:hideMark/>
          </w:tcPr>
          <w:p w14:paraId="267C7085"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2021</w:t>
            </w:r>
          </w:p>
        </w:tc>
        <w:tc>
          <w:tcPr>
            <w:tcW w:w="1223" w:type="dxa"/>
            <w:tcBorders>
              <w:top w:val="single" w:sz="4" w:space="0" w:color="auto"/>
              <w:left w:val="nil"/>
              <w:bottom w:val="single" w:sz="4" w:space="0" w:color="auto"/>
              <w:right w:val="single" w:sz="4" w:space="0" w:color="auto"/>
            </w:tcBorders>
            <w:shd w:val="clear" w:color="000000" w:fill="B7DEE8"/>
            <w:noWrap/>
            <w:vAlign w:val="center"/>
            <w:hideMark/>
          </w:tcPr>
          <w:p w14:paraId="0EF567AD"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2022</w:t>
            </w:r>
          </w:p>
        </w:tc>
      </w:tr>
      <w:tr w:rsidR="00F34ABA" w:rsidRPr="00A94F48" w14:paraId="74330489" w14:textId="77777777" w:rsidTr="00D27980">
        <w:trPr>
          <w:trHeight w:val="410"/>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779A6C55" w14:textId="77777777" w:rsidR="00F34ABA" w:rsidRPr="00A94F48" w:rsidRDefault="00F34ABA" w:rsidP="00F34ABA">
            <w:pPr>
              <w:spacing w:after="0" w:line="240" w:lineRule="auto"/>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Impact on total employment</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E7D8" w14:textId="270C37DB"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6,718</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40DD4A1F" w14:textId="1AC799AA"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7,607</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04715C76" w14:textId="765EBEB5"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8,403</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0BF4BC24" w14:textId="2BC72F8C"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8,358</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25711" w14:textId="1377E933"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8,078</w:t>
            </w:r>
          </w:p>
        </w:tc>
      </w:tr>
      <w:tr w:rsidR="00F34ABA" w:rsidRPr="00A94F48" w14:paraId="55B68106" w14:textId="77777777" w:rsidTr="00D27980">
        <w:trPr>
          <w:trHeight w:val="500"/>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6441E20B" w14:textId="77777777" w:rsidR="00F34ABA" w:rsidRPr="00A94F48" w:rsidRDefault="00F34ABA" w:rsidP="00F34ABA">
            <w:pPr>
              <w:spacing w:after="0" w:line="240" w:lineRule="auto"/>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Impact on private non-farm employment</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4E89BDF3" w14:textId="7A3A0D1C"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6,459</w:t>
            </w:r>
          </w:p>
        </w:tc>
        <w:tc>
          <w:tcPr>
            <w:tcW w:w="1223" w:type="dxa"/>
            <w:tcBorders>
              <w:top w:val="nil"/>
              <w:left w:val="nil"/>
              <w:bottom w:val="single" w:sz="4" w:space="0" w:color="auto"/>
              <w:right w:val="single" w:sz="4" w:space="0" w:color="auto"/>
            </w:tcBorders>
            <w:shd w:val="clear" w:color="auto" w:fill="auto"/>
            <w:noWrap/>
            <w:vAlign w:val="center"/>
            <w:hideMark/>
          </w:tcPr>
          <w:p w14:paraId="1548FA15" w14:textId="2015E53B"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7,187</w:t>
            </w:r>
          </w:p>
        </w:tc>
        <w:tc>
          <w:tcPr>
            <w:tcW w:w="1223" w:type="dxa"/>
            <w:tcBorders>
              <w:top w:val="nil"/>
              <w:left w:val="nil"/>
              <w:bottom w:val="single" w:sz="4" w:space="0" w:color="auto"/>
              <w:right w:val="single" w:sz="4" w:space="0" w:color="auto"/>
            </w:tcBorders>
            <w:shd w:val="clear" w:color="auto" w:fill="auto"/>
            <w:noWrap/>
            <w:vAlign w:val="center"/>
            <w:hideMark/>
          </w:tcPr>
          <w:p w14:paraId="2BAEB333" w14:textId="0307DE3B"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7,754</w:t>
            </w:r>
          </w:p>
        </w:tc>
        <w:tc>
          <w:tcPr>
            <w:tcW w:w="1223" w:type="dxa"/>
            <w:tcBorders>
              <w:top w:val="nil"/>
              <w:left w:val="nil"/>
              <w:bottom w:val="single" w:sz="4" w:space="0" w:color="auto"/>
              <w:right w:val="single" w:sz="4" w:space="0" w:color="auto"/>
            </w:tcBorders>
            <w:shd w:val="clear" w:color="auto" w:fill="auto"/>
            <w:noWrap/>
            <w:vAlign w:val="center"/>
            <w:hideMark/>
          </w:tcPr>
          <w:p w14:paraId="681D6E83" w14:textId="5FE53015"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7,693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C258044" w14:textId="76728DBD"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7,430</w:t>
            </w:r>
          </w:p>
        </w:tc>
      </w:tr>
      <w:tr w:rsidR="00F34ABA" w:rsidRPr="00A94F48" w14:paraId="0263A694" w14:textId="77777777" w:rsidTr="00D27980">
        <w:trPr>
          <w:trHeight w:val="500"/>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5580B897" w14:textId="77777777" w:rsidR="00F34ABA" w:rsidRPr="00A94F48" w:rsidRDefault="00F34ABA" w:rsidP="00F34ABA">
            <w:pPr>
              <w:spacing w:after="0" w:line="240" w:lineRule="auto"/>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Impact on GDP ($000), real dollars (2012)</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46366AE5" w14:textId="23B48306"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$719,000</w:t>
            </w:r>
          </w:p>
        </w:tc>
        <w:tc>
          <w:tcPr>
            <w:tcW w:w="1223" w:type="dxa"/>
            <w:tcBorders>
              <w:top w:val="nil"/>
              <w:left w:val="nil"/>
              <w:bottom w:val="single" w:sz="4" w:space="0" w:color="auto"/>
              <w:right w:val="single" w:sz="4" w:space="0" w:color="auto"/>
            </w:tcBorders>
            <w:shd w:val="clear" w:color="auto" w:fill="auto"/>
            <w:noWrap/>
            <w:vAlign w:val="center"/>
            <w:hideMark/>
          </w:tcPr>
          <w:p w14:paraId="30AFBE91" w14:textId="5F133E4A"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$816,000</w:t>
            </w:r>
          </w:p>
        </w:tc>
        <w:tc>
          <w:tcPr>
            <w:tcW w:w="1223" w:type="dxa"/>
            <w:tcBorders>
              <w:top w:val="nil"/>
              <w:left w:val="nil"/>
              <w:bottom w:val="single" w:sz="4" w:space="0" w:color="auto"/>
              <w:right w:val="single" w:sz="4" w:space="0" w:color="auto"/>
            </w:tcBorders>
            <w:shd w:val="clear" w:color="auto" w:fill="auto"/>
            <w:noWrap/>
            <w:vAlign w:val="center"/>
            <w:hideMark/>
          </w:tcPr>
          <w:p w14:paraId="612E7F50" w14:textId="0049972C"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$906,000</w:t>
            </w:r>
          </w:p>
        </w:tc>
        <w:tc>
          <w:tcPr>
            <w:tcW w:w="1223" w:type="dxa"/>
            <w:tcBorders>
              <w:top w:val="nil"/>
              <w:left w:val="nil"/>
              <w:bottom w:val="single" w:sz="4" w:space="0" w:color="auto"/>
              <w:right w:val="single" w:sz="4" w:space="0" w:color="auto"/>
            </w:tcBorders>
            <w:shd w:val="clear" w:color="auto" w:fill="auto"/>
            <w:noWrap/>
            <w:vAlign w:val="center"/>
            <w:hideMark/>
          </w:tcPr>
          <w:p w14:paraId="4FD71A92" w14:textId="223910E2"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$924,000</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A232C35" w14:textId="024973CA"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$919,000</w:t>
            </w:r>
          </w:p>
        </w:tc>
      </w:tr>
      <w:tr w:rsidR="00F34ABA" w:rsidRPr="00A94F48" w14:paraId="5E71C21F" w14:textId="77777777" w:rsidTr="00D27980">
        <w:trPr>
          <w:trHeight w:val="500"/>
        </w:trPr>
        <w:tc>
          <w:tcPr>
            <w:tcW w:w="3234" w:type="dxa"/>
            <w:tcBorders>
              <w:top w:val="nil"/>
              <w:left w:val="single" w:sz="4" w:space="0" w:color="auto"/>
              <w:bottom w:val="single" w:sz="4" w:space="0" w:color="auto"/>
              <w:right w:val="single" w:sz="4" w:space="0" w:color="auto"/>
            </w:tcBorders>
            <w:shd w:val="clear" w:color="auto" w:fill="auto"/>
            <w:vAlign w:val="center"/>
            <w:hideMark/>
          </w:tcPr>
          <w:p w14:paraId="43FA2D85" w14:textId="77777777" w:rsidR="00F34ABA" w:rsidRPr="00A94F48" w:rsidRDefault="00F34ABA" w:rsidP="00F34ABA">
            <w:pPr>
              <w:spacing w:after="0" w:line="240" w:lineRule="auto"/>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Impact on personal income ($000)</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6FB1122B" w14:textId="56EBCB65"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$513,000</w:t>
            </w:r>
          </w:p>
        </w:tc>
        <w:tc>
          <w:tcPr>
            <w:tcW w:w="1223" w:type="dxa"/>
            <w:tcBorders>
              <w:top w:val="nil"/>
              <w:left w:val="nil"/>
              <w:bottom w:val="single" w:sz="4" w:space="0" w:color="auto"/>
              <w:right w:val="single" w:sz="4" w:space="0" w:color="auto"/>
            </w:tcBorders>
            <w:shd w:val="clear" w:color="auto" w:fill="auto"/>
            <w:noWrap/>
            <w:vAlign w:val="center"/>
            <w:hideMark/>
          </w:tcPr>
          <w:p w14:paraId="7712FE11" w14:textId="2EE6D8AE"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$639,000</w:t>
            </w:r>
          </w:p>
        </w:tc>
        <w:tc>
          <w:tcPr>
            <w:tcW w:w="1223" w:type="dxa"/>
            <w:tcBorders>
              <w:top w:val="nil"/>
              <w:left w:val="nil"/>
              <w:bottom w:val="single" w:sz="4" w:space="0" w:color="auto"/>
              <w:right w:val="single" w:sz="4" w:space="0" w:color="auto"/>
            </w:tcBorders>
            <w:shd w:val="clear" w:color="auto" w:fill="auto"/>
            <w:noWrap/>
            <w:vAlign w:val="center"/>
            <w:hideMark/>
          </w:tcPr>
          <w:p w14:paraId="2EA9DB85" w14:textId="691366C5"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$764,000</w:t>
            </w:r>
          </w:p>
        </w:tc>
        <w:tc>
          <w:tcPr>
            <w:tcW w:w="1223" w:type="dxa"/>
            <w:tcBorders>
              <w:top w:val="nil"/>
              <w:left w:val="nil"/>
              <w:bottom w:val="single" w:sz="4" w:space="0" w:color="auto"/>
              <w:right w:val="single" w:sz="4" w:space="0" w:color="auto"/>
            </w:tcBorders>
            <w:shd w:val="clear" w:color="auto" w:fill="auto"/>
            <w:noWrap/>
            <w:vAlign w:val="center"/>
            <w:hideMark/>
          </w:tcPr>
          <w:p w14:paraId="45575535" w14:textId="285A926C"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$826,000</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6CAE91" w14:textId="35B00091"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$861,000</w:t>
            </w:r>
          </w:p>
        </w:tc>
      </w:tr>
    </w:tbl>
    <w:p w14:paraId="3D5459E8" w14:textId="31FDFE2D" w:rsidR="00D31266" w:rsidRDefault="00D31266" w:rsidP="00D27980">
      <w:pPr>
        <w:rPr>
          <w:rFonts w:asciiTheme="majorHAnsi" w:hAnsiTheme="majorHAnsi"/>
          <w:bCs/>
          <w:sz w:val="24"/>
          <w:szCs w:val="24"/>
        </w:rPr>
      </w:pPr>
    </w:p>
    <w:p w14:paraId="780CD8A4" w14:textId="77777777" w:rsidR="000E54AA" w:rsidRDefault="000E54AA" w:rsidP="00D27980">
      <w:pPr>
        <w:rPr>
          <w:rFonts w:asciiTheme="majorHAnsi" w:hAnsiTheme="majorHAnsi"/>
          <w:bCs/>
          <w:sz w:val="24"/>
          <w:szCs w:val="24"/>
        </w:rPr>
      </w:pPr>
    </w:p>
    <w:p w14:paraId="6D5DAEC2" w14:textId="77777777" w:rsidR="00D27980" w:rsidRDefault="00D27980" w:rsidP="00D27980">
      <w:pPr>
        <w:rPr>
          <w:rFonts w:asciiTheme="majorHAnsi" w:hAnsiTheme="majorHAnsi"/>
          <w:b/>
          <w:sz w:val="24"/>
          <w:szCs w:val="24"/>
        </w:rPr>
      </w:pPr>
      <w:r w:rsidRPr="00782E31">
        <w:rPr>
          <w:rFonts w:asciiTheme="majorHAnsi" w:hAnsiTheme="majorHAnsi"/>
          <w:b/>
          <w:sz w:val="24"/>
          <w:szCs w:val="24"/>
        </w:rPr>
        <w:lastRenderedPageBreak/>
        <w:t>Comparison of costs and benefits</w:t>
      </w:r>
    </w:p>
    <w:p w14:paraId="3E063978" w14:textId="3C129185" w:rsidR="00D27980" w:rsidRDefault="00D27980" w:rsidP="00D27980">
      <w:pPr>
        <w:tabs>
          <w:tab w:val="left" w:pos="7050"/>
        </w:tabs>
        <w:spacing w:after="0"/>
        <w:rPr>
          <w:rFonts w:asciiTheme="majorHAnsi" w:hAnsiTheme="majorHAnsi"/>
          <w:bCs/>
          <w:sz w:val="24"/>
          <w:szCs w:val="23"/>
        </w:rPr>
      </w:pPr>
      <w:r>
        <w:rPr>
          <w:rFonts w:asciiTheme="majorHAnsi" w:hAnsiTheme="majorHAnsi"/>
          <w:bCs/>
          <w:sz w:val="24"/>
          <w:szCs w:val="23"/>
        </w:rPr>
        <w:t xml:space="preserve">Ignoring the opportunity cost of the tax </w:t>
      </w:r>
      <w:r w:rsidR="0069127A">
        <w:rPr>
          <w:rFonts w:asciiTheme="majorHAnsi" w:hAnsiTheme="majorHAnsi"/>
          <w:bCs/>
          <w:sz w:val="24"/>
          <w:szCs w:val="23"/>
        </w:rPr>
        <w:t>expenditure</w:t>
      </w:r>
      <w:r>
        <w:rPr>
          <w:rFonts w:asciiTheme="majorHAnsi" w:hAnsiTheme="majorHAnsi"/>
          <w:bCs/>
          <w:sz w:val="24"/>
          <w:szCs w:val="23"/>
        </w:rPr>
        <w:t xml:space="preserve">, total benefits are greater than costs. Considering the opportunity cost means asking what benefits would be reaped if the Commonwealth used the dollars spent on the tax </w:t>
      </w:r>
      <w:r w:rsidR="0069127A">
        <w:rPr>
          <w:rFonts w:asciiTheme="majorHAnsi" w:hAnsiTheme="majorHAnsi"/>
          <w:bCs/>
          <w:sz w:val="24"/>
          <w:szCs w:val="23"/>
        </w:rPr>
        <w:t>expenditure</w:t>
      </w:r>
      <w:r>
        <w:rPr>
          <w:rFonts w:asciiTheme="majorHAnsi" w:hAnsiTheme="majorHAnsi"/>
          <w:bCs/>
          <w:sz w:val="24"/>
          <w:szCs w:val="23"/>
        </w:rPr>
        <w:t xml:space="preserve"> for other purposes. Those dollars could be spent in many other ways and examining them is beyond the scope of the current evaluation report.  Nonetheless, we report net impacts of the tax </w:t>
      </w:r>
      <w:r w:rsidR="0069127A">
        <w:rPr>
          <w:rFonts w:asciiTheme="majorHAnsi" w:hAnsiTheme="majorHAnsi"/>
          <w:bCs/>
          <w:sz w:val="24"/>
          <w:szCs w:val="23"/>
        </w:rPr>
        <w:t>expenditure</w:t>
      </w:r>
      <w:r>
        <w:rPr>
          <w:rFonts w:asciiTheme="majorHAnsi" w:hAnsiTheme="majorHAnsi"/>
          <w:bCs/>
          <w:sz w:val="24"/>
          <w:szCs w:val="23"/>
        </w:rPr>
        <w:t xml:space="preserve"> in Tables A</w:t>
      </w:r>
      <w:r w:rsidR="00D15853">
        <w:rPr>
          <w:rFonts w:asciiTheme="majorHAnsi" w:hAnsiTheme="majorHAnsi"/>
          <w:bCs/>
          <w:sz w:val="24"/>
          <w:szCs w:val="23"/>
        </w:rPr>
        <w:t>3-</w:t>
      </w:r>
      <w:r>
        <w:rPr>
          <w:rFonts w:asciiTheme="majorHAnsi" w:hAnsiTheme="majorHAnsi"/>
          <w:bCs/>
          <w:sz w:val="24"/>
          <w:szCs w:val="23"/>
        </w:rPr>
        <w:t>5 and A</w:t>
      </w:r>
      <w:r w:rsidR="00D15853">
        <w:rPr>
          <w:rFonts w:asciiTheme="majorHAnsi" w:hAnsiTheme="majorHAnsi"/>
          <w:bCs/>
          <w:sz w:val="24"/>
          <w:szCs w:val="23"/>
        </w:rPr>
        <w:t>3-</w:t>
      </w:r>
      <w:r>
        <w:rPr>
          <w:rFonts w:asciiTheme="majorHAnsi" w:hAnsiTheme="majorHAnsi"/>
          <w:bCs/>
          <w:sz w:val="24"/>
          <w:szCs w:val="23"/>
        </w:rPr>
        <w:t>6 below under the balanced budget requirement, which are the combined effects in Tables A</w:t>
      </w:r>
      <w:r w:rsidR="00D15853">
        <w:rPr>
          <w:rFonts w:asciiTheme="majorHAnsi" w:hAnsiTheme="majorHAnsi"/>
          <w:bCs/>
          <w:sz w:val="24"/>
          <w:szCs w:val="23"/>
        </w:rPr>
        <w:t>3-</w:t>
      </w:r>
      <w:r>
        <w:rPr>
          <w:rFonts w:asciiTheme="majorHAnsi" w:hAnsiTheme="majorHAnsi"/>
          <w:bCs/>
          <w:sz w:val="24"/>
          <w:szCs w:val="23"/>
        </w:rPr>
        <w:t>1</w:t>
      </w:r>
      <w:r w:rsidR="00D15853">
        <w:rPr>
          <w:rFonts w:asciiTheme="majorHAnsi" w:hAnsiTheme="majorHAnsi"/>
          <w:bCs/>
          <w:sz w:val="24"/>
          <w:szCs w:val="23"/>
        </w:rPr>
        <w:t xml:space="preserve"> to </w:t>
      </w:r>
      <w:r>
        <w:rPr>
          <w:rFonts w:asciiTheme="majorHAnsi" w:hAnsiTheme="majorHAnsi"/>
          <w:bCs/>
          <w:sz w:val="24"/>
          <w:szCs w:val="23"/>
        </w:rPr>
        <w:t>A</w:t>
      </w:r>
      <w:r w:rsidR="00D15853">
        <w:rPr>
          <w:rFonts w:asciiTheme="majorHAnsi" w:hAnsiTheme="majorHAnsi"/>
          <w:bCs/>
          <w:sz w:val="24"/>
          <w:szCs w:val="23"/>
        </w:rPr>
        <w:t>3-</w:t>
      </w:r>
      <w:r>
        <w:rPr>
          <w:rFonts w:asciiTheme="majorHAnsi" w:hAnsiTheme="majorHAnsi"/>
          <w:bCs/>
          <w:sz w:val="24"/>
          <w:szCs w:val="23"/>
        </w:rPr>
        <w:t xml:space="preserve">4. </w:t>
      </w:r>
    </w:p>
    <w:p w14:paraId="0FD78724" w14:textId="77777777" w:rsidR="00D27980" w:rsidRDefault="00D27980" w:rsidP="00D27980">
      <w:pPr>
        <w:tabs>
          <w:tab w:val="left" w:pos="7050"/>
        </w:tabs>
        <w:spacing w:after="0"/>
        <w:rPr>
          <w:rFonts w:asciiTheme="majorHAnsi" w:hAnsiTheme="majorHAnsi"/>
          <w:bCs/>
          <w:sz w:val="24"/>
          <w:szCs w:val="23"/>
        </w:rPr>
      </w:pPr>
    </w:p>
    <w:p w14:paraId="5A681BAF" w14:textId="7FCC85A6" w:rsidR="00D27980" w:rsidRDefault="00D27980" w:rsidP="00D27980">
      <w:pPr>
        <w:tabs>
          <w:tab w:val="left" w:pos="7050"/>
        </w:tabs>
        <w:spacing w:after="0"/>
        <w:rPr>
          <w:rFonts w:asciiTheme="majorHAnsi" w:hAnsiTheme="majorHAnsi"/>
          <w:bCs/>
          <w:sz w:val="24"/>
          <w:szCs w:val="23"/>
        </w:rPr>
      </w:pPr>
      <w:r w:rsidRPr="00A76DAE">
        <w:rPr>
          <w:rFonts w:asciiTheme="majorHAnsi" w:hAnsiTheme="majorHAnsi"/>
          <w:bCs/>
          <w:sz w:val="24"/>
          <w:szCs w:val="23"/>
        </w:rPr>
        <w:t xml:space="preserve">Tables </w:t>
      </w:r>
      <w:r>
        <w:rPr>
          <w:rFonts w:asciiTheme="majorHAnsi" w:hAnsiTheme="majorHAnsi"/>
          <w:bCs/>
          <w:sz w:val="24"/>
          <w:szCs w:val="23"/>
        </w:rPr>
        <w:t>A</w:t>
      </w:r>
      <w:r w:rsidR="00D15853">
        <w:rPr>
          <w:rFonts w:asciiTheme="majorHAnsi" w:hAnsiTheme="majorHAnsi"/>
          <w:bCs/>
          <w:sz w:val="24"/>
          <w:szCs w:val="23"/>
        </w:rPr>
        <w:t>3-</w:t>
      </w:r>
      <w:r>
        <w:rPr>
          <w:rFonts w:asciiTheme="majorHAnsi" w:hAnsiTheme="majorHAnsi"/>
          <w:bCs/>
          <w:sz w:val="24"/>
          <w:szCs w:val="23"/>
        </w:rPr>
        <w:t>5</w:t>
      </w:r>
      <w:r w:rsidRPr="00A76DAE">
        <w:rPr>
          <w:rFonts w:asciiTheme="majorHAnsi" w:hAnsiTheme="majorHAnsi"/>
          <w:bCs/>
          <w:sz w:val="24"/>
          <w:szCs w:val="23"/>
        </w:rPr>
        <w:t xml:space="preserve"> and </w:t>
      </w:r>
      <w:r>
        <w:rPr>
          <w:rFonts w:asciiTheme="majorHAnsi" w:hAnsiTheme="majorHAnsi"/>
          <w:bCs/>
          <w:sz w:val="24"/>
          <w:szCs w:val="23"/>
        </w:rPr>
        <w:t>A</w:t>
      </w:r>
      <w:r w:rsidR="00D15853">
        <w:rPr>
          <w:rFonts w:asciiTheme="majorHAnsi" w:hAnsiTheme="majorHAnsi"/>
          <w:bCs/>
          <w:sz w:val="24"/>
          <w:szCs w:val="23"/>
        </w:rPr>
        <w:t>3-</w:t>
      </w:r>
      <w:r>
        <w:rPr>
          <w:rFonts w:asciiTheme="majorHAnsi" w:hAnsiTheme="majorHAnsi"/>
          <w:bCs/>
          <w:sz w:val="24"/>
          <w:szCs w:val="23"/>
        </w:rPr>
        <w:t>6</w:t>
      </w:r>
      <w:r w:rsidRPr="00A76DAE">
        <w:rPr>
          <w:rFonts w:asciiTheme="majorHAnsi" w:hAnsiTheme="majorHAnsi"/>
          <w:bCs/>
          <w:sz w:val="24"/>
          <w:szCs w:val="23"/>
        </w:rPr>
        <w:t xml:space="preserve"> show that </w:t>
      </w:r>
      <w:r w:rsidR="00670F24">
        <w:rPr>
          <w:rFonts w:asciiTheme="majorHAnsi" w:eastAsiaTheme="majorEastAsia" w:hAnsiTheme="majorHAnsi" w:cstheme="majorBidi"/>
          <w:bCs/>
          <w:color w:val="000000" w:themeColor="text1"/>
          <w:sz w:val="24"/>
          <w:szCs w:val="24"/>
        </w:rPr>
        <w:t xml:space="preserve">the </w:t>
      </w:r>
      <w:r w:rsidR="00670F24" w:rsidRPr="00345AB7">
        <w:rPr>
          <w:rFonts w:asciiTheme="majorHAnsi" w:eastAsiaTheme="majorEastAsia" w:hAnsiTheme="majorHAnsi" w:cstheme="majorBidi"/>
          <w:bCs/>
          <w:color w:val="000000" w:themeColor="text1"/>
          <w:sz w:val="24"/>
          <w:szCs w:val="24"/>
        </w:rPr>
        <w:t xml:space="preserve">apportionment formula </w:t>
      </w:r>
      <w:r w:rsidR="0069127A">
        <w:rPr>
          <w:rFonts w:asciiTheme="majorHAnsi" w:eastAsiaTheme="majorEastAsia" w:hAnsiTheme="majorHAnsi" w:cstheme="majorBidi"/>
          <w:bCs/>
          <w:color w:val="000000" w:themeColor="text1"/>
          <w:sz w:val="24"/>
          <w:szCs w:val="24"/>
        </w:rPr>
        <w:t>with</w:t>
      </w:r>
      <w:r w:rsidR="00670F24" w:rsidRPr="00345AB7">
        <w:rPr>
          <w:rFonts w:asciiTheme="majorHAnsi" w:eastAsiaTheme="majorEastAsia" w:hAnsiTheme="majorHAnsi" w:cstheme="majorBidi"/>
          <w:bCs/>
          <w:color w:val="000000" w:themeColor="text1"/>
          <w:sz w:val="24"/>
          <w:szCs w:val="24"/>
        </w:rPr>
        <w:t xml:space="preserve"> </w:t>
      </w:r>
      <w:r w:rsidR="0020671E">
        <w:rPr>
          <w:rFonts w:asciiTheme="majorHAnsi" w:eastAsiaTheme="majorEastAsia" w:hAnsiTheme="majorHAnsi" w:cstheme="majorBidi"/>
          <w:bCs/>
          <w:color w:val="000000" w:themeColor="text1"/>
          <w:sz w:val="24"/>
          <w:szCs w:val="24"/>
        </w:rPr>
        <w:t>higher</w:t>
      </w:r>
      <w:r w:rsidR="0020671E" w:rsidRPr="00345AB7">
        <w:rPr>
          <w:rFonts w:asciiTheme="majorHAnsi" w:eastAsiaTheme="majorEastAsia" w:hAnsiTheme="majorHAnsi" w:cstheme="majorBidi"/>
          <w:bCs/>
          <w:color w:val="000000" w:themeColor="text1"/>
          <w:sz w:val="24"/>
          <w:szCs w:val="24"/>
        </w:rPr>
        <w:t xml:space="preserve"> </w:t>
      </w:r>
      <w:r w:rsidR="00670F24" w:rsidRPr="00345AB7">
        <w:rPr>
          <w:rFonts w:asciiTheme="majorHAnsi" w:eastAsiaTheme="majorEastAsia" w:hAnsiTheme="majorHAnsi" w:cstheme="majorBidi"/>
          <w:bCs/>
          <w:color w:val="000000" w:themeColor="text1"/>
          <w:sz w:val="24"/>
          <w:szCs w:val="24"/>
        </w:rPr>
        <w:t xml:space="preserve">weighted </w:t>
      </w:r>
      <w:r w:rsidR="0069127A">
        <w:rPr>
          <w:rFonts w:asciiTheme="majorHAnsi" w:eastAsiaTheme="majorEastAsia" w:hAnsiTheme="majorHAnsi" w:cstheme="majorBidi"/>
          <w:bCs/>
          <w:color w:val="000000" w:themeColor="text1"/>
          <w:sz w:val="24"/>
          <w:szCs w:val="24"/>
        </w:rPr>
        <w:t>sales</w:t>
      </w:r>
      <w:r w:rsidR="00670F24" w:rsidRPr="00345AB7">
        <w:rPr>
          <w:rFonts w:asciiTheme="majorHAnsi" w:eastAsiaTheme="majorEastAsia" w:hAnsiTheme="majorHAnsi" w:cstheme="majorBidi"/>
          <w:bCs/>
          <w:color w:val="000000" w:themeColor="text1"/>
          <w:sz w:val="24"/>
          <w:szCs w:val="24"/>
        </w:rPr>
        <w:t xml:space="preserve"> factor</w:t>
      </w:r>
      <w:r w:rsidR="00670F24" w:rsidRPr="00A76DAE">
        <w:rPr>
          <w:rFonts w:asciiTheme="majorHAnsi" w:hAnsiTheme="majorHAnsi"/>
          <w:bCs/>
          <w:sz w:val="24"/>
          <w:szCs w:val="23"/>
        </w:rPr>
        <w:t xml:space="preserve"> </w:t>
      </w:r>
      <w:r w:rsidRPr="00A76DAE">
        <w:rPr>
          <w:rFonts w:asciiTheme="majorHAnsi" w:hAnsiTheme="majorHAnsi"/>
          <w:bCs/>
          <w:sz w:val="24"/>
          <w:szCs w:val="23"/>
        </w:rPr>
        <w:t xml:space="preserve">combined with a cut in state government spending </w:t>
      </w:r>
      <w:r w:rsidR="00B84883">
        <w:rPr>
          <w:rFonts w:asciiTheme="majorHAnsi" w:hAnsiTheme="majorHAnsi"/>
          <w:bCs/>
          <w:sz w:val="24"/>
          <w:szCs w:val="23"/>
        </w:rPr>
        <w:t xml:space="preserve">in general </w:t>
      </w:r>
      <w:r w:rsidRPr="00A76DAE">
        <w:rPr>
          <w:rFonts w:asciiTheme="majorHAnsi" w:hAnsiTheme="majorHAnsi"/>
          <w:bCs/>
          <w:sz w:val="24"/>
          <w:szCs w:val="23"/>
        </w:rPr>
        <w:t>results in less economic activit</w:t>
      </w:r>
      <w:r>
        <w:rPr>
          <w:rFonts w:asciiTheme="majorHAnsi" w:hAnsiTheme="majorHAnsi"/>
          <w:bCs/>
          <w:sz w:val="24"/>
          <w:szCs w:val="23"/>
        </w:rPr>
        <w:t>y</w:t>
      </w:r>
      <w:r w:rsidRPr="00A76DAE">
        <w:rPr>
          <w:rFonts w:asciiTheme="majorHAnsi" w:hAnsiTheme="majorHAnsi"/>
          <w:bCs/>
          <w:sz w:val="24"/>
          <w:szCs w:val="23"/>
        </w:rPr>
        <w:t xml:space="preserve">, with real state GDP </w:t>
      </w:r>
      <w:r w:rsidR="00B84883">
        <w:rPr>
          <w:rFonts w:asciiTheme="majorHAnsi" w:hAnsiTheme="majorHAnsi"/>
          <w:bCs/>
          <w:sz w:val="24"/>
          <w:szCs w:val="23"/>
        </w:rPr>
        <w:t xml:space="preserve">changing </w:t>
      </w:r>
      <w:r>
        <w:rPr>
          <w:rFonts w:asciiTheme="majorHAnsi" w:hAnsiTheme="majorHAnsi"/>
          <w:bCs/>
          <w:sz w:val="24"/>
          <w:szCs w:val="23"/>
        </w:rPr>
        <w:t xml:space="preserve">by </w:t>
      </w:r>
      <w:r w:rsidR="00B84883">
        <w:rPr>
          <w:rFonts w:asciiTheme="majorHAnsi" w:hAnsiTheme="majorHAnsi"/>
          <w:bCs/>
          <w:sz w:val="24"/>
          <w:szCs w:val="23"/>
        </w:rPr>
        <w:t>-</w:t>
      </w:r>
      <w:r>
        <w:rPr>
          <w:rFonts w:asciiTheme="majorHAnsi" w:hAnsiTheme="majorHAnsi"/>
          <w:bCs/>
          <w:sz w:val="24"/>
          <w:szCs w:val="23"/>
        </w:rPr>
        <w:t>$</w:t>
      </w:r>
      <w:r w:rsidR="003E3BDD">
        <w:rPr>
          <w:rFonts w:asciiTheme="majorHAnsi" w:hAnsiTheme="majorHAnsi"/>
          <w:bCs/>
          <w:sz w:val="24"/>
          <w:szCs w:val="23"/>
        </w:rPr>
        <w:t xml:space="preserve">178 </w:t>
      </w:r>
      <w:r>
        <w:rPr>
          <w:rFonts w:asciiTheme="majorHAnsi" w:hAnsiTheme="majorHAnsi"/>
          <w:bCs/>
          <w:sz w:val="24"/>
          <w:szCs w:val="23"/>
        </w:rPr>
        <w:t>million</w:t>
      </w:r>
      <w:r w:rsidR="00B84883">
        <w:rPr>
          <w:rFonts w:asciiTheme="majorHAnsi" w:hAnsiTheme="majorHAnsi"/>
          <w:bCs/>
          <w:sz w:val="24"/>
          <w:szCs w:val="23"/>
        </w:rPr>
        <w:t xml:space="preserve"> to +</w:t>
      </w:r>
      <w:r w:rsidRPr="00A76DAE">
        <w:rPr>
          <w:rFonts w:asciiTheme="majorHAnsi" w:hAnsiTheme="majorHAnsi"/>
          <w:bCs/>
          <w:sz w:val="24"/>
          <w:szCs w:val="23"/>
        </w:rPr>
        <w:t>$</w:t>
      </w:r>
      <w:r w:rsidR="003E3BDD">
        <w:rPr>
          <w:rFonts w:asciiTheme="majorHAnsi" w:hAnsiTheme="majorHAnsi"/>
          <w:bCs/>
          <w:sz w:val="24"/>
          <w:szCs w:val="23"/>
        </w:rPr>
        <w:t>13</w:t>
      </w:r>
      <w:r w:rsidR="003E3BDD" w:rsidRPr="00A76DAE">
        <w:rPr>
          <w:rFonts w:asciiTheme="majorHAnsi" w:hAnsiTheme="majorHAnsi"/>
          <w:bCs/>
          <w:sz w:val="24"/>
          <w:szCs w:val="23"/>
        </w:rPr>
        <w:t xml:space="preserve"> </w:t>
      </w:r>
      <w:r w:rsidRPr="00A76DAE">
        <w:rPr>
          <w:rFonts w:asciiTheme="majorHAnsi" w:hAnsiTheme="majorHAnsi"/>
          <w:bCs/>
          <w:sz w:val="24"/>
          <w:szCs w:val="23"/>
        </w:rPr>
        <w:t xml:space="preserve">million. The net impact on total employment is negative with total employment decreasing </w:t>
      </w:r>
      <w:r>
        <w:rPr>
          <w:rFonts w:asciiTheme="majorHAnsi" w:hAnsiTheme="majorHAnsi"/>
          <w:bCs/>
          <w:sz w:val="24"/>
          <w:szCs w:val="23"/>
        </w:rPr>
        <w:t xml:space="preserve">by </w:t>
      </w:r>
      <w:r w:rsidR="00B84883">
        <w:rPr>
          <w:rFonts w:asciiTheme="majorHAnsi" w:hAnsiTheme="majorHAnsi"/>
          <w:bCs/>
          <w:sz w:val="24"/>
          <w:szCs w:val="23"/>
        </w:rPr>
        <w:t>1,</w:t>
      </w:r>
      <w:r w:rsidR="003E3BDD">
        <w:rPr>
          <w:rFonts w:asciiTheme="majorHAnsi" w:hAnsiTheme="majorHAnsi"/>
          <w:bCs/>
          <w:sz w:val="24"/>
          <w:szCs w:val="23"/>
        </w:rPr>
        <w:t xml:space="preserve">943 </w:t>
      </w:r>
      <w:r w:rsidR="00B84E57">
        <w:rPr>
          <w:rFonts w:asciiTheme="majorHAnsi" w:hAnsiTheme="majorHAnsi"/>
          <w:bCs/>
          <w:sz w:val="24"/>
          <w:szCs w:val="23"/>
        </w:rPr>
        <w:t xml:space="preserve">to </w:t>
      </w:r>
      <w:r w:rsidR="00527574">
        <w:rPr>
          <w:rFonts w:asciiTheme="majorHAnsi" w:hAnsiTheme="majorHAnsi"/>
          <w:bCs/>
          <w:sz w:val="24"/>
          <w:szCs w:val="23"/>
        </w:rPr>
        <w:t>3,</w:t>
      </w:r>
      <w:r w:rsidR="003E3BDD">
        <w:rPr>
          <w:rFonts w:asciiTheme="majorHAnsi" w:hAnsiTheme="majorHAnsi"/>
          <w:bCs/>
          <w:sz w:val="24"/>
          <w:szCs w:val="23"/>
        </w:rPr>
        <w:t>662</w:t>
      </w:r>
      <w:r w:rsidR="003E3BDD" w:rsidRPr="00A76DAE">
        <w:rPr>
          <w:rFonts w:asciiTheme="majorHAnsi" w:hAnsiTheme="majorHAnsi"/>
          <w:bCs/>
          <w:sz w:val="24"/>
          <w:szCs w:val="23"/>
        </w:rPr>
        <w:t xml:space="preserve"> </w:t>
      </w:r>
      <w:r>
        <w:rPr>
          <w:rFonts w:asciiTheme="majorHAnsi" w:hAnsiTheme="majorHAnsi"/>
          <w:bCs/>
          <w:sz w:val="24"/>
          <w:szCs w:val="23"/>
        </w:rPr>
        <w:t xml:space="preserve">jobs </w:t>
      </w:r>
      <w:r w:rsidRPr="00A76DAE">
        <w:rPr>
          <w:rFonts w:asciiTheme="majorHAnsi" w:hAnsiTheme="majorHAnsi"/>
          <w:bCs/>
          <w:sz w:val="24"/>
          <w:szCs w:val="23"/>
        </w:rPr>
        <w:t xml:space="preserve">annually. The impact on </w:t>
      </w:r>
      <w:r>
        <w:rPr>
          <w:rFonts w:asciiTheme="majorHAnsi" w:hAnsiTheme="majorHAnsi"/>
          <w:bCs/>
          <w:sz w:val="24"/>
          <w:szCs w:val="23"/>
        </w:rPr>
        <w:t xml:space="preserve">state </w:t>
      </w:r>
      <w:r w:rsidRPr="00A76DAE">
        <w:rPr>
          <w:rFonts w:asciiTheme="majorHAnsi" w:hAnsiTheme="majorHAnsi"/>
          <w:bCs/>
          <w:sz w:val="24"/>
          <w:szCs w:val="23"/>
        </w:rPr>
        <w:t xml:space="preserve">revenues is also negative, decreasing </w:t>
      </w:r>
      <w:r>
        <w:rPr>
          <w:rFonts w:asciiTheme="majorHAnsi" w:hAnsiTheme="majorHAnsi"/>
          <w:bCs/>
          <w:sz w:val="24"/>
          <w:szCs w:val="23"/>
        </w:rPr>
        <w:t>by</w:t>
      </w:r>
      <w:r w:rsidRPr="00A76DAE">
        <w:rPr>
          <w:rFonts w:asciiTheme="majorHAnsi" w:hAnsiTheme="majorHAnsi"/>
          <w:bCs/>
          <w:sz w:val="24"/>
          <w:szCs w:val="23"/>
        </w:rPr>
        <w:t xml:space="preserve"> </w:t>
      </w:r>
      <w:r w:rsidR="00670F24" w:rsidRPr="00A76DAE">
        <w:rPr>
          <w:rFonts w:asciiTheme="majorHAnsi" w:hAnsiTheme="majorHAnsi"/>
          <w:bCs/>
          <w:sz w:val="24"/>
          <w:szCs w:val="23"/>
        </w:rPr>
        <w:t>$</w:t>
      </w:r>
      <w:r w:rsidR="003E3BDD">
        <w:rPr>
          <w:rFonts w:asciiTheme="majorHAnsi" w:hAnsiTheme="majorHAnsi"/>
          <w:bCs/>
          <w:sz w:val="24"/>
          <w:szCs w:val="23"/>
        </w:rPr>
        <w:t>4.5</w:t>
      </w:r>
      <w:r w:rsidR="00670F24" w:rsidRPr="00A76DAE">
        <w:rPr>
          <w:rFonts w:asciiTheme="majorHAnsi" w:hAnsiTheme="majorHAnsi"/>
          <w:bCs/>
          <w:sz w:val="24"/>
          <w:szCs w:val="23"/>
        </w:rPr>
        <w:t xml:space="preserve"> million to $</w:t>
      </w:r>
      <w:r w:rsidR="003E3BDD">
        <w:rPr>
          <w:rFonts w:asciiTheme="majorHAnsi" w:hAnsiTheme="majorHAnsi"/>
          <w:bCs/>
          <w:sz w:val="24"/>
          <w:szCs w:val="23"/>
        </w:rPr>
        <w:t>8.5</w:t>
      </w:r>
      <w:r w:rsidR="00670F24" w:rsidRPr="00A76DAE">
        <w:rPr>
          <w:rFonts w:asciiTheme="majorHAnsi" w:hAnsiTheme="majorHAnsi"/>
          <w:bCs/>
          <w:sz w:val="24"/>
          <w:szCs w:val="23"/>
        </w:rPr>
        <w:t xml:space="preserve"> </w:t>
      </w:r>
      <w:r w:rsidRPr="00A76DAE">
        <w:rPr>
          <w:rFonts w:asciiTheme="majorHAnsi" w:hAnsiTheme="majorHAnsi"/>
          <w:bCs/>
          <w:sz w:val="24"/>
          <w:szCs w:val="23"/>
        </w:rPr>
        <w:t>million annually.</w:t>
      </w:r>
    </w:p>
    <w:p w14:paraId="66FAFDD6" w14:textId="77777777" w:rsidR="00D27980" w:rsidRDefault="00D27980" w:rsidP="00D27980">
      <w:pPr>
        <w:tabs>
          <w:tab w:val="left" w:pos="7050"/>
        </w:tabs>
        <w:spacing w:after="0"/>
        <w:rPr>
          <w:rFonts w:asciiTheme="majorHAnsi" w:hAnsiTheme="majorHAnsi"/>
          <w:bCs/>
          <w:sz w:val="24"/>
          <w:szCs w:val="23"/>
        </w:rPr>
      </w:pPr>
    </w:p>
    <w:p w14:paraId="0C6BCD44" w14:textId="79861D16" w:rsidR="00430623" w:rsidRDefault="00D27980" w:rsidP="00D27980">
      <w:pPr>
        <w:spacing w:after="0"/>
        <w:jc w:val="center"/>
        <w:rPr>
          <w:rFonts w:asciiTheme="majorHAnsi" w:eastAsiaTheme="majorEastAsia" w:hAnsiTheme="majorHAnsi" w:cstheme="majorBidi"/>
          <w:b/>
          <w:color w:val="000000" w:themeColor="text1"/>
          <w:sz w:val="24"/>
          <w:szCs w:val="24"/>
        </w:rPr>
      </w:pPr>
      <w:r w:rsidRPr="00366FFC">
        <w:rPr>
          <w:rFonts w:asciiTheme="majorHAnsi" w:eastAsiaTheme="majorEastAsia" w:hAnsiTheme="majorHAnsi" w:cstheme="majorBidi"/>
          <w:b/>
          <w:color w:val="000000" w:themeColor="text1"/>
          <w:sz w:val="24"/>
          <w:szCs w:val="24"/>
        </w:rPr>
        <w:t xml:space="preserve">Table </w:t>
      </w:r>
      <w:r>
        <w:rPr>
          <w:rFonts w:asciiTheme="majorHAnsi" w:eastAsiaTheme="majorEastAsia" w:hAnsiTheme="majorHAnsi" w:cstheme="majorBidi"/>
          <w:b/>
          <w:color w:val="000000" w:themeColor="text1"/>
          <w:sz w:val="24"/>
          <w:szCs w:val="24"/>
        </w:rPr>
        <w:t>A</w:t>
      </w:r>
      <w:r w:rsidR="00D15853">
        <w:rPr>
          <w:rFonts w:asciiTheme="majorHAnsi" w:eastAsiaTheme="majorEastAsia" w:hAnsiTheme="majorHAnsi" w:cstheme="majorBidi"/>
          <w:b/>
          <w:color w:val="000000" w:themeColor="text1"/>
          <w:sz w:val="24"/>
          <w:szCs w:val="24"/>
        </w:rPr>
        <w:t>3-</w:t>
      </w:r>
      <w:r>
        <w:rPr>
          <w:rFonts w:asciiTheme="majorHAnsi" w:eastAsiaTheme="majorEastAsia" w:hAnsiTheme="majorHAnsi" w:cstheme="majorBidi"/>
          <w:b/>
          <w:color w:val="000000" w:themeColor="text1"/>
          <w:sz w:val="24"/>
          <w:szCs w:val="24"/>
        </w:rPr>
        <w:t>5</w:t>
      </w:r>
      <w:r w:rsidRPr="00366FFC">
        <w:rPr>
          <w:rFonts w:asciiTheme="majorHAnsi" w:eastAsiaTheme="majorEastAsia" w:hAnsiTheme="majorHAnsi" w:cstheme="majorBidi"/>
          <w:b/>
          <w:color w:val="000000" w:themeColor="text1"/>
          <w:sz w:val="24"/>
          <w:szCs w:val="24"/>
        </w:rPr>
        <w:t xml:space="preserve">. </w:t>
      </w:r>
      <w:r>
        <w:rPr>
          <w:rFonts w:asciiTheme="majorHAnsi" w:eastAsiaTheme="majorEastAsia" w:hAnsiTheme="majorHAnsi" w:cstheme="majorBidi"/>
          <w:b/>
          <w:color w:val="000000" w:themeColor="text1"/>
          <w:sz w:val="24"/>
          <w:szCs w:val="24"/>
        </w:rPr>
        <w:t xml:space="preserve"> Net Additional Revenue Impact of </w:t>
      </w:r>
      <w:r w:rsidR="00C60A71">
        <w:rPr>
          <w:rFonts w:asciiTheme="majorHAnsi" w:eastAsiaTheme="majorEastAsia" w:hAnsiTheme="majorHAnsi" w:cstheme="majorBidi"/>
          <w:b/>
          <w:color w:val="000000" w:themeColor="text1"/>
          <w:sz w:val="24"/>
          <w:szCs w:val="24"/>
        </w:rPr>
        <w:t xml:space="preserve">Formulas </w:t>
      </w:r>
    </w:p>
    <w:p w14:paraId="266F21E3" w14:textId="7F7D729B" w:rsidR="00D27980" w:rsidRDefault="00C60A71" w:rsidP="00D27980">
      <w:pPr>
        <w:spacing w:after="0"/>
        <w:jc w:val="cente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with</w:t>
      </w:r>
      <w:r w:rsidRPr="00B726D0">
        <w:rPr>
          <w:rFonts w:asciiTheme="majorHAnsi" w:eastAsiaTheme="majorEastAsia" w:hAnsiTheme="majorHAnsi" w:cstheme="majorBidi"/>
          <w:b/>
          <w:color w:val="000000" w:themeColor="text1"/>
          <w:sz w:val="24"/>
          <w:szCs w:val="24"/>
        </w:rPr>
        <w:t xml:space="preserve"> </w:t>
      </w:r>
      <w:r w:rsidR="0020671E">
        <w:rPr>
          <w:rFonts w:asciiTheme="majorHAnsi" w:eastAsiaTheme="majorEastAsia" w:hAnsiTheme="majorHAnsi" w:cstheme="majorBidi"/>
          <w:b/>
          <w:color w:val="000000" w:themeColor="text1"/>
          <w:sz w:val="24"/>
          <w:szCs w:val="24"/>
        </w:rPr>
        <w:t>Higher</w:t>
      </w:r>
      <w:r w:rsidR="0020671E" w:rsidRPr="0077589F">
        <w:rPr>
          <w:rFonts w:asciiTheme="majorHAnsi" w:eastAsiaTheme="majorEastAsia" w:hAnsiTheme="majorHAnsi" w:cstheme="majorBidi"/>
          <w:b/>
          <w:color w:val="000000" w:themeColor="text1"/>
          <w:sz w:val="24"/>
          <w:szCs w:val="24"/>
        </w:rPr>
        <w:t xml:space="preserve"> </w:t>
      </w:r>
      <w:r w:rsidRPr="0077589F">
        <w:rPr>
          <w:rFonts w:asciiTheme="majorHAnsi" w:eastAsiaTheme="majorEastAsia" w:hAnsiTheme="majorHAnsi" w:cstheme="majorBidi"/>
          <w:b/>
          <w:color w:val="000000" w:themeColor="text1"/>
          <w:sz w:val="24"/>
          <w:szCs w:val="24"/>
        </w:rPr>
        <w:t>Weight</w:t>
      </w:r>
      <w:r>
        <w:rPr>
          <w:rFonts w:asciiTheme="majorHAnsi" w:eastAsiaTheme="majorEastAsia" w:hAnsiTheme="majorHAnsi" w:cstheme="majorBidi"/>
          <w:b/>
          <w:color w:val="000000" w:themeColor="text1"/>
          <w:sz w:val="24"/>
          <w:szCs w:val="24"/>
        </w:rPr>
        <w:t xml:space="preserve">ed </w:t>
      </w:r>
      <w:r w:rsidRPr="0077589F">
        <w:rPr>
          <w:rFonts w:asciiTheme="majorHAnsi" w:eastAsiaTheme="majorEastAsia" w:hAnsiTheme="majorHAnsi" w:cstheme="majorBidi"/>
          <w:b/>
          <w:color w:val="000000" w:themeColor="text1"/>
          <w:sz w:val="24"/>
          <w:szCs w:val="24"/>
        </w:rPr>
        <w:t>Sales Factor</w:t>
      </w:r>
      <w:r w:rsidR="00D27980">
        <w:rPr>
          <w:rFonts w:asciiTheme="majorHAnsi" w:eastAsiaTheme="majorEastAsia" w:hAnsiTheme="majorHAnsi" w:cstheme="majorBidi"/>
          <w:b/>
          <w:color w:val="000000" w:themeColor="text1"/>
          <w:sz w:val="24"/>
          <w:szCs w:val="24"/>
        </w:rPr>
        <w:t>*</w:t>
      </w:r>
    </w:p>
    <w:tbl>
      <w:tblPr>
        <w:tblW w:w="9350" w:type="dxa"/>
        <w:tblLook w:val="04A0" w:firstRow="1" w:lastRow="0" w:firstColumn="1" w:lastColumn="0" w:noHBand="0" w:noVBand="1"/>
      </w:tblPr>
      <w:tblGrid>
        <w:gridCol w:w="3835"/>
        <w:gridCol w:w="1103"/>
        <w:gridCol w:w="1103"/>
        <w:gridCol w:w="1103"/>
        <w:gridCol w:w="1103"/>
        <w:gridCol w:w="1103"/>
      </w:tblGrid>
      <w:tr w:rsidR="00D27980" w:rsidRPr="00E072E2" w14:paraId="7ECE068F" w14:textId="77777777" w:rsidTr="00AD6B46">
        <w:trPr>
          <w:trHeight w:val="500"/>
        </w:trPr>
        <w:tc>
          <w:tcPr>
            <w:tcW w:w="383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1073B64B" w14:textId="77777777" w:rsidR="00D27980" w:rsidRPr="00E072E2" w:rsidRDefault="00D27980" w:rsidP="00AD6B46">
            <w:pPr>
              <w:spacing w:after="0" w:line="240" w:lineRule="auto"/>
              <w:jc w:val="center"/>
              <w:rPr>
                <w:rFonts w:ascii="Cambria" w:eastAsia="Times New Roman" w:hAnsi="Cambria" w:cs="Helvetica"/>
                <w:sz w:val="20"/>
                <w:szCs w:val="20"/>
                <w:lang w:eastAsia="ko-KR"/>
              </w:rPr>
            </w:pPr>
            <w:r w:rsidRPr="00E072E2">
              <w:rPr>
                <w:rFonts w:ascii="Cambria" w:eastAsia="Times New Roman" w:hAnsi="Cambria" w:cs="Helvetica"/>
                <w:sz w:val="20"/>
                <w:szCs w:val="20"/>
                <w:lang w:eastAsia="ko-KR"/>
              </w:rPr>
              <w:t>Fiscal Year</w:t>
            </w:r>
          </w:p>
        </w:tc>
        <w:tc>
          <w:tcPr>
            <w:tcW w:w="1103" w:type="dxa"/>
            <w:tcBorders>
              <w:top w:val="single" w:sz="4" w:space="0" w:color="auto"/>
              <w:left w:val="nil"/>
              <w:bottom w:val="single" w:sz="4" w:space="0" w:color="auto"/>
              <w:right w:val="single" w:sz="4" w:space="0" w:color="auto"/>
            </w:tcBorders>
            <w:shd w:val="clear" w:color="000000" w:fill="B7DEE8"/>
            <w:noWrap/>
            <w:vAlign w:val="center"/>
            <w:hideMark/>
          </w:tcPr>
          <w:p w14:paraId="422510E5" w14:textId="77777777" w:rsidR="00D27980" w:rsidRPr="00E072E2" w:rsidRDefault="00D27980" w:rsidP="00AD6B46">
            <w:pPr>
              <w:spacing w:after="0" w:line="240" w:lineRule="auto"/>
              <w:jc w:val="center"/>
              <w:rPr>
                <w:rFonts w:ascii="Cambria" w:eastAsia="Times New Roman" w:hAnsi="Cambria" w:cs="Helvetica"/>
                <w:sz w:val="20"/>
                <w:szCs w:val="20"/>
                <w:lang w:eastAsia="ko-KR"/>
              </w:rPr>
            </w:pPr>
            <w:r w:rsidRPr="00E072E2">
              <w:rPr>
                <w:rFonts w:ascii="Cambria" w:eastAsia="Times New Roman" w:hAnsi="Cambria" w:cs="Helvetica"/>
                <w:sz w:val="20"/>
                <w:szCs w:val="20"/>
                <w:lang w:eastAsia="ko-KR"/>
              </w:rPr>
              <w:t>2018</w:t>
            </w:r>
          </w:p>
        </w:tc>
        <w:tc>
          <w:tcPr>
            <w:tcW w:w="1103" w:type="dxa"/>
            <w:tcBorders>
              <w:top w:val="single" w:sz="4" w:space="0" w:color="auto"/>
              <w:left w:val="nil"/>
              <w:bottom w:val="single" w:sz="4" w:space="0" w:color="auto"/>
              <w:right w:val="single" w:sz="4" w:space="0" w:color="auto"/>
            </w:tcBorders>
            <w:shd w:val="clear" w:color="000000" w:fill="B7DEE8"/>
            <w:noWrap/>
            <w:vAlign w:val="center"/>
            <w:hideMark/>
          </w:tcPr>
          <w:p w14:paraId="2305FD21" w14:textId="77777777" w:rsidR="00D27980" w:rsidRPr="00E072E2" w:rsidRDefault="00D27980" w:rsidP="00AD6B46">
            <w:pPr>
              <w:spacing w:after="0" w:line="240" w:lineRule="auto"/>
              <w:jc w:val="center"/>
              <w:rPr>
                <w:rFonts w:ascii="Cambria" w:eastAsia="Times New Roman" w:hAnsi="Cambria" w:cs="Helvetica"/>
                <w:sz w:val="20"/>
                <w:szCs w:val="20"/>
                <w:lang w:eastAsia="ko-KR"/>
              </w:rPr>
            </w:pPr>
            <w:r w:rsidRPr="00E072E2">
              <w:rPr>
                <w:rFonts w:ascii="Cambria" w:eastAsia="Times New Roman" w:hAnsi="Cambria" w:cs="Helvetica"/>
                <w:sz w:val="20"/>
                <w:szCs w:val="20"/>
                <w:lang w:eastAsia="ko-KR"/>
              </w:rPr>
              <w:t>2019</w:t>
            </w:r>
          </w:p>
        </w:tc>
        <w:tc>
          <w:tcPr>
            <w:tcW w:w="1103" w:type="dxa"/>
            <w:tcBorders>
              <w:top w:val="single" w:sz="4" w:space="0" w:color="auto"/>
              <w:left w:val="nil"/>
              <w:bottom w:val="single" w:sz="4" w:space="0" w:color="auto"/>
              <w:right w:val="single" w:sz="4" w:space="0" w:color="auto"/>
            </w:tcBorders>
            <w:shd w:val="clear" w:color="000000" w:fill="B7DEE8"/>
            <w:noWrap/>
            <w:vAlign w:val="center"/>
            <w:hideMark/>
          </w:tcPr>
          <w:p w14:paraId="37CCAFF5" w14:textId="77777777" w:rsidR="00D27980" w:rsidRPr="00E072E2" w:rsidRDefault="00D27980" w:rsidP="00AD6B46">
            <w:pPr>
              <w:spacing w:after="0" w:line="240" w:lineRule="auto"/>
              <w:jc w:val="center"/>
              <w:rPr>
                <w:rFonts w:ascii="Cambria" w:eastAsia="Times New Roman" w:hAnsi="Cambria" w:cs="Helvetica"/>
                <w:sz w:val="20"/>
                <w:szCs w:val="20"/>
                <w:lang w:eastAsia="ko-KR"/>
              </w:rPr>
            </w:pPr>
            <w:r w:rsidRPr="00E072E2">
              <w:rPr>
                <w:rFonts w:ascii="Cambria" w:eastAsia="Times New Roman" w:hAnsi="Cambria" w:cs="Helvetica"/>
                <w:sz w:val="20"/>
                <w:szCs w:val="20"/>
                <w:lang w:eastAsia="ko-KR"/>
              </w:rPr>
              <w:t>2020</w:t>
            </w:r>
          </w:p>
        </w:tc>
        <w:tc>
          <w:tcPr>
            <w:tcW w:w="1103" w:type="dxa"/>
            <w:tcBorders>
              <w:top w:val="single" w:sz="4" w:space="0" w:color="auto"/>
              <w:left w:val="nil"/>
              <w:bottom w:val="single" w:sz="4" w:space="0" w:color="auto"/>
              <w:right w:val="single" w:sz="4" w:space="0" w:color="auto"/>
            </w:tcBorders>
            <w:shd w:val="clear" w:color="000000" w:fill="B7DEE8"/>
            <w:noWrap/>
            <w:vAlign w:val="center"/>
            <w:hideMark/>
          </w:tcPr>
          <w:p w14:paraId="42872318" w14:textId="77777777" w:rsidR="00D27980" w:rsidRPr="00E072E2" w:rsidRDefault="00D27980" w:rsidP="00AD6B46">
            <w:pPr>
              <w:spacing w:after="0" w:line="240" w:lineRule="auto"/>
              <w:jc w:val="center"/>
              <w:rPr>
                <w:rFonts w:ascii="Cambria" w:eastAsia="Times New Roman" w:hAnsi="Cambria" w:cs="Helvetica"/>
                <w:sz w:val="20"/>
                <w:szCs w:val="20"/>
                <w:lang w:eastAsia="ko-KR"/>
              </w:rPr>
            </w:pPr>
            <w:r w:rsidRPr="00E072E2">
              <w:rPr>
                <w:rFonts w:ascii="Cambria" w:eastAsia="Times New Roman" w:hAnsi="Cambria" w:cs="Helvetica"/>
                <w:sz w:val="20"/>
                <w:szCs w:val="20"/>
                <w:lang w:eastAsia="ko-KR"/>
              </w:rPr>
              <w:t>2021</w:t>
            </w:r>
          </w:p>
        </w:tc>
        <w:tc>
          <w:tcPr>
            <w:tcW w:w="1103" w:type="dxa"/>
            <w:tcBorders>
              <w:top w:val="single" w:sz="4" w:space="0" w:color="auto"/>
              <w:left w:val="nil"/>
              <w:bottom w:val="single" w:sz="4" w:space="0" w:color="auto"/>
              <w:right w:val="single" w:sz="4" w:space="0" w:color="auto"/>
            </w:tcBorders>
            <w:shd w:val="clear" w:color="000000" w:fill="B7DEE8"/>
            <w:noWrap/>
            <w:vAlign w:val="center"/>
            <w:hideMark/>
          </w:tcPr>
          <w:p w14:paraId="555A286F" w14:textId="77777777" w:rsidR="00D27980" w:rsidRPr="00E072E2" w:rsidRDefault="00D27980" w:rsidP="00AD6B46">
            <w:pPr>
              <w:spacing w:after="0" w:line="240" w:lineRule="auto"/>
              <w:jc w:val="center"/>
              <w:rPr>
                <w:rFonts w:ascii="Cambria" w:eastAsia="Times New Roman" w:hAnsi="Cambria" w:cs="Helvetica"/>
                <w:sz w:val="20"/>
                <w:szCs w:val="20"/>
                <w:lang w:eastAsia="ko-KR"/>
              </w:rPr>
            </w:pPr>
            <w:r w:rsidRPr="00E072E2">
              <w:rPr>
                <w:rFonts w:ascii="Cambria" w:eastAsia="Times New Roman" w:hAnsi="Cambria" w:cs="Helvetica"/>
                <w:sz w:val="20"/>
                <w:szCs w:val="20"/>
                <w:lang w:eastAsia="ko-KR"/>
              </w:rPr>
              <w:t>2022</w:t>
            </w:r>
          </w:p>
        </w:tc>
      </w:tr>
      <w:tr w:rsidR="00F34ABA" w:rsidRPr="00E072E2" w14:paraId="15E19E35" w14:textId="77777777" w:rsidTr="00AD6B46">
        <w:trPr>
          <w:trHeight w:val="500"/>
        </w:trPr>
        <w:tc>
          <w:tcPr>
            <w:tcW w:w="3835" w:type="dxa"/>
            <w:tcBorders>
              <w:top w:val="nil"/>
              <w:left w:val="single" w:sz="4" w:space="0" w:color="auto"/>
              <w:bottom w:val="single" w:sz="4" w:space="0" w:color="auto"/>
              <w:right w:val="single" w:sz="4" w:space="0" w:color="auto"/>
            </w:tcBorders>
            <w:shd w:val="clear" w:color="auto" w:fill="auto"/>
            <w:vAlign w:val="center"/>
            <w:hideMark/>
          </w:tcPr>
          <w:p w14:paraId="40DE8CCB" w14:textId="77777777" w:rsidR="00F34ABA" w:rsidRPr="00E072E2" w:rsidRDefault="00F34ABA" w:rsidP="00F34ABA">
            <w:pPr>
              <w:spacing w:after="0" w:line="240" w:lineRule="auto"/>
              <w:rPr>
                <w:rFonts w:ascii="Cambria" w:eastAsia="Times New Roman" w:hAnsi="Cambria" w:cs="Helvetica"/>
                <w:sz w:val="20"/>
                <w:szCs w:val="20"/>
                <w:lang w:eastAsia="ko-KR"/>
              </w:rPr>
            </w:pPr>
            <w:r w:rsidRPr="00E072E2">
              <w:rPr>
                <w:rFonts w:ascii="Cambria" w:eastAsia="Times New Roman" w:hAnsi="Cambria" w:cs="Helvetica"/>
                <w:sz w:val="20"/>
                <w:szCs w:val="20"/>
                <w:lang w:eastAsia="ko-KR"/>
              </w:rPr>
              <w:t>Net additional revenue impact ($000)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C1081" w14:textId="0F482768" w:rsidR="00F34ABA" w:rsidRPr="00E072E2"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-$4,463</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13A1E6A7" w14:textId="5E1C68CB" w:rsidR="00F34ABA" w:rsidRPr="00E072E2"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-$8,454</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451A5A93" w14:textId="02ED0D70" w:rsidR="00F34ABA" w:rsidRPr="00E072E2"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-$6,922</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1F11A54D" w14:textId="5B29456C" w:rsidR="00F34ABA" w:rsidRPr="00E072E2"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-$5,440</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02FF4408" w14:textId="595921DE" w:rsidR="00F34ABA" w:rsidRPr="00E072E2"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-$4,099</w:t>
            </w:r>
          </w:p>
        </w:tc>
      </w:tr>
    </w:tbl>
    <w:p w14:paraId="0B7F0CAF" w14:textId="0AA2B287" w:rsidR="00D27980" w:rsidRPr="00304366" w:rsidRDefault="00D27980" w:rsidP="00D27980">
      <w:pPr>
        <w:tabs>
          <w:tab w:val="left" w:pos="7050"/>
        </w:tabs>
        <w:spacing w:after="0"/>
        <w:rPr>
          <w:rFonts w:asciiTheme="majorHAnsi" w:hAnsiTheme="majorHAnsi"/>
          <w:bCs/>
          <w:sz w:val="20"/>
          <w:szCs w:val="20"/>
        </w:rPr>
      </w:pPr>
      <w:r w:rsidRPr="00304366">
        <w:rPr>
          <w:rFonts w:asciiTheme="majorHAnsi" w:hAnsiTheme="majorHAnsi"/>
          <w:bCs/>
          <w:sz w:val="20"/>
          <w:szCs w:val="20"/>
        </w:rPr>
        <w:t>* assuming state government spending is cut by the same amount as</w:t>
      </w:r>
      <w:r>
        <w:rPr>
          <w:rFonts w:asciiTheme="majorHAnsi" w:hAnsiTheme="majorHAnsi"/>
          <w:bCs/>
          <w:sz w:val="20"/>
          <w:szCs w:val="20"/>
        </w:rPr>
        <w:t xml:space="preserve"> the revenue loss due to</w:t>
      </w:r>
      <w:r w:rsidRPr="00304366">
        <w:rPr>
          <w:rFonts w:asciiTheme="majorHAnsi" w:hAnsiTheme="majorHAnsi"/>
          <w:bCs/>
          <w:sz w:val="20"/>
          <w:szCs w:val="20"/>
        </w:rPr>
        <w:t xml:space="preserve"> </w:t>
      </w:r>
      <w:r w:rsidR="00697B51" w:rsidRPr="00EE5936">
        <w:rPr>
          <w:rFonts w:asciiTheme="majorHAnsi" w:hAnsiTheme="majorHAnsi"/>
          <w:bCs/>
          <w:sz w:val="20"/>
          <w:szCs w:val="20"/>
        </w:rPr>
        <w:t xml:space="preserve">the apportionment </w:t>
      </w:r>
      <w:r w:rsidR="0069127A">
        <w:rPr>
          <w:rFonts w:asciiTheme="majorHAnsi" w:eastAsiaTheme="majorEastAsia" w:hAnsiTheme="majorHAnsi" w:cstheme="majorBidi"/>
          <w:bCs/>
          <w:color w:val="000000" w:themeColor="text1"/>
          <w:sz w:val="20"/>
          <w:szCs w:val="20"/>
        </w:rPr>
        <w:t xml:space="preserve">formulas with </w:t>
      </w:r>
      <w:r w:rsidR="0020671E">
        <w:rPr>
          <w:rFonts w:asciiTheme="majorHAnsi" w:eastAsiaTheme="majorEastAsia" w:hAnsiTheme="majorHAnsi" w:cstheme="majorBidi"/>
          <w:bCs/>
          <w:color w:val="000000" w:themeColor="text1"/>
          <w:sz w:val="20"/>
          <w:szCs w:val="20"/>
        </w:rPr>
        <w:t xml:space="preserve">higher </w:t>
      </w:r>
      <w:r w:rsidR="0069127A">
        <w:rPr>
          <w:rFonts w:asciiTheme="majorHAnsi" w:eastAsiaTheme="majorEastAsia" w:hAnsiTheme="majorHAnsi" w:cstheme="majorBidi"/>
          <w:bCs/>
          <w:color w:val="000000" w:themeColor="text1"/>
          <w:sz w:val="20"/>
          <w:szCs w:val="20"/>
        </w:rPr>
        <w:t>weighted sales factor</w:t>
      </w:r>
      <w:r>
        <w:rPr>
          <w:rFonts w:asciiTheme="majorHAnsi" w:hAnsiTheme="majorHAnsi"/>
          <w:bCs/>
          <w:sz w:val="20"/>
          <w:szCs w:val="20"/>
        </w:rPr>
        <w:t xml:space="preserve"> to balance budget</w:t>
      </w:r>
      <w:r w:rsidRPr="00304366">
        <w:rPr>
          <w:rFonts w:asciiTheme="majorHAnsi" w:hAnsiTheme="majorHAnsi"/>
          <w:bCs/>
          <w:sz w:val="20"/>
          <w:szCs w:val="20"/>
        </w:rPr>
        <w:t>.</w:t>
      </w:r>
    </w:p>
    <w:p w14:paraId="24164D3F" w14:textId="77777777" w:rsidR="00D27980" w:rsidRDefault="00D27980" w:rsidP="00D27980">
      <w:pPr>
        <w:tabs>
          <w:tab w:val="left" w:pos="7050"/>
        </w:tabs>
        <w:spacing w:after="0"/>
        <w:rPr>
          <w:rFonts w:asciiTheme="majorHAnsi" w:hAnsiTheme="majorHAnsi"/>
          <w:sz w:val="24"/>
          <w:szCs w:val="24"/>
        </w:rPr>
      </w:pPr>
    </w:p>
    <w:p w14:paraId="200618BC" w14:textId="6BDE1242" w:rsidR="00430623" w:rsidRDefault="00D27980" w:rsidP="00D27980">
      <w:pPr>
        <w:spacing w:after="0"/>
        <w:jc w:val="center"/>
        <w:rPr>
          <w:rFonts w:asciiTheme="majorHAnsi" w:eastAsiaTheme="majorEastAsia" w:hAnsiTheme="majorHAnsi" w:cstheme="majorBidi"/>
          <w:b/>
          <w:color w:val="000000" w:themeColor="text1"/>
          <w:sz w:val="24"/>
          <w:szCs w:val="24"/>
        </w:rPr>
      </w:pPr>
      <w:r w:rsidRPr="00366FFC">
        <w:rPr>
          <w:rFonts w:asciiTheme="majorHAnsi" w:eastAsiaTheme="majorEastAsia" w:hAnsiTheme="majorHAnsi" w:cstheme="majorBidi"/>
          <w:b/>
          <w:color w:val="000000" w:themeColor="text1"/>
          <w:sz w:val="24"/>
          <w:szCs w:val="24"/>
        </w:rPr>
        <w:t xml:space="preserve">Table </w:t>
      </w:r>
      <w:r>
        <w:rPr>
          <w:rFonts w:asciiTheme="majorHAnsi" w:eastAsiaTheme="majorEastAsia" w:hAnsiTheme="majorHAnsi" w:cstheme="majorBidi"/>
          <w:b/>
          <w:color w:val="000000" w:themeColor="text1"/>
          <w:sz w:val="24"/>
          <w:szCs w:val="24"/>
        </w:rPr>
        <w:t>A</w:t>
      </w:r>
      <w:r w:rsidR="00D15853">
        <w:rPr>
          <w:rFonts w:asciiTheme="majorHAnsi" w:eastAsiaTheme="majorEastAsia" w:hAnsiTheme="majorHAnsi" w:cstheme="majorBidi"/>
          <w:b/>
          <w:color w:val="000000" w:themeColor="text1"/>
          <w:sz w:val="24"/>
          <w:szCs w:val="24"/>
        </w:rPr>
        <w:t>3-</w:t>
      </w:r>
      <w:r>
        <w:rPr>
          <w:rFonts w:asciiTheme="majorHAnsi" w:eastAsiaTheme="majorEastAsia" w:hAnsiTheme="majorHAnsi" w:cstheme="majorBidi"/>
          <w:b/>
          <w:color w:val="000000" w:themeColor="text1"/>
          <w:sz w:val="24"/>
          <w:szCs w:val="24"/>
        </w:rPr>
        <w:t>6</w:t>
      </w:r>
      <w:r w:rsidRPr="00366FFC">
        <w:rPr>
          <w:rFonts w:asciiTheme="majorHAnsi" w:eastAsiaTheme="majorEastAsia" w:hAnsiTheme="majorHAnsi" w:cstheme="majorBidi"/>
          <w:b/>
          <w:color w:val="000000" w:themeColor="text1"/>
          <w:sz w:val="24"/>
          <w:szCs w:val="24"/>
        </w:rPr>
        <w:t xml:space="preserve">. </w:t>
      </w:r>
      <w:r>
        <w:rPr>
          <w:rFonts w:asciiTheme="majorHAnsi" w:eastAsiaTheme="majorEastAsia" w:hAnsiTheme="majorHAnsi" w:cstheme="majorBidi"/>
          <w:b/>
          <w:color w:val="000000" w:themeColor="text1"/>
          <w:sz w:val="24"/>
          <w:szCs w:val="24"/>
        </w:rPr>
        <w:t xml:space="preserve">Net Economic Impacts of </w:t>
      </w:r>
      <w:r w:rsidR="00C60A71">
        <w:rPr>
          <w:rFonts w:asciiTheme="majorHAnsi" w:eastAsiaTheme="majorEastAsia" w:hAnsiTheme="majorHAnsi" w:cstheme="majorBidi"/>
          <w:b/>
          <w:color w:val="000000" w:themeColor="text1"/>
          <w:sz w:val="24"/>
          <w:szCs w:val="24"/>
        </w:rPr>
        <w:t>Formulas with</w:t>
      </w:r>
      <w:r w:rsidR="00C60A71" w:rsidRPr="00B726D0">
        <w:rPr>
          <w:rFonts w:asciiTheme="majorHAnsi" w:eastAsiaTheme="majorEastAsia" w:hAnsiTheme="majorHAnsi" w:cstheme="majorBidi"/>
          <w:b/>
          <w:color w:val="000000" w:themeColor="text1"/>
          <w:sz w:val="24"/>
          <w:szCs w:val="24"/>
        </w:rPr>
        <w:t xml:space="preserve"> </w:t>
      </w:r>
      <w:r w:rsidR="0020671E">
        <w:rPr>
          <w:rFonts w:asciiTheme="majorHAnsi" w:eastAsiaTheme="majorEastAsia" w:hAnsiTheme="majorHAnsi" w:cstheme="majorBidi"/>
          <w:b/>
          <w:color w:val="000000" w:themeColor="text1"/>
          <w:sz w:val="24"/>
          <w:szCs w:val="24"/>
        </w:rPr>
        <w:t>Higher</w:t>
      </w:r>
      <w:r w:rsidR="0020671E" w:rsidRPr="0077589F">
        <w:rPr>
          <w:rFonts w:asciiTheme="majorHAnsi" w:eastAsiaTheme="majorEastAsia" w:hAnsiTheme="majorHAnsi" w:cstheme="majorBidi"/>
          <w:b/>
          <w:color w:val="000000" w:themeColor="text1"/>
          <w:sz w:val="24"/>
          <w:szCs w:val="24"/>
        </w:rPr>
        <w:t xml:space="preserve"> </w:t>
      </w:r>
      <w:r w:rsidR="00C60A71" w:rsidRPr="0077589F">
        <w:rPr>
          <w:rFonts w:asciiTheme="majorHAnsi" w:eastAsiaTheme="majorEastAsia" w:hAnsiTheme="majorHAnsi" w:cstheme="majorBidi"/>
          <w:b/>
          <w:color w:val="000000" w:themeColor="text1"/>
          <w:sz w:val="24"/>
          <w:szCs w:val="24"/>
        </w:rPr>
        <w:t>Weight</w:t>
      </w:r>
      <w:r w:rsidR="00C60A71">
        <w:rPr>
          <w:rFonts w:asciiTheme="majorHAnsi" w:eastAsiaTheme="majorEastAsia" w:hAnsiTheme="majorHAnsi" w:cstheme="majorBidi"/>
          <w:b/>
          <w:color w:val="000000" w:themeColor="text1"/>
          <w:sz w:val="24"/>
          <w:szCs w:val="24"/>
        </w:rPr>
        <w:t xml:space="preserve">ed </w:t>
      </w:r>
      <w:r w:rsidR="00C60A71" w:rsidRPr="0077589F">
        <w:rPr>
          <w:rFonts w:asciiTheme="majorHAnsi" w:eastAsiaTheme="majorEastAsia" w:hAnsiTheme="majorHAnsi" w:cstheme="majorBidi"/>
          <w:b/>
          <w:color w:val="000000" w:themeColor="text1"/>
          <w:sz w:val="24"/>
          <w:szCs w:val="24"/>
        </w:rPr>
        <w:t>Sales Factor</w:t>
      </w:r>
      <w:r w:rsidR="00C60A71">
        <w:rPr>
          <w:rFonts w:asciiTheme="majorHAnsi" w:eastAsiaTheme="majorEastAsia" w:hAnsiTheme="majorHAnsi" w:cstheme="majorBidi"/>
          <w:b/>
          <w:color w:val="000000" w:themeColor="text1"/>
          <w:sz w:val="24"/>
          <w:szCs w:val="24"/>
        </w:rPr>
        <w:t xml:space="preserve"> </w:t>
      </w:r>
    </w:p>
    <w:p w14:paraId="069E4228" w14:textId="1EAE4E7F" w:rsidR="00D27980" w:rsidRDefault="00D27980" w:rsidP="00D27980">
      <w:pPr>
        <w:spacing w:after="0"/>
        <w:jc w:val="cente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by Selected Economic Measure*</w:t>
      </w:r>
    </w:p>
    <w:tbl>
      <w:tblPr>
        <w:tblW w:w="9350" w:type="dxa"/>
        <w:tblLook w:val="04A0" w:firstRow="1" w:lastRow="0" w:firstColumn="1" w:lastColumn="0" w:noHBand="0" w:noVBand="1"/>
      </w:tblPr>
      <w:tblGrid>
        <w:gridCol w:w="3365"/>
        <w:gridCol w:w="1197"/>
        <w:gridCol w:w="1197"/>
        <w:gridCol w:w="1197"/>
        <w:gridCol w:w="1197"/>
        <w:gridCol w:w="1197"/>
      </w:tblGrid>
      <w:tr w:rsidR="00D27980" w:rsidRPr="00A94F48" w14:paraId="37172928" w14:textId="77777777" w:rsidTr="00AD6B46">
        <w:trPr>
          <w:trHeight w:val="380"/>
        </w:trPr>
        <w:tc>
          <w:tcPr>
            <w:tcW w:w="336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005CAAF6"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Calendar Year</w:t>
            </w:r>
          </w:p>
        </w:tc>
        <w:tc>
          <w:tcPr>
            <w:tcW w:w="1197" w:type="dxa"/>
            <w:tcBorders>
              <w:top w:val="single" w:sz="4" w:space="0" w:color="auto"/>
              <w:left w:val="nil"/>
              <w:bottom w:val="single" w:sz="4" w:space="0" w:color="auto"/>
              <w:right w:val="single" w:sz="4" w:space="0" w:color="auto"/>
            </w:tcBorders>
            <w:shd w:val="clear" w:color="000000" w:fill="B7DEE8"/>
            <w:noWrap/>
            <w:vAlign w:val="center"/>
            <w:hideMark/>
          </w:tcPr>
          <w:p w14:paraId="7E175C35"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2018</w:t>
            </w:r>
          </w:p>
        </w:tc>
        <w:tc>
          <w:tcPr>
            <w:tcW w:w="1197" w:type="dxa"/>
            <w:tcBorders>
              <w:top w:val="single" w:sz="4" w:space="0" w:color="auto"/>
              <w:left w:val="nil"/>
              <w:bottom w:val="single" w:sz="4" w:space="0" w:color="auto"/>
              <w:right w:val="single" w:sz="4" w:space="0" w:color="auto"/>
            </w:tcBorders>
            <w:shd w:val="clear" w:color="000000" w:fill="B7DEE8"/>
            <w:noWrap/>
            <w:vAlign w:val="center"/>
            <w:hideMark/>
          </w:tcPr>
          <w:p w14:paraId="613949FA"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2019</w:t>
            </w:r>
          </w:p>
        </w:tc>
        <w:tc>
          <w:tcPr>
            <w:tcW w:w="1197" w:type="dxa"/>
            <w:tcBorders>
              <w:top w:val="single" w:sz="4" w:space="0" w:color="auto"/>
              <w:left w:val="nil"/>
              <w:bottom w:val="single" w:sz="4" w:space="0" w:color="auto"/>
              <w:right w:val="single" w:sz="4" w:space="0" w:color="auto"/>
            </w:tcBorders>
            <w:shd w:val="clear" w:color="000000" w:fill="B7DEE8"/>
            <w:noWrap/>
            <w:vAlign w:val="center"/>
            <w:hideMark/>
          </w:tcPr>
          <w:p w14:paraId="6DD7D342"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2020</w:t>
            </w:r>
          </w:p>
        </w:tc>
        <w:tc>
          <w:tcPr>
            <w:tcW w:w="1197" w:type="dxa"/>
            <w:tcBorders>
              <w:top w:val="single" w:sz="4" w:space="0" w:color="auto"/>
              <w:left w:val="nil"/>
              <w:bottom w:val="single" w:sz="4" w:space="0" w:color="auto"/>
              <w:right w:val="single" w:sz="4" w:space="0" w:color="auto"/>
            </w:tcBorders>
            <w:shd w:val="clear" w:color="000000" w:fill="B7DEE8"/>
            <w:noWrap/>
            <w:vAlign w:val="center"/>
            <w:hideMark/>
          </w:tcPr>
          <w:p w14:paraId="0BD08A35"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2021</w:t>
            </w:r>
          </w:p>
        </w:tc>
        <w:tc>
          <w:tcPr>
            <w:tcW w:w="1197" w:type="dxa"/>
            <w:tcBorders>
              <w:top w:val="single" w:sz="4" w:space="0" w:color="auto"/>
              <w:left w:val="nil"/>
              <w:bottom w:val="single" w:sz="4" w:space="0" w:color="auto"/>
              <w:right w:val="single" w:sz="4" w:space="0" w:color="auto"/>
            </w:tcBorders>
            <w:shd w:val="clear" w:color="000000" w:fill="B7DEE8"/>
            <w:noWrap/>
            <w:vAlign w:val="center"/>
            <w:hideMark/>
          </w:tcPr>
          <w:p w14:paraId="5A52D736" w14:textId="77777777" w:rsidR="00D27980" w:rsidRPr="00A94F48" w:rsidRDefault="00D27980" w:rsidP="00AD6B46">
            <w:pPr>
              <w:spacing w:after="0" w:line="240" w:lineRule="auto"/>
              <w:jc w:val="center"/>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2022</w:t>
            </w:r>
          </w:p>
        </w:tc>
      </w:tr>
      <w:tr w:rsidR="00F34ABA" w:rsidRPr="00A94F48" w14:paraId="3FA0038D" w14:textId="77777777" w:rsidTr="00AD6B46">
        <w:trPr>
          <w:trHeight w:val="580"/>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0E92A4A6" w14:textId="77777777" w:rsidR="00F34ABA" w:rsidRPr="00A94F48" w:rsidRDefault="00F34ABA" w:rsidP="00F34ABA">
            <w:pPr>
              <w:spacing w:after="0" w:line="240" w:lineRule="auto"/>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Impact on total employment</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21DD" w14:textId="4B752620"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-3,662</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1AF6DF8C" w14:textId="684489B7"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-3,063</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0BEAC38C" w14:textId="2864277F"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-2,595</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485C827D" w14:textId="254BE9D6"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-2,211</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CAD5" w14:textId="6C568125"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-1,943</w:t>
            </w:r>
          </w:p>
        </w:tc>
      </w:tr>
      <w:tr w:rsidR="00F34ABA" w:rsidRPr="00A94F48" w14:paraId="07ABDCD9" w14:textId="77777777" w:rsidTr="00AD6B46">
        <w:trPr>
          <w:trHeight w:val="500"/>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78B51E92" w14:textId="77777777" w:rsidR="00F34ABA" w:rsidRPr="00A94F48" w:rsidRDefault="00F34ABA" w:rsidP="00F34ABA">
            <w:pPr>
              <w:spacing w:after="0" w:line="240" w:lineRule="auto"/>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Impact on private non-farm employment</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5762CBE3" w14:textId="4DA55071"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735</w:t>
            </w:r>
          </w:p>
        </w:tc>
        <w:tc>
          <w:tcPr>
            <w:tcW w:w="1197" w:type="dxa"/>
            <w:tcBorders>
              <w:top w:val="nil"/>
              <w:left w:val="nil"/>
              <w:bottom w:val="single" w:sz="4" w:space="0" w:color="auto"/>
              <w:right w:val="single" w:sz="4" w:space="0" w:color="auto"/>
            </w:tcBorders>
            <w:shd w:val="clear" w:color="auto" w:fill="auto"/>
            <w:noWrap/>
            <w:vAlign w:val="center"/>
            <w:hideMark/>
          </w:tcPr>
          <w:p w14:paraId="04349F42" w14:textId="5A0BDD62"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1,305</w:t>
            </w:r>
          </w:p>
        </w:tc>
        <w:tc>
          <w:tcPr>
            <w:tcW w:w="1197" w:type="dxa"/>
            <w:tcBorders>
              <w:top w:val="nil"/>
              <w:left w:val="nil"/>
              <w:bottom w:val="single" w:sz="4" w:space="0" w:color="auto"/>
              <w:right w:val="single" w:sz="4" w:space="0" w:color="auto"/>
            </w:tcBorders>
            <w:shd w:val="clear" w:color="auto" w:fill="auto"/>
            <w:noWrap/>
            <w:vAlign w:val="center"/>
            <w:hideMark/>
          </w:tcPr>
          <w:p w14:paraId="71CE47A5" w14:textId="1438ECBE"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1,667</w:t>
            </w:r>
          </w:p>
        </w:tc>
        <w:tc>
          <w:tcPr>
            <w:tcW w:w="1197" w:type="dxa"/>
            <w:tcBorders>
              <w:top w:val="nil"/>
              <w:left w:val="nil"/>
              <w:bottom w:val="single" w:sz="4" w:space="0" w:color="auto"/>
              <w:right w:val="single" w:sz="4" w:space="0" w:color="auto"/>
            </w:tcBorders>
            <w:shd w:val="clear" w:color="auto" w:fill="auto"/>
            <w:noWrap/>
            <w:vAlign w:val="center"/>
            <w:hideMark/>
          </w:tcPr>
          <w:p w14:paraId="119F6647" w14:textId="66DEFD54"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1,935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2B236379" w14:textId="13A96439"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2,104</w:t>
            </w:r>
          </w:p>
        </w:tc>
      </w:tr>
      <w:tr w:rsidR="00F34ABA" w:rsidRPr="00A94F48" w14:paraId="340721AC" w14:textId="77777777" w:rsidTr="00AD6B46">
        <w:trPr>
          <w:trHeight w:val="500"/>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674413AC" w14:textId="77777777" w:rsidR="00F34ABA" w:rsidRPr="00A94F48" w:rsidRDefault="00F34ABA" w:rsidP="00F34ABA">
            <w:pPr>
              <w:spacing w:after="0" w:line="240" w:lineRule="auto"/>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Impact on GDP ($000), real dollars (2012)</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9B39915" w14:textId="647696FA"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-$178,000</w:t>
            </w:r>
          </w:p>
        </w:tc>
        <w:tc>
          <w:tcPr>
            <w:tcW w:w="1197" w:type="dxa"/>
            <w:tcBorders>
              <w:top w:val="nil"/>
              <w:left w:val="nil"/>
              <w:bottom w:val="single" w:sz="4" w:space="0" w:color="auto"/>
              <w:right w:val="single" w:sz="4" w:space="0" w:color="auto"/>
            </w:tcBorders>
            <w:shd w:val="clear" w:color="auto" w:fill="auto"/>
            <w:noWrap/>
            <w:vAlign w:val="center"/>
            <w:hideMark/>
          </w:tcPr>
          <w:p w14:paraId="3A048E2D" w14:textId="348ADE78"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-$114,000</w:t>
            </w:r>
          </w:p>
        </w:tc>
        <w:tc>
          <w:tcPr>
            <w:tcW w:w="1197" w:type="dxa"/>
            <w:tcBorders>
              <w:top w:val="nil"/>
              <w:left w:val="nil"/>
              <w:bottom w:val="single" w:sz="4" w:space="0" w:color="auto"/>
              <w:right w:val="single" w:sz="4" w:space="0" w:color="auto"/>
            </w:tcBorders>
            <w:shd w:val="clear" w:color="auto" w:fill="auto"/>
            <w:noWrap/>
            <w:vAlign w:val="center"/>
            <w:hideMark/>
          </w:tcPr>
          <w:p w14:paraId="5BCF1C21" w14:textId="4E857FC7"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-$62,000</w:t>
            </w:r>
          </w:p>
        </w:tc>
        <w:tc>
          <w:tcPr>
            <w:tcW w:w="1197" w:type="dxa"/>
            <w:tcBorders>
              <w:top w:val="nil"/>
              <w:left w:val="nil"/>
              <w:bottom w:val="single" w:sz="4" w:space="0" w:color="auto"/>
              <w:right w:val="single" w:sz="4" w:space="0" w:color="auto"/>
            </w:tcBorders>
            <w:shd w:val="clear" w:color="auto" w:fill="auto"/>
            <w:noWrap/>
            <w:vAlign w:val="center"/>
            <w:hideMark/>
          </w:tcPr>
          <w:p w14:paraId="3376F847" w14:textId="7283DB7E"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-$19,000</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761F90E9" w14:textId="478867AF"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$13,000</w:t>
            </w:r>
          </w:p>
        </w:tc>
      </w:tr>
      <w:tr w:rsidR="00F34ABA" w:rsidRPr="00A94F48" w14:paraId="00FF127B" w14:textId="77777777" w:rsidTr="00AD6B46">
        <w:trPr>
          <w:trHeight w:val="500"/>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10A39409" w14:textId="77777777" w:rsidR="00F34ABA" w:rsidRPr="00A94F48" w:rsidRDefault="00F34ABA" w:rsidP="00F34ABA">
            <w:pPr>
              <w:spacing w:after="0" w:line="240" w:lineRule="auto"/>
              <w:rPr>
                <w:rFonts w:ascii="Cambria" w:eastAsia="Times New Roman" w:hAnsi="Cambria" w:cs="Helvetica"/>
                <w:sz w:val="20"/>
                <w:szCs w:val="20"/>
                <w:lang w:eastAsia="ko-KR"/>
              </w:rPr>
            </w:pPr>
            <w:r w:rsidRPr="00A94F48">
              <w:rPr>
                <w:rFonts w:ascii="Cambria" w:eastAsia="Times New Roman" w:hAnsi="Cambria" w:cs="Helvetica"/>
                <w:sz w:val="20"/>
                <w:szCs w:val="20"/>
                <w:lang w:eastAsia="ko-KR"/>
              </w:rPr>
              <w:t>Impact on personal income ($000)</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6E72DADC" w14:textId="56FE889A"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-$235,000</w:t>
            </w:r>
          </w:p>
        </w:tc>
        <w:tc>
          <w:tcPr>
            <w:tcW w:w="1197" w:type="dxa"/>
            <w:tcBorders>
              <w:top w:val="nil"/>
              <w:left w:val="nil"/>
              <w:bottom w:val="single" w:sz="4" w:space="0" w:color="auto"/>
              <w:right w:val="single" w:sz="4" w:space="0" w:color="auto"/>
            </w:tcBorders>
            <w:shd w:val="clear" w:color="auto" w:fill="auto"/>
            <w:noWrap/>
            <w:vAlign w:val="center"/>
            <w:hideMark/>
          </w:tcPr>
          <w:p w14:paraId="47430F99" w14:textId="7DCB6896"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-$214,000</w:t>
            </w:r>
          </w:p>
        </w:tc>
        <w:tc>
          <w:tcPr>
            <w:tcW w:w="1197" w:type="dxa"/>
            <w:tcBorders>
              <w:top w:val="nil"/>
              <w:left w:val="nil"/>
              <w:bottom w:val="single" w:sz="4" w:space="0" w:color="auto"/>
              <w:right w:val="single" w:sz="4" w:space="0" w:color="auto"/>
            </w:tcBorders>
            <w:shd w:val="clear" w:color="auto" w:fill="auto"/>
            <w:noWrap/>
            <w:vAlign w:val="center"/>
            <w:hideMark/>
          </w:tcPr>
          <w:p w14:paraId="72BA4D26" w14:textId="7F78513A"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-$190,000</w:t>
            </w:r>
          </w:p>
        </w:tc>
        <w:tc>
          <w:tcPr>
            <w:tcW w:w="1197" w:type="dxa"/>
            <w:tcBorders>
              <w:top w:val="nil"/>
              <w:left w:val="nil"/>
              <w:bottom w:val="single" w:sz="4" w:space="0" w:color="auto"/>
              <w:right w:val="single" w:sz="4" w:space="0" w:color="auto"/>
            </w:tcBorders>
            <w:shd w:val="clear" w:color="auto" w:fill="auto"/>
            <w:noWrap/>
            <w:vAlign w:val="center"/>
            <w:hideMark/>
          </w:tcPr>
          <w:p w14:paraId="702EB292" w14:textId="45D11F52"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-$166,000</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4A859056" w14:textId="02AB735F" w:rsidR="00F34ABA" w:rsidRPr="00A94F48" w:rsidRDefault="00F34ABA" w:rsidP="00F34ABA">
            <w:pPr>
              <w:spacing w:after="0" w:line="240" w:lineRule="auto"/>
              <w:jc w:val="center"/>
              <w:rPr>
                <w:rFonts w:ascii="Cambria" w:eastAsia="Times New Roman" w:hAnsi="Cambria" w:cs="Helvetica"/>
                <w:sz w:val="20"/>
                <w:szCs w:val="20"/>
                <w:lang w:eastAsia="ko-KR"/>
              </w:rPr>
            </w:pPr>
            <w:r>
              <w:rPr>
                <w:rFonts w:ascii="Cambria" w:hAnsi="Cambria" w:cs="Helvetica"/>
                <w:sz w:val="20"/>
                <w:szCs w:val="20"/>
              </w:rPr>
              <w:t>-$148,000</w:t>
            </w:r>
          </w:p>
        </w:tc>
      </w:tr>
    </w:tbl>
    <w:p w14:paraId="1C3A4BC9" w14:textId="1D2E8807" w:rsidR="00697B51" w:rsidRPr="00304366" w:rsidRDefault="00697B51" w:rsidP="00697B51">
      <w:pPr>
        <w:tabs>
          <w:tab w:val="left" w:pos="7050"/>
        </w:tabs>
        <w:spacing w:after="0"/>
        <w:rPr>
          <w:rFonts w:asciiTheme="majorHAnsi" w:hAnsiTheme="majorHAnsi"/>
          <w:bCs/>
          <w:sz w:val="20"/>
          <w:szCs w:val="20"/>
        </w:rPr>
      </w:pPr>
      <w:r w:rsidRPr="00304366">
        <w:rPr>
          <w:rFonts w:asciiTheme="majorHAnsi" w:hAnsiTheme="majorHAnsi"/>
          <w:bCs/>
          <w:sz w:val="20"/>
          <w:szCs w:val="20"/>
        </w:rPr>
        <w:t>* assuming state government spending is cut by the same amount as</w:t>
      </w:r>
      <w:r>
        <w:rPr>
          <w:rFonts w:asciiTheme="majorHAnsi" w:hAnsiTheme="majorHAnsi"/>
          <w:bCs/>
          <w:sz w:val="20"/>
          <w:szCs w:val="20"/>
        </w:rPr>
        <w:t xml:space="preserve"> the revenue loss due to</w:t>
      </w:r>
      <w:r w:rsidRPr="00304366">
        <w:rPr>
          <w:rFonts w:asciiTheme="majorHAnsi" w:hAnsiTheme="majorHAnsi"/>
          <w:bCs/>
          <w:sz w:val="20"/>
          <w:szCs w:val="20"/>
        </w:rPr>
        <w:t xml:space="preserve"> </w:t>
      </w:r>
      <w:r w:rsidRPr="00345AB7">
        <w:rPr>
          <w:rFonts w:asciiTheme="majorHAnsi" w:hAnsiTheme="majorHAnsi"/>
          <w:bCs/>
          <w:sz w:val="20"/>
          <w:szCs w:val="20"/>
        </w:rPr>
        <w:t xml:space="preserve">the apportionment </w:t>
      </w:r>
      <w:r w:rsidR="0069127A">
        <w:rPr>
          <w:rFonts w:asciiTheme="majorHAnsi" w:eastAsiaTheme="majorEastAsia" w:hAnsiTheme="majorHAnsi" w:cstheme="majorBidi"/>
          <w:bCs/>
          <w:color w:val="000000" w:themeColor="text1"/>
          <w:sz w:val="20"/>
          <w:szCs w:val="20"/>
        </w:rPr>
        <w:t xml:space="preserve">formulas with </w:t>
      </w:r>
      <w:r w:rsidR="0020671E">
        <w:rPr>
          <w:rFonts w:asciiTheme="majorHAnsi" w:eastAsiaTheme="majorEastAsia" w:hAnsiTheme="majorHAnsi" w:cstheme="majorBidi"/>
          <w:bCs/>
          <w:color w:val="000000" w:themeColor="text1"/>
          <w:sz w:val="20"/>
          <w:szCs w:val="20"/>
        </w:rPr>
        <w:t xml:space="preserve">higher </w:t>
      </w:r>
      <w:r w:rsidR="0069127A">
        <w:rPr>
          <w:rFonts w:asciiTheme="majorHAnsi" w:eastAsiaTheme="majorEastAsia" w:hAnsiTheme="majorHAnsi" w:cstheme="majorBidi"/>
          <w:bCs/>
          <w:color w:val="000000" w:themeColor="text1"/>
          <w:sz w:val="20"/>
          <w:szCs w:val="20"/>
        </w:rPr>
        <w:t>weighted sales factor</w:t>
      </w:r>
      <w:r w:rsidR="0069127A">
        <w:rPr>
          <w:rFonts w:asciiTheme="majorHAnsi" w:hAnsiTheme="majorHAnsi"/>
          <w:bCs/>
          <w:sz w:val="20"/>
          <w:szCs w:val="20"/>
        </w:rPr>
        <w:t xml:space="preserve"> </w:t>
      </w:r>
      <w:r>
        <w:rPr>
          <w:rFonts w:asciiTheme="majorHAnsi" w:hAnsiTheme="majorHAnsi"/>
          <w:bCs/>
          <w:sz w:val="20"/>
          <w:szCs w:val="20"/>
        </w:rPr>
        <w:t>to balance budget</w:t>
      </w:r>
      <w:r w:rsidRPr="00304366">
        <w:rPr>
          <w:rFonts w:asciiTheme="majorHAnsi" w:hAnsiTheme="majorHAnsi"/>
          <w:bCs/>
          <w:sz w:val="20"/>
          <w:szCs w:val="20"/>
        </w:rPr>
        <w:t>.</w:t>
      </w:r>
    </w:p>
    <w:p w14:paraId="1A371B7E" w14:textId="77777777" w:rsidR="00D27980" w:rsidRDefault="00D27980" w:rsidP="00D27980">
      <w:pPr>
        <w:tabs>
          <w:tab w:val="left" w:pos="7050"/>
        </w:tabs>
        <w:spacing w:after="0"/>
        <w:rPr>
          <w:rFonts w:asciiTheme="majorHAnsi" w:hAnsiTheme="majorHAnsi"/>
          <w:bCs/>
          <w:sz w:val="24"/>
          <w:szCs w:val="23"/>
        </w:rPr>
      </w:pPr>
    </w:p>
    <w:p w14:paraId="4247034E" w14:textId="0675AA2E" w:rsidR="00EA521F" w:rsidRDefault="00EA521F" w:rsidP="00EA521F">
      <w:pPr>
        <w:tabs>
          <w:tab w:val="left" w:pos="7050"/>
        </w:tabs>
        <w:spacing w:after="0"/>
        <w:rPr>
          <w:rFonts w:asciiTheme="majorHAnsi" w:hAnsiTheme="majorHAnsi"/>
          <w:bCs/>
          <w:sz w:val="24"/>
          <w:szCs w:val="23"/>
        </w:rPr>
      </w:pPr>
      <w:bookmarkStart w:id="3" w:name="_Hlk61445432"/>
      <w:r w:rsidRPr="002F4285">
        <w:rPr>
          <w:rFonts w:asciiTheme="majorHAnsi" w:hAnsiTheme="majorHAnsi"/>
          <w:bCs/>
          <w:sz w:val="24"/>
          <w:szCs w:val="24"/>
        </w:rPr>
        <w:t>Because the tax expenditure has its own specific purpose, the net negative impacts do not necessarily imply that the tax expenditure is not desirable. T</w:t>
      </w:r>
      <w:r w:rsidRPr="002F4285">
        <w:rPr>
          <w:rFonts w:asciiTheme="majorHAnsi" w:eastAsiaTheme="majorEastAsia" w:hAnsiTheme="majorHAnsi" w:cstheme="majorBidi"/>
          <w:bCs/>
          <w:color w:val="000000" w:themeColor="text1"/>
          <w:sz w:val="24"/>
          <w:szCs w:val="24"/>
        </w:rPr>
        <w:t xml:space="preserve">he statute does not explicitly state the purpose of this tax expenditure; however, </w:t>
      </w:r>
      <w:r w:rsidRPr="009504EF">
        <w:rPr>
          <w:rFonts w:asciiTheme="majorHAnsi" w:eastAsiaTheme="majorEastAsia" w:hAnsiTheme="majorHAnsi" w:cstheme="majorBidi"/>
          <w:bCs/>
          <w:color w:val="000000" w:themeColor="text1"/>
          <w:sz w:val="24"/>
          <w:szCs w:val="24"/>
        </w:rPr>
        <w:t>we assume that the purpose is to</w:t>
      </w:r>
      <w:r w:rsidRPr="009504EF">
        <w:rPr>
          <w:rFonts w:asciiTheme="majorHAnsi" w:hAnsiTheme="majorHAnsi"/>
          <w:bCs/>
          <w:sz w:val="24"/>
          <w:szCs w:val="23"/>
        </w:rPr>
        <w:t xml:space="preserve"> </w:t>
      </w:r>
      <w:r w:rsidRPr="00680372">
        <w:rPr>
          <w:rFonts w:asciiTheme="majorHAnsi" w:eastAsiaTheme="majorEastAsia" w:hAnsiTheme="majorHAnsi" w:cstheme="majorBidi"/>
          <w:bCs/>
          <w:color w:val="000000" w:themeColor="text1"/>
          <w:sz w:val="24"/>
          <w:szCs w:val="24"/>
        </w:rPr>
        <w:lastRenderedPageBreak/>
        <w:t>encourage corporations to increase their physical footprint</w:t>
      </w:r>
      <w:r>
        <w:rPr>
          <w:rFonts w:asciiTheme="majorHAnsi" w:eastAsiaTheme="majorEastAsia" w:hAnsiTheme="majorHAnsi" w:cstheme="majorBidi"/>
          <w:bCs/>
          <w:color w:val="000000" w:themeColor="text1"/>
          <w:sz w:val="24"/>
          <w:szCs w:val="24"/>
        </w:rPr>
        <w:t>, including capital and employment,</w:t>
      </w:r>
      <w:r w:rsidRPr="00680372">
        <w:rPr>
          <w:rFonts w:asciiTheme="majorHAnsi" w:eastAsiaTheme="majorEastAsia" w:hAnsiTheme="majorHAnsi" w:cstheme="majorBidi"/>
          <w:bCs/>
          <w:color w:val="000000" w:themeColor="text1"/>
          <w:sz w:val="24"/>
          <w:szCs w:val="24"/>
        </w:rPr>
        <w:t xml:space="preserve"> in </w:t>
      </w:r>
      <w:r>
        <w:rPr>
          <w:rFonts w:asciiTheme="majorHAnsi" w:eastAsiaTheme="majorEastAsia" w:hAnsiTheme="majorHAnsi" w:cstheme="majorBidi"/>
          <w:bCs/>
          <w:color w:val="000000" w:themeColor="text1"/>
          <w:sz w:val="24"/>
          <w:szCs w:val="24"/>
        </w:rPr>
        <w:t>Massachusetts</w:t>
      </w:r>
      <w:r w:rsidRPr="009504EF">
        <w:rPr>
          <w:rFonts w:asciiTheme="majorHAnsi" w:hAnsiTheme="majorHAnsi"/>
          <w:bCs/>
          <w:sz w:val="24"/>
          <w:szCs w:val="23"/>
        </w:rPr>
        <w:t xml:space="preserve"> as described above</w:t>
      </w:r>
      <w:r w:rsidRPr="002F4285">
        <w:rPr>
          <w:rFonts w:asciiTheme="majorHAnsi" w:hAnsiTheme="majorHAnsi"/>
          <w:bCs/>
          <w:sz w:val="24"/>
          <w:szCs w:val="23"/>
        </w:rPr>
        <w:t>.</w:t>
      </w:r>
      <w:r>
        <w:rPr>
          <w:rFonts w:asciiTheme="majorHAnsi" w:hAnsiTheme="majorHAnsi"/>
          <w:bCs/>
          <w:sz w:val="24"/>
          <w:szCs w:val="23"/>
        </w:rPr>
        <w:t xml:space="preserve"> It seems that this tax expenditure has negative impact on employment contrary to the assumed purpose. However, please keep in mind that this conclusion is reached under the balanced budget requirement. If considering only the net tax saving</w:t>
      </w:r>
      <w:r w:rsidR="00952309">
        <w:rPr>
          <w:rFonts w:asciiTheme="majorHAnsi" w:hAnsiTheme="majorHAnsi"/>
          <w:bCs/>
          <w:sz w:val="24"/>
          <w:szCs w:val="23"/>
        </w:rPr>
        <w:t>s</w:t>
      </w:r>
      <w:r>
        <w:rPr>
          <w:rFonts w:asciiTheme="majorHAnsi" w:hAnsiTheme="majorHAnsi"/>
          <w:bCs/>
          <w:sz w:val="24"/>
          <w:szCs w:val="23"/>
        </w:rPr>
        <w:t xml:space="preserve"> to taxpayers, this tax expenditure results in more economic activity. See Tables A</w:t>
      </w:r>
      <w:r w:rsidR="00D15853">
        <w:rPr>
          <w:rFonts w:asciiTheme="majorHAnsi" w:hAnsiTheme="majorHAnsi"/>
          <w:bCs/>
          <w:sz w:val="24"/>
          <w:szCs w:val="23"/>
        </w:rPr>
        <w:t>3-</w:t>
      </w:r>
      <w:r>
        <w:rPr>
          <w:rFonts w:asciiTheme="majorHAnsi" w:hAnsiTheme="majorHAnsi"/>
          <w:bCs/>
          <w:sz w:val="24"/>
          <w:szCs w:val="23"/>
        </w:rPr>
        <w:t>3</w:t>
      </w:r>
      <w:r w:rsidR="00D15853">
        <w:rPr>
          <w:rFonts w:asciiTheme="majorHAnsi" w:hAnsiTheme="majorHAnsi"/>
          <w:bCs/>
          <w:sz w:val="24"/>
          <w:szCs w:val="23"/>
        </w:rPr>
        <w:t xml:space="preserve"> and </w:t>
      </w:r>
      <w:r>
        <w:rPr>
          <w:rFonts w:asciiTheme="majorHAnsi" w:hAnsiTheme="majorHAnsi"/>
          <w:bCs/>
          <w:sz w:val="24"/>
          <w:szCs w:val="23"/>
        </w:rPr>
        <w:t>A</w:t>
      </w:r>
      <w:r w:rsidR="00D15853">
        <w:rPr>
          <w:rFonts w:asciiTheme="majorHAnsi" w:hAnsiTheme="majorHAnsi"/>
          <w:bCs/>
          <w:sz w:val="24"/>
          <w:szCs w:val="23"/>
        </w:rPr>
        <w:t>3-</w:t>
      </w:r>
      <w:r>
        <w:rPr>
          <w:rFonts w:asciiTheme="majorHAnsi" w:hAnsiTheme="majorHAnsi"/>
          <w:bCs/>
          <w:sz w:val="24"/>
          <w:szCs w:val="23"/>
        </w:rPr>
        <w:t xml:space="preserve">4. Some empirical studies, such as </w:t>
      </w:r>
      <w:r w:rsidRPr="00BA1CE8">
        <w:rPr>
          <w:rFonts w:asciiTheme="majorHAnsi" w:eastAsiaTheme="majorEastAsia" w:hAnsiTheme="majorHAnsi" w:cstheme="majorBidi"/>
          <w:noProof/>
          <w:color w:val="000000" w:themeColor="text1"/>
          <w:sz w:val="24"/>
          <w:szCs w:val="24"/>
        </w:rPr>
        <w:t>Clausing</w:t>
      </w:r>
      <w:r>
        <w:rPr>
          <w:rFonts w:asciiTheme="majorHAnsi" w:eastAsiaTheme="majorEastAsia" w:hAnsiTheme="majorHAnsi" w:cstheme="majorBidi"/>
          <w:noProof/>
          <w:color w:val="000000" w:themeColor="text1"/>
          <w:sz w:val="24"/>
          <w:szCs w:val="24"/>
        </w:rPr>
        <w:t xml:space="preserve"> (</w:t>
      </w:r>
      <w:r w:rsidRPr="00BA1CE8">
        <w:rPr>
          <w:rFonts w:asciiTheme="majorHAnsi" w:eastAsiaTheme="majorEastAsia" w:hAnsiTheme="majorHAnsi" w:cstheme="majorBidi"/>
          <w:noProof/>
          <w:color w:val="000000" w:themeColor="text1"/>
          <w:sz w:val="24"/>
          <w:szCs w:val="24"/>
        </w:rPr>
        <w:t>2016)</w:t>
      </w:r>
      <w:r>
        <w:rPr>
          <w:rFonts w:asciiTheme="majorHAnsi" w:eastAsiaTheme="majorEastAsia" w:hAnsiTheme="majorHAnsi" w:cstheme="majorBidi"/>
          <w:bCs/>
          <w:color w:val="000000" w:themeColor="text1"/>
          <w:sz w:val="24"/>
          <w:szCs w:val="24"/>
        </w:rPr>
        <w:t xml:space="preserve">, found that </w:t>
      </w:r>
      <w:r>
        <w:rPr>
          <w:rFonts w:asciiTheme="majorHAnsi" w:hAnsiTheme="majorHAnsi"/>
          <w:bCs/>
          <w:sz w:val="24"/>
          <w:szCs w:val="23"/>
        </w:rPr>
        <w:t>“</w:t>
      </w:r>
      <w:r w:rsidRPr="00C15AE3">
        <w:rPr>
          <w:rFonts w:asciiTheme="majorHAnsi" w:hAnsiTheme="majorHAnsi"/>
          <w:bCs/>
          <w:sz w:val="24"/>
          <w:szCs w:val="23"/>
        </w:rPr>
        <w:t>economic activity is not sensitive to U.S. state corporate tax policy choices”</w:t>
      </w:r>
      <w:r>
        <w:rPr>
          <w:rFonts w:asciiTheme="majorHAnsi" w:hAnsiTheme="majorHAnsi"/>
          <w:bCs/>
          <w:sz w:val="24"/>
          <w:szCs w:val="23"/>
        </w:rPr>
        <w:t xml:space="preserve"> (</w:t>
      </w:r>
      <w:r w:rsidRPr="00C15AE3">
        <w:rPr>
          <w:rFonts w:asciiTheme="majorHAnsi" w:hAnsiTheme="majorHAnsi"/>
          <w:bCs/>
          <w:sz w:val="24"/>
          <w:szCs w:val="23"/>
        </w:rPr>
        <w:t xml:space="preserve">in contrast to some early studies of this question cited in that paper) </w:t>
      </w:r>
      <w:r>
        <w:rPr>
          <w:rFonts w:asciiTheme="majorHAnsi" w:hAnsiTheme="majorHAnsi"/>
          <w:bCs/>
          <w:sz w:val="24"/>
          <w:szCs w:val="23"/>
        </w:rPr>
        <w:t>b</w:t>
      </w:r>
      <w:r w:rsidRPr="00C15AE3">
        <w:rPr>
          <w:rFonts w:asciiTheme="majorHAnsi" w:hAnsiTheme="majorHAnsi"/>
          <w:bCs/>
          <w:sz w:val="24"/>
          <w:szCs w:val="23"/>
        </w:rPr>
        <w:t>ut “tax revenues are sensitive to tax policy choices regarding tax rates, sales weights, and throwback rules.”</w:t>
      </w:r>
      <w:r>
        <w:rPr>
          <w:rFonts w:asciiTheme="majorHAnsi" w:hAnsiTheme="majorHAnsi"/>
          <w:bCs/>
          <w:sz w:val="24"/>
          <w:szCs w:val="23"/>
        </w:rPr>
        <w:t xml:space="preserve"> </w:t>
      </w:r>
    </w:p>
    <w:bookmarkEnd w:id="3"/>
    <w:p w14:paraId="4F267F13" w14:textId="228B1232" w:rsidR="00D27980" w:rsidRDefault="00D27980" w:rsidP="00D27980">
      <w:pPr>
        <w:tabs>
          <w:tab w:val="left" w:pos="7050"/>
        </w:tabs>
        <w:spacing w:after="0"/>
        <w:rPr>
          <w:rFonts w:asciiTheme="majorHAnsi" w:hAnsiTheme="majorHAnsi"/>
          <w:bCs/>
          <w:sz w:val="24"/>
          <w:szCs w:val="23"/>
        </w:rPr>
      </w:pPr>
    </w:p>
    <w:p w14:paraId="4C45C4A1" w14:textId="77777777" w:rsidR="00EA521F" w:rsidRDefault="00EA521F" w:rsidP="00D27980">
      <w:pPr>
        <w:tabs>
          <w:tab w:val="left" w:pos="7050"/>
        </w:tabs>
        <w:spacing w:after="0"/>
        <w:rPr>
          <w:rFonts w:asciiTheme="majorHAnsi" w:hAnsiTheme="majorHAnsi"/>
          <w:bCs/>
          <w:sz w:val="24"/>
          <w:szCs w:val="23"/>
        </w:rPr>
      </w:pPr>
    </w:p>
    <w:p w14:paraId="12E5CEA0" w14:textId="6123882A" w:rsidR="00D27980" w:rsidRPr="00782E31" w:rsidRDefault="00D27980" w:rsidP="00D27980">
      <w:pPr>
        <w:rPr>
          <w:rFonts w:asciiTheme="majorHAnsi" w:hAnsiTheme="majorHAnsi"/>
          <w:b/>
          <w:sz w:val="24"/>
          <w:szCs w:val="24"/>
        </w:rPr>
      </w:pPr>
      <w:r w:rsidRPr="00782E31">
        <w:rPr>
          <w:rFonts w:asciiTheme="majorHAnsi" w:hAnsiTheme="majorHAnsi"/>
          <w:b/>
          <w:sz w:val="24"/>
          <w:szCs w:val="24"/>
        </w:rPr>
        <w:t xml:space="preserve">Other </w:t>
      </w:r>
      <w:r>
        <w:rPr>
          <w:rFonts w:asciiTheme="majorHAnsi" w:hAnsiTheme="majorHAnsi"/>
          <w:b/>
          <w:sz w:val="24"/>
          <w:szCs w:val="24"/>
        </w:rPr>
        <w:t xml:space="preserve">unquantified </w:t>
      </w:r>
      <w:r w:rsidRPr="00782E31">
        <w:rPr>
          <w:rFonts w:asciiTheme="majorHAnsi" w:hAnsiTheme="majorHAnsi"/>
          <w:b/>
          <w:sz w:val="24"/>
          <w:szCs w:val="24"/>
        </w:rPr>
        <w:t>costs</w:t>
      </w:r>
      <w:r>
        <w:rPr>
          <w:rFonts w:asciiTheme="majorHAnsi" w:hAnsiTheme="majorHAnsi"/>
          <w:b/>
          <w:sz w:val="24"/>
          <w:szCs w:val="24"/>
        </w:rPr>
        <w:t xml:space="preserve"> and benefits</w:t>
      </w:r>
      <w:r w:rsidRPr="00A046B8">
        <w:rPr>
          <w:rFonts w:asciiTheme="majorHAnsi" w:hAnsiTheme="majorHAnsi"/>
          <w:b/>
          <w:sz w:val="24"/>
          <w:szCs w:val="24"/>
        </w:rPr>
        <w:t xml:space="preserve"> </w:t>
      </w:r>
    </w:p>
    <w:p w14:paraId="1DB75971" w14:textId="77777777" w:rsidR="00D27980" w:rsidRDefault="00D27980" w:rsidP="00D27980">
      <w:pPr>
        <w:tabs>
          <w:tab w:val="left" w:pos="7050"/>
        </w:tabs>
        <w:spacing w:after="0"/>
        <w:rPr>
          <w:rFonts w:asciiTheme="majorHAnsi" w:hAnsiTheme="majorHAnsi"/>
          <w:bCs/>
          <w:sz w:val="24"/>
          <w:szCs w:val="23"/>
        </w:rPr>
      </w:pPr>
      <w:r>
        <w:rPr>
          <w:rFonts w:asciiTheme="majorHAnsi" w:hAnsiTheme="majorHAnsi"/>
          <w:bCs/>
          <w:sz w:val="24"/>
          <w:szCs w:val="23"/>
        </w:rPr>
        <w:t>Besides the additional costs and benefits quantified in the previous sections, t</w:t>
      </w:r>
      <w:r w:rsidRPr="00A05217">
        <w:rPr>
          <w:rFonts w:asciiTheme="majorHAnsi" w:hAnsiTheme="majorHAnsi"/>
          <w:bCs/>
          <w:sz w:val="24"/>
          <w:szCs w:val="23"/>
        </w:rPr>
        <w:t xml:space="preserve">here are other costs and benefits that are hard to quantify </w:t>
      </w:r>
      <w:r>
        <w:rPr>
          <w:rFonts w:asciiTheme="majorHAnsi" w:hAnsiTheme="majorHAnsi"/>
          <w:bCs/>
          <w:sz w:val="24"/>
          <w:szCs w:val="23"/>
        </w:rPr>
        <w:t>due to lack</w:t>
      </w:r>
      <w:r w:rsidRPr="00A05217">
        <w:rPr>
          <w:rFonts w:asciiTheme="majorHAnsi" w:hAnsiTheme="majorHAnsi"/>
          <w:bCs/>
          <w:sz w:val="24"/>
          <w:szCs w:val="23"/>
        </w:rPr>
        <w:t xml:space="preserve"> of data </w:t>
      </w:r>
      <w:r>
        <w:rPr>
          <w:rFonts w:asciiTheme="majorHAnsi" w:hAnsiTheme="majorHAnsi"/>
          <w:bCs/>
          <w:sz w:val="24"/>
          <w:szCs w:val="23"/>
        </w:rPr>
        <w:t>or other challenges</w:t>
      </w:r>
      <w:r w:rsidRPr="00A05217">
        <w:rPr>
          <w:rFonts w:asciiTheme="majorHAnsi" w:hAnsiTheme="majorHAnsi"/>
          <w:bCs/>
          <w:sz w:val="24"/>
          <w:szCs w:val="23"/>
        </w:rPr>
        <w:t>.</w:t>
      </w:r>
      <w:r>
        <w:rPr>
          <w:rFonts w:asciiTheme="majorHAnsi" w:hAnsiTheme="majorHAnsi"/>
          <w:bCs/>
          <w:sz w:val="24"/>
          <w:szCs w:val="23"/>
        </w:rPr>
        <w:t xml:space="preserve"> In this section we will enumerate some of these costs and benefits.</w:t>
      </w:r>
    </w:p>
    <w:p w14:paraId="1DEF150D" w14:textId="77777777" w:rsidR="00D27980" w:rsidRDefault="00D27980" w:rsidP="00D27980">
      <w:pPr>
        <w:tabs>
          <w:tab w:val="left" w:pos="7050"/>
        </w:tabs>
        <w:spacing w:after="0"/>
        <w:rPr>
          <w:rFonts w:asciiTheme="majorHAnsi" w:hAnsiTheme="majorHAnsi"/>
          <w:bCs/>
          <w:sz w:val="24"/>
          <w:szCs w:val="23"/>
        </w:rPr>
      </w:pPr>
    </w:p>
    <w:p w14:paraId="780754C2" w14:textId="77777777" w:rsidR="00D27980" w:rsidRDefault="00D27980" w:rsidP="00D27980">
      <w:pPr>
        <w:tabs>
          <w:tab w:val="left" w:pos="7050"/>
        </w:tabs>
        <w:spacing w:after="0"/>
        <w:rPr>
          <w:rFonts w:asciiTheme="majorHAnsi" w:hAnsiTheme="majorHAnsi"/>
          <w:bCs/>
          <w:sz w:val="24"/>
          <w:szCs w:val="23"/>
        </w:rPr>
      </w:pPr>
      <w:r w:rsidRPr="00A05217">
        <w:rPr>
          <w:rFonts w:asciiTheme="majorHAnsi" w:hAnsiTheme="majorHAnsi"/>
          <w:noProof/>
          <w:sz w:val="24"/>
          <w:szCs w:val="23"/>
        </w:rPr>
        <w:t>Ihlanfeldt and Sjoquist</w:t>
      </w:r>
      <w:r>
        <w:rPr>
          <w:rFonts w:asciiTheme="majorHAnsi" w:hAnsiTheme="majorHAnsi"/>
          <w:noProof/>
          <w:sz w:val="24"/>
          <w:szCs w:val="23"/>
        </w:rPr>
        <w:t xml:space="preserve"> </w:t>
      </w:r>
      <w:r w:rsidRPr="00A05217">
        <w:rPr>
          <w:rFonts w:asciiTheme="majorHAnsi" w:hAnsiTheme="majorHAnsi"/>
          <w:noProof/>
          <w:sz w:val="24"/>
          <w:szCs w:val="23"/>
        </w:rPr>
        <w:t>(2001)</w:t>
      </w:r>
      <w:r w:rsidRPr="00A05217">
        <w:rPr>
          <w:rFonts w:asciiTheme="majorHAnsi" w:hAnsiTheme="majorHAnsi"/>
          <w:bCs/>
          <w:sz w:val="24"/>
          <w:szCs w:val="23"/>
        </w:rPr>
        <w:t>, a published study for the state of Georgia</w:t>
      </w:r>
      <w:r>
        <w:rPr>
          <w:rFonts w:asciiTheme="majorHAnsi" w:hAnsiTheme="majorHAnsi"/>
          <w:bCs/>
          <w:sz w:val="24"/>
          <w:szCs w:val="23"/>
        </w:rPr>
        <w:t>,</w:t>
      </w:r>
      <w:r w:rsidRPr="00A05217">
        <w:rPr>
          <w:rFonts w:asciiTheme="majorHAnsi" w:hAnsiTheme="majorHAnsi"/>
          <w:bCs/>
          <w:sz w:val="24"/>
          <w:szCs w:val="23"/>
        </w:rPr>
        <w:t xml:space="preserve"> summarizes </w:t>
      </w:r>
      <w:r>
        <w:rPr>
          <w:rFonts w:asciiTheme="majorHAnsi" w:hAnsiTheme="majorHAnsi"/>
          <w:bCs/>
          <w:sz w:val="24"/>
          <w:szCs w:val="23"/>
        </w:rPr>
        <w:t xml:space="preserve">some of the other costs and benefits as follows:  </w:t>
      </w:r>
    </w:p>
    <w:p w14:paraId="4C4B89CA" w14:textId="77777777" w:rsidR="00D27980" w:rsidRDefault="00D27980" w:rsidP="00D27980">
      <w:pPr>
        <w:tabs>
          <w:tab w:val="left" w:pos="7050"/>
        </w:tabs>
        <w:spacing w:after="0"/>
        <w:rPr>
          <w:rFonts w:asciiTheme="majorHAnsi" w:hAnsiTheme="majorHAnsi"/>
          <w:bCs/>
          <w:sz w:val="24"/>
          <w:szCs w:val="23"/>
        </w:rPr>
      </w:pPr>
    </w:p>
    <w:p w14:paraId="08F1F935" w14:textId="77777777" w:rsidR="00D27980" w:rsidRDefault="00D27980" w:rsidP="00D27980">
      <w:pPr>
        <w:tabs>
          <w:tab w:val="left" w:pos="7050"/>
        </w:tabs>
        <w:spacing w:after="0"/>
        <w:rPr>
          <w:rFonts w:asciiTheme="majorHAnsi" w:hAnsiTheme="majorHAnsi"/>
          <w:bCs/>
          <w:sz w:val="24"/>
          <w:szCs w:val="23"/>
        </w:rPr>
      </w:pPr>
      <w:r w:rsidRPr="005D3BF7">
        <w:rPr>
          <w:rFonts w:asciiTheme="majorHAnsi" w:hAnsiTheme="majorHAnsi"/>
          <w:bCs/>
          <w:i/>
          <w:iCs/>
          <w:sz w:val="24"/>
          <w:szCs w:val="23"/>
          <w:u w:val="single"/>
        </w:rPr>
        <w:t>Loss of competitiveness.</w:t>
      </w:r>
      <w:r w:rsidRPr="00A05217">
        <w:rPr>
          <w:rFonts w:asciiTheme="majorHAnsi" w:hAnsiTheme="majorHAnsi"/>
          <w:bCs/>
          <w:sz w:val="24"/>
          <w:szCs w:val="23"/>
        </w:rPr>
        <w:t xml:space="preserve"> </w:t>
      </w:r>
      <w:r w:rsidRPr="00E4532C">
        <w:rPr>
          <w:rFonts w:asciiTheme="majorHAnsi" w:hAnsiTheme="majorHAnsi"/>
          <w:bCs/>
          <w:sz w:val="24"/>
          <w:szCs w:val="23"/>
        </w:rPr>
        <w:t xml:space="preserve">Providing tax </w:t>
      </w:r>
      <w:r>
        <w:rPr>
          <w:rFonts w:asciiTheme="majorHAnsi" w:hAnsiTheme="majorHAnsi"/>
          <w:bCs/>
          <w:sz w:val="24"/>
          <w:szCs w:val="23"/>
        </w:rPr>
        <w:t xml:space="preserve">incentive such as </w:t>
      </w:r>
      <w:r w:rsidRPr="00E4532C">
        <w:rPr>
          <w:rFonts w:asciiTheme="majorHAnsi" w:hAnsiTheme="majorHAnsi"/>
          <w:bCs/>
          <w:sz w:val="24"/>
          <w:szCs w:val="23"/>
        </w:rPr>
        <w:t xml:space="preserve">credits to selected firms </w:t>
      </w:r>
      <w:r>
        <w:rPr>
          <w:rFonts w:asciiTheme="majorHAnsi" w:hAnsiTheme="majorHAnsi"/>
          <w:bCs/>
          <w:sz w:val="24"/>
          <w:szCs w:val="23"/>
        </w:rPr>
        <w:t>may d</w:t>
      </w:r>
      <w:r w:rsidRPr="00E4532C">
        <w:rPr>
          <w:rFonts w:asciiTheme="majorHAnsi" w:hAnsiTheme="majorHAnsi"/>
          <w:bCs/>
          <w:sz w:val="24"/>
          <w:szCs w:val="23"/>
        </w:rPr>
        <w:t>iminish</w:t>
      </w:r>
      <w:r>
        <w:rPr>
          <w:rFonts w:asciiTheme="majorHAnsi" w:hAnsiTheme="majorHAnsi"/>
          <w:bCs/>
          <w:sz w:val="24"/>
          <w:szCs w:val="23"/>
        </w:rPr>
        <w:t xml:space="preserve"> the </w:t>
      </w:r>
      <w:r w:rsidRPr="00E4532C">
        <w:rPr>
          <w:rFonts w:asciiTheme="majorHAnsi" w:hAnsiTheme="majorHAnsi"/>
          <w:bCs/>
          <w:sz w:val="24"/>
          <w:szCs w:val="23"/>
        </w:rPr>
        <w:t>competitiveness</w:t>
      </w:r>
      <w:r>
        <w:rPr>
          <w:rFonts w:asciiTheme="majorHAnsi" w:hAnsiTheme="majorHAnsi"/>
          <w:bCs/>
          <w:sz w:val="24"/>
          <w:szCs w:val="23"/>
        </w:rPr>
        <w:t xml:space="preserve"> </w:t>
      </w:r>
      <w:r w:rsidRPr="00E4532C">
        <w:rPr>
          <w:rFonts w:asciiTheme="majorHAnsi" w:hAnsiTheme="majorHAnsi"/>
          <w:bCs/>
          <w:sz w:val="24"/>
          <w:szCs w:val="23"/>
        </w:rPr>
        <w:t>for</w:t>
      </w:r>
      <w:r>
        <w:rPr>
          <w:rFonts w:asciiTheme="majorHAnsi" w:hAnsiTheme="majorHAnsi"/>
          <w:bCs/>
          <w:sz w:val="24"/>
          <w:szCs w:val="23"/>
        </w:rPr>
        <w:t xml:space="preserve"> </w:t>
      </w:r>
      <w:r w:rsidRPr="00E4532C">
        <w:rPr>
          <w:rFonts w:asciiTheme="majorHAnsi" w:hAnsiTheme="majorHAnsi"/>
          <w:bCs/>
          <w:sz w:val="24"/>
          <w:szCs w:val="23"/>
        </w:rPr>
        <w:t>existing</w:t>
      </w:r>
      <w:r>
        <w:rPr>
          <w:rFonts w:asciiTheme="majorHAnsi" w:hAnsiTheme="majorHAnsi"/>
          <w:bCs/>
          <w:sz w:val="24"/>
          <w:szCs w:val="23"/>
        </w:rPr>
        <w:t xml:space="preserve"> </w:t>
      </w:r>
      <w:r w:rsidRPr="00E4532C">
        <w:rPr>
          <w:rFonts w:asciiTheme="majorHAnsi" w:hAnsiTheme="majorHAnsi"/>
          <w:bCs/>
          <w:sz w:val="24"/>
          <w:szCs w:val="23"/>
        </w:rPr>
        <w:t>similar</w:t>
      </w:r>
      <w:r>
        <w:rPr>
          <w:rFonts w:asciiTheme="majorHAnsi" w:hAnsiTheme="majorHAnsi"/>
          <w:bCs/>
          <w:sz w:val="24"/>
          <w:szCs w:val="23"/>
        </w:rPr>
        <w:t xml:space="preserve"> </w:t>
      </w:r>
      <w:r w:rsidRPr="00E4532C">
        <w:rPr>
          <w:rFonts w:asciiTheme="majorHAnsi" w:hAnsiTheme="majorHAnsi"/>
          <w:bCs/>
          <w:sz w:val="24"/>
          <w:szCs w:val="23"/>
        </w:rPr>
        <w:t>firms.</w:t>
      </w:r>
      <w:r w:rsidRPr="00A05217">
        <w:rPr>
          <w:rFonts w:asciiTheme="majorHAnsi" w:hAnsiTheme="majorHAnsi"/>
          <w:bCs/>
          <w:sz w:val="24"/>
          <w:szCs w:val="23"/>
        </w:rPr>
        <w:t xml:space="preserve">  </w:t>
      </w:r>
    </w:p>
    <w:p w14:paraId="45F20C2B" w14:textId="77777777" w:rsidR="00D27980" w:rsidRDefault="00D27980" w:rsidP="00D27980">
      <w:pPr>
        <w:tabs>
          <w:tab w:val="left" w:pos="7050"/>
        </w:tabs>
        <w:spacing w:after="0"/>
        <w:rPr>
          <w:rFonts w:asciiTheme="majorHAnsi" w:hAnsiTheme="majorHAnsi"/>
          <w:bCs/>
          <w:sz w:val="24"/>
          <w:szCs w:val="23"/>
        </w:rPr>
      </w:pPr>
    </w:p>
    <w:p w14:paraId="71C9A403" w14:textId="77777777" w:rsidR="00D27980" w:rsidRDefault="00D27980" w:rsidP="00D27980">
      <w:pPr>
        <w:tabs>
          <w:tab w:val="left" w:pos="7050"/>
        </w:tabs>
        <w:spacing w:after="0"/>
        <w:rPr>
          <w:rFonts w:asciiTheme="majorHAnsi" w:hAnsiTheme="majorHAnsi"/>
          <w:bCs/>
          <w:sz w:val="24"/>
          <w:szCs w:val="23"/>
        </w:rPr>
      </w:pPr>
      <w:r w:rsidRPr="005D3BF7">
        <w:rPr>
          <w:rFonts w:asciiTheme="majorHAnsi" w:hAnsiTheme="majorHAnsi"/>
          <w:bCs/>
          <w:i/>
          <w:iCs/>
          <w:sz w:val="24"/>
          <w:szCs w:val="23"/>
          <w:u w:val="single"/>
        </w:rPr>
        <w:t>Compliance costs.</w:t>
      </w:r>
      <w:r w:rsidRPr="00A05217">
        <w:rPr>
          <w:rFonts w:asciiTheme="majorHAnsi" w:hAnsiTheme="majorHAnsi"/>
          <w:bCs/>
          <w:sz w:val="24"/>
          <w:szCs w:val="23"/>
        </w:rPr>
        <w:t xml:space="preserve">  They think that the costs to the firm may be substantial. </w:t>
      </w:r>
    </w:p>
    <w:p w14:paraId="5FA5F17D" w14:textId="77777777" w:rsidR="00D27980" w:rsidRDefault="00D27980" w:rsidP="00D27980">
      <w:pPr>
        <w:tabs>
          <w:tab w:val="left" w:pos="7050"/>
        </w:tabs>
        <w:spacing w:after="0"/>
        <w:rPr>
          <w:rFonts w:asciiTheme="majorHAnsi" w:hAnsiTheme="majorHAnsi"/>
          <w:bCs/>
          <w:sz w:val="24"/>
          <w:szCs w:val="23"/>
        </w:rPr>
      </w:pPr>
    </w:p>
    <w:p w14:paraId="7C2E1F8C" w14:textId="77777777" w:rsidR="00D27980" w:rsidRDefault="00D27980" w:rsidP="00D27980">
      <w:pPr>
        <w:tabs>
          <w:tab w:val="left" w:pos="7050"/>
        </w:tabs>
        <w:spacing w:after="0"/>
        <w:rPr>
          <w:rFonts w:asciiTheme="majorHAnsi" w:hAnsiTheme="majorHAnsi"/>
          <w:bCs/>
          <w:sz w:val="24"/>
          <w:szCs w:val="23"/>
        </w:rPr>
      </w:pPr>
      <w:r w:rsidRPr="005D3BF7">
        <w:rPr>
          <w:rFonts w:asciiTheme="majorHAnsi" w:hAnsiTheme="majorHAnsi"/>
          <w:bCs/>
          <w:i/>
          <w:iCs/>
          <w:sz w:val="24"/>
          <w:szCs w:val="23"/>
          <w:u w:val="single"/>
        </w:rPr>
        <w:t>Improved business climate.</w:t>
      </w:r>
      <w:r w:rsidRPr="00A05217">
        <w:rPr>
          <w:rFonts w:asciiTheme="majorHAnsi" w:hAnsiTheme="majorHAnsi"/>
          <w:bCs/>
          <w:sz w:val="24"/>
          <w:szCs w:val="23"/>
        </w:rPr>
        <w:t xml:space="preserve"> Tax incentive improves the perception of the business climate in the state and is used by site location specialists in screening alternative sites. </w:t>
      </w:r>
    </w:p>
    <w:p w14:paraId="107D4795" w14:textId="77777777" w:rsidR="00D27980" w:rsidRDefault="00D27980" w:rsidP="00D27980">
      <w:pPr>
        <w:tabs>
          <w:tab w:val="left" w:pos="7050"/>
        </w:tabs>
        <w:spacing w:after="0"/>
        <w:rPr>
          <w:rFonts w:asciiTheme="majorHAnsi" w:hAnsiTheme="majorHAnsi"/>
          <w:bCs/>
          <w:sz w:val="24"/>
          <w:szCs w:val="23"/>
        </w:rPr>
      </w:pPr>
    </w:p>
    <w:p w14:paraId="312FCD36" w14:textId="77777777" w:rsidR="00D27980" w:rsidRDefault="00D27980" w:rsidP="00D27980">
      <w:pPr>
        <w:tabs>
          <w:tab w:val="left" w:pos="7050"/>
        </w:tabs>
        <w:spacing w:after="0"/>
        <w:rPr>
          <w:rFonts w:asciiTheme="majorHAnsi" w:hAnsiTheme="majorHAnsi"/>
          <w:bCs/>
          <w:sz w:val="24"/>
          <w:szCs w:val="23"/>
        </w:rPr>
      </w:pPr>
      <w:r w:rsidRPr="005D3BF7">
        <w:rPr>
          <w:rFonts w:asciiTheme="majorHAnsi" w:hAnsiTheme="majorHAnsi"/>
          <w:bCs/>
          <w:i/>
          <w:iCs/>
          <w:sz w:val="24"/>
          <w:szCs w:val="23"/>
          <w:u w:val="single"/>
        </w:rPr>
        <w:t>Synergistic or clustering effects.</w:t>
      </w:r>
      <w:r w:rsidRPr="00A05217">
        <w:rPr>
          <w:rFonts w:asciiTheme="majorHAnsi" w:hAnsiTheme="majorHAnsi"/>
          <w:bCs/>
          <w:sz w:val="24"/>
          <w:szCs w:val="23"/>
        </w:rPr>
        <w:t xml:space="preserve"> Tax incentive may attract a firm in an industry new to the state, which then serves as a magnet for attracting additional firms in the industry.  </w:t>
      </w:r>
      <w:r>
        <w:rPr>
          <w:rFonts w:asciiTheme="majorHAnsi" w:hAnsiTheme="majorHAnsi"/>
          <w:bCs/>
          <w:sz w:val="24"/>
          <w:szCs w:val="23"/>
        </w:rPr>
        <w:t xml:space="preserve"> </w:t>
      </w:r>
    </w:p>
    <w:p w14:paraId="11E05F4C" w14:textId="77777777" w:rsidR="00D27980" w:rsidRDefault="00D27980" w:rsidP="00847706">
      <w:pPr>
        <w:tabs>
          <w:tab w:val="left" w:pos="7050"/>
        </w:tabs>
        <w:spacing w:after="0"/>
        <w:rPr>
          <w:rFonts w:asciiTheme="majorHAnsi" w:hAnsiTheme="majorHAnsi"/>
          <w:b/>
          <w:sz w:val="24"/>
          <w:szCs w:val="24"/>
        </w:rPr>
      </w:pPr>
    </w:p>
    <w:p w14:paraId="67B48F71" w14:textId="6DB5346F" w:rsidR="00D27980" w:rsidRPr="00616EEB" w:rsidRDefault="00D27980" w:rsidP="00D27980">
      <w:pPr>
        <w:spacing w:after="0"/>
        <w:rPr>
          <w:rFonts w:asciiTheme="majorHAnsi" w:eastAsiaTheme="majorEastAsia" w:hAnsiTheme="majorHAnsi" w:cstheme="majorBidi"/>
          <w:bCs/>
          <w:i/>
          <w:iCs/>
          <w:color w:val="000000" w:themeColor="text1"/>
          <w:sz w:val="24"/>
          <w:szCs w:val="24"/>
        </w:rPr>
      </w:pPr>
      <w:r>
        <w:rPr>
          <w:rFonts w:asciiTheme="majorHAnsi" w:eastAsiaTheme="majorEastAsia" w:hAnsiTheme="majorHAnsi" w:cstheme="majorBidi"/>
          <w:bCs/>
          <w:color w:val="000000" w:themeColor="text1"/>
          <w:sz w:val="24"/>
          <w:szCs w:val="24"/>
        </w:rPr>
        <w:t xml:space="preserve">Another hard to quantify cost is the administrative cost. The administrative cost attributable to this </w:t>
      </w:r>
      <w:r w:rsidR="00FD5041">
        <w:rPr>
          <w:rFonts w:asciiTheme="majorHAnsi" w:eastAsiaTheme="majorEastAsia" w:hAnsiTheme="majorHAnsi" w:cstheme="majorBidi"/>
          <w:bCs/>
          <w:color w:val="000000" w:themeColor="text1"/>
          <w:sz w:val="24"/>
          <w:szCs w:val="24"/>
        </w:rPr>
        <w:t>tax expenditure</w:t>
      </w:r>
      <w:r>
        <w:rPr>
          <w:rFonts w:asciiTheme="majorHAnsi" w:eastAsiaTheme="majorEastAsia" w:hAnsiTheme="majorHAnsi" w:cstheme="majorBidi"/>
          <w:bCs/>
          <w:color w:val="000000" w:themeColor="text1"/>
          <w:sz w:val="24"/>
          <w:szCs w:val="24"/>
        </w:rPr>
        <w:t xml:space="preserve"> should be relatively small because the Department of Revenue administers th</w:t>
      </w:r>
      <w:r w:rsidR="00697B51">
        <w:rPr>
          <w:rFonts w:asciiTheme="majorHAnsi" w:eastAsiaTheme="majorEastAsia" w:hAnsiTheme="majorHAnsi" w:cstheme="majorBidi"/>
          <w:bCs/>
          <w:color w:val="000000" w:themeColor="text1"/>
          <w:sz w:val="24"/>
          <w:szCs w:val="24"/>
        </w:rPr>
        <w:t xml:space="preserve">is tax expenditure </w:t>
      </w:r>
      <w:r>
        <w:rPr>
          <w:rFonts w:asciiTheme="majorHAnsi" w:eastAsiaTheme="majorEastAsia" w:hAnsiTheme="majorHAnsi" w:cstheme="majorBidi"/>
          <w:bCs/>
          <w:color w:val="000000" w:themeColor="text1"/>
          <w:sz w:val="24"/>
          <w:szCs w:val="24"/>
        </w:rPr>
        <w:t xml:space="preserve">with existing staff as part of its overall mission. </w:t>
      </w:r>
    </w:p>
    <w:p w14:paraId="14EFE208" w14:textId="77777777" w:rsidR="00D27980" w:rsidRDefault="00D27980" w:rsidP="00D27980">
      <w:pPr>
        <w:tabs>
          <w:tab w:val="left" w:pos="7050"/>
        </w:tabs>
        <w:spacing w:after="0"/>
        <w:rPr>
          <w:rFonts w:asciiTheme="majorHAnsi" w:hAnsiTheme="majorHAnsi"/>
          <w:bCs/>
          <w:sz w:val="24"/>
          <w:szCs w:val="23"/>
        </w:rPr>
      </w:pPr>
    </w:p>
    <w:p w14:paraId="51BF09AC" w14:textId="77777777" w:rsidR="00D27980" w:rsidRPr="00782E31" w:rsidRDefault="00D27980" w:rsidP="00D27980">
      <w:pPr>
        <w:rPr>
          <w:rFonts w:asciiTheme="majorHAnsi" w:hAnsiTheme="majorHAnsi"/>
          <w:b/>
          <w:sz w:val="24"/>
          <w:szCs w:val="24"/>
        </w:rPr>
      </w:pPr>
      <w:r>
        <w:rPr>
          <w:rFonts w:asciiTheme="majorHAnsi" w:hAnsiTheme="majorHAnsi"/>
          <w:b/>
          <w:sz w:val="24"/>
          <w:szCs w:val="24"/>
        </w:rPr>
        <w:t>Other issues related to costs and benefits</w:t>
      </w:r>
    </w:p>
    <w:p w14:paraId="28E2F13D" w14:textId="77777777" w:rsidR="00D27980" w:rsidRDefault="00D27980" w:rsidP="00D27980">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The burden of a tax does not necessarily fall on those responsible for remitting the tax. It is known through economic theories that corporate taxes change the allocation of capital between corporations and noncorporate businesses and among states because capital </w:t>
      </w:r>
      <w:r>
        <w:rPr>
          <w:rFonts w:asciiTheme="majorHAnsi" w:eastAsiaTheme="majorEastAsia" w:hAnsiTheme="majorHAnsi" w:cstheme="majorBidi"/>
          <w:bCs/>
          <w:color w:val="000000" w:themeColor="text1"/>
          <w:sz w:val="24"/>
          <w:szCs w:val="24"/>
        </w:rPr>
        <w:lastRenderedPageBreak/>
        <w:t xml:space="preserve">would flee from states of higher corporate taxes if all other considerable factors are not significantly different.  </w:t>
      </w:r>
    </w:p>
    <w:p w14:paraId="254D7E43" w14:textId="77777777" w:rsidR="00D27980" w:rsidRDefault="00D27980" w:rsidP="00D27980">
      <w:pPr>
        <w:spacing w:after="0"/>
        <w:rPr>
          <w:rFonts w:asciiTheme="majorHAnsi" w:eastAsiaTheme="majorEastAsia" w:hAnsiTheme="majorHAnsi" w:cstheme="majorBidi"/>
          <w:bCs/>
          <w:color w:val="000000" w:themeColor="text1"/>
          <w:sz w:val="24"/>
          <w:szCs w:val="24"/>
        </w:rPr>
      </w:pPr>
    </w:p>
    <w:p w14:paraId="28F1A6A9" w14:textId="77777777" w:rsidR="00D27980" w:rsidRDefault="00D27980" w:rsidP="00D27980">
      <w:pPr>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noProof/>
          <w:color w:val="000000" w:themeColor="text1"/>
          <w:sz w:val="24"/>
          <w:szCs w:val="24"/>
        </w:rPr>
        <w:t>Felix (2009)</w:t>
      </w:r>
      <w:r>
        <w:rPr>
          <w:rFonts w:asciiTheme="majorHAnsi" w:eastAsiaTheme="majorEastAsia" w:hAnsiTheme="majorHAnsi" w:cstheme="majorBidi"/>
          <w:bCs/>
          <w:color w:val="000000" w:themeColor="text1"/>
          <w:sz w:val="24"/>
          <w:szCs w:val="24"/>
        </w:rPr>
        <w:t xml:space="preserve"> finds that labor bears a significant burden from the state corporate tax in the form of lower wages. Her study further suggests that a one-percentage-point increase in the marginal state corporate tax rate reduces wages by 0.14% to 0.36%, that labor’s burden from the state corporate tax has trended upward over time due to increased global competition and increased competition among states to attract businesses, and that state corporate taxes reduce the wages of highly educated workers more than that of less-educated workers. </w:t>
      </w:r>
    </w:p>
    <w:p w14:paraId="59935E76" w14:textId="77777777" w:rsidR="00D27980" w:rsidRDefault="00D27980" w:rsidP="00D27980">
      <w:pPr>
        <w:spacing w:after="0"/>
        <w:rPr>
          <w:rFonts w:asciiTheme="majorHAnsi" w:eastAsiaTheme="majorEastAsia" w:hAnsiTheme="majorHAnsi" w:cstheme="majorBidi"/>
          <w:bCs/>
          <w:color w:val="000000" w:themeColor="text1"/>
          <w:sz w:val="24"/>
          <w:szCs w:val="24"/>
        </w:rPr>
      </w:pPr>
    </w:p>
    <w:p w14:paraId="53F2ADCA" w14:textId="489E40BA" w:rsidR="00161B63" w:rsidRDefault="00D27980" w:rsidP="00697B51">
      <w:pPr>
        <w:tabs>
          <w:tab w:val="left" w:pos="7050"/>
        </w:tabs>
        <w:spacing w:after="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As discussed in the report, the </w:t>
      </w:r>
      <w:r w:rsidR="00697B51" w:rsidRPr="00EE5936">
        <w:rPr>
          <w:rFonts w:asciiTheme="majorHAnsi" w:eastAsiaTheme="majorEastAsia" w:hAnsiTheme="majorHAnsi" w:cstheme="majorBidi"/>
          <w:bCs/>
          <w:color w:val="000000" w:themeColor="text1"/>
          <w:sz w:val="24"/>
          <w:szCs w:val="24"/>
        </w:rPr>
        <w:t>apportionment formula</w:t>
      </w:r>
      <w:r w:rsidR="00FD5041">
        <w:rPr>
          <w:rFonts w:asciiTheme="majorHAnsi" w:eastAsiaTheme="majorEastAsia" w:hAnsiTheme="majorHAnsi" w:cstheme="majorBidi"/>
          <w:bCs/>
          <w:color w:val="000000" w:themeColor="text1"/>
          <w:sz w:val="24"/>
          <w:szCs w:val="24"/>
        </w:rPr>
        <w:t>s</w:t>
      </w:r>
      <w:r w:rsidR="00697B51" w:rsidRPr="00EE5936">
        <w:rPr>
          <w:rFonts w:asciiTheme="majorHAnsi" w:eastAsiaTheme="majorEastAsia" w:hAnsiTheme="majorHAnsi" w:cstheme="majorBidi"/>
          <w:bCs/>
          <w:color w:val="000000" w:themeColor="text1"/>
          <w:sz w:val="24"/>
          <w:szCs w:val="24"/>
        </w:rPr>
        <w:t xml:space="preserve"> </w:t>
      </w:r>
      <w:r w:rsidR="00FD5041">
        <w:rPr>
          <w:rFonts w:asciiTheme="majorHAnsi" w:eastAsiaTheme="majorEastAsia" w:hAnsiTheme="majorHAnsi" w:cstheme="majorBidi"/>
          <w:bCs/>
          <w:color w:val="000000" w:themeColor="text1"/>
          <w:sz w:val="24"/>
          <w:szCs w:val="24"/>
        </w:rPr>
        <w:t>with</w:t>
      </w:r>
      <w:r w:rsidR="00697B51" w:rsidRPr="00EE5936">
        <w:rPr>
          <w:rFonts w:asciiTheme="majorHAnsi" w:eastAsiaTheme="majorEastAsia" w:hAnsiTheme="majorHAnsi" w:cstheme="majorBidi"/>
          <w:bCs/>
          <w:color w:val="000000" w:themeColor="text1"/>
          <w:sz w:val="24"/>
          <w:szCs w:val="24"/>
        </w:rPr>
        <w:t xml:space="preserve"> </w:t>
      </w:r>
      <w:r w:rsidR="00C14DF6">
        <w:rPr>
          <w:rFonts w:asciiTheme="majorHAnsi" w:eastAsiaTheme="majorEastAsia" w:hAnsiTheme="majorHAnsi" w:cstheme="majorBidi"/>
          <w:bCs/>
          <w:color w:val="000000" w:themeColor="text1"/>
          <w:sz w:val="24"/>
          <w:szCs w:val="24"/>
        </w:rPr>
        <w:t>higher</w:t>
      </w:r>
      <w:r w:rsidR="00C14DF6" w:rsidRPr="00EE5936">
        <w:rPr>
          <w:rFonts w:asciiTheme="majorHAnsi" w:eastAsiaTheme="majorEastAsia" w:hAnsiTheme="majorHAnsi" w:cstheme="majorBidi"/>
          <w:bCs/>
          <w:color w:val="000000" w:themeColor="text1"/>
          <w:sz w:val="24"/>
          <w:szCs w:val="24"/>
        </w:rPr>
        <w:t xml:space="preserve"> </w:t>
      </w:r>
      <w:r w:rsidR="00697B51" w:rsidRPr="00EE5936">
        <w:rPr>
          <w:rFonts w:asciiTheme="majorHAnsi" w:eastAsiaTheme="majorEastAsia" w:hAnsiTheme="majorHAnsi" w:cstheme="majorBidi"/>
          <w:bCs/>
          <w:color w:val="000000" w:themeColor="text1"/>
          <w:sz w:val="24"/>
          <w:szCs w:val="24"/>
        </w:rPr>
        <w:t xml:space="preserve">weighted </w:t>
      </w:r>
      <w:r w:rsidR="00FD5041">
        <w:rPr>
          <w:rFonts w:asciiTheme="majorHAnsi" w:eastAsiaTheme="majorEastAsia" w:hAnsiTheme="majorHAnsi" w:cstheme="majorBidi"/>
          <w:bCs/>
          <w:color w:val="000000" w:themeColor="text1"/>
          <w:sz w:val="24"/>
          <w:szCs w:val="24"/>
        </w:rPr>
        <w:t>sales</w:t>
      </w:r>
      <w:r w:rsidR="00697B51" w:rsidRPr="00EE5936">
        <w:rPr>
          <w:rFonts w:asciiTheme="majorHAnsi" w:eastAsiaTheme="majorEastAsia" w:hAnsiTheme="majorHAnsi" w:cstheme="majorBidi"/>
          <w:bCs/>
          <w:color w:val="000000" w:themeColor="text1"/>
          <w:sz w:val="24"/>
          <w:szCs w:val="24"/>
        </w:rPr>
        <w:t xml:space="preserve"> factor</w:t>
      </w:r>
      <w:r w:rsidR="00FD5041">
        <w:rPr>
          <w:rFonts w:asciiTheme="majorHAnsi" w:eastAsiaTheme="majorEastAsia" w:hAnsiTheme="majorHAnsi" w:cstheme="majorBidi"/>
          <w:bCs/>
          <w:color w:val="000000" w:themeColor="text1"/>
          <w:sz w:val="24"/>
          <w:szCs w:val="24"/>
        </w:rPr>
        <w:t xml:space="preserve"> </w:t>
      </w:r>
      <w:r>
        <w:rPr>
          <w:rFonts w:asciiTheme="majorHAnsi" w:eastAsiaTheme="majorEastAsia" w:hAnsiTheme="majorHAnsi" w:cstheme="majorBidi"/>
          <w:bCs/>
          <w:color w:val="000000" w:themeColor="text1"/>
          <w:sz w:val="24"/>
          <w:szCs w:val="24"/>
        </w:rPr>
        <w:t>reduce</w:t>
      </w:r>
      <w:r w:rsidR="00FD5041">
        <w:rPr>
          <w:rFonts w:asciiTheme="majorHAnsi" w:eastAsiaTheme="majorEastAsia" w:hAnsiTheme="majorHAnsi" w:cstheme="majorBidi"/>
          <w:bCs/>
          <w:color w:val="000000" w:themeColor="text1"/>
          <w:sz w:val="24"/>
          <w:szCs w:val="24"/>
        </w:rPr>
        <w:t>s</w:t>
      </w:r>
      <w:r>
        <w:rPr>
          <w:rFonts w:asciiTheme="majorHAnsi" w:eastAsiaTheme="majorEastAsia" w:hAnsiTheme="majorHAnsi" w:cstheme="majorBidi"/>
          <w:bCs/>
          <w:color w:val="000000" w:themeColor="text1"/>
          <w:sz w:val="24"/>
          <w:szCs w:val="24"/>
        </w:rPr>
        <w:t xml:space="preserve"> the effective tax rate of </w:t>
      </w:r>
      <w:r w:rsidR="00FD5041">
        <w:rPr>
          <w:rFonts w:asciiTheme="majorHAnsi" w:eastAsiaTheme="majorEastAsia" w:hAnsiTheme="majorHAnsi" w:cstheme="majorBidi"/>
          <w:bCs/>
          <w:color w:val="000000" w:themeColor="text1"/>
          <w:sz w:val="24"/>
          <w:szCs w:val="24"/>
        </w:rPr>
        <w:t>the</w:t>
      </w:r>
      <w:r>
        <w:rPr>
          <w:rFonts w:asciiTheme="majorHAnsi" w:eastAsiaTheme="majorEastAsia" w:hAnsiTheme="majorHAnsi" w:cstheme="majorBidi"/>
          <w:bCs/>
          <w:color w:val="000000" w:themeColor="text1"/>
          <w:sz w:val="24"/>
          <w:szCs w:val="24"/>
        </w:rPr>
        <w:t xml:space="preserve"> direct beneficiaries. The findings imply that the incentive may have benefited workers who were employed by the</w:t>
      </w:r>
      <w:r w:rsidR="00FD5041">
        <w:rPr>
          <w:rFonts w:asciiTheme="majorHAnsi" w:eastAsiaTheme="majorEastAsia" w:hAnsiTheme="majorHAnsi" w:cstheme="majorBidi"/>
          <w:bCs/>
          <w:color w:val="000000" w:themeColor="text1"/>
          <w:sz w:val="24"/>
          <w:szCs w:val="24"/>
        </w:rPr>
        <w:t>se</w:t>
      </w:r>
      <w:r>
        <w:rPr>
          <w:rFonts w:asciiTheme="majorHAnsi" w:eastAsiaTheme="majorEastAsia" w:hAnsiTheme="majorHAnsi" w:cstheme="majorBidi"/>
          <w:bCs/>
          <w:color w:val="000000" w:themeColor="text1"/>
          <w:sz w:val="24"/>
          <w:szCs w:val="24"/>
        </w:rPr>
        <w:t xml:space="preserve"> corporations in the form of higher wages.  The incentive may have further benefited the shareholders and clients due to the growth of businesses.   </w:t>
      </w:r>
    </w:p>
    <w:p w14:paraId="45221F0E" w14:textId="490E2717" w:rsidR="005B5F76" w:rsidRDefault="005B5F76" w:rsidP="00697B51">
      <w:pPr>
        <w:tabs>
          <w:tab w:val="left" w:pos="7050"/>
        </w:tabs>
        <w:spacing w:after="0"/>
        <w:rPr>
          <w:rFonts w:asciiTheme="majorHAnsi" w:eastAsiaTheme="majorEastAsia" w:hAnsiTheme="majorHAnsi" w:cstheme="majorBidi"/>
          <w:bCs/>
          <w:color w:val="000000" w:themeColor="text1"/>
          <w:sz w:val="24"/>
          <w:szCs w:val="24"/>
        </w:rPr>
      </w:pPr>
    </w:p>
    <w:p w14:paraId="1D3C632E" w14:textId="77777777" w:rsidR="005B5F76" w:rsidRPr="00881147" w:rsidRDefault="005B5F76" w:rsidP="00EE5936">
      <w:pPr>
        <w:tabs>
          <w:tab w:val="left" w:pos="7050"/>
        </w:tabs>
        <w:spacing w:after="0"/>
        <w:rPr>
          <w:rFonts w:asciiTheme="majorHAnsi" w:hAnsiTheme="majorHAnsi"/>
          <w:b/>
          <w:sz w:val="24"/>
          <w:szCs w:val="24"/>
        </w:rPr>
      </w:pPr>
    </w:p>
    <w:sectPr w:rsidR="005B5F76" w:rsidRPr="00881147" w:rsidSect="00E61B5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9DC42" w14:textId="77777777" w:rsidR="0033191F" w:rsidRDefault="0033191F" w:rsidP="00110E98">
      <w:pPr>
        <w:spacing w:after="0" w:line="240" w:lineRule="auto"/>
      </w:pPr>
      <w:r>
        <w:separator/>
      </w:r>
    </w:p>
  </w:endnote>
  <w:endnote w:type="continuationSeparator" w:id="0">
    <w:p w14:paraId="7DA80E49" w14:textId="77777777" w:rsidR="0033191F" w:rsidRDefault="0033191F" w:rsidP="0011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abon LT Std">
    <w:altName w:val="Sabon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6FCAD" w14:textId="77777777" w:rsidR="00847706" w:rsidRDefault="00847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002447"/>
      <w:docPartObj>
        <w:docPartGallery w:val="Page Numbers (Bottom of Page)"/>
        <w:docPartUnique/>
      </w:docPartObj>
    </w:sdtPr>
    <w:sdtEndPr>
      <w:rPr>
        <w:noProof/>
      </w:rPr>
    </w:sdtEndPr>
    <w:sdtContent>
      <w:p w14:paraId="29F5C352" w14:textId="09583E5C" w:rsidR="00847706" w:rsidRDefault="008477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A250F9" w14:textId="77777777" w:rsidR="00847706" w:rsidRDefault="00847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A5B86" w14:textId="77777777" w:rsidR="00847706" w:rsidRDefault="008477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793664"/>
      <w:docPartObj>
        <w:docPartGallery w:val="Page Numbers (Bottom of Page)"/>
        <w:docPartUnique/>
      </w:docPartObj>
    </w:sdtPr>
    <w:sdtEndPr>
      <w:rPr>
        <w:rFonts w:asciiTheme="majorHAnsi" w:hAnsiTheme="majorHAnsi"/>
        <w:noProof/>
        <w:sz w:val="24"/>
      </w:rPr>
    </w:sdtEndPr>
    <w:sdtContent>
      <w:p w14:paraId="32A00723" w14:textId="77777777" w:rsidR="00847706" w:rsidRPr="00B204AF" w:rsidRDefault="00847706">
        <w:pPr>
          <w:pStyle w:val="Footer"/>
          <w:jc w:val="center"/>
          <w:rPr>
            <w:rFonts w:asciiTheme="majorHAnsi" w:hAnsiTheme="majorHAnsi"/>
            <w:sz w:val="24"/>
          </w:rPr>
        </w:pPr>
        <w:r w:rsidRPr="00B204AF">
          <w:rPr>
            <w:rFonts w:asciiTheme="majorHAnsi" w:hAnsiTheme="majorHAnsi"/>
            <w:sz w:val="24"/>
          </w:rPr>
          <w:fldChar w:fldCharType="begin"/>
        </w:r>
        <w:r w:rsidRPr="00B204AF">
          <w:rPr>
            <w:rFonts w:asciiTheme="majorHAnsi" w:hAnsiTheme="majorHAnsi"/>
            <w:sz w:val="24"/>
          </w:rPr>
          <w:instrText xml:space="preserve"> PAGE   \* MERGEFORMAT </w:instrText>
        </w:r>
        <w:r w:rsidRPr="00B204AF">
          <w:rPr>
            <w:rFonts w:asciiTheme="majorHAnsi" w:hAnsiTheme="majorHAnsi"/>
            <w:sz w:val="24"/>
          </w:rPr>
          <w:fldChar w:fldCharType="separate"/>
        </w:r>
        <w:r>
          <w:rPr>
            <w:rFonts w:asciiTheme="majorHAnsi" w:hAnsiTheme="majorHAnsi"/>
            <w:noProof/>
            <w:sz w:val="24"/>
          </w:rPr>
          <w:t>5</w:t>
        </w:r>
        <w:r w:rsidRPr="00B204AF">
          <w:rPr>
            <w:rFonts w:asciiTheme="majorHAnsi" w:hAnsiTheme="majorHAnsi"/>
            <w:noProof/>
            <w:sz w:val="24"/>
          </w:rPr>
          <w:fldChar w:fldCharType="end"/>
        </w:r>
      </w:p>
    </w:sdtContent>
  </w:sdt>
  <w:p w14:paraId="403E9877" w14:textId="77777777" w:rsidR="00847706" w:rsidRDefault="0084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01EAF" w14:textId="77777777" w:rsidR="0033191F" w:rsidRDefault="0033191F" w:rsidP="00110E98">
      <w:pPr>
        <w:spacing w:after="0" w:line="240" w:lineRule="auto"/>
      </w:pPr>
      <w:r>
        <w:separator/>
      </w:r>
    </w:p>
  </w:footnote>
  <w:footnote w:type="continuationSeparator" w:id="0">
    <w:p w14:paraId="7E71B530" w14:textId="77777777" w:rsidR="0033191F" w:rsidRDefault="0033191F" w:rsidP="00110E98">
      <w:pPr>
        <w:spacing w:after="0" w:line="240" w:lineRule="auto"/>
      </w:pPr>
      <w:r>
        <w:continuationSeparator/>
      </w:r>
    </w:p>
  </w:footnote>
  <w:footnote w:id="1">
    <w:p w14:paraId="3FCA793E" w14:textId="6FEEE24A" w:rsidR="00847706" w:rsidRPr="00847706" w:rsidRDefault="00847706" w:rsidP="00847706">
      <w:pPr>
        <w:pStyle w:val="FootnoteText"/>
        <w:jc w:val="left"/>
        <w:rPr>
          <w:rFonts w:asciiTheme="majorHAnsi" w:hAnsiTheme="majorHAnsi"/>
        </w:rPr>
      </w:pPr>
      <w:r w:rsidRPr="00847706">
        <w:rPr>
          <w:rStyle w:val="FootnoteReference"/>
          <w:rFonts w:asciiTheme="majorHAnsi" w:hAnsiTheme="majorHAnsi"/>
        </w:rPr>
        <w:footnoteRef/>
      </w:r>
      <w:r w:rsidRPr="00847706">
        <w:rPr>
          <w:rFonts w:asciiTheme="majorHAnsi" w:hAnsiTheme="majorHAnsi"/>
        </w:rPr>
        <w:t xml:space="preserve"> We exclude a few </w:t>
      </w:r>
      <w:r w:rsidR="00B2437D">
        <w:t>filers with particularly large impact</w:t>
      </w:r>
      <w:r w:rsidRPr="00847706">
        <w:rPr>
          <w:rFonts w:asciiTheme="majorHAnsi" w:hAnsiTheme="majorHAnsi"/>
        </w:rPr>
        <w:t>, which are assumed to be outliers</w:t>
      </w:r>
      <w:r>
        <w:rPr>
          <w:rFonts w:asciiTheme="majorHAnsi" w:hAnsiTheme="majorHAnsi"/>
        </w:rPr>
        <w:t xml:space="preserve"> in the simulation</w:t>
      </w:r>
      <w:r w:rsidRPr="00847706">
        <w:rPr>
          <w:rFonts w:asciiTheme="majorHAnsi" w:hAnsiTheme="majorHAnsi"/>
        </w:rPr>
        <w:t xml:space="preserve">. </w:t>
      </w:r>
    </w:p>
  </w:footnote>
  <w:footnote w:id="2">
    <w:p w14:paraId="74E67273" w14:textId="301B94FA" w:rsidR="00847706" w:rsidRDefault="00847706" w:rsidP="00847706">
      <w:pPr>
        <w:pStyle w:val="FootnoteText"/>
        <w:jc w:val="left"/>
      </w:pPr>
      <w:r w:rsidRPr="00847706">
        <w:rPr>
          <w:rStyle w:val="FootnoteReference"/>
          <w:rFonts w:asciiTheme="majorHAnsi" w:hAnsiTheme="majorHAnsi"/>
        </w:rPr>
        <w:footnoteRef/>
      </w:r>
      <w:r w:rsidRPr="00847706">
        <w:rPr>
          <w:rFonts w:asciiTheme="majorHAnsi" w:hAnsiTheme="majorHAnsi"/>
        </w:rPr>
        <w:t xml:space="preserve"> This amount is the decrease in tax liability for taxpayers who owe less tax </w:t>
      </w:r>
      <w:r>
        <w:rPr>
          <w:rFonts w:asciiTheme="majorHAnsi" w:hAnsiTheme="majorHAnsi"/>
        </w:rPr>
        <w:t>partially</w:t>
      </w:r>
      <w:r w:rsidRPr="00D8330F">
        <w:rPr>
          <w:rFonts w:asciiTheme="majorHAnsi" w:hAnsiTheme="majorHAnsi"/>
        </w:rPr>
        <w:t xml:space="preserve"> </w:t>
      </w:r>
      <w:r w:rsidRPr="00847706">
        <w:rPr>
          <w:rFonts w:asciiTheme="majorHAnsi" w:hAnsiTheme="majorHAnsi"/>
        </w:rPr>
        <w:t>offset by the increase in tax liability for taxpayers who owe more tax.</w:t>
      </w:r>
    </w:p>
  </w:footnote>
  <w:footnote w:id="3">
    <w:p w14:paraId="459207FA" w14:textId="64301DE0" w:rsidR="00847706" w:rsidRPr="002A2721" w:rsidRDefault="00847706">
      <w:pPr>
        <w:pStyle w:val="FootnoteText"/>
        <w:rPr>
          <w:rFonts w:asciiTheme="majorHAnsi" w:hAnsiTheme="majorHAnsi"/>
        </w:rPr>
      </w:pPr>
      <w:r w:rsidRPr="002A2721">
        <w:rPr>
          <w:rStyle w:val="FootnoteReference"/>
          <w:rFonts w:asciiTheme="majorHAnsi" w:hAnsiTheme="majorHAnsi"/>
        </w:rPr>
        <w:footnoteRef/>
      </w:r>
      <w:r w:rsidRPr="002A2721">
        <w:rPr>
          <w:rFonts w:asciiTheme="majorHAnsi" w:hAnsiTheme="majorHAnsi"/>
        </w:rPr>
        <w:t xml:space="preserve"> Based on self-reported NAICS sector 31-33, not the “</w:t>
      </w:r>
      <w:r w:rsidRPr="002A2721">
        <w:rPr>
          <w:rFonts w:asciiTheme="majorHAnsi" w:eastAsiaTheme="majorEastAsia" w:hAnsiTheme="majorHAnsi" w:cstheme="majorBidi"/>
          <w:bCs/>
          <w:color w:val="000000" w:themeColor="text1"/>
        </w:rPr>
        <w:t>section 38 manufacturer” classification.</w:t>
      </w:r>
      <w:r>
        <w:rPr>
          <w:rFonts w:asciiTheme="majorHAnsi" w:eastAsiaTheme="majorEastAsia" w:hAnsiTheme="majorHAnsi" w:cstheme="majorBidi"/>
          <w:bCs/>
          <w:color w:val="000000" w:themeColor="text1"/>
        </w:rPr>
        <w:t xml:space="preserve"> The self-reported NAICS may differ from the </w:t>
      </w:r>
      <w:r w:rsidRPr="002A2721">
        <w:rPr>
          <w:rFonts w:asciiTheme="majorHAnsi" w:hAnsiTheme="majorHAnsi"/>
        </w:rPr>
        <w:t>“</w:t>
      </w:r>
      <w:r w:rsidRPr="002A2721">
        <w:rPr>
          <w:rFonts w:asciiTheme="majorHAnsi" w:eastAsiaTheme="majorEastAsia" w:hAnsiTheme="majorHAnsi" w:cstheme="majorBidi"/>
          <w:bCs/>
          <w:color w:val="000000" w:themeColor="text1"/>
        </w:rPr>
        <w:t>section 38 manufacturer” classification</w:t>
      </w:r>
      <w:r>
        <w:rPr>
          <w:rFonts w:asciiTheme="majorHAnsi" w:eastAsiaTheme="majorEastAsia" w:hAnsiTheme="majorHAnsi" w:cstheme="majorBidi"/>
          <w:bCs/>
          <w:color w:val="000000" w:themeColor="text1"/>
        </w:rPr>
        <w:t xml:space="preserve"> for many reasons. For example, a non-manufacturing corporation or its subsidiaries may still conduct substantial manufacturing activities that meet the requirements of the </w:t>
      </w:r>
      <w:r w:rsidRPr="002A2721">
        <w:rPr>
          <w:rFonts w:asciiTheme="majorHAnsi" w:hAnsiTheme="majorHAnsi"/>
        </w:rPr>
        <w:t>“</w:t>
      </w:r>
      <w:r w:rsidRPr="002A2721">
        <w:rPr>
          <w:rFonts w:asciiTheme="majorHAnsi" w:eastAsiaTheme="majorEastAsia" w:hAnsiTheme="majorHAnsi" w:cstheme="majorBidi"/>
          <w:bCs/>
          <w:color w:val="000000" w:themeColor="text1"/>
        </w:rPr>
        <w:t>section 38 manufacturer” classification</w:t>
      </w:r>
      <w:r>
        <w:rPr>
          <w:rFonts w:asciiTheme="majorHAnsi" w:eastAsiaTheme="majorEastAsia" w:hAnsiTheme="majorHAnsi" w:cstheme="majorBidi"/>
          <w:bCs/>
          <w:color w:val="000000" w:themeColor="text1"/>
        </w:rPr>
        <w:t>,</w:t>
      </w:r>
      <w:r w:rsidR="00BA5C2E">
        <w:rPr>
          <w:rFonts w:asciiTheme="majorHAnsi" w:eastAsiaTheme="majorEastAsia" w:hAnsiTheme="majorHAnsi" w:cstheme="majorBidi"/>
          <w:bCs/>
          <w:color w:val="000000" w:themeColor="text1"/>
        </w:rPr>
        <w:t xml:space="preserve"> </w:t>
      </w:r>
      <w:r>
        <w:rPr>
          <w:rFonts w:asciiTheme="majorHAnsi" w:eastAsiaTheme="majorEastAsia" w:hAnsiTheme="majorHAnsi" w:cstheme="majorBidi"/>
          <w:bCs/>
          <w:color w:val="000000" w:themeColor="text1"/>
        </w:rPr>
        <w:t xml:space="preserve">or a </w:t>
      </w:r>
      <w:r w:rsidRPr="002A2721">
        <w:rPr>
          <w:rFonts w:asciiTheme="majorHAnsi" w:hAnsiTheme="majorHAnsi"/>
        </w:rPr>
        <w:t>“</w:t>
      </w:r>
      <w:r w:rsidRPr="002A2721">
        <w:rPr>
          <w:rFonts w:asciiTheme="majorHAnsi" w:eastAsiaTheme="majorEastAsia" w:hAnsiTheme="majorHAnsi" w:cstheme="majorBidi"/>
          <w:bCs/>
          <w:color w:val="000000" w:themeColor="text1"/>
        </w:rPr>
        <w:t>section 38 manufacturer”</w:t>
      </w:r>
      <w:r>
        <w:rPr>
          <w:rFonts w:asciiTheme="majorHAnsi" w:eastAsiaTheme="majorEastAsia" w:hAnsiTheme="majorHAnsi" w:cstheme="majorBidi"/>
          <w:bCs/>
          <w:color w:val="000000" w:themeColor="text1"/>
        </w:rPr>
        <w:t xml:space="preserve"> may report the NAICS of its parent company.</w:t>
      </w:r>
    </w:p>
  </w:footnote>
  <w:footnote w:id="4">
    <w:p w14:paraId="393B2EE0" w14:textId="65203383" w:rsidR="00847706" w:rsidRDefault="00847706">
      <w:pPr>
        <w:pStyle w:val="FootnoteText"/>
      </w:pPr>
      <w:r>
        <w:rPr>
          <w:rStyle w:val="FootnoteReference"/>
        </w:rPr>
        <w:footnoteRef/>
      </w:r>
      <w:r>
        <w:t xml:space="preserve"> The reduction in tax liability for the taxpayers who are positively impacted by a higher weighted sales factor formula is partially offset by the increase in tax liability for the taxpayers who are negatively impacted. </w:t>
      </w:r>
    </w:p>
  </w:footnote>
  <w:footnote w:id="5">
    <w:p w14:paraId="7F3ACEB6" w14:textId="05514575" w:rsidR="00847706" w:rsidRPr="002A2721" w:rsidRDefault="00847706">
      <w:pPr>
        <w:pStyle w:val="FootnoteText"/>
        <w:rPr>
          <w:rFonts w:asciiTheme="majorHAnsi" w:hAnsiTheme="majorHAnsi"/>
        </w:rPr>
      </w:pPr>
      <w:r w:rsidRPr="002A2721">
        <w:rPr>
          <w:rStyle w:val="FootnoteReference"/>
          <w:rFonts w:asciiTheme="majorHAnsi" w:hAnsiTheme="majorHAnsi"/>
        </w:rPr>
        <w:footnoteRef/>
      </w:r>
      <w:r w:rsidRPr="002A2721">
        <w:rPr>
          <w:rFonts w:asciiTheme="majorHAnsi" w:hAnsiTheme="majorHAnsi"/>
        </w:rPr>
        <w:t xml:space="preserve"> </w:t>
      </w:r>
      <w:r w:rsidRPr="002A2721">
        <w:rPr>
          <w:rFonts w:asciiTheme="majorHAnsi" w:eastAsiaTheme="majorEastAsia" w:hAnsiTheme="majorHAnsi" w:cstheme="majorBidi"/>
          <w:bCs/>
          <w:color w:val="000000" w:themeColor="text1"/>
        </w:rPr>
        <w:t xml:space="preserve">For example, physical plant in Massachusetts requires services that would not otherwise be required (e.g., cleaning, security, information technology services, etc.).  Some of these services may be procured from other businesses, thus increasing business activity in the state.  </w:t>
      </w:r>
    </w:p>
  </w:footnote>
  <w:footnote w:id="6">
    <w:p w14:paraId="0445D6E7" w14:textId="2DB7540B" w:rsidR="00847706" w:rsidRDefault="00847706">
      <w:pPr>
        <w:pStyle w:val="FootnoteText"/>
      </w:pPr>
      <w:r>
        <w:rPr>
          <w:rStyle w:val="FootnoteReference"/>
        </w:rPr>
        <w:footnoteRef/>
      </w:r>
      <w:r>
        <w:t xml:space="preserve"> </w:t>
      </w:r>
      <w:r>
        <w:rPr>
          <w:rFonts w:asciiTheme="majorHAnsi" w:eastAsiaTheme="majorEastAsia" w:hAnsiTheme="majorHAnsi" w:cstheme="majorBidi"/>
          <w:bCs/>
          <w:color w:val="000000" w:themeColor="text1"/>
        </w:rPr>
        <w:t>T</w:t>
      </w:r>
      <w:r w:rsidRPr="00D33FFC">
        <w:rPr>
          <w:rFonts w:asciiTheme="majorHAnsi" w:eastAsiaTheme="majorEastAsia" w:hAnsiTheme="majorHAnsi" w:cstheme="majorBidi"/>
          <w:bCs/>
          <w:color w:val="000000" w:themeColor="text1"/>
        </w:rPr>
        <w:t xml:space="preserve">he tax expenditure </w:t>
      </w:r>
      <w:r>
        <w:rPr>
          <w:rFonts w:asciiTheme="majorHAnsi" w:eastAsiaTheme="majorEastAsia" w:hAnsiTheme="majorHAnsi" w:cstheme="majorBidi"/>
          <w:bCs/>
          <w:color w:val="000000" w:themeColor="text1"/>
        </w:rPr>
        <w:t xml:space="preserve">may </w:t>
      </w:r>
      <w:r w:rsidRPr="00D33FFC">
        <w:rPr>
          <w:rFonts w:asciiTheme="majorHAnsi" w:eastAsiaTheme="majorEastAsia" w:hAnsiTheme="majorHAnsi" w:cstheme="majorBidi"/>
          <w:bCs/>
          <w:color w:val="000000" w:themeColor="text1"/>
        </w:rPr>
        <w:t>encourage employment in Massachusetts. Persons thus employed will earn and spend money in the Commonwealth, some of which would not otherwise be earned or spent.</w:t>
      </w:r>
    </w:p>
  </w:footnote>
  <w:footnote w:id="7">
    <w:p w14:paraId="10064791" w14:textId="77777777" w:rsidR="00847706" w:rsidRDefault="00847706" w:rsidP="00B559E3">
      <w:pPr>
        <w:pStyle w:val="FootnoteText"/>
        <w:jc w:val="left"/>
      </w:pPr>
      <w:r>
        <w:rPr>
          <w:rStyle w:val="FootnoteReference"/>
        </w:rPr>
        <w:footnoteRef/>
      </w:r>
      <w:r>
        <w:t xml:space="preserve"> For an </w:t>
      </w:r>
      <w:r>
        <w:rPr>
          <w:rFonts w:asciiTheme="majorHAnsi" w:hAnsiTheme="majorHAnsi"/>
        </w:rPr>
        <w:t>illustration of “Multiplier Effect”, s</w:t>
      </w:r>
      <w:r>
        <w:t xml:space="preserve">ee </w:t>
      </w:r>
      <w:r>
        <w:rPr>
          <w:rFonts w:asciiTheme="majorHAnsi" w:hAnsiTheme="majorHAnsi"/>
        </w:rPr>
        <w:t xml:space="preserve">Slide 4 of: </w:t>
      </w:r>
      <w:hyperlink r:id="rId1" w:history="1">
        <w:r w:rsidRPr="000B3C06">
          <w:rPr>
            <w:rStyle w:val="Hyperlink"/>
            <w:rFonts w:asciiTheme="majorHAnsi" w:hAnsiTheme="majorHAnsi"/>
          </w:rPr>
          <w:t>https://www.ilw.com/seminars/JohnNeillCitation.pdf</w:t>
        </w:r>
      </w:hyperlink>
    </w:p>
  </w:footnote>
  <w:footnote w:id="8">
    <w:p w14:paraId="3F0B971A" w14:textId="7F697F95" w:rsidR="00847706" w:rsidRDefault="00847706" w:rsidP="00D55E96">
      <w:pPr>
        <w:pStyle w:val="FootnoteText"/>
      </w:pPr>
      <w:r>
        <w:rPr>
          <w:rStyle w:val="FootnoteReference"/>
        </w:rPr>
        <w:footnoteRef/>
      </w:r>
      <w:r>
        <w:t xml:space="preserve"> This amount is the increase in tax liability for taxpayers who owe more tax offset by the decrease in tax liability for taxpayers who owe less tax.</w:t>
      </w:r>
    </w:p>
  </w:footnote>
  <w:footnote w:id="9">
    <w:p w14:paraId="40C0C4F8" w14:textId="77777777" w:rsidR="00847706" w:rsidRDefault="00847706" w:rsidP="00D27980">
      <w:pPr>
        <w:pStyle w:val="FootnoteText"/>
        <w:jc w:val="left"/>
      </w:pPr>
      <w:r>
        <w:rPr>
          <w:rStyle w:val="FootnoteReference"/>
        </w:rPr>
        <w:footnoteRef/>
      </w:r>
      <w:r>
        <w:t xml:space="preserve"> </w:t>
      </w:r>
      <w:r>
        <w:rPr>
          <w:rFonts w:asciiTheme="majorHAnsi" w:hAnsiTheme="majorHAnsi"/>
          <w:bCs/>
        </w:rPr>
        <w:t>S</w:t>
      </w:r>
      <w:r w:rsidRPr="0074390A">
        <w:rPr>
          <w:rFonts w:asciiTheme="majorHAnsi" w:hAnsiTheme="majorHAnsi"/>
          <w:bCs/>
        </w:rPr>
        <w:t xml:space="preserve">pending </w:t>
      </w:r>
      <w:r w:rsidRPr="0074390A">
        <w:rPr>
          <w:rFonts w:asciiTheme="majorHAnsi" w:eastAsiaTheme="majorEastAsia" w:hAnsiTheme="majorHAnsi" w:cstheme="majorBidi"/>
          <w:bCs/>
          <w:color w:val="000000" w:themeColor="text1"/>
        </w:rPr>
        <w:t xml:space="preserve">on a specific tax incentive means less spending on other expenditure </w:t>
      </w:r>
      <w:r>
        <w:rPr>
          <w:rFonts w:asciiTheme="majorHAnsi" w:eastAsiaTheme="majorEastAsia" w:hAnsiTheme="majorHAnsi" w:cstheme="majorBidi"/>
          <w:bCs/>
          <w:color w:val="000000" w:themeColor="text1"/>
        </w:rPr>
        <w:t xml:space="preserve">items </w:t>
      </w:r>
      <w:r w:rsidRPr="0074390A">
        <w:rPr>
          <w:rFonts w:asciiTheme="majorHAnsi" w:eastAsiaTheme="majorEastAsia" w:hAnsiTheme="majorHAnsi" w:cstheme="majorBidi"/>
          <w:bCs/>
          <w:color w:val="000000" w:themeColor="text1"/>
        </w:rPr>
        <w:t>for the Commonwealth under balanced budget requirement if there is no increase in state revenues. Reduced spending on other expenditure items means forgone benefits from th</w:t>
      </w:r>
      <w:r>
        <w:rPr>
          <w:rFonts w:asciiTheme="majorHAnsi" w:eastAsiaTheme="majorEastAsia" w:hAnsiTheme="majorHAnsi" w:cstheme="majorBidi"/>
          <w:bCs/>
          <w:color w:val="000000" w:themeColor="text1"/>
        </w:rPr>
        <w:t>o</w:t>
      </w:r>
      <w:r w:rsidRPr="0074390A">
        <w:rPr>
          <w:rFonts w:asciiTheme="majorHAnsi" w:eastAsiaTheme="majorEastAsia" w:hAnsiTheme="majorHAnsi" w:cstheme="majorBidi"/>
          <w:bCs/>
          <w:color w:val="000000" w:themeColor="text1"/>
        </w:rPr>
        <w:t>se items. This is an opportunity cost to the Commonwealth</w:t>
      </w:r>
      <w:r>
        <w:rPr>
          <w:rFonts w:asciiTheme="majorHAnsi" w:eastAsiaTheme="majorEastAsia" w:hAnsiTheme="majorHAnsi" w:cstheme="majorBidi"/>
          <w:bCs/>
          <w:color w:val="000000" w:themeColor="text1"/>
        </w:rPr>
        <w:t>, which, more specifically, is borne by the Massachusetts residents or businesses who benefit from those expenditure items.</w:t>
      </w:r>
    </w:p>
  </w:footnote>
  <w:footnote w:id="10">
    <w:p w14:paraId="4E73106A" w14:textId="635EE2E8" w:rsidR="00847706" w:rsidRDefault="00847706" w:rsidP="006162D2">
      <w:pPr>
        <w:pStyle w:val="FootnoteText"/>
      </w:pPr>
      <w:r>
        <w:rPr>
          <w:rStyle w:val="FootnoteReference"/>
        </w:rPr>
        <w:footnoteRef/>
      </w:r>
      <w:r>
        <w:t xml:space="preserve"> </w:t>
      </w:r>
      <w:r w:rsidRPr="002A2721">
        <w:rPr>
          <w:rFonts w:asciiTheme="majorHAnsi" w:hAnsiTheme="majorHAnsi"/>
          <w:bCs/>
        </w:rPr>
        <w:t>The reduction in tax liability for the taxpayers who are positively impacted by a higher weighted sales factor formula is partially offset by the increase in tax liability for the taxpayers who are negatively impacted.</w:t>
      </w:r>
    </w:p>
  </w:footnote>
  <w:footnote w:id="11">
    <w:p w14:paraId="00063331" w14:textId="77777777" w:rsidR="00B84E57" w:rsidRDefault="00B84E57" w:rsidP="00B84E57">
      <w:pPr>
        <w:pStyle w:val="FootnoteText"/>
      </w:pPr>
      <w:r>
        <w:rPr>
          <w:rStyle w:val="FootnoteReference"/>
        </w:rPr>
        <w:footnoteRef/>
      </w:r>
      <w:r>
        <w:t xml:space="preserve"> Including both tax and non-tax revenues but excluding the revenue loss reported in Table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127D" w14:textId="77777777" w:rsidR="00847706" w:rsidRDefault="00847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532875"/>
      <w:docPartObj>
        <w:docPartGallery w:val="Watermarks"/>
        <w:docPartUnique/>
      </w:docPartObj>
    </w:sdtPr>
    <w:sdtEndPr/>
    <w:sdtContent>
      <w:p w14:paraId="0F7DB5FD" w14:textId="618116FD" w:rsidR="00847706" w:rsidRDefault="00B2437D">
        <w:pPr>
          <w:pStyle w:val="Header"/>
        </w:pPr>
        <w:r>
          <w:rPr>
            <w:noProof/>
          </w:rPr>
          <w:pict w14:anchorId="2ED10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BB69" w14:textId="77777777" w:rsidR="00847706" w:rsidRDefault="00847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82913"/>
    <w:multiLevelType w:val="hybridMultilevel"/>
    <w:tmpl w:val="0D1C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A4516"/>
    <w:multiLevelType w:val="hybridMultilevel"/>
    <w:tmpl w:val="7B503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E6CED"/>
    <w:multiLevelType w:val="hybridMultilevel"/>
    <w:tmpl w:val="140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F1DB1"/>
    <w:multiLevelType w:val="hybridMultilevel"/>
    <w:tmpl w:val="9EA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52009"/>
    <w:multiLevelType w:val="hybridMultilevel"/>
    <w:tmpl w:val="52D2BC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0F2BA8"/>
    <w:multiLevelType w:val="hybridMultilevel"/>
    <w:tmpl w:val="03505E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91580B"/>
    <w:multiLevelType w:val="hybridMultilevel"/>
    <w:tmpl w:val="AC84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149C6"/>
    <w:multiLevelType w:val="hybridMultilevel"/>
    <w:tmpl w:val="E2C6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3F"/>
    <w:rsid w:val="000029FC"/>
    <w:rsid w:val="00003921"/>
    <w:rsid w:val="000044C6"/>
    <w:rsid w:val="00005AE2"/>
    <w:rsid w:val="00006160"/>
    <w:rsid w:val="0000728B"/>
    <w:rsid w:val="0001352B"/>
    <w:rsid w:val="000146A8"/>
    <w:rsid w:val="00027524"/>
    <w:rsid w:val="0002775A"/>
    <w:rsid w:val="0003538C"/>
    <w:rsid w:val="00040113"/>
    <w:rsid w:val="000437A4"/>
    <w:rsid w:val="00043A35"/>
    <w:rsid w:val="000465A3"/>
    <w:rsid w:val="00046C6A"/>
    <w:rsid w:val="00062EA9"/>
    <w:rsid w:val="00066C75"/>
    <w:rsid w:val="00066F7A"/>
    <w:rsid w:val="000672A9"/>
    <w:rsid w:val="00071AF8"/>
    <w:rsid w:val="00072D77"/>
    <w:rsid w:val="000735D2"/>
    <w:rsid w:val="00073C2C"/>
    <w:rsid w:val="00074BE2"/>
    <w:rsid w:val="000803EC"/>
    <w:rsid w:val="0009024B"/>
    <w:rsid w:val="00094767"/>
    <w:rsid w:val="000A2DBA"/>
    <w:rsid w:val="000B016F"/>
    <w:rsid w:val="000B06FD"/>
    <w:rsid w:val="000B6A12"/>
    <w:rsid w:val="000C56D9"/>
    <w:rsid w:val="000C7CEB"/>
    <w:rsid w:val="000D2131"/>
    <w:rsid w:val="000D32C4"/>
    <w:rsid w:val="000D3ABD"/>
    <w:rsid w:val="000D5A47"/>
    <w:rsid w:val="000E0EB5"/>
    <w:rsid w:val="000E323C"/>
    <w:rsid w:val="000E54AA"/>
    <w:rsid w:val="000E673E"/>
    <w:rsid w:val="000F27E3"/>
    <w:rsid w:val="000F3809"/>
    <w:rsid w:val="000F4465"/>
    <w:rsid w:val="000F5CC6"/>
    <w:rsid w:val="000F5DE1"/>
    <w:rsid w:val="00103E03"/>
    <w:rsid w:val="00105218"/>
    <w:rsid w:val="00107835"/>
    <w:rsid w:val="00110E98"/>
    <w:rsid w:val="00114B4C"/>
    <w:rsid w:val="00121F9E"/>
    <w:rsid w:val="00122D60"/>
    <w:rsid w:val="001275F9"/>
    <w:rsid w:val="00127BD1"/>
    <w:rsid w:val="00130D9D"/>
    <w:rsid w:val="00141566"/>
    <w:rsid w:val="0014538E"/>
    <w:rsid w:val="001526A7"/>
    <w:rsid w:val="00152BDF"/>
    <w:rsid w:val="0016168B"/>
    <w:rsid w:val="00161B63"/>
    <w:rsid w:val="0016347E"/>
    <w:rsid w:val="00167377"/>
    <w:rsid w:val="00172571"/>
    <w:rsid w:val="001772AB"/>
    <w:rsid w:val="0018184B"/>
    <w:rsid w:val="00182FA0"/>
    <w:rsid w:val="0018305E"/>
    <w:rsid w:val="00183ABF"/>
    <w:rsid w:val="00186FCF"/>
    <w:rsid w:val="001A4D37"/>
    <w:rsid w:val="001B3F84"/>
    <w:rsid w:val="001B7B84"/>
    <w:rsid w:val="001C0464"/>
    <w:rsid w:val="001C541F"/>
    <w:rsid w:val="001C5672"/>
    <w:rsid w:val="001D0C79"/>
    <w:rsid w:val="001D27CD"/>
    <w:rsid w:val="001E1F59"/>
    <w:rsid w:val="001E2080"/>
    <w:rsid w:val="001E7804"/>
    <w:rsid w:val="001F2328"/>
    <w:rsid w:val="001F3134"/>
    <w:rsid w:val="002001C9"/>
    <w:rsid w:val="00200C7C"/>
    <w:rsid w:val="0020176D"/>
    <w:rsid w:val="00204225"/>
    <w:rsid w:val="00205561"/>
    <w:rsid w:val="0020564B"/>
    <w:rsid w:val="0020671E"/>
    <w:rsid w:val="00206B43"/>
    <w:rsid w:val="002116BE"/>
    <w:rsid w:val="00212BA2"/>
    <w:rsid w:val="0021358F"/>
    <w:rsid w:val="00224FE9"/>
    <w:rsid w:val="002311E3"/>
    <w:rsid w:val="00235025"/>
    <w:rsid w:val="002351AB"/>
    <w:rsid w:val="00244598"/>
    <w:rsid w:val="002452DA"/>
    <w:rsid w:val="00245D07"/>
    <w:rsid w:val="002630C2"/>
    <w:rsid w:val="002651A7"/>
    <w:rsid w:val="00265886"/>
    <w:rsid w:val="00266970"/>
    <w:rsid w:val="002701A2"/>
    <w:rsid w:val="002707B3"/>
    <w:rsid w:val="0027131F"/>
    <w:rsid w:val="00272E2D"/>
    <w:rsid w:val="00275726"/>
    <w:rsid w:val="002768F2"/>
    <w:rsid w:val="0028005A"/>
    <w:rsid w:val="00282EBF"/>
    <w:rsid w:val="002865A5"/>
    <w:rsid w:val="0028699E"/>
    <w:rsid w:val="00286A17"/>
    <w:rsid w:val="002900D7"/>
    <w:rsid w:val="0029083A"/>
    <w:rsid w:val="00290C55"/>
    <w:rsid w:val="00291074"/>
    <w:rsid w:val="00292585"/>
    <w:rsid w:val="00293569"/>
    <w:rsid w:val="002970B4"/>
    <w:rsid w:val="002A09D5"/>
    <w:rsid w:val="002A2721"/>
    <w:rsid w:val="002A4FD4"/>
    <w:rsid w:val="002A544C"/>
    <w:rsid w:val="002A54D6"/>
    <w:rsid w:val="002A7129"/>
    <w:rsid w:val="002A71E8"/>
    <w:rsid w:val="002B37C2"/>
    <w:rsid w:val="002B5E50"/>
    <w:rsid w:val="002D2430"/>
    <w:rsid w:val="002D24CB"/>
    <w:rsid w:val="002D4A17"/>
    <w:rsid w:val="002D74AE"/>
    <w:rsid w:val="002D774E"/>
    <w:rsid w:val="002E01AD"/>
    <w:rsid w:val="002F10DB"/>
    <w:rsid w:val="002F4353"/>
    <w:rsid w:val="002F5704"/>
    <w:rsid w:val="002F5711"/>
    <w:rsid w:val="002F5DC5"/>
    <w:rsid w:val="002F5E33"/>
    <w:rsid w:val="002F6673"/>
    <w:rsid w:val="0032036D"/>
    <w:rsid w:val="00320918"/>
    <w:rsid w:val="003229C4"/>
    <w:rsid w:val="00323C19"/>
    <w:rsid w:val="0033191F"/>
    <w:rsid w:val="00333803"/>
    <w:rsid w:val="00343908"/>
    <w:rsid w:val="00344841"/>
    <w:rsid w:val="0035125B"/>
    <w:rsid w:val="00351EF0"/>
    <w:rsid w:val="00355122"/>
    <w:rsid w:val="00355A51"/>
    <w:rsid w:val="003606D0"/>
    <w:rsid w:val="00364105"/>
    <w:rsid w:val="00371FF8"/>
    <w:rsid w:val="00380D5D"/>
    <w:rsid w:val="00383C53"/>
    <w:rsid w:val="003946B1"/>
    <w:rsid w:val="003A180F"/>
    <w:rsid w:val="003A3179"/>
    <w:rsid w:val="003A36B6"/>
    <w:rsid w:val="003A41CF"/>
    <w:rsid w:val="003C0044"/>
    <w:rsid w:val="003C30F5"/>
    <w:rsid w:val="003D02D7"/>
    <w:rsid w:val="003D05D5"/>
    <w:rsid w:val="003E0BB5"/>
    <w:rsid w:val="003E15C1"/>
    <w:rsid w:val="003E3BDD"/>
    <w:rsid w:val="003E40C1"/>
    <w:rsid w:val="003E4A8E"/>
    <w:rsid w:val="003E6AC3"/>
    <w:rsid w:val="003E71AD"/>
    <w:rsid w:val="003F3A5B"/>
    <w:rsid w:val="003F79F0"/>
    <w:rsid w:val="004024AB"/>
    <w:rsid w:val="00403889"/>
    <w:rsid w:val="00412087"/>
    <w:rsid w:val="004120AC"/>
    <w:rsid w:val="00414614"/>
    <w:rsid w:val="00417232"/>
    <w:rsid w:val="004174C0"/>
    <w:rsid w:val="00420572"/>
    <w:rsid w:val="00421709"/>
    <w:rsid w:val="0042228A"/>
    <w:rsid w:val="00425CF0"/>
    <w:rsid w:val="00430623"/>
    <w:rsid w:val="004325CC"/>
    <w:rsid w:val="004351B8"/>
    <w:rsid w:val="004508E4"/>
    <w:rsid w:val="00457817"/>
    <w:rsid w:val="00471CD4"/>
    <w:rsid w:val="00471CF3"/>
    <w:rsid w:val="00481E5A"/>
    <w:rsid w:val="0048234B"/>
    <w:rsid w:val="00485FBB"/>
    <w:rsid w:val="00486F3F"/>
    <w:rsid w:val="00496A45"/>
    <w:rsid w:val="00497B27"/>
    <w:rsid w:val="004A1129"/>
    <w:rsid w:val="004A3955"/>
    <w:rsid w:val="004A3B69"/>
    <w:rsid w:val="004B0DFD"/>
    <w:rsid w:val="004B14D0"/>
    <w:rsid w:val="004B31D4"/>
    <w:rsid w:val="004B42DD"/>
    <w:rsid w:val="004C0367"/>
    <w:rsid w:val="004C1E24"/>
    <w:rsid w:val="004C45A3"/>
    <w:rsid w:val="004D54CC"/>
    <w:rsid w:val="004D7715"/>
    <w:rsid w:val="004E25DB"/>
    <w:rsid w:val="004F5241"/>
    <w:rsid w:val="00503DFA"/>
    <w:rsid w:val="00507101"/>
    <w:rsid w:val="005120C8"/>
    <w:rsid w:val="00514CB7"/>
    <w:rsid w:val="00515EE7"/>
    <w:rsid w:val="00516A1F"/>
    <w:rsid w:val="00521AC3"/>
    <w:rsid w:val="00521D17"/>
    <w:rsid w:val="0052661C"/>
    <w:rsid w:val="005271E9"/>
    <w:rsid w:val="00527275"/>
    <w:rsid w:val="00527574"/>
    <w:rsid w:val="00527B5F"/>
    <w:rsid w:val="00532588"/>
    <w:rsid w:val="00535295"/>
    <w:rsid w:val="00535950"/>
    <w:rsid w:val="00542F5D"/>
    <w:rsid w:val="005431A9"/>
    <w:rsid w:val="005438EA"/>
    <w:rsid w:val="005455DE"/>
    <w:rsid w:val="0055014B"/>
    <w:rsid w:val="00550DF8"/>
    <w:rsid w:val="00551ED7"/>
    <w:rsid w:val="005529C5"/>
    <w:rsid w:val="00565D22"/>
    <w:rsid w:val="00567D60"/>
    <w:rsid w:val="00576773"/>
    <w:rsid w:val="00581559"/>
    <w:rsid w:val="00585F3D"/>
    <w:rsid w:val="0059479A"/>
    <w:rsid w:val="005962E2"/>
    <w:rsid w:val="005A0637"/>
    <w:rsid w:val="005A1851"/>
    <w:rsid w:val="005A33D3"/>
    <w:rsid w:val="005A3D3B"/>
    <w:rsid w:val="005A4A7C"/>
    <w:rsid w:val="005A53F3"/>
    <w:rsid w:val="005A57A2"/>
    <w:rsid w:val="005B121A"/>
    <w:rsid w:val="005B1BBE"/>
    <w:rsid w:val="005B34D7"/>
    <w:rsid w:val="005B5555"/>
    <w:rsid w:val="005B5F76"/>
    <w:rsid w:val="005C009A"/>
    <w:rsid w:val="005E4012"/>
    <w:rsid w:val="005E601E"/>
    <w:rsid w:val="005E6D1C"/>
    <w:rsid w:val="005E7CD1"/>
    <w:rsid w:val="005F1213"/>
    <w:rsid w:val="006016F3"/>
    <w:rsid w:val="00603FF2"/>
    <w:rsid w:val="00613824"/>
    <w:rsid w:val="00615758"/>
    <w:rsid w:val="006162D2"/>
    <w:rsid w:val="00617863"/>
    <w:rsid w:val="00621CBB"/>
    <w:rsid w:val="00626D18"/>
    <w:rsid w:val="00640592"/>
    <w:rsid w:val="006421D3"/>
    <w:rsid w:val="006445DB"/>
    <w:rsid w:val="00650A9F"/>
    <w:rsid w:val="00651DEF"/>
    <w:rsid w:val="00652C0A"/>
    <w:rsid w:val="00652F48"/>
    <w:rsid w:val="00652F4E"/>
    <w:rsid w:val="00653DD2"/>
    <w:rsid w:val="006557DE"/>
    <w:rsid w:val="006608C3"/>
    <w:rsid w:val="0066152F"/>
    <w:rsid w:val="00661A9F"/>
    <w:rsid w:val="00664139"/>
    <w:rsid w:val="00670F24"/>
    <w:rsid w:val="00670FD5"/>
    <w:rsid w:val="006802AF"/>
    <w:rsid w:val="00680372"/>
    <w:rsid w:val="00690837"/>
    <w:rsid w:val="0069127A"/>
    <w:rsid w:val="006946BC"/>
    <w:rsid w:val="006958A8"/>
    <w:rsid w:val="00697B51"/>
    <w:rsid w:val="006A03A1"/>
    <w:rsid w:val="006A209C"/>
    <w:rsid w:val="006B3EE7"/>
    <w:rsid w:val="006C0F2E"/>
    <w:rsid w:val="006C6D45"/>
    <w:rsid w:val="006D365D"/>
    <w:rsid w:val="006D52BA"/>
    <w:rsid w:val="006D622A"/>
    <w:rsid w:val="006E678E"/>
    <w:rsid w:val="006F4DB1"/>
    <w:rsid w:val="006F4F83"/>
    <w:rsid w:val="006F63CA"/>
    <w:rsid w:val="0070557F"/>
    <w:rsid w:val="00707C5A"/>
    <w:rsid w:val="00711871"/>
    <w:rsid w:val="00716A97"/>
    <w:rsid w:val="00716FB2"/>
    <w:rsid w:val="00717614"/>
    <w:rsid w:val="00717FFE"/>
    <w:rsid w:val="007204FD"/>
    <w:rsid w:val="007214A7"/>
    <w:rsid w:val="00723E49"/>
    <w:rsid w:val="007253CF"/>
    <w:rsid w:val="00726280"/>
    <w:rsid w:val="007267F2"/>
    <w:rsid w:val="00727E72"/>
    <w:rsid w:val="007361C4"/>
    <w:rsid w:val="0074057C"/>
    <w:rsid w:val="0074239C"/>
    <w:rsid w:val="007436EE"/>
    <w:rsid w:val="00743B86"/>
    <w:rsid w:val="00754296"/>
    <w:rsid w:val="00756369"/>
    <w:rsid w:val="0076505E"/>
    <w:rsid w:val="007702E5"/>
    <w:rsid w:val="007719BD"/>
    <w:rsid w:val="0077589F"/>
    <w:rsid w:val="00776F38"/>
    <w:rsid w:val="00777101"/>
    <w:rsid w:val="00777B28"/>
    <w:rsid w:val="007906CA"/>
    <w:rsid w:val="0079481F"/>
    <w:rsid w:val="0079510F"/>
    <w:rsid w:val="00797003"/>
    <w:rsid w:val="007979EA"/>
    <w:rsid w:val="007A3349"/>
    <w:rsid w:val="007A41B4"/>
    <w:rsid w:val="007C1BA4"/>
    <w:rsid w:val="007C3ABD"/>
    <w:rsid w:val="007D2BD8"/>
    <w:rsid w:val="007E21D4"/>
    <w:rsid w:val="007E53E3"/>
    <w:rsid w:val="007E7A0A"/>
    <w:rsid w:val="007F1706"/>
    <w:rsid w:val="007F1EE5"/>
    <w:rsid w:val="007F29D8"/>
    <w:rsid w:val="007F67B7"/>
    <w:rsid w:val="007F7209"/>
    <w:rsid w:val="00801735"/>
    <w:rsid w:val="008026A1"/>
    <w:rsid w:val="00804302"/>
    <w:rsid w:val="00804772"/>
    <w:rsid w:val="008052E9"/>
    <w:rsid w:val="0081479C"/>
    <w:rsid w:val="008178F3"/>
    <w:rsid w:val="00821732"/>
    <w:rsid w:val="00823227"/>
    <w:rsid w:val="00824AC5"/>
    <w:rsid w:val="00824C46"/>
    <w:rsid w:val="00827961"/>
    <w:rsid w:val="008337C2"/>
    <w:rsid w:val="00836462"/>
    <w:rsid w:val="008365AA"/>
    <w:rsid w:val="00836FDE"/>
    <w:rsid w:val="008401DD"/>
    <w:rsid w:val="00845E99"/>
    <w:rsid w:val="00847706"/>
    <w:rsid w:val="00852F07"/>
    <w:rsid w:val="0085547A"/>
    <w:rsid w:val="0085585D"/>
    <w:rsid w:val="008559A1"/>
    <w:rsid w:val="00856B0B"/>
    <w:rsid w:val="008636B2"/>
    <w:rsid w:val="00863B50"/>
    <w:rsid w:val="008648FC"/>
    <w:rsid w:val="00865F59"/>
    <w:rsid w:val="008800ED"/>
    <w:rsid w:val="00881147"/>
    <w:rsid w:val="008817D0"/>
    <w:rsid w:val="00890FA9"/>
    <w:rsid w:val="00894626"/>
    <w:rsid w:val="00894BBD"/>
    <w:rsid w:val="008A2B61"/>
    <w:rsid w:val="008A391D"/>
    <w:rsid w:val="008A767B"/>
    <w:rsid w:val="008B1BA8"/>
    <w:rsid w:val="008C2341"/>
    <w:rsid w:val="008C37BA"/>
    <w:rsid w:val="008C3E3A"/>
    <w:rsid w:val="008C61C6"/>
    <w:rsid w:val="008D1F01"/>
    <w:rsid w:val="008D3142"/>
    <w:rsid w:val="008E0726"/>
    <w:rsid w:val="008F4A2D"/>
    <w:rsid w:val="008F4F52"/>
    <w:rsid w:val="00903F0F"/>
    <w:rsid w:val="00907C7E"/>
    <w:rsid w:val="00911076"/>
    <w:rsid w:val="00915171"/>
    <w:rsid w:val="00915584"/>
    <w:rsid w:val="00920594"/>
    <w:rsid w:val="00921525"/>
    <w:rsid w:val="009223DE"/>
    <w:rsid w:val="00930A21"/>
    <w:rsid w:val="00944ACD"/>
    <w:rsid w:val="00946E9F"/>
    <w:rsid w:val="00952309"/>
    <w:rsid w:val="009563B8"/>
    <w:rsid w:val="00961C3E"/>
    <w:rsid w:val="00961FF0"/>
    <w:rsid w:val="009649D8"/>
    <w:rsid w:val="00965FE9"/>
    <w:rsid w:val="009768F1"/>
    <w:rsid w:val="009976CF"/>
    <w:rsid w:val="009A28D5"/>
    <w:rsid w:val="009B1480"/>
    <w:rsid w:val="009B5299"/>
    <w:rsid w:val="009B6FEF"/>
    <w:rsid w:val="009C3998"/>
    <w:rsid w:val="009C5CE4"/>
    <w:rsid w:val="009C6EA4"/>
    <w:rsid w:val="009D1794"/>
    <w:rsid w:val="009D345A"/>
    <w:rsid w:val="009E5DE1"/>
    <w:rsid w:val="009F00D6"/>
    <w:rsid w:val="009F355B"/>
    <w:rsid w:val="009F546E"/>
    <w:rsid w:val="009F78EB"/>
    <w:rsid w:val="00A01E6E"/>
    <w:rsid w:val="00A02FE0"/>
    <w:rsid w:val="00A0692D"/>
    <w:rsid w:val="00A07796"/>
    <w:rsid w:val="00A1308F"/>
    <w:rsid w:val="00A132CA"/>
    <w:rsid w:val="00A24F56"/>
    <w:rsid w:val="00A272CD"/>
    <w:rsid w:val="00A317AE"/>
    <w:rsid w:val="00A37D0D"/>
    <w:rsid w:val="00A41E49"/>
    <w:rsid w:val="00A435D1"/>
    <w:rsid w:val="00A50E6F"/>
    <w:rsid w:val="00A54854"/>
    <w:rsid w:val="00A5773A"/>
    <w:rsid w:val="00A6097D"/>
    <w:rsid w:val="00A724CE"/>
    <w:rsid w:val="00A73156"/>
    <w:rsid w:val="00A74973"/>
    <w:rsid w:val="00A76DAE"/>
    <w:rsid w:val="00A80E5C"/>
    <w:rsid w:val="00A81E8B"/>
    <w:rsid w:val="00A844AE"/>
    <w:rsid w:val="00A846CA"/>
    <w:rsid w:val="00A93E27"/>
    <w:rsid w:val="00A94CCD"/>
    <w:rsid w:val="00AA4F7B"/>
    <w:rsid w:val="00AA54BE"/>
    <w:rsid w:val="00AD2A39"/>
    <w:rsid w:val="00AD6B46"/>
    <w:rsid w:val="00AE2AD3"/>
    <w:rsid w:val="00AE67BA"/>
    <w:rsid w:val="00AF07C1"/>
    <w:rsid w:val="00B02B52"/>
    <w:rsid w:val="00B07AFC"/>
    <w:rsid w:val="00B10852"/>
    <w:rsid w:val="00B1540E"/>
    <w:rsid w:val="00B204AF"/>
    <w:rsid w:val="00B22C43"/>
    <w:rsid w:val="00B22F9D"/>
    <w:rsid w:val="00B2437D"/>
    <w:rsid w:val="00B343D6"/>
    <w:rsid w:val="00B37DB1"/>
    <w:rsid w:val="00B42310"/>
    <w:rsid w:val="00B47018"/>
    <w:rsid w:val="00B546E5"/>
    <w:rsid w:val="00B559E3"/>
    <w:rsid w:val="00B56034"/>
    <w:rsid w:val="00B578C2"/>
    <w:rsid w:val="00B612DC"/>
    <w:rsid w:val="00B6682C"/>
    <w:rsid w:val="00B736FC"/>
    <w:rsid w:val="00B773B1"/>
    <w:rsid w:val="00B77D67"/>
    <w:rsid w:val="00B80C28"/>
    <w:rsid w:val="00B83E78"/>
    <w:rsid w:val="00B84883"/>
    <w:rsid w:val="00B84E57"/>
    <w:rsid w:val="00B96D5E"/>
    <w:rsid w:val="00BA1CE8"/>
    <w:rsid w:val="00BA5C2E"/>
    <w:rsid w:val="00BB14C9"/>
    <w:rsid w:val="00BB1B5B"/>
    <w:rsid w:val="00BB4D92"/>
    <w:rsid w:val="00BB5126"/>
    <w:rsid w:val="00BB600F"/>
    <w:rsid w:val="00BB766E"/>
    <w:rsid w:val="00BC4881"/>
    <w:rsid w:val="00BC6806"/>
    <w:rsid w:val="00BD0E49"/>
    <w:rsid w:val="00BD3224"/>
    <w:rsid w:val="00BE01E6"/>
    <w:rsid w:val="00BE0207"/>
    <w:rsid w:val="00BF19E3"/>
    <w:rsid w:val="00BF22EE"/>
    <w:rsid w:val="00BF7294"/>
    <w:rsid w:val="00C07688"/>
    <w:rsid w:val="00C103E0"/>
    <w:rsid w:val="00C124D1"/>
    <w:rsid w:val="00C14DF6"/>
    <w:rsid w:val="00C158A7"/>
    <w:rsid w:val="00C17D2C"/>
    <w:rsid w:val="00C2123D"/>
    <w:rsid w:val="00C24414"/>
    <w:rsid w:val="00C25556"/>
    <w:rsid w:val="00C26B03"/>
    <w:rsid w:val="00C30C1E"/>
    <w:rsid w:val="00C310E0"/>
    <w:rsid w:val="00C32BF7"/>
    <w:rsid w:val="00C37268"/>
    <w:rsid w:val="00C377C2"/>
    <w:rsid w:val="00C37BE0"/>
    <w:rsid w:val="00C5061C"/>
    <w:rsid w:val="00C51A53"/>
    <w:rsid w:val="00C51AC7"/>
    <w:rsid w:val="00C52315"/>
    <w:rsid w:val="00C537D2"/>
    <w:rsid w:val="00C55640"/>
    <w:rsid w:val="00C60A71"/>
    <w:rsid w:val="00C65FE7"/>
    <w:rsid w:val="00C7130E"/>
    <w:rsid w:val="00C77665"/>
    <w:rsid w:val="00C81638"/>
    <w:rsid w:val="00C81D6E"/>
    <w:rsid w:val="00CB14FB"/>
    <w:rsid w:val="00CB4800"/>
    <w:rsid w:val="00CC05CE"/>
    <w:rsid w:val="00CC0AB3"/>
    <w:rsid w:val="00CC208F"/>
    <w:rsid w:val="00CC26DE"/>
    <w:rsid w:val="00CC46EC"/>
    <w:rsid w:val="00CD4F01"/>
    <w:rsid w:val="00CE1C4F"/>
    <w:rsid w:val="00CF2928"/>
    <w:rsid w:val="00CF41DD"/>
    <w:rsid w:val="00D07D1B"/>
    <w:rsid w:val="00D10ED8"/>
    <w:rsid w:val="00D137A5"/>
    <w:rsid w:val="00D15853"/>
    <w:rsid w:val="00D20DB3"/>
    <w:rsid w:val="00D27042"/>
    <w:rsid w:val="00D27980"/>
    <w:rsid w:val="00D31266"/>
    <w:rsid w:val="00D3131F"/>
    <w:rsid w:val="00D3181A"/>
    <w:rsid w:val="00D3191E"/>
    <w:rsid w:val="00D363DB"/>
    <w:rsid w:val="00D36B44"/>
    <w:rsid w:val="00D44274"/>
    <w:rsid w:val="00D4431A"/>
    <w:rsid w:val="00D448DB"/>
    <w:rsid w:val="00D5431D"/>
    <w:rsid w:val="00D55E96"/>
    <w:rsid w:val="00D63459"/>
    <w:rsid w:val="00D7085D"/>
    <w:rsid w:val="00D7324F"/>
    <w:rsid w:val="00D739DA"/>
    <w:rsid w:val="00D73F36"/>
    <w:rsid w:val="00D80D2E"/>
    <w:rsid w:val="00D80FC0"/>
    <w:rsid w:val="00D82F0A"/>
    <w:rsid w:val="00D8330F"/>
    <w:rsid w:val="00D854B4"/>
    <w:rsid w:val="00D86973"/>
    <w:rsid w:val="00DA15F3"/>
    <w:rsid w:val="00DA5814"/>
    <w:rsid w:val="00DB6A22"/>
    <w:rsid w:val="00DC0695"/>
    <w:rsid w:val="00DC0D6B"/>
    <w:rsid w:val="00DC272A"/>
    <w:rsid w:val="00DD5655"/>
    <w:rsid w:val="00DD5DCB"/>
    <w:rsid w:val="00DE0DA2"/>
    <w:rsid w:val="00DE6080"/>
    <w:rsid w:val="00DF73F0"/>
    <w:rsid w:val="00E07A1A"/>
    <w:rsid w:val="00E11050"/>
    <w:rsid w:val="00E1285F"/>
    <w:rsid w:val="00E221C7"/>
    <w:rsid w:val="00E222AF"/>
    <w:rsid w:val="00E26161"/>
    <w:rsid w:val="00E31C4A"/>
    <w:rsid w:val="00E34CCB"/>
    <w:rsid w:val="00E35354"/>
    <w:rsid w:val="00E400F6"/>
    <w:rsid w:val="00E401AA"/>
    <w:rsid w:val="00E615A9"/>
    <w:rsid w:val="00E61B54"/>
    <w:rsid w:val="00E61D29"/>
    <w:rsid w:val="00E671DE"/>
    <w:rsid w:val="00E673A2"/>
    <w:rsid w:val="00E71069"/>
    <w:rsid w:val="00E715C9"/>
    <w:rsid w:val="00E747A1"/>
    <w:rsid w:val="00E75D47"/>
    <w:rsid w:val="00E80806"/>
    <w:rsid w:val="00E831FA"/>
    <w:rsid w:val="00E92C1D"/>
    <w:rsid w:val="00E9584B"/>
    <w:rsid w:val="00E970CC"/>
    <w:rsid w:val="00EA521F"/>
    <w:rsid w:val="00EA6A82"/>
    <w:rsid w:val="00EB03B5"/>
    <w:rsid w:val="00EB2096"/>
    <w:rsid w:val="00EB40E2"/>
    <w:rsid w:val="00EC60A4"/>
    <w:rsid w:val="00ED0296"/>
    <w:rsid w:val="00ED316F"/>
    <w:rsid w:val="00ED3285"/>
    <w:rsid w:val="00ED4589"/>
    <w:rsid w:val="00EE5936"/>
    <w:rsid w:val="00EF2F2F"/>
    <w:rsid w:val="00EF4AAA"/>
    <w:rsid w:val="00EF6B9A"/>
    <w:rsid w:val="00F04DCC"/>
    <w:rsid w:val="00F065BC"/>
    <w:rsid w:val="00F076B1"/>
    <w:rsid w:val="00F106D0"/>
    <w:rsid w:val="00F20B99"/>
    <w:rsid w:val="00F22DAA"/>
    <w:rsid w:val="00F23860"/>
    <w:rsid w:val="00F24AE3"/>
    <w:rsid w:val="00F33168"/>
    <w:rsid w:val="00F34ABA"/>
    <w:rsid w:val="00F3519F"/>
    <w:rsid w:val="00F46B61"/>
    <w:rsid w:val="00F51224"/>
    <w:rsid w:val="00F53A27"/>
    <w:rsid w:val="00F704C0"/>
    <w:rsid w:val="00F72141"/>
    <w:rsid w:val="00F7586D"/>
    <w:rsid w:val="00F82F4E"/>
    <w:rsid w:val="00F85C77"/>
    <w:rsid w:val="00F9238A"/>
    <w:rsid w:val="00FA4B0C"/>
    <w:rsid w:val="00FA79A8"/>
    <w:rsid w:val="00FB4C89"/>
    <w:rsid w:val="00FB4EC1"/>
    <w:rsid w:val="00FB656F"/>
    <w:rsid w:val="00FB7309"/>
    <w:rsid w:val="00FC7795"/>
    <w:rsid w:val="00FD5041"/>
    <w:rsid w:val="00FD5B69"/>
    <w:rsid w:val="00FD6E4B"/>
    <w:rsid w:val="00FE23E7"/>
    <w:rsid w:val="00FE31E6"/>
    <w:rsid w:val="00FF1114"/>
    <w:rsid w:val="00FF7A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DAF950"/>
  <w15:docId w15:val="{9F93AD59-4CAD-4C11-BA8E-82887625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7A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841"/>
    <w:rPr>
      <w:rFonts w:ascii="Tahoma" w:hAnsi="Tahoma" w:cs="Tahoma"/>
      <w:sz w:val="16"/>
      <w:szCs w:val="16"/>
    </w:rPr>
  </w:style>
  <w:style w:type="table" w:styleId="TableGrid">
    <w:name w:val="Table Grid"/>
    <w:basedOn w:val="TableNormal"/>
    <w:uiPriority w:val="59"/>
    <w:rsid w:val="00A8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846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A846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
    <w:name w:val="Medium Shading 2"/>
    <w:basedOn w:val="TableNormal"/>
    <w:uiPriority w:val="64"/>
    <w:rsid w:val="00A846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846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846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846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A846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Default">
    <w:name w:val="Default"/>
    <w:rsid w:val="00245D07"/>
    <w:pPr>
      <w:autoSpaceDE w:val="0"/>
      <w:autoSpaceDN w:val="0"/>
      <w:adjustRightInd w:val="0"/>
      <w:spacing w:after="0" w:line="240" w:lineRule="auto"/>
    </w:pPr>
    <w:rPr>
      <w:rFonts w:ascii="Sabon LT Std" w:hAnsi="Sabon LT Std" w:cs="Sabon LT Std"/>
      <w:color w:val="000000"/>
      <w:sz w:val="24"/>
      <w:szCs w:val="24"/>
    </w:rPr>
  </w:style>
  <w:style w:type="paragraph" w:styleId="FootnoteText">
    <w:name w:val="footnote text"/>
    <w:basedOn w:val="Normal"/>
    <w:link w:val="FootnoteTextChar"/>
    <w:semiHidden/>
    <w:rsid w:val="00110E98"/>
    <w:pPr>
      <w:tabs>
        <w:tab w:val="left" w:pos="360"/>
        <w:tab w:val="left" w:pos="720"/>
        <w:tab w:val="left" w:pos="1080"/>
        <w:tab w:val="left" w:pos="1440"/>
        <w:tab w:val="right" w:pos="9360"/>
      </w:tabs>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10E98"/>
    <w:rPr>
      <w:rFonts w:ascii="Times New Roman" w:eastAsia="Times New Roman" w:hAnsi="Times New Roman" w:cs="Times New Roman"/>
      <w:sz w:val="20"/>
      <w:szCs w:val="20"/>
    </w:rPr>
  </w:style>
  <w:style w:type="character" w:styleId="FootnoteReference">
    <w:name w:val="footnote reference"/>
    <w:semiHidden/>
    <w:rsid w:val="00110E98"/>
    <w:rPr>
      <w:rFonts w:cs="Times New Roman"/>
      <w:vertAlign w:val="superscript"/>
    </w:rPr>
  </w:style>
  <w:style w:type="character" w:styleId="Hyperlink">
    <w:name w:val="Hyperlink"/>
    <w:rsid w:val="00110E98"/>
    <w:rPr>
      <w:rFonts w:cs="Times New Roman"/>
      <w:color w:val="0000FF"/>
      <w:u w:val="single"/>
    </w:rPr>
  </w:style>
  <w:style w:type="paragraph" w:styleId="ListParagraph">
    <w:name w:val="List Paragraph"/>
    <w:basedOn w:val="Normal"/>
    <w:uiPriority w:val="34"/>
    <w:qFormat/>
    <w:rsid w:val="00D80D2E"/>
    <w:pPr>
      <w:ind w:left="720"/>
      <w:contextualSpacing/>
    </w:pPr>
  </w:style>
  <w:style w:type="paragraph" w:styleId="Header">
    <w:name w:val="header"/>
    <w:basedOn w:val="Normal"/>
    <w:link w:val="HeaderChar"/>
    <w:uiPriority w:val="99"/>
    <w:unhideWhenUsed/>
    <w:rsid w:val="00B2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AF"/>
  </w:style>
  <w:style w:type="paragraph" w:styleId="Footer">
    <w:name w:val="footer"/>
    <w:basedOn w:val="Normal"/>
    <w:link w:val="FooterChar"/>
    <w:uiPriority w:val="99"/>
    <w:unhideWhenUsed/>
    <w:rsid w:val="00B2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AF"/>
  </w:style>
  <w:style w:type="character" w:styleId="CommentReference">
    <w:name w:val="annotation reference"/>
    <w:basedOn w:val="DefaultParagraphFont"/>
    <w:uiPriority w:val="99"/>
    <w:semiHidden/>
    <w:unhideWhenUsed/>
    <w:rsid w:val="00A07796"/>
    <w:rPr>
      <w:sz w:val="16"/>
      <w:szCs w:val="16"/>
    </w:rPr>
  </w:style>
  <w:style w:type="paragraph" w:styleId="CommentText">
    <w:name w:val="annotation text"/>
    <w:basedOn w:val="Normal"/>
    <w:link w:val="CommentTextChar"/>
    <w:uiPriority w:val="99"/>
    <w:semiHidden/>
    <w:unhideWhenUsed/>
    <w:rsid w:val="00A07796"/>
    <w:pPr>
      <w:spacing w:line="240" w:lineRule="auto"/>
    </w:pPr>
    <w:rPr>
      <w:sz w:val="20"/>
      <w:szCs w:val="20"/>
    </w:rPr>
  </w:style>
  <w:style w:type="character" w:customStyle="1" w:styleId="CommentTextChar">
    <w:name w:val="Comment Text Char"/>
    <w:basedOn w:val="DefaultParagraphFont"/>
    <w:link w:val="CommentText"/>
    <w:uiPriority w:val="99"/>
    <w:semiHidden/>
    <w:rsid w:val="00A07796"/>
    <w:rPr>
      <w:sz w:val="20"/>
      <w:szCs w:val="20"/>
    </w:rPr>
  </w:style>
  <w:style w:type="paragraph" w:styleId="CommentSubject">
    <w:name w:val="annotation subject"/>
    <w:basedOn w:val="CommentText"/>
    <w:next w:val="CommentText"/>
    <w:link w:val="CommentSubjectChar"/>
    <w:uiPriority w:val="99"/>
    <w:semiHidden/>
    <w:unhideWhenUsed/>
    <w:rsid w:val="00A07796"/>
    <w:rPr>
      <w:b/>
      <w:bCs/>
    </w:rPr>
  </w:style>
  <w:style w:type="character" w:customStyle="1" w:styleId="CommentSubjectChar">
    <w:name w:val="Comment Subject Char"/>
    <w:basedOn w:val="CommentTextChar"/>
    <w:link w:val="CommentSubject"/>
    <w:uiPriority w:val="99"/>
    <w:semiHidden/>
    <w:rsid w:val="00A07796"/>
    <w:rPr>
      <w:b/>
      <w:bCs/>
      <w:sz w:val="20"/>
      <w:szCs w:val="20"/>
    </w:rPr>
  </w:style>
  <w:style w:type="character" w:customStyle="1" w:styleId="Heading1Char">
    <w:name w:val="Heading 1 Char"/>
    <w:basedOn w:val="DefaultParagraphFont"/>
    <w:link w:val="Heading1"/>
    <w:uiPriority w:val="9"/>
    <w:rsid w:val="00D137A5"/>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D137A5"/>
  </w:style>
  <w:style w:type="character" w:styleId="Strong">
    <w:name w:val="Strong"/>
    <w:basedOn w:val="DefaultParagraphFont"/>
    <w:uiPriority w:val="22"/>
    <w:qFormat/>
    <w:rsid w:val="006F4F83"/>
    <w:rPr>
      <w:b/>
      <w:bCs/>
    </w:rPr>
  </w:style>
  <w:style w:type="paragraph" w:styleId="Revision">
    <w:name w:val="Revision"/>
    <w:hidden/>
    <w:uiPriority w:val="99"/>
    <w:semiHidden/>
    <w:rsid w:val="002F4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632">
      <w:bodyDiv w:val="1"/>
      <w:marLeft w:val="0"/>
      <w:marRight w:val="0"/>
      <w:marTop w:val="0"/>
      <w:marBottom w:val="0"/>
      <w:divBdr>
        <w:top w:val="none" w:sz="0" w:space="0" w:color="auto"/>
        <w:left w:val="none" w:sz="0" w:space="0" w:color="auto"/>
        <w:bottom w:val="none" w:sz="0" w:space="0" w:color="auto"/>
        <w:right w:val="none" w:sz="0" w:space="0" w:color="auto"/>
      </w:divBdr>
    </w:div>
    <w:div w:id="5133201">
      <w:bodyDiv w:val="1"/>
      <w:marLeft w:val="0"/>
      <w:marRight w:val="0"/>
      <w:marTop w:val="0"/>
      <w:marBottom w:val="0"/>
      <w:divBdr>
        <w:top w:val="none" w:sz="0" w:space="0" w:color="auto"/>
        <w:left w:val="none" w:sz="0" w:space="0" w:color="auto"/>
        <w:bottom w:val="none" w:sz="0" w:space="0" w:color="auto"/>
        <w:right w:val="none" w:sz="0" w:space="0" w:color="auto"/>
      </w:divBdr>
    </w:div>
    <w:div w:id="12345090">
      <w:bodyDiv w:val="1"/>
      <w:marLeft w:val="0"/>
      <w:marRight w:val="0"/>
      <w:marTop w:val="0"/>
      <w:marBottom w:val="0"/>
      <w:divBdr>
        <w:top w:val="none" w:sz="0" w:space="0" w:color="auto"/>
        <w:left w:val="none" w:sz="0" w:space="0" w:color="auto"/>
        <w:bottom w:val="none" w:sz="0" w:space="0" w:color="auto"/>
        <w:right w:val="none" w:sz="0" w:space="0" w:color="auto"/>
      </w:divBdr>
    </w:div>
    <w:div w:id="23331806">
      <w:bodyDiv w:val="1"/>
      <w:marLeft w:val="0"/>
      <w:marRight w:val="0"/>
      <w:marTop w:val="0"/>
      <w:marBottom w:val="0"/>
      <w:divBdr>
        <w:top w:val="none" w:sz="0" w:space="0" w:color="auto"/>
        <w:left w:val="none" w:sz="0" w:space="0" w:color="auto"/>
        <w:bottom w:val="none" w:sz="0" w:space="0" w:color="auto"/>
        <w:right w:val="none" w:sz="0" w:space="0" w:color="auto"/>
      </w:divBdr>
    </w:div>
    <w:div w:id="42368319">
      <w:bodyDiv w:val="1"/>
      <w:marLeft w:val="0"/>
      <w:marRight w:val="0"/>
      <w:marTop w:val="0"/>
      <w:marBottom w:val="0"/>
      <w:divBdr>
        <w:top w:val="none" w:sz="0" w:space="0" w:color="auto"/>
        <w:left w:val="none" w:sz="0" w:space="0" w:color="auto"/>
        <w:bottom w:val="none" w:sz="0" w:space="0" w:color="auto"/>
        <w:right w:val="none" w:sz="0" w:space="0" w:color="auto"/>
      </w:divBdr>
    </w:div>
    <w:div w:id="105466684">
      <w:bodyDiv w:val="1"/>
      <w:marLeft w:val="0"/>
      <w:marRight w:val="0"/>
      <w:marTop w:val="0"/>
      <w:marBottom w:val="0"/>
      <w:divBdr>
        <w:top w:val="none" w:sz="0" w:space="0" w:color="auto"/>
        <w:left w:val="none" w:sz="0" w:space="0" w:color="auto"/>
        <w:bottom w:val="none" w:sz="0" w:space="0" w:color="auto"/>
        <w:right w:val="none" w:sz="0" w:space="0" w:color="auto"/>
      </w:divBdr>
    </w:div>
    <w:div w:id="118688566">
      <w:bodyDiv w:val="1"/>
      <w:marLeft w:val="0"/>
      <w:marRight w:val="0"/>
      <w:marTop w:val="0"/>
      <w:marBottom w:val="0"/>
      <w:divBdr>
        <w:top w:val="none" w:sz="0" w:space="0" w:color="auto"/>
        <w:left w:val="none" w:sz="0" w:space="0" w:color="auto"/>
        <w:bottom w:val="none" w:sz="0" w:space="0" w:color="auto"/>
        <w:right w:val="none" w:sz="0" w:space="0" w:color="auto"/>
      </w:divBdr>
    </w:div>
    <w:div w:id="152717821">
      <w:bodyDiv w:val="1"/>
      <w:marLeft w:val="0"/>
      <w:marRight w:val="0"/>
      <w:marTop w:val="0"/>
      <w:marBottom w:val="0"/>
      <w:divBdr>
        <w:top w:val="none" w:sz="0" w:space="0" w:color="auto"/>
        <w:left w:val="none" w:sz="0" w:space="0" w:color="auto"/>
        <w:bottom w:val="none" w:sz="0" w:space="0" w:color="auto"/>
        <w:right w:val="none" w:sz="0" w:space="0" w:color="auto"/>
      </w:divBdr>
    </w:div>
    <w:div w:id="187913876">
      <w:bodyDiv w:val="1"/>
      <w:marLeft w:val="0"/>
      <w:marRight w:val="0"/>
      <w:marTop w:val="0"/>
      <w:marBottom w:val="0"/>
      <w:divBdr>
        <w:top w:val="none" w:sz="0" w:space="0" w:color="auto"/>
        <w:left w:val="none" w:sz="0" w:space="0" w:color="auto"/>
        <w:bottom w:val="none" w:sz="0" w:space="0" w:color="auto"/>
        <w:right w:val="none" w:sz="0" w:space="0" w:color="auto"/>
      </w:divBdr>
    </w:div>
    <w:div w:id="192883293">
      <w:bodyDiv w:val="1"/>
      <w:marLeft w:val="0"/>
      <w:marRight w:val="0"/>
      <w:marTop w:val="0"/>
      <w:marBottom w:val="0"/>
      <w:divBdr>
        <w:top w:val="none" w:sz="0" w:space="0" w:color="auto"/>
        <w:left w:val="none" w:sz="0" w:space="0" w:color="auto"/>
        <w:bottom w:val="none" w:sz="0" w:space="0" w:color="auto"/>
        <w:right w:val="none" w:sz="0" w:space="0" w:color="auto"/>
      </w:divBdr>
    </w:div>
    <w:div w:id="197591866">
      <w:bodyDiv w:val="1"/>
      <w:marLeft w:val="0"/>
      <w:marRight w:val="0"/>
      <w:marTop w:val="0"/>
      <w:marBottom w:val="0"/>
      <w:divBdr>
        <w:top w:val="none" w:sz="0" w:space="0" w:color="auto"/>
        <w:left w:val="none" w:sz="0" w:space="0" w:color="auto"/>
        <w:bottom w:val="none" w:sz="0" w:space="0" w:color="auto"/>
        <w:right w:val="none" w:sz="0" w:space="0" w:color="auto"/>
      </w:divBdr>
    </w:div>
    <w:div w:id="239370116">
      <w:bodyDiv w:val="1"/>
      <w:marLeft w:val="0"/>
      <w:marRight w:val="0"/>
      <w:marTop w:val="0"/>
      <w:marBottom w:val="0"/>
      <w:divBdr>
        <w:top w:val="none" w:sz="0" w:space="0" w:color="auto"/>
        <w:left w:val="none" w:sz="0" w:space="0" w:color="auto"/>
        <w:bottom w:val="none" w:sz="0" w:space="0" w:color="auto"/>
        <w:right w:val="none" w:sz="0" w:space="0" w:color="auto"/>
      </w:divBdr>
    </w:div>
    <w:div w:id="256406070">
      <w:bodyDiv w:val="1"/>
      <w:marLeft w:val="0"/>
      <w:marRight w:val="0"/>
      <w:marTop w:val="0"/>
      <w:marBottom w:val="0"/>
      <w:divBdr>
        <w:top w:val="none" w:sz="0" w:space="0" w:color="auto"/>
        <w:left w:val="none" w:sz="0" w:space="0" w:color="auto"/>
        <w:bottom w:val="none" w:sz="0" w:space="0" w:color="auto"/>
        <w:right w:val="none" w:sz="0" w:space="0" w:color="auto"/>
      </w:divBdr>
    </w:div>
    <w:div w:id="257643603">
      <w:bodyDiv w:val="1"/>
      <w:marLeft w:val="0"/>
      <w:marRight w:val="0"/>
      <w:marTop w:val="0"/>
      <w:marBottom w:val="0"/>
      <w:divBdr>
        <w:top w:val="none" w:sz="0" w:space="0" w:color="auto"/>
        <w:left w:val="none" w:sz="0" w:space="0" w:color="auto"/>
        <w:bottom w:val="none" w:sz="0" w:space="0" w:color="auto"/>
        <w:right w:val="none" w:sz="0" w:space="0" w:color="auto"/>
      </w:divBdr>
    </w:div>
    <w:div w:id="281036572">
      <w:bodyDiv w:val="1"/>
      <w:marLeft w:val="0"/>
      <w:marRight w:val="0"/>
      <w:marTop w:val="0"/>
      <w:marBottom w:val="0"/>
      <w:divBdr>
        <w:top w:val="none" w:sz="0" w:space="0" w:color="auto"/>
        <w:left w:val="none" w:sz="0" w:space="0" w:color="auto"/>
        <w:bottom w:val="none" w:sz="0" w:space="0" w:color="auto"/>
        <w:right w:val="none" w:sz="0" w:space="0" w:color="auto"/>
      </w:divBdr>
    </w:div>
    <w:div w:id="336688464">
      <w:bodyDiv w:val="1"/>
      <w:marLeft w:val="0"/>
      <w:marRight w:val="0"/>
      <w:marTop w:val="0"/>
      <w:marBottom w:val="0"/>
      <w:divBdr>
        <w:top w:val="none" w:sz="0" w:space="0" w:color="auto"/>
        <w:left w:val="none" w:sz="0" w:space="0" w:color="auto"/>
        <w:bottom w:val="none" w:sz="0" w:space="0" w:color="auto"/>
        <w:right w:val="none" w:sz="0" w:space="0" w:color="auto"/>
      </w:divBdr>
    </w:div>
    <w:div w:id="341397796">
      <w:bodyDiv w:val="1"/>
      <w:marLeft w:val="0"/>
      <w:marRight w:val="0"/>
      <w:marTop w:val="0"/>
      <w:marBottom w:val="0"/>
      <w:divBdr>
        <w:top w:val="none" w:sz="0" w:space="0" w:color="auto"/>
        <w:left w:val="none" w:sz="0" w:space="0" w:color="auto"/>
        <w:bottom w:val="none" w:sz="0" w:space="0" w:color="auto"/>
        <w:right w:val="none" w:sz="0" w:space="0" w:color="auto"/>
      </w:divBdr>
    </w:div>
    <w:div w:id="369109251">
      <w:bodyDiv w:val="1"/>
      <w:marLeft w:val="0"/>
      <w:marRight w:val="0"/>
      <w:marTop w:val="0"/>
      <w:marBottom w:val="0"/>
      <w:divBdr>
        <w:top w:val="none" w:sz="0" w:space="0" w:color="auto"/>
        <w:left w:val="none" w:sz="0" w:space="0" w:color="auto"/>
        <w:bottom w:val="none" w:sz="0" w:space="0" w:color="auto"/>
        <w:right w:val="none" w:sz="0" w:space="0" w:color="auto"/>
      </w:divBdr>
    </w:div>
    <w:div w:id="398288612">
      <w:bodyDiv w:val="1"/>
      <w:marLeft w:val="0"/>
      <w:marRight w:val="0"/>
      <w:marTop w:val="0"/>
      <w:marBottom w:val="0"/>
      <w:divBdr>
        <w:top w:val="none" w:sz="0" w:space="0" w:color="auto"/>
        <w:left w:val="none" w:sz="0" w:space="0" w:color="auto"/>
        <w:bottom w:val="none" w:sz="0" w:space="0" w:color="auto"/>
        <w:right w:val="none" w:sz="0" w:space="0" w:color="auto"/>
      </w:divBdr>
    </w:div>
    <w:div w:id="409501676">
      <w:bodyDiv w:val="1"/>
      <w:marLeft w:val="0"/>
      <w:marRight w:val="0"/>
      <w:marTop w:val="0"/>
      <w:marBottom w:val="0"/>
      <w:divBdr>
        <w:top w:val="none" w:sz="0" w:space="0" w:color="auto"/>
        <w:left w:val="none" w:sz="0" w:space="0" w:color="auto"/>
        <w:bottom w:val="none" w:sz="0" w:space="0" w:color="auto"/>
        <w:right w:val="none" w:sz="0" w:space="0" w:color="auto"/>
      </w:divBdr>
    </w:div>
    <w:div w:id="416942506">
      <w:bodyDiv w:val="1"/>
      <w:marLeft w:val="0"/>
      <w:marRight w:val="0"/>
      <w:marTop w:val="0"/>
      <w:marBottom w:val="0"/>
      <w:divBdr>
        <w:top w:val="none" w:sz="0" w:space="0" w:color="auto"/>
        <w:left w:val="none" w:sz="0" w:space="0" w:color="auto"/>
        <w:bottom w:val="none" w:sz="0" w:space="0" w:color="auto"/>
        <w:right w:val="none" w:sz="0" w:space="0" w:color="auto"/>
      </w:divBdr>
    </w:div>
    <w:div w:id="431828812">
      <w:bodyDiv w:val="1"/>
      <w:marLeft w:val="0"/>
      <w:marRight w:val="0"/>
      <w:marTop w:val="0"/>
      <w:marBottom w:val="0"/>
      <w:divBdr>
        <w:top w:val="none" w:sz="0" w:space="0" w:color="auto"/>
        <w:left w:val="none" w:sz="0" w:space="0" w:color="auto"/>
        <w:bottom w:val="none" w:sz="0" w:space="0" w:color="auto"/>
        <w:right w:val="none" w:sz="0" w:space="0" w:color="auto"/>
      </w:divBdr>
    </w:div>
    <w:div w:id="446897686">
      <w:bodyDiv w:val="1"/>
      <w:marLeft w:val="0"/>
      <w:marRight w:val="0"/>
      <w:marTop w:val="0"/>
      <w:marBottom w:val="0"/>
      <w:divBdr>
        <w:top w:val="none" w:sz="0" w:space="0" w:color="auto"/>
        <w:left w:val="none" w:sz="0" w:space="0" w:color="auto"/>
        <w:bottom w:val="none" w:sz="0" w:space="0" w:color="auto"/>
        <w:right w:val="none" w:sz="0" w:space="0" w:color="auto"/>
      </w:divBdr>
    </w:div>
    <w:div w:id="546912321">
      <w:bodyDiv w:val="1"/>
      <w:marLeft w:val="0"/>
      <w:marRight w:val="0"/>
      <w:marTop w:val="0"/>
      <w:marBottom w:val="0"/>
      <w:divBdr>
        <w:top w:val="none" w:sz="0" w:space="0" w:color="auto"/>
        <w:left w:val="none" w:sz="0" w:space="0" w:color="auto"/>
        <w:bottom w:val="none" w:sz="0" w:space="0" w:color="auto"/>
        <w:right w:val="none" w:sz="0" w:space="0" w:color="auto"/>
      </w:divBdr>
    </w:div>
    <w:div w:id="605576871">
      <w:bodyDiv w:val="1"/>
      <w:marLeft w:val="0"/>
      <w:marRight w:val="0"/>
      <w:marTop w:val="0"/>
      <w:marBottom w:val="0"/>
      <w:divBdr>
        <w:top w:val="none" w:sz="0" w:space="0" w:color="auto"/>
        <w:left w:val="none" w:sz="0" w:space="0" w:color="auto"/>
        <w:bottom w:val="none" w:sz="0" w:space="0" w:color="auto"/>
        <w:right w:val="none" w:sz="0" w:space="0" w:color="auto"/>
      </w:divBdr>
    </w:div>
    <w:div w:id="619607399">
      <w:bodyDiv w:val="1"/>
      <w:marLeft w:val="0"/>
      <w:marRight w:val="0"/>
      <w:marTop w:val="0"/>
      <w:marBottom w:val="0"/>
      <w:divBdr>
        <w:top w:val="none" w:sz="0" w:space="0" w:color="auto"/>
        <w:left w:val="none" w:sz="0" w:space="0" w:color="auto"/>
        <w:bottom w:val="none" w:sz="0" w:space="0" w:color="auto"/>
        <w:right w:val="none" w:sz="0" w:space="0" w:color="auto"/>
      </w:divBdr>
    </w:div>
    <w:div w:id="658115005">
      <w:bodyDiv w:val="1"/>
      <w:marLeft w:val="0"/>
      <w:marRight w:val="0"/>
      <w:marTop w:val="0"/>
      <w:marBottom w:val="0"/>
      <w:divBdr>
        <w:top w:val="none" w:sz="0" w:space="0" w:color="auto"/>
        <w:left w:val="none" w:sz="0" w:space="0" w:color="auto"/>
        <w:bottom w:val="none" w:sz="0" w:space="0" w:color="auto"/>
        <w:right w:val="none" w:sz="0" w:space="0" w:color="auto"/>
      </w:divBdr>
    </w:div>
    <w:div w:id="716245546">
      <w:bodyDiv w:val="1"/>
      <w:marLeft w:val="0"/>
      <w:marRight w:val="0"/>
      <w:marTop w:val="0"/>
      <w:marBottom w:val="0"/>
      <w:divBdr>
        <w:top w:val="none" w:sz="0" w:space="0" w:color="auto"/>
        <w:left w:val="none" w:sz="0" w:space="0" w:color="auto"/>
        <w:bottom w:val="none" w:sz="0" w:space="0" w:color="auto"/>
        <w:right w:val="none" w:sz="0" w:space="0" w:color="auto"/>
      </w:divBdr>
    </w:div>
    <w:div w:id="735207319">
      <w:bodyDiv w:val="1"/>
      <w:marLeft w:val="0"/>
      <w:marRight w:val="0"/>
      <w:marTop w:val="0"/>
      <w:marBottom w:val="0"/>
      <w:divBdr>
        <w:top w:val="none" w:sz="0" w:space="0" w:color="auto"/>
        <w:left w:val="none" w:sz="0" w:space="0" w:color="auto"/>
        <w:bottom w:val="none" w:sz="0" w:space="0" w:color="auto"/>
        <w:right w:val="none" w:sz="0" w:space="0" w:color="auto"/>
      </w:divBdr>
    </w:div>
    <w:div w:id="828643112">
      <w:bodyDiv w:val="1"/>
      <w:marLeft w:val="0"/>
      <w:marRight w:val="0"/>
      <w:marTop w:val="0"/>
      <w:marBottom w:val="0"/>
      <w:divBdr>
        <w:top w:val="none" w:sz="0" w:space="0" w:color="auto"/>
        <w:left w:val="none" w:sz="0" w:space="0" w:color="auto"/>
        <w:bottom w:val="none" w:sz="0" w:space="0" w:color="auto"/>
        <w:right w:val="none" w:sz="0" w:space="0" w:color="auto"/>
      </w:divBdr>
    </w:div>
    <w:div w:id="835807172">
      <w:bodyDiv w:val="1"/>
      <w:marLeft w:val="0"/>
      <w:marRight w:val="0"/>
      <w:marTop w:val="0"/>
      <w:marBottom w:val="0"/>
      <w:divBdr>
        <w:top w:val="none" w:sz="0" w:space="0" w:color="auto"/>
        <w:left w:val="none" w:sz="0" w:space="0" w:color="auto"/>
        <w:bottom w:val="none" w:sz="0" w:space="0" w:color="auto"/>
        <w:right w:val="none" w:sz="0" w:space="0" w:color="auto"/>
      </w:divBdr>
    </w:div>
    <w:div w:id="977228001">
      <w:bodyDiv w:val="1"/>
      <w:marLeft w:val="0"/>
      <w:marRight w:val="0"/>
      <w:marTop w:val="0"/>
      <w:marBottom w:val="0"/>
      <w:divBdr>
        <w:top w:val="none" w:sz="0" w:space="0" w:color="auto"/>
        <w:left w:val="none" w:sz="0" w:space="0" w:color="auto"/>
        <w:bottom w:val="none" w:sz="0" w:space="0" w:color="auto"/>
        <w:right w:val="none" w:sz="0" w:space="0" w:color="auto"/>
      </w:divBdr>
    </w:div>
    <w:div w:id="979310955">
      <w:bodyDiv w:val="1"/>
      <w:marLeft w:val="0"/>
      <w:marRight w:val="0"/>
      <w:marTop w:val="0"/>
      <w:marBottom w:val="0"/>
      <w:divBdr>
        <w:top w:val="none" w:sz="0" w:space="0" w:color="auto"/>
        <w:left w:val="none" w:sz="0" w:space="0" w:color="auto"/>
        <w:bottom w:val="none" w:sz="0" w:space="0" w:color="auto"/>
        <w:right w:val="none" w:sz="0" w:space="0" w:color="auto"/>
      </w:divBdr>
    </w:div>
    <w:div w:id="979652317">
      <w:bodyDiv w:val="1"/>
      <w:marLeft w:val="0"/>
      <w:marRight w:val="0"/>
      <w:marTop w:val="0"/>
      <w:marBottom w:val="0"/>
      <w:divBdr>
        <w:top w:val="none" w:sz="0" w:space="0" w:color="auto"/>
        <w:left w:val="none" w:sz="0" w:space="0" w:color="auto"/>
        <w:bottom w:val="none" w:sz="0" w:space="0" w:color="auto"/>
        <w:right w:val="none" w:sz="0" w:space="0" w:color="auto"/>
      </w:divBdr>
    </w:div>
    <w:div w:id="987127372">
      <w:bodyDiv w:val="1"/>
      <w:marLeft w:val="0"/>
      <w:marRight w:val="0"/>
      <w:marTop w:val="0"/>
      <w:marBottom w:val="0"/>
      <w:divBdr>
        <w:top w:val="none" w:sz="0" w:space="0" w:color="auto"/>
        <w:left w:val="none" w:sz="0" w:space="0" w:color="auto"/>
        <w:bottom w:val="none" w:sz="0" w:space="0" w:color="auto"/>
        <w:right w:val="none" w:sz="0" w:space="0" w:color="auto"/>
      </w:divBdr>
    </w:div>
    <w:div w:id="1036662287">
      <w:bodyDiv w:val="1"/>
      <w:marLeft w:val="0"/>
      <w:marRight w:val="0"/>
      <w:marTop w:val="0"/>
      <w:marBottom w:val="0"/>
      <w:divBdr>
        <w:top w:val="none" w:sz="0" w:space="0" w:color="auto"/>
        <w:left w:val="none" w:sz="0" w:space="0" w:color="auto"/>
        <w:bottom w:val="none" w:sz="0" w:space="0" w:color="auto"/>
        <w:right w:val="none" w:sz="0" w:space="0" w:color="auto"/>
      </w:divBdr>
    </w:div>
    <w:div w:id="1043557009">
      <w:bodyDiv w:val="1"/>
      <w:marLeft w:val="0"/>
      <w:marRight w:val="0"/>
      <w:marTop w:val="0"/>
      <w:marBottom w:val="0"/>
      <w:divBdr>
        <w:top w:val="none" w:sz="0" w:space="0" w:color="auto"/>
        <w:left w:val="none" w:sz="0" w:space="0" w:color="auto"/>
        <w:bottom w:val="none" w:sz="0" w:space="0" w:color="auto"/>
        <w:right w:val="none" w:sz="0" w:space="0" w:color="auto"/>
      </w:divBdr>
    </w:div>
    <w:div w:id="1082213631">
      <w:bodyDiv w:val="1"/>
      <w:marLeft w:val="0"/>
      <w:marRight w:val="0"/>
      <w:marTop w:val="0"/>
      <w:marBottom w:val="0"/>
      <w:divBdr>
        <w:top w:val="none" w:sz="0" w:space="0" w:color="auto"/>
        <w:left w:val="none" w:sz="0" w:space="0" w:color="auto"/>
        <w:bottom w:val="none" w:sz="0" w:space="0" w:color="auto"/>
        <w:right w:val="none" w:sz="0" w:space="0" w:color="auto"/>
      </w:divBdr>
    </w:div>
    <w:div w:id="1119296862">
      <w:bodyDiv w:val="1"/>
      <w:marLeft w:val="0"/>
      <w:marRight w:val="0"/>
      <w:marTop w:val="0"/>
      <w:marBottom w:val="0"/>
      <w:divBdr>
        <w:top w:val="none" w:sz="0" w:space="0" w:color="auto"/>
        <w:left w:val="none" w:sz="0" w:space="0" w:color="auto"/>
        <w:bottom w:val="none" w:sz="0" w:space="0" w:color="auto"/>
        <w:right w:val="none" w:sz="0" w:space="0" w:color="auto"/>
      </w:divBdr>
    </w:div>
    <w:div w:id="1168718142">
      <w:bodyDiv w:val="1"/>
      <w:marLeft w:val="0"/>
      <w:marRight w:val="0"/>
      <w:marTop w:val="0"/>
      <w:marBottom w:val="0"/>
      <w:divBdr>
        <w:top w:val="none" w:sz="0" w:space="0" w:color="auto"/>
        <w:left w:val="none" w:sz="0" w:space="0" w:color="auto"/>
        <w:bottom w:val="none" w:sz="0" w:space="0" w:color="auto"/>
        <w:right w:val="none" w:sz="0" w:space="0" w:color="auto"/>
      </w:divBdr>
    </w:div>
    <w:div w:id="1214266977">
      <w:bodyDiv w:val="1"/>
      <w:marLeft w:val="0"/>
      <w:marRight w:val="0"/>
      <w:marTop w:val="0"/>
      <w:marBottom w:val="0"/>
      <w:divBdr>
        <w:top w:val="none" w:sz="0" w:space="0" w:color="auto"/>
        <w:left w:val="none" w:sz="0" w:space="0" w:color="auto"/>
        <w:bottom w:val="none" w:sz="0" w:space="0" w:color="auto"/>
        <w:right w:val="none" w:sz="0" w:space="0" w:color="auto"/>
      </w:divBdr>
    </w:div>
    <w:div w:id="1231386764">
      <w:bodyDiv w:val="1"/>
      <w:marLeft w:val="0"/>
      <w:marRight w:val="0"/>
      <w:marTop w:val="0"/>
      <w:marBottom w:val="0"/>
      <w:divBdr>
        <w:top w:val="none" w:sz="0" w:space="0" w:color="auto"/>
        <w:left w:val="none" w:sz="0" w:space="0" w:color="auto"/>
        <w:bottom w:val="none" w:sz="0" w:space="0" w:color="auto"/>
        <w:right w:val="none" w:sz="0" w:space="0" w:color="auto"/>
      </w:divBdr>
    </w:div>
    <w:div w:id="1265726001">
      <w:bodyDiv w:val="1"/>
      <w:marLeft w:val="0"/>
      <w:marRight w:val="0"/>
      <w:marTop w:val="0"/>
      <w:marBottom w:val="0"/>
      <w:divBdr>
        <w:top w:val="none" w:sz="0" w:space="0" w:color="auto"/>
        <w:left w:val="none" w:sz="0" w:space="0" w:color="auto"/>
        <w:bottom w:val="none" w:sz="0" w:space="0" w:color="auto"/>
        <w:right w:val="none" w:sz="0" w:space="0" w:color="auto"/>
      </w:divBdr>
    </w:div>
    <w:div w:id="1293513648">
      <w:bodyDiv w:val="1"/>
      <w:marLeft w:val="0"/>
      <w:marRight w:val="0"/>
      <w:marTop w:val="0"/>
      <w:marBottom w:val="0"/>
      <w:divBdr>
        <w:top w:val="none" w:sz="0" w:space="0" w:color="auto"/>
        <w:left w:val="none" w:sz="0" w:space="0" w:color="auto"/>
        <w:bottom w:val="none" w:sz="0" w:space="0" w:color="auto"/>
        <w:right w:val="none" w:sz="0" w:space="0" w:color="auto"/>
      </w:divBdr>
    </w:div>
    <w:div w:id="1340541479">
      <w:bodyDiv w:val="1"/>
      <w:marLeft w:val="0"/>
      <w:marRight w:val="0"/>
      <w:marTop w:val="0"/>
      <w:marBottom w:val="0"/>
      <w:divBdr>
        <w:top w:val="none" w:sz="0" w:space="0" w:color="auto"/>
        <w:left w:val="none" w:sz="0" w:space="0" w:color="auto"/>
        <w:bottom w:val="none" w:sz="0" w:space="0" w:color="auto"/>
        <w:right w:val="none" w:sz="0" w:space="0" w:color="auto"/>
      </w:divBdr>
    </w:div>
    <w:div w:id="1343895128">
      <w:bodyDiv w:val="1"/>
      <w:marLeft w:val="0"/>
      <w:marRight w:val="0"/>
      <w:marTop w:val="0"/>
      <w:marBottom w:val="0"/>
      <w:divBdr>
        <w:top w:val="none" w:sz="0" w:space="0" w:color="auto"/>
        <w:left w:val="none" w:sz="0" w:space="0" w:color="auto"/>
        <w:bottom w:val="none" w:sz="0" w:space="0" w:color="auto"/>
        <w:right w:val="none" w:sz="0" w:space="0" w:color="auto"/>
      </w:divBdr>
    </w:div>
    <w:div w:id="1365977847">
      <w:bodyDiv w:val="1"/>
      <w:marLeft w:val="0"/>
      <w:marRight w:val="0"/>
      <w:marTop w:val="0"/>
      <w:marBottom w:val="0"/>
      <w:divBdr>
        <w:top w:val="none" w:sz="0" w:space="0" w:color="auto"/>
        <w:left w:val="none" w:sz="0" w:space="0" w:color="auto"/>
        <w:bottom w:val="none" w:sz="0" w:space="0" w:color="auto"/>
        <w:right w:val="none" w:sz="0" w:space="0" w:color="auto"/>
      </w:divBdr>
    </w:div>
    <w:div w:id="1386029444">
      <w:bodyDiv w:val="1"/>
      <w:marLeft w:val="0"/>
      <w:marRight w:val="0"/>
      <w:marTop w:val="0"/>
      <w:marBottom w:val="0"/>
      <w:divBdr>
        <w:top w:val="none" w:sz="0" w:space="0" w:color="auto"/>
        <w:left w:val="none" w:sz="0" w:space="0" w:color="auto"/>
        <w:bottom w:val="none" w:sz="0" w:space="0" w:color="auto"/>
        <w:right w:val="none" w:sz="0" w:space="0" w:color="auto"/>
      </w:divBdr>
    </w:div>
    <w:div w:id="1397781753">
      <w:bodyDiv w:val="1"/>
      <w:marLeft w:val="0"/>
      <w:marRight w:val="0"/>
      <w:marTop w:val="0"/>
      <w:marBottom w:val="0"/>
      <w:divBdr>
        <w:top w:val="none" w:sz="0" w:space="0" w:color="auto"/>
        <w:left w:val="none" w:sz="0" w:space="0" w:color="auto"/>
        <w:bottom w:val="none" w:sz="0" w:space="0" w:color="auto"/>
        <w:right w:val="none" w:sz="0" w:space="0" w:color="auto"/>
      </w:divBdr>
    </w:div>
    <w:div w:id="1420054740">
      <w:bodyDiv w:val="1"/>
      <w:marLeft w:val="0"/>
      <w:marRight w:val="0"/>
      <w:marTop w:val="0"/>
      <w:marBottom w:val="0"/>
      <w:divBdr>
        <w:top w:val="none" w:sz="0" w:space="0" w:color="auto"/>
        <w:left w:val="none" w:sz="0" w:space="0" w:color="auto"/>
        <w:bottom w:val="none" w:sz="0" w:space="0" w:color="auto"/>
        <w:right w:val="none" w:sz="0" w:space="0" w:color="auto"/>
      </w:divBdr>
    </w:div>
    <w:div w:id="1438714556">
      <w:bodyDiv w:val="1"/>
      <w:marLeft w:val="0"/>
      <w:marRight w:val="0"/>
      <w:marTop w:val="0"/>
      <w:marBottom w:val="0"/>
      <w:divBdr>
        <w:top w:val="none" w:sz="0" w:space="0" w:color="auto"/>
        <w:left w:val="none" w:sz="0" w:space="0" w:color="auto"/>
        <w:bottom w:val="none" w:sz="0" w:space="0" w:color="auto"/>
        <w:right w:val="none" w:sz="0" w:space="0" w:color="auto"/>
      </w:divBdr>
    </w:div>
    <w:div w:id="1461801653">
      <w:bodyDiv w:val="1"/>
      <w:marLeft w:val="0"/>
      <w:marRight w:val="0"/>
      <w:marTop w:val="0"/>
      <w:marBottom w:val="0"/>
      <w:divBdr>
        <w:top w:val="none" w:sz="0" w:space="0" w:color="auto"/>
        <w:left w:val="none" w:sz="0" w:space="0" w:color="auto"/>
        <w:bottom w:val="none" w:sz="0" w:space="0" w:color="auto"/>
        <w:right w:val="none" w:sz="0" w:space="0" w:color="auto"/>
      </w:divBdr>
    </w:div>
    <w:div w:id="1465351282">
      <w:bodyDiv w:val="1"/>
      <w:marLeft w:val="0"/>
      <w:marRight w:val="0"/>
      <w:marTop w:val="0"/>
      <w:marBottom w:val="0"/>
      <w:divBdr>
        <w:top w:val="none" w:sz="0" w:space="0" w:color="auto"/>
        <w:left w:val="none" w:sz="0" w:space="0" w:color="auto"/>
        <w:bottom w:val="none" w:sz="0" w:space="0" w:color="auto"/>
        <w:right w:val="none" w:sz="0" w:space="0" w:color="auto"/>
      </w:divBdr>
    </w:div>
    <w:div w:id="1499880556">
      <w:bodyDiv w:val="1"/>
      <w:marLeft w:val="0"/>
      <w:marRight w:val="0"/>
      <w:marTop w:val="0"/>
      <w:marBottom w:val="0"/>
      <w:divBdr>
        <w:top w:val="none" w:sz="0" w:space="0" w:color="auto"/>
        <w:left w:val="none" w:sz="0" w:space="0" w:color="auto"/>
        <w:bottom w:val="none" w:sz="0" w:space="0" w:color="auto"/>
        <w:right w:val="none" w:sz="0" w:space="0" w:color="auto"/>
      </w:divBdr>
    </w:div>
    <w:div w:id="1515880372">
      <w:bodyDiv w:val="1"/>
      <w:marLeft w:val="0"/>
      <w:marRight w:val="0"/>
      <w:marTop w:val="0"/>
      <w:marBottom w:val="0"/>
      <w:divBdr>
        <w:top w:val="none" w:sz="0" w:space="0" w:color="auto"/>
        <w:left w:val="none" w:sz="0" w:space="0" w:color="auto"/>
        <w:bottom w:val="none" w:sz="0" w:space="0" w:color="auto"/>
        <w:right w:val="none" w:sz="0" w:space="0" w:color="auto"/>
      </w:divBdr>
    </w:div>
    <w:div w:id="1616792007">
      <w:bodyDiv w:val="1"/>
      <w:marLeft w:val="0"/>
      <w:marRight w:val="0"/>
      <w:marTop w:val="0"/>
      <w:marBottom w:val="0"/>
      <w:divBdr>
        <w:top w:val="none" w:sz="0" w:space="0" w:color="auto"/>
        <w:left w:val="none" w:sz="0" w:space="0" w:color="auto"/>
        <w:bottom w:val="none" w:sz="0" w:space="0" w:color="auto"/>
        <w:right w:val="none" w:sz="0" w:space="0" w:color="auto"/>
      </w:divBdr>
    </w:div>
    <w:div w:id="1624844249">
      <w:bodyDiv w:val="1"/>
      <w:marLeft w:val="0"/>
      <w:marRight w:val="0"/>
      <w:marTop w:val="0"/>
      <w:marBottom w:val="0"/>
      <w:divBdr>
        <w:top w:val="none" w:sz="0" w:space="0" w:color="auto"/>
        <w:left w:val="none" w:sz="0" w:space="0" w:color="auto"/>
        <w:bottom w:val="none" w:sz="0" w:space="0" w:color="auto"/>
        <w:right w:val="none" w:sz="0" w:space="0" w:color="auto"/>
      </w:divBdr>
    </w:div>
    <w:div w:id="1628126815">
      <w:bodyDiv w:val="1"/>
      <w:marLeft w:val="0"/>
      <w:marRight w:val="0"/>
      <w:marTop w:val="0"/>
      <w:marBottom w:val="0"/>
      <w:divBdr>
        <w:top w:val="none" w:sz="0" w:space="0" w:color="auto"/>
        <w:left w:val="none" w:sz="0" w:space="0" w:color="auto"/>
        <w:bottom w:val="none" w:sz="0" w:space="0" w:color="auto"/>
        <w:right w:val="none" w:sz="0" w:space="0" w:color="auto"/>
      </w:divBdr>
    </w:div>
    <w:div w:id="1634557572">
      <w:bodyDiv w:val="1"/>
      <w:marLeft w:val="0"/>
      <w:marRight w:val="0"/>
      <w:marTop w:val="0"/>
      <w:marBottom w:val="0"/>
      <w:divBdr>
        <w:top w:val="none" w:sz="0" w:space="0" w:color="auto"/>
        <w:left w:val="none" w:sz="0" w:space="0" w:color="auto"/>
        <w:bottom w:val="none" w:sz="0" w:space="0" w:color="auto"/>
        <w:right w:val="none" w:sz="0" w:space="0" w:color="auto"/>
      </w:divBdr>
    </w:div>
    <w:div w:id="1719818909">
      <w:bodyDiv w:val="1"/>
      <w:marLeft w:val="0"/>
      <w:marRight w:val="0"/>
      <w:marTop w:val="0"/>
      <w:marBottom w:val="0"/>
      <w:divBdr>
        <w:top w:val="none" w:sz="0" w:space="0" w:color="auto"/>
        <w:left w:val="none" w:sz="0" w:space="0" w:color="auto"/>
        <w:bottom w:val="none" w:sz="0" w:space="0" w:color="auto"/>
        <w:right w:val="none" w:sz="0" w:space="0" w:color="auto"/>
      </w:divBdr>
    </w:div>
    <w:div w:id="1723167296">
      <w:bodyDiv w:val="1"/>
      <w:marLeft w:val="0"/>
      <w:marRight w:val="0"/>
      <w:marTop w:val="0"/>
      <w:marBottom w:val="0"/>
      <w:divBdr>
        <w:top w:val="none" w:sz="0" w:space="0" w:color="auto"/>
        <w:left w:val="none" w:sz="0" w:space="0" w:color="auto"/>
        <w:bottom w:val="none" w:sz="0" w:space="0" w:color="auto"/>
        <w:right w:val="none" w:sz="0" w:space="0" w:color="auto"/>
      </w:divBdr>
    </w:div>
    <w:div w:id="1749645556">
      <w:bodyDiv w:val="1"/>
      <w:marLeft w:val="0"/>
      <w:marRight w:val="0"/>
      <w:marTop w:val="0"/>
      <w:marBottom w:val="0"/>
      <w:divBdr>
        <w:top w:val="none" w:sz="0" w:space="0" w:color="auto"/>
        <w:left w:val="none" w:sz="0" w:space="0" w:color="auto"/>
        <w:bottom w:val="none" w:sz="0" w:space="0" w:color="auto"/>
        <w:right w:val="none" w:sz="0" w:space="0" w:color="auto"/>
      </w:divBdr>
    </w:div>
    <w:div w:id="1766269777">
      <w:bodyDiv w:val="1"/>
      <w:marLeft w:val="0"/>
      <w:marRight w:val="0"/>
      <w:marTop w:val="0"/>
      <w:marBottom w:val="0"/>
      <w:divBdr>
        <w:top w:val="none" w:sz="0" w:space="0" w:color="auto"/>
        <w:left w:val="none" w:sz="0" w:space="0" w:color="auto"/>
        <w:bottom w:val="none" w:sz="0" w:space="0" w:color="auto"/>
        <w:right w:val="none" w:sz="0" w:space="0" w:color="auto"/>
      </w:divBdr>
    </w:div>
    <w:div w:id="1776974152">
      <w:bodyDiv w:val="1"/>
      <w:marLeft w:val="0"/>
      <w:marRight w:val="0"/>
      <w:marTop w:val="0"/>
      <w:marBottom w:val="0"/>
      <w:divBdr>
        <w:top w:val="none" w:sz="0" w:space="0" w:color="auto"/>
        <w:left w:val="none" w:sz="0" w:space="0" w:color="auto"/>
        <w:bottom w:val="none" w:sz="0" w:space="0" w:color="auto"/>
        <w:right w:val="none" w:sz="0" w:space="0" w:color="auto"/>
      </w:divBdr>
    </w:div>
    <w:div w:id="1784298772">
      <w:bodyDiv w:val="1"/>
      <w:marLeft w:val="0"/>
      <w:marRight w:val="0"/>
      <w:marTop w:val="0"/>
      <w:marBottom w:val="0"/>
      <w:divBdr>
        <w:top w:val="none" w:sz="0" w:space="0" w:color="auto"/>
        <w:left w:val="none" w:sz="0" w:space="0" w:color="auto"/>
        <w:bottom w:val="none" w:sz="0" w:space="0" w:color="auto"/>
        <w:right w:val="none" w:sz="0" w:space="0" w:color="auto"/>
      </w:divBdr>
    </w:div>
    <w:div w:id="1789273411">
      <w:bodyDiv w:val="1"/>
      <w:marLeft w:val="0"/>
      <w:marRight w:val="0"/>
      <w:marTop w:val="0"/>
      <w:marBottom w:val="0"/>
      <w:divBdr>
        <w:top w:val="none" w:sz="0" w:space="0" w:color="auto"/>
        <w:left w:val="none" w:sz="0" w:space="0" w:color="auto"/>
        <w:bottom w:val="none" w:sz="0" w:space="0" w:color="auto"/>
        <w:right w:val="none" w:sz="0" w:space="0" w:color="auto"/>
      </w:divBdr>
    </w:div>
    <w:div w:id="1801221883">
      <w:bodyDiv w:val="1"/>
      <w:marLeft w:val="0"/>
      <w:marRight w:val="0"/>
      <w:marTop w:val="0"/>
      <w:marBottom w:val="0"/>
      <w:divBdr>
        <w:top w:val="none" w:sz="0" w:space="0" w:color="auto"/>
        <w:left w:val="none" w:sz="0" w:space="0" w:color="auto"/>
        <w:bottom w:val="none" w:sz="0" w:space="0" w:color="auto"/>
        <w:right w:val="none" w:sz="0" w:space="0" w:color="auto"/>
      </w:divBdr>
    </w:div>
    <w:div w:id="1806511292">
      <w:bodyDiv w:val="1"/>
      <w:marLeft w:val="0"/>
      <w:marRight w:val="0"/>
      <w:marTop w:val="0"/>
      <w:marBottom w:val="0"/>
      <w:divBdr>
        <w:top w:val="none" w:sz="0" w:space="0" w:color="auto"/>
        <w:left w:val="none" w:sz="0" w:space="0" w:color="auto"/>
        <w:bottom w:val="none" w:sz="0" w:space="0" w:color="auto"/>
        <w:right w:val="none" w:sz="0" w:space="0" w:color="auto"/>
      </w:divBdr>
    </w:div>
    <w:div w:id="1857622465">
      <w:bodyDiv w:val="1"/>
      <w:marLeft w:val="0"/>
      <w:marRight w:val="0"/>
      <w:marTop w:val="0"/>
      <w:marBottom w:val="0"/>
      <w:divBdr>
        <w:top w:val="none" w:sz="0" w:space="0" w:color="auto"/>
        <w:left w:val="none" w:sz="0" w:space="0" w:color="auto"/>
        <w:bottom w:val="none" w:sz="0" w:space="0" w:color="auto"/>
        <w:right w:val="none" w:sz="0" w:space="0" w:color="auto"/>
      </w:divBdr>
    </w:div>
    <w:div w:id="1884444010">
      <w:bodyDiv w:val="1"/>
      <w:marLeft w:val="0"/>
      <w:marRight w:val="0"/>
      <w:marTop w:val="0"/>
      <w:marBottom w:val="0"/>
      <w:divBdr>
        <w:top w:val="none" w:sz="0" w:space="0" w:color="auto"/>
        <w:left w:val="none" w:sz="0" w:space="0" w:color="auto"/>
        <w:bottom w:val="none" w:sz="0" w:space="0" w:color="auto"/>
        <w:right w:val="none" w:sz="0" w:space="0" w:color="auto"/>
      </w:divBdr>
    </w:div>
    <w:div w:id="2018582098">
      <w:bodyDiv w:val="1"/>
      <w:marLeft w:val="0"/>
      <w:marRight w:val="0"/>
      <w:marTop w:val="0"/>
      <w:marBottom w:val="0"/>
      <w:divBdr>
        <w:top w:val="none" w:sz="0" w:space="0" w:color="auto"/>
        <w:left w:val="none" w:sz="0" w:space="0" w:color="auto"/>
        <w:bottom w:val="none" w:sz="0" w:space="0" w:color="auto"/>
        <w:right w:val="none" w:sz="0" w:space="0" w:color="auto"/>
      </w:divBdr>
    </w:div>
    <w:div w:id="2030452447">
      <w:bodyDiv w:val="1"/>
      <w:marLeft w:val="0"/>
      <w:marRight w:val="0"/>
      <w:marTop w:val="0"/>
      <w:marBottom w:val="0"/>
      <w:divBdr>
        <w:top w:val="none" w:sz="0" w:space="0" w:color="auto"/>
        <w:left w:val="none" w:sz="0" w:space="0" w:color="auto"/>
        <w:bottom w:val="none" w:sz="0" w:space="0" w:color="auto"/>
        <w:right w:val="none" w:sz="0" w:space="0" w:color="auto"/>
      </w:divBdr>
    </w:div>
    <w:div w:id="2061516304">
      <w:bodyDiv w:val="1"/>
      <w:marLeft w:val="0"/>
      <w:marRight w:val="0"/>
      <w:marTop w:val="0"/>
      <w:marBottom w:val="0"/>
      <w:divBdr>
        <w:top w:val="none" w:sz="0" w:space="0" w:color="auto"/>
        <w:left w:val="none" w:sz="0" w:space="0" w:color="auto"/>
        <w:bottom w:val="none" w:sz="0" w:space="0" w:color="auto"/>
        <w:right w:val="none" w:sz="0" w:space="0" w:color="auto"/>
      </w:divBdr>
    </w:div>
    <w:div w:id="2078548497">
      <w:bodyDiv w:val="1"/>
      <w:marLeft w:val="0"/>
      <w:marRight w:val="0"/>
      <w:marTop w:val="0"/>
      <w:marBottom w:val="0"/>
      <w:divBdr>
        <w:top w:val="none" w:sz="0" w:space="0" w:color="auto"/>
        <w:left w:val="none" w:sz="0" w:space="0" w:color="auto"/>
        <w:bottom w:val="none" w:sz="0" w:space="0" w:color="auto"/>
        <w:right w:val="none" w:sz="0" w:space="0" w:color="auto"/>
      </w:divBdr>
    </w:div>
    <w:div w:id="20814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ilw.com/seminars/JohnNeillCi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Cla16</b:Tag>
    <b:SourceType>JournalArticle</b:SourceType>
    <b:Guid>{0B4D95AE-E89D-43E8-8B88-ADAC73DBF972}</b:Guid>
    <b:Author>
      <b:Author>
        <b:NameList>
          <b:Person>
            <b:Last>Clausing</b:Last>
            <b:First>Kimberly</b:First>
            <b:Middle>A.</b:Middle>
          </b:Person>
        </b:NameList>
      </b:Author>
    </b:Author>
    <b:Title>THE U.S. STATE EXPERIENCE UNDER FORMULARY  APPORTIONMENT: ARE THERE LESSONS  FOR INTERNATIONAL REFORM?</b:Title>
    <b:JournalName>National Tax Journal</b:JournalName>
    <b:Year>2016</b:Year>
    <b:Pages> 353–386</b:Pages>
    <b:Month>June</b:Month>
    <b:Volume>69</b:Volume>
    <b:Issue>2</b:Issue>
    <b:RefOrder>1</b:RefOrder>
  </b:Source>
  <b:Source>
    <b:Tag>VIN18</b:Tag>
    <b:SourceType>JournalArticle</b:SourceType>
    <b:Guid>{A65EDE67-BA72-4CF0-8244-CBEF642D22D5}</b:Guid>
    <b:Author>
      <b:Author>
        <b:Corporate>VINCENT AREL-BUNDOCK, SRINIVAS PARINANDI</b:Corporate>
      </b:Author>
    </b:Author>
    <b:Title>Conditional tax competition in American states</b:Title>
    <b:JournalName>Journal of Public Policy</b:JournalName>
    <b:Year>2018</b:Year>
    <b:Pages>191-220</b:Pages>
    <b:Publisher>Cambridge University Press</b:Publisher>
    <b:Volume>38</b:Volume>
    <b:Issue>2</b:Issue>
    <b:RefOrder>2</b:RefOrder>
  </b:Source>
  <b:Source>
    <b:Tag>Wat20</b:Tag>
    <b:SourceType>DocumentFromInternetSite</b:SourceType>
    <b:Guid>{2A52C726-0E88-444C-B305-C1D08B464D03}</b:Guid>
    <b:Title>Advancing Net Operating Loss Deductions in Phase 4 Business Relief</b:Title>
    <b:Year>2020</b:Year>
    <b:Month>May</b:Month>
    <b:Publisher>Tax Foundation</b:Publisher>
    <b:URL>https://taxfoundation.org/phase-4-coronavirus-relief-net-operating-loss-business-relief/</b:URL>
    <b:Institution>Tax Foundation</b:Institution>
    <b:Author>
      <b:Author>
        <b:NameList>
          <b:Person>
            <b:Last>Watson</b:Last>
            <b:First>Garrett</b:First>
          </b:Person>
        </b:NameList>
      </b:Author>
    </b:Author>
    <b:PeriodicalTitle>FISCAL  FACT</b:PeriodicalTitle>
    <b:Issue>707</b:Issue>
    <b:InternetSiteTitle>FISCAL FACT</b:InternetSiteTitle>
    <b:RefOrder>3</b:RefOrder>
  </b:Source>
  <b:Source>
    <b:Tag>Luc20</b:Tag>
    <b:SourceType>InternetSite</b:SourceType>
    <b:Guid>{08EE702E-0320-4215-80BE-2F99EB3906E9}</b:Guid>
    <b:Author>
      <b:Author>
        <b:NameList>
          <b:Person>
            <b:Last>Lucci</b:Last>
            <b:First>Michael</b:First>
          </b:Person>
        </b:NameList>
      </b:Author>
    </b:Author>
    <b:Title>Reforming Massachusetts Corporate Excise Tax for S Corporations</b:Title>
    <b:InternetSiteTitle>Tax Foundation</b:InternetSiteTitle>
    <b:Year>2020</b:Year>
    <b:Month>January</b:Month>
    <b:Day>21</b:Day>
    <b:URL>https://taxfoundation.org/massachusetts-corporate-excise-tax-s-corporations/</b:URL>
    <b:RefOrder>4</b:RefOrder>
  </b:Source>
  <b:Source>
    <b:Tag>Kei01</b:Tag>
    <b:SourceType>JournalArticle</b:SourceType>
    <b:Guid>{A0843040-038B-436D-B613-D31E48F67D03}</b:Guid>
    <b:Author>
      <b:Author>
        <b:Corporate>Keith R. Ihlanfeldt, David L. Sjoquist</b:Corporate>
      </b:Author>
    </b:Author>
    <b:Title>Conducting an Analysis of Georgia’s Economic Development Tax Incentive Program</b:Title>
    <b:Year>2001</b:Year>
    <b:Month>August</b:Month>
    <b:JournalName>ECONOMIC DEVELOPMENT QUARTERLY</b:JournalName>
    <b:Pages>217-228</b:Pages>
    <b:Publisher>Sage Publications</b:Publisher>
    <b:Volume>15</b:Volume>
    <b:Issue>3</b:Issue>
    <b:RefOrder>5</b:RefOrder>
  </b:Source>
  <b:Source>
    <b:Tag>MOD</b:Tag>
    <b:SourceType>InternetSite</b:SourceType>
    <b:Guid>{BCEA689A-4171-43CD-A07E-1F467FC70C08}</b:Guid>
    <b:Title>MODELS: TAX-PI</b:Title>
    <b:InternetSiteTitle>Regional Economic Models, Inc.</b:InternetSiteTitle>
    <b:URL>https://www.remi.com/model/tax-pi/</b:URL>
    <b:RefOrder>6</b:RefOrder>
  </b:Source>
</b:Sources>
</file>

<file path=customXml/itemProps1.xml><?xml version="1.0" encoding="utf-8"?>
<ds:datastoreItem xmlns:ds="http://schemas.openxmlformats.org/officeDocument/2006/customXml" ds:itemID="{3D2DE6BF-1C8F-414F-9221-22D4728D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27</Pages>
  <Words>7853</Words>
  <Characters>44764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52512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Sunil Pokharel</dc:creator>
  <cp:lastModifiedBy>Liu, Fushang (DOR)</cp:lastModifiedBy>
  <cp:revision>70</cp:revision>
  <cp:lastPrinted>2020-01-28T19:08:00Z</cp:lastPrinted>
  <dcterms:created xsi:type="dcterms:W3CDTF">2021-02-20T04:24:00Z</dcterms:created>
  <dcterms:modified xsi:type="dcterms:W3CDTF">2021-02-23T16:55:00Z</dcterms:modified>
</cp:coreProperties>
</file>