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4894" w14:textId="51688346" w:rsidR="00062768" w:rsidRPr="00FD5382" w:rsidRDefault="00460AE8" w:rsidP="008933CA">
      <w:pPr>
        <w:jc w:val="both"/>
        <w:rPr>
          <w:bCs/>
        </w:rPr>
      </w:pPr>
      <w:r w:rsidRPr="00FD5382">
        <w:rPr>
          <w:bCs/>
        </w:rPr>
        <w:t>247 CMR 22.00</w:t>
      </w:r>
      <w:proofErr w:type="gramStart"/>
      <w:r w:rsidRPr="00FD5382">
        <w:rPr>
          <w:bCs/>
        </w:rPr>
        <w:t xml:space="preserve">:  </w:t>
      </w:r>
      <w:r w:rsidR="00FD5382" w:rsidRPr="00FD5382">
        <w:rPr>
          <w:bCs/>
        </w:rPr>
        <w:tab/>
      </w:r>
      <w:proofErr w:type="gramEnd"/>
      <w:r w:rsidR="00FD5382" w:rsidRPr="00FD5382">
        <w:rPr>
          <w:bCs/>
        </w:rPr>
        <w:t>MONETARY PENALTIES</w:t>
      </w:r>
    </w:p>
    <w:p w14:paraId="1D1E3EE4" w14:textId="77777777" w:rsidR="00062768" w:rsidRPr="00FD5382" w:rsidRDefault="00062768" w:rsidP="008933CA">
      <w:pPr>
        <w:jc w:val="both"/>
        <w:rPr>
          <w:b/>
        </w:rPr>
      </w:pPr>
    </w:p>
    <w:p w14:paraId="2C5F8499" w14:textId="36EF9564" w:rsidR="00062768" w:rsidRDefault="00FD5382" w:rsidP="008933CA">
      <w:pPr>
        <w:jc w:val="both"/>
      </w:pPr>
      <w:r>
        <w:t>Section</w:t>
      </w:r>
    </w:p>
    <w:p w14:paraId="2042ED6E" w14:textId="77777777" w:rsidR="00FD5382" w:rsidRPr="00FD5382" w:rsidRDefault="00FD5382" w:rsidP="008933CA">
      <w:pPr>
        <w:jc w:val="both"/>
      </w:pPr>
    </w:p>
    <w:p w14:paraId="676EBE44" w14:textId="29081108" w:rsidR="00062768" w:rsidRPr="00FD5382" w:rsidRDefault="00062768" w:rsidP="008933CA">
      <w:pPr>
        <w:jc w:val="both"/>
      </w:pPr>
      <w:r w:rsidRPr="00FD5382">
        <w:t>22.01</w:t>
      </w:r>
      <w:r w:rsidR="00FD5382">
        <w:t>:</w:t>
      </w:r>
      <w:r w:rsidRPr="00FD5382">
        <w:tab/>
      </w:r>
      <w:r w:rsidR="003203C5">
        <w:t xml:space="preserve">Authority and </w:t>
      </w:r>
      <w:r w:rsidRPr="00FD5382">
        <w:t>Purpose</w:t>
      </w:r>
    </w:p>
    <w:p w14:paraId="1E862AFF" w14:textId="2741957B" w:rsidR="001643BB" w:rsidRPr="00FD5382" w:rsidRDefault="001643BB" w:rsidP="008933CA">
      <w:pPr>
        <w:jc w:val="both"/>
      </w:pPr>
      <w:r w:rsidRPr="00FD5382">
        <w:t>22.02</w:t>
      </w:r>
      <w:r w:rsidR="00FD5382">
        <w:t>:</w:t>
      </w:r>
      <w:r w:rsidRPr="00FD5382">
        <w:tab/>
      </w:r>
      <w:r w:rsidR="00042842" w:rsidRPr="00042842">
        <w:t xml:space="preserve">Bases for </w:t>
      </w:r>
      <w:r w:rsidR="00116791">
        <w:t xml:space="preserve">Monetary </w:t>
      </w:r>
      <w:r w:rsidR="00E90B13">
        <w:t>Penalties</w:t>
      </w:r>
    </w:p>
    <w:p w14:paraId="1C2C2885" w14:textId="1A1059F1" w:rsidR="001643BB" w:rsidRPr="00FD5382" w:rsidRDefault="008933CA" w:rsidP="008933CA">
      <w:pPr>
        <w:jc w:val="both"/>
      </w:pPr>
      <w:r w:rsidRPr="00FD5382">
        <w:t>22.03</w:t>
      </w:r>
      <w:r w:rsidR="00FD5382">
        <w:t>:</w:t>
      </w:r>
      <w:r w:rsidR="001643BB" w:rsidRPr="00FD5382">
        <w:tab/>
        <w:t>Assessment</w:t>
      </w:r>
      <w:r w:rsidR="00116791">
        <w:t xml:space="preserve"> of Monetary </w:t>
      </w:r>
      <w:r w:rsidR="00E90B13">
        <w:t>Penalties</w:t>
      </w:r>
    </w:p>
    <w:p w14:paraId="651B2C6A" w14:textId="00572641" w:rsidR="008933CA" w:rsidRPr="00FD5382" w:rsidRDefault="008933CA" w:rsidP="008933CA">
      <w:pPr>
        <w:jc w:val="both"/>
      </w:pPr>
      <w:r w:rsidRPr="00FD5382">
        <w:t>22.04</w:t>
      </w:r>
      <w:r w:rsidR="00FD5382">
        <w:t>:</w:t>
      </w:r>
      <w:r w:rsidRPr="00FD5382">
        <w:tab/>
      </w:r>
      <w:r w:rsidR="00415E17">
        <w:t xml:space="preserve">Dollar </w:t>
      </w:r>
      <w:r w:rsidRPr="00FD5382">
        <w:t xml:space="preserve">Amounts </w:t>
      </w:r>
    </w:p>
    <w:p w14:paraId="5E83BDE4" w14:textId="0F2A61FB" w:rsidR="001643BB" w:rsidRPr="00FD5382" w:rsidRDefault="001643BB" w:rsidP="008933CA">
      <w:pPr>
        <w:jc w:val="both"/>
      </w:pPr>
      <w:r w:rsidRPr="00FD5382">
        <w:t>22.05</w:t>
      </w:r>
      <w:r w:rsidR="00FD5382">
        <w:t>:</w:t>
      </w:r>
      <w:r w:rsidRPr="00FD5382">
        <w:tab/>
        <w:t xml:space="preserve">Payment </w:t>
      </w:r>
    </w:p>
    <w:p w14:paraId="7F18B66E" w14:textId="67FD875D" w:rsidR="00062768" w:rsidRPr="00FD5382" w:rsidRDefault="001643BB" w:rsidP="008933CA">
      <w:pPr>
        <w:jc w:val="both"/>
      </w:pPr>
      <w:r w:rsidRPr="00FD5382">
        <w:t>22.06</w:t>
      </w:r>
      <w:r w:rsidR="00FD5382">
        <w:t>:</w:t>
      </w:r>
      <w:r w:rsidRPr="00FD5382">
        <w:tab/>
        <w:t xml:space="preserve">Disciplinary Actions </w:t>
      </w:r>
    </w:p>
    <w:p w14:paraId="282F8C6B" w14:textId="77777777" w:rsidR="00062768" w:rsidRPr="00FD5382" w:rsidRDefault="00062768" w:rsidP="008933CA">
      <w:pPr>
        <w:jc w:val="both"/>
      </w:pPr>
    </w:p>
    <w:p w14:paraId="432ABF9C" w14:textId="1BDFFCAE" w:rsidR="00062768" w:rsidRPr="00FD5382" w:rsidRDefault="00062768" w:rsidP="008933CA">
      <w:pPr>
        <w:jc w:val="both"/>
        <w:rPr>
          <w:bCs/>
          <w:u w:val="single"/>
        </w:rPr>
      </w:pPr>
      <w:r w:rsidRPr="00FD5382">
        <w:rPr>
          <w:bCs/>
          <w:u w:val="single"/>
        </w:rPr>
        <w:t>22.01</w:t>
      </w:r>
      <w:r w:rsidR="00FD5382">
        <w:rPr>
          <w:bCs/>
          <w:u w:val="single"/>
        </w:rPr>
        <w:t>:</w:t>
      </w:r>
      <w:r w:rsidRPr="00FD5382">
        <w:rPr>
          <w:bCs/>
          <w:u w:val="single"/>
        </w:rPr>
        <w:tab/>
      </w:r>
      <w:r w:rsidR="003203C5">
        <w:rPr>
          <w:bCs/>
          <w:u w:val="single"/>
        </w:rPr>
        <w:t xml:space="preserve">Authority and </w:t>
      </w:r>
      <w:r w:rsidRPr="00FD5382">
        <w:rPr>
          <w:bCs/>
          <w:u w:val="single"/>
        </w:rPr>
        <w:t xml:space="preserve">Purpose </w:t>
      </w:r>
    </w:p>
    <w:p w14:paraId="5A059C3C" w14:textId="77777777" w:rsidR="00062768" w:rsidRPr="00FD5382" w:rsidRDefault="00062768" w:rsidP="008933CA">
      <w:pPr>
        <w:jc w:val="both"/>
        <w:rPr>
          <w:b/>
        </w:rPr>
      </w:pPr>
    </w:p>
    <w:p w14:paraId="24479E76" w14:textId="6A0C1898" w:rsidR="00DE2767" w:rsidRPr="00FD5382" w:rsidRDefault="00DE2767" w:rsidP="001439C6">
      <w:pPr>
        <w:ind w:firstLine="720"/>
        <w:jc w:val="both"/>
      </w:pPr>
      <w:r w:rsidRPr="00FD5382">
        <w:t xml:space="preserve">247 CMR 22.00 is promulgated under the authority granted </w:t>
      </w:r>
      <w:r w:rsidR="00E90B13">
        <w:t xml:space="preserve">to </w:t>
      </w:r>
      <w:r w:rsidRPr="00FD5382">
        <w:t>the Board by M.G.L. c. 112, §</w:t>
      </w:r>
      <w:r w:rsidR="008F48E6" w:rsidRPr="00FD5382">
        <w:t>§</w:t>
      </w:r>
      <w:r w:rsidRPr="00FD5382">
        <w:t xml:space="preserve"> </w:t>
      </w:r>
      <w:r w:rsidR="008F48E6" w:rsidRPr="00FD5382">
        <w:t xml:space="preserve">24A &amp; </w:t>
      </w:r>
      <w:r w:rsidRPr="00FD5382">
        <w:t>42D. The purpose of 247 CMR 22.00 is to establish</w:t>
      </w:r>
      <w:r w:rsidR="00012B25" w:rsidRPr="00FD5382">
        <w:t xml:space="preserve"> rules for the assessment of monetary penalties.  </w:t>
      </w:r>
    </w:p>
    <w:p w14:paraId="3A3F53B6" w14:textId="77777777" w:rsidR="00DE2767" w:rsidRPr="00FD5382" w:rsidRDefault="00DE2767" w:rsidP="00FD5382">
      <w:pPr>
        <w:jc w:val="both"/>
        <w:rPr>
          <w:b/>
        </w:rPr>
      </w:pPr>
    </w:p>
    <w:p w14:paraId="2A7B4E60" w14:textId="234070BC" w:rsidR="00062768" w:rsidRPr="00FD5382" w:rsidRDefault="00062768" w:rsidP="00FD5382">
      <w:pPr>
        <w:jc w:val="both"/>
        <w:rPr>
          <w:bCs/>
          <w:u w:val="single"/>
        </w:rPr>
      </w:pPr>
      <w:r w:rsidRPr="00FD5382">
        <w:rPr>
          <w:bCs/>
          <w:u w:val="single"/>
        </w:rPr>
        <w:t>22.02</w:t>
      </w:r>
      <w:r w:rsidR="00FD5382">
        <w:rPr>
          <w:bCs/>
          <w:u w:val="single"/>
        </w:rPr>
        <w:t>:</w:t>
      </w:r>
      <w:r w:rsidRPr="00FD5382">
        <w:rPr>
          <w:bCs/>
          <w:u w:val="single"/>
        </w:rPr>
        <w:tab/>
      </w:r>
      <w:r w:rsidR="00971206" w:rsidRPr="00FD5382">
        <w:rPr>
          <w:bCs/>
          <w:u w:val="single"/>
        </w:rPr>
        <w:t xml:space="preserve">Bases for </w:t>
      </w:r>
      <w:r w:rsidR="00116791">
        <w:rPr>
          <w:bCs/>
          <w:u w:val="single"/>
        </w:rPr>
        <w:t xml:space="preserve">Monetary </w:t>
      </w:r>
      <w:r w:rsidR="00E90B13">
        <w:rPr>
          <w:bCs/>
          <w:u w:val="single"/>
        </w:rPr>
        <w:t>Penalties</w:t>
      </w:r>
    </w:p>
    <w:p w14:paraId="577A89DF" w14:textId="77777777" w:rsidR="00062768" w:rsidRPr="00FD5382" w:rsidRDefault="00062768" w:rsidP="00FD5382">
      <w:pPr>
        <w:jc w:val="both"/>
        <w:rPr>
          <w:b/>
        </w:rPr>
      </w:pPr>
    </w:p>
    <w:p w14:paraId="4DF71BFD" w14:textId="27DA0BCA" w:rsidR="001439C6" w:rsidRDefault="004D2B0E" w:rsidP="00FD5382">
      <w:pPr>
        <w:pStyle w:val="ListParagraph"/>
        <w:numPr>
          <w:ilvl w:val="0"/>
          <w:numId w:val="11"/>
        </w:numPr>
        <w:jc w:val="both"/>
      </w:pPr>
      <w:r>
        <w:t>T</w:t>
      </w:r>
      <w:r w:rsidR="008F48E6" w:rsidRPr="00FD5382">
        <w:t xml:space="preserve">he </w:t>
      </w:r>
      <w:proofErr w:type="gramStart"/>
      <w:r w:rsidR="008F48E6" w:rsidRPr="00FD5382">
        <w:t>Board shall</w:t>
      </w:r>
      <w:proofErr w:type="gramEnd"/>
      <w:r w:rsidR="008F48E6" w:rsidRPr="00FD5382">
        <w:t xml:space="preserve"> assess </w:t>
      </w:r>
      <w:r w:rsidR="00971206" w:rsidRPr="00FD5382">
        <w:t xml:space="preserve">a </w:t>
      </w:r>
      <w:r w:rsidR="00226C3E">
        <w:t xml:space="preserve">monetary </w:t>
      </w:r>
      <w:r w:rsidR="00E90B13" w:rsidRPr="000E7325">
        <w:t xml:space="preserve">penalty </w:t>
      </w:r>
      <w:r w:rsidR="00971206" w:rsidRPr="000E7325">
        <w:t>of</w:t>
      </w:r>
      <w:r w:rsidR="00971206" w:rsidRPr="00FD5382">
        <w:t xml:space="preserve"> not more than $1,000 against </w:t>
      </w:r>
      <w:r w:rsidR="00C441DA">
        <w:t xml:space="preserve">a </w:t>
      </w:r>
      <w:r w:rsidR="008F48E6" w:rsidRPr="00FD5382">
        <w:t xml:space="preserve">pharmacist </w:t>
      </w:r>
      <w:r w:rsidR="00010327">
        <w:t xml:space="preserve">for violation of </w:t>
      </w:r>
      <w:r w:rsidR="00CD3659">
        <w:t>statutes</w:t>
      </w:r>
      <w:r w:rsidR="00CA7AB9">
        <w:t>,</w:t>
      </w:r>
      <w:r w:rsidR="00CD3659">
        <w:t xml:space="preserve"> regulations</w:t>
      </w:r>
      <w:r w:rsidR="00CA7AB9">
        <w:t>, or policies</w:t>
      </w:r>
      <w:r w:rsidR="00CD3659">
        <w:t xml:space="preserve"> setting forth </w:t>
      </w:r>
      <w:r w:rsidR="008F48E6" w:rsidRPr="00FD5382">
        <w:t>continuing education requirements.</w:t>
      </w:r>
    </w:p>
    <w:p w14:paraId="523D2D60" w14:textId="77777777" w:rsidR="001439C6" w:rsidRDefault="001439C6" w:rsidP="001439C6">
      <w:pPr>
        <w:pStyle w:val="ListParagraph"/>
        <w:jc w:val="both"/>
      </w:pPr>
    </w:p>
    <w:p w14:paraId="58D1DBF3" w14:textId="73031813" w:rsidR="001439C6" w:rsidRDefault="00C23D0E" w:rsidP="0056396A">
      <w:pPr>
        <w:pStyle w:val="ListParagraph"/>
        <w:numPr>
          <w:ilvl w:val="0"/>
          <w:numId w:val="11"/>
        </w:numPr>
        <w:jc w:val="both"/>
      </w:pPr>
      <w:r>
        <w:t>T</w:t>
      </w:r>
      <w:r w:rsidR="00DF71DE">
        <w:t xml:space="preserve">he Board may assess a monetary penalty of not more than $25,000 </w:t>
      </w:r>
      <w:r w:rsidR="00971206">
        <w:t xml:space="preserve">against a pharmacy </w:t>
      </w:r>
      <w:r w:rsidR="00DF71DE">
        <w:t xml:space="preserve">for each violation of </w:t>
      </w:r>
      <w:r w:rsidR="009E402E">
        <w:t>statutes</w:t>
      </w:r>
      <w:r w:rsidR="00E25EE4">
        <w:t xml:space="preserve">, </w:t>
      </w:r>
      <w:r w:rsidR="00DF71DE">
        <w:t>regulations</w:t>
      </w:r>
      <w:r>
        <w:t xml:space="preserve">, or </w:t>
      </w:r>
      <w:r w:rsidR="00E25EE4">
        <w:t xml:space="preserve">policies </w:t>
      </w:r>
      <w:r w:rsidR="00DF71DE">
        <w:t xml:space="preserve">that govern the practice of pharmacy.  </w:t>
      </w:r>
    </w:p>
    <w:p w14:paraId="05EFE301" w14:textId="77777777" w:rsidR="001439C6" w:rsidRDefault="001439C6" w:rsidP="001439C6">
      <w:pPr>
        <w:pStyle w:val="ListParagraph"/>
      </w:pPr>
    </w:p>
    <w:p w14:paraId="2DD35577" w14:textId="6323EDF9" w:rsidR="0091171B" w:rsidRPr="00FD5382" w:rsidRDefault="00C23D0E" w:rsidP="0056396A">
      <w:pPr>
        <w:pStyle w:val="ListParagraph"/>
        <w:numPr>
          <w:ilvl w:val="0"/>
          <w:numId w:val="11"/>
        </w:numPr>
        <w:jc w:val="both"/>
      </w:pPr>
      <w:r>
        <w:t>I</w:t>
      </w:r>
      <w:r w:rsidR="0091171B">
        <w:t xml:space="preserve">f a pharmacy fails to correct a violation </w:t>
      </w:r>
      <w:r w:rsidR="50DA7DB9">
        <w:t xml:space="preserve">of </w:t>
      </w:r>
      <w:r w:rsidR="00E25EE4">
        <w:t xml:space="preserve">a </w:t>
      </w:r>
      <w:r w:rsidR="50DA7DB9">
        <w:t>statute</w:t>
      </w:r>
      <w:r w:rsidR="00E25EE4">
        <w:t>,</w:t>
      </w:r>
      <w:r w:rsidR="50DA7DB9">
        <w:t xml:space="preserve"> regulation</w:t>
      </w:r>
      <w:r w:rsidR="00E25EE4">
        <w:t>, or policy</w:t>
      </w:r>
      <w:r w:rsidR="50DA7DB9">
        <w:t xml:space="preserve"> that governs the practice of pharmacy</w:t>
      </w:r>
      <w:r>
        <w:t>,</w:t>
      </w:r>
      <w:r w:rsidR="007B78CA">
        <w:t xml:space="preserve"> </w:t>
      </w:r>
      <w:r w:rsidR="0091171B">
        <w:t xml:space="preserve">the Board may assess a </w:t>
      </w:r>
      <w:r w:rsidR="00226C3E">
        <w:t xml:space="preserve">daily </w:t>
      </w:r>
      <w:r w:rsidR="0091171B">
        <w:t xml:space="preserve">monetary penalty of not more than $1,000 for each violation </w:t>
      </w:r>
      <w:r w:rsidR="00226C3E">
        <w:t xml:space="preserve">that </w:t>
      </w:r>
      <w:r w:rsidR="0091171B">
        <w:t xml:space="preserve">continues to exist beyond the date prescribed for correction. </w:t>
      </w:r>
    </w:p>
    <w:p w14:paraId="1F8279E5" w14:textId="77777777" w:rsidR="00DF71DE" w:rsidRPr="00FD5382" w:rsidRDefault="00DF71DE" w:rsidP="00FD5382">
      <w:pPr>
        <w:jc w:val="both"/>
        <w:rPr>
          <w:b/>
        </w:rPr>
      </w:pPr>
    </w:p>
    <w:p w14:paraId="4DB8855F" w14:textId="2A487966" w:rsidR="00DF71DE" w:rsidRPr="00FD5382" w:rsidRDefault="008933CA" w:rsidP="00FD5382">
      <w:pPr>
        <w:jc w:val="both"/>
        <w:rPr>
          <w:bCs/>
          <w:u w:val="single"/>
        </w:rPr>
      </w:pPr>
      <w:r w:rsidRPr="00FD5382">
        <w:rPr>
          <w:bCs/>
          <w:u w:val="single"/>
        </w:rPr>
        <w:t>22.03</w:t>
      </w:r>
      <w:r w:rsidR="00FD5382">
        <w:rPr>
          <w:bCs/>
          <w:u w:val="single"/>
        </w:rPr>
        <w:t>:</w:t>
      </w:r>
      <w:r w:rsidR="00DF71DE" w:rsidRPr="00FD5382">
        <w:rPr>
          <w:bCs/>
          <w:u w:val="single"/>
        </w:rPr>
        <w:tab/>
      </w:r>
      <w:r w:rsidR="00A360B2" w:rsidRPr="00A360B2">
        <w:rPr>
          <w:bCs/>
          <w:u w:val="single"/>
        </w:rPr>
        <w:t xml:space="preserve">Assessment of Monetary </w:t>
      </w:r>
      <w:r w:rsidR="008E5320">
        <w:rPr>
          <w:bCs/>
          <w:u w:val="single"/>
        </w:rPr>
        <w:t>Penalties</w:t>
      </w:r>
    </w:p>
    <w:p w14:paraId="3AE16002" w14:textId="77777777" w:rsidR="004440A2" w:rsidRPr="00FD5382" w:rsidRDefault="004440A2" w:rsidP="00FD5382">
      <w:pPr>
        <w:jc w:val="both"/>
      </w:pPr>
    </w:p>
    <w:p w14:paraId="732D060A" w14:textId="3189C0C9" w:rsidR="00903F12" w:rsidRPr="00FD5382" w:rsidRDefault="00903F12" w:rsidP="001439C6">
      <w:pPr>
        <w:pStyle w:val="ListParagraph"/>
        <w:numPr>
          <w:ilvl w:val="0"/>
          <w:numId w:val="12"/>
        </w:numPr>
        <w:jc w:val="both"/>
      </w:pPr>
      <w:r w:rsidRPr="001439C6">
        <w:rPr>
          <w:u w:val="single"/>
        </w:rPr>
        <w:t>Notice</w:t>
      </w:r>
    </w:p>
    <w:p w14:paraId="214D9B41" w14:textId="77777777" w:rsidR="00903F12" w:rsidRPr="00FD5382" w:rsidRDefault="00903F12" w:rsidP="00FD5382">
      <w:pPr>
        <w:jc w:val="both"/>
      </w:pPr>
    </w:p>
    <w:p w14:paraId="3949DC90" w14:textId="45D8ECE1" w:rsidR="008F48E6" w:rsidRPr="00FD5382" w:rsidRDefault="00A32330" w:rsidP="001439C6">
      <w:pPr>
        <w:pStyle w:val="ListParagraph"/>
        <w:numPr>
          <w:ilvl w:val="0"/>
          <w:numId w:val="13"/>
        </w:numPr>
        <w:jc w:val="both"/>
      </w:pPr>
      <w:r w:rsidRPr="00FD5382">
        <w:t>A</w:t>
      </w:r>
      <w:r w:rsidR="00A360B2">
        <w:t>n</w:t>
      </w:r>
      <w:r w:rsidRPr="00FD5382">
        <w:t xml:space="preserve"> </w:t>
      </w:r>
      <w:r w:rsidR="0091171B" w:rsidRPr="00FD5382">
        <w:t>Assessment</w:t>
      </w:r>
      <w:r w:rsidR="00A360B2">
        <w:t xml:space="preserve"> of Monetary </w:t>
      </w:r>
      <w:r w:rsidR="00E90B13">
        <w:t>Penalty</w:t>
      </w:r>
      <w:r w:rsidR="00534D42" w:rsidRPr="00FD5382">
        <w:t xml:space="preserve"> </w:t>
      </w:r>
      <w:r w:rsidR="00E34068" w:rsidRPr="00FD5382">
        <w:t xml:space="preserve">Notice </w:t>
      </w:r>
      <w:r w:rsidR="00534D42" w:rsidRPr="00FD5382">
        <w:t>shall</w:t>
      </w:r>
      <w:r w:rsidR="0091171B" w:rsidRPr="00FD5382">
        <w:t xml:space="preserve"> </w:t>
      </w:r>
      <w:r w:rsidR="003A550F">
        <w:t xml:space="preserve">include </w:t>
      </w:r>
      <w:r w:rsidR="008F48E6" w:rsidRPr="00FD5382">
        <w:t xml:space="preserve">the following: </w:t>
      </w:r>
    </w:p>
    <w:p w14:paraId="6EBA77A0" w14:textId="746D5D71" w:rsidR="001439C6" w:rsidRDefault="00012B25" w:rsidP="001439C6">
      <w:pPr>
        <w:pStyle w:val="ListParagraph"/>
        <w:numPr>
          <w:ilvl w:val="0"/>
          <w:numId w:val="14"/>
        </w:numPr>
        <w:jc w:val="both"/>
      </w:pPr>
      <w:r>
        <w:t xml:space="preserve">the </w:t>
      </w:r>
      <w:r w:rsidR="009E402E">
        <w:t>statutes</w:t>
      </w:r>
      <w:r>
        <w:t>,</w:t>
      </w:r>
      <w:r w:rsidR="009E402E">
        <w:t xml:space="preserve"> </w:t>
      </w:r>
      <w:r w:rsidR="00971206">
        <w:t>regulations</w:t>
      </w:r>
      <w:r>
        <w:t xml:space="preserve">, or </w:t>
      </w:r>
      <w:r w:rsidR="00E25EE4">
        <w:t>policies</w:t>
      </w:r>
      <w:r w:rsidR="00971206">
        <w:t xml:space="preserve"> </w:t>
      </w:r>
      <w:r w:rsidR="009E402E">
        <w:t>cited for the alleged violation(s</w:t>
      </w:r>
      <w:proofErr w:type="gramStart"/>
      <w:r w:rsidR="009E402E">
        <w:t>)</w:t>
      </w:r>
      <w:r w:rsidR="008F48E6">
        <w:t>;</w:t>
      </w:r>
      <w:proofErr w:type="gramEnd"/>
    </w:p>
    <w:p w14:paraId="0C87EE5B" w14:textId="1BB3C93A" w:rsidR="001439C6" w:rsidRDefault="003D3181" w:rsidP="001439C6">
      <w:pPr>
        <w:pStyle w:val="ListParagraph"/>
        <w:numPr>
          <w:ilvl w:val="0"/>
          <w:numId w:val="14"/>
        </w:numPr>
        <w:jc w:val="both"/>
      </w:pPr>
      <w:r>
        <w:t xml:space="preserve">a </w:t>
      </w:r>
      <w:r w:rsidR="00A360B2">
        <w:t>description of</w:t>
      </w:r>
      <w:r w:rsidR="008F48E6" w:rsidRPr="00FD5382">
        <w:t xml:space="preserve"> the </w:t>
      </w:r>
      <w:r w:rsidR="00950C50">
        <w:t xml:space="preserve">condition or practice on which the </w:t>
      </w:r>
      <w:r w:rsidR="004F00C9" w:rsidRPr="00FD5382">
        <w:t xml:space="preserve">alleged </w:t>
      </w:r>
      <w:r w:rsidR="00971206" w:rsidRPr="00FD5382">
        <w:t xml:space="preserve">violations </w:t>
      </w:r>
      <w:r w:rsidR="008F48E6" w:rsidRPr="00FD5382">
        <w:t xml:space="preserve">are </w:t>
      </w:r>
      <w:proofErr w:type="gramStart"/>
      <w:r w:rsidR="008F48E6" w:rsidRPr="00FD5382">
        <w:t>based;</w:t>
      </w:r>
      <w:proofErr w:type="gramEnd"/>
    </w:p>
    <w:p w14:paraId="18EEC075" w14:textId="3AFE5AFA" w:rsidR="001439C6" w:rsidRDefault="008F48E6" w:rsidP="001439C6">
      <w:pPr>
        <w:pStyle w:val="ListParagraph"/>
        <w:numPr>
          <w:ilvl w:val="0"/>
          <w:numId w:val="14"/>
        </w:numPr>
        <w:jc w:val="both"/>
      </w:pPr>
      <w:r w:rsidRPr="00FD5382">
        <w:t>the dollar amount of the monetary penalty</w:t>
      </w:r>
      <w:r w:rsidR="00D1551E" w:rsidRPr="00FD5382">
        <w:t xml:space="preserve"> and the acceptable forms of </w:t>
      </w:r>
      <w:proofErr w:type="gramStart"/>
      <w:r w:rsidR="00D1551E" w:rsidRPr="00FD5382">
        <w:t>payment</w:t>
      </w:r>
      <w:r w:rsidRPr="00FD5382">
        <w:t>;</w:t>
      </w:r>
      <w:proofErr w:type="gramEnd"/>
      <w:r w:rsidRPr="00FD5382">
        <w:t xml:space="preserve"> </w:t>
      </w:r>
    </w:p>
    <w:p w14:paraId="444D2FDD" w14:textId="15A55F7C" w:rsidR="001439C6" w:rsidRDefault="004F00C9" w:rsidP="001439C6">
      <w:pPr>
        <w:pStyle w:val="ListParagraph"/>
        <w:numPr>
          <w:ilvl w:val="0"/>
          <w:numId w:val="14"/>
        </w:numPr>
        <w:jc w:val="both"/>
      </w:pPr>
      <w:r w:rsidRPr="00FD5382">
        <w:t xml:space="preserve">the date by which the licensee must pay the monetary </w:t>
      </w:r>
      <w:proofErr w:type="gramStart"/>
      <w:r w:rsidRPr="00FD5382">
        <w:t>penalty</w:t>
      </w:r>
      <w:r w:rsidR="00B677BE" w:rsidRPr="000E7325">
        <w:t>;</w:t>
      </w:r>
      <w:proofErr w:type="gramEnd"/>
    </w:p>
    <w:p w14:paraId="4F183E8E" w14:textId="138CE9CF" w:rsidR="001439C6" w:rsidRDefault="00B677BE" w:rsidP="001439C6">
      <w:pPr>
        <w:pStyle w:val="ListParagraph"/>
        <w:numPr>
          <w:ilvl w:val="0"/>
          <w:numId w:val="14"/>
        </w:numPr>
        <w:jc w:val="both"/>
      </w:pPr>
      <w:r w:rsidRPr="00FD5382">
        <w:t>the date by which the licensee must</w:t>
      </w:r>
      <w:r w:rsidR="004F00C9" w:rsidRPr="00FD5382">
        <w:t xml:space="preserve"> submit a written request for a </w:t>
      </w:r>
      <w:proofErr w:type="gramStart"/>
      <w:r w:rsidR="004F00C9" w:rsidRPr="00FD5382">
        <w:t>hearing;</w:t>
      </w:r>
      <w:proofErr w:type="gramEnd"/>
      <w:r w:rsidR="004F00C9" w:rsidRPr="00FD5382">
        <w:t xml:space="preserve"> </w:t>
      </w:r>
    </w:p>
    <w:p w14:paraId="0D05E6DE" w14:textId="24AB23C9" w:rsidR="001439C6" w:rsidRDefault="003D3181" w:rsidP="001439C6">
      <w:pPr>
        <w:pStyle w:val="ListParagraph"/>
        <w:numPr>
          <w:ilvl w:val="0"/>
          <w:numId w:val="14"/>
        </w:numPr>
        <w:jc w:val="both"/>
      </w:pPr>
      <w:r>
        <w:lastRenderedPageBreak/>
        <w:t xml:space="preserve">that </w:t>
      </w:r>
      <w:r w:rsidR="008F48E6" w:rsidRPr="00FD5382">
        <w:t>the</w:t>
      </w:r>
      <w:r w:rsidR="003A550F">
        <w:t>re is a</w:t>
      </w:r>
      <w:r w:rsidR="008F48E6" w:rsidRPr="00FD5382">
        <w:t xml:space="preserve"> </w:t>
      </w:r>
      <w:r w:rsidR="00AE228C" w:rsidRPr="00FD5382">
        <w:t>right to a h</w:t>
      </w:r>
      <w:r w:rsidR="008F48E6" w:rsidRPr="00FD5382">
        <w:t>earing conducted in accordance with M.G.</w:t>
      </w:r>
      <w:r w:rsidR="00460AE8" w:rsidRPr="00FD5382">
        <w:t xml:space="preserve">L. c. 30A, </w:t>
      </w:r>
      <w:r w:rsidR="00E34068" w:rsidRPr="00FD5382">
        <w:t>801 CMR 1.01</w:t>
      </w:r>
      <w:r w:rsidR="00B677BE" w:rsidRPr="00FD5382">
        <w:t xml:space="preserve">: </w:t>
      </w:r>
      <w:r w:rsidR="00B677BE" w:rsidRPr="001439C6">
        <w:rPr>
          <w:i/>
        </w:rPr>
        <w:t>Formal Rules</w:t>
      </w:r>
      <w:r w:rsidR="00460AE8" w:rsidRPr="00FD5382">
        <w:t>, and 247 CMR 10.00</w:t>
      </w:r>
      <w:r w:rsidR="00CA7AB9">
        <w:t>:</w:t>
      </w:r>
      <w:r w:rsidR="007B78CA">
        <w:t xml:space="preserve"> </w:t>
      </w:r>
      <w:r w:rsidR="007B78CA" w:rsidRPr="007B78CA">
        <w:rPr>
          <w:i/>
          <w:iCs/>
        </w:rPr>
        <w:t>Disciplinary Proceedings</w:t>
      </w:r>
      <w:r w:rsidR="00E34068" w:rsidRPr="00FD5382">
        <w:t>;</w:t>
      </w:r>
      <w:r w:rsidR="004D32CC" w:rsidRPr="00FD5382">
        <w:t xml:space="preserve"> and </w:t>
      </w:r>
    </w:p>
    <w:p w14:paraId="6A66F5EF" w14:textId="56147321" w:rsidR="004D32CC" w:rsidRPr="00FD5382" w:rsidRDefault="003D3181" w:rsidP="001439C6">
      <w:pPr>
        <w:pStyle w:val="ListParagraph"/>
        <w:numPr>
          <w:ilvl w:val="0"/>
          <w:numId w:val="14"/>
        </w:numPr>
        <w:jc w:val="both"/>
      </w:pPr>
      <w:r>
        <w:t xml:space="preserve">that </w:t>
      </w:r>
      <w:r w:rsidR="004D32CC" w:rsidRPr="00FD5382">
        <w:t xml:space="preserve">failure to submit a written request for a hearing </w:t>
      </w:r>
      <w:r w:rsidR="00B677BE" w:rsidRPr="00FD5382">
        <w:t>by the date set forth in the notice</w:t>
      </w:r>
      <w:r w:rsidR="004D32CC" w:rsidRPr="00FD5382">
        <w:t xml:space="preserve"> shall constitute waiver of the right to a hearing.</w:t>
      </w:r>
    </w:p>
    <w:p w14:paraId="0AF5CD89" w14:textId="77777777" w:rsidR="00903F12" w:rsidRPr="00FD5382" w:rsidRDefault="00903F12" w:rsidP="00FD5382">
      <w:pPr>
        <w:jc w:val="both"/>
      </w:pPr>
    </w:p>
    <w:p w14:paraId="12DAAFFA" w14:textId="22A6BF26" w:rsidR="00C24799" w:rsidRPr="00FD5382" w:rsidRDefault="0091171B" w:rsidP="001439C6">
      <w:pPr>
        <w:pStyle w:val="ListParagraph"/>
        <w:numPr>
          <w:ilvl w:val="0"/>
          <w:numId w:val="13"/>
        </w:numPr>
        <w:jc w:val="both"/>
      </w:pPr>
      <w:r w:rsidRPr="00FD5382">
        <w:t>A</w:t>
      </w:r>
      <w:r w:rsidR="003D3181">
        <w:t>n</w:t>
      </w:r>
      <w:r w:rsidR="00C24799" w:rsidRPr="00FD5382">
        <w:t xml:space="preserve"> </w:t>
      </w:r>
      <w:r w:rsidR="00903F12" w:rsidRPr="00FD5382">
        <w:t>Assessment</w:t>
      </w:r>
      <w:r w:rsidR="00460AE8" w:rsidRPr="00FD5382">
        <w:t xml:space="preserve"> </w:t>
      </w:r>
      <w:r w:rsidR="003D3181">
        <w:t xml:space="preserve">of Monetary </w:t>
      </w:r>
      <w:r w:rsidR="008E5320">
        <w:t>Penalty</w:t>
      </w:r>
      <w:r w:rsidR="003D3181">
        <w:t xml:space="preserve"> </w:t>
      </w:r>
      <w:r w:rsidR="00460AE8" w:rsidRPr="00FD5382">
        <w:t>Notice</w:t>
      </w:r>
      <w:r w:rsidR="008F48E6" w:rsidRPr="00FD5382">
        <w:t xml:space="preserve"> </w:t>
      </w:r>
      <w:r w:rsidR="0080012F">
        <w:t>shall</w:t>
      </w:r>
      <w:r w:rsidR="0080012F" w:rsidRPr="00FD5382">
        <w:t xml:space="preserve"> </w:t>
      </w:r>
      <w:r w:rsidR="00C24799" w:rsidRPr="00FD5382">
        <w:t xml:space="preserve">be mailed </w:t>
      </w:r>
      <w:r w:rsidR="003C5038">
        <w:t xml:space="preserve">to the licensee’s address of record </w:t>
      </w:r>
      <w:r w:rsidR="00C24799" w:rsidRPr="00FD5382">
        <w:t xml:space="preserve">by </w:t>
      </w:r>
      <w:r w:rsidR="0080012F">
        <w:t xml:space="preserve">the </w:t>
      </w:r>
      <w:r w:rsidR="00C24799" w:rsidRPr="00FD5382">
        <w:t>United States Postal Service</w:t>
      </w:r>
      <w:r w:rsidR="0080012F">
        <w:t xml:space="preserve"> </w:t>
      </w:r>
      <w:r w:rsidR="00C24799" w:rsidRPr="00FD5382">
        <w:t xml:space="preserve">or comparable private mail </w:t>
      </w:r>
      <w:proofErr w:type="gramStart"/>
      <w:r w:rsidR="00C24799" w:rsidRPr="00FD5382">
        <w:t>servic</w:t>
      </w:r>
      <w:r w:rsidR="008F48E6" w:rsidRPr="00FD5382">
        <w:t>e</w:t>
      </w:r>
      <w:r w:rsidR="003C5038">
        <w:t>, or</w:t>
      </w:r>
      <w:proofErr w:type="gramEnd"/>
      <w:r w:rsidR="003C5038">
        <w:t xml:space="preserve"> </w:t>
      </w:r>
      <w:r w:rsidR="00353C2A">
        <w:t xml:space="preserve">delivered </w:t>
      </w:r>
      <w:r w:rsidR="003C5038">
        <w:t>by email to their email</w:t>
      </w:r>
      <w:r w:rsidR="00677108">
        <w:t xml:space="preserve"> address</w:t>
      </w:r>
      <w:r w:rsidR="003C5038">
        <w:t xml:space="preserve"> of record</w:t>
      </w:r>
      <w:r w:rsidR="00460AE8" w:rsidRPr="00FD5382">
        <w:t>.</w:t>
      </w:r>
      <w:r w:rsidR="00453F71" w:rsidRPr="00FD5382">
        <w:t xml:space="preserve"> </w:t>
      </w:r>
    </w:p>
    <w:p w14:paraId="55E78B9E" w14:textId="77777777" w:rsidR="001439C6" w:rsidRDefault="001439C6" w:rsidP="00FD5382">
      <w:pPr>
        <w:jc w:val="both"/>
      </w:pPr>
    </w:p>
    <w:p w14:paraId="42F20192" w14:textId="0CDDA53F" w:rsidR="00903F12" w:rsidRPr="00FD5382" w:rsidRDefault="00903F12" w:rsidP="001439C6">
      <w:pPr>
        <w:pStyle w:val="ListParagraph"/>
        <w:numPr>
          <w:ilvl w:val="0"/>
          <w:numId w:val="12"/>
        </w:numPr>
        <w:jc w:val="both"/>
      </w:pPr>
      <w:r w:rsidRPr="001439C6">
        <w:rPr>
          <w:u w:val="single"/>
        </w:rPr>
        <w:t>Hearing</w:t>
      </w:r>
      <w:r w:rsidRPr="00FD5382">
        <w:t xml:space="preserve"> </w:t>
      </w:r>
    </w:p>
    <w:p w14:paraId="59331D46" w14:textId="77777777" w:rsidR="00903F12" w:rsidRPr="00FD5382" w:rsidRDefault="00903F12" w:rsidP="00FD5382">
      <w:pPr>
        <w:jc w:val="both"/>
      </w:pPr>
    </w:p>
    <w:p w14:paraId="17AEC7A2" w14:textId="43009941" w:rsidR="001439C6" w:rsidRPr="001439C6" w:rsidRDefault="0091171B" w:rsidP="001439C6">
      <w:pPr>
        <w:pStyle w:val="ListParagraph"/>
        <w:numPr>
          <w:ilvl w:val="0"/>
          <w:numId w:val="15"/>
        </w:numPr>
        <w:jc w:val="both"/>
        <w:rPr>
          <w:color w:val="FF0000"/>
        </w:rPr>
      </w:pPr>
      <w:r w:rsidRPr="00FD5382">
        <w:t xml:space="preserve">Upon </w:t>
      </w:r>
      <w:proofErr w:type="gramStart"/>
      <w:r w:rsidR="00A32330" w:rsidRPr="00FD5382">
        <w:t>written</w:t>
      </w:r>
      <w:proofErr w:type="gramEnd"/>
      <w:r w:rsidR="00A32330" w:rsidRPr="00FD5382">
        <w:t xml:space="preserve"> request </w:t>
      </w:r>
      <w:proofErr w:type="gramStart"/>
      <w:r w:rsidR="00A32330" w:rsidRPr="00FD5382">
        <w:t>of</w:t>
      </w:r>
      <w:proofErr w:type="gramEnd"/>
      <w:r w:rsidR="00A32330" w:rsidRPr="00FD5382">
        <w:t xml:space="preserve"> a licensee</w:t>
      </w:r>
      <w:r w:rsidR="00534D42" w:rsidRPr="00FD5382">
        <w:t xml:space="preserve">, the Board </w:t>
      </w:r>
      <w:r w:rsidR="00534D42" w:rsidRPr="00BC7981">
        <w:t xml:space="preserve">shall afford </w:t>
      </w:r>
      <w:r w:rsidR="0010580D">
        <w:t>an opportunity for</w:t>
      </w:r>
      <w:r w:rsidR="00534D42" w:rsidRPr="00FD5382">
        <w:t xml:space="preserve"> a hearing</w:t>
      </w:r>
      <w:r w:rsidR="00AE228C" w:rsidRPr="00FD5382">
        <w:t>.</w:t>
      </w:r>
      <w:r w:rsidR="002172D0">
        <w:t xml:space="preserve"> The</w:t>
      </w:r>
      <w:r w:rsidR="00DE7ECB">
        <w:t xml:space="preserve"> licensee shall submit a</w:t>
      </w:r>
      <w:r w:rsidR="002172D0">
        <w:t xml:space="preserve"> written request for a hearing within 15 business days of the </w:t>
      </w:r>
      <w:r w:rsidR="002172D0" w:rsidRPr="00415E17">
        <w:t>issuance</w:t>
      </w:r>
      <w:r w:rsidR="002172D0">
        <w:t xml:space="preserve"> of the Assessment of Monetary Penalty Notice.</w:t>
      </w:r>
    </w:p>
    <w:p w14:paraId="1183F9C4" w14:textId="77777777" w:rsidR="001439C6" w:rsidRPr="001439C6" w:rsidRDefault="001439C6" w:rsidP="001439C6">
      <w:pPr>
        <w:pStyle w:val="ListParagraph"/>
        <w:jc w:val="both"/>
        <w:rPr>
          <w:color w:val="FF0000"/>
        </w:rPr>
      </w:pPr>
    </w:p>
    <w:p w14:paraId="26BE0999" w14:textId="7F9322B8" w:rsidR="00903F12" w:rsidRPr="001439C6" w:rsidRDefault="00A32330" w:rsidP="007B78CA">
      <w:pPr>
        <w:pStyle w:val="ListParagraph"/>
        <w:numPr>
          <w:ilvl w:val="0"/>
          <w:numId w:val="15"/>
        </w:numPr>
        <w:spacing w:line="259" w:lineRule="auto"/>
        <w:jc w:val="both"/>
        <w:rPr>
          <w:i/>
          <w:iCs/>
        </w:rPr>
      </w:pPr>
      <w:r>
        <w:t>The hearing sha</w:t>
      </w:r>
      <w:r w:rsidR="00012B25">
        <w:t xml:space="preserve">ll be conducted </w:t>
      </w:r>
      <w:r w:rsidR="00C24799">
        <w:t>in accordance with M.G.L. c. 30A</w:t>
      </w:r>
      <w:r w:rsidR="00460AE8">
        <w:t xml:space="preserve">, </w:t>
      </w:r>
      <w:r w:rsidR="00C24799">
        <w:t>801 CMR 1.01</w:t>
      </w:r>
      <w:r w:rsidR="00B677BE">
        <w:t xml:space="preserve">: </w:t>
      </w:r>
      <w:r w:rsidR="00B677BE" w:rsidRPr="09905BAE">
        <w:rPr>
          <w:i/>
          <w:iCs/>
        </w:rPr>
        <w:t>Formal Rules</w:t>
      </w:r>
      <w:r w:rsidR="00B677BE">
        <w:t>,</w:t>
      </w:r>
      <w:r w:rsidR="00460AE8">
        <w:t xml:space="preserve"> and 247 CMR 10.00</w:t>
      </w:r>
      <w:r w:rsidR="00CA7AB9">
        <w:t>:</w:t>
      </w:r>
      <w:r w:rsidR="00603018">
        <w:t xml:space="preserve"> </w:t>
      </w:r>
      <w:bookmarkStart w:id="0" w:name="_Hlk198731000"/>
      <w:r w:rsidR="2C1E04B1" w:rsidRPr="007B78CA">
        <w:rPr>
          <w:i/>
          <w:iCs/>
        </w:rPr>
        <w:t>Disciplinary Proceedings</w:t>
      </w:r>
      <w:bookmarkEnd w:id="0"/>
      <w:r w:rsidR="625DE502" w:rsidRPr="006502E7">
        <w:t>.</w:t>
      </w:r>
    </w:p>
    <w:p w14:paraId="6382E6F4" w14:textId="77777777" w:rsidR="00D07BC7" w:rsidRPr="00FD5382" w:rsidRDefault="00D07BC7" w:rsidP="00FD5382">
      <w:pPr>
        <w:jc w:val="both"/>
      </w:pPr>
    </w:p>
    <w:p w14:paraId="4F699EC0" w14:textId="31BD1591" w:rsidR="00E76A18" w:rsidRDefault="00903F12" w:rsidP="001439C6">
      <w:pPr>
        <w:pStyle w:val="ListParagraph"/>
        <w:numPr>
          <w:ilvl w:val="0"/>
          <w:numId w:val="12"/>
        </w:numPr>
        <w:jc w:val="both"/>
      </w:pPr>
      <w:r w:rsidRPr="001439C6">
        <w:rPr>
          <w:u w:val="single"/>
        </w:rPr>
        <w:t xml:space="preserve">Final </w:t>
      </w:r>
      <w:r w:rsidR="00460AE8" w:rsidRPr="001439C6">
        <w:rPr>
          <w:u w:val="single"/>
        </w:rPr>
        <w:t>Decision and Order</w:t>
      </w:r>
      <w:r w:rsidR="00460AE8" w:rsidRPr="00FD5382">
        <w:t xml:space="preserve">  </w:t>
      </w:r>
    </w:p>
    <w:p w14:paraId="2A25942D" w14:textId="77777777" w:rsidR="00E76A18" w:rsidRDefault="00E76A18" w:rsidP="00343C58">
      <w:pPr>
        <w:pStyle w:val="ListParagraph"/>
        <w:ind w:left="1080"/>
        <w:jc w:val="both"/>
      </w:pPr>
    </w:p>
    <w:p w14:paraId="2FE31D92" w14:textId="409F2E94" w:rsidR="00903F12" w:rsidRPr="00FD5382" w:rsidRDefault="00903F12" w:rsidP="00343C58">
      <w:pPr>
        <w:ind w:left="1440" w:firstLine="720"/>
        <w:jc w:val="both"/>
      </w:pPr>
      <w:r w:rsidRPr="00FD5382">
        <w:t xml:space="preserve">Upon </w:t>
      </w:r>
      <w:proofErr w:type="gramStart"/>
      <w:r w:rsidRPr="00FD5382">
        <w:t>review of</w:t>
      </w:r>
      <w:proofErr w:type="gramEnd"/>
      <w:r w:rsidRPr="00FD5382">
        <w:t xml:space="preserve"> </w:t>
      </w:r>
      <w:r w:rsidR="00AE228C" w:rsidRPr="00FD5382">
        <w:t>a</w:t>
      </w:r>
      <w:r w:rsidRPr="00FD5382">
        <w:t xml:space="preserve"> tentative decision and any objections and responses to objections that may be filed, the Board shall issue a Final Decision and Order</w:t>
      </w:r>
      <w:r w:rsidR="00460AE8" w:rsidRPr="00FD5382">
        <w:t xml:space="preserve"> in accordance with M.G.L. c. 30A, 801 CMR 1.01</w:t>
      </w:r>
      <w:r w:rsidR="00B677BE" w:rsidRPr="00FD5382">
        <w:t xml:space="preserve">: </w:t>
      </w:r>
      <w:r w:rsidR="00B677BE" w:rsidRPr="00E76A18">
        <w:rPr>
          <w:i/>
        </w:rPr>
        <w:t>Formal Rules</w:t>
      </w:r>
      <w:r w:rsidR="00B677BE" w:rsidRPr="00FD5382">
        <w:t xml:space="preserve">, </w:t>
      </w:r>
      <w:r w:rsidR="00460AE8" w:rsidRPr="00FD5382">
        <w:t>and 247 CMR 10.00</w:t>
      </w:r>
      <w:r w:rsidR="00E83DC0">
        <w:t>:</w:t>
      </w:r>
      <w:r w:rsidR="00603018" w:rsidRPr="00603018">
        <w:rPr>
          <w:i/>
          <w:iCs/>
        </w:rPr>
        <w:t xml:space="preserve"> </w:t>
      </w:r>
      <w:r w:rsidR="00415AF8" w:rsidRPr="00415AF8">
        <w:rPr>
          <w:i/>
          <w:iCs/>
        </w:rPr>
        <w:t>Disciplinary Proceedings</w:t>
      </w:r>
      <w:r w:rsidR="00603018">
        <w:rPr>
          <w:i/>
          <w:iCs/>
        </w:rPr>
        <w:t>.</w:t>
      </w:r>
      <w:r w:rsidR="00460AE8" w:rsidRPr="00FD5382">
        <w:t xml:space="preserve">   </w:t>
      </w:r>
    </w:p>
    <w:p w14:paraId="36F23857" w14:textId="77777777" w:rsidR="00903F12" w:rsidRPr="00FD5382" w:rsidRDefault="00903F12" w:rsidP="00FD5382">
      <w:pPr>
        <w:jc w:val="both"/>
      </w:pPr>
    </w:p>
    <w:p w14:paraId="307B17C5" w14:textId="7DFC88E6" w:rsidR="00A32330" w:rsidRPr="00FD5382" w:rsidRDefault="008933CA" w:rsidP="00FD5382">
      <w:pPr>
        <w:jc w:val="both"/>
        <w:rPr>
          <w:bCs/>
          <w:u w:val="single"/>
        </w:rPr>
      </w:pPr>
      <w:r w:rsidRPr="00FD5382">
        <w:rPr>
          <w:bCs/>
          <w:u w:val="single"/>
        </w:rPr>
        <w:t>22.04</w:t>
      </w:r>
      <w:r w:rsidR="00FD5382">
        <w:rPr>
          <w:bCs/>
          <w:u w:val="single"/>
        </w:rPr>
        <w:t>:</w:t>
      </w:r>
      <w:r w:rsidR="00A32330" w:rsidRPr="00FD5382">
        <w:rPr>
          <w:bCs/>
          <w:u w:val="single"/>
        </w:rPr>
        <w:tab/>
      </w:r>
      <w:r w:rsidR="00415E17">
        <w:rPr>
          <w:bCs/>
          <w:u w:val="single"/>
        </w:rPr>
        <w:t xml:space="preserve">Dollar </w:t>
      </w:r>
      <w:r w:rsidR="00A32330" w:rsidRPr="00FD5382">
        <w:rPr>
          <w:bCs/>
          <w:u w:val="single"/>
        </w:rPr>
        <w:t xml:space="preserve">Amounts </w:t>
      </w:r>
    </w:p>
    <w:p w14:paraId="7D4BB18F" w14:textId="77777777" w:rsidR="00453F71" w:rsidRPr="00FD5382" w:rsidRDefault="00453F71" w:rsidP="00FD5382">
      <w:pPr>
        <w:jc w:val="both"/>
      </w:pPr>
    </w:p>
    <w:p w14:paraId="10095481" w14:textId="31A96674" w:rsidR="00BC7981" w:rsidRDefault="00BC7981" w:rsidP="00FD5382">
      <w:pPr>
        <w:pStyle w:val="ListParagraph"/>
        <w:numPr>
          <w:ilvl w:val="0"/>
          <w:numId w:val="16"/>
        </w:numPr>
        <w:jc w:val="both"/>
      </w:pPr>
      <w:r>
        <w:t>Monetary penalties shall be based on the severity of the violation</w:t>
      </w:r>
      <w:r w:rsidR="008E5320">
        <w:t>(s)</w:t>
      </w:r>
      <w:r>
        <w:t>.</w:t>
      </w:r>
    </w:p>
    <w:p w14:paraId="6FA6B498" w14:textId="77777777" w:rsidR="00BC7981" w:rsidRDefault="00BC7981" w:rsidP="00BC7981">
      <w:pPr>
        <w:pStyle w:val="ListParagraph"/>
        <w:ind w:left="1080"/>
        <w:jc w:val="both"/>
      </w:pPr>
    </w:p>
    <w:p w14:paraId="5DB9922F" w14:textId="59C3F29A" w:rsidR="001439C6" w:rsidRDefault="00AE228C" w:rsidP="00FD5382">
      <w:pPr>
        <w:pStyle w:val="ListParagraph"/>
        <w:numPr>
          <w:ilvl w:val="0"/>
          <w:numId w:val="16"/>
        </w:numPr>
        <w:jc w:val="both"/>
      </w:pPr>
      <w:r w:rsidRPr="00FD5382">
        <w:t xml:space="preserve">The </w:t>
      </w:r>
      <w:r w:rsidR="007C13FD" w:rsidRPr="00FD5382">
        <w:t>Board</w:t>
      </w:r>
      <w:r w:rsidRPr="00FD5382">
        <w:t xml:space="preserve"> may</w:t>
      </w:r>
      <w:r w:rsidR="00453F71" w:rsidRPr="00FD5382">
        <w:t xml:space="preserve"> publish</w:t>
      </w:r>
      <w:r w:rsidR="00044A14">
        <w:t xml:space="preserve"> a</w:t>
      </w:r>
      <w:r w:rsidR="00453F71" w:rsidRPr="00FD5382">
        <w:t xml:space="preserve"> </w:t>
      </w:r>
      <w:r w:rsidR="00BC7981">
        <w:t>list</w:t>
      </w:r>
      <w:r w:rsidR="00BC7981" w:rsidRPr="00FD5382">
        <w:t xml:space="preserve"> </w:t>
      </w:r>
      <w:r w:rsidR="00453F71" w:rsidRPr="00FD5382">
        <w:t xml:space="preserve">of common violations and </w:t>
      </w:r>
      <w:r w:rsidRPr="00FD5382">
        <w:t xml:space="preserve">specific dollar </w:t>
      </w:r>
      <w:r w:rsidR="00453F71" w:rsidRPr="00FD5382">
        <w:t>amounts</w:t>
      </w:r>
      <w:r w:rsidR="00771EBA" w:rsidRPr="00FD5382">
        <w:t xml:space="preserve"> of corresponding </w:t>
      </w:r>
      <w:r w:rsidR="00BC7981">
        <w:t>penalties</w:t>
      </w:r>
      <w:r w:rsidR="00453F71" w:rsidRPr="00FD5382">
        <w:t>.</w:t>
      </w:r>
    </w:p>
    <w:p w14:paraId="6B66112D" w14:textId="77777777" w:rsidR="001439C6" w:rsidRDefault="001439C6" w:rsidP="001439C6">
      <w:pPr>
        <w:pStyle w:val="ListParagraph"/>
        <w:jc w:val="both"/>
      </w:pPr>
    </w:p>
    <w:p w14:paraId="03B041C4" w14:textId="53BF6B36" w:rsidR="001439C6" w:rsidRDefault="00A454DF" w:rsidP="008F12DC">
      <w:pPr>
        <w:pStyle w:val="ListParagraph"/>
        <w:numPr>
          <w:ilvl w:val="0"/>
          <w:numId w:val="16"/>
        </w:numPr>
        <w:jc w:val="both"/>
      </w:pPr>
      <w:r>
        <w:t xml:space="preserve">Monetary </w:t>
      </w:r>
      <w:r w:rsidR="00F10D7C">
        <w:t>penalties</w:t>
      </w:r>
      <w:r>
        <w:t xml:space="preserve"> for violations that are</w:t>
      </w:r>
      <w:r w:rsidRPr="00FD5382">
        <w:t xml:space="preserve"> </w:t>
      </w:r>
      <w:r w:rsidR="00453F71" w:rsidRPr="00FD5382">
        <w:t xml:space="preserve">not </w:t>
      </w:r>
      <w:r w:rsidR="00BC7981">
        <w:t>published</w:t>
      </w:r>
      <w:r w:rsidR="00BC7981" w:rsidRPr="00FD5382">
        <w:t xml:space="preserve"> </w:t>
      </w:r>
      <w:r w:rsidR="00453F71" w:rsidRPr="00FD5382">
        <w:t xml:space="preserve">on the </w:t>
      </w:r>
      <w:r w:rsidR="00BC7981">
        <w:t>list</w:t>
      </w:r>
      <w:r w:rsidR="00BC7981" w:rsidRPr="00FD5382">
        <w:t xml:space="preserve"> </w:t>
      </w:r>
      <w:r w:rsidR="00771EBA" w:rsidRPr="00FD5382">
        <w:t>of common violations shall be determined by the B</w:t>
      </w:r>
      <w:r w:rsidR="00453F71" w:rsidRPr="00FD5382">
        <w:t xml:space="preserve">oard on a </w:t>
      </w:r>
      <w:r w:rsidR="00FD5382" w:rsidRPr="00FD5382">
        <w:t>case-by-case</w:t>
      </w:r>
      <w:r w:rsidR="00453F71" w:rsidRPr="00FD5382">
        <w:t xml:space="preserve"> basis.  </w:t>
      </w:r>
    </w:p>
    <w:p w14:paraId="1BD7A92A" w14:textId="77777777" w:rsidR="001439C6" w:rsidRDefault="001439C6" w:rsidP="001439C6">
      <w:pPr>
        <w:pStyle w:val="ListParagraph"/>
      </w:pPr>
    </w:p>
    <w:p w14:paraId="34E91067" w14:textId="332A917F" w:rsidR="00453F71" w:rsidRPr="00FD5382" w:rsidRDefault="007C13FD" w:rsidP="008F12DC">
      <w:pPr>
        <w:pStyle w:val="ListParagraph"/>
        <w:numPr>
          <w:ilvl w:val="0"/>
          <w:numId w:val="16"/>
        </w:numPr>
        <w:jc w:val="both"/>
      </w:pPr>
      <w:r w:rsidRPr="00FD5382">
        <w:t xml:space="preserve">The Board may assess </w:t>
      </w:r>
      <w:r w:rsidR="00BC7981">
        <w:t>penalties</w:t>
      </w:r>
      <w:r w:rsidR="00BC7981" w:rsidRPr="00FD5382">
        <w:t xml:space="preserve"> </w:t>
      </w:r>
      <w:r w:rsidR="00B677BE" w:rsidRPr="00FD5382">
        <w:t>in an amount higher or lower than the amount on</w:t>
      </w:r>
      <w:r w:rsidRPr="00FD5382">
        <w:t xml:space="preserve"> </w:t>
      </w:r>
      <w:r w:rsidR="003577AE" w:rsidRPr="00FD5382">
        <w:t xml:space="preserve">the </w:t>
      </w:r>
      <w:r w:rsidR="00BC7981">
        <w:t>list</w:t>
      </w:r>
      <w:r w:rsidR="00BC7981" w:rsidRPr="00FD5382">
        <w:t xml:space="preserve"> </w:t>
      </w:r>
      <w:r w:rsidR="00771EBA" w:rsidRPr="00FD5382">
        <w:t>of common violations</w:t>
      </w:r>
      <w:r w:rsidRPr="00FD5382">
        <w:t xml:space="preserve"> if there are aggravating </w:t>
      </w:r>
      <w:r w:rsidR="00B677BE" w:rsidRPr="00FD5382">
        <w:t xml:space="preserve">or mitigating </w:t>
      </w:r>
      <w:r w:rsidRPr="00FD5382">
        <w:t xml:space="preserve">circumstances.  </w:t>
      </w:r>
    </w:p>
    <w:p w14:paraId="6C270A0B" w14:textId="77777777" w:rsidR="00A32330" w:rsidRPr="00FD5382" w:rsidRDefault="00A32330" w:rsidP="00FD5382">
      <w:pPr>
        <w:jc w:val="both"/>
        <w:rPr>
          <w:b/>
        </w:rPr>
      </w:pPr>
    </w:p>
    <w:p w14:paraId="4E9523F7" w14:textId="672E89BB" w:rsidR="00D07BC7" w:rsidRPr="00FD5382" w:rsidRDefault="00B76EA1" w:rsidP="00FD5382">
      <w:pPr>
        <w:jc w:val="both"/>
        <w:rPr>
          <w:bCs/>
          <w:u w:val="single"/>
        </w:rPr>
      </w:pPr>
      <w:r w:rsidRPr="00FD5382">
        <w:rPr>
          <w:bCs/>
          <w:u w:val="single"/>
        </w:rPr>
        <w:t>22.05</w:t>
      </w:r>
      <w:r w:rsidR="00FD5382">
        <w:rPr>
          <w:bCs/>
          <w:u w:val="single"/>
        </w:rPr>
        <w:t xml:space="preserve">: </w:t>
      </w:r>
      <w:r w:rsidRPr="00FD5382">
        <w:rPr>
          <w:bCs/>
          <w:u w:val="single"/>
        </w:rPr>
        <w:t xml:space="preserve">Payment </w:t>
      </w:r>
    </w:p>
    <w:p w14:paraId="4A919099" w14:textId="77777777" w:rsidR="00B76EA1" w:rsidRPr="00FD5382" w:rsidRDefault="00B76EA1" w:rsidP="00FD5382">
      <w:pPr>
        <w:jc w:val="both"/>
        <w:rPr>
          <w:b/>
        </w:rPr>
      </w:pPr>
    </w:p>
    <w:p w14:paraId="240A466A" w14:textId="76C03FDB" w:rsidR="001439C6" w:rsidRDefault="00B677BE" w:rsidP="00FD5382">
      <w:pPr>
        <w:pStyle w:val="ListParagraph"/>
        <w:numPr>
          <w:ilvl w:val="0"/>
          <w:numId w:val="17"/>
        </w:numPr>
        <w:jc w:val="both"/>
      </w:pPr>
      <w:r w:rsidRPr="00FD5382">
        <w:t>If the licensee fails to request a hearing, the</w:t>
      </w:r>
      <w:r w:rsidR="00B76EA1" w:rsidRPr="00FD5382">
        <w:t xml:space="preserve"> </w:t>
      </w:r>
      <w:r w:rsidR="00570C45">
        <w:t xml:space="preserve">monetary </w:t>
      </w:r>
      <w:r w:rsidR="006B2C8D">
        <w:t>penalty</w:t>
      </w:r>
      <w:r w:rsidR="00570C45" w:rsidRPr="00FD5382">
        <w:t xml:space="preserve"> </w:t>
      </w:r>
      <w:r w:rsidR="00B76EA1" w:rsidRPr="00FD5382">
        <w:t xml:space="preserve">shall be due </w:t>
      </w:r>
      <w:r w:rsidR="003577AE" w:rsidRPr="00FD5382">
        <w:t>30</w:t>
      </w:r>
      <w:r w:rsidR="00B76EA1" w:rsidRPr="00FD5382">
        <w:t xml:space="preserve"> </w:t>
      </w:r>
      <w:r w:rsidR="00841218" w:rsidRPr="00FD5382">
        <w:t>calendar</w:t>
      </w:r>
      <w:r w:rsidR="00D1551E" w:rsidRPr="00FD5382">
        <w:t xml:space="preserve"> </w:t>
      </w:r>
      <w:r w:rsidR="00B76EA1" w:rsidRPr="00FD5382">
        <w:t xml:space="preserve">days after issuance of the Assessment </w:t>
      </w:r>
      <w:r w:rsidR="00570C45">
        <w:t xml:space="preserve">of Monetary </w:t>
      </w:r>
      <w:r w:rsidR="006B2C8D">
        <w:t>Penalty</w:t>
      </w:r>
      <w:r w:rsidR="00570C45">
        <w:t xml:space="preserve"> </w:t>
      </w:r>
      <w:r w:rsidR="004E3422" w:rsidRPr="00FD5382">
        <w:t>Notice</w:t>
      </w:r>
      <w:r w:rsidRPr="00FD5382">
        <w:t>.</w:t>
      </w:r>
      <w:r w:rsidR="001439C6">
        <w:t xml:space="preserve"> </w:t>
      </w:r>
    </w:p>
    <w:p w14:paraId="69B8B05D" w14:textId="77777777" w:rsidR="001439C6" w:rsidRDefault="001439C6" w:rsidP="001439C6">
      <w:pPr>
        <w:pStyle w:val="ListParagraph"/>
        <w:jc w:val="both"/>
      </w:pPr>
    </w:p>
    <w:p w14:paraId="0B7DED86" w14:textId="1744A510" w:rsidR="001439C6" w:rsidRPr="001439C6" w:rsidRDefault="00BE403A" w:rsidP="00FD5382">
      <w:pPr>
        <w:pStyle w:val="ListParagraph"/>
        <w:numPr>
          <w:ilvl w:val="0"/>
          <w:numId w:val="17"/>
        </w:numPr>
        <w:jc w:val="both"/>
      </w:pPr>
      <w:r>
        <w:t>If a</w:t>
      </w:r>
      <w:r w:rsidR="003577AE" w:rsidRPr="00FD5382">
        <w:t xml:space="preserve"> hearing</w:t>
      </w:r>
      <w:r>
        <w:t xml:space="preserve"> was conducted</w:t>
      </w:r>
      <w:r w:rsidR="003577AE" w:rsidRPr="00FD5382">
        <w:t xml:space="preserve">, </w:t>
      </w:r>
      <w:r w:rsidR="00F10D7C">
        <w:t>any</w:t>
      </w:r>
      <w:r w:rsidR="00F10D7C" w:rsidRPr="00FD5382">
        <w:t xml:space="preserve"> </w:t>
      </w:r>
      <w:r w:rsidR="006B2C8D">
        <w:t>monetary penalty</w:t>
      </w:r>
      <w:r w:rsidR="006B2C8D" w:rsidRPr="00FD5382">
        <w:t xml:space="preserve"> </w:t>
      </w:r>
      <w:r w:rsidR="00B677BE" w:rsidRPr="00FD5382">
        <w:t xml:space="preserve">shall be due </w:t>
      </w:r>
      <w:r w:rsidR="003577AE" w:rsidRPr="00FD5382">
        <w:t xml:space="preserve">15 </w:t>
      </w:r>
      <w:r w:rsidR="002172D0">
        <w:t>calendar</w:t>
      </w:r>
      <w:r w:rsidR="002172D0" w:rsidRPr="00FD5382">
        <w:t xml:space="preserve"> </w:t>
      </w:r>
      <w:r w:rsidR="003577AE" w:rsidRPr="00FD5382">
        <w:t xml:space="preserve">days following the issuance of a </w:t>
      </w:r>
      <w:r w:rsidR="00DE2767" w:rsidRPr="00FD5382">
        <w:t>Final Decision and Order</w:t>
      </w:r>
      <w:r w:rsidR="00E04FAD" w:rsidRPr="00FD5382">
        <w:t>.</w:t>
      </w:r>
      <w:r w:rsidR="00771EBA" w:rsidRPr="001439C6">
        <w:rPr>
          <w:color w:val="FF0000"/>
        </w:rPr>
        <w:t xml:space="preserve"> </w:t>
      </w:r>
    </w:p>
    <w:p w14:paraId="790DDA7C" w14:textId="77777777" w:rsidR="001439C6" w:rsidRDefault="001439C6" w:rsidP="001439C6">
      <w:pPr>
        <w:pStyle w:val="ListParagraph"/>
      </w:pPr>
    </w:p>
    <w:p w14:paraId="5F4DDE20" w14:textId="2890F183" w:rsidR="00E04FAD" w:rsidRPr="00FD5382" w:rsidRDefault="00771EBA" w:rsidP="00FD5382">
      <w:pPr>
        <w:pStyle w:val="ListParagraph"/>
        <w:numPr>
          <w:ilvl w:val="0"/>
          <w:numId w:val="17"/>
        </w:numPr>
        <w:jc w:val="both"/>
      </w:pPr>
      <w:r w:rsidRPr="00FD5382">
        <w:t xml:space="preserve">The Board and licensee may enter into a written agreement to establish an alternate timeline for payment. A licensee must submit a written request for such an agreement </w:t>
      </w:r>
      <w:r w:rsidR="00D1551E" w:rsidRPr="00FD5382">
        <w:t xml:space="preserve">prior to the date that the </w:t>
      </w:r>
      <w:r w:rsidR="00E56BF0">
        <w:t xml:space="preserve">monetary </w:t>
      </w:r>
      <w:r w:rsidR="006B2C8D">
        <w:t>penalty</w:t>
      </w:r>
      <w:r w:rsidR="00E56BF0" w:rsidRPr="00FD5382">
        <w:t xml:space="preserve"> </w:t>
      </w:r>
      <w:r w:rsidR="00D1551E" w:rsidRPr="00FD5382">
        <w:t>is due</w:t>
      </w:r>
      <w:r w:rsidRPr="00FD5382">
        <w:t xml:space="preserve">. </w:t>
      </w:r>
    </w:p>
    <w:p w14:paraId="057B9E76" w14:textId="77777777" w:rsidR="00DE2767" w:rsidRPr="00FD5382" w:rsidRDefault="00DE2767" w:rsidP="00FD5382">
      <w:pPr>
        <w:jc w:val="both"/>
      </w:pPr>
    </w:p>
    <w:p w14:paraId="727AD0F5" w14:textId="32108D03" w:rsidR="00DE2767" w:rsidRPr="00FD5382" w:rsidRDefault="00DE2767" w:rsidP="00FD5382">
      <w:pPr>
        <w:jc w:val="both"/>
        <w:rPr>
          <w:bCs/>
          <w:u w:val="single"/>
        </w:rPr>
      </w:pPr>
      <w:r w:rsidRPr="00FD5382">
        <w:rPr>
          <w:bCs/>
          <w:u w:val="single"/>
        </w:rPr>
        <w:t>22.06</w:t>
      </w:r>
      <w:r w:rsidR="00FD5382">
        <w:rPr>
          <w:bCs/>
          <w:u w:val="single"/>
        </w:rPr>
        <w:t>:</w:t>
      </w:r>
      <w:r w:rsidRPr="00FD5382">
        <w:rPr>
          <w:bCs/>
          <w:u w:val="single"/>
        </w:rPr>
        <w:tab/>
        <w:t xml:space="preserve">Disciplinary Actions </w:t>
      </w:r>
    </w:p>
    <w:p w14:paraId="6CAF3AC4" w14:textId="77777777" w:rsidR="00DE2767" w:rsidRPr="00FD5382" w:rsidRDefault="00DE2767" w:rsidP="00FD5382">
      <w:pPr>
        <w:jc w:val="both"/>
      </w:pPr>
    </w:p>
    <w:p w14:paraId="2958A58B" w14:textId="75D41CCF" w:rsidR="00C253B6" w:rsidRPr="00C253B6" w:rsidRDefault="00DE2767" w:rsidP="00FD5382">
      <w:pPr>
        <w:pStyle w:val="ListParagraph"/>
        <w:numPr>
          <w:ilvl w:val="0"/>
          <w:numId w:val="10"/>
        </w:numPr>
        <w:jc w:val="both"/>
        <w:rPr>
          <w:color w:val="FF0000"/>
        </w:rPr>
      </w:pPr>
      <w:r>
        <w:t xml:space="preserve">Nothing in this section shall preclude the Board from pursuing </w:t>
      </w:r>
      <w:r w:rsidR="00116791">
        <w:t xml:space="preserve">additional </w:t>
      </w:r>
      <w:r>
        <w:t>disciplinary sanction</w:t>
      </w:r>
      <w:r w:rsidR="00116791">
        <w:t>s</w:t>
      </w:r>
      <w:r>
        <w:t xml:space="preserve"> in accordance with 247 CMR 10.00</w:t>
      </w:r>
      <w:r w:rsidR="00E83DC0">
        <w:t>:</w:t>
      </w:r>
      <w:r w:rsidR="00F27F3F" w:rsidRPr="09905BAE">
        <w:rPr>
          <w:i/>
          <w:iCs/>
        </w:rPr>
        <w:t xml:space="preserve"> </w:t>
      </w:r>
      <w:r w:rsidR="0100D146" w:rsidRPr="09905BAE">
        <w:rPr>
          <w:i/>
          <w:iCs/>
        </w:rPr>
        <w:t>Disciplinary Proceeding</w:t>
      </w:r>
      <w:r w:rsidR="007B78CA">
        <w:rPr>
          <w:i/>
          <w:iCs/>
        </w:rPr>
        <w:t>s</w:t>
      </w:r>
      <w:r w:rsidR="0100D146" w:rsidRPr="09905BAE">
        <w:rPr>
          <w:i/>
          <w:iCs/>
        </w:rPr>
        <w:t>.</w:t>
      </w:r>
      <w:r>
        <w:t xml:space="preserve">  </w:t>
      </w:r>
    </w:p>
    <w:p w14:paraId="77CB6C79" w14:textId="77777777" w:rsidR="00C253B6" w:rsidRPr="00C253B6" w:rsidRDefault="00C253B6" w:rsidP="00C253B6">
      <w:pPr>
        <w:pStyle w:val="ListParagraph"/>
        <w:ind w:left="1080"/>
        <w:jc w:val="both"/>
        <w:rPr>
          <w:color w:val="FF0000"/>
        </w:rPr>
      </w:pPr>
    </w:p>
    <w:p w14:paraId="5CB74FBC" w14:textId="72458CC5" w:rsidR="00771EBA" w:rsidRPr="00C253B6" w:rsidRDefault="0079515B" w:rsidP="00FD5382">
      <w:pPr>
        <w:pStyle w:val="ListParagraph"/>
        <w:numPr>
          <w:ilvl w:val="0"/>
          <w:numId w:val="10"/>
        </w:numPr>
        <w:jc w:val="both"/>
        <w:rPr>
          <w:color w:val="FF0000"/>
        </w:rPr>
      </w:pPr>
      <w:r>
        <w:t>F</w:t>
      </w:r>
      <w:r w:rsidR="00771EBA" w:rsidRPr="00FD5382">
        <w:t xml:space="preserve">ailure to pay </w:t>
      </w:r>
      <w:r w:rsidR="00E56BF0">
        <w:t xml:space="preserve">a monetary </w:t>
      </w:r>
      <w:r w:rsidR="00782441">
        <w:t>penalty</w:t>
      </w:r>
      <w:r w:rsidR="00B677BE" w:rsidRPr="00FD5382">
        <w:t xml:space="preserve"> </w:t>
      </w:r>
      <w:r w:rsidR="00771EBA" w:rsidRPr="00A17436">
        <w:t>i</w:t>
      </w:r>
      <w:r w:rsidR="00771EBA" w:rsidRPr="00FD5382">
        <w:t xml:space="preserve">s grounds for discipline.   </w:t>
      </w:r>
    </w:p>
    <w:p w14:paraId="7F7AD6CE" w14:textId="77777777" w:rsidR="00771EBA" w:rsidRPr="00FD5382" w:rsidRDefault="00771EBA" w:rsidP="00FD5382">
      <w:pPr>
        <w:jc w:val="both"/>
        <w:rPr>
          <w:color w:val="FF0000"/>
        </w:rPr>
      </w:pPr>
    </w:p>
    <w:p w14:paraId="268F922D" w14:textId="77777777" w:rsidR="00D04EEF" w:rsidRPr="00FD5382" w:rsidRDefault="00D04EEF" w:rsidP="00FD5382">
      <w:pPr>
        <w:jc w:val="both"/>
      </w:pPr>
    </w:p>
    <w:p w14:paraId="6CE78D34" w14:textId="77777777" w:rsidR="00D04EEF" w:rsidRPr="00FD5382" w:rsidRDefault="00971206" w:rsidP="00FD5382">
      <w:pPr>
        <w:jc w:val="both"/>
      </w:pPr>
      <w:r w:rsidRPr="00FD5382">
        <w:t>REGULATORY AUTHORITY</w:t>
      </w:r>
    </w:p>
    <w:p w14:paraId="0A210153" w14:textId="77777777" w:rsidR="00971206" w:rsidRPr="00FD5382" w:rsidRDefault="00971206" w:rsidP="00FD5382">
      <w:pPr>
        <w:jc w:val="both"/>
      </w:pPr>
    </w:p>
    <w:p w14:paraId="2F3C8354" w14:textId="1DEB2943" w:rsidR="00971206" w:rsidRPr="00FD5382" w:rsidRDefault="00971206" w:rsidP="00FD5382">
      <w:pPr>
        <w:jc w:val="both"/>
      </w:pPr>
      <w:r w:rsidRPr="00FD5382">
        <w:t>247 CMR 22.00</w:t>
      </w:r>
      <w:proofErr w:type="gramStart"/>
      <w:r w:rsidRPr="00FD5382">
        <w:t>:</w:t>
      </w:r>
      <w:r w:rsidR="00FD5382">
        <w:t xml:space="preserve">  </w:t>
      </w:r>
      <w:r w:rsidRPr="00FD5382">
        <w:t>M</w:t>
      </w:r>
      <w:proofErr w:type="gramEnd"/>
      <w:r w:rsidRPr="00FD5382">
        <w:t>.G.L.</w:t>
      </w:r>
      <w:r w:rsidR="00FD5382">
        <w:t xml:space="preserve"> </w:t>
      </w:r>
      <w:r w:rsidR="00042842">
        <w:t xml:space="preserve">c. </w:t>
      </w:r>
      <w:r w:rsidRPr="00FD5382">
        <w:t>112, §§ 24A and 42D</w:t>
      </w:r>
    </w:p>
    <w:p w14:paraId="3F86ED81" w14:textId="77777777" w:rsidR="00534D42" w:rsidRPr="00FD5382" w:rsidRDefault="00534D42" w:rsidP="00FD5382">
      <w:pPr>
        <w:jc w:val="both"/>
      </w:pPr>
    </w:p>
    <w:p w14:paraId="36524C59" w14:textId="77777777" w:rsidR="00534D42" w:rsidRPr="00FD5382" w:rsidRDefault="00534D42" w:rsidP="00FD5382">
      <w:pPr>
        <w:jc w:val="both"/>
      </w:pPr>
    </w:p>
    <w:p w14:paraId="0E47CE0C" w14:textId="77777777" w:rsidR="00534D42" w:rsidRPr="00FD5382" w:rsidRDefault="00534D42" w:rsidP="00FD5382">
      <w:pPr>
        <w:jc w:val="both"/>
      </w:pPr>
    </w:p>
    <w:p w14:paraId="73B8626C" w14:textId="77777777" w:rsidR="00534D42" w:rsidRPr="00FD5382" w:rsidRDefault="00534D42" w:rsidP="00FD5382">
      <w:pPr>
        <w:jc w:val="both"/>
      </w:pPr>
    </w:p>
    <w:p w14:paraId="03A4AEB1" w14:textId="77777777" w:rsidR="00534D42" w:rsidRPr="00FD5382" w:rsidRDefault="00534D42" w:rsidP="00FD5382">
      <w:pPr>
        <w:jc w:val="both"/>
      </w:pPr>
    </w:p>
    <w:p w14:paraId="5FCE6DAD" w14:textId="77777777" w:rsidR="00534D42" w:rsidRPr="00FD5382" w:rsidRDefault="00534D42" w:rsidP="00FD5382">
      <w:pPr>
        <w:jc w:val="both"/>
      </w:pPr>
    </w:p>
    <w:p w14:paraId="0D527A97" w14:textId="77777777" w:rsidR="00DF71DE" w:rsidRPr="00FD5382" w:rsidRDefault="00DF71DE" w:rsidP="00FD5382">
      <w:pPr>
        <w:jc w:val="both"/>
      </w:pPr>
    </w:p>
    <w:p w14:paraId="3035A62F" w14:textId="77777777" w:rsidR="00DF71DE" w:rsidRPr="00FD5382" w:rsidRDefault="00DF71DE" w:rsidP="00FD5382">
      <w:pPr>
        <w:jc w:val="both"/>
      </w:pPr>
    </w:p>
    <w:p w14:paraId="15351CD0" w14:textId="77777777" w:rsidR="00D20514" w:rsidRPr="00FD5382" w:rsidRDefault="00D20514" w:rsidP="00FD5382">
      <w:pPr>
        <w:jc w:val="both"/>
      </w:pPr>
    </w:p>
    <w:sectPr w:rsidR="00D20514" w:rsidRPr="00FD5382" w:rsidSect="00F7616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8D6A" w14:textId="77777777" w:rsidR="007C579D" w:rsidRDefault="007C579D" w:rsidP="00012B25">
      <w:r>
        <w:separator/>
      </w:r>
    </w:p>
  </w:endnote>
  <w:endnote w:type="continuationSeparator" w:id="0">
    <w:p w14:paraId="5183C25A" w14:textId="77777777" w:rsidR="007C579D" w:rsidRDefault="007C579D" w:rsidP="0001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27983418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7802313" w14:textId="34E7741C" w:rsidR="00B677BE" w:rsidRPr="00EB7CD6" w:rsidRDefault="00DC1F03" w:rsidP="00012B25">
            <w:pPr>
              <w:pStyle w:val="Footer"/>
              <w:jc w:val="center"/>
              <w:rPr>
                <w:sz w:val="22"/>
                <w:szCs w:val="22"/>
              </w:rPr>
            </w:pPr>
            <w:r w:rsidRPr="00EB7CD6">
              <w:rPr>
                <w:sz w:val="22"/>
                <w:szCs w:val="22"/>
              </w:rPr>
              <w:t xml:space="preserve">DRAFT 247 CMR 22.00 (proposed new </w:t>
            </w:r>
            <w:proofErr w:type="gramStart"/>
            <w:r w:rsidRPr="00EB7CD6">
              <w:rPr>
                <w:sz w:val="22"/>
                <w:szCs w:val="22"/>
              </w:rPr>
              <w:t xml:space="preserve">section)   </w:t>
            </w:r>
            <w:proofErr w:type="gramEnd"/>
            <w:r w:rsidRPr="00EB7CD6">
              <w:rPr>
                <w:sz w:val="22"/>
                <w:szCs w:val="22"/>
              </w:rPr>
              <w:t xml:space="preserve">      Board review:</w:t>
            </w:r>
            <w:r w:rsidR="00EB7CD6">
              <w:rPr>
                <w:sz w:val="22"/>
                <w:szCs w:val="22"/>
              </w:rPr>
              <w:t xml:space="preserve"> </w:t>
            </w:r>
            <w:r w:rsidR="00AA7DDD">
              <w:rPr>
                <w:sz w:val="22"/>
                <w:szCs w:val="22"/>
              </w:rPr>
              <w:t>6</w:t>
            </w:r>
            <w:r w:rsidR="00EB7CD6">
              <w:rPr>
                <w:sz w:val="22"/>
                <w:szCs w:val="22"/>
              </w:rPr>
              <w:t>/</w:t>
            </w:r>
            <w:r w:rsidR="00AA7DDD">
              <w:rPr>
                <w:sz w:val="22"/>
                <w:szCs w:val="22"/>
              </w:rPr>
              <w:t>5</w:t>
            </w:r>
            <w:r w:rsidR="00F36EB6">
              <w:rPr>
                <w:sz w:val="22"/>
                <w:szCs w:val="22"/>
              </w:rPr>
              <w:t>/2</w:t>
            </w:r>
            <w:r w:rsidR="00AA7DDD">
              <w:rPr>
                <w:sz w:val="22"/>
                <w:szCs w:val="22"/>
              </w:rPr>
              <w:t>5</w:t>
            </w:r>
            <w:r w:rsidRPr="00EB7CD6">
              <w:rPr>
                <w:sz w:val="22"/>
                <w:szCs w:val="22"/>
              </w:rPr>
              <w:tab/>
            </w:r>
            <w:r w:rsidR="00B677BE" w:rsidRPr="00EB7CD6">
              <w:rPr>
                <w:sz w:val="22"/>
                <w:szCs w:val="22"/>
              </w:rPr>
              <w:t xml:space="preserve">Page </w:t>
            </w:r>
            <w:r w:rsidR="00B677BE" w:rsidRPr="00EB7CD6">
              <w:rPr>
                <w:bCs/>
                <w:sz w:val="22"/>
                <w:szCs w:val="22"/>
              </w:rPr>
              <w:fldChar w:fldCharType="begin"/>
            </w:r>
            <w:r w:rsidR="00B677BE" w:rsidRPr="00EB7CD6">
              <w:rPr>
                <w:bCs/>
                <w:sz w:val="22"/>
                <w:szCs w:val="22"/>
              </w:rPr>
              <w:instrText xml:space="preserve"> PAGE </w:instrText>
            </w:r>
            <w:r w:rsidR="00B677BE" w:rsidRPr="00EB7CD6">
              <w:rPr>
                <w:bCs/>
                <w:sz w:val="22"/>
                <w:szCs w:val="22"/>
              </w:rPr>
              <w:fldChar w:fldCharType="separate"/>
            </w:r>
            <w:r w:rsidR="00B965AD" w:rsidRPr="00EB7CD6">
              <w:rPr>
                <w:bCs/>
                <w:noProof/>
                <w:sz w:val="22"/>
                <w:szCs w:val="22"/>
              </w:rPr>
              <w:t>2</w:t>
            </w:r>
            <w:r w:rsidR="00B677BE" w:rsidRPr="00EB7CD6">
              <w:rPr>
                <w:bCs/>
                <w:sz w:val="22"/>
                <w:szCs w:val="22"/>
              </w:rPr>
              <w:fldChar w:fldCharType="end"/>
            </w:r>
            <w:r w:rsidR="00B677BE" w:rsidRPr="00EB7CD6">
              <w:rPr>
                <w:sz w:val="22"/>
                <w:szCs w:val="22"/>
              </w:rPr>
              <w:t xml:space="preserve"> of </w:t>
            </w:r>
            <w:r w:rsidR="00B677BE" w:rsidRPr="00EB7CD6">
              <w:rPr>
                <w:bCs/>
                <w:sz w:val="22"/>
                <w:szCs w:val="22"/>
              </w:rPr>
              <w:fldChar w:fldCharType="begin"/>
            </w:r>
            <w:r w:rsidR="00B677BE" w:rsidRPr="00EB7CD6">
              <w:rPr>
                <w:bCs/>
                <w:sz w:val="22"/>
                <w:szCs w:val="22"/>
              </w:rPr>
              <w:instrText xml:space="preserve"> NUMPAGES  </w:instrText>
            </w:r>
            <w:r w:rsidR="00B677BE" w:rsidRPr="00EB7CD6">
              <w:rPr>
                <w:bCs/>
                <w:sz w:val="22"/>
                <w:szCs w:val="22"/>
              </w:rPr>
              <w:fldChar w:fldCharType="separate"/>
            </w:r>
            <w:r w:rsidR="00B965AD" w:rsidRPr="00EB7CD6">
              <w:rPr>
                <w:bCs/>
                <w:noProof/>
                <w:sz w:val="22"/>
                <w:szCs w:val="22"/>
              </w:rPr>
              <w:t>3</w:t>
            </w:r>
            <w:r w:rsidR="00B677BE" w:rsidRPr="00EB7CD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9CE519D" w14:textId="77777777" w:rsidR="00B677BE" w:rsidRPr="00DC1F03" w:rsidRDefault="00B67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55C8" w14:textId="77777777" w:rsidR="007C579D" w:rsidRDefault="007C579D" w:rsidP="00012B25">
      <w:r>
        <w:separator/>
      </w:r>
    </w:p>
  </w:footnote>
  <w:footnote w:type="continuationSeparator" w:id="0">
    <w:p w14:paraId="2B8AD14B" w14:textId="77777777" w:rsidR="007C579D" w:rsidRDefault="007C579D" w:rsidP="00012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A326" w14:textId="2E5EBF84" w:rsidR="00B677BE" w:rsidRPr="00FD5382" w:rsidRDefault="00AA7DDD" w:rsidP="00FD5382">
    <w:pPr>
      <w:pStyle w:val="Header"/>
      <w:jc w:val="center"/>
    </w:pPr>
    <w:sdt>
      <w:sdtPr>
        <w:id w:val="-136589753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FACB6E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D5382" w:rsidRPr="00FD5382">
      <w:t>BOARD OF REGISTRATION IN PHARMACY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AB9"/>
    <w:multiLevelType w:val="hybridMultilevel"/>
    <w:tmpl w:val="C60C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613D7"/>
    <w:multiLevelType w:val="hybridMultilevel"/>
    <w:tmpl w:val="A458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532F1"/>
    <w:multiLevelType w:val="hybridMultilevel"/>
    <w:tmpl w:val="5C768654"/>
    <w:lvl w:ilvl="0" w:tplc="71E842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B08A9"/>
    <w:multiLevelType w:val="hybridMultilevel"/>
    <w:tmpl w:val="DAD843D2"/>
    <w:lvl w:ilvl="0" w:tplc="E35E4A68">
      <w:start w:val="1"/>
      <w:numFmt w:val="lowerRoman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24162968"/>
    <w:multiLevelType w:val="hybridMultilevel"/>
    <w:tmpl w:val="8954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150DA"/>
    <w:multiLevelType w:val="hybridMultilevel"/>
    <w:tmpl w:val="01E8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7677F"/>
    <w:multiLevelType w:val="hybridMultilevel"/>
    <w:tmpl w:val="BC28EFF4"/>
    <w:lvl w:ilvl="0" w:tplc="237839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95F27"/>
    <w:multiLevelType w:val="hybridMultilevel"/>
    <w:tmpl w:val="E6F620D4"/>
    <w:lvl w:ilvl="0" w:tplc="8E84CDD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92D3A"/>
    <w:multiLevelType w:val="hybridMultilevel"/>
    <w:tmpl w:val="7C368386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4BAA7BB3"/>
    <w:multiLevelType w:val="hybridMultilevel"/>
    <w:tmpl w:val="76E48C32"/>
    <w:lvl w:ilvl="0" w:tplc="E8686362">
      <w:start w:val="1"/>
      <w:numFmt w:val="lowerLetter"/>
      <w:lvlText w:val="(%1)"/>
      <w:lvlJc w:val="left"/>
      <w:pPr>
        <w:ind w:left="180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F8555DB"/>
    <w:multiLevelType w:val="hybridMultilevel"/>
    <w:tmpl w:val="26805936"/>
    <w:lvl w:ilvl="0" w:tplc="6C0206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13130"/>
    <w:multiLevelType w:val="hybridMultilevel"/>
    <w:tmpl w:val="EC0E839E"/>
    <w:lvl w:ilvl="0" w:tplc="2864F9F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E57A8"/>
    <w:multiLevelType w:val="hybridMultilevel"/>
    <w:tmpl w:val="2352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05B3C"/>
    <w:multiLevelType w:val="hybridMultilevel"/>
    <w:tmpl w:val="FF645EF6"/>
    <w:lvl w:ilvl="0" w:tplc="F4A02042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31359A"/>
    <w:multiLevelType w:val="hybridMultilevel"/>
    <w:tmpl w:val="30E6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20351"/>
    <w:multiLevelType w:val="hybridMultilevel"/>
    <w:tmpl w:val="BD26C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20971"/>
    <w:multiLevelType w:val="hybridMultilevel"/>
    <w:tmpl w:val="45DC8A40"/>
    <w:lvl w:ilvl="0" w:tplc="30548D1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3350696">
    <w:abstractNumId w:val="0"/>
  </w:num>
  <w:num w:numId="2" w16cid:durableId="588006896">
    <w:abstractNumId w:val="11"/>
  </w:num>
  <w:num w:numId="3" w16cid:durableId="1253389295">
    <w:abstractNumId w:val="1"/>
  </w:num>
  <w:num w:numId="4" w16cid:durableId="1645968212">
    <w:abstractNumId w:val="8"/>
  </w:num>
  <w:num w:numId="5" w16cid:durableId="1157184547">
    <w:abstractNumId w:val="15"/>
  </w:num>
  <w:num w:numId="6" w16cid:durableId="1624073862">
    <w:abstractNumId w:val="4"/>
  </w:num>
  <w:num w:numId="7" w16cid:durableId="1449621732">
    <w:abstractNumId w:val="14"/>
  </w:num>
  <w:num w:numId="8" w16cid:durableId="648169405">
    <w:abstractNumId w:val="12"/>
  </w:num>
  <w:num w:numId="9" w16cid:durableId="1091318632">
    <w:abstractNumId w:val="5"/>
  </w:num>
  <w:num w:numId="10" w16cid:durableId="1082145980">
    <w:abstractNumId w:val="13"/>
  </w:num>
  <w:num w:numId="11" w16cid:durableId="105589655">
    <w:abstractNumId w:val="7"/>
  </w:num>
  <w:num w:numId="12" w16cid:durableId="1727144226">
    <w:abstractNumId w:val="2"/>
  </w:num>
  <w:num w:numId="13" w16cid:durableId="1991130310">
    <w:abstractNumId w:val="16"/>
  </w:num>
  <w:num w:numId="14" w16cid:durableId="2061442587">
    <w:abstractNumId w:val="3"/>
  </w:num>
  <w:num w:numId="15" w16cid:durableId="1188178654">
    <w:abstractNumId w:val="9"/>
  </w:num>
  <w:num w:numId="16" w16cid:durableId="940334278">
    <w:abstractNumId w:val="10"/>
  </w:num>
  <w:num w:numId="17" w16cid:durableId="1113524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68"/>
    <w:rsid w:val="00010327"/>
    <w:rsid w:val="00012B25"/>
    <w:rsid w:val="00026DE8"/>
    <w:rsid w:val="00041227"/>
    <w:rsid w:val="00042842"/>
    <w:rsid w:val="00044A14"/>
    <w:rsid w:val="00055800"/>
    <w:rsid w:val="00057B7B"/>
    <w:rsid w:val="00062768"/>
    <w:rsid w:val="000B747F"/>
    <w:rsid w:val="000B7F5D"/>
    <w:rsid w:val="000D53BD"/>
    <w:rsid w:val="000E7325"/>
    <w:rsid w:val="000E754B"/>
    <w:rsid w:val="000F4593"/>
    <w:rsid w:val="0010580D"/>
    <w:rsid w:val="00116791"/>
    <w:rsid w:val="00125995"/>
    <w:rsid w:val="001439C6"/>
    <w:rsid w:val="001643BB"/>
    <w:rsid w:val="001D3B68"/>
    <w:rsid w:val="001D7A1C"/>
    <w:rsid w:val="001E27C0"/>
    <w:rsid w:val="002172D0"/>
    <w:rsid w:val="0022088B"/>
    <w:rsid w:val="00225B92"/>
    <w:rsid w:val="00226C3E"/>
    <w:rsid w:val="00226DEF"/>
    <w:rsid w:val="00250477"/>
    <w:rsid w:val="0029022E"/>
    <w:rsid w:val="002B741E"/>
    <w:rsid w:val="002C4AA2"/>
    <w:rsid w:val="002E07AB"/>
    <w:rsid w:val="002F4C45"/>
    <w:rsid w:val="00307020"/>
    <w:rsid w:val="0031073B"/>
    <w:rsid w:val="0031402B"/>
    <w:rsid w:val="003203C5"/>
    <w:rsid w:val="0033639E"/>
    <w:rsid w:val="00337166"/>
    <w:rsid w:val="00343C58"/>
    <w:rsid w:val="00353C2A"/>
    <w:rsid w:val="003551CC"/>
    <w:rsid w:val="003577AE"/>
    <w:rsid w:val="0039438C"/>
    <w:rsid w:val="003A12BB"/>
    <w:rsid w:val="003A550F"/>
    <w:rsid w:val="003B0062"/>
    <w:rsid w:val="003C5038"/>
    <w:rsid w:val="003D3181"/>
    <w:rsid w:val="0041477E"/>
    <w:rsid w:val="00415AF8"/>
    <w:rsid w:val="00415E17"/>
    <w:rsid w:val="004440A2"/>
    <w:rsid w:val="00445D6F"/>
    <w:rsid w:val="0044665C"/>
    <w:rsid w:val="00447FC8"/>
    <w:rsid w:val="004505F4"/>
    <w:rsid w:val="00453F71"/>
    <w:rsid w:val="00460AE8"/>
    <w:rsid w:val="00460BF3"/>
    <w:rsid w:val="004B1DE3"/>
    <w:rsid w:val="004B4014"/>
    <w:rsid w:val="004D2B0E"/>
    <w:rsid w:val="004D32CC"/>
    <w:rsid w:val="004E3422"/>
    <w:rsid w:val="004F00C9"/>
    <w:rsid w:val="00506FF0"/>
    <w:rsid w:val="00507398"/>
    <w:rsid w:val="0051729A"/>
    <w:rsid w:val="00534D42"/>
    <w:rsid w:val="00552D91"/>
    <w:rsid w:val="00570C45"/>
    <w:rsid w:val="00595A52"/>
    <w:rsid w:val="005A1B68"/>
    <w:rsid w:val="005E12C8"/>
    <w:rsid w:val="005E4FFB"/>
    <w:rsid w:val="00603018"/>
    <w:rsid w:val="006132F9"/>
    <w:rsid w:val="006139D4"/>
    <w:rsid w:val="006206B3"/>
    <w:rsid w:val="006502E7"/>
    <w:rsid w:val="00656DDC"/>
    <w:rsid w:val="0067321C"/>
    <w:rsid w:val="00677108"/>
    <w:rsid w:val="006818B0"/>
    <w:rsid w:val="00691B82"/>
    <w:rsid w:val="00696A18"/>
    <w:rsid w:val="006A7217"/>
    <w:rsid w:val="006B2C8D"/>
    <w:rsid w:val="006B59B0"/>
    <w:rsid w:val="006D1E00"/>
    <w:rsid w:val="006E5C5D"/>
    <w:rsid w:val="00705D58"/>
    <w:rsid w:val="00710F49"/>
    <w:rsid w:val="007273FF"/>
    <w:rsid w:val="00732B62"/>
    <w:rsid w:val="00744707"/>
    <w:rsid w:val="007559EC"/>
    <w:rsid w:val="0076617D"/>
    <w:rsid w:val="007671AF"/>
    <w:rsid w:val="0077175B"/>
    <w:rsid w:val="00771EBA"/>
    <w:rsid w:val="00782441"/>
    <w:rsid w:val="00791381"/>
    <w:rsid w:val="0079515B"/>
    <w:rsid w:val="007A7058"/>
    <w:rsid w:val="007B4CC4"/>
    <w:rsid w:val="007B78CA"/>
    <w:rsid w:val="007C13FD"/>
    <w:rsid w:val="007C579D"/>
    <w:rsid w:val="007D2546"/>
    <w:rsid w:val="007D5ABA"/>
    <w:rsid w:val="007E62C0"/>
    <w:rsid w:val="0080012F"/>
    <w:rsid w:val="00806A0A"/>
    <w:rsid w:val="00826369"/>
    <w:rsid w:val="00835C17"/>
    <w:rsid w:val="00841218"/>
    <w:rsid w:val="008659C2"/>
    <w:rsid w:val="008778CD"/>
    <w:rsid w:val="008916B5"/>
    <w:rsid w:val="008933CA"/>
    <w:rsid w:val="008E5320"/>
    <w:rsid w:val="008E5EF7"/>
    <w:rsid w:val="008E6AF0"/>
    <w:rsid w:val="008F48E6"/>
    <w:rsid w:val="00903F12"/>
    <w:rsid w:val="0091171B"/>
    <w:rsid w:val="0093746D"/>
    <w:rsid w:val="00950C50"/>
    <w:rsid w:val="00953E48"/>
    <w:rsid w:val="00962DBE"/>
    <w:rsid w:val="00971206"/>
    <w:rsid w:val="009B07AD"/>
    <w:rsid w:val="009B0C96"/>
    <w:rsid w:val="009C4635"/>
    <w:rsid w:val="009C4C30"/>
    <w:rsid w:val="009D5F55"/>
    <w:rsid w:val="009E402E"/>
    <w:rsid w:val="009E50FF"/>
    <w:rsid w:val="009F730A"/>
    <w:rsid w:val="009F7634"/>
    <w:rsid w:val="00A01606"/>
    <w:rsid w:val="00A02BCF"/>
    <w:rsid w:val="00A06D57"/>
    <w:rsid w:val="00A17436"/>
    <w:rsid w:val="00A31310"/>
    <w:rsid w:val="00A32330"/>
    <w:rsid w:val="00A360B2"/>
    <w:rsid w:val="00A454DF"/>
    <w:rsid w:val="00A863A6"/>
    <w:rsid w:val="00AA03C2"/>
    <w:rsid w:val="00AA55A8"/>
    <w:rsid w:val="00AA7DDD"/>
    <w:rsid w:val="00AB0AA9"/>
    <w:rsid w:val="00AC0AA0"/>
    <w:rsid w:val="00AC7038"/>
    <w:rsid w:val="00AE228C"/>
    <w:rsid w:val="00AF7EEA"/>
    <w:rsid w:val="00B32D2A"/>
    <w:rsid w:val="00B40D0B"/>
    <w:rsid w:val="00B677BE"/>
    <w:rsid w:val="00B76EA1"/>
    <w:rsid w:val="00B965AD"/>
    <w:rsid w:val="00B975D6"/>
    <w:rsid w:val="00BA4988"/>
    <w:rsid w:val="00BC7981"/>
    <w:rsid w:val="00BD0B41"/>
    <w:rsid w:val="00BD4DED"/>
    <w:rsid w:val="00BD7979"/>
    <w:rsid w:val="00BE403A"/>
    <w:rsid w:val="00BF6464"/>
    <w:rsid w:val="00C051C0"/>
    <w:rsid w:val="00C12BE2"/>
    <w:rsid w:val="00C1716D"/>
    <w:rsid w:val="00C23D0E"/>
    <w:rsid w:val="00C24799"/>
    <w:rsid w:val="00C253B6"/>
    <w:rsid w:val="00C441DA"/>
    <w:rsid w:val="00C53E62"/>
    <w:rsid w:val="00CA7AB9"/>
    <w:rsid w:val="00CC4CDF"/>
    <w:rsid w:val="00CC5297"/>
    <w:rsid w:val="00CD3659"/>
    <w:rsid w:val="00D04B56"/>
    <w:rsid w:val="00D04EEF"/>
    <w:rsid w:val="00D057B0"/>
    <w:rsid w:val="00D07BC7"/>
    <w:rsid w:val="00D1551E"/>
    <w:rsid w:val="00D20514"/>
    <w:rsid w:val="00D40CE4"/>
    <w:rsid w:val="00D4529A"/>
    <w:rsid w:val="00D5525C"/>
    <w:rsid w:val="00D92F73"/>
    <w:rsid w:val="00DC1F03"/>
    <w:rsid w:val="00DD2C1F"/>
    <w:rsid w:val="00DE2767"/>
    <w:rsid w:val="00DE7ECB"/>
    <w:rsid w:val="00DF71DE"/>
    <w:rsid w:val="00DF7EB2"/>
    <w:rsid w:val="00E04FAD"/>
    <w:rsid w:val="00E25EE4"/>
    <w:rsid w:val="00E34068"/>
    <w:rsid w:val="00E3696C"/>
    <w:rsid w:val="00E407AB"/>
    <w:rsid w:val="00E56BF0"/>
    <w:rsid w:val="00E64D5D"/>
    <w:rsid w:val="00E76A18"/>
    <w:rsid w:val="00E83DC0"/>
    <w:rsid w:val="00E90B13"/>
    <w:rsid w:val="00E97A63"/>
    <w:rsid w:val="00EA2100"/>
    <w:rsid w:val="00EB0D59"/>
    <w:rsid w:val="00EB7CD6"/>
    <w:rsid w:val="00EE6208"/>
    <w:rsid w:val="00F073D9"/>
    <w:rsid w:val="00F10D7C"/>
    <w:rsid w:val="00F27F3F"/>
    <w:rsid w:val="00F36EB6"/>
    <w:rsid w:val="00F454F2"/>
    <w:rsid w:val="00F74FA9"/>
    <w:rsid w:val="00F76162"/>
    <w:rsid w:val="00F856B7"/>
    <w:rsid w:val="00F92135"/>
    <w:rsid w:val="00FA279B"/>
    <w:rsid w:val="00FA59CA"/>
    <w:rsid w:val="00FA61CF"/>
    <w:rsid w:val="00FB5B48"/>
    <w:rsid w:val="00FB62DC"/>
    <w:rsid w:val="00FD5382"/>
    <w:rsid w:val="00FD5EF9"/>
    <w:rsid w:val="00FE49D8"/>
    <w:rsid w:val="0100D146"/>
    <w:rsid w:val="0660E122"/>
    <w:rsid w:val="09905BAE"/>
    <w:rsid w:val="0B41F638"/>
    <w:rsid w:val="108F0DDD"/>
    <w:rsid w:val="17617EE5"/>
    <w:rsid w:val="1D814E2F"/>
    <w:rsid w:val="1DC75A3C"/>
    <w:rsid w:val="2C1E04B1"/>
    <w:rsid w:val="50DA7DB9"/>
    <w:rsid w:val="5CC6D069"/>
    <w:rsid w:val="625DE502"/>
    <w:rsid w:val="74E68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E3955E"/>
  <w15:docId w15:val="{ADEBA608-B39A-4270-BBEE-46D67F2C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7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799"/>
    <w:pPr>
      <w:ind w:left="720"/>
      <w:contextualSpacing/>
    </w:pPr>
  </w:style>
  <w:style w:type="character" w:styleId="CommentReference">
    <w:name w:val="annotation reference"/>
    <w:basedOn w:val="DefaultParagraphFont"/>
    <w:rsid w:val="009117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17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171B"/>
  </w:style>
  <w:style w:type="paragraph" w:styleId="CommentSubject">
    <w:name w:val="annotation subject"/>
    <w:basedOn w:val="CommentText"/>
    <w:next w:val="CommentText"/>
    <w:link w:val="CommentSubjectChar"/>
    <w:rsid w:val="00911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171B"/>
    <w:rPr>
      <w:b/>
      <w:bCs/>
    </w:rPr>
  </w:style>
  <w:style w:type="paragraph" w:styleId="BalloonText">
    <w:name w:val="Balloon Text"/>
    <w:basedOn w:val="Normal"/>
    <w:link w:val="BalloonTextChar"/>
    <w:rsid w:val="00911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1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F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12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B2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2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B25"/>
    <w:rPr>
      <w:sz w:val="24"/>
      <w:szCs w:val="24"/>
    </w:rPr>
  </w:style>
  <w:style w:type="paragraph" w:styleId="Revision">
    <w:name w:val="Revision"/>
    <w:hidden/>
    <w:uiPriority w:val="99"/>
    <w:semiHidden/>
    <w:rsid w:val="00FA279B"/>
    <w:rPr>
      <w:sz w:val="24"/>
      <w:szCs w:val="24"/>
    </w:rPr>
  </w:style>
  <w:style w:type="character" w:styleId="Hyperlink">
    <w:name w:val="Hyperlink"/>
    <w:basedOn w:val="DefaultParagraphFont"/>
    <w:unhideWhenUsed/>
    <w:rsid w:val="00415E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c7ec5-87b8-4a5b-a07e-14696fda9a09">
      <Terms xmlns="http://schemas.microsoft.com/office/infopath/2007/PartnerControls"/>
    </lcf76f155ced4ddcb4097134ff3c332f>
    <TaxCatchAll xmlns="36a8ecf2-302a-43bd-92af-05210112c23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73FB612725543B022E32F0D833D28" ma:contentTypeVersion="14" ma:contentTypeDescription="Create a new document." ma:contentTypeScope="" ma:versionID="92585cadc9261c7d43233a3b1e797dee">
  <xsd:schema xmlns:xsd="http://www.w3.org/2001/XMLSchema" xmlns:xs="http://www.w3.org/2001/XMLSchema" xmlns:p="http://schemas.microsoft.com/office/2006/metadata/properties" xmlns:ns2="ef0c7ec5-87b8-4a5b-a07e-14696fda9a09" xmlns:ns3="36a8ecf2-302a-43bd-92af-05210112c23c" targetNamespace="http://schemas.microsoft.com/office/2006/metadata/properties" ma:root="true" ma:fieldsID="9f2ab13d92ec525142933ef2beba6f2d" ns2:_="" ns3:_="">
    <xsd:import namespace="ef0c7ec5-87b8-4a5b-a07e-14696fda9a09"/>
    <xsd:import namespace="36a8ecf2-302a-43bd-92af-05210112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c7ec5-87b8-4a5b-a07e-14696fda9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8ecf2-302a-43bd-92af-05210112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eebc33-8ddf-4f09-8c65-9ca2de4f02c3}" ma:internalName="TaxCatchAll" ma:showField="CatchAllData" ma:web="36a8ecf2-302a-43bd-92af-05210112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25C0E-AD05-4B98-89F6-631B83875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731D4-FEBC-422B-B5B2-B8D2BA810360}">
  <ds:schemaRefs>
    <ds:schemaRef ds:uri="http://schemas.microsoft.com/office/2006/metadata/properties"/>
    <ds:schemaRef ds:uri="http://schemas.microsoft.com/office/infopath/2007/PartnerControls"/>
    <ds:schemaRef ds:uri="ef0c7ec5-87b8-4a5b-a07e-14696fda9a09"/>
    <ds:schemaRef ds:uri="36a8ecf2-302a-43bd-92af-05210112c23c"/>
  </ds:schemaRefs>
</ds:datastoreItem>
</file>

<file path=customXml/itemProps3.xml><?xml version="1.0" encoding="utf-8"?>
<ds:datastoreItem xmlns:ds="http://schemas.openxmlformats.org/officeDocument/2006/customXml" ds:itemID="{3AF2D64A-62E6-40BF-AE7F-F7B6216815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BE6DE-2854-4FEE-8EEA-7C8CF8535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c7ec5-87b8-4a5b-a07e-14696fda9a09"/>
    <ds:schemaRef ds:uri="36a8ecf2-302a-43bd-92af-05210112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694</Words>
  <Characters>3521</Characters>
  <Application>Microsoft Office Word</Application>
  <DocSecurity>0</DocSecurity>
  <Lines>29</Lines>
  <Paragraphs>8</Paragraphs>
  <ScaleCrop>false</ScaleCrop>
  <Company>EOHHS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Richard (DPH)</dc:creator>
  <cp:lastModifiedBy>Chan, Michelle (DPH)</cp:lastModifiedBy>
  <cp:revision>3</cp:revision>
  <cp:lastPrinted>2016-12-05T15:24:00Z</cp:lastPrinted>
  <dcterms:created xsi:type="dcterms:W3CDTF">2025-06-05T13:22:00Z</dcterms:created>
  <dcterms:modified xsi:type="dcterms:W3CDTF">2025-06-05T13:23:00Z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0x010100B8673FB612725543B022E32F0D833D28</vt:lpwstr>
  </property>
  <property fmtid="{D5CDD505-2E9C-101B-9397-08002B2CF9AE}" pid="3" name="MediaServiceImageTags">
    <vt:lpwstr/>
  </property>
</Properties>
</file>