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442F60D3" w14:textId="77777777" w:rsidTr="00D76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1DB938A" w14:textId="77777777" w:rsidR="008C2341" w:rsidRDefault="00BF2F47" w:rsidP="008C2341">
            <w:pPr>
              <w:jc w:val="center"/>
              <w:rPr>
                <w:color w:val="150399"/>
                <w:sz w:val="28"/>
                <w:szCs w:val="28"/>
              </w:rPr>
            </w:pPr>
            <w:r>
              <w:rPr>
                <w:rFonts w:cs="Times New Roman"/>
                <w:sz w:val="24"/>
              </w:rPr>
              <w:t xml:space="preserve"> </w:t>
            </w:r>
            <w:r w:rsidR="005B1BBE" w:rsidRPr="002C2079">
              <w:rPr>
                <w:rFonts w:cs="Times New Roman"/>
                <w:sz w:val="24"/>
              </w:rPr>
              <w:br w:type="page"/>
            </w:r>
            <w:r w:rsidR="008C2341" w:rsidRPr="008C2341">
              <w:rPr>
                <w:color w:val="150399"/>
                <w:sz w:val="28"/>
                <w:szCs w:val="28"/>
              </w:rPr>
              <w:t xml:space="preserve">PROPOSED MASSACHUSETTS TAX EXPENDITURES </w:t>
            </w:r>
          </w:p>
          <w:p w14:paraId="0FB80C0C"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22B2E607" w14:textId="77777777" w:rsidR="004B14D0" w:rsidRPr="004B14D0" w:rsidRDefault="004B14D0" w:rsidP="00565D22">
            <w:pPr>
              <w:rPr>
                <w:color w:val="150399"/>
                <w:sz w:val="28"/>
                <w:szCs w:val="28"/>
              </w:rPr>
            </w:pPr>
          </w:p>
        </w:tc>
      </w:tr>
      <w:tr w:rsidR="005B1BBE" w:rsidRPr="002C2079" w14:paraId="3957525B" w14:textId="77777777" w:rsidTr="00D76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8A26706"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5B1BBE" w:rsidRPr="002C2079" w14:paraId="031C7527" w14:textId="77777777" w:rsidTr="00E10004">
        <w:trPr>
          <w:trHeight w:val="360"/>
        </w:trPr>
        <w:tc>
          <w:tcPr>
            <w:tcW w:w="4788" w:type="dxa"/>
          </w:tcPr>
          <w:p w14:paraId="65FF4C97" w14:textId="77777777" w:rsidR="005B1BBE" w:rsidRPr="002C2079" w:rsidRDefault="005B1BBE" w:rsidP="005B1BBE">
            <w:pPr>
              <w:tabs>
                <w:tab w:val="left" w:pos="7050"/>
              </w:tabs>
              <w:rPr>
                <w:rFonts w:asciiTheme="majorHAnsi" w:hAnsiTheme="majorHAnsi"/>
              </w:rPr>
            </w:pPr>
          </w:p>
        </w:tc>
        <w:tc>
          <w:tcPr>
            <w:tcW w:w="4770" w:type="dxa"/>
          </w:tcPr>
          <w:p w14:paraId="0E2A2D67" w14:textId="77777777" w:rsidR="005B1BBE" w:rsidRPr="002C2079" w:rsidRDefault="005B1BBE" w:rsidP="005B1BBE">
            <w:pPr>
              <w:tabs>
                <w:tab w:val="left" w:pos="7050"/>
              </w:tabs>
              <w:rPr>
                <w:rFonts w:asciiTheme="majorHAnsi" w:hAnsiTheme="majorHAnsi"/>
              </w:rPr>
            </w:pPr>
          </w:p>
        </w:tc>
      </w:tr>
      <w:tr w:rsidR="005B1BBE" w:rsidRPr="002C2079" w14:paraId="4EDD2ABC" w14:textId="77777777" w:rsidTr="00E10004">
        <w:tc>
          <w:tcPr>
            <w:tcW w:w="4788" w:type="dxa"/>
          </w:tcPr>
          <w:p w14:paraId="75C71D80"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72C3AA84" w14:textId="77777777" w:rsidR="005B1BBE" w:rsidRPr="002C2079" w:rsidRDefault="005B1BBE" w:rsidP="005B1BBE">
            <w:pPr>
              <w:tabs>
                <w:tab w:val="left" w:pos="7050"/>
              </w:tabs>
              <w:rPr>
                <w:rFonts w:asciiTheme="majorHAnsi" w:hAnsiTheme="majorHAnsi"/>
              </w:rPr>
            </w:pPr>
          </w:p>
        </w:tc>
        <w:tc>
          <w:tcPr>
            <w:tcW w:w="4770" w:type="dxa"/>
          </w:tcPr>
          <w:p w14:paraId="577173D3" w14:textId="77777777" w:rsidR="005B1BBE" w:rsidRDefault="005A537C" w:rsidP="005B1BBE">
            <w:pPr>
              <w:tabs>
                <w:tab w:val="left" w:pos="7050"/>
              </w:tabs>
              <w:rPr>
                <w:rFonts w:asciiTheme="majorHAnsi" w:hAnsiTheme="majorHAnsi"/>
              </w:rPr>
            </w:pPr>
            <w:r w:rsidRPr="005A537C">
              <w:rPr>
                <w:rFonts w:asciiTheme="majorHAnsi" w:hAnsiTheme="majorHAnsi"/>
              </w:rPr>
              <w:t xml:space="preserve">Exemption for Property Subject to Local Taxation </w:t>
            </w:r>
          </w:p>
          <w:p w14:paraId="367558D1" w14:textId="77777777" w:rsidR="005A537C" w:rsidRPr="002C2079" w:rsidRDefault="005A537C" w:rsidP="005B1BBE">
            <w:pPr>
              <w:tabs>
                <w:tab w:val="left" w:pos="7050"/>
              </w:tabs>
              <w:rPr>
                <w:rFonts w:asciiTheme="majorHAnsi" w:hAnsiTheme="majorHAnsi"/>
              </w:rPr>
            </w:pPr>
          </w:p>
        </w:tc>
      </w:tr>
      <w:tr w:rsidR="005B1BBE" w:rsidRPr="002C2079" w14:paraId="1F309B08" w14:textId="77777777" w:rsidTr="00E10004">
        <w:tc>
          <w:tcPr>
            <w:tcW w:w="4788" w:type="dxa"/>
          </w:tcPr>
          <w:p w14:paraId="15BD3BDA"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17ADCD99" w14:textId="77777777" w:rsidR="005B1BBE" w:rsidRPr="002C2079" w:rsidRDefault="005B1BBE" w:rsidP="005B1BBE">
            <w:pPr>
              <w:tabs>
                <w:tab w:val="left" w:pos="7050"/>
              </w:tabs>
              <w:rPr>
                <w:rFonts w:asciiTheme="majorHAnsi" w:hAnsiTheme="majorHAnsi"/>
              </w:rPr>
            </w:pPr>
          </w:p>
        </w:tc>
        <w:tc>
          <w:tcPr>
            <w:tcW w:w="4770" w:type="dxa"/>
          </w:tcPr>
          <w:p w14:paraId="01B5314A" w14:textId="77777777" w:rsidR="005B1BBE" w:rsidRPr="002C2079" w:rsidRDefault="005A537C" w:rsidP="005B1BBE">
            <w:pPr>
              <w:tabs>
                <w:tab w:val="left" w:pos="7050"/>
              </w:tabs>
              <w:rPr>
                <w:rFonts w:asciiTheme="majorHAnsi" w:hAnsiTheme="majorHAnsi"/>
              </w:rPr>
            </w:pPr>
            <w:r>
              <w:rPr>
                <w:rFonts w:asciiTheme="majorHAnsi" w:hAnsiTheme="majorHAnsi"/>
              </w:rPr>
              <w:t>2.502</w:t>
            </w:r>
          </w:p>
        </w:tc>
      </w:tr>
      <w:tr w:rsidR="005B1BBE" w:rsidRPr="002C2079" w14:paraId="791EA1D7" w14:textId="77777777" w:rsidTr="00E10004">
        <w:tc>
          <w:tcPr>
            <w:tcW w:w="4788" w:type="dxa"/>
          </w:tcPr>
          <w:p w14:paraId="26B84FC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07D8ABC2" w14:textId="77777777" w:rsidR="005B1BBE" w:rsidRPr="002C2079" w:rsidRDefault="005B1BBE" w:rsidP="005B1BBE">
            <w:pPr>
              <w:tabs>
                <w:tab w:val="left" w:pos="7050"/>
              </w:tabs>
              <w:rPr>
                <w:rFonts w:asciiTheme="majorHAnsi" w:hAnsiTheme="majorHAnsi"/>
              </w:rPr>
            </w:pPr>
          </w:p>
        </w:tc>
        <w:tc>
          <w:tcPr>
            <w:tcW w:w="4770" w:type="dxa"/>
          </w:tcPr>
          <w:p w14:paraId="1E41E2A2" w14:textId="77777777" w:rsidR="005B1BBE" w:rsidRDefault="00024896" w:rsidP="00BB0DC9">
            <w:pPr>
              <w:tabs>
                <w:tab w:val="left" w:pos="7050"/>
              </w:tabs>
              <w:rPr>
                <w:rFonts w:asciiTheme="majorHAnsi" w:hAnsiTheme="majorHAnsi"/>
              </w:rPr>
            </w:pPr>
            <w:r>
              <w:rPr>
                <w:rFonts w:asciiTheme="majorHAnsi" w:hAnsiTheme="majorHAnsi"/>
              </w:rPr>
              <w:t>Exemption for property subject to local taxation</w:t>
            </w:r>
            <w:r w:rsidR="005B1BBE" w:rsidRPr="002C2079">
              <w:rPr>
                <w:rFonts w:asciiTheme="majorHAnsi" w:hAnsiTheme="majorHAnsi"/>
              </w:rPr>
              <w:t xml:space="preserve"> </w:t>
            </w:r>
            <w:r w:rsidR="005B1BBE" w:rsidRPr="002C2079">
              <w:rPr>
                <w:rFonts w:asciiTheme="majorHAnsi" w:hAnsiTheme="majorHAnsi"/>
                <w:i/>
              </w:rPr>
              <w:t>(</w:t>
            </w:r>
            <w:r w:rsidR="008C2341">
              <w:rPr>
                <w:rFonts w:asciiTheme="majorHAnsi" w:hAnsiTheme="majorHAnsi"/>
                <w:i/>
              </w:rPr>
              <w:t xml:space="preserve">corporate </w:t>
            </w:r>
            <w:r w:rsidR="005B1BBE" w:rsidRPr="002C2079">
              <w:rPr>
                <w:rFonts w:asciiTheme="majorHAnsi" w:hAnsiTheme="majorHAnsi"/>
                <w:i/>
              </w:rPr>
              <w:t>and business tax)</w:t>
            </w:r>
            <w:r w:rsidR="00BB0DC9" w:rsidRPr="002C2079">
              <w:rPr>
                <w:rFonts w:asciiTheme="majorHAnsi" w:hAnsiTheme="majorHAnsi"/>
              </w:rPr>
              <w:t xml:space="preserve"> </w:t>
            </w:r>
          </w:p>
          <w:p w14:paraId="60A01A52" w14:textId="77777777" w:rsidR="00024896" w:rsidRPr="002C2079" w:rsidRDefault="00024896" w:rsidP="00BB0DC9">
            <w:pPr>
              <w:tabs>
                <w:tab w:val="left" w:pos="7050"/>
              </w:tabs>
              <w:rPr>
                <w:rFonts w:asciiTheme="majorHAnsi" w:hAnsiTheme="majorHAnsi"/>
              </w:rPr>
            </w:pPr>
          </w:p>
        </w:tc>
      </w:tr>
      <w:tr w:rsidR="005B1BBE" w:rsidRPr="002C2079" w14:paraId="13CFC92E" w14:textId="77777777" w:rsidTr="00E10004">
        <w:tc>
          <w:tcPr>
            <w:tcW w:w="4788" w:type="dxa"/>
          </w:tcPr>
          <w:p w14:paraId="27339E15"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0244518B" w14:textId="77777777" w:rsidR="005B1BBE" w:rsidRPr="002C2079" w:rsidRDefault="005B1BBE" w:rsidP="005B1BBE">
            <w:pPr>
              <w:tabs>
                <w:tab w:val="left" w:pos="7050"/>
              </w:tabs>
              <w:rPr>
                <w:rFonts w:asciiTheme="majorHAnsi" w:hAnsiTheme="majorHAnsi"/>
              </w:rPr>
            </w:pPr>
          </w:p>
        </w:tc>
        <w:tc>
          <w:tcPr>
            <w:tcW w:w="4770" w:type="dxa"/>
          </w:tcPr>
          <w:p w14:paraId="11F8E0AB" w14:textId="77777777" w:rsidR="00565D22" w:rsidRPr="002C2079" w:rsidRDefault="003B4FD9" w:rsidP="005B1BBE">
            <w:pPr>
              <w:tabs>
                <w:tab w:val="left" w:pos="7050"/>
              </w:tabs>
              <w:rPr>
                <w:rFonts w:asciiTheme="majorHAnsi" w:hAnsiTheme="majorHAnsi"/>
              </w:rPr>
            </w:pPr>
            <w:r w:rsidRPr="003B4FD9">
              <w:rPr>
                <w:rFonts w:asciiTheme="majorHAnsi" w:hAnsiTheme="majorHAnsi"/>
              </w:rPr>
              <w:t>Corporate excise tax</w:t>
            </w:r>
          </w:p>
        </w:tc>
      </w:tr>
      <w:tr w:rsidR="005B1BBE" w:rsidRPr="002C2079" w14:paraId="5F3EF620" w14:textId="77777777" w:rsidTr="00E10004">
        <w:tc>
          <w:tcPr>
            <w:tcW w:w="4788" w:type="dxa"/>
          </w:tcPr>
          <w:p w14:paraId="2565B80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4A511DCF" w14:textId="77777777" w:rsidR="005B1BBE" w:rsidRPr="002C2079" w:rsidRDefault="005B1BBE" w:rsidP="005B1BBE">
            <w:pPr>
              <w:tabs>
                <w:tab w:val="left" w:pos="7050"/>
              </w:tabs>
              <w:rPr>
                <w:rFonts w:asciiTheme="majorHAnsi" w:hAnsiTheme="majorHAnsi"/>
              </w:rPr>
            </w:pPr>
          </w:p>
        </w:tc>
        <w:tc>
          <w:tcPr>
            <w:tcW w:w="4770" w:type="dxa"/>
          </w:tcPr>
          <w:p w14:paraId="24F17C6C" w14:textId="77777777" w:rsidR="005B1BBE" w:rsidRPr="002C2079" w:rsidRDefault="008A3F20" w:rsidP="005B1BBE">
            <w:pPr>
              <w:tabs>
                <w:tab w:val="left" w:pos="7050"/>
              </w:tabs>
              <w:rPr>
                <w:rFonts w:asciiTheme="majorHAnsi" w:hAnsiTheme="majorHAnsi"/>
              </w:rPr>
            </w:pPr>
            <w:r w:rsidRPr="008A3F20">
              <w:rPr>
                <w:rFonts w:asciiTheme="majorHAnsi" w:hAnsiTheme="majorHAnsi"/>
              </w:rPr>
              <w:t>M.G.L. c. 63, § 30.7; c. 63, § 30.8; c. 63 § 39(a)(1)</w:t>
            </w:r>
          </w:p>
        </w:tc>
      </w:tr>
      <w:tr w:rsidR="005B1BBE" w:rsidRPr="002C2079" w14:paraId="06B3B4D1" w14:textId="77777777" w:rsidTr="00E10004">
        <w:tc>
          <w:tcPr>
            <w:tcW w:w="4788" w:type="dxa"/>
          </w:tcPr>
          <w:p w14:paraId="0D7520FD"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617F4AF2" w14:textId="77777777" w:rsidR="005B1BBE" w:rsidRPr="002C2079" w:rsidRDefault="005B1BBE" w:rsidP="005B1BBE">
            <w:pPr>
              <w:tabs>
                <w:tab w:val="left" w:pos="7050"/>
              </w:tabs>
              <w:rPr>
                <w:rFonts w:asciiTheme="majorHAnsi" w:hAnsiTheme="majorHAnsi"/>
              </w:rPr>
            </w:pPr>
          </w:p>
        </w:tc>
        <w:tc>
          <w:tcPr>
            <w:tcW w:w="4770" w:type="dxa"/>
          </w:tcPr>
          <w:p w14:paraId="6B6B193A" w14:textId="77777777" w:rsidR="005B1BBE" w:rsidRPr="002C2079" w:rsidRDefault="00D71163" w:rsidP="005B1BBE">
            <w:pPr>
              <w:tabs>
                <w:tab w:val="left" w:pos="7050"/>
              </w:tabs>
              <w:rPr>
                <w:rFonts w:asciiTheme="majorHAnsi" w:hAnsiTheme="majorHAnsi"/>
              </w:rPr>
            </w:pPr>
            <w:r>
              <w:rPr>
                <w:rFonts w:asciiTheme="majorHAnsi" w:hAnsiTheme="majorHAnsi"/>
              </w:rPr>
              <w:t>1962</w:t>
            </w:r>
          </w:p>
        </w:tc>
      </w:tr>
      <w:tr w:rsidR="005B1BBE" w:rsidRPr="002C2079" w14:paraId="67D3F346" w14:textId="77777777" w:rsidTr="00E10004">
        <w:tc>
          <w:tcPr>
            <w:tcW w:w="4788" w:type="dxa"/>
          </w:tcPr>
          <w:p w14:paraId="372C7B63"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4086470D" w14:textId="77777777" w:rsidR="005B1BBE" w:rsidRDefault="00D71163" w:rsidP="003B4FD9">
            <w:pPr>
              <w:tabs>
                <w:tab w:val="left" w:pos="7050"/>
              </w:tabs>
              <w:rPr>
                <w:rFonts w:asciiTheme="majorHAnsi" w:hAnsiTheme="majorHAnsi"/>
              </w:rPr>
            </w:pPr>
            <w:r>
              <w:rPr>
                <w:rFonts w:asciiTheme="majorHAnsi" w:hAnsiTheme="majorHAnsi"/>
              </w:rPr>
              <w:t>None</w:t>
            </w:r>
          </w:p>
          <w:p w14:paraId="7A609F80" w14:textId="77777777" w:rsidR="003B4FD9" w:rsidRPr="002C2079" w:rsidRDefault="003B4FD9" w:rsidP="003B4FD9">
            <w:pPr>
              <w:tabs>
                <w:tab w:val="left" w:pos="7050"/>
              </w:tabs>
              <w:rPr>
                <w:rFonts w:asciiTheme="majorHAnsi" w:hAnsiTheme="majorHAnsi"/>
              </w:rPr>
            </w:pPr>
          </w:p>
        </w:tc>
      </w:tr>
      <w:tr w:rsidR="005B1BBE" w:rsidRPr="002C2079" w14:paraId="0ECE65AF" w14:textId="77777777" w:rsidTr="00E10004">
        <w:tc>
          <w:tcPr>
            <w:tcW w:w="4788" w:type="dxa"/>
          </w:tcPr>
          <w:p w14:paraId="4928B559"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39C1E6E8" w14:textId="77777777" w:rsidR="005B1BBE" w:rsidRPr="002C2079" w:rsidRDefault="005B1BBE" w:rsidP="005B1BBE">
            <w:pPr>
              <w:tabs>
                <w:tab w:val="left" w:pos="7050"/>
              </w:tabs>
              <w:rPr>
                <w:rFonts w:asciiTheme="majorHAnsi" w:hAnsiTheme="majorHAnsi"/>
              </w:rPr>
            </w:pPr>
          </w:p>
        </w:tc>
        <w:tc>
          <w:tcPr>
            <w:tcW w:w="4770" w:type="dxa"/>
          </w:tcPr>
          <w:p w14:paraId="5EC4285F" w14:textId="77777777" w:rsidR="005B1BBE" w:rsidRDefault="005B1BBE" w:rsidP="005B1BBE">
            <w:pPr>
              <w:tabs>
                <w:tab w:val="left" w:pos="7050"/>
              </w:tabs>
              <w:rPr>
                <w:rFonts w:asciiTheme="majorHAnsi" w:hAnsiTheme="majorHAnsi"/>
              </w:rPr>
            </w:pPr>
            <w:r w:rsidRPr="002C2079">
              <w:rPr>
                <w:rFonts w:asciiTheme="majorHAnsi" w:hAnsiTheme="majorHAnsi"/>
              </w:rPr>
              <w:t>Tax loss of $</w:t>
            </w:r>
            <w:r w:rsidR="0053327A">
              <w:rPr>
                <w:rFonts w:asciiTheme="majorHAnsi" w:hAnsiTheme="majorHAnsi"/>
              </w:rPr>
              <w:t>245.5</w:t>
            </w:r>
            <w:r w:rsidR="00CC6568">
              <w:rPr>
                <w:rFonts w:asciiTheme="majorHAnsi" w:hAnsiTheme="majorHAnsi"/>
              </w:rPr>
              <w:t xml:space="preserve"> - $</w:t>
            </w:r>
            <w:r w:rsidR="0053327A">
              <w:rPr>
                <w:rFonts w:asciiTheme="majorHAnsi" w:hAnsiTheme="majorHAnsi"/>
              </w:rPr>
              <w:t>301.6</w:t>
            </w:r>
            <w:r w:rsidR="003B4FD9">
              <w:rPr>
                <w:rFonts w:asciiTheme="majorHAnsi" w:hAnsiTheme="majorHAnsi"/>
              </w:rPr>
              <w:t xml:space="preserve"> </w:t>
            </w:r>
            <w:r w:rsidRPr="002C2079">
              <w:rPr>
                <w:rFonts w:asciiTheme="majorHAnsi" w:hAnsiTheme="majorHAnsi"/>
              </w:rPr>
              <w:t xml:space="preserve">million annually </w:t>
            </w:r>
            <w:r w:rsidR="00C61177">
              <w:rPr>
                <w:rFonts w:asciiTheme="majorHAnsi" w:hAnsiTheme="majorHAnsi"/>
              </w:rPr>
              <w:t xml:space="preserve">during </w:t>
            </w:r>
            <w:r w:rsidRPr="002C2079">
              <w:rPr>
                <w:rFonts w:asciiTheme="majorHAnsi" w:hAnsiTheme="majorHAnsi"/>
              </w:rPr>
              <w:t>FY1</w:t>
            </w:r>
            <w:r w:rsidR="003B4FD9">
              <w:rPr>
                <w:rFonts w:asciiTheme="majorHAnsi" w:hAnsiTheme="majorHAnsi"/>
              </w:rPr>
              <w:t>8</w:t>
            </w:r>
            <w:r w:rsidRPr="002C2079">
              <w:rPr>
                <w:rFonts w:asciiTheme="majorHAnsi" w:hAnsiTheme="majorHAnsi"/>
              </w:rPr>
              <w:t>-FY2</w:t>
            </w:r>
            <w:r w:rsidR="003B4FD9">
              <w:rPr>
                <w:rFonts w:asciiTheme="majorHAnsi" w:hAnsiTheme="majorHAnsi"/>
              </w:rPr>
              <w:t>2</w:t>
            </w:r>
          </w:p>
          <w:p w14:paraId="264DB967" w14:textId="77777777" w:rsidR="00307917" w:rsidRPr="002C2079" w:rsidRDefault="00307917" w:rsidP="005B1BBE">
            <w:pPr>
              <w:tabs>
                <w:tab w:val="left" w:pos="7050"/>
              </w:tabs>
              <w:rPr>
                <w:rFonts w:asciiTheme="majorHAnsi" w:hAnsiTheme="majorHAnsi"/>
              </w:rPr>
            </w:pPr>
          </w:p>
        </w:tc>
      </w:tr>
      <w:tr w:rsidR="005B1BBE" w:rsidRPr="002C2079" w14:paraId="66E1FF8C" w14:textId="77777777" w:rsidTr="00E10004">
        <w:tc>
          <w:tcPr>
            <w:tcW w:w="4788" w:type="dxa"/>
          </w:tcPr>
          <w:p w14:paraId="1F1FA612"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1C32BC8F" w14:textId="77777777" w:rsidR="005B1BBE" w:rsidRPr="002C2079" w:rsidRDefault="00E10004" w:rsidP="005B1BBE">
            <w:pPr>
              <w:tabs>
                <w:tab w:val="left" w:pos="7050"/>
              </w:tabs>
              <w:rPr>
                <w:rFonts w:asciiTheme="majorHAnsi" w:eastAsiaTheme="majorEastAsia" w:hAnsiTheme="majorHAnsi" w:cstheme="majorBidi"/>
                <w:bCs/>
                <w:color w:val="000000" w:themeColor="text1"/>
              </w:rPr>
            </w:pPr>
            <w:r w:rsidRPr="00E10004">
              <w:rPr>
                <w:rFonts w:asciiTheme="majorHAnsi" w:eastAsiaTheme="majorEastAsia" w:hAnsiTheme="majorHAnsi" w:cstheme="majorBidi"/>
                <w:bCs/>
                <w:color w:val="000000" w:themeColor="text1"/>
              </w:rPr>
              <w:t xml:space="preserve">57,408 – 59,597 </w:t>
            </w:r>
            <w:r w:rsidR="00307917" w:rsidRPr="00307917">
              <w:rPr>
                <w:rFonts w:asciiTheme="majorHAnsi" w:eastAsiaTheme="majorEastAsia" w:hAnsiTheme="majorHAnsi" w:cstheme="majorBidi"/>
                <w:bCs/>
                <w:color w:val="000000" w:themeColor="text1"/>
              </w:rPr>
              <w:t xml:space="preserve">tax filers </w:t>
            </w:r>
            <w:r w:rsidR="009E7BAA">
              <w:rPr>
                <w:rFonts w:asciiTheme="majorHAnsi" w:eastAsiaTheme="majorEastAsia" w:hAnsiTheme="majorHAnsi" w:cstheme="majorBidi"/>
                <w:bCs/>
                <w:color w:val="000000" w:themeColor="text1"/>
              </w:rPr>
              <w:t xml:space="preserve">per year during </w:t>
            </w:r>
            <w:r w:rsidR="00307917" w:rsidRPr="00307917">
              <w:rPr>
                <w:rFonts w:asciiTheme="majorHAnsi" w:eastAsiaTheme="majorEastAsia" w:hAnsiTheme="majorHAnsi" w:cstheme="majorBidi"/>
                <w:bCs/>
                <w:color w:val="000000" w:themeColor="text1"/>
              </w:rPr>
              <w:t xml:space="preserve">the </w:t>
            </w:r>
            <w:r w:rsidR="00C61177">
              <w:rPr>
                <w:rFonts w:asciiTheme="majorHAnsi" w:eastAsiaTheme="majorEastAsia" w:hAnsiTheme="majorHAnsi" w:cstheme="majorBidi"/>
                <w:bCs/>
                <w:color w:val="000000" w:themeColor="text1"/>
              </w:rPr>
              <w:t xml:space="preserve">tax </w:t>
            </w:r>
            <w:r w:rsidR="00307917" w:rsidRPr="00307917">
              <w:rPr>
                <w:rFonts w:asciiTheme="majorHAnsi" w:eastAsiaTheme="majorEastAsia" w:hAnsiTheme="majorHAnsi" w:cstheme="majorBidi"/>
                <w:bCs/>
                <w:color w:val="000000" w:themeColor="text1"/>
              </w:rPr>
              <w:t>years 2015 through 2018</w:t>
            </w:r>
          </w:p>
          <w:p w14:paraId="61788061" w14:textId="77777777" w:rsidR="005B1BBE" w:rsidRPr="002C2079" w:rsidRDefault="005B1BBE" w:rsidP="005B1BBE">
            <w:pPr>
              <w:tabs>
                <w:tab w:val="left" w:pos="7050"/>
              </w:tabs>
              <w:rPr>
                <w:rFonts w:asciiTheme="majorHAnsi" w:hAnsiTheme="majorHAnsi"/>
              </w:rPr>
            </w:pPr>
          </w:p>
        </w:tc>
      </w:tr>
      <w:tr w:rsidR="005B1BBE" w:rsidRPr="002C2079" w14:paraId="50C1580B" w14:textId="77777777" w:rsidTr="00E10004">
        <w:tc>
          <w:tcPr>
            <w:tcW w:w="4788" w:type="dxa"/>
          </w:tcPr>
          <w:p w14:paraId="071596CC" w14:textId="77777777" w:rsidR="005B1BBE" w:rsidRPr="002C2079" w:rsidRDefault="005B1BBE" w:rsidP="00F7586D">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6246CA07" w14:textId="77777777" w:rsidR="005B1BBE" w:rsidRPr="002C2079" w:rsidRDefault="00307917" w:rsidP="00565D22">
            <w:pPr>
              <w:tabs>
                <w:tab w:val="left" w:pos="7050"/>
              </w:tabs>
              <w:rPr>
                <w:rFonts w:asciiTheme="majorHAnsi" w:hAnsiTheme="majorHAnsi"/>
              </w:rPr>
            </w:pPr>
            <w:r>
              <w:rPr>
                <w:rFonts w:asciiTheme="majorHAnsi" w:eastAsiaTheme="majorEastAsia" w:hAnsiTheme="majorHAnsi" w:cstheme="majorBidi"/>
                <w:bCs/>
                <w:color w:val="000000" w:themeColor="text1"/>
              </w:rPr>
              <w:t xml:space="preserve">About </w:t>
            </w:r>
            <w:r w:rsidR="005B1BBE" w:rsidRPr="002C2079">
              <w:rPr>
                <w:rFonts w:asciiTheme="majorHAnsi" w:eastAsiaTheme="majorEastAsia" w:hAnsiTheme="majorHAnsi" w:cstheme="majorBidi"/>
                <w:bCs/>
                <w:color w:val="000000" w:themeColor="text1"/>
              </w:rPr>
              <w:t>$</w:t>
            </w:r>
            <w:r>
              <w:rPr>
                <w:rFonts w:asciiTheme="majorHAnsi" w:eastAsiaTheme="majorEastAsia" w:hAnsiTheme="majorHAnsi" w:cstheme="majorBidi"/>
                <w:bCs/>
                <w:color w:val="000000" w:themeColor="text1"/>
              </w:rPr>
              <w:t>4,</w:t>
            </w:r>
            <w:r w:rsidR="009E7BAA">
              <w:rPr>
                <w:rFonts w:asciiTheme="majorHAnsi" w:eastAsiaTheme="majorEastAsia" w:hAnsiTheme="majorHAnsi" w:cstheme="majorBidi"/>
                <w:bCs/>
                <w:color w:val="000000" w:themeColor="text1"/>
              </w:rPr>
              <w:t>4</w:t>
            </w:r>
            <w:r>
              <w:rPr>
                <w:rFonts w:asciiTheme="majorHAnsi" w:eastAsiaTheme="majorEastAsia" w:hAnsiTheme="majorHAnsi" w:cstheme="majorBidi"/>
                <w:bCs/>
                <w:color w:val="000000" w:themeColor="text1"/>
              </w:rPr>
              <w:t>00</w:t>
            </w:r>
            <w:r w:rsidR="003B4FD9">
              <w:rPr>
                <w:rFonts w:asciiTheme="majorHAnsi" w:eastAsiaTheme="majorEastAsia" w:hAnsiTheme="majorHAnsi" w:cstheme="majorBidi"/>
                <w:bCs/>
                <w:color w:val="000000" w:themeColor="text1"/>
              </w:rPr>
              <w:t xml:space="preserve"> </w:t>
            </w:r>
            <w:r w:rsidR="005B1BBE" w:rsidRPr="002C2079">
              <w:rPr>
                <w:rFonts w:asciiTheme="majorHAnsi" w:eastAsiaTheme="majorEastAsia" w:hAnsiTheme="majorHAnsi" w:cstheme="majorBidi"/>
                <w:bCs/>
                <w:color w:val="000000" w:themeColor="text1"/>
              </w:rPr>
              <w:t xml:space="preserve">per </w:t>
            </w:r>
            <w:r>
              <w:rPr>
                <w:rFonts w:asciiTheme="majorHAnsi" w:eastAsiaTheme="majorEastAsia" w:hAnsiTheme="majorHAnsi" w:cstheme="majorBidi"/>
                <w:bCs/>
                <w:color w:val="000000" w:themeColor="text1"/>
              </w:rPr>
              <w:t>claim</w:t>
            </w:r>
            <w:r w:rsidR="00432DF6">
              <w:rPr>
                <w:rFonts w:asciiTheme="majorHAnsi" w:eastAsiaTheme="majorEastAsia" w:hAnsiTheme="majorHAnsi" w:cstheme="majorBidi"/>
                <w:bCs/>
                <w:color w:val="000000" w:themeColor="text1"/>
              </w:rPr>
              <w:t>ant</w:t>
            </w:r>
            <w:r>
              <w:rPr>
                <w:rFonts w:asciiTheme="majorHAnsi" w:eastAsiaTheme="majorEastAsia" w:hAnsiTheme="majorHAnsi" w:cstheme="majorBidi"/>
                <w:bCs/>
                <w:color w:val="000000" w:themeColor="text1"/>
              </w:rPr>
              <w:t xml:space="preserve"> </w:t>
            </w:r>
            <w:r w:rsidR="009E7BAA">
              <w:rPr>
                <w:rFonts w:asciiTheme="majorHAnsi" w:eastAsiaTheme="majorEastAsia" w:hAnsiTheme="majorHAnsi" w:cstheme="majorBidi"/>
                <w:bCs/>
                <w:color w:val="000000" w:themeColor="text1"/>
              </w:rPr>
              <w:t>(</w:t>
            </w:r>
            <w:r>
              <w:rPr>
                <w:rFonts w:asciiTheme="majorHAnsi" w:eastAsiaTheme="majorEastAsia" w:hAnsiTheme="majorHAnsi" w:cstheme="majorBidi"/>
                <w:bCs/>
                <w:color w:val="000000" w:themeColor="text1"/>
              </w:rPr>
              <w:t>2018</w:t>
            </w:r>
            <w:r w:rsidR="009E7BAA">
              <w:rPr>
                <w:rFonts w:asciiTheme="majorHAnsi" w:eastAsiaTheme="majorEastAsia" w:hAnsiTheme="majorHAnsi" w:cstheme="majorBidi"/>
                <w:bCs/>
                <w:color w:val="000000" w:themeColor="text1"/>
              </w:rPr>
              <w:t>)</w:t>
            </w:r>
            <w:r w:rsidR="005B1BBE" w:rsidRPr="002C2079">
              <w:rPr>
                <w:rFonts w:asciiTheme="majorHAnsi" w:eastAsiaTheme="majorEastAsia" w:hAnsiTheme="majorHAnsi" w:cstheme="majorBidi"/>
                <w:bCs/>
                <w:color w:val="000000" w:themeColor="text1"/>
              </w:rPr>
              <w:t xml:space="preserve"> </w:t>
            </w:r>
          </w:p>
        </w:tc>
      </w:tr>
    </w:tbl>
    <w:p w14:paraId="245B6E3F" w14:textId="77777777" w:rsidR="00565D22" w:rsidRDefault="00565D22">
      <w:pPr>
        <w:rPr>
          <w:b/>
          <w:bCs/>
        </w:rPr>
      </w:pPr>
    </w:p>
    <w:tbl>
      <w:tblPr>
        <w:tblStyle w:val="TableGrid"/>
        <w:tblW w:w="0" w:type="auto"/>
        <w:tblLook w:val="04A0" w:firstRow="1" w:lastRow="0" w:firstColumn="1" w:lastColumn="0" w:noHBand="0" w:noVBand="1"/>
      </w:tblPr>
      <w:tblGrid>
        <w:gridCol w:w="4788"/>
        <w:gridCol w:w="4788"/>
      </w:tblGrid>
      <w:tr w:rsidR="00565D22" w:rsidRPr="00A04F53" w14:paraId="485D9A19" w14:textId="77777777" w:rsidTr="00E65525">
        <w:tc>
          <w:tcPr>
            <w:tcW w:w="4788" w:type="dxa"/>
          </w:tcPr>
          <w:p w14:paraId="62A12EF7" w14:textId="77777777" w:rsidR="00565D22" w:rsidRPr="00CF3070" w:rsidRDefault="00565D22" w:rsidP="00565D22">
            <w:pPr>
              <w:tabs>
                <w:tab w:val="left" w:pos="7050"/>
              </w:tabs>
              <w:rPr>
                <w:rFonts w:asciiTheme="majorHAnsi" w:eastAsiaTheme="majorEastAsia" w:hAnsiTheme="majorHAnsi" w:cstheme="majorBidi"/>
                <w:b/>
                <w:bCs/>
                <w:color w:val="000000" w:themeColor="text1"/>
              </w:rPr>
            </w:pPr>
            <w:r w:rsidRPr="00CF3070">
              <w:rPr>
                <w:rFonts w:asciiTheme="majorHAnsi" w:eastAsiaTheme="majorEastAsia" w:hAnsiTheme="majorHAnsi" w:cstheme="majorBidi"/>
                <w:b/>
                <w:bCs/>
                <w:color w:val="000000" w:themeColor="text1"/>
              </w:rPr>
              <w:t>Description of the Tax Expenditure:</w:t>
            </w:r>
          </w:p>
          <w:p w14:paraId="45D198CB" w14:textId="77777777" w:rsidR="00565D22" w:rsidRDefault="008A3F20" w:rsidP="001D3BAE">
            <w:pPr>
              <w:tabs>
                <w:tab w:val="left" w:pos="7050"/>
              </w:tabs>
              <w:rPr>
                <w:rFonts w:asciiTheme="majorHAnsi" w:eastAsiaTheme="majorEastAsia" w:hAnsiTheme="majorHAnsi" w:cstheme="majorBidi"/>
                <w:bCs/>
                <w:color w:val="000000" w:themeColor="text1"/>
              </w:rPr>
            </w:pPr>
            <w:r w:rsidRPr="00CF3070">
              <w:rPr>
                <w:rFonts w:asciiTheme="majorHAnsi" w:eastAsiaTheme="majorEastAsia" w:hAnsiTheme="majorHAnsi" w:cstheme="majorBidi"/>
                <w:bCs/>
                <w:color w:val="000000" w:themeColor="text1"/>
              </w:rPr>
              <w:t>In computing the state corporate excise on tangible property, property subject to tax at the local level, including real property and most tangible personal property, is exempt.  Generally, the state taxes only the machinery of manufacturing corporations. The state's rate on property (non-income measure) is $2.60 per $1,000.</w:t>
            </w:r>
          </w:p>
          <w:p w14:paraId="5C93AFE4" w14:textId="32140A08" w:rsidR="00A11C18" w:rsidRPr="00A04F53" w:rsidRDefault="00A11C18" w:rsidP="001D3BAE">
            <w:pPr>
              <w:tabs>
                <w:tab w:val="left" w:pos="7050"/>
              </w:tabs>
              <w:rPr>
                <w:rFonts w:asciiTheme="majorHAnsi" w:eastAsiaTheme="majorEastAsia" w:hAnsiTheme="majorHAnsi" w:cstheme="majorBidi"/>
                <w:b/>
                <w:bCs/>
                <w:color w:val="000000" w:themeColor="text1"/>
                <w:sz w:val="18"/>
                <w:szCs w:val="18"/>
              </w:rPr>
            </w:pPr>
          </w:p>
        </w:tc>
        <w:tc>
          <w:tcPr>
            <w:tcW w:w="4788" w:type="dxa"/>
          </w:tcPr>
          <w:p w14:paraId="28CFA8D4" w14:textId="77777777" w:rsidR="00565D22" w:rsidRPr="00CF3070" w:rsidRDefault="00565D22" w:rsidP="00565D22">
            <w:pPr>
              <w:tabs>
                <w:tab w:val="left" w:pos="7050"/>
              </w:tabs>
              <w:rPr>
                <w:rFonts w:asciiTheme="majorHAnsi" w:eastAsiaTheme="majorEastAsia" w:hAnsiTheme="majorHAnsi" w:cstheme="majorBidi"/>
                <w:b/>
                <w:bCs/>
                <w:color w:val="000000" w:themeColor="text1"/>
              </w:rPr>
            </w:pPr>
            <w:r w:rsidRPr="00CF3070">
              <w:rPr>
                <w:rFonts w:asciiTheme="majorHAnsi" w:eastAsiaTheme="majorEastAsia" w:hAnsiTheme="majorHAnsi" w:cstheme="majorBidi"/>
                <w:b/>
                <w:bCs/>
                <w:color w:val="000000" w:themeColor="text1"/>
              </w:rPr>
              <w:t>Is the purpose defined in the statute?</w:t>
            </w:r>
          </w:p>
          <w:p w14:paraId="418C8F2D" w14:textId="75BD61D7" w:rsidR="00565D22" w:rsidRPr="00CF3070" w:rsidRDefault="00E65525" w:rsidP="006B0A12">
            <w:pPr>
              <w:rPr>
                <w:b/>
                <w:bCs/>
              </w:rPr>
            </w:pPr>
            <w:r w:rsidRPr="00CF3070">
              <w:rPr>
                <w:rFonts w:asciiTheme="majorHAnsi" w:eastAsiaTheme="majorEastAsia" w:hAnsiTheme="majorHAnsi" w:cstheme="majorBidi"/>
                <w:bCs/>
                <w:color w:val="000000" w:themeColor="text1"/>
              </w:rPr>
              <w:t xml:space="preserve">The statute does not explicitly state the purpose of this tax expenditure.  </w:t>
            </w:r>
          </w:p>
        </w:tc>
      </w:tr>
      <w:tr w:rsidR="00565D22" w:rsidRPr="00A04F53" w14:paraId="204B12D3" w14:textId="77777777" w:rsidTr="00E65525">
        <w:tc>
          <w:tcPr>
            <w:tcW w:w="4788" w:type="dxa"/>
          </w:tcPr>
          <w:p w14:paraId="49ED8860" w14:textId="77777777" w:rsidR="00565D22" w:rsidRPr="00CF3070" w:rsidRDefault="00565D22" w:rsidP="00565D22">
            <w:pPr>
              <w:tabs>
                <w:tab w:val="left" w:pos="7050"/>
              </w:tabs>
              <w:rPr>
                <w:rFonts w:asciiTheme="majorHAnsi" w:eastAsiaTheme="majorEastAsia" w:hAnsiTheme="majorHAnsi" w:cstheme="majorBidi"/>
                <w:b/>
                <w:bCs/>
                <w:color w:val="000000" w:themeColor="text1"/>
              </w:rPr>
            </w:pPr>
            <w:r w:rsidRPr="00CF3070">
              <w:rPr>
                <w:rFonts w:asciiTheme="majorHAnsi" w:eastAsiaTheme="majorEastAsia" w:hAnsiTheme="majorHAnsi" w:cstheme="majorBidi"/>
                <w:b/>
                <w:bCs/>
                <w:color w:val="000000" w:themeColor="text1"/>
              </w:rPr>
              <w:t xml:space="preserve">What are the </w:t>
            </w:r>
            <w:r w:rsidR="00432DF6" w:rsidRPr="00CF3070">
              <w:rPr>
                <w:rFonts w:asciiTheme="majorHAnsi" w:eastAsiaTheme="majorEastAsia" w:hAnsiTheme="majorHAnsi" w:cstheme="majorBidi"/>
                <w:b/>
                <w:bCs/>
                <w:color w:val="000000" w:themeColor="text1"/>
              </w:rPr>
              <w:t>policy</w:t>
            </w:r>
            <w:r w:rsidRPr="00CF3070">
              <w:rPr>
                <w:rFonts w:asciiTheme="majorHAnsi" w:eastAsiaTheme="majorEastAsia" w:hAnsiTheme="majorHAnsi" w:cstheme="majorBidi"/>
                <w:b/>
                <w:bCs/>
                <w:color w:val="000000" w:themeColor="text1"/>
              </w:rPr>
              <w:t xml:space="preserve"> goals of the expenditure?</w:t>
            </w:r>
          </w:p>
          <w:p w14:paraId="389595CE" w14:textId="7D5F5ADB" w:rsidR="00565D22" w:rsidRPr="00A04F53" w:rsidRDefault="006B0A12" w:rsidP="006B0A12">
            <w:pPr>
              <w:rPr>
                <w:b/>
                <w:bCs/>
                <w:sz w:val="18"/>
                <w:szCs w:val="18"/>
              </w:rPr>
            </w:pPr>
            <w:r>
              <w:rPr>
                <w:rFonts w:asciiTheme="majorHAnsi" w:eastAsiaTheme="majorEastAsia" w:hAnsiTheme="majorHAnsi" w:cstheme="majorBidi"/>
                <w:bCs/>
                <w:color w:val="000000" w:themeColor="text1"/>
              </w:rPr>
              <w:t>DOR assumes that the intent is to avoid</w:t>
            </w:r>
            <w:r w:rsidRPr="00CF3070">
              <w:rPr>
                <w:rFonts w:asciiTheme="majorHAnsi" w:eastAsiaTheme="majorEastAsia" w:hAnsiTheme="majorHAnsi" w:cstheme="majorBidi"/>
                <w:bCs/>
                <w:color w:val="000000" w:themeColor="text1"/>
              </w:rPr>
              <w:t xml:space="preserve"> property </w:t>
            </w:r>
            <w:r>
              <w:rPr>
                <w:rFonts w:asciiTheme="majorHAnsi" w:eastAsiaTheme="majorEastAsia" w:hAnsiTheme="majorHAnsi" w:cstheme="majorBidi"/>
                <w:bCs/>
                <w:color w:val="000000" w:themeColor="text1"/>
              </w:rPr>
              <w:t xml:space="preserve">being taxed </w:t>
            </w:r>
            <w:r w:rsidRPr="00CF3070">
              <w:rPr>
                <w:rFonts w:asciiTheme="majorHAnsi" w:eastAsiaTheme="majorEastAsia" w:hAnsiTheme="majorHAnsi" w:cstheme="majorBidi"/>
                <w:bCs/>
                <w:color w:val="000000" w:themeColor="text1"/>
              </w:rPr>
              <w:t xml:space="preserve">at both the local and state level.     </w:t>
            </w:r>
          </w:p>
        </w:tc>
        <w:tc>
          <w:tcPr>
            <w:tcW w:w="4788" w:type="dxa"/>
          </w:tcPr>
          <w:p w14:paraId="5DA0CBE3" w14:textId="77777777" w:rsidR="00565D22" w:rsidRPr="00CF3070" w:rsidRDefault="00565D22" w:rsidP="00565D22">
            <w:pPr>
              <w:tabs>
                <w:tab w:val="left" w:pos="7050"/>
              </w:tabs>
              <w:rPr>
                <w:rFonts w:asciiTheme="majorHAnsi" w:eastAsiaTheme="majorEastAsia" w:hAnsiTheme="majorHAnsi" w:cstheme="majorBidi"/>
                <w:b/>
                <w:bCs/>
                <w:color w:val="000000" w:themeColor="text1"/>
              </w:rPr>
            </w:pPr>
            <w:r w:rsidRPr="00CF3070">
              <w:rPr>
                <w:rFonts w:asciiTheme="majorHAnsi" w:eastAsiaTheme="majorEastAsia" w:hAnsiTheme="majorHAnsi" w:cstheme="majorBidi"/>
                <w:b/>
                <w:bCs/>
                <w:color w:val="000000" w:themeColor="text1"/>
              </w:rPr>
              <w:t>Are there other states with a similar Tax Expenditure?</w:t>
            </w:r>
          </w:p>
          <w:p w14:paraId="7CBAAB50" w14:textId="77777777" w:rsidR="00565D22" w:rsidRPr="00A04F53" w:rsidRDefault="008A3F20" w:rsidP="00565D22">
            <w:pPr>
              <w:rPr>
                <w:b/>
                <w:bCs/>
                <w:sz w:val="18"/>
                <w:szCs w:val="18"/>
              </w:rPr>
            </w:pPr>
            <w:r w:rsidRPr="00CF3070">
              <w:rPr>
                <w:rFonts w:asciiTheme="majorHAnsi" w:eastAsiaTheme="majorEastAsia" w:hAnsiTheme="majorHAnsi" w:cstheme="majorBidi"/>
                <w:bCs/>
                <w:color w:val="000000" w:themeColor="text1"/>
              </w:rPr>
              <w:t xml:space="preserve">According to the </w:t>
            </w:r>
            <w:hyperlink r:id="rId8" w:anchor=":~:text=Connecticut%20will%20phase%20out%20its,more%20neutral%20forms%20of%20taxation." w:history="1">
              <w:r w:rsidRPr="00CF3070">
                <w:rPr>
                  <w:rStyle w:val="Hyperlink"/>
                  <w:rFonts w:asciiTheme="majorHAnsi" w:eastAsiaTheme="majorEastAsia" w:hAnsiTheme="majorHAnsi" w:cstheme="majorBidi"/>
                  <w:bCs/>
                </w:rPr>
                <w:t>Tax Foundation</w:t>
              </w:r>
            </w:hyperlink>
            <w:r w:rsidR="00150C7F">
              <w:rPr>
                <w:rStyle w:val="FootnoteReference"/>
                <w:rFonts w:asciiTheme="majorHAnsi" w:eastAsiaTheme="majorEastAsia" w:hAnsiTheme="majorHAnsi"/>
                <w:bCs/>
                <w:color w:val="0000FF"/>
                <w:u w:val="single"/>
              </w:rPr>
              <w:footnoteReference w:id="1"/>
            </w:r>
            <w:r w:rsidRPr="00CF3070">
              <w:rPr>
                <w:rFonts w:asciiTheme="majorHAnsi" w:eastAsiaTheme="majorEastAsia" w:hAnsiTheme="majorHAnsi" w:cstheme="majorBidi"/>
                <w:bCs/>
                <w:color w:val="000000" w:themeColor="text1"/>
              </w:rPr>
              <w:t xml:space="preserve">, as of 2020 there are sixteen states with some type of capital stock or net worth tax. NY and CT are phasing the entire tax out; and RI repealed it </w:t>
            </w:r>
            <w:r w:rsidRPr="00CF3070">
              <w:rPr>
                <w:rFonts w:asciiTheme="majorHAnsi" w:eastAsiaTheme="majorEastAsia" w:hAnsiTheme="majorHAnsi" w:cstheme="majorBidi"/>
                <w:bCs/>
                <w:color w:val="000000" w:themeColor="text1"/>
              </w:rPr>
              <w:lastRenderedPageBreak/>
              <w:t>starting in 2014. However, it is not clear whether these states have a similar exemption related to property subject to tax at the local level.</w:t>
            </w:r>
          </w:p>
        </w:tc>
      </w:tr>
    </w:tbl>
    <w:tbl>
      <w:tblPr>
        <w:tblStyle w:val="MediumList1-Accent2"/>
        <w:tblW w:w="0" w:type="auto"/>
        <w:tblLook w:val="04A0" w:firstRow="1" w:lastRow="0" w:firstColumn="1" w:lastColumn="0" w:noHBand="0" w:noVBand="1"/>
      </w:tblPr>
      <w:tblGrid>
        <w:gridCol w:w="9576"/>
      </w:tblGrid>
      <w:tr w:rsidR="00F065BC" w:rsidRPr="00A04F53" w14:paraId="48C2B3E9"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B1DFEBE" w14:textId="77777777" w:rsidR="00F065BC" w:rsidRPr="00A04F53" w:rsidRDefault="00F065BC" w:rsidP="00F065BC">
            <w:pPr>
              <w:rPr>
                <w:sz w:val="18"/>
                <w:szCs w:val="18"/>
              </w:rPr>
            </w:pPr>
          </w:p>
        </w:tc>
      </w:tr>
      <w:tr w:rsidR="004B14D0" w:rsidRPr="00A04F53" w14:paraId="00A80DED"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707CD945" w14:textId="77777777" w:rsidR="004B14D0" w:rsidRPr="00432DF6" w:rsidRDefault="004B14D0" w:rsidP="00F065BC">
            <w:pPr>
              <w:rPr>
                <w:rFonts w:asciiTheme="majorHAnsi" w:hAnsiTheme="majorHAnsi"/>
              </w:rPr>
            </w:pPr>
            <w:r w:rsidRPr="00432DF6">
              <w:rPr>
                <w:rFonts w:asciiTheme="majorHAnsi" w:hAnsiTheme="majorHAnsi"/>
                <w:highlight w:val="cyan"/>
              </w:rPr>
              <w:t>Conclusion/Recommendations: [To be</w:t>
            </w:r>
            <w:r w:rsidR="00F065BC" w:rsidRPr="00432DF6">
              <w:rPr>
                <w:rFonts w:asciiTheme="majorHAnsi" w:hAnsiTheme="majorHAnsi"/>
                <w:highlight w:val="cyan"/>
              </w:rPr>
              <w:t xml:space="preserve"> Entered by TERC]</w:t>
            </w:r>
          </w:p>
        </w:tc>
      </w:tr>
    </w:tbl>
    <w:p w14:paraId="4A2AF944" w14:textId="77777777" w:rsidR="00432DF6" w:rsidRDefault="00432DF6" w:rsidP="00D76C1C">
      <w:pPr>
        <w:rPr>
          <w:rFonts w:asciiTheme="majorHAnsi" w:hAnsiTheme="majorHAnsi"/>
        </w:rPr>
      </w:pPr>
    </w:p>
    <w:p w14:paraId="6DA97A12" w14:textId="77777777" w:rsidR="00432DF6" w:rsidRDefault="00432DF6">
      <w:pPr>
        <w:rPr>
          <w:rFonts w:asciiTheme="majorHAnsi" w:hAnsiTheme="majorHAnsi"/>
        </w:rPr>
      </w:pPr>
      <w:r>
        <w:rPr>
          <w:rFonts w:asciiTheme="majorHAnsi" w:hAnsiTheme="majorHAnsi"/>
        </w:rPr>
        <w:br w:type="page"/>
      </w:r>
    </w:p>
    <w:p w14:paraId="19BCFE13" w14:textId="77777777" w:rsidR="00291074" w:rsidRPr="004406A4"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026BEA5C" w14:textId="77777777" w:rsidR="007F1467" w:rsidRPr="00A44F91" w:rsidRDefault="007F1467" w:rsidP="007F1467">
      <w:pPr>
        <w:tabs>
          <w:tab w:val="left" w:pos="7050"/>
        </w:tabs>
        <w:spacing w:after="0"/>
        <w:rPr>
          <w:rFonts w:asciiTheme="majorHAnsi" w:hAnsiTheme="majorHAnsi"/>
          <w:sz w:val="24"/>
          <w:szCs w:val="24"/>
        </w:rPr>
      </w:pPr>
      <w:r w:rsidRPr="00C56089">
        <w:rPr>
          <w:rFonts w:asciiTheme="majorHAnsi" w:hAnsiTheme="majorHAnsi"/>
          <w:sz w:val="24"/>
          <w:szCs w:val="24"/>
        </w:rPr>
        <w:t>Under</w:t>
      </w:r>
      <w:r w:rsidRPr="00C56089">
        <w:rPr>
          <w:sz w:val="24"/>
          <w:szCs w:val="24"/>
        </w:rPr>
        <w:t xml:space="preserve"> </w:t>
      </w:r>
      <w:r w:rsidRPr="00C56089">
        <w:rPr>
          <w:rFonts w:asciiTheme="majorHAnsi" w:hAnsiTheme="majorHAnsi"/>
          <w:sz w:val="24"/>
          <w:szCs w:val="24"/>
        </w:rPr>
        <w:t>M.G.L. c. 63, § 39, all business corporations organized or doing business in Massachusetts are require</w:t>
      </w:r>
      <w:r>
        <w:rPr>
          <w:rFonts w:asciiTheme="majorHAnsi" w:hAnsiTheme="majorHAnsi"/>
          <w:sz w:val="24"/>
          <w:szCs w:val="24"/>
        </w:rPr>
        <w:t>d</w:t>
      </w:r>
      <w:r w:rsidRPr="00C56089">
        <w:rPr>
          <w:rFonts w:asciiTheme="majorHAnsi" w:hAnsiTheme="majorHAnsi"/>
          <w:sz w:val="24"/>
          <w:szCs w:val="24"/>
        </w:rPr>
        <w:t xml:space="preserve"> to pay the corporate excise </w:t>
      </w:r>
      <w:r>
        <w:rPr>
          <w:rFonts w:asciiTheme="majorHAnsi" w:hAnsiTheme="majorHAnsi"/>
          <w:sz w:val="24"/>
          <w:szCs w:val="24"/>
        </w:rPr>
        <w:t>“</w:t>
      </w:r>
      <w:r w:rsidRPr="00C56089">
        <w:rPr>
          <w:rFonts w:asciiTheme="majorHAnsi" w:hAnsiTheme="majorHAnsi"/>
          <w:sz w:val="24"/>
          <w:szCs w:val="24"/>
        </w:rPr>
        <w:t>for the enjoyment under the protection of the laws of the commonwealth, of the powers, rights, privileges and immunities derived by reason of its existence and operation.</w:t>
      </w:r>
      <w:r>
        <w:rPr>
          <w:rFonts w:asciiTheme="majorHAnsi" w:hAnsiTheme="majorHAnsi"/>
          <w:sz w:val="24"/>
          <w:szCs w:val="24"/>
        </w:rPr>
        <w:t>”</w:t>
      </w:r>
      <w:r w:rsidRPr="00C56089">
        <w:rPr>
          <w:rFonts w:asciiTheme="majorHAnsi" w:hAnsiTheme="majorHAnsi"/>
          <w:sz w:val="24"/>
          <w:szCs w:val="24"/>
        </w:rPr>
        <w:t xml:space="preserve"> The corporate excise is comprised of a net income measure and a </w:t>
      </w:r>
      <w:r>
        <w:rPr>
          <w:rFonts w:asciiTheme="majorHAnsi" w:hAnsiTheme="majorHAnsi"/>
          <w:sz w:val="24"/>
          <w:szCs w:val="24"/>
        </w:rPr>
        <w:t xml:space="preserve">non-income measure based on the value of a corporation’s </w:t>
      </w:r>
      <w:r w:rsidRPr="00C56089">
        <w:rPr>
          <w:rFonts w:asciiTheme="majorHAnsi" w:hAnsiTheme="majorHAnsi"/>
          <w:sz w:val="24"/>
          <w:szCs w:val="24"/>
        </w:rPr>
        <w:t>property</w:t>
      </w:r>
      <w:r>
        <w:rPr>
          <w:rFonts w:asciiTheme="majorHAnsi" w:hAnsiTheme="majorHAnsi"/>
          <w:sz w:val="24"/>
          <w:szCs w:val="24"/>
        </w:rPr>
        <w:t xml:space="preserve"> or </w:t>
      </w:r>
      <w:r w:rsidRPr="00C56089">
        <w:rPr>
          <w:rFonts w:asciiTheme="majorHAnsi" w:hAnsiTheme="majorHAnsi"/>
          <w:sz w:val="24"/>
          <w:szCs w:val="24"/>
        </w:rPr>
        <w:t>net worth</w:t>
      </w:r>
      <w:r>
        <w:rPr>
          <w:rFonts w:asciiTheme="majorHAnsi" w:hAnsiTheme="majorHAnsi"/>
          <w:sz w:val="24"/>
          <w:szCs w:val="24"/>
        </w:rPr>
        <w:t>, depending upon the type of corporation</w:t>
      </w:r>
      <w:r w:rsidRPr="00C56089">
        <w:rPr>
          <w:rFonts w:asciiTheme="majorHAnsi" w:hAnsiTheme="majorHAnsi"/>
          <w:sz w:val="24"/>
          <w:szCs w:val="24"/>
        </w:rPr>
        <w:t xml:space="preserve">. </w:t>
      </w:r>
      <w:r>
        <w:rPr>
          <w:rFonts w:asciiTheme="majorHAnsi" w:hAnsiTheme="majorHAnsi"/>
          <w:sz w:val="24"/>
          <w:szCs w:val="24"/>
        </w:rPr>
        <w:t xml:space="preserve"> In calculating the</w:t>
      </w:r>
      <w:r w:rsidRPr="00C56089">
        <w:rPr>
          <w:rFonts w:asciiTheme="majorHAnsi" w:hAnsiTheme="majorHAnsi"/>
          <w:sz w:val="24"/>
          <w:szCs w:val="24"/>
        </w:rPr>
        <w:t xml:space="preserve"> </w:t>
      </w:r>
      <w:r>
        <w:rPr>
          <w:rFonts w:asciiTheme="majorHAnsi" w:hAnsiTheme="majorHAnsi"/>
          <w:sz w:val="24"/>
          <w:szCs w:val="24"/>
        </w:rPr>
        <w:t xml:space="preserve">non-income measure, </w:t>
      </w:r>
      <w:r w:rsidRPr="00C56089">
        <w:rPr>
          <w:rFonts w:asciiTheme="majorHAnsi" w:hAnsiTheme="majorHAnsi"/>
          <w:sz w:val="24"/>
          <w:szCs w:val="24"/>
        </w:rPr>
        <w:t xml:space="preserve">a taxpayer </w:t>
      </w:r>
      <w:r>
        <w:rPr>
          <w:rFonts w:asciiTheme="majorHAnsi" w:hAnsiTheme="majorHAnsi"/>
          <w:sz w:val="24"/>
          <w:szCs w:val="24"/>
        </w:rPr>
        <w:t>may</w:t>
      </w:r>
      <w:r w:rsidRPr="00C56089">
        <w:rPr>
          <w:rFonts w:asciiTheme="majorHAnsi" w:hAnsiTheme="majorHAnsi"/>
          <w:sz w:val="24"/>
          <w:szCs w:val="24"/>
        </w:rPr>
        <w:t xml:space="preserve"> exclude property subject to local taxation from the value of the business corporation.  </w:t>
      </w:r>
      <w:r>
        <w:rPr>
          <w:rFonts w:asciiTheme="majorHAnsi" w:hAnsiTheme="majorHAnsi"/>
          <w:sz w:val="24"/>
          <w:szCs w:val="24"/>
        </w:rPr>
        <w:t>M.G.L. c. 59, § 5, paragraph sixteen, identifies what property o</w:t>
      </w:r>
      <w:r w:rsidRPr="00C56089">
        <w:rPr>
          <w:rFonts w:asciiTheme="majorHAnsi" w:hAnsiTheme="majorHAnsi"/>
          <w:sz w:val="24"/>
          <w:szCs w:val="24"/>
        </w:rPr>
        <w:t>f a</w:t>
      </w:r>
      <w:r>
        <w:rPr>
          <w:rFonts w:asciiTheme="majorHAnsi" w:hAnsiTheme="majorHAnsi"/>
          <w:sz w:val="24"/>
          <w:szCs w:val="24"/>
        </w:rPr>
        <w:t xml:space="preserve"> business corporation is exempt from</w:t>
      </w:r>
      <w:r w:rsidRPr="00C56089">
        <w:rPr>
          <w:rFonts w:asciiTheme="majorHAnsi" w:hAnsiTheme="majorHAnsi"/>
          <w:sz w:val="24"/>
          <w:szCs w:val="24"/>
        </w:rPr>
        <w:t xml:space="preserve"> local taxation.</w:t>
      </w:r>
      <w:r>
        <w:rPr>
          <w:rFonts w:asciiTheme="majorHAnsi" w:hAnsiTheme="majorHAnsi"/>
          <w:sz w:val="24"/>
          <w:szCs w:val="24"/>
        </w:rPr>
        <w:t xml:space="preserve"> Generally, </w:t>
      </w:r>
      <w:r w:rsidRPr="00A44F91">
        <w:rPr>
          <w:rFonts w:asciiTheme="majorHAnsi" w:hAnsiTheme="majorHAnsi"/>
          <w:sz w:val="24"/>
          <w:szCs w:val="24"/>
        </w:rPr>
        <w:t>the state taxes only the machinery of manufacturing corporations</w:t>
      </w:r>
      <w:r>
        <w:rPr>
          <w:rFonts w:asciiTheme="majorHAnsi" w:hAnsiTheme="majorHAnsi"/>
          <w:sz w:val="24"/>
          <w:szCs w:val="24"/>
        </w:rPr>
        <w:t>,</w:t>
      </w:r>
      <w:r w:rsidRPr="00A44F91">
        <w:rPr>
          <w:rFonts w:asciiTheme="majorHAnsi" w:hAnsiTheme="majorHAnsi"/>
          <w:sz w:val="24"/>
          <w:szCs w:val="24"/>
        </w:rPr>
        <w:t xml:space="preserve"> </w:t>
      </w:r>
      <w:r>
        <w:rPr>
          <w:rFonts w:asciiTheme="majorHAnsi" w:hAnsiTheme="majorHAnsi"/>
          <w:sz w:val="24"/>
          <w:szCs w:val="24"/>
        </w:rPr>
        <w:t>but it</w:t>
      </w:r>
      <w:r w:rsidRPr="00C56089">
        <w:rPr>
          <w:rFonts w:asciiTheme="majorHAnsi" w:hAnsiTheme="majorHAnsi"/>
          <w:sz w:val="24"/>
          <w:szCs w:val="24"/>
        </w:rPr>
        <w:t xml:space="preserve"> </w:t>
      </w:r>
      <w:r w:rsidRPr="00A44F91">
        <w:rPr>
          <w:rFonts w:asciiTheme="majorHAnsi" w:hAnsiTheme="majorHAnsi"/>
          <w:sz w:val="24"/>
          <w:szCs w:val="24"/>
        </w:rPr>
        <w:t>exempts business real estate and tangible personal property.</w:t>
      </w:r>
      <w:r>
        <w:rPr>
          <w:rFonts w:asciiTheme="majorHAnsi" w:hAnsiTheme="majorHAnsi"/>
          <w:sz w:val="24"/>
          <w:szCs w:val="24"/>
        </w:rPr>
        <w:t xml:space="preserve"> </w:t>
      </w:r>
      <w:r w:rsidRPr="00A44F91">
        <w:rPr>
          <w:rFonts w:asciiTheme="majorHAnsi" w:hAnsiTheme="majorHAnsi"/>
          <w:sz w:val="24"/>
          <w:szCs w:val="24"/>
        </w:rPr>
        <w:t xml:space="preserve">For purposes of estimating revenue loss from this tax expenditure, the state's rate on property (non-income measure), $2.60 per $1,000, has been applied. </w:t>
      </w:r>
      <w:r>
        <w:rPr>
          <w:rFonts w:asciiTheme="majorHAnsi" w:hAnsiTheme="majorHAnsi"/>
          <w:sz w:val="24"/>
          <w:szCs w:val="24"/>
        </w:rPr>
        <w:t xml:space="preserve"> The incentive to exempt property subject to local taxation from the value of the property/net worth measure</w:t>
      </w:r>
      <w:r w:rsidRPr="00C56089">
        <w:rPr>
          <w:rFonts w:asciiTheme="majorHAnsi" w:hAnsiTheme="majorHAnsi"/>
          <w:sz w:val="24"/>
          <w:szCs w:val="24"/>
        </w:rPr>
        <w:t xml:space="preserve"> </w:t>
      </w:r>
      <w:r>
        <w:rPr>
          <w:rFonts w:asciiTheme="majorHAnsi" w:hAnsiTheme="majorHAnsi"/>
          <w:sz w:val="24"/>
          <w:szCs w:val="24"/>
        </w:rPr>
        <w:t xml:space="preserve">was enacted in 1962. </w:t>
      </w:r>
    </w:p>
    <w:p w14:paraId="010A7B88" w14:textId="77777777" w:rsidR="00EB1DDD" w:rsidRDefault="00EB1DDD" w:rsidP="00291074">
      <w:pPr>
        <w:tabs>
          <w:tab w:val="left" w:pos="7050"/>
        </w:tabs>
        <w:spacing w:after="0"/>
        <w:rPr>
          <w:rFonts w:asciiTheme="majorHAnsi" w:hAnsiTheme="majorHAnsi"/>
          <w:sz w:val="24"/>
          <w:szCs w:val="24"/>
        </w:rPr>
      </w:pPr>
    </w:p>
    <w:p w14:paraId="0A31B50D" w14:textId="1B457556" w:rsidR="00E60620" w:rsidRPr="003211FC" w:rsidRDefault="00E60620" w:rsidP="00E60620">
      <w:pPr>
        <w:spacing w:after="0"/>
        <w:rPr>
          <w:rFonts w:asciiTheme="majorHAnsi" w:hAnsiTheme="majorHAnsi"/>
          <w:sz w:val="24"/>
          <w:szCs w:val="24"/>
        </w:rPr>
      </w:pPr>
      <w:r w:rsidRPr="003211FC">
        <w:rPr>
          <w:rFonts w:asciiTheme="majorHAnsi" w:hAnsiTheme="majorHAnsi"/>
          <w:sz w:val="24"/>
          <w:szCs w:val="24"/>
        </w:rPr>
        <w:t xml:space="preserve">Note that corporations are subject to the non-income measure of corporate excise based on different computations depending on whether the corporations are classified as tangible property corporations or intangible property corporations. The determination of whether a corporation is a tangible property corporation or an intangible property corporation is </w:t>
      </w:r>
      <w:r w:rsidR="009B5279">
        <w:rPr>
          <w:rFonts w:asciiTheme="majorHAnsi" w:hAnsiTheme="majorHAnsi"/>
          <w:sz w:val="24"/>
          <w:szCs w:val="24"/>
        </w:rPr>
        <w:t xml:space="preserve">generally </w:t>
      </w:r>
      <w:r w:rsidRPr="003211FC">
        <w:rPr>
          <w:rFonts w:asciiTheme="majorHAnsi" w:hAnsiTheme="majorHAnsi"/>
          <w:sz w:val="24"/>
          <w:szCs w:val="24"/>
        </w:rPr>
        <w:t>made by taking the ratio at book value of: (</w:t>
      </w:r>
      <w:proofErr w:type="spellStart"/>
      <w:r w:rsidRPr="003211FC">
        <w:rPr>
          <w:rFonts w:asciiTheme="majorHAnsi" w:hAnsiTheme="majorHAnsi"/>
          <w:sz w:val="24"/>
          <w:szCs w:val="24"/>
        </w:rPr>
        <w:t>i</w:t>
      </w:r>
      <w:proofErr w:type="spellEnd"/>
      <w:r w:rsidRPr="003211FC">
        <w:rPr>
          <w:rFonts w:asciiTheme="majorHAnsi" w:hAnsiTheme="majorHAnsi"/>
          <w:sz w:val="24"/>
          <w:szCs w:val="24"/>
        </w:rPr>
        <w:t>) tangible assets located in Massachusetts on the last day of the taxable year and not subject to local taxation to (ii) total assets on the last day of the taxable year (less assets locally taxed and less investments in subsidiary corporations which represent 80% or more of the voting stock of those corporations) multiplied by the income apportionment percentage. If the ratio of (</w:t>
      </w:r>
      <w:proofErr w:type="spellStart"/>
      <w:r w:rsidRPr="003211FC">
        <w:rPr>
          <w:rFonts w:asciiTheme="majorHAnsi" w:hAnsiTheme="majorHAnsi"/>
          <w:sz w:val="24"/>
          <w:szCs w:val="24"/>
        </w:rPr>
        <w:t>i</w:t>
      </w:r>
      <w:proofErr w:type="spellEnd"/>
      <w:r w:rsidRPr="003211FC">
        <w:rPr>
          <w:rFonts w:asciiTheme="majorHAnsi" w:hAnsiTheme="majorHAnsi"/>
          <w:sz w:val="24"/>
          <w:szCs w:val="24"/>
        </w:rPr>
        <w:t>) to (ii) is 10% or more, the corporation is a "tangible property corporation", if the ratio is less than 10%, the corporation is an "intangible property corporation</w:t>
      </w:r>
      <w:r w:rsidR="009B5279">
        <w:rPr>
          <w:rFonts w:asciiTheme="majorHAnsi" w:hAnsiTheme="majorHAnsi"/>
          <w:sz w:val="24"/>
          <w:szCs w:val="24"/>
        </w:rPr>
        <w:t>.</w:t>
      </w:r>
      <w:r w:rsidRPr="003211FC">
        <w:rPr>
          <w:rFonts w:asciiTheme="majorHAnsi" w:hAnsiTheme="majorHAnsi"/>
          <w:sz w:val="24"/>
          <w:szCs w:val="24"/>
        </w:rPr>
        <w:t>"</w:t>
      </w:r>
    </w:p>
    <w:p w14:paraId="2FFB7761" w14:textId="77777777" w:rsidR="00E60620" w:rsidRPr="003211FC" w:rsidRDefault="00E60620" w:rsidP="00E60620">
      <w:pPr>
        <w:spacing w:after="0"/>
        <w:rPr>
          <w:rFonts w:asciiTheme="majorHAnsi" w:hAnsiTheme="majorHAnsi"/>
          <w:sz w:val="24"/>
          <w:szCs w:val="24"/>
        </w:rPr>
      </w:pPr>
    </w:p>
    <w:p w14:paraId="5D1F8BC6" w14:textId="77777777" w:rsidR="00E60620" w:rsidRPr="003211FC" w:rsidRDefault="00E60620" w:rsidP="00E60620">
      <w:pPr>
        <w:spacing w:after="0"/>
        <w:rPr>
          <w:rFonts w:asciiTheme="majorHAnsi" w:hAnsiTheme="majorHAnsi"/>
          <w:sz w:val="24"/>
          <w:szCs w:val="24"/>
        </w:rPr>
      </w:pPr>
      <w:r w:rsidRPr="003211FC">
        <w:rPr>
          <w:rFonts w:asciiTheme="majorHAnsi" w:hAnsiTheme="majorHAnsi"/>
          <w:sz w:val="24"/>
          <w:szCs w:val="24"/>
        </w:rPr>
        <w:t>For tangible property corporations, the non-income measure of the excise is imposed at a rate of 0.26% on the book value of tangible property located in Massachusetts on the last day of the taxable year and that is not subject to local taxation. For intangible property corporations, the non-income measure of the excise is imposed at a rate of 0.26% o</w:t>
      </w:r>
      <w:r>
        <w:rPr>
          <w:rFonts w:asciiTheme="majorHAnsi" w:hAnsiTheme="majorHAnsi"/>
          <w:sz w:val="24"/>
          <w:szCs w:val="24"/>
        </w:rPr>
        <w:t>n</w:t>
      </w:r>
      <w:r w:rsidRPr="003211FC">
        <w:rPr>
          <w:rFonts w:asciiTheme="majorHAnsi" w:hAnsiTheme="majorHAnsi"/>
          <w:sz w:val="24"/>
          <w:szCs w:val="24"/>
        </w:rPr>
        <w:t xml:space="preserve"> the book value </w:t>
      </w:r>
      <w:r>
        <w:rPr>
          <w:rFonts w:asciiTheme="majorHAnsi" w:hAnsiTheme="majorHAnsi"/>
          <w:sz w:val="24"/>
          <w:szCs w:val="24"/>
        </w:rPr>
        <w:t xml:space="preserve">of a </w:t>
      </w:r>
      <w:r w:rsidRPr="003211FC">
        <w:rPr>
          <w:rFonts w:asciiTheme="majorHAnsi" w:hAnsiTheme="majorHAnsi"/>
          <w:sz w:val="24"/>
          <w:szCs w:val="24"/>
        </w:rPr>
        <w:t xml:space="preserve">corporation’s total assets </w:t>
      </w:r>
      <w:r>
        <w:rPr>
          <w:rFonts w:asciiTheme="majorHAnsi" w:hAnsiTheme="majorHAnsi"/>
          <w:sz w:val="24"/>
          <w:szCs w:val="24"/>
        </w:rPr>
        <w:t xml:space="preserve">on </w:t>
      </w:r>
      <w:r w:rsidRPr="003211FC">
        <w:rPr>
          <w:rFonts w:asciiTheme="majorHAnsi" w:hAnsiTheme="majorHAnsi"/>
          <w:sz w:val="24"/>
          <w:szCs w:val="24"/>
        </w:rPr>
        <w:t>the last day of the taxable year, less the sum of (</w:t>
      </w:r>
      <w:proofErr w:type="spellStart"/>
      <w:r w:rsidRPr="003211FC">
        <w:rPr>
          <w:rFonts w:asciiTheme="majorHAnsi" w:hAnsiTheme="majorHAnsi"/>
          <w:sz w:val="24"/>
          <w:szCs w:val="24"/>
        </w:rPr>
        <w:t>i</w:t>
      </w:r>
      <w:proofErr w:type="spellEnd"/>
      <w:r w:rsidRPr="003211FC">
        <w:rPr>
          <w:rFonts w:asciiTheme="majorHAnsi" w:hAnsiTheme="majorHAnsi"/>
          <w:sz w:val="24"/>
          <w:szCs w:val="24"/>
        </w:rPr>
        <w:t>) its liabilities on said date, (ii) the book value of its tangible property situated in Massachusetts on said date and subject to local taxation, and (iii) the book value on said date of its investment in subsidiary corporations which represent 80% or more of the voting stock of said corporations, multiplied by the intangible property corporation's income apportionment percentage.</w:t>
      </w:r>
    </w:p>
    <w:p w14:paraId="1E421E8C" w14:textId="77777777" w:rsidR="00EB1DDD" w:rsidRDefault="00EB1DDD" w:rsidP="00291074">
      <w:pPr>
        <w:tabs>
          <w:tab w:val="left" w:pos="7050"/>
        </w:tabs>
        <w:spacing w:after="0"/>
        <w:rPr>
          <w:rFonts w:asciiTheme="majorHAnsi" w:hAnsiTheme="majorHAnsi"/>
          <w:sz w:val="24"/>
          <w:szCs w:val="24"/>
        </w:rPr>
      </w:pPr>
    </w:p>
    <w:p w14:paraId="699A9EBF" w14:textId="77777777" w:rsidR="00E60620" w:rsidRDefault="00E60620" w:rsidP="00291074">
      <w:pPr>
        <w:tabs>
          <w:tab w:val="left" w:pos="7050"/>
        </w:tabs>
        <w:spacing w:after="0"/>
        <w:rPr>
          <w:rFonts w:asciiTheme="majorHAnsi" w:hAnsiTheme="majorHAnsi"/>
          <w:sz w:val="24"/>
          <w:szCs w:val="24"/>
        </w:rPr>
      </w:pPr>
    </w:p>
    <w:p w14:paraId="6BC906EF" w14:textId="77777777" w:rsidR="00291074" w:rsidRPr="00A07439" w:rsidRDefault="00CB365A"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lastRenderedPageBreak/>
        <w:t>POLICY GOAL</w:t>
      </w:r>
      <w:r w:rsidR="00432DF6">
        <w:rPr>
          <w:rFonts w:asciiTheme="majorHAnsi" w:hAnsiTheme="majorHAnsi"/>
          <w:b/>
          <w:color w:val="E36C0A" w:themeColor="accent6" w:themeShade="BF"/>
          <w:sz w:val="28"/>
          <w:szCs w:val="28"/>
        </w:rPr>
        <w:t>S</w:t>
      </w:r>
    </w:p>
    <w:p w14:paraId="1A1C0134" w14:textId="77777777" w:rsidR="00291074" w:rsidRDefault="007F1467" w:rsidP="00291074">
      <w:pPr>
        <w:tabs>
          <w:tab w:val="left" w:pos="7050"/>
        </w:tabs>
        <w:spacing w:after="0"/>
        <w:rPr>
          <w:rFonts w:asciiTheme="majorHAnsi" w:eastAsiaTheme="majorEastAsia" w:hAnsiTheme="majorHAnsi" w:cstheme="majorBidi"/>
          <w:bCs/>
          <w:color w:val="000000" w:themeColor="text1"/>
          <w:sz w:val="24"/>
          <w:szCs w:val="24"/>
        </w:rPr>
      </w:pPr>
      <w:r w:rsidRPr="007F1467">
        <w:rPr>
          <w:rFonts w:asciiTheme="majorHAnsi" w:eastAsiaTheme="majorEastAsia" w:hAnsiTheme="majorHAnsi" w:cstheme="majorBidi"/>
          <w:bCs/>
          <w:color w:val="000000" w:themeColor="text1"/>
          <w:sz w:val="24"/>
          <w:szCs w:val="24"/>
        </w:rPr>
        <w:t xml:space="preserve">The statute does not explicitly state the purpose of this tax expenditure.  However, the exemption avoids taxation of property at both the local and state level.     </w:t>
      </w:r>
    </w:p>
    <w:p w14:paraId="3F66DD77" w14:textId="77777777" w:rsidR="007F1467" w:rsidRDefault="007F1467" w:rsidP="00291074">
      <w:pPr>
        <w:tabs>
          <w:tab w:val="left" w:pos="7050"/>
        </w:tabs>
        <w:spacing w:after="0"/>
        <w:rPr>
          <w:rFonts w:asciiTheme="majorHAnsi" w:eastAsiaTheme="majorEastAsia" w:hAnsiTheme="majorHAnsi" w:cstheme="majorBidi"/>
          <w:bCs/>
          <w:color w:val="000000" w:themeColor="text1"/>
          <w:sz w:val="24"/>
          <w:szCs w:val="24"/>
        </w:rPr>
      </w:pPr>
    </w:p>
    <w:p w14:paraId="684AF332" w14:textId="77777777" w:rsidR="007F1467" w:rsidRDefault="007F1467" w:rsidP="00291074">
      <w:pPr>
        <w:tabs>
          <w:tab w:val="left" w:pos="7050"/>
        </w:tabs>
        <w:spacing w:after="0"/>
        <w:rPr>
          <w:rFonts w:asciiTheme="majorHAnsi" w:eastAsiaTheme="majorEastAsia" w:hAnsiTheme="majorHAnsi" w:cstheme="majorBidi"/>
          <w:bCs/>
          <w:color w:val="000000" w:themeColor="text1"/>
          <w:sz w:val="24"/>
          <w:szCs w:val="24"/>
        </w:rPr>
      </w:pPr>
    </w:p>
    <w:p w14:paraId="1E60C49F" w14:textId="77777777" w:rsidR="0095683B" w:rsidRPr="00A07439" w:rsidRDefault="00DD7F82" w:rsidP="0095683B">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95683B" w:rsidRPr="00A07439">
        <w:rPr>
          <w:rFonts w:asciiTheme="majorHAnsi" w:hAnsiTheme="majorHAnsi"/>
          <w:b/>
          <w:color w:val="E36C0A" w:themeColor="accent6" w:themeShade="BF"/>
          <w:sz w:val="28"/>
          <w:szCs w:val="28"/>
        </w:rPr>
        <w:t xml:space="preserve">COSTS </w:t>
      </w:r>
    </w:p>
    <w:p w14:paraId="0163BA1E" w14:textId="77777777" w:rsidR="00BC6223" w:rsidRDefault="00EB1DDD" w:rsidP="00BC6223">
      <w:pPr>
        <w:spacing w:after="0"/>
        <w:rPr>
          <w:rFonts w:asciiTheme="majorHAnsi" w:eastAsiaTheme="majorEastAsia" w:hAnsiTheme="majorHAnsi" w:cstheme="majorBidi"/>
          <w:bCs/>
          <w:color w:val="000000" w:themeColor="text1"/>
          <w:sz w:val="24"/>
          <w:szCs w:val="24"/>
        </w:rPr>
      </w:pPr>
      <w:r w:rsidRPr="00EB1DDD">
        <w:rPr>
          <w:rFonts w:asciiTheme="majorHAnsi" w:hAnsiTheme="majorHAnsi"/>
          <w:sz w:val="24"/>
          <w:szCs w:val="24"/>
        </w:rPr>
        <w:t>The revenue loss</w:t>
      </w:r>
      <w:r w:rsidR="00BC6223">
        <w:rPr>
          <w:rFonts w:asciiTheme="majorHAnsi" w:hAnsiTheme="majorHAnsi"/>
          <w:sz w:val="24"/>
          <w:szCs w:val="24"/>
        </w:rPr>
        <w:t xml:space="preserve"> </w:t>
      </w:r>
      <w:r w:rsidR="00BC6223">
        <w:rPr>
          <w:rFonts w:asciiTheme="majorHAnsi" w:eastAsiaTheme="majorEastAsia" w:hAnsiTheme="majorHAnsi" w:cstheme="majorBidi"/>
          <w:bCs/>
          <w:color w:val="000000" w:themeColor="text1"/>
          <w:sz w:val="24"/>
          <w:szCs w:val="24"/>
        </w:rPr>
        <w:t>resulting from th</w:t>
      </w:r>
      <w:r w:rsidR="002D3297">
        <w:rPr>
          <w:rFonts w:asciiTheme="majorHAnsi" w:eastAsiaTheme="majorEastAsia" w:hAnsiTheme="majorHAnsi" w:cstheme="majorBidi"/>
          <w:bCs/>
          <w:color w:val="000000" w:themeColor="text1"/>
          <w:sz w:val="24"/>
          <w:szCs w:val="24"/>
        </w:rPr>
        <w:t>is tax</w:t>
      </w:r>
      <w:r w:rsidR="00BC6223">
        <w:rPr>
          <w:rFonts w:asciiTheme="majorHAnsi" w:eastAsiaTheme="majorEastAsia" w:hAnsiTheme="majorHAnsi" w:cstheme="majorBidi"/>
          <w:bCs/>
          <w:color w:val="000000" w:themeColor="text1"/>
          <w:sz w:val="24"/>
          <w:szCs w:val="24"/>
        </w:rPr>
        <w:t xml:space="preserve"> expenditure</w:t>
      </w:r>
      <w:r w:rsidRPr="00EB1DDD">
        <w:rPr>
          <w:rFonts w:asciiTheme="majorHAnsi" w:hAnsiTheme="majorHAnsi"/>
          <w:sz w:val="24"/>
          <w:szCs w:val="24"/>
        </w:rPr>
        <w:t xml:space="preserve"> is e</w:t>
      </w:r>
      <w:r w:rsidR="004D07EA">
        <w:rPr>
          <w:rFonts w:asciiTheme="majorHAnsi" w:hAnsiTheme="majorHAnsi"/>
          <w:sz w:val="24"/>
          <w:szCs w:val="24"/>
        </w:rPr>
        <w:t xml:space="preserve">stimated </w:t>
      </w:r>
      <w:r w:rsidRPr="00EB1DDD">
        <w:rPr>
          <w:rFonts w:asciiTheme="majorHAnsi" w:hAnsiTheme="majorHAnsi"/>
          <w:sz w:val="24"/>
          <w:szCs w:val="24"/>
        </w:rPr>
        <w:t>to be $</w:t>
      </w:r>
      <w:r w:rsidR="00A46E0C">
        <w:rPr>
          <w:rFonts w:asciiTheme="majorHAnsi" w:hAnsiTheme="majorHAnsi"/>
          <w:sz w:val="24"/>
          <w:szCs w:val="24"/>
        </w:rPr>
        <w:t>245.5</w:t>
      </w:r>
      <w:r w:rsidRPr="00EB1DDD">
        <w:rPr>
          <w:rFonts w:asciiTheme="majorHAnsi" w:hAnsiTheme="majorHAnsi"/>
          <w:sz w:val="24"/>
          <w:szCs w:val="24"/>
        </w:rPr>
        <w:t xml:space="preserve"> - $</w:t>
      </w:r>
      <w:r w:rsidR="00A46E0C">
        <w:rPr>
          <w:rFonts w:asciiTheme="majorHAnsi" w:hAnsiTheme="majorHAnsi"/>
          <w:sz w:val="24"/>
          <w:szCs w:val="24"/>
        </w:rPr>
        <w:t>301.6</w:t>
      </w:r>
      <w:r w:rsidRPr="00EB1DDD">
        <w:rPr>
          <w:rFonts w:asciiTheme="majorHAnsi" w:hAnsiTheme="majorHAnsi"/>
          <w:sz w:val="24"/>
          <w:szCs w:val="24"/>
        </w:rPr>
        <w:t xml:space="preserve"> million annually during FY18-FY22.  </w:t>
      </w:r>
      <w:r w:rsidR="00BC6223">
        <w:rPr>
          <w:rFonts w:asciiTheme="majorHAnsi" w:eastAsiaTheme="majorEastAsia" w:hAnsiTheme="majorHAnsi" w:cstheme="majorBidi"/>
          <w:bCs/>
          <w:color w:val="000000" w:themeColor="text1"/>
          <w:sz w:val="24"/>
          <w:szCs w:val="24"/>
        </w:rPr>
        <w:t>See Table 1. The estimates are based on several factors, including historical claims, economic forecasts, and related law changes.</w:t>
      </w:r>
    </w:p>
    <w:p w14:paraId="69E7C6C5" w14:textId="77777777" w:rsidR="004406A4" w:rsidRDefault="004406A4" w:rsidP="003211FC">
      <w:pPr>
        <w:spacing w:after="0"/>
        <w:rPr>
          <w:rFonts w:asciiTheme="majorHAnsi" w:hAnsiTheme="majorHAnsi"/>
          <w:sz w:val="24"/>
          <w:szCs w:val="24"/>
        </w:rPr>
      </w:pPr>
    </w:p>
    <w:p w14:paraId="7BC16468" w14:textId="77777777" w:rsidR="00BC6223" w:rsidRDefault="00C61177" w:rsidP="00C61177">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sidR="00BC6223">
        <w:rPr>
          <w:rFonts w:asciiTheme="majorHAnsi" w:eastAsiaTheme="majorEastAsia" w:hAnsiTheme="majorHAnsi" w:cstheme="majorBidi"/>
          <w:b/>
          <w:color w:val="000000" w:themeColor="text1"/>
          <w:sz w:val="24"/>
          <w:szCs w:val="24"/>
        </w:rPr>
        <w:t xml:space="preserve">Exemption of </w:t>
      </w:r>
      <w:r w:rsidRPr="00CD3A6C">
        <w:rPr>
          <w:rFonts w:asciiTheme="majorHAnsi" w:eastAsiaTheme="majorEastAsia" w:hAnsiTheme="majorHAnsi" w:cstheme="majorBidi"/>
          <w:b/>
          <w:color w:val="000000" w:themeColor="text1"/>
          <w:sz w:val="24"/>
          <w:szCs w:val="24"/>
        </w:rPr>
        <w:t>Tangible Property</w:t>
      </w:r>
      <w:r w:rsidR="00BC6223">
        <w:rPr>
          <w:rFonts w:asciiTheme="majorHAnsi" w:eastAsiaTheme="majorEastAsia" w:hAnsiTheme="majorHAnsi" w:cstheme="majorBidi"/>
          <w:b/>
          <w:color w:val="000000" w:themeColor="text1"/>
          <w:sz w:val="24"/>
          <w:szCs w:val="24"/>
        </w:rPr>
        <w:t xml:space="preserve"> </w:t>
      </w:r>
    </w:p>
    <w:p w14:paraId="4535E437" w14:textId="77777777" w:rsidR="00C61177" w:rsidRPr="00B726D0" w:rsidRDefault="00C61177" w:rsidP="00C61177">
      <w:pPr>
        <w:spacing w:after="0"/>
        <w:jc w:val="center"/>
        <w:rPr>
          <w:rFonts w:asciiTheme="majorHAnsi" w:eastAsiaTheme="majorEastAsia" w:hAnsiTheme="majorHAnsi" w:cstheme="majorBidi"/>
          <w:b/>
          <w:color w:val="000000" w:themeColor="text1"/>
          <w:sz w:val="24"/>
          <w:szCs w:val="24"/>
        </w:rPr>
      </w:pPr>
      <w:r w:rsidRPr="00CD3A6C">
        <w:rPr>
          <w:rFonts w:asciiTheme="majorHAnsi" w:eastAsiaTheme="majorEastAsia" w:hAnsiTheme="majorHAnsi" w:cstheme="majorBidi"/>
          <w:b/>
          <w:color w:val="000000" w:themeColor="text1"/>
          <w:sz w:val="24"/>
          <w:szCs w:val="24"/>
        </w:rPr>
        <w:t>Subject to Local Taxation</w:t>
      </w:r>
    </w:p>
    <w:tbl>
      <w:tblPr>
        <w:tblW w:w="7725" w:type="dxa"/>
        <w:jc w:val="center"/>
        <w:tblLook w:val="04A0" w:firstRow="1" w:lastRow="0" w:firstColumn="1" w:lastColumn="0" w:noHBand="0" w:noVBand="1"/>
      </w:tblPr>
      <w:tblGrid>
        <w:gridCol w:w="2825"/>
        <w:gridCol w:w="980"/>
        <w:gridCol w:w="980"/>
        <w:gridCol w:w="980"/>
        <w:gridCol w:w="980"/>
        <w:gridCol w:w="980"/>
      </w:tblGrid>
      <w:tr w:rsidR="00C61177" w:rsidRPr="00CD3A6C" w14:paraId="6703A04E" w14:textId="77777777" w:rsidTr="00C61177">
        <w:trPr>
          <w:trHeight w:val="285"/>
          <w:jc w:val="center"/>
        </w:trPr>
        <w:tc>
          <w:tcPr>
            <w:tcW w:w="2825"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3F80E454"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 xml:space="preserve">Fiscal Year </w:t>
            </w:r>
          </w:p>
        </w:tc>
        <w:tc>
          <w:tcPr>
            <w:tcW w:w="9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EC435E5"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2018</w:t>
            </w:r>
          </w:p>
        </w:tc>
        <w:tc>
          <w:tcPr>
            <w:tcW w:w="9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585461B0"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2019</w:t>
            </w:r>
          </w:p>
        </w:tc>
        <w:tc>
          <w:tcPr>
            <w:tcW w:w="9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834926D"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2020</w:t>
            </w:r>
          </w:p>
        </w:tc>
        <w:tc>
          <w:tcPr>
            <w:tcW w:w="9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53E2323E"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2021</w:t>
            </w:r>
          </w:p>
        </w:tc>
        <w:tc>
          <w:tcPr>
            <w:tcW w:w="9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7AE5BC7"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2022</w:t>
            </w:r>
          </w:p>
        </w:tc>
      </w:tr>
      <w:tr w:rsidR="00C61177" w:rsidRPr="00CD3A6C" w14:paraId="6D589C9D" w14:textId="77777777" w:rsidTr="00C61177">
        <w:trPr>
          <w:trHeight w:val="680"/>
          <w:jc w:val="center"/>
        </w:trPr>
        <w:tc>
          <w:tcPr>
            <w:tcW w:w="2825" w:type="dxa"/>
            <w:tcBorders>
              <w:top w:val="nil"/>
              <w:left w:val="single" w:sz="4" w:space="0" w:color="auto"/>
              <w:bottom w:val="single" w:sz="4" w:space="0" w:color="auto"/>
              <w:right w:val="single" w:sz="4" w:space="0" w:color="auto"/>
            </w:tcBorders>
            <w:shd w:val="clear" w:color="000000" w:fill="FFFFFF"/>
            <w:vAlign w:val="center"/>
            <w:hideMark/>
          </w:tcPr>
          <w:p w14:paraId="1129C753"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Estimate</w:t>
            </w:r>
            <w:r w:rsidR="00BC6223">
              <w:rPr>
                <w:rFonts w:ascii="Cambria" w:eastAsia="Times New Roman" w:hAnsi="Cambria" w:cs="Arial"/>
                <w:sz w:val="20"/>
                <w:szCs w:val="20"/>
                <w:lang w:eastAsia="ko-KR"/>
              </w:rPr>
              <w:t>d Revenue Loss</w:t>
            </w:r>
            <w:r w:rsidRPr="00CD3A6C">
              <w:rPr>
                <w:rFonts w:ascii="Cambria" w:eastAsia="Times New Roman" w:hAnsi="Cambria" w:cs="Arial"/>
                <w:sz w:val="20"/>
                <w:szCs w:val="20"/>
                <w:lang w:eastAsia="ko-KR"/>
              </w:rPr>
              <w:t xml:space="preserve"> ($Million) </w:t>
            </w:r>
          </w:p>
        </w:tc>
        <w:tc>
          <w:tcPr>
            <w:tcW w:w="980" w:type="dxa"/>
            <w:tcBorders>
              <w:top w:val="nil"/>
              <w:left w:val="nil"/>
              <w:bottom w:val="single" w:sz="4" w:space="0" w:color="auto"/>
              <w:right w:val="single" w:sz="4" w:space="0" w:color="auto"/>
            </w:tcBorders>
            <w:shd w:val="clear" w:color="auto" w:fill="auto"/>
            <w:noWrap/>
            <w:vAlign w:val="center"/>
            <w:hideMark/>
          </w:tcPr>
          <w:p w14:paraId="0AD07FB7"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$245.5</w:t>
            </w:r>
          </w:p>
        </w:tc>
        <w:tc>
          <w:tcPr>
            <w:tcW w:w="980" w:type="dxa"/>
            <w:tcBorders>
              <w:top w:val="nil"/>
              <w:left w:val="nil"/>
              <w:bottom w:val="single" w:sz="4" w:space="0" w:color="auto"/>
              <w:right w:val="single" w:sz="4" w:space="0" w:color="auto"/>
            </w:tcBorders>
            <w:shd w:val="clear" w:color="auto" w:fill="auto"/>
            <w:noWrap/>
            <w:vAlign w:val="center"/>
            <w:hideMark/>
          </w:tcPr>
          <w:p w14:paraId="7BC04AAC"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$260.5</w:t>
            </w:r>
          </w:p>
        </w:tc>
        <w:tc>
          <w:tcPr>
            <w:tcW w:w="980" w:type="dxa"/>
            <w:tcBorders>
              <w:top w:val="nil"/>
              <w:left w:val="nil"/>
              <w:bottom w:val="single" w:sz="4" w:space="0" w:color="auto"/>
              <w:right w:val="single" w:sz="4" w:space="0" w:color="auto"/>
            </w:tcBorders>
            <w:shd w:val="clear" w:color="auto" w:fill="auto"/>
            <w:noWrap/>
            <w:vAlign w:val="center"/>
            <w:hideMark/>
          </w:tcPr>
          <w:p w14:paraId="1AFD955C"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$273.5</w:t>
            </w:r>
          </w:p>
        </w:tc>
        <w:tc>
          <w:tcPr>
            <w:tcW w:w="980" w:type="dxa"/>
            <w:tcBorders>
              <w:top w:val="nil"/>
              <w:left w:val="nil"/>
              <w:bottom w:val="single" w:sz="4" w:space="0" w:color="auto"/>
              <w:right w:val="single" w:sz="4" w:space="0" w:color="auto"/>
            </w:tcBorders>
            <w:shd w:val="clear" w:color="auto" w:fill="auto"/>
            <w:noWrap/>
            <w:vAlign w:val="center"/>
            <w:hideMark/>
          </w:tcPr>
          <w:p w14:paraId="0D579B0E"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$287.2</w:t>
            </w:r>
          </w:p>
        </w:tc>
        <w:tc>
          <w:tcPr>
            <w:tcW w:w="980" w:type="dxa"/>
            <w:tcBorders>
              <w:top w:val="nil"/>
              <w:left w:val="nil"/>
              <w:bottom w:val="single" w:sz="4" w:space="0" w:color="auto"/>
              <w:right w:val="single" w:sz="4" w:space="0" w:color="auto"/>
            </w:tcBorders>
            <w:shd w:val="clear" w:color="auto" w:fill="auto"/>
            <w:noWrap/>
            <w:vAlign w:val="center"/>
            <w:hideMark/>
          </w:tcPr>
          <w:p w14:paraId="74E41723" w14:textId="77777777" w:rsidR="00C61177" w:rsidRPr="00CD3A6C" w:rsidRDefault="00C61177" w:rsidP="00C61177">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$301.6</w:t>
            </w:r>
          </w:p>
        </w:tc>
      </w:tr>
    </w:tbl>
    <w:p w14:paraId="7B7D1975" w14:textId="77777777" w:rsidR="003211FC" w:rsidRDefault="003211FC" w:rsidP="00B23BA6">
      <w:pPr>
        <w:spacing w:after="0"/>
        <w:rPr>
          <w:rFonts w:asciiTheme="majorHAnsi" w:hAnsiTheme="majorHAnsi"/>
          <w:sz w:val="24"/>
          <w:szCs w:val="24"/>
        </w:rPr>
      </w:pPr>
    </w:p>
    <w:p w14:paraId="0946A966" w14:textId="69FE6634" w:rsidR="004D07EA" w:rsidRDefault="0039451F" w:rsidP="004D07EA">
      <w:pPr>
        <w:spacing w:after="0"/>
        <w:rPr>
          <w:rFonts w:asciiTheme="majorHAnsi" w:eastAsiaTheme="majorEastAsia" w:hAnsiTheme="majorHAnsi" w:cstheme="majorBidi"/>
          <w:bCs/>
          <w:color w:val="000000" w:themeColor="text1"/>
          <w:sz w:val="24"/>
          <w:szCs w:val="24"/>
        </w:rPr>
      </w:pPr>
      <w:bookmarkStart w:id="0" w:name="_Hlk56066700"/>
      <w:r>
        <w:rPr>
          <w:rFonts w:asciiTheme="majorHAnsi" w:eastAsiaTheme="majorEastAsia" w:hAnsiTheme="majorHAnsi" w:cstheme="majorBidi"/>
          <w:bCs/>
          <w:color w:val="000000" w:themeColor="text1"/>
          <w:sz w:val="24"/>
          <w:szCs w:val="24"/>
        </w:rPr>
        <w:t>As shown in</w:t>
      </w:r>
      <w:r w:rsidR="004D07EA">
        <w:rPr>
          <w:rFonts w:asciiTheme="majorHAnsi" w:eastAsiaTheme="majorEastAsia" w:hAnsiTheme="majorHAnsi" w:cstheme="majorBidi"/>
          <w:bCs/>
          <w:color w:val="000000" w:themeColor="text1"/>
          <w:sz w:val="24"/>
          <w:szCs w:val="24"/>
        </w:rPr>
        <w:t xml:space="preserve"> </w:t>
      </w:r>
      <w:r w:rsidR="004C1EE9">
        <w:rPr>
          <w:rFonts w:asciiTheme="majorHAnsi" w:eastAsiaTheme="majorEastAsia" w:hAnsiTheme="majorHAnsi" w:cstheme="majorBidi"/>
          <w:bCs/>
          <w:color w:val="000000" w:themeColor="text1"/>
          <w:sz w:val="24"/>
          <w:szCs w:val="24"/>
        </w:rPr>
        <w:t>T</w:t>
      </w:r>
      <w:r w:rsidR="004D07EA">
        <w:rPr>
          <w:rFonts w:asciiTheme="majorHAnsi" w:eastAsiaTheme="majorEastAsia" w:hAnsiTheme="majorHAnsi" w:cstheme="majorBidi"/>
          <w:bCs/>
          <w:color w:val="000000" w:themeColor="text1"/>
          <w:sz w:val="24"/>
          <w:szCs w:val="24"/>
        </w:rPr>
        <w:t xml:space="preserve">able </w:t>
      </w:r>
      <w:r w:rsidR="00E767A0">
        <w:rPr>
          <w:rFonts w:asciiTheme="majorHAnsi" w:eastAsiaTheme="majorEastAsia" w:hAnsiTheme="majorHAnsi" w:cstheme="majorBidi"/>
          <w:bCs/>
          <w:color w:val="000000" w:themeColor="text1"/>
          <w:sz w:val="24"/>
          <w:szCs w:val="24"/>
        </w:rPr>
        <w:t>2</w:t>
      </w:r>
      <w:r w:rsidR="004D07EA">
        <w:rPr>
          <w:rFonts w:asciiTheme="majorHAnsi" w:eastAsiaTheme="majorEastAsia" w:hAnsiTheme="majorHAnsi" w:cstheme="majorBidi"/>
          <w:bCs/>
          <w:color w:val="000000" w:themeColor="text1"/>
          <w:sz w:val="24"/>
          <w:szCs w:val="24"/>
        </w:rPr>
        <w:t>, there</w:t>
      </w:r>
      <w:r w:rsidR="004D07EA" w:rsidRPr="00476C5D">
        <w:rPr>
          <w:rFonts w:asciiTheme="majorHAnsi" w:eastAsiaTheme="majorEastAsia" w:hAnsiTheme="majorHAnsi" w:cstheme="majorBidi"/>
          <w:bCs/>
          <w:color w:val="000000" w:themeColor="text1"/>
          <w:sz w:val="24"/>
          <w:szCs w:val="24"/>
        </w:rPr>
        <w:t xml:space="preserve"> were </w:t>
      </w:r>
      <w:r w:rsidR="00E10004">
        <w:rPr>
          <w:rFonts w:asciiTheme="majorHAnsi" w:eastAsiaTheme="majorEastAsia" w:hAnsiTheme="majorHAnsi" w:cstheme="majorBidi"/>
          <w:bCs/>
          <w:color w:val="000000" w:themeColor="text1"/>
          <w:sz w:val="24"/>
          <w:szCs w:val="24"/>
        </w:rPr>
        <w:t>57,408</w:t>
      </w:r>
      <w:r w:rsidR="004D07EA">
        <w:rPr>
          <w:rFonts w:asciiTheme="majorHAnsi" w:eastAsiaTheme="majorEastAsia" w:hAnsiTheme="majorHAnsi" w:cstheme="majorBidi"/>
          <w:bCs/>
          <w:color w:val="000000" w:themeColor="text1"/>
          <w:sz w:val="24"/>
          <w:szCs w:val="24"/>
        </w:rPr>
        <w:t xml:space="preserve"> – </w:t>
      </w:r>
      <w:r w:rsidR="00E10004">
        <w:rPr>
          <w:rFonts w:asciiTheme="majorHAnsi" w:eastAsiaTheme="majorEastAsia" w:hAnsiTheme="majorHAnsi" w:cstheme="majorBidi"/>
          <w:bCs/>
          <w:color w:val="000000" w:themeColor="text1"/>
          <w:sz w:val="24"/>
          <w:szCs w:val="24"/>
        </w:rPr>
        <w:t>59,597</w:t>
      </w:r>
      <w:r w:rsidR="004D07EA">
        <w:rPr>
          <w:rFonts w:asciiTheme="majorHAnsi" w:eastAsiaTheme="majorEastAsia" w:hAnsiTheme="majorHAnsi" w:cstheme="majorBidi"/>
          <w:bCs/>
          <w:color w:val="000000" w:themeColor="text1"/>
          <w:sz w:val="24"/>
          <w:szCs w:val="24"/>
        </w:rPr>
        <w:t xml:space="preserve"> tax filers </w:t>
      </w:r>
      <w:r w:rsidR="0057274B">
        <w:rPr>
          <w:rFonts w:asciiTheme="majorHAnsi" w:eastAsiaTheme="majorEastAsia" w:hAnsiTheme="majorHAnsi" w:cstheme="majorBidi"/>
          <w:bCs/>
          <w:color w:val="000000" w:themeColor="text1"/>
          <w:sz w:val="24"/>
          <w:szCs w:val="24"/>
        </w:rPr>
        <w:t xml:space="preserve">per year </w:t>
      </w:r>
      <w:r w:rsidR="004D07EA">
        <w:rPr>
          <w:rFonts w:asciiTheme="majorHAnsi" w:eastAsiaTheme="majorEastAsia" w:hAnsiTheme="majorHAnsi" w:cstheme="majorBidi"/>
          <w:bCs/>
          <w:color w:val="000000" w:themeColor="text1"/>
          <w:sz w:val="24"/>
          <w:szCs w:val="24"/>
        </w:rPr>
        <w:t xml:space="preserve">who reported tangible property subject to local taxation </w:t>
      </w:r>
      <w:r w:rsidR="00826D71">
        <w:rPr>
          <w:rFonts w:asciiTheme="majorHAnsi" w:eastAsiaTheme="majorEastAsia" w:hAnsiTheme="majorHAnsi" w:cstheme="majorBidi"/>
          <w:bCs/>
          <w:color w:val="000000" w:themeColor="text1"/>
          <w:sz w:val="24"/>
          <w:szCs w:val="24"/>
        </w:rPr>
        <w:t>during</w:t>
      </w:r>
      <w:r w:rsidR="004D07EA">
        <w:rPr>
          <w:rFonts w:asciiTheme="majorHAnsi" w:eastAsiaTheme="majorEastAsia" w:hAnsiTheme="majorHAnsi" w:cstheme="majorBidi"/>
          <w:bCs/>
          <w:color w:val="000000" w:themeColor="text1"/>
          <w:sz w:val="24"/>
          <w:szCs w:val="24"/>
        </w:rPr>
        <w:t xml:space="preserve"> the</w:t>
      </w:r>
      <w:r w:rsidR="00BC6223">
        <w:rPr>
          <w:rFonts w:asciiTheme="majorHAnsi" w:eastAsiaTheme="majorEastAsia" w:hAnsiTheme="majorHAnsi" w:cstheme="majorBidi"/>
          <w:bCs/>
          <w:color w:val="000000" w:themeColor="text1"/>
          <w:sz w:val="24"/>
          <w:szCs w:val="24"/>
        </w:rPr>
        <w:t xml:space="preserve"> tax</w:t>
      </w:r>
      <w:r w:rsidR="004D07EA">
        <w:rPr>
          <w:rFonts w:asciiTheme="majorHAnsi" w:eastAsiaTheme="majorEastAsia" w:hAnsiTheme="majorHAnsi" w:cstheme="majorBidi"/>
          <w:bCs/>
          <w:color w:val="000000" w:themeColor="text1"/>
          <w:sz w:val="24"/>
          <w:szCs w:val="24"/>
        </w:rPr>
        <w:t xml:space="preserve"> years 2015 through 2018</w:t>
      </w:r>
      <w:bookmarkEnd w:id="0"/>
      <w:r w:rsidR="004D07EA">
        <w:rPr>
          <w:rFonts w:asciiTheme="majorHAnsi" w:eastAsiaTheme="majorEastAsia" w:hAnsiTheme="majorHAnsi" w:cstheme="majorBidi"/>
          <w:bCs/>
          <w:color w:val="000000" w:themeColor="text1"/>
          <w:sz w:val="24"/>
          <w:szCs w:val="24"/>
        </w:rPr>
        <w:t xml:space="preserve">. </w:t>
      </w:r>
      <w:r w:rsidR="003B0A43">
        <w:rPr>
          <w:rFonts w:asciiTheme="majorHAnsi" w:eastAsiaTheme="majorEastAsia" w:hAnsiTheme="majorHAnsi" w:cstheme="majorBidi"/>
          <w:bCs/>
          <w:color w:val="000000" w:themeColor="text1"/>
          <w:sz w:val="24"/>
          <w:szCs w:val="24"/>
        </w:rPr>
        <w:t>The a</w:t>
      </w:r>
      <w:r w:rsidR="00BC6223">
        <w:rPr>
          <w:rFonts w:asciiTheme="majorHAnsi" w:eastAsiaTheme="majorEastAsia" w:hAnsiTheme="majorHAnsi" w:cstheme="majorBidi"/>
          <w:bCs/>
          <w:color w:val="000000" w:themeColor="text1"/>
          <w:sz w:val="24"/>
          <w:szCs w:val="24"/>
        </w:rPr>
        <w:t>verage amount</w:t>
      </w:r>
      <w:r w:rsidR="007E23AA">
        <w:rPr>
          <w:rFonts w:asciiTheme="majorHAnsi" w:eastAsiaTheme="majorEastAsia" w:hAnsiTheme="majorHAnsi" w:cstheme="majorBidi"/>
          <w:bCs/>
          <w:color w:val="000000" w:themeColor="text1"/>
          <w:sz w:val="24"/>
          <w:szCs w:val="24"/>
        </w:rPr>
        <w:t xml:space="preserve"> of such </w:t>
      </w:r>
      <w:r w:rsidR="004D07EA">
        <w:rPr>
          <w:rFonts w:asciiTheme="majorHAnsi" w:eastAsiaTheme="majorEastAsia" w:hAnsiTheme="majorHAnsi" w:cstheme="majorBidi"/>
          <w:bCs/>
          <w:color w:val="000000" w:themeColor="text1"/>
          <w:sz w:val="24"/>
          <w:szCs w:val="24"/>
        </w:rPr>
        <w:t xml:space="preserve">property </w:t>
      </w:r>
      <w:r w:rsidR="007E23AA">
        <w:rPr>
          <w:rFonts w:asciiTheme="majorHAnsi" w:eastAsiaTheme="majorEastAsia" w:hAnsiTheme="majorHAnsi" w:cstheme="majorBidi"/>
          <w:bCs/>
          <w:color w:val="000000" w:themeColor="text1"/>
          <w:sz w:val="24"/>
          <w:szCs w:val="24"/>
        </w:rPr>
        <w:t>ranged from</w:t>
      </w:r>
      <w:r w:rsidR="004D07EA">
        <w:rPr>
          <w:rFonts w:asciiTheme="majorHAnsi" w:eastAsiaTheme="majorEastAsia" w:hAnsiTheme="majorHAnsi" w:cstheme="majorBidi"/>
          <w:bCs/>
          <w:color w:val="000000" w:themeColor="text1"/>
          <w:sz w:val="24"/>
          <w:szCs w:val="24"/>
        </w:rPr>
        <w:t xml:space="preserve"> about $</w:t>
      </w:r>
      <w:r w:rsidR="007E23AA">
        <w:rPr>
          <w:rFonts w:asciiTheme="majorHAnsi" w:eastAsiaTheme="majorEastAsia" w:hAnsiTheme="majorHAnsi" w:cstheme="majorBidi"/>
          <w:bCs/>
          <w:color w:val="000000" w:themeColor="text1"/>
          <w:sz w:val="24"/>
          <w:szCs w:val="24"/>
        </w:rPr>
        <w:t>2.1 million</w:t>
      </w:r>
      <w:r w:rsidR="004D07EA">
        <w:rPr>
          <w:rFonts w:asciiTheme="majorHAnsi" w:eastAsiaTheme="majorEastAsia" w:hAnsiTheme="majorHAnsi" w:cstheme="majorBidi"/>
          <w:bCs/>
          <w:color w:val="000000" w:themeColor="text1"/>
          <w:sz w:val="24"/>
          <w:szCs w:val="24"/>
        </w:rPr>
        <w:t xml:space="preserve"> in </w:t>
      </w:r>
      <w:r w:rsidR="007E23AA">
        <w:rPr>
          <w:rFonts w:asciiTheme="majorHAnsi" w:eastAsiaTheme="majorEastAsia" w:hAnsiTheme="majorHAnsi" w:cstheme="majorBidi"/>
          <w:bCs/>
          <w:color w:val="000000" w:themeColor="text1"/>
          <w:sz w:val="24"/>
          <w:szCs w:val="24"/>
        </w:rPr>
        <w:t>2015 to</w:t>
      </w:r>
      <w:r w:rsidR="004D07EA">
        <w:rPr>
          <w:rFonts w:asciiTheme="majorHAnsi" w:eastAsiaTheme="majorEastAsia" w:hAnsiTheme="majorHAnsi" w:cstheme="majorBidi"/>
          <w:bCs/>
          <w:color w:val="000000" w:themeColor="text1"/>
          <w:sz w:val="24"/>
          <w:szCs w:val="24"/>
        </w:rPr>
        <w:t xml:space="preserve"> </w:t>
      </w:r>
      <w:r w:rsidR="007E23AA">
        <w:rPr>
          <w:rFonts w:asciiTheme="majorHAnsi" w:eastAsiaTheme="majorEastAsia" w:hAnsiTheme="majorHAnsi" w:cstheme="majorBidi"/>
          <w:bCs/>
          <w:color w:val="000000" w:themeColor="text1"/>
          <w:sz w:val="24"/>
          <w:szCs w:val="24"/>
        </w:rPr>
        <w:t xml:space="preserve">about </w:t>
      </w:r>
      <w:r w:rsidR="004D07EA">
        <w:rPr>
          <w:rFonts w:asciiTheme="majorHAnsi" w:eastAsiaTheme="majorEastAsia" w:hAnsiTheme="majorHAnsi" w:cstheme="majorBidi"/>
          <w:bCs/>
          <w:color w:val="000000" w:themeColor="text1"/>
          <w:sz w:val="24"/>
          <w:szCs w:val="24"/>
        </w:rPr>
        <w:t>$</w:t>
      </w:r>
      <w:r w:rsidR="007E23AA">
        <w:rPr>
          <w:rFonts w:asciiTheme="majorHAnsi" w:eastAsiaTheme="majorEastAsia" w:hAnsiTheme="majorHAnsi" w:cstheme="majorBidi"/>
          <w:bCs/>
          <w:color w:val="000000" w:themeColor="text1"/>
          <w:sz w:val="24"/>
          <w:szCs w:val="24"/>
        </w:rPr>
        <w:t>2.6 million</w:t>
      </w:r>
      <w:r w:rsidR="004D07EA">
        <w:rPr>
          <w:rFonts w:asciiTheme="majorHAnsi" w:eastAsiaTheme="majorEastAsia" w:hAnsiTheme="majorHAnsi" w:cstheme="majorBidi"/>
          <w:bCs/>
          <w:color w:val="000000" w:themeColor="text1"/>
          <w:sz w:val="24"/>
          <w:szCs w:val="24"/>
        </w:rPr>
        <w:t xml:space="preserve"> in </w:t>
      </w:r>
      <w:r w:rsidR="007E23AA">
        <w:rPr>
          <w:rFonts w:asciiTheme="majorHAnsi" w:eastAsiaTheme="majorEastAsia" w:hAnsiTheme="majorHAnsi" w:cstheme="majorBidi"/>
          <w:bCs/>
          <w:color w:val="000000" w:themeColor="text1"/>
          <w:sz w:val="24"/>
          <w:szCs w:val="24"/>
        </w:rPr>
        <w:t>2018</w:t>
      </w:r>
      <w:r w:rsidR="004D07EA">
        <w:rPr>
          <w:rFonts w:asciiTheme="majorHAnsi" w:eastAsiaTheme="majorEastAsia" w:hAnsiTheme="majorHAnsi" w:cstheme="majorBidi"/>
          <w:bCs/>
          <w:color w:val="000000" w:themeColor="text1"/>
          <w:sz w:val="24"/>
          <w:szCs w:val="24"/>
        </w:rPr>
        <w:t xml:space="preserve">. </w:t>
      </w:r>
    </w:p>
    <w:p w14:paraId="76DD6653" w14:textId="77777777" w:rsidR="004D07EA" w:rsidRDefault="004D07EA" w:rsidP="00B23BA6">
      <w:pPr>
        <w:spacing w:after="0"/>
        <w:rPr>
          <w:rFonts w:asciiTheme="majorHAnsi" w:hAnsiTheme="majorHAnsi"/>
          <w:sz w:val="24"/>
          <w:szCs w:val="24"/>
        </w:rPr>
      </w:pPr>
    </w:p>
    <w:p w14:paraId="26AB67CE" w14:textId="77777777" w:rsidR="00C61177" w:rsidRDefault="00C61177" w:rsidP="00C61177">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2</w:t>
      </w:r>
      <w:r w:rsidRPr="00CA0391">
        <w:rPr>
          <w:rFonts w:asciiTheme="majorHAnsi" w:hAnsiTheme="majorHAnsi"/>
          <w:b/>
          <w:sz w:val="24"/>
          <w:szCs w:val="24"/>
        </w:rPr>
        <w:t xml:space="preserve">. </w:t>
      </w:r>
      <w:r>
        <w:rPr>
          <w:rFonts w:asciiTheme="majorHAnsi" w:hAnsiTheme="majorHAnsi"/>
          <w:b/>
          <w:sz w:val="24"/>
          <w:szCs w:val="24"/>
        </w:rPr>
        <w:t xml:space="preserve"> Tangible Property Subject to Local Taxation</w:t>
      </w:r>
    </w:p>
    <w:tbl>
      <w:tblPr>
        <w:tblW w:w="9630" w:type="dxa"/>
        <w:tblInd w:w="-5" w:type="dxa"/>
        <w:tblLook w:val="04A0" w:firstRow="1" w:lastRow="0" w:firstColumn="1" w:lastColumn="0" w:noHBand="0" w:noVBand="1"/>
      </w:tblPr>
      <w:tblGrid>
        <w:gridCol w:w="1530"/>
        <w:gridCol w:w="1278"/>
        <w:gridCol w:w="752"/>
        <w:gridCol w:w="1278"/>
        <w:gridCol w:w="752"/>
        <w:gridCol w:w="1278"/>
        <w:gridCol w:w="752"/>
        <w:gridCol w:w="1278"/>
        <w:gridCol w:w="849"/>
      </w:tblGrid>
      <w:tr w:rsidR="00C61177" w:rsidRPr="00EF483F" w14:paraId="4BE9E687" w14:textId="77777777" w:rsidTr="00CF3070">
        <w:tc>
          <w:tcPr>
            <w:tcW w:w="1530"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bottom"/>
            <w:hideMark/>
          </w:tcPr>
          <w:p w14:paraId="18BA01CF"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 </w:t>
            </w:r>
          </w:p>
        </w:tc>
        <w:tc>
          <w:tcPr>
            <w:tcW w:w="1913"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32E42FFA" w14:textId="77777777" w:rsidR="00C61177" w:rsidRPr="00EF483F" w:rsidRDefault="00C61177" w:rsidP="00C61177">
            <w:pPr>
              <w:spacing w:after="0" w:line="240" w:lineRule="auto"/>
              <w:jc w:val="center"/>
              <w:rPr>
                <w:rFonts w:ascii="Cambria" w:eastAsia="Times New Roman" w:hAnsi="Cambria" w:cs="Arial"/>
                <w:color w:val="000000"/>
                <w:sz w:val="18"/>
                <w:szCs w:val="18"/>
                <w:lang w:eastAsia="ko-KR"/>
              </w:rPr>
            </w:pPr>
            <w:r w:rsidRPr="00EF483F">
              <w:rPr>
                <w:rFonts w:ascii="Cambria" w:eastAsia="Times New Roman" w:hAnsi="Cambria" w:cs="Arial"/>
                <w:color w:val="000000"/>
                <w:sz w:val="18"/>
                <w:szCs w:val="18"/>
                <w:lang w:eastAsia="ko-KR"/>
              </w:rPr>
              <w:t>2015</w:t>
            </w:r>
          </w:p>
        </w:tc>
        <w:tc>
          <w:tcPr>
            <w:tcW w:w="2030"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77115220" w14:textId="77777777" w:rsidR="00C61177" w:rsidRPr="00EF483F" w:rsidRDefault="00C61177" w:rsidP="00C61177">
            <w:pPr>
              <w:spacing w:after="0" w:line="240" w:lineRule="auto"/>
              <w:jc w:val="center"/>
              <w:rPr>
                <w:rFonts w:ascii="Cambria" w:eastAsia="Times New Roman" w:hAnsi="Cambria" w:cs="Arial"/>
                <w:color w:val="000000"/>
                <w:sz w:val="18"/>
                <w:szCs w:val="18"/>
                <w:lang w:eastAsia="ko-KR"/>
              </w:rPr>
            </w:pPr>
            <w:r w:rsidRPr="00EF483F">
              <w:rPr>
                <w:rFonts w:ascii="Cambria" w:eastAsia="Times New Roman" w:hAnsi="Cambria" w:cs="Arial"/>
                <w:color w:val="000000"/>
                <w:sz w:val="18"/>
                <w:szCs w:val="18"/>
                <w:lang w:eastAsia="ko-KR"/>
              </w:rPr>
              <w:t>2016</w:t>
            </w:r>
          </w:p>
        </w:tc>
        <w:tc>
          <w:tcPr>
            <w:tcW w:w="2030"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6E887A53" w14:textId="77777777" w:rsidR="00C61177" w:rsidRPr="00EF483F" w:rsidRDefault="00C61177" w:rsidP="00C61177">
            <w:pPr>
              <w:spacing w:after="0" w:line="240" w:lineRule="auto"/>
              <w:jc w:val="center"/>
              <w:rPr>
                <w:rFonts w:ascii="Cambria" w:eastAsia="Times New Roman" w:hAnsi="Cambria" w:cs="Arial"/>
                <w:color w:val="000000"/>
                <w:sz w:val="18"/>
                <w:szCs w:val="18"/>
                <w:lang w:eastAsia="ko-KR"/>
              </w:rPr>
            </w:pPr>
            <w:r w:rsidRPr="00EF483F">
              <w:rPr>
                <w:rFonts w:ascii="Cambria" w:eastAsia="Times New Roman" w:hAnsi="Cambria" w:cs="Arial"/>
                <w:color w:val="000000"/>
                <w:sz w:val="18"/>
                <w:szCs w:val="18"/>
                <w:lang w:eastAsia="ko-KR"/>
              </w:rPr>
              <w:t>2017</w:t>
            </w:r>
          </w:p>
        </w:tc>
        <w:tc>
          <w:tcPr>
            <w:tcW w:w="2127"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04C9C727" w14:textId="77777777" w:rsidR="00C61177" w:rsidRPr="00EF483F" w:rsidRDefault="00C61177" w:rsidP="00C61177">
            <w:pPr>
              <w:spacing w:after="0" w:line="240" w:lineRule="auto"/>
              <w:jc w:val="center"/>
              <w:rPr>
                <w:rFonts w:ascii="Cambria" w:eastAsia="Times New Roman" w:hAnsi="Cambria" w:cs="Arial"/>
                <w:color w:val="000000"/>
                <w:sz w:val="18"/>
                <w:szCs w:val="18"/>
                <w:lang w:eastAsia="ko-KR"/>
              </w:rPr>
            </w:pPr>
            <w:r w:rsidRPr="00EF483F">
              <w:rPr>
                <w:rFonts w:ascii="Cambria" w:eastAsia="Times New Roman" w:hAnsi="Cambria" w:cs="Arial"/>
                <w:color w:val="000000"/>
                <w:sz w:val="18"/>
                <w:szCs w:val="18"/>
                <w:lang w:eastAsia="ko-KR"/>
              </w:rPr>
              <w:t>2018</w:t>
            </w:r>
          </w:p>
        </w:tc>
      </w:tr>
      <w:tr w:rsidR="00C61177" w:rsidRPr="00EF483F" w14:paraId="0B6829F0" w14:textId="77777777" w:rsidTr="00CF3070">
        <w:tc>
          <w:tcPr>
            <w:tcW w:w="1530"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14:paraId="673DAE32" w14:textId="77777777" w:rsidR="00C61177" w:rsidRPr="00EF483F" w:rsidRDefault="00C61177" w:rsidP="00C61177">
            <w:pPr>
              <w:spacing w:after="0" w:line="240" w:lineRule="auto"/>
              <w:rPr>
                <w:rFonts w:ascii="Cambria" w:eastAsia="Times New Roman" w:hAnsi="Cambria" w:cs="Arial"/>
                <w:sz w:val="18"/>
                <w:szCs w:val="18"/>
                <w:lang w:eastAsia="ko-KR"/>
              </w:rPr>
            </w:pPr>
          </w:p>
        </w:tc>
        <w:tc>
          <w:tcPr>
            <w:tcW w:w="1161" w:type="dxa"/>
            <w:tcBorders>
              <w:top w:val="nil"/>
              <w:left w:val="nil"/>
              <w:bottom w:val="single" w:sz="4" w:space="0" w:color="auto"/>
              <w:right w:val="single" w:sz="4" w:space="0" w:color="auto"/>
            </w:tcBorders>
            <w:shd w:val="clear" w:color="auto" w:fill="B6DDE8" w:themeFill="accent5" w:themeFillTint="66"/>
            <w:noWrap/>
            <w:vAlign w:val="center"/>
            <w:hideMark/>
          </w:tcPr>
          <w:p w14:paraId="4450963F"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Amount</w:t>
            </w:r>
          </w:p>
          <w:p w14:paraId="62A0BFCF"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($000)</w:t>
            </w:r>
          </w:p>
        </w:tc>
        <w:tc>
          <w:tcPr>
            <w:tcW w:w="752" w:type="dxa"/>
            <w:tcBorders>
              <w:top w:val="nil"/>
              <w:left w:val="nil"/>
              <w:bottom w:val="single" w:sz="4" w:space="0" w:color="auto"/>
              <w:right w:val="single" w:sz="4" w:space="0" w:color="auto"/>
            </w:tcBorders>
            <w:shd w:val="clear" w:color="auto" w:fill="B6DDE8" w:themeFill="accent5" w:themeFillTint="66"/>
            <w:noWrap/>
            <w:vAlign w:val="center"/>
            <w:hideMark/>
          </w:tcPr>
          <w:p w14:paraId="4BEB48A2"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Count</w:t>
            </w:r>
          </w:p>
        </w:tc>
        <w:tc>
          <w:tcPr>
            <w:tcW w:w="1278" w:type="dxa"/>
            <w:tcBorders>
              <w:top w:val="nil"/>
              <w:left w:val="nil"/>
              <w:bottom w:val="single" w:sz="4" w:space="0" w:color="auto"/>
              <w:right w:val="single" w:sz="4" w:space="0" w:color="auto"/>
            </w:tcBorders>
            <w:shd w:val="clear" w:color="auto" w:fill="B6DDE8" w:themeFill="accent5" w:themeFillTint="66"/>
            <w:noWrap/>
            <w:vAlign w:val="center"/>
            <w:hideMark/>
          </w:tcPr>
          <w:p w14:paraId="1C4E3FED"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Amount</w:t>
            </w:r>
          </w:p>
          <w:p w14:paraId="00F72F1C"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($000)</w:t>
            </w:r>
          </w:p>
        </w:tc>
        <w:tc>
          <w:tcPr>
            <w:tcW w:w="752" w:type="dxa"/>
            <w:tcBorders>
              <w:top w:val="nil"/>
              <w:left w:val="nil"/>
              <w:bottom w:val="single" w:sz="4" w:space="0" w:color="auto"/>
              <w:right w:val="single" w:sz="4" w:space="0" w:color="auto"/>
            </w:tcBorders>
            <w:shd w:val="clear" w:color="auto" w:fill="B6DDE8" w:themeFill="accent5" w:themeFillTint="66"/>
            <w:noWrap/>
            <w:vAlign w:val="center"/>
            <w:hideMark/>
          </w:tcPr>
          <w:p w14:paraId="25D6E7A4"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Count</w:t>
            </w:r>
          </w:p>
        </w:tc>
        <w:tc>
          <w:tcPr>
            <w:tcW w:w="1278" w:type="dxa"/>
            <w:tcBorders>
              <w:top w:val="nil"/>
              <w:left w:val="nil"/>
              <w:bottom w:val="single" w:sz="4" w:space="0" w:color="auto"/>
              <w:right w:val="single" w:sz="4" w:space="0" w:color="auto"/>
            </w:tcBorders>
            <w:shd w:val="clear" w:color="auto" w:fill="B6DDE8" w:themeFill="accent5" w:themeFillTint="66"/>
            <w:noWrap/>
            <w:vAlign w:val="center"/>
            <w:hideMark/>
          </w:tcPr>
          <w:p w14:paraId="40814756"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Amount</w:t>
            </w:r>
          </w:p>
          <w:p w14:paraId="3A9A7B88"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($000)</w:t>
            </w:r>
          </w:p>
        </w:tc>
        <w:tc>
          <w:tcPr>
            <w:tcW w:w="752" w:type="dxa"/>
            <w:tcBorders>
              <w:top w:val="nil"/>
              <w:left w:val="nil"/>
              <w:bottom w:val="single" w:sz="4" w:space="0" w:color="auto"/>
              <w:right w:val="single" w:sz="4" w:space="0" w:color="auto"/>
            </w:tcBorders>
            <w:shd w:val="clear" w:color="auto" w:fill="B6DDE8" w:themeFill="accent5" w:themeFillTint="66"/>
            <w:noWrap/>
            <w:vAlign w:val="center"/>
            <w:hideMark/>
          </w:tcPr>
          <w:p w14:paraId="5381E4ED"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Count</w:t>
            </w:r>
          </w:p>
        </w:tc>
        <w:tc>
          <w:tcPr>
            <w:tcW w:w="1278" w:type="dxa"/>
            <w:tcBorders>
              <w:top w:val="nil"/>
              <w:left w:val="nil"/>
              <w:bottom w:val="single" w:sz="4" w:space="0" w:color="auto"/>
              <w:right w:val="single" w:sz="4" w:space="0" w:color="auto"/>
            </w:tcBorders>
            <w:shd w:val="clear" w:color="auto" w:fill="B6DDE8" w:themeFill="accent5" w:themeFillTint="66"/>
            <w:noWrap/>
            <w:vAlign w:val="center"/>
            <w:hideMark/>
          </w:tcPr>
          <w:p w14:paraId="39382DBE"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Amount</w:t>
            </w:r>
          </w:p>
          <w:p w14:paraId="3B3F9D1A"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($000)</w:t>
            </w:r>
          </w:p>
        </w:tc>
        <w:tc>
          <w:tcPr>
            <w:tcW w:w="849" w:type="dxa"/>
            <w:tcBorders>
              <w:top w:val="nil"/>
              <w:left w:val="nil"/>
              <w:bottom w:val="single" w:sz="4" w:space="0" w:color="auto"/>
              <w:right w:val="single" w:sz="4" w:space="0" w:color="auto"/>
            </w:tcBorders>
            <w:shd w:val="clear" w:color="auto" w:fill="B6DDE8" w:themeFill="accent5" w:themeFillTint="66"/>
            <w:noWrap/>
            <w:vAlign w:val="center"/>
            <w:hideMark/>
          </w:tcPr>
          <w:p w14:paraId="127AC870"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Count</w:t>
            </w:r>
          </w:p>
        </w:tc>
      </w:tr>
      <w:tr w:rsidR="00C61177" w:rsidRPr="00EF483F" w14:paraId="34A86404" w14:textId="77777777" w:rsidTr="00CF3070">
        <w:tc>
          <w:tcPr>
            <w:tcW w:w="1530" w:type="dxa"/>
            <w:tcBorders>
              <w:top w:val="nil"/>
              <w:left w:val="single" w:sz="4" w:space="0" w:color="auto"/>
              <w:bottom w:val="single" w:sz="4" w:space="0" w:color="auto"/>
              <w:right w:val="single" w:sz="4" w:space="0" w:color="auto"/>
            </w:tcBorders>
            <w:shd w:val="clear" w:color="000000" w:fill="auto"/>
            <w:vAlign w:val="center"/>
            <w:hideMark/>
          </w:tcPr>
          <w:p w14:paraId="361D86F9"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Tangible property subject to local taxation</w:t>
            </w:r>
          </w:p>
        </w:tc>
        <w:tc>
          <w:tcPr>
            <w:tcW w:w="1161" w:type="dxa"/>
            <w:tcBorders>
              <w:top w:val="nil"/>
              <w:left w:val="nil"/>
              <w:bottom w:val="single" w:sz="4" w:space="0" w:color="auto"/>
              <w:right w:val="single" w:sz="4" w:space="0" w:color="auto"/>
            </w:tcBorders>
            <w:shd w:val="clear" w:color="000000" w:fill="auto"/>
            <w:noWrap/>
            <w:vAlign w:val="center"/>
            <w:hideMark/>
          </w:tcPr>
          <w:p w14:paraId="25CFCD6F"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$125,772,342</w:t>
            </w:r>
          </w:p>
        </w:tc>
        <w:tc>
          <w:tcPr>
            <w:tcW w:w="752" w:type="dxa"/>
            <w:tcBorders>
              <w:top w:val="nil"/>
              <w:left w:val="nil"/>
              <w:bottom w:val="single" w:sz="4" w:space="0" w:color="auto"/>
              <w:right w:val="single" w:sz="4" w:space="0" w:color="auto"/>
            </w:tcBorders>
            <w:shd w:val="clear" w:color="000000" w:fill="auto"/>
            <w:noWrap/>
            <w:vAlign w:val="center"/>
            <w:hideMark/>
          </w:tcPr>
          <w:p w14:paraId="3008E009"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58,739</w:t>
            </w:r>
          </w:p>
        </w:tc>
        <w:tc>
          <w:tcPr>
            <w:tcW w:w="1278" w:type="dxa"/>
            <w:tcBorders>
              <w:top w:val="nil"/>
              <w:left w:val="nil"/>
              <w:bottom w:val="single" w:sz="4" w:space="0" w:color="auto"/>
              <w:right w:val="single" w:sz="4" w:space="0" w:color="auto"/>
            </w:tcBorders>
            <w:shd w:val="clear" w:color="000000" w:fill="auto"/>
            <w:noWrap/>
            <w:vAlign w:val="center"/>
            <w:hideMark/>
          </w:tcPr>
          <w:p w14:paraId="5F878266"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$131,980,417</w:t>
            </w:r>
          </w:p>
        </w:tc>
        <w:tc>
          <w:tcPr>
            <w:tcW w:w="752" w:type="dxa"/>
            <w:tcBorders>
              <w:top w:val="nil"/>
              <w:left w:val="nil"/>
              <w:bottom w:val="single" w:sz="4" w:space="0" w:color="auto"/>
              <w:right w:val="single" w:sz="4" w:space="0" w:color="auto"/>
            </w:tcBorders>
            <w:shd w:val="clear" w:color="000000" w:fill="auto"/>
            <w:noWrap/>
            <w:vAlign w:val="center"/>
            <w:hideMark/>
          </w:tcPr>
          <w:p w14:paraId="6CA267AE"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59,597</w:t>
            </w:r>
          </w:p>
        </w:tc>
        <w:tc>
          <w:tcPr>
            <w:tcW w:w="1278" w:type="dxa"/>
            <w:tcBorders>
              <w:top w:val="nil"/>
              <w:left w:val="nil"/>
              <w:bottom w:val="single" w:sz="4" w:space="0" w:color="auto"/>
              <w:right w:val="single" w:sz="4" w:space="0" w:color="auto"/>
            </w:tcBorders>
            <w:shd w:val="clear" w:color="000000" w:fill="auto"/>
            <w:noWrap/>
            <w:vAlign w:val="center"/>
            <w:hideMark/>
          </w:tcPr>
          <w:p w14:paraId="2D707C3E"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$141,463,727</w:t>
            </w:r>
          </w:p>
        </w:tc>
        <w:tc>
          <w:tcPr>
            <w:tcW w:w="752" w:type="dxa"/>
            <w:tcBorders>
              <w:top w:val="nil"/>
              <w:left w:val="nil"/>
              <w:bottom w:val="single" w:sz="4" w:space="0" w:color="auto"/>
              <w:right w:val="single" w:sz="4" w:space="0" w:color="auto"/>
            </w:tcBorders>
            <w:shd w:val="clear" w:color="000000" w:fill="auto"/>
            <w:noWrap/>
            <w:vAlign w:val="center"/>
            <w:hideMark/>
          </w:tcPr>
          <w:p w14:paraId="4F5B1E14"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59,520</w:t>
            </w:r>
          </w:p>
        </w:tc>
        <w:tc>
          <w:tcPr>
            <w:tcW w:w="1278" w:type="dxa"/>
            <w:tcBorders>
              <w:top w:val="nil"/>
              <w:left w:val="nil"/>
              <w:bottom w:val="single" w:sz="4" w:space="0" w:color="auto"/>
              <w:right w:val="single" w:sz="4" w:space="0" w:color="auto"/>
            </w:tcBorders>
            <w:shd w:val="clear" w:color="000000" w:fill="auto"/>
            <w:noWrap/>
            <w:vAlign w:val="center"/>
            <w:hideMark/>
          </w:tcPr>
          <w:p w14:paraId="759DD102"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$148,034,837</w:t>
            </w:r>
          </w:p>
        </w:tc>
        <w:tc>
          <w:tcPr>
            <w:tcW w:w="849" w:type="dxa"/>
            <w:tcBorders>
              <w:top w:val="nil"/>
              <w:left w:val="nil"/>
              <w:bottom w:val="single" w:sz="4" w:space="0" w:color="auto"/>
              <w:right w:val="single" w:sz="4" w:space="0" w:color="auto"/>
            </w:tcBorders>
            <w:shd w:val="clear" w:color="000000" w:fill="auto"/>
            <w:noWrap/>
            <w:vAlign w:val="center"/>
            <w:hideMark/>
          </w:tcPr>
          <w:p w14:paraId="42684192"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57,408</w:t>
            </w:r>
          </w:p>
        </w:tc>
      </w:tr>
      <w:tr w:rsidR="00C61177" w:rsidRPr="00EF483F" w14:paraId="4ADCE8EA" w14:textId="77777777" w:rsidTr="00CF3070">
        <w:tc>
          <w:tcPr>
            <w:tcW w:w="1530" w:type="dxa"/>
            <w:tcBorders>
              <w:top w:val="nil"/>
              <w:left w:val="single" w:sz="4" w:space="0" w:color="auto"/>
              <w:bottom w:val="single" w:sz="4" w:space="0" w:color="auto"/>
              <w:right w:val="single" w:sz="4" w:space="0" w:color="auto"/>
            </w:tcBorders>
            <w:shd w:val="clear" w:color="000000" w:fill="auto"/>
            <w:vAlign w:val="center"/>
            <w:hideMark/>
          </w:tcPr>
          <w:p w14:paraId="3B11CF76" w14:textId="77777777" w:rsidR="00C61177" w:rsidRPr="00EF483F" w:rsidRDefault="0039451F" w:rsidP="00C61177">
            <w:pPr>
              <w:spacing w:after="0" w:line="240" w:lineRule="auto"/>
              <w:jc w:val="center"/>
              <w:rPr>
                <w:rFonts w:ascii="Cambria" w:eastAsia="Times New Roman" w:hAnsi="Cambria" w:cs="Arial"/>
                <w:sz w:val="18"/>
                <w:szCs w:val="18"/>
                <w:lang w:eastAsia="ko-KR"/>
              </w:rPr>
            </w:pPr>
            <w:r>
              <w:rPr>
                <w:rFonts w:ascii="Cambria" w:eastAsia="Times New Roman" w:hAnsi="Cambria" w:cs="Arial"/>
                <w:sz w:val="18"/>
                <w:szCs w:val="18"/>
                <w:lang w:eastAsia="ko-KR"/>
              </w:rPr>
              <w:t xml:space="preserve">Average </w:t>
            </w:r>
            <w:r w:rsidR="00C61177" w:rsidRPr="00EF483F">
              <w:rPr>
                <w:rFonts w:ascii="Cambria" w:eastAsia="Times New Roman" w:hAnsi="Cambria" w:cs="Arial"/>
                <w:sz w:val="18"/>
                <w:szCs w:val="18"/>
                <w:lang w:eastAsia="ko-KR"/>
              </w:rPr>
              <w:t xml:space="preserve">Amount </w:t>
            </w:r>
          </w:p>
        </w:tc>
        <w:tc>
          <w:tcPr>
            <w:tcW w:w="1161" w:type="dxa"/>
            <w:tcBorders>
              <w:top w:val="single" w:sz="4" w:space="0" w:color="auto"/>
              <w:left w:val="nil"/>
              <w:bottom w:val="single" w:sz="4" w:space="0" w:color="auto"/>
              <w:right w:val="single" w:sz="4" w:space="0" w:color="000000"/>
            </w:tcBorders>
            <w:shd w:val="clear" w:color="000000" w:fill="auto"/>
            <w:noWrap/>
            <w:vAlign w:val="center"/>
            <w:hideMark/>
          </w:tcPr>
          <w:p w14:paraId="3550ABD3"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$2,141</w:t>
            </w:r>
          </w:p>
        </w:tc>
        <w:tc>
          <w:tcPr>
            <w:tcW w:w="752" w:type="dxa"/>
            <w:tcBorders>
              <w:top w:val="single" w:sz="4" w:space="0" w:color="auto"/>
              <w:left w:val="nil"/>
              <w:bottom w:val="single" w:sz="4" w:space="0" w:color="auto"/>
              <w:right w:val="single" w:sz="4" w:space="0" w:color="000000"/>
            </w:tcBorders>
            <w:shd w:val="clear" w:color="000000" w:fill="auto"/>
            <w:vAlign w:val="center"/>
          </w:tcPr>
          <w:p w14:paraId="72DC7BD7"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NA</w:t>
            </w:r>
          </w:p>
        </w:tc>
        <w:tc>
          <w:tcPr>
            <w:tcW w:w="1278" w:type="dxa"/>
            <w:tcBorders>
              <w:top w:val="single" w:sz="4" w:space="0" w:color="auto"/>
              <w:left w:val="nil"/>
              <w:bottom w:val="single" w:sz="4" w:space="0" w:color="auto"/>
              <w:right w:val="single" w:sz="4" w:space="0" w:color="000000"/>
            </w:tcBorders>
            <w:shd w:val="clear" w:color="000000" w:fill="auto"/>
            <w:noWrap/>
            <w:vAlign w:val="center"/>
            <w:hideMark/>
          </w:tcPr>
          <w:p w14:paraId="0F87DE2B"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$2,</w:t>
            </w:r>
            <w:r>
              <w:rPr>
                <w:rFonts w:ascii="Cambria" w:eastAsia="Times New Roman" w:hAnsi="Cambria" w:cs="Arial"/>
                <w:sz w:val="18"/>
                <w:szCs w:val="18"/>
                <w:lang w:eastAsia="ko-KR"/>
              </w:rPr>
              <w:t>215</w:t>
            </w:r>
          </w:p>
        </w:tc>
        <w:tc>
          <w:tcPr>
            <w:tcW w:w="752" w:type="dxa"/>
            <w:tcBorders>
              <w:top w:val="single" w:sz="4" w:space="0" w:color="auto"/>
              <w:left w:val="nil"/>
              <w:bottom w:val="single" w:sz="4" w:space="0" w:color="auto"/>
              <w:right w:val="single" w:sz="4" w:space="0" w:color="000000"/>
            </w:tcBorders>
            <w:shd w:val="clear" w:color="000000" w:fill="auto"/>
            <w:vAlign w:val="center"/>
          </w:tcPr>
          <w:p w14:paraId="6A62E339"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NA</w:t>
            </w:r>
          </w:p>
        </w:tc>
        <w:tc>
          <w:tcPr>
            <w:tcW w:w="1278" w:type="dxa"/>
            <w:tcBorders>
              <w:top w:val="single" w:sz="4" w:space="0" w:color="auto"/>
              <w:left w:val="nil"/>
              <w:bottom w:val="single" w:sz="4" w:space="0" w:color="auto"/>
              <w:right w:val="single" w:sz="4" w:space="0" w:color="000000"/>
            </w:tcBorders>
            <w:shd w:val="clear" w:color="000000" w:fill="auto"/>
            <w:vAlign w:val="center"/>
            <w:hideMark/>
          </w:tcPr>
          <w:p w14:paraId="6EB3E61C"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$2,377</w:t>
            </w:r>
          </w:p>
        </w:tc>
        <w:tc>
          <w:tcPr>
            <w:tcW w:w="752" w:type="dxa"/>
            <w:tcBorders>
              <w:top w:val="single" w:sz="4" w:space="0" w:color="auto"/>
              <w:left w:val="nil"/>
              <w:bottom w:val="single" w:sz="4" w:space="0" w:color="auto"/>
              <w:right w:val="single" w:sz="4" w:space="0" w:color="000000"/>
            </w:tcBorders>
            <w:shd w:val="clear" w:color="000000" w:fill="auto"/>
            <w:vAlign w:val="center"/>
          </w:tcPr>
          <w:p w14:paraId="068FA94D"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NA</w:t>
            </w:r>
          </w:p>
        </w:tc>
        <w:tc>
          <w:tcPr>
            <w:tcW w:w="1278" w:type="dxa"/>
            <w:tcBorders>
              <w:top w:val="single" w:sz="4" w:space="0" w:color="auto"/>
              <w:left w:val="nil"/>
              <w:bottom w:val="single" w:sz="4" w:space="0" w:color="auto"/>
              <w:right w:val="single" w:sz="4" w:space="0" w:color="000000"/>
            </w:tcBorders>
            <w:shd w:val="clear" w:color="000000" w:fill="auto"/>
            <w:noWrap/>
            <w:vAlign w:val="center"/>
            <w:hideMark/>
          </w:tcPr>
          <w:p w14:paraId="505E9C74"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$2,579</w:t>
            </w:r>
          </w:p>
        </w:tc>
        <w:tc>
          <w:tcPr>
            <w:tcW w:w="849" w:type="dxa"/>
            <w:tcBorders>
              <w:top w:val="single" w:sz="4" w:space="0" w:color="auto"/>
              <w:left w:val="nil"/>
              <w:bottom w:val="single" w:sz="4" w:space="0" w:color="auto"/>
              <w:right w:val="single" w:sz="4" w:space="0" w:color="000000"/>
            </w:tcBorders>
            <w:shd w:val="clear" w:color="000000" w:fill="auto"/>
            <w:vAlign w:val="center"/>
          </w:tcPr>
          <w:p w14:paraId="58A4F1CB" w14:textId="77777777" w:rsidR="00C61177" w:rsidRPr="00EF483F" w:rsidRDefault="00C61177" w:rsidP="00C61177">
            <w:pPr>
              <w:spacing w:after="0" w:line="240" w:lineRule="auto"/>
              <w:jc w:val="center"/>
              <w:rPr>
                <w:rFonts w:ascii="Cambria" w:eastAsia="Times New Roman" w:hAnsi="Cambria" w:cs="Arial"/>
                <w:sz w:val="18"/>
                <w:szCs w:val="18"/>
                <w:lang w:eastAsia="ko-KR"/>
              </w:rPr>
            </w:pPr>
            <w:r w:rsidRPr="00EF483F">
              <w:rPr>
                <w:rFonts w:ascii="Cambria" w:eastAsia="Times New Roman" w:hAnsi="Cambria" w:cs="Arial"/>
                <w:sz w:val="18"/>
                <w:szCs w:val="18"/>
                <w:lang w:eastAsia="ko-KR"/>
              </w:rPr>
              <w:t>NA</w:t>
            </w:r>
          </w:p>
        </w:tc>
      </w:tr>
    </w:tbl>
    <w:p w14:paraId="17E02FA1" w14:textId="77777777" w:rsidR="00C61177" w:rsidRPr="00E66E8D" w:rsidRDefault="00C61177" w:rsidP="00C61177">
      <w:pPr>
        <w:spacing w:after="0"/>
        <w:rPr>
          <w:rFonts w:asciiTheme="majorHAnsi" w:hAnsiTheme="majorHAnsi"/>
          <w:bCs/>
          <w:sz w:val="16"/>
          <w:szCs w:val="16"/>
        </w:rPr>
      </w:pPr>
      <w:r w:rsidRPr="00E66E8D">
        <w:rPr>
          <w:rFonts w:asciiTheme="majorHAnsi" w:hAnsiTheme="majorHAnsi"/>
          <w:bCs/>
          <w:sz w:val="16"/>
          <w:szCs w:val="16"/>
        </w:rPr>
        <w:t xml:space="preserve">Source: Massachusetts Department of Revenue. </w:t>
      </w:r>
    </w:p>
    <w:p w14:paraId="0E8FE611" w14:textId="77777777" w:rsidR="00C61177" w:rsidRPr="00E66E8D" w:rsidRDefault="00C61177" w:rsidP="00C61177">
      <w:pPr>
        <w:spacing w:after="0"/>
        <w:rPr>
          <w:rFonts w:asciiTheme="majorHAnsi" w:hAnsiTheme="majorHAnsi"/>
          <w:bCs/>
          <w:sz w:val="16"/>
          <w:szCs w:val="16"/>
        </w:rPr>
      </w:pPr>
      <w:r w:rsidRPr="00E66E8D">
        <w:rPr>
          <w:rFonts w:asciiTheme="majorHAnsi" w:hAnsiTheme="majorHAnsi"/>
          <w:bCs/>
          <w:sz w:val="16"/>
          <w:szCs w:val="16"/>
        </w:rPr>
        <w:t xml:space="preserve">Note: 2017 and 2018 data are preliminary and subject to </w:t>
      </w:r>
      <w:r w:rsidR="007E23AA">
        <w:rPr>
          <w:rFonts w:asciiTheme="majorHAnsi" w:hAnsiTheme="majorHAnsi"/>
          <w:bCs/>
          <w:sz w:val="16"/>
          <w:szCs w:val="16"/>
        </w:rPr>
        <w:t>change</w:t>
      </w:r>
      <w:r w:rsidRPr="00E66E8D">
        <w:rPr>
          <w:rFonts w:asciiTheme="majorHAnsi" w:hAnsiTheme="majorHAnsi"/>
          <w:bCs/>
          <w:sz w:val="16"/>
          <w:szCs w:val="16"/>
        </w:rPr>
        <w:t xml:space="preserve">. </w:t>
      </w:r>
    </w:p>
    <w:p w14:paraId="4179E4F4" w14:textId="77777777" w:rsidR="00291074" w:rsidRDefault="00291074" w:rsidP="00291074">
      <w:pPr>
        <w:spacing w:after="0"/>
        <w:rPr>
          <w:rFonts w:asciiTheme="majorHAnsi" w:hAnsiTheme="majorHAnsi"/>
          <w:bCs/>
          <w:sz w:val="24"/>
          <w:szCs w:val="24"/>
        </w:rPr>
      </w:pPr>
    </w:p>
    <w:p w14:paraId="7C51491E" w14:textId="77777777" w:rsidR="006A54D1" w:rsidRDefault="006A54D1" w:rsidP="002F4DFA">
      <w:pPr>
        <w:spacing w:after="0"/>
        <w:rPr>
          <w:rFonts w:asciiTheme="majorHAnsi" w:hAnsiTheme="majorHAnsi"/>
          <w:bCs/>
          <w:sz w:val="24"/>
          <w:szCs w:val="24"/>
        </w:rPr>
      </w:pPr>
    </w:p>
    <w:p w14:paraId="556EF3FD" w14:textId="77777777" w:rsidR="00525E15" w:rsidRDefault="00DD7F82" w:rsidP="00525E15">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BENEFITS</w:t>
      </w:r>
    </w:p>
    <w:p w14:paraId="1C9326ED" w14:textId="048B8265" w:rsidR="00EB064B" w:rsidRDefault="00EB064B" w:rsidP="00EB064B">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incentive reduces the capital costs of </w:t>
      </w:r>
      <w:r w:rsidR="003B0A43">
        <w:rPr>
          <w:rFonts w:asciiTheme="majorHAnsi" w:eastAsiaTheme="majorEastAsia" w:hAnsiTheme="majorHAnsi" w:cstheme="majorBidi"/>
          <w:bCs/>
          <w:color w:val="000000" w:themeColor="text1"/>
          <w:sz w:val="24"/>
          <w:szCs w:val="24"/>
        </w:rPr>
        <w:t xml:space="preserve">doing </w:t>
      </w:r>
      <w:r>
        <w:rPr>
          <w:rFonts w:asciiTheme="majorHAnsi" w:eastAsiaTheme="majorEastAsia" w:hAnsiTheme="majorHAnsi" w:cstheme="majorBidi"/>
          <w:bCs/>
          <w:color w:val="000000" w:themeColor="text1"/>
          <w:sz w:val="24"/>
          <w:szCs w:val="24"/>
        </w:rPr>
        <w:t>business</w:t>
      </w:r>
      <w:r w:rsidR="003B0A43">
        <w:rPr>
          <w:rFonts w:asciiTheme="majorHAnsi" w:eastAsiaTheme="majorEastAsia" w:hAnsiTheme="majorHAnsi" w:cstheme="majorBidi"/>
          <w:bCs/>
          <w:color w:val="000000" w:themeColor="text1"/>
          <w:sz w:val="24"/>
          <w:szCs w:val="24"/>
        </w:rPr>
        <w:t xml:space="preserve"> by excluding assets</w:t>
      </w:r>
      <w:r>
        <w:rPr>
          <w:rFonts w:asciiTheme="majorHAnsi" w:eastAsiaTheme="majorEastAsia" w:hAnsiTheme="majorHAnsi" w:cstheme="majorBidi"/>
          <w:bCs/>
          <w:color w:val="000000" w:themeColor="text1"/>
          <w:sz w:val="24"/>
          <w:szCs w:val="24"/>
        </w:rPr>
        <w:t xml:space="preserve"> such as land, vehicles, and machinery</w:t>
      </w:r>
      <w:r w:rsidR="003B0A43">
        <w:rPr>
          <w:rFonts w:asciiTheme="majorHAnsi" w:eastAsiaTheme="majorEastAsia" w:hAnsiTheme="majorHAnsi" w:cstheme="majorBidi"/>
          <w:bCs/>
          <w:color w:val="000000" w:themeColor="text1"/>
          <w:sz w:val="24"/>
          <w:szCs w:val="24"/>
        </w:rPr>
        <w:t xml:space="preserve"> from the calculation of the non-income measure</w:t>
      </w:r>
      <w:r>
        <w:rPr>
          <w:rFonts w:asciiTheme="majorHAnsi" w:eastAsiaTheme="majorEastAsia" w:hAnsiTheme="majorHAnsi" w:cstheme="majorBidi"/>
          <w:bCs/>
          <w:color w:val="000000" w:themeColor="text1"/>
          <w:sz w:val="24"/>
          <w:szCs w:val="24"/>
        </w:rPr>
        <w:t xml:space="preserve">. </w:t>
      </w:r>
      <w:r w:rsidR="003347AF">
        <w:rPr>
          <w:rFonts w:asciiTheme="majorHAnsi" w:eastAsiaTheme="majorEastAsia" w:hAnsiTheme="majorHAnsi" w:cstheme="majorBidi"/>
          <w:bCs/>
          <w:color w:val="000000" w:themeColor="text1"/>
          <w:sz w:val="24"/>
          <w:szCs w:val="24"/>
        </w:rPr>
        <w:t>T</w:t>
      </w:r>
      <w:r>
        <w:rPr>
          <w:rFonts w:asciiTheme="majorHAnsi" w:eastAsiaTheme="majorEastAsia" w:hAnsiTheme="majorHAnsi" w:cstheme="majorBidi"/>
          <w:bCs/>
          <w:color w:val="000000" w:themeColor="text1"/>
          <w:sz w:val="24"/>
          <w:szCs w:val="24"/>
        </w:rPr>
        <w:t xml:space="preserve">he reduction in </w:t>
      </w:r>
      <w:r w:rsidR="003347AF">
        <w:rPr>
          <w:rFonts w:asciiTheme="majorHAnsi" w:eastAsiaTheme="majorEastAsia" w:hAnsiTheme="majorHAnsi" w:cstheme="majorBidi"/>
          <w:bCs/>
          <w:color w:val="000000" w:themeColor="text1"/>
          <w:sz w:val="24"/>
          <w:szCs w:val="24"/>
        </w:rPr>
        <w:t xml:space="preserve">capital </w:t>
      </w:r>
      <w:r>
        <w:rPr>
          <w:rFonts w:asciiTheme="majorHAnsi" w:eastAsiaTheme="majorEastAsia" w:hAnsiTheme="majorHAnsi" w:cstheme="majorBidi"/>
          <w:bCs/>
          <w:color w:val="000000" w:themeColor="text1"/>
          <w:sz w:val="24"/>
          <w:szCs w:val="24"/>
        </w:rPr>
        <w:t>costs due to the incentive help</w:t>
      </w:r>
      <w:r w:rsidR="009B5279">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businesses survive </w:t>
      </w:r>
      <w:r w:rsidR="00B120B4">
        <w:rPr>
          <w:rFonts w:asciiTheme="majorHAnsi" w:eastAsiaTheme="majorEastAsia" w:hAnsiTheme="majorHAnsi" w:cstheme="majorBidi"/>
          <w:bCs/>
          <w:color w:val="000000" w:themeColor="text1"/>
          <w:sz w:val="24"/>
          <w:szCs w:val="24"/>
        </w:rPr>
        <w:t xml:space="preserve">and </w:t>
      </w:r>
      <w:r>
        <w:rPr>
          <w:rFonts w:asciiTheme="majorHAnsi" w:eastAsiaTheme="majorEastAsia" w:hAnsiTheme="majorHAnsi" w:cstheme="majorBidi"/>
          <w:bCs/>
          <w:color w:val="000000" w:themeColor="text1"/>
          <w:sz w:val="24"/>
          <w:szCs w:val="24"/>
        </w:rPr>
        <w:t>grow</w:t>
      </w:r>
      <w:r w:rsidR="009B5279">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009B5279">
        <w:rPr>
          <w:rFonts w:asciiTheme="majorHAnsi" w:eastAsiaTheme="majorEastAsia" w:hAnsiTheme="majorHAnsi" w:cstheme="majorBidi"/>
          <w:bCs/>
          <w:color w:val="000000" w:themeColor="text1"/>
          <w:sz w:val="24"/>
          <w:szCs w:val="24"/>
        </w:rPr>
        <w:t xml:space="preserve">It also </w:t>
      </w:r>
      <w:r w:rsidR="00B120B4">
        <w:rPr>
          <w:rFonts w:asciiTheme="majorHAnsi" w:eastAsiaTheme="majorEastAsia" w:hAnsiTheme="majorHAnsi" w:cstheme="majorBidi"/>
          <w:bCs/>
          <w:color w:val="000000" w:themeColor="text1"/>
          <w:sz w:val="24"/>
          <w:szCs w:val="24"/>
        </w:rPr>
        <w:t>may help</w:t>
      </w:r>
      <w:r w:rsidR="009B5279">
        <w:rPr>
          <w:rFonts w:asciiTheme="majorHAnsi" w:eastAsiaTheme="majorEastAsia" w:hAnsiTheme="majorHAnsi" w:cstheme="majorBidi"/>
          <w:bCs/>
          <w:color w:val="000000" w:themeColor="text1"/>
          <w:sz w:val="24"/>
          <w:szCs w:val="24"/>
        </w:rPr>
        <w:t xml:space="preserve"> them </w:t>
      </w:r>
      <w:r>
        <w:rPr>
          <w:rFonts w:asciiTheme="majorHAnsi" w:eastAsiaTheme="majorEastAsia" w:hAnsiTheme="majorHAnsi" w:cstheme="majorBidi"/>
          <w:bCs/>
          <w:color w:val="000000" w:themeColor="text1"/>
          <w:sz w:val="24"/>
          <w:szCs w:val="24"/>
        </w:rPr>
        <w:t xml:space="preserve">retain </w:t>
      </w:r>
      <w:r w:rsidR="00B120B4">
        <w:rPr>
          <w:rFonts w:asciiTheme="majorHAnsi" w:eastAsiaTheme="majorEastAsia" w:hAnsiTheme="majorHAnsi" w:cstheme="majorBidi"/>
          <w:bCs/>
          <w:color w:val="000000" w:themeColor="text1"/>
          <w:sz w:val="24"/>
          <w:szCs w:val="24"/>
        </w:rPr>
        <w:t xml:space="preserve">and </w:t>
      </w:r>
      <w:r>
        <w:rPr>
          <w:rFonts w:asciiTheme="majorHAnsi" w:eastAsiaTheme="majorEastAsia" w:hAnsiTheme="majorHAnsi" w:cstheme="majorBidi"/>
          <w:bCs/>
          <w:color w:val="000000" w:themeColor="text1"/>
          <w:sz w:val="24"/>
          <w:szCs w:val="24"/>
        </w:rPr>
        <w:t xml:space="preserve">create jobs. </w:t>
      </w:r>
    </w:p>
    <w:p w14:paraId="544908CB" w14:textId="77777777" w:rsidR="00EB064B" w:rsidRDefault="00EB064B" w:rsidP="00525E15">
      <w:pPr>
        <w:tabs>
          <w:tab w:val="left" w:pos="7050"/>
        </w:tabs>
        <w:spacing w:after="0"/>
        <w:rPr>
          <w:rFonts w:asciiTheme="majorHAnsi" w:eastAsiaTheme="majorEastAsia" w:hAnsiTheme="majorHAnsi" w:cstheme="majorBidi"/>
          <w:bCs/>
          <w:color w:val="000000" w:themeColor="text1"/>
          <w:sz w:val="24"/>
          <w:szCs w:val="24"/>
        </w:rPr>
      </w:pPr>
    </w:p>
    <w:p w14:paraId="10E34484" w14:textId="6373AEB9" w:rsidR="0055247A" w:rsidRDefault="00BE31C0" w:rsidP="00BE31C0">
      <w:pPr>
        <w:spacing w:after="0"/>
        <w:rPr>
          <w:rFonts w:asciiTheme="majorHAnsi" w:hAnsiTheme="majorHAnsi"/>
          <w:sz w:val="24"/>
          <w:szCs w:val="24"/>
        </w:rPr>
      </w:pPr>
      <w:r>
        <w:rPr>
          <w:rFonts w:asciiTheme="majorHAnsi" w:eastAsiaTheme="majorEastAsia" w:hAnsiTheme="majorHAnsi" w:cstheme="majorBidi"/>
          <w:bCs/>
          <w:color w:val="000000" w:themeColor="text1"/>
          <w:sz w:val="24"/>
          <w:szCs w:val="24"/>
        </w:rPr>
        <w:t xml:space="preserve">Direct </w:t>
      </w:r>
      <w:r w:rsidRPr="004A1F65">
        <w:rPr>
          <w:rFonts w:asciiTheme="majorHAnsi" w:eastAsiaTheme="majorEastAsia" w:hAnsiTheme="majorHAnsi" w:cstheme="majorBidi"/>
          <w:bCs/>
          <w:color w:val="000000" w:themeColor="text1"/>
          <w:sz w:val="24"/>
          <w:szCs w:val="24"/>
        </w:rPr>
        <w:t xml:space="preserve">beneficiaries of the </w:t>
      </w:r>
      <w:r w:rsidR="00CC661A">
        <w:rPr>
          <w:rFonts w:asciiTheme="majorHAnsi" w:eastAsiaTheme="majorEastAsia" w:hAnsiTheme="majorHAnsi" w:cstheme="majorBidi"/>
          <w:bCs/>
          <w:color w:val="000000" w:themeColor="text1"/>
          <w:sz w:val="24"/>
          <w:szCs w:val="24"/>
        </w:rPr>
        <w:t>tax incentive</w:t>
      </w:r>
      <w:r w:rsidRPr="004A1F65">
        <w:rPr>
          <w:rFonts w:asciiTheme="majorHAnsi" w:eastAsiaTheme="majorEastAsia" w:hAnsiTheme="majorHAnsi" w:cstheme="majorBidi"/>
          <w:bCs/>
          <w:color w:val="000000" w:themeColor="text1"/>
          <w:sz w:val="24"/>
          <w:szCs w:val="24"/>
        </w:rPr>
        <w:t xml:space="preserve"> are </w:t>
      </w:r>
      <w:r>
        <w:rPr>
          <w:rFonts w:asciiTheme="majorHAnsi" w:eastAsiaTheme="majorEastAsia" w:hAnsiTheme="majorHAnsi" w:cstheme="majorBidi"/>
          <w:bCs/>
          <w:color w:val="000000" w:themeColor="text1"/>
          <w:sz w:val="24"/>
          <w:szCs w:val="24"/>
        </w:rPr>
        <w:t>c</w:t>
      </w:r>
      <w:r w:rsidRPr="004A1F65">
        <w:rPr>
          <w:rFonts w:asciiTheme="majorHAnsi" w:eastAsiaTheme="majorEastAsia" w:hAnsiTheme="majorHAnsi" w:cstheme="majorBidi"/>
          <w:bCs/>
          <w:color w:val="000000" w:themeColor="text1"/>
          <w:sz w:val="24"/>
          <w:szCs w:val="24"/>
        </w:rPr>
        <w:t xml:space="preserve">orporations that </w:t>
      </w:r>
      <w:r w:rsidR="00B17C4F">
        <w:rPr>
          <w:rFonts w:asciiTheme="majorHAnsi" w:eastAsiaTheme="majorEastAsia" w:hAnsiTheme="majorHAnsi" w:cstheme="majorBidi"/>
          <w:bCs/>
          <w:color w:val="000000" w:themeColor="text1"/>
          <w:sz w:val="24"/>
          <w:szCs w:val="24"/>
        </w:rPr>
        <w:t xml:space="preserve">have tangible </w:t>
      </w:r>
      <w:r w:rsidR="003B0A43">
        <w:rPr>
          <w:rFonts w:asciiTheme="majorHAnsi" w:eastAsiaTheme="majorEastAsia" w:hAnsiTheme="majorHAnsi" w:cstheme="majorBidi"/>
          <w:bCs/>
          <w:color w:val="000000" w:themeColor="text1"/>
          <w:sz w:val="24"/>
          <w:szCs w:val="24"/>
        </w:rPr>
        <w:t xml:space="preserve">property </w:t>
      </w:r>
      <w:r w:rsidR="00B17C4F">
        <w:rPr>
          <w:rFonts w:asciiTheme="majorHAnsi" w:eastAsiaTheme="majorEastAsia" w:hAnsiTheme="majorHAnsi" w:cstheme="majorBidi"/>
          <w:bCs/>
          <w:color w:val="000000" w:themeColor="text1"/>
          <w:sz w:val="24"/>
          <w:szCs w:val="24"/>
        </w:rPr>
        <w:t>subject to local taxation</w:t>
      </w:r>
      <w:r w:rsidRPr="004A1F65">
        <w:rPr>
          <w:rFonts w:asciiTheme="majorHAnsi" w:eastAsiaTheme="majorEastAsia" w:hAnsiTheme="majorHAnsi" w:cstheme="majorBidi"/>
          <w:bCs/>
          <w:color w:val="000000" w:themeColor="text1"/>
          <w:sz w:val="24"/>
          <w:szCs w:val="24"/>
        </w:rPr>
        <w:t xml:space="preserve"> in </w:t>
      </w:r>
      <w:r>
        <w:rPr>
          <w:rFonts w:asciiTheme="majorHAnsi" w:eastAsiaTheme="majorEastAsia" w:hAnsiTheme="majorHAnsi" w:cstheme="majorBidi"/>
          <w:bCs/>
          <w:color w:val="000000" w:themeColor="text1"/>
          <w:sz w:val="24"/>
          <w:szCs w:val="24"/>
        </w:rPr>
        <w:t>Massachusetts</w:t>
      </w:r>
      <w:r w:rsidR="00B17C4F">
        <w:rPr>
          <w:rFonts w:asciiTheme="majorHAnsi" w:eastAsiaTheme="majorEastAsia" w:hAnsiTheme="majorHAnsi" w:cstheme="majorBidi"/>
          <w:bCs/>
          <w:color w:val="000000" w:themeColor="text1"/>
          <w:sz w:val="24"/>
          <w:szCs w:val="24"/>
        </w:rPr>
        <w:t xml:space="preserve">. </w:t>
      </w:r>
      <w:r w:rsidR="00763CCC">
        <w:rPr>
          <w:rFonts w:asciiTheme="majorHAnsi" w:hAnsiTheme="majorHAnsi"/>
          <w:sz w:val="24"/>
          <w:szCs w:val="24"/>
        </w:rPr>
        <w:t>I</w:t>
      </w:r>
      <w:r w:rsidR="00763CCC" w:rsidRPr="00EB1DDD">
        <w:rPr>
          <w:rFonts w:asciiTheme="majorHAnsi" w:hAnsiTheme="majorHAnsi"/>
          <w:sz w:val="24"/>
          <w:szCs w:val="24"/>
        </w:rPr>
        <w:t xml:space="preserve">n 2018, </w:t>
      </w:r>
      <w:r w:rsidR="00C97827">
        <w:rPr>
          <w:rFonts w:asciiTheme="majorHAnsi" w:hAnsiTheme="majorHAnsi"/>
          <w:sz w:val="24"/>
          <w:szCs w:val="24"/>
        </w:rPr>
        <w:t>as shown in</w:t>
      </w:r>
      <w:r w:rsidR="00A3735E">
        <w:rPr>
          <w:rFonts w:asciiTheme="majorHAnsi" w:hAnsiTheme="majorHAnsi"/>
          <w:sz w:val="24"/>
          <w:szCs w:val="24"/>
        </w:rPr>
        <w:t xml:space="preserve"> Tables </w:t>
      </w:r>
      <w:r w:rsidR="00405E25">
        <w:rPr>
          <w:rFonts w:asciiTheme="majorHAnsi" w:hAnsiTheme="majorHAnsi"/>
          <w:sz w:val="24"/>
          <w:szCs w:val="24"/>
        </w:rPr>
        <w:t>3</w:t>
      </w:r>
      <w:r w:rsidR="00CB6784">
        <w:rPr>
          <w:rFonts w:asciiTheme="majorHAnsi" w:hAnsiTheme="majorHAnsi"/>
          <w:sz w:val="24"/>
          <w:szCs w:val="24"/>
        </w:rPr>
        <w:t>-5</w:t>
      </w:r>
      <w:r w:rsidR="00A3735E">
        <w:rPr>
          <w:rFonts w:asciiTheme="majorHAnsi" w:hAnsiTheme="majorHAnsi"/>
          <w:sz w:val="24"/>
          <w:szCs w:val="24"/>
        </w:rPr>
        <w:t xml:space="preserve">, </w:t>
      </w:r>
      <w:r w:rsidR="00763CCC">
        <w:rPr>
          <w:rFonts w:asciiTheme="majorHAnsi" w:hAnsiTheme="majorHAnsi"/>
          <w:sz w:val="24"/>
          <w:szCs w:val="24"/>
        </w:rPr>
        <w:t xml:space="preserve">there </w:t>
      </w:r>
      <w:r w:rsidR="00763CCC" w:rsidRPr="00EB1DDD">
        <w:rPr>
          <w:rFonts w:asciiTheme="majorHAnsi" w:hAnsiTheme="majorHAnsi"/>
          <w:sz w:val="24"/>
          <w:szCs w:val="24"/>
        </w:rPr>
        <w:t xml:space="preserve">were </w:t>
      </w:r>
      <w:r w:rsidR="00763CCC">
        <w:rPr>
          <w:rFonts w:asciiTheme="majorHAnsi" w:hAnsiTheme="majorHAnsi"/>
          <w:sz w:val="24"/>
          <w:szCs w:val="24"/>
        </w:rPr>
        <w:t>about 57,408 corporations whose tangible propert</w:t>
      </w:r>
      <w:r w:rsidR="00B120B4">
        <w:rPr>
          <w:rFonts w:asciiTheme="majorHAnsi" w:hAnsiTheme="majorHAnsi"/>
          <w:sz w:val="24"/>
          <w:szCs w:val="24"/>
        </w:rPr>
        <w:t>y</w:t>
      </w:r>
      <w:r w:rsidR="00506005">
        <w:rPr>
          <w:rFonts w:asciiTheme="majorHAnsi" w:hAnsiTheme="majorHAnsi"/>
          <w:sz w:val="24"/>
          <w:szCs w:val="24"/>
        </w:rPr>
        <w:t>, totaling $148 million,</w:t>
      </w:r>
      <w:r w:rsidR="00763CCC">
        <w:rPr>
          <w:rFonts w:asciiTheme="majorHAnsi" w:hAnsiTheme="majorHAnsi"/>
          <w:sz w:val="24"/>
          <w:szCs w:val="24"/>
        </w:rPr>
        <w:t xml:space="preserve"> </w:t>
      </w:r>
      <w:r w:rsidR="00B120B4">
        <w:rPr>
          <w:rFonts w:asciiTheme="majorHAnsi" w:hAnsiTheme="majorHAnsi"/>
          <w:sz w:val="24"/>
          <w:szCs w:val="24"/>
        </w:rPr>
        <w:t xml:space="preserve">was </w:t>
      </w:r>
      <w:r w:rsidR="00763CCC">
        <w:rPr>
          <w:rFonts w:asciiTheme="majorHAnsi" w:hAnsiTheme="majorHAnsi"/>
          <w:sz w:val="24"/>
          <w:szCs w:val="24"/>
        </w:rPr>
        <w:t xml:space="preserve">subject to </w:t>
      </w:r>
      <w:r w:rsidR="00CB6784">
        <w:rPr>
          <w:rFonts w:asciiTheme="majorHAnsi" w:hAnsiTheme="majorHAnsi"/>
          <w:sz w:val="24"/>
          <w:szCs w:val="24"/>
        </w:rPr>
        <w:lastRenderedPageBreak/>
        <w:t>local taxation</w:t>
      </w:r>
      <w:r w:rsidR="00763CCC" w:rsidRPr="00EB1DDD">
        <w:rPr>
          <w:rFonts w:asciiTheme="majorHAnsi" w:hAnsiTheme="majorHAnsi"/>
          <w:sz w:val="24"/>
          <w:szCs w:val="24"/>
        </w:rPr>
        <w:t>.</w:t>
      </w:r>
      <w:r w:rsidR="00763CCC">
        <w:rPr>
          <w:rFonts w:asciiTheme="majorHAnsi" w:hAnsiTheme="majorHAnsi"/>
          <w:sz w:val="24"/>
          <w:szCs w:val="24"/>
        </w:rPr>
        <w:t xml:space="preserve"> </w:t>
      </w:r>
      <w:r w:rsidR="00506005">
        <w:rPr>
          <w:rFonts w:asciiTheme="majorHAnsi" w:hAnsiTheme="majorHAnsi"/>
          <w:sz w:val="24"/>
          <w:szCs w:val="24"/>
        </w:rPr>
        <w:t xml:space="preserve">Their </w:t>
      </w:r>
      <w:r w:rsidR="00CB6784">
        <w:rPr>
          <w:rFonts w:asciiTheme="majorHAnsi" w:hAnsiTheme="majorHAnsi"/>
          <w:sz w:val="24"/>
          <w:szCs w:val="24"/>
        </w:rPr>
        <w:t xml:space="preserve">total </w:t>
      </w:r>
      <w:r w:rsidR="00506005">
        <w:rPr>
          <w:rFonts w:asciiTheme="majorHAnsi" w:hAnsiTheme="majorHAnsi"/>
          <w:sz w:val="24"/>
          <w:szCs w:val="24"/>
        </w:rPr>
        <w:t>tax liabilities</w:t>
      </w:r>
      <w:r w:rsidR="00BF75DC">
        <w:rPr>
          <w:rStyle w:val="FootnoteReference"/>
          <w:rFonts w:asciiTheme="majorHAnsi" w:hAnsiTheme="majorHAnsi"/>
          <w:sz w:val="24"/>
          <w:szCs w:val="24"/>
        </w:rPr>
        <w:footnoteReference w:id="2"/>
      </w:r>
      <w:r w:rsidR="00506005">
        <w:rPr>
          <w:rFonts w:asciiTheme="majorHAnsi" w:hAnsiTheme="majorHAnsi"/>
          <w:sz w:val="24"/>
          <w:szCs w:val="24"/>
        </w:rPr>
        <w:t xml:space="preserve"> were 80.3% of the amount </w:t>
      </w:r>
      <w:r w:rsidR="003B0A43">
        <w:rPr>
          <w:rFonts w:asciiTheme="majorHAnsi" w:hAnsiTheme="majorHAnsi"/>
          <w:sz w:val="24"/>
          <w:szCs w:val="24"/>
        </w:rPr>
        <w:t>that would have been due absent the exclusion</w:t>
      </w:r>
      <w:r w:rsidR="00CB6784">
        <w:rPr>
          <w:rFonts w:asciiTheme="majorHAnsi" w:hAnsiTheme="majorHAnsi"/>
          <w:sz w:val="24"/>
          <w:szCs w:val="24"/>
        </w:rPr>
        <w:t xml:space="preserve"> (or in other word</w:t>
      </w:r>
      <w:r w:rsidR="009B7F4A">
        <w:rPr>
          <w:rFonts w:asciiTheme="majorHAnsi" w:hAnsiTheme="majorHAnsi"/>
          <w:sz w:val="24"/>
          <w:szCs w:val="24"/>
        </w:rPr>
        <w:t>s</w:t>
      </w:r>
      <w:r w:rsidR="00CB6784">
        <w:rPr>
          <w:rFonts w:asciiTheme="majorHAnsi" w:hAnsiTheme="majorHAnsi"/>
          <w:sz w:val="24"/>
          <w:szCs w:val="24"/>
        </w:rPr>
        <w:t xml:space="preserve">, this </w:t>
      </w:r>
      <w:r w:rsidR="003B0A43">
        <w:rPr>
          <w:rFonts w:asciiTheme="majorHAnsi" w:hAnsiTheme="majorHAnsi"/>
          <w:sz w:val="24"/>
          <w:szCs w:val="24"/>
        </w:rPr>
        <w:t>exclusion</w:t>
      </w:r>
      <w:r w:rsidR="00CB6784">
        <w:rPr>
          <w:rFonts w:asciiTheme="majorHAnsi" w:hAnsiTheme="majorHAnsi"/>
          <w:sz w:val="24"/>
          <w:szCs w:val="24"/>
        </w:rPr>
        <w:t xml:space="preserve"> </w:t>
      </w:r>
      <w:r w:rsidR="00857E34">
        <w:rPr>
          <w:rFonts w:asciiTheme="majorHAnsi" w:hAnsiTheme="majorHAnsi"/>
          <w:sz w:val="24"/>
          <w:szCs w:val="24"/>
        </w:rPr>
        <w:t xml:space="preserve">resulted in </w:t>
      </w:r>
      <w:r w:rsidR="00E40FE9">
        <w:rPr>
          <w:rFonts w:asciiTheme="majorHAnsi" w:hAnsiTheme="majorHAnsi"/>
          <w:sz w:val="24"/>
          <w:szCs w:val="24"/>
        </w:rPr>
        <w:t xml:space="preserve">a total </w:t>
      </w:r>
      <w:r w:rsidR="00857E34">
        <w:rPr>
          <w:rFonts w:asciiTheme="majorHAnsi" w:hAnsiTheme="majorHAnsi"/>
          <w:sz w:val="24"/>
          <w:szCs w:val="24"/>
        </w:rPr>
        <w:t>tax saving</w:t>
      </w:r>
      <w:r w:rsidR="00E40FE9">
        <w:rPr>
          <w:rFonts w:asciiTheme="majorHAnsi" w:hAnsiTheme="majorHAnsi"/>
          <w:sz w:val="24"/>
          <w:szCs w:val="24"/>
        </w:rPr>
        <w:t>s</w:t>
      </w:r>
      <w:r w:rsidR="00857E34">
        <w:rPr>
          <w:rFonts w:asciiTheme="majorHAnsi" w:hAnsiTheme="majorHAnsi"/>
          <w:sz w:val="24"/>
          <w:szCs w:val="24"/>
        </w:rPr>
        <w:t xml:space="preserve"> of</w:t>
      </w:r>
      <w:r w:rsidR="00CB6784">
        <w:rPr>
          <w:rFonts w:asciiTheme="majorHAnsi" w:hAnsiTheme="majorHAnsi"/>
          <w:sz w:val="24"/>
          <w:szCs w:val="24"/>
        </w:rPr>
        <w:t xml:space="preserve"> 19.7%</w:t>
      </w:r>
      <w:r w:rsidR="0090750D">
        <w:rPr>
          <w:rFonts w:asciiTheme="majorHAnsi" w:hAnsiTheme="majorHAnsi"/>
          <w:sz w:val="24"/>
          <w:szCs w:val="24"/>
        </w:rPr>
        <w:t>)</w:t>
      </w:r>
      <w:r w:rsidR="00506005">
        <w:rPr>
          <w:rFonts w:asciiTheme="majorHAnsi" w:hAnsiTheme="majorHAnsi"/>
          <w:sz w:val="24"/>
          <w:szCs w:val="24"/>
        </w:rPr>
        <w:t>.</w:t>
      </w:r>
      <w:r w:rsidR="00F42F20">
        <w:rPr>
          <w:rFonts w:asciiTheme="majorHAnsi" w:hAnsiTheme="majorHAnsi"/>
          <w:sz w:val="24"/>
          <w:szCs w:val="24"/>
        </w:rPr>
        <w:t xml:space="preserve"> Th</w:t>
      </w:r>
      <w:r w:rsidR="00E40FE9">
        <w:rPr>
          <w:rFonts w:asciiTheme="majorHAnsi" w:hAnsiTheme="majorHAnsi"/>
          <w:sz w:val="24"/>
          <w:szCs w:val="24"/>
        </w:rPr>
        <w:t>e</w:t>
      </w:r>
      <w:r w:rsidR="00F42F20">
        <w:rPr>
          <w:rFonts w:asciiTheme="majorHAnsi" w:hAnsiTheme="majorHAnsi"/>
          <w:sz w:val="24"/>
          <w:szCs w:val="24"/>
        </w:rPr>
        <w:t xml:space="preserve"> ratio </w:t>
      </w:r>
      <w:r w:rsidR="00E40FE9">
        <w:rPr>
          <w:rFonts w:asciiTheme="majorHAnsi" w:hAnsiTheme="majorHAnsi"/>
          <w:sz w:val="24"/>
          <w:szCs w:val="24"/>
        </w:rPr>
        <w:t xml:space="preserve">of tax liability with the exclusion to liability without the exclusion </w:t>
      </w:r>
      <w:r w:rsidR="00F42F20">
        <w:rPr>
          <w:rFonts w:asciiTheme="majorHAnsi" w:hAnsiTheme="majorHAnsi"/>
          <w:sz w:val="24"/>
          <w:szCs w:val="24"/>
        </w:rPr>
        <w:t>varie</w:t>
      </w:r>
      <w:r w:rsidR="0090750D">
        <w:rPr>
          <w:rFonts w:asciiTheme="majorHAnsi" w:hAnsiTheme="majorHAnsi"/>
          <w:sz w:val="24"/>
          <w:szCs w:val="24"/>
        </w:rPr>
        <w:t>d</w:t>
      </w:r>
      <w:r w:rsidR="00F42F20">
        <w:rPr>
          <w:rFonts w:asciiTheme="majorHAnsi" w:hAnsiTheme="majorHAnsi"/>
          <w:sz w:val="24"/>
          <w:szCs w:val="24"/>
        </w:rPr>
        <w:t xml:space="preserve"> from 26.7% for corporations with negative taxable income to 91.9% for</w:t>
      </w:r>
      <w:r w:rsidR="00313E12">
        <w:rPr>
          <w:rFonts w:asciiTheme="majorHAnsi" w:hAnsiTheme="majorHAnsi"/>
          <w:sz w:val="24"/>
          <w:szCs w:val="24"/>
        </w:rPr>
        <w:t xml:space="preserve"> corporations with $10 million or higher taxable income, from </w:t>
      </w:r>
      <w:r w:rsidR="00313E12">
        <w:rPr>
          <w:rFonts w:asciiTheme="majorHAnsi" w:eastAsiaTheme="majorEastAsia" w:hAnsiTheme="majorHAnsi" w:cstheme="majorBidi"/>
          <w:bCs/>
          <w:color w:val="000000" w:themeColor="text1"/>
          <w:sz w:val="24"/>
          <w:szCs w:val="24"/>
        </w:rPr>
        <w:t xml:space="preserve">60.7% for </w:t>
      </w:r>
      <w:r w:rsidR="00313E12">
        <w:rPr>
          <w:rFonts w:asciiTheme="majorHAnsi" w:hAnsiTheme="majorHAnsi"/>
          <w:sz w:val="24"/>
          <w:szCs w:val="24"/>
        </w:rPr>
        <w:t xml:space="preserve">corporations with </w:t>
      </w:r>
      <w:r w:rsidR="00657362">
        <w:rPr>
          <w:rFonts w:asciiTheme="majorHAnsi" w:hAnsiTheme="majorHAnsi"/>
          <w:sz w:val="24"/>
          <w:szCs w:val="24"/>
        </w:rPr>
        <w:t>fewer</w:t>
      </w:r>
      <w:r w:rsidR="00313E12">
        <w:rPr>
          <w:rFonts w:asciiTheme="majorHAnsi" w:hAnsiTheme="majorHAnsi"/>
          <w:sz w:val="24"/>
          <w:szCs w:val="24"/>
        </w:rPr>
        <w:t xml:space="preserve"> than 5 employees to 92</w:t>
      </w:r>
      <w:r w:rsidR="00732DF8">
        <w:rPr>
          <w:rFonts w:asciiTheme="majorHAnsi" w:hAnsiTheme="majorHAnsi"/>
          <w:sz w:val="24"/>
          <w:szCs w:val="24"/>
        </w:rPr>
        <w:t>.0</w:t>
      </w:r>
      <w:r w:rsidR="00313E12">
        <w:rPr>
          <w:rFonts w:asciiTheme="majorHAnsi" w:hAnsiTheme="majorHAnsi"/>
          <w:sz w:val="24"/>
          <w:szCs w:val="24"/>
        </w:rPr>
        <w:t>% for corporations with 100-199 employees, and from 3</w:t>
      </w:r>
      <w:r w:rsidR="00732DF8">
        <w:rPr>
          <w:rFonts w:asciiTheme="majorHAnsi" w:hAnsiTheme="majorHAnsi"/>
          <w:sz w:val="24"/>
          <w:szCs w:val="24"/>
        </w:rPr>
        <w:t>6.5</w:t>
      </w:r>
      <w:r w:rsidR="00313E12">
        <w:rPr>
          <w:rFonts w:asciiTheme="majorHAnsi" w:hAnsiTheme="majorHAnsi"/>
          <w:sz w:val="24"/>
          <w:szCs w:val="24"/>
        </w:rPr>
        <w:t xml:space="preserve">% for corporations in the </w:t>
      </w:r>
      <w:r w:rsidR="00313E12">
        <w:rPr>
          <w:rFonts w:ascii="Cambria" w:eastAsia="Times New Roman" w:hAnsi="Cambria" w:cs="Helvetica"/>
          <w:color w:val="000000"/>
          <w:sz w:val="24"/>
          <w:szCs w:val="24"/>
          <w:lang w:eastAsia="ko-KR"/>
        </w:rPr>
        <w:t>industry</w:t>
      </w:r>
      <w:r w:rsidR="00313E12">
        <w:rPr>
          <w:rFonts w:asciiTheme="majorHAnsi" w:hAnsiTheme="majorHAnsi"/>
          <w:sz w:val="24"/>
          <w:szCs w:val="24"/>
        </w:rPr>
        <w:t xml:space="preserve"> of “</w:t>
      </w:r>
      <w:r w:rsidR="00313E12" w:rsidRPr="00313E12">
        <w:rPr>
          <w:rFonts w:ascii="Cambria" w:eastAsia="Times New Roman" w:hAnsi="Cambria" w:cs="Helvetica"/>
          <w:color w:val="000000"/>
          <w:sz w:val="24"/>
          <w:szCs w:val="24"/>
          <w:lang w:eastAsia="ko-KR"/>
        </w:rPr>
        <w:t>Utilities</w:t>
      </w:r>
      <w:r w:rsidR="00313E12">
        <w:rPr>
          <w:rFonts w:ascii="Cambria" w:eastAsia="Times New Roman" w:hAnsi="Cambria" w:cs="Helvetica"/>
          <w:color w:val="000000"/>
          <w:sz w:val="24"/>
          <w:szCs w:val="24"/>
          <w:lang w:eastAsia="ko-KR"/>
        </w:rPr>
        <w:t xml:space="preserve">” </w:t>
      </w:r>
      <w:r w:rsidR="00313E12">
        <w:rPr>
          <w:rFonts w:asciiTheme="majorHAnsi" w:hAnsiTheme="majorHAnsi"/>
          <w:sz w:val="24"/>
          <w:szCs w:val="24"/>
        </w:rPr>
        <w:t>to 98</w:t>
      </w:r>
      <w:r w:rsidR="00732DF8">
        <w:rPr>
          <w:rFonts w:asciiTheme="majorHAnsi" w:hAnsiTheme="majorHAnsi"/>
          <w:sz w:val="24"/>
          <w:szCs w:val="24"/>
        </w:rPr>
        <w:t>.0</w:t>
      </w:r>
      <w:r w:rsidR="00313E12">
        <w:rPr>
          <w:rFonts w:asciiTheme="majorHAnsi" w:hAnsiTheme="majorHAnsi"/>
          <w:sz w:val="24"/>
          <w:szCs w:val="24"/>
        </w:rPr>
        <w:t xml:space="preserve">% for corporations in the “Finance and Insurance” industry.  </w:t>
      </w:r>
      <w:r w:rsidR="00F42F20">
        <w:rPr>
          <w:rFonts w:asciiTheme="majorHAnsi" w:hAnsiTheme="majorHAnsi"/>
          <w:sz w:val="24"/>
          <w:szCs w:val="24"/>
        </w:rPr>
        <w:t xml:space="preserve"> </w:t>
      </w:r>
    </w:p>
    <w:p w14:paraId="79C83D96" w14:textId="77777777" w:rsidR="0055247A" w:rsidRDefault="0055247A" w:rsidP="00BE31C0">
      <w:pPr>
        <w:spacing w:after="0"/>
        <w:rPr>
          <w:rFonts w:asciiTheme="majorHAnsi" w:hAnsiTheme="majorHAnsi"/>
          <w:sz w:val="24"/>
          <w:szCs w:val="24"/>
        </w:rPr>
      </w:pPr>
    </w:p>
    <w:p w14:paraId="11EFA831" w14:textId="6A964760" w:rsidR="00332B7B" w:rsidRDefault="00732DF8" w:rsidP="00BE31C0">
      <w:pPr>
        <w:spacing w:after="0"/>
        <w:rPr>
          <w:rFonts w:asciiTheme="majorHAnsi" w:hAnsiTheme="majorHAnsi"/>
          <w:sz w:val="24"/>
          <w:szCs w:val="24"/>
        </w:rPr>
      </w:pPr>
      <w:bookmarkStart w:id="1" w:name="_Hlk56077288"/>
      <w:r>
        <w:rPr>
          <w:rFonts w:asciiTheme="majorHAnsi" w:hAnsiTheme="majorHAnsi"/>
          <w:sz w:val="24"/>
          <w:szCs w:val="24"/>
        </w:rPr>
        <w:t>Tables 3-5 also show that</w:t>
      </w:r>
      <w:bookmarkEnd w:id="1"/>
      <w:r>
        <w:rPr>
          <w:rFonts w:asciiTheme="majorHAnsi" w:hAnsiTheme="majorHAnsi"/>
          <w:sz w:val="24"/>
          <w:szCs w:val="24"/>
        </w:rPr>
        <w:t>, a</w:t>
      </w:r>
      <w:r w:rsidR="00332B7B">
        <w:rPr>
          <w:rFonts w:asciiTheme="majorHAnsi" w:hAnsiTheme="majorHAnsi"/>
          <w:sz w:val="24"/>
          <w:szCs w:val="24"/>
        </w:rPr>
        <w:t>mong the impacted corporations, about 83.5% had taxable income less than $10,000</w:t>
      </w:r>
      <w:r w:rsidR="00921869">
        <w:rPr>
          <w:rFonts w:asciiTheme="majorHAnsi" w:hAnsiTheme="majorHAnsi"/>
          <w:sz w:val="24"/>
          <w:szCs w:val="24"/>
        </w:rPr>
        <w:t xml:space="preserve"> each</w:t>
      </w:r>
      <w:r w:rsidR="00E40FE9">
        <w:rPr>
          <w:rFonts w:asciiTheme="majorHAnsi" w:hAnsiTheme="majorHAnsi"/>
          <w:sz w:val="24"/>
          <w:szCs w:val="24"/>
        </w:rPr>
        <w:t>, with a</w:t>
      </w:r>
      <w:r w:rsidR="00921869">
        <w:rPr>
          <w:rFonts w:asciiTheme="majorHAnsi" w:hAnsiTheme="majorHAnsi"/>
          <w:sz w:val="24"/>
          <w:szCs w:val="24"/>
        </w:rPr>
        <w:t xml:space="preserve"> total </w:t>
      </w:r>
      <w:r w:rsidR="00E40FE9">
        <w:rPr>
          <w:rFonts w:asciiTheme="majorHAnsi" w:hAnsiTheme="majorHAnsi"/>
          <w:sz w:val="24"/>
          <w:szCs w:val="24"/>
        </w:rPr>
        <w:t>of</w:t>
      </w:r>
      <w:r w:rsidR="00921869">
        <w:rPr>
          <w:rFonts w:asciiTheme="majorHAnsi" w:hAnsiTheme="majorHAnsi"/>
          <w:sz w:val="24"/>
          <w:szCs w:val="24"/>
        </w:rPr>
        <w:t xml:space="preserve"> 56.9% of</w:t>
      </w:r>
      <w:r w:rsidR="00E40FE9">
        <w:rPr>
          <w:rFonts w:asciiTheme="majorHAnsi" w:hAnsiTheme="majorHAnsi"/>
          <w:sz w:val="24"/>
          <w:szCs w:val="24"/>
        </w:rPr>
        <w:t xml:space="preserve"> the excluded property being held by that group.</w:t>
      </w:r>
      <w:r w:rsidR="00921869" w:rsidDel="00374F02">
        <w:rPr>
          <w:rFonts w:asciiTheme="majorHAnsi" w:hAnsiTheme="majorHAnsi"/>
          <w:sz w:val="24"/>
          <w:szCs w:val="24"/>
        </w:rPr>
        <w:t xml:space="preserve"> </w:t>
      </w:r>
      <w:r w:rsidR="00374F02">
        <w:rPr>
          <w:rFonts w:asciiTheme="majorHAnsi" w:hAnsiTheme="majorHAnsi"/>
          <w:sz w:val="24"/>
          <w:szCs w:val="24"/>
        </w:rPr>
        <w:t xml:space="preserve">45.3% of them </w:t>
      </w:r>
      <w:r w:rsidR="00921869">
        <w:rPr>
          <w:rFonts w:asciiTheme="majorHAnsi" w:hAnsiTheme="majorHAnsi"/>
          <w:sz w:val="24"/>
          <w:szCs w:val="24"/>
        </w:rPr>
        <w:t>had</w:t>
      </w:r>
      <w:r w:rsidR="00332B7B">
        <w:rPr>
          <w:rFonts w:asciiTheme="majorHAnsi" w:hAnsiTheme="majorHAnsi"/>
          <w:sz w:val="24"/>
          <w:szCs w:val="24"/>
        </w:rPr>
        <w:t xml:space="preserve"> </w:t>
      </w:r>
      <w:r w:rsidR="00D9137B">
        <w:rPr>
          <w:rFonts w:asciiTheme="majorHAnsi" w:hAnsiTheme="majorHAnsi"/>
          <w:sz w:val="24"/>
          <w:szCs w:val="24"/>
        </w:rPr>
        <w:t>fewer</w:t>
      </w:r>
      <w:r w:rsidR="00921869">
        <w:rPr>
          <w:rFonts w:asciiTheme="majorHAnsi" w:hAnsiTheme="majorHAnsi"/>
          <w:sz w:val="24"/>
          <w:szCs w:val="24"/>
        </w:rPr>
        <w:t xml:space="preserve"> than 5 </w:t>
      </w:r>
      <w:r w:rsidR="00332B7B">
        <w:rPr>
          <w:rFonts w:asciiTheme="majorHAnsi" w:hAnsiTheme="majorHAnsi"/>
          <w:sz w:val="24"/>
          <w:szCs w:val="24"/>
        </w:rPr>
        <w:t>employees</w:t>
      </w:r>
      <w:r w:rsidR="00921869">
        <w:rPr>
          <w:rFonts w:asciiTheme="majorHAnsi" w:hAnsiTheme="majorHAnsi"/>
          <w:sz w:val="24"/>
          <w:szCs w:val="24"/>
        </w:rPr>
        <w:t xml:space="preserve"> each</w:t>
      </w:r>
      <w:r w:rsidR="004421E9">
        <w:rPr>
          <w:rFonts w:asciiTheme="majorHAnsi" w:hAnsiTheme="majorHAnsi"/>
          <w:sz w:val="24"/>
          <w:szCs w:val="24"/>
        </w:rPr>
        <w:t>, representing</w:t>
      </w:r>
      <w:r w:rsidR="00332B7B">
        <w:rPr>
          <w:rFonts w:asciiTheme="majorHAnsi" w:hAnsiTheme="majorHAnsi"/>
          <w:sz w:val="24"/>
          <w:szCs w:val="24"/>
        </w:rPr>
        <w:t xml:space="preserve"> </w:t>
      </w:r>
      <w:r w:rsidR="0082440B">
        <w:rPr>
          <w:rFonts w:asciiTheme="majorHAnsi" w:hAnsiTheme="majorHAnsi"/>
          <w:sz w:val="24"/>
          <w:szCs w:val="24"/>
        </w:rPr>
        <w:t>53.6</w:t>
      </w:r>
      <w:r w:rsidR="00332B7B">
        <w:rPr>
          <w:rFonts w:asciiTheme="majorHAnsi" w:hAnsiTheme="majorHAnsi"/>
          <w:sz w:val="24"/>
          <w:szCs w:val="24"/>
        </w:rPr>
        <w:t xml:space="preserve">% of </w:t>
      </w:r>
      <w:r w:rsidR="004421E9">
        <w:rPr>
          <w:rFonts w:asciiTheme="majorHAnsi" w:hAnsiTheme="majorHAnsi"/>
          <w:sz w:val="24"/>
          <w:szCs w:val="24"/>
        </w:rPr>
        <w:t xml:space="preserve">the </w:t>
      </w:r>
      <w:r w:rsidR="00332B7B">
        <w:rPr>
          <w:rFonts w:asciiTheme="majorHAnsi" w:hAnsiTheme="majorHAnsi"/>
          <w:sz w:val="24"/>
          <w:szCs w:val="24"/>
        </w:rPr>
        <w:t xml:space="preserve">total </w:t>
      </w:r>
      <w:r w:rsidR="004421E9">
        <w:rPr>
          <w:rFonts w:asciiTheme="majorHAnsi" w:hAnsiTheme="majorHAnsi"/>
          <w:sz w:val="24"/>
          <w:szCs w:val="24"/>
        </w:rPr>
        <w:t>excluded property.</w:t>
      </w:r>
      <w:r w:rsidR="00921869">
        <w:rPr>
          <w:rFonts w:asciiTheme="majorHAnsi" w:hAnsiTheme="majorHAnsi"/>
          <w:sz w:val="24"/>
          <w:szCs w:val="24"/>
        </w:rPr>
        <w:t xml:space="preserve"> </w:t>
      </w:r>
      <w:r w:rsidR="004421E9">
        <w:rPr>
          <w:rFonts w:asciiTheme="majorHAnsi" w:hAnsiTheme="majorHAnsi"/>
          <w:sz w:val="24"/>
          <w:szCs w:val="24"/>
        </w:rPr>
        <w:t xml:space="preserve">49.5% of the property was held by businesses in the </w:t>
      </w:r>
      <w:r w:rsidR="00921869">
        <w:rPr>
          <w:rFonts w:asciiTheme="majorHAnsi" w:hAnsiTheme="majorHAnsi"/>
          <w:sz w:val="24"/>
          <w:szCs w:val="24"/>
        </w:rPr>
        <w:t>“</w:t>
      </w:r>
      <w:r w:rsidR="00921869" w:rsidRPr="00921869">
        <w:rPr>
          <w:rFonts w:asciiTheme="majorHAnsi" w:hAnsiTheme="majorHAnsi"/>
          <w:sz w:val="24"/>
          <w:szCs w:val="24"/>
        </w:rPr>
        <w:t>Real Estate and Rental and Leasing</w:t>
      </w:r>
      <w:r w:rsidR="00921869">
        <w:rPr>
          <w:rFonts w:asciiTheme="majorHAnsi" w:hAnsiTheme="majorHAnsi"/>
          <w:sz w:val="24"/>
          <w:szCs w:val="24"/>
        </w:rPr>
        <w:t xml:space="preserve">” </w:t>
      </w:r>
      <w:r w:rsidR="004421E9">
        <w:rPr>
          <w:rFonts w:asciiTheme="majorHAnsi" w:hAnsiTheme="majorHAnsi"/>
          <w:sz w:val="24"/>
          <w:szCs w:val="24"/>
        </w:rPr>
        <w:t>industry, representing 12.1% of the impacted corporations</w:t>
      </w:r>
      <w:r w:rsidR="00FA4EFA">
        <w:rPr>
          <w:rFonts w:asciiTheme="majorHAnsi" w:hAnsiTheme="majorHAnsi"/>
          <w:sz w:val="24"/>
          <w:szCs w:val="24"/>
        </w:rPr>
        <w:t>.</w:t>
      </w:r>
      <w:r w:rsidR="00921869" w:rsidDel="00921869">
        <w:rPr>
          <w:rFonts w:asciiTheme="majorHAnsi" w:hAnsiTheme="majorHAnsi"/>
          <w:sz w:val="24"/>
          <w:szCs w:val="24"/>
        </w:rPr>
        <w:t xml:space="preserve"> </w:t>
      </w:r>
    </w:p>
    <w:p w14:paraId="32142DA7" w14:textId="77777777" w:rsidR="00332B7B" w:rsidRDefault="00332B7B" w:rsidP="00BE31C0">
      <w:pPr>
        <w:spacing w:after="0"/>
        <w:rPr>
          <w:rFonts w:asciiTheme="majorHAnsi" w:hAnsiTheme="majorHAnsi"/>
          <w:sz w:val="24"/>
          <w:szCs w:val="24"/>
        </w:rPr>
      </w:pPr>
    </w:p>
    <w:p w14:paraId="4B282EF1" w14:textId="4EE5529C" w:rsidR="00506005" w:rsidRDefault="00D94596" w:rsidP="00506005">
      <w:pPr>
        <w:spacing w:after="0"/>
        <w:rPr>
          <w:rFonts w:asciiTheme="majorHAnsi" w:eastAsiaTheme="majorEastAsia" w:hAnsiTheme="majorHAnsi" w:cstheme="majorBidi"/>
          <w:bCs/>
          <w:color w:val="000000" w:themeColor="text1"/>
          <w:sz w:val="24"/>
          <w:szCs w:val="24"/>
        </w:rPr>
      </w:pPr>
      <w:r>
        <w:rPr>
          <w:rFonts w:asciiTheme="majorHAnsi" w:hAnsiTheme="majorHAnsi"/>
          <w:sz w:val="24"/>
          <w:szCs w:val="24"/>
        </w:rPr>
        <w:t xml:space="preserve">The </w:t>
      </w:r>
      <w:r w:rsidR="00E40FE9">
        <w:rPr>
          <w:rFonts w:asciiTheme="majorHAnsi" w:hAnsiTheme="majorHAnsi"/>
          <w:sz w:val="24"/>
          <w:szCs w:val="24"/>
        </w:rPr>
        <w:t xml:space="preserve">average </w:t>
      </w:r>
      <w:r>
        <w:rPr>
          <w:rFonts w:asciiTheme="majorHAnsi" w:hAnsiTheme="majorHAnsi"/>
          <w:sz w:val="24"/>
          <w:szCs w:val="24"/>
        </w:rPr>
        <w:t xml:space="preserve">tax saving per impacted corporation was $4,428, </w:t>
      </w:r>
      <w:r w:rsidR="00506005">
        <w:rPr>
          <w:rFonts w:asciiTheme="majorHAnsi" w:eastAsiaTheme="majorEastAsia" w:hAnsiTheme="majorHAnsi" w:cstheme="majorBidi"/>
          <w:bCs/>
          <w:color w:val="000000" w:themeColor="text1"/>
          <w:sz w:val="24"/>
          <w:szCs w:val="24"/>
        </w:rPr>
        <w:t xml:space="preserve">varying from $1,308 for </w:t>
      </w:r>
      <w:r w:rsidR="00506005">
        <w:rPr>
          <w:rFonts w:asciiTheme="majorHAnsi" w:hAnsiTheme="majorHAnsi"/>
          <w:sz w:val="24"/>
          <w:szCs w:val="24"/>
        </w:rPr>
        <w:t>corporations with taxable income between $0 and $9,999 to $</w:t>
      </w:r>
      <w:r w:rsidR="00F42F20">
        <w:rPr>
          <w:rFonts w:asciiTheme="majorHAnsi" w:hAnsiTheme="majorHAnsi"/>
          <w:sz w:val="24"/>
          <w:szCs w:val="24"/>
        </w:rPr>
        <w:t>228</w:t>
      </w:r>
      <w:r w:rsidR="00506005">
        <w:rPr>
          <w:rFonts w:asciiTheme="majorHAnsi" w:hAnsiTheme="majorHAnsi"/>
          <w:sz w:val="24"/>
          <w:szCs w:val="24"/>
        </w:rPr>
        <w:t>,98</w:t>
      </w:r>
      <w:r w:rsidR="00F42F20">
        <w:rPr>
          <w:rFonts w:asciiTheme="majorHAnsi" w:hAnsiTheme="majorHAnsi"/>
          <w:sz w:val="24"/>
          <w:szCs w:val="24"/>
        </w:rPr>
        <w:t>7</w:t>
      </w:r>
      <w:r w:rsidR="00506005">
        <w:rPr>
          <w:rFonts w:asciiTheme="majorHAnsi" w:hAnsiTheme="majorHAnsi"/>
          <w:sz w:val="24"/>
          <w:szCs w:val="24"/>
        </w:rPr>
        <w:t xml:space="preserve"> for corporations with $10 million or higher taxable income, from </w:t>
      </w:r>
      <w:r w:rsidR="00506005">
        <w:rPr>
          <w:rFonts w:asciiTheme="majorHAnsi" w:eastAsiaTheme="majorEastAsia" w:hAnsiTheme="majorHAnsi" w:cstheme="majorBidi"/>
          <w:bCs/>
          <w:color w:val="000000" w:themeColor="text1"/>
          <w:sz w:val="24"/>
          <w:szCs w:val="24"/>
        </w:rPr>
        <w:t>$</w:t>
      </w:r>
      <w:r w:rsidR="00F42F20">
        <w:rPr>
          <w:rFonts w:asciiTheme="majorHAnsi" w:eastAsiaTheme="majorEastAsia" w:hAnsiTheme="majorHAnsi" w:cstheme="majorBidi"/>
          <w:bCs/>
          <w:color w:val="000000" w:themeColor="text1"/>
          <w:sz w:val="24"/>
          <w:szCs w:val="24"/>
        </w:rPr>
        <w:t>684</w:t>
      </w:r>
      <w:r w:rsidR="00506005">
        <w:rPr>
          <w:rFonts w:asciiTheme="majorHAnsi" w:eastAsiaTheme="majorEastAsia" w:hAnsiTheme="majorHAnsi" w:cstheme="majorBidi"/>
          <w:bCs/>
          <w:color w:val="000000" w:themeColor="text1"/>
          <w:sz w:val="24"/>
          <w:szCs w:val="24"/>
        </w:rPr>
        <w:t xml:space="preserve"> for </w:t>
      </w:r>
      <w:r w:rsidR="00F42F20">
        <w:rPr>
          <w:rFonts w:asciiTheme="majorHAnsi" w:hAnsiTheme="majorHAnsi"/>
          <w:sz w:val="24"/>
          <w:szCs w:val="24"/>
        </w:rPr>
        <w:t xml:space="preserve">corporations with 5-49 employees </w:t>
      </w:r>
      <w:r w:rsidR="00506005">
        <w:rPr>
          <w:rFonts w:asciiTheme="majorHAnsi" w:hAnsiTheme="majorHAnsi"/>
          <w:sz w:val="24"/>
          <w:szCs w:val="24"/>
        </w:rPr>
        <w:t>to $</w:t>
      </w:r>
      <w:r w:rsidR="00F42F20">
        <w:rPr>
          <w:rFonts w:asciiTheme="majorHAnsi" w:hAnsiTheme="majorHAnsi"/>
          <w:sz w:val="24"/>
          <w:szCs w:val="24"/>
        </w:rPr>
        <w:t>102</w:t>
      </w:r>
      <w:r w:rsidR="00506005">
        <w:rPr>
          <w:rFonts w:asciiTheme="majorHAnsi" w:hAnsiTheme="majorHAnsi"/>
          <w:sz w:val="24"/>
          <w:szCs w:val="24"/>
        </w:rPr>
        <w:t>,</w:t>
      </w:r>
      <w:r w:rsidR="00F42F20">
        <w:rPr>
          <w:rFonts w:asciiTheme="majorHAnsi" w:hAnsiTheme="majorHAnsi"/>
          <w:sz w:val="24"/>
          <w:szCs w:val="24"/>
        </w:rPr>
        <w:t>239</w:t>
      </w:r>
      <w:r w:rsidR="00506005">
        <w:rPr>
          <w:rFonts w:asciiTheme="majorHAnsi" w:hAnsiTheme="majorHAnsi"/>
          <w:sz w:val="24"/>
          <w:szCs w:val="24"/>
        </w:rPr>
        <w:t xml:space="preserve"> for</w:t>
      </w:r>
      <w:r w:rsidR="00A65A37">
        <w:rPr>
          <w:rFonts w:asciiTheme="majorHAnsi" w:hAnsiTheme="majorHAnsi"/>
          <w:sz w:val="24"/>
          <w:szCs w:val="24"/>
        </w:rPr>
        <w:t xml:space="preserve"> </w:t>
      </w:r>
      <w:r w:rsidR="00506005">
        <w:rPr>
          <w:rFonts w:asciiTheme="majorHAnsi" w:hAnsiTheme="majorHAnsi"/>
          <w:sz w:val="24"/>
          <w:szCs w:val="24"/>
        </w:rPr>
        <w:t>corporations with 500 or more employees</w:t>
      </w:r>
      <w:r w:rsidR="0014263E">
        <w:rPr>
          <w:rFonts w:asciiTheme="majorHAnsi" w:hAnsiTheme="majorHAnsi"/>
          <w:sz w:val="24"/>
          <w:szCs w:val="24"/>
        </w:rPr>
        <w:t xml:space="preserve">, and from $337 for corporations in the </w:t>
      </w:r>
      <w:r w:rsidR="0014263E">
        <w:rPr>
          <w:rFonts w:ascii="Cambria" w:eastAsia="Times New Roman" w:hAnsi="Cambria" w:cs="Helvetica"/>
          <w:color w:val="000000"/>
          <w:sz w:val="24"/>
          <w:szCs w:val="24"/>
          <w:lang w:eastAsia="ko-KR"/>
        </w:rPr>
        <w:t>industry</w:t>
      </w:r>
      <w:r w:rsidR="0014263E">
        <w:rPr>
          <w:rFonts w:asciiTheme="majorHAnsi" w:hAnsiTheme="majorHAnsi"/>
          <w:sz w:val="24"/>
          <w:szCs w:val="24"/>
        </w:rPr>
        <w:t xml:space="preserve"> of “</w:t>
      </w:r>
      <w:r w:rsidR="0014263E" w:rsidRPr="00F42F20">
        <w:rPr>
          <w:rFonts w:ascii="Cambria" w:eastAsia="Times New Roman" w:hAnsi="Cambria" w:cs="Helvetica"/>
          <w:color w:val="000000"/>
          <w:sz w:val="24"/>
          <w:szCs w:val="24"/>
          <w:lang w:eastAsia="ko-KR"/>
        </w:rPr>
        <w:t>Other Services (except Public Administration)</w:t>
      </w:r>
      <w:r w:rsidR="0014263E">
        <w:rPr>
          <w:rFonts w:ascii="Cambria" w:eastAsia="Times New Roman" w:hAnsi="Cambria" w:cs="Helvetica"/>
          <w:color w:val="000000"/>
          <w:sz w:val="24"/>
          <w:szCs w:val="24"/>
          <w:lang w:eastAsia="ko-KR"/>
        </w:rPr>
        <w:t xml:space="preserve">” </w:t>
      </w:r>
      <w:r w:rsidR="0014263E">
        <w:rPr>
          <w:rFonts w:asciiTheme="majorHAnsi" w:hAnsiTheme="majorHAnsi"/>
          <w:sz w:val="24"/>
          <w:szCs w:val="24"/>
        </w:rPr>
        <w:t>to $66,881 for corporations in the “Utilities” industry</w:t>
      </w:r>
      <w:r w:rsidR="00506005">
        <w:rPr>
          <w:rFonts w:asciiTheme="majorHAnsi" w:hAnsiTheme="majorHAnsi"/>
          <w:sz w:val="24"/>
          <w:szCs w:val="24"/>
        </w:rPr>
        <w:t xml:space="preserve">. </w:t>
      </w:r>
    </w:p>
    <w:p w14:paraId="5F9DB422" w14:textId="77777777" w:rsidR="00506005" w:rsidRDefault="00506005" w:rsidP="00914CD4">
      <w:pPr>
        <w:spacing w:after="0"/>
        <w:rPr>
          <w:rFonts w:asciiTheme="majorHAnsi" w:hAnsiTheme="majorHAnsi"/>
          <w:sz w:val="24"/>
          <w:szCs w:val="24"/>
        </w:rPr>
      </w:pPr>
    </w:p>
    <w:p w14:paraId="40145B5C" w14:textId="77777777" w:rsidR="00BE31C0" w:rsidRDefault="00BE31C0" w:rsidP="00BE31C0">
      <w:pPr>
        <w:spacing w:after="0"/>
        <w:rPr>
          <w:rFonts w:asciiTheme="majorHAnsi" w:eastAsiaTheme="majorEastAsia" w:hAnsiTheme="majorHAnsi" w:cstheme="majorBidi"/>
          <w:bCs/>
          <w:color w:val="000000" w:themeColor="text1"/>
          <w:sz w:val="24"/>
          <w:szCs w:val="24"/>
        </w:rPr>
      </w:pPr>
    </w:p>
    <w:p w14:paraId="6801BE8C" w14:textId="77777777" w:rsidR="00C23B65" w:rsidRDefault="00386837" w:rsidP="00CF3070">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405E25">
        <w:rPr>
          <w:rFonts w:asciiTheme="majorHAnsi" w:hAnsiTheme="majorHAnsi"/>
          <w:b/>
          <w:sz w:val="24"/>
          <w:szCs w:val="24"/>
        </w:rPr>
        <w:t>3</w:t>
      </w:r>
      <w:r w:rsidRPr="00CA0391">
        <w:rPr>
          <w:rFonts w:asciiTheme="majorHAnsi" w:hAnsiTheme="majorHAnsi"/>
          <w:b/>
          <w:sz w:val="24"/>
          <w:szCs w:val="24"/>
        </w:rPr>
        <w:t xml:space="preserve">. </w:t>
      </w:r>
      <w:r w:rsidR="00D5451F">
        <w:rPr>
          <w:rFonts w:asciiTheme="majorHAnsi" w:hAnsiTheme="majorHAnsi"/>
          <w:b/>
          <w:sz w:val="24"/>
          <w:szCs w:val="24"/>
        </w:rPr>
        <w:t>Tangible Property Taxed Locally, Tax Liabilit</w:t>
      </w:r>
      <w:r w:rsidR="002B111A">
        <w:rPr>
          <w:rFonts w:asciiTheme="majorHAnsi" w:hAnsiTheme="majorHAnsi"/>
          <w:b/>
          <w:sz w:val="24"/>
          <w:szCs w:val="24"/>
        </w:rPr>
        <w:t>y</w:t>
      </w:r>
      <w:r w:rsidR="00BA52C6">
        <w:rPr>
          <w:rFonts w:asciiTheme="majorHAnsi" w:hAnsiTheme="majorHAnsi"/>
          <w:b/>
          <w:sz w:val="24"/>
          <w:szCs w:val="24"/>
        </w:rPr>
        <w:t xml:space="preserve">, </w:t>
      </w:r>
      <w:r w:rsidR="00823956">
        <w:rPr>
          <w:rFonts w:asciiTheme="majorHAnsi" w:hAnsiTheme="majorHAnsi"/>
          <w:b/>
          <w:sz w:val="24"/>
          <w:szCs w:val="24"/>
        </w:rPr>
        <w:t>Impacted Corporation</w:t>
      </w:r>
      <w:r w:rsidR="00BA52C6">
        <w:rPr>
          <w:rFonts w:asciiTheme="majorHAnsi" w:hAnsiTheme="majorHAnsi"/>
          <w:b/>
          <w:sz w:val="24"/>
          <w:szCs w:val="24"/>
        </w:rPr>
        <w:t>s</w:t>
      </w:r>
      <w:r w:rsidR="00D5451F">
        <w:rPr>
          <w:rFonts w:asciiTheme="majorHAnsi" w:hAnsiTheme="majorHAnsi"/>
          <w:b/>
          <w:sz w:val="24"/>
          <w:szCs w:val="24"/>
        </w:rPr>
        <w:t xml:space="preserve"> by Taxable Income</w:t>
      </w:r>
      <w:r w:rsidR="00951493">
        <w:rPr>
          <w:rFonts w:asciiTheme="majorHAnsi" w:hAnsiTheme="majorHAnsi"/>
          <w:b/>
          <w:sz w:val="24"/>
          <w:szCs w:val="24"/>
        </w:rPr>
        <w:t xml:space="preserve"> Level</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260"/>
        <w:gridCol w:w="1080"/>
        <w:gridCol w:w="720"/>
        <w:gridCol w:w="1170"/>
        <w:gridCol w:w="1170"/>
        <w:gridCol w:w="1170"/>
        <w:gridCol w:w="1170"/>
        <w:gridCol w:w="1080"/>
      </w:tblGrid>
      <w:tr w:rsidR="00532B28" w:rsidRPr="00670A02" w14:paraId="7E845699" w14:textId="77777777" w:rsidTr="00532B28">
        <w:trPr>
          <w:trHeight w:val="1470"/>
        </w:trPr>
        <w:tc>
          <w:tcPr>
            <w:tcW w:w="1075" w:type="dxa"/>
            <w:shd w:val="clear" w:color="auto" w:fill="B6DDE8" w:themeFill="accent5" w:themeFillTint="66"/>
            <w:vAlign w:val="center"/>
            <w:hideMark/>
          </w:tcPr>
          <w:p w14:paraId="25F7F0CE"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Taxable Income Range</w:t>
            </w:r>
          </w:p>
        </w:tc>
        <w:tc>
          <w:tcPr>
            <w:tcW w:w="1260" w:type="dxa"/>
            <w:shd w:val="clear" w:color="auto" w:fill="B6DDE8" w:themeFill="accent5" w:themeFillTint="66"/>
            <w:vAlign w:val="center"/>
            <w:hideMark/>
          </w:tcPr>
          <w:p w14:paraId="33DDD08D"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eastAsia="Times New Roman" w:hAnsi="Cambria" w:cs="Arial"/>
                <w:color w:val="000000"/>
                <w:sz w:val="16"/>
                <w:szCs w:val="16"/>
                <w:lang w:eastAsia="ko-KR"/>
              </w:rPr>
              <w:t>Tax Liability</w:t>
            </w:r>
            <w:r w:rsidRPr="00D179FD">
              <w:rPr>
                <w:rFonts w:ascii="Cambria" w:eastAsia="Times New Roman" w:hAnsi="Cambria" w:cs="Arial"/>
                <w:color w:val="000000"/>
                <w:sz w:val="16"/>
                <w:szCs w:val="16"/>
                <w:lang w:eastAsia="ko-KR"/>
              </w:rPr>
              <w:t xml:space="preserve"> Under </w:t>
            </w:r>
            <w:r>
              <w:rPr>
                <w:rFonts w:ascii="Cambria" w:eastAsia="Times New Roman" w:hAnsi="Cambria" w:cs="Arial"/>
                <w:color w:val="000000"/>
                <w:sz w:val="16"/>
                <w:szCs w:val="16"/>
                <w:lang w:eastAsia="ko-KR"/>
              </w:rPr>
              <w:t xml:space="preserve">the </w:t>
            </w:r>
            <w:r w:rsidRPr="00D179FD">
              <w:rPr>
                <w:rFonts w:ascii="Cambria" w:eastAsia="Times New Roman" w:hAnsi="Cambria" w:cs="Arial"/>
                <w:color w:val="000000"/>
                <w:sz w:val="16"/>
                <w:szCs w:val="16"/>
                <w:lang w:eastAsia="ko-KR"/>
              </w:rPr>
              <w:t xml:space="preserve">Current </w:t>
            </w:r>
            <w:r>
              <w:rPr>
                <w:rFonts w:ascii="Cambria" w:eastAsia="Times New Roman" w:hAnsi="Cambria" w:cs="Arial"/>
                <w:color w:val="000000"/>
                <w:sz w:val="16"/>
                <w:szCs w:val="16"/>
                <w:lang w:eastAsia="ko-KR"/>
              </w:rPr>
              <w:t>Law</w:t>
            </w:r>
            <w:r w:rsidRPr="00D179FD">
              <w:rPr>
                <w:rFonts w:ascii="Cambria" w:eastAsia="Times New Roman" w:hAnsi="Cambria" w:cs="Arial"/>
                <w:color w:val="000000"/>
                <w:sz w:val="16"/>
                <w:szCs w:val="16"/>
                <w:lang w:eastAsia="ko-KR"/>
              </w:rPr>
              <w:t xml:space="preserve"> ($000) -</w:t>
            </w:r>
            <w:r w:rsidR="00532B28">
              <w:rPr>
                <w:rFonts w:ascii="Cambria" w:eastAsia="Times New Roman" w:hAnsi="Cambria" w:cs="Arial"/>
                <w:color w:val="000000"/>
                <w:sz w:val="16"/>
                <w:szCs w:val="16"/>
                <w:lang w:eastAsia="ko-KR"/>
              </w:rPr>
              <w:t xml:space="preserve"> </w:t>
            </w:r>
            <w:r w:rsidRPr="00D179FD">
              <w:rPr>
                <w:rFonts w:ascii="Cambria" w:eastAsia="Times New Roman" w:hAnsi="Cambria" w:cs="Arial"/>
                <w:color w:val="000000"/>
                <w:sz w:val="16"/>
                <w:szCs w:val="16"/>
                <w:lang w:eastAsia="ko-KR"/>
              </w:rPr>
              <w:t>A</w:t>
            </w:r>
          </w:p>
        </w:tc>
        <w:tc>
          <w:tcPr>
            <w:tcW w:w="1080" w:type="dxa"/>
            <w:shd w:val="clear" w:color="auto" w:fill="B6DDE8" w:themeFill="accent5" w:themeFillTint="66"/>
            <w:vAlign w:val="center"/>
            <w:hideMark/>
          </w:tcPr>
          <w:p w14:paraId="5F967029"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 xml:space="preserve">Tax </w:t>
            </w:r>
            <w:r>
              <w:rPr>
                <w:rFonts w:ascii="Cambria" w:eastAsia="Times New Roman" w:hAnsi="Cambria" w:cs="Arial"/>
                <w:color w:val="000000"/>
                <w:sz w:val="16"/>
                <w:szCs w:val="16"/>
                <w:lang w:eastAsia="ko-KR"/>
              </w:rPr>
              <w:t>L</w:t>
            </w:r>
            <w:r w:rsidRPr="00D179FD">
              <w:rPr>
                <w:rFonts w:ascii="Cambria" w:eastAsia="Times New Roman" w:hAnsi="Cambria" w:cs="Arial"/>
                <w:color w:val="000000"/>
                <w:sz w:val="16"/>
                <w:szCs w:val="16"/>
                <w:lang w:eastAsia="ko-KR"/>
              </w:rPr>
              <w:t xml:space="preserve">iability without </w:t>
            </w:r>
            <w:r>
              <w:rPr>
                <w:rFonts w:ascii="Cambria" w:eastAsia="Times New Roman" w:hAnsi="Cambria" w:cs="Arial"/>
                <w:color w:val="000000"/>
                <w:sz w:val="16"/>
                <w:szCs w:val="16"/>
                <w:lang w:eastAsia="ko-KR"/>
              </w:rPr>
              <w:t>the Exemption</w:t>
            </w:r>
            <w:r w:rsidRPr="00D179FD">
              <w:rPr>
                <w:rFonts w:ascii="Cambria" w:eastAsia="Times New Roman" w:hAnsi="Cambria" w:cs="Arial"/>
                <w:color w:val="000000"/>
                <w:sz w:val="16"/>
                <w:szCs w:val="16"/>
                <w:lang w:eastAsia="ko-KR"/>
              </w:rPr>
              <w:t xml:space="preserve"> ($000) -</w:t>
            </w:r>
            <w:r w:rsidR="00532B28">
              <w:rPr>
                <w:rFonts w:ascii="Cambria" w:eastAsia="Times New Roman" w:hAnsi="Cambria" w:cs="Arial"/>
                <w:color w:val="000000"/>
                <w:sz w:val="16"/>
                <w:szCs w:val="16"/>
                <w:lang w:eastAsia="ko-KR"/>
              </w:rPr>
              <w:t xml:space="preserve"> </w:t>
            </w:r>
            <w:r w:rsidRPr="00D179FD">
              <w:rPr>
                <w:rFonts w:ascii="Cambria" w:eastAsia="Times New Roman" w:hAnsi="Cambria" w:cs="Arial"/>
                <w:color w:val="000000"/>
                <w:sz w:val="16"/>
                <w:szCs w:val="16"/>
                <w:lang w:eastAsia="ko-KR"/>
              </w:rPr>
              <w:t>B</w:t>
            </w:r>
          </w:p>
        </w:tc>
        <w:tc>
          <w:tcPr>
            <w:tcW w:w="720" w:type="dxa"/>
            <w:shd w:val="clear" w:color="auto" w:fill="B6DDE8" w:themeFill="accent5" w:themeFillTint="66"/>
            <w:vAlign w:val="center"/>
            <w:hideMark/>
          </w:tcPr>
          <w:p w14:paraId="2959C4EA"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eastAsia="Times New Roman" w:hAnsi="Cambria" w:cs="Arial"/>
                <w:i/>
                <w:iCs/>
                <w:color w:val="000000"/>
                <w:sz w:val="16"/>
                <w:szCs w:val="16"/>
                <w:lang w:eastAsia="ko-KR"/>
              </w:rPr>
              <w:t>A/B (%)</w:t>
            </w:r>
          </w:p>
        </w:tc>
        <w:tc>
          <w:tcPr>
            <w:tcW w:w="1170" w:type="dxa"/>
            <w:shd w:val="clear" w:color="auto" w:fill="B6DDE8" w:themeFill="accent5" w:themeFillTint="66"/>
            <w:vAlign w:val="center"/>
            <w:hideMark/>
          </w:tcPr>
          <w:p w14:paraId="73E40DAF"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Tangible Property Taxed Locally ($000)</w:t>
            </w:r>
          </w:p>
        </w:tc>
        <w:tc>
          <w:tcPr>
            <w:tcW w:w="1170" w:type="dxa"/>
            <w:shd w:val="clear" w:color="auto" w:fill="B6DDE8" w:themeFill="accent5" w:themeFillTint="66"/>
            <w:vAlign w:val="center"/>
            <w:hideMark/>
          </w:tcPr>
          <w:p w14:paraId="0EEDFA1F"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7D73C9">
              <w:rPr>
                <w:rFonts w:ascii="Cambria" w:eastAsia="Times New Roman" w:hAnsi="Cambria" w:cs="Arial"/>
                <w:i/>
                <w:iCs/>
                <w:color w:val="000000"/>
                <w:sz w:val="16"/>
                <w:szCs w:val="16"/>
                <w:lang w:eastAsia="ko-KR"/>
              </w:rPr>
              <w:t>Percentage of Total</w:t>
            </w:r>
            <w:r>
              <w:rPr>
                <w:rFonts w:ascii="Cambria" w:eastAsia="Times New Roman" w:hAnsi="Cambria" w:cs="Arial"/>
                <w:i/>
                <w:iCs/>
                <w:color w:val="000000"/>
                <w:sz w:val="16"/>
                <w:szCs w:val="16"/>
                <w:lang w:eastAsia="ko-KR"/>
              </w:rPr>
              <w:t xml:space="preserve"> Tangible Property Taxed Locally</w:t>
            </w:r>
          </w:p>
        </w:tc>
        <w:tc>
          <w:tcPr>
            <w:tcW w:w="1170" w:type="dxa"/>
            <w:shd w:val="clear" w:color="auto" w:fill="B6DDE8" w:themeFill="accent5" w:themeFillTint="66"/>
            <w:vAlign w:val="center"/>
            <w:hideMark/>
          </w:tcPr>
          <w:p w14:paraId="5AA1415D"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Number of Impacted Corporations</w:t>
            </w:r>
          </w:p>
        </w:tc>
        <w:tc>
          <w:tcPr>
            <w:tcW w:w="1170" w:type="dxa"/>
            <w:shd w:val="clear" w:color="auto" w:fill="B6DDE8" w:themeFill="accent5" w:themeFillTint="66"/>
            <w:vAlign w:val="center"/>
            <w:hideMark/>
          </w:tcPr>
          <w:p w14:paraId="77557F46"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CF3070">
              <w:rPr>
                <w:rFonts w:ascii="Cambria" w:eastAsia="Times New Roman" w:hAnsi="Cambria" w:cs="Helvetica"/>
                <w:i/>
                <w:iCs/>
                <w:color w:val="000000"/>
                <w:sz w:val="16"/>
                <w:szCs w:val="16"/>
                <w:lang w:eastAsia="ko-KR"/>
              </w:rPr>
              <w:t xml:space="preserve">Percentage of Total Number of </w:t>
            </w:r>
            <w:r w:rsidRPr="00951493">
              <w:rPr>
                <w:rFonts w:ascii="Cambria" w:eastAsia="Times New Roman" w:hAnsi="Cambria" w:cs="Arial"/>
                <w:i/>
                <w:iCs/>
                <w:color w:val="000000"/>
                <w:sz w:val="16"/>
                <w:szCs w:val="16"/>
                <w:lang w:eastAsia="ko-KR"/>
              </w:rPr>
              <w:t>Impacted Corporations</w:t>
            </w:r>
          </w:p>
        </w:tc>
        <w:tc>
          <w:tcPr>
            <w:tcW w:w="1080" w:type="dxa"/>
            <w:shd w:val="clear" w:color="auto" w:fill="B6DDE8" w:themeFill="accent5" w:themeFillTint="66"/>
            <w:vAlign w:val="center"/>
            <w:hideMark/>
          </w:tcPr>
          <w:p w14:paraId="26008F40"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Tax Saving Per Impacted Corporation ($)</w:t>
            </w:r>
          </w:p>
        </w:tc>
      </w:tr>
      <w:tr w:rsidR="00245C31" w:rsidRPr="00670A02" w14:paraId="6E983E97" w14:textId="77777777" w:rsidTr="00532B28">
        <w:trPr>
          <w:trHeight w:val="480"/>
        </w:trPr>
        <w:tc>
          <w:tcPr>
            <w:tcW w:w="1075" w:type="dxa"/>
            <w:shd w:val="clear" w:color="auto" w:fill="auto"/>
            <w:vAlign w:val="center"/>
            <w:hideMark/>
          </w:tcPr>
          <w:p w14:paraId="35FB2F4F"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eastAsia="Times New Roman" w:hAnsi="Cambria" w:cs="Arial"/>
                <w:color w:val="000000"/>
                <w:sz w:val="16"/>
                <w:szCs w:val="16"/>
                <w:lang w:eastAsia="ko-KR"/>
              </w:rPr>
              <w:t>Less than $0</w:t>
            </w:r>
          </w:p>
        </w:tc>
        <w:tc>
          <w:tcPr>
            <w:tcW w:w="1260" w:type="dxa"/>
            <w:shd w:val="clear" w:color="auto" w:fill="auto"/>
            <w:vAlign w:val="center"/>
            <w:hideMark/>
          </w:tcPr>
          <w:p w14:paraId="0052A9C4"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$34,364</w:t>
            </w:r>
          </w:p>
        </w:tc>
        <w:tc>
          <w:tcPr>
            <w:tcW w:w="1080" w:type="dxa"/>
            <w:shd w:val="clear" w:color="auto" w:fill="auto"/>
            <w:vAlign w:val="center"/>
            <w:hideMark/>
          </w:tcPr>
          <w:p w14:paraId="7E47834A"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$128,830</w:t>
            </w:r>
          </w:p>
        </w:tc>
        <w:tc>
          <w:tcPr>
            <w:tcW w:w="720" w:type="dxa"/>
            <w:shd w:val="clear" w:color="auto" w:fill="auto"/>
            <w:vAlign w:val="center"/>
            <w:hideMark/>
          </w:tcPr>
          <w:p w14:paraId="1884ABD7"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sz w:val="16"/>
                <w:szCs w:val="16"/>
              </w:rPr>
              <w:t>26.7%</w:t>
            </w:r>
          </w:p>
        </w:tc>
        <w:tc>
          <w:tcPr>
            <w:tcW w:w="1170" w:type="dxa"/>
            <w:shd w:val="clear" w:color="auto" w:fill="auto"/>
            <w:vAlign w:val="center"/>
            <w:hideMark/>
          </w:tcPr>
          <w:p w14:paraId="34C12602"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$52,694,033</w:t>
            </w:r>
          </w:p>
        </w:tc>
        <w:tc>
          <w:tcPr>
            <w:tcW w:w="1170" w:type="dxa"/>
            <w:shd w:val="clear" w:color="auto" w:fill="auto"/>
            <w:vAlign w:val="center"/>
            <w:hideMark/>
          </w:tcPr>
          <w:p w14:paraId="70DBD877"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35.6%</w:t>
            </w:r>
          </w:p>
        </w:tc>
        <w:tc>
          <w:tcPr>
            <w:tcW w:w="1170" w:type="dxa"/>
            <w:shd w:val="clear" w:color="auto" w:fill="auto"/>
            <w:vAlign w:val="center"/>
            <w:hideMark/>
          </w:tcPr>
          <w:p w14:paraId="3D0C40D8" w14:textId="77777777" w:rsidR="00951493" w:rsidRPr="00D179FD" w:rsidRDefault="00951493" w:rsidP="00532B28">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6,400</w:t>
            </w:r>
          </w:p>
        </w:tc>
        <w:tc>
          <w:tcPr>
            <w:tcW w:w="1170" w:type="dxa"/>
            <w:shd w:val="clear" w:color="auto" w:fill="auto"/>
            <w:vAlign w:val="center"/>
            <w:hideMark/>
          </w:tcPr>
          <w:p w14:paraId="1A2082CD"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11.1%</w:t>
            </w:r>
          </w:p>
        </w:tc>
        <w:tc>
          <w:tcPr>
            <w:tcW w:w="1080" w:type="dxa"/>
            <w:shd w:val="clear" w:color="auto" w:fill="auto"/>
            <w:vAlign w:val="center"/>
            <w:hideMark/>
          </w:tcPr>
          <w:p w14:paraId="6C46AE43"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$14,760</w:t>
            </w:r>
          </w:p>
        </w:tc>
      </w:tr>
      <w:tr w:rsidR="00245C31" w:rsidRPr="00670A02" w14:paraId="2EE35CF7" w14:textId="77777777" w:rsidTr="00532B28">
        <w:trPr>
          <w:trHeight w:val="250"/>
        </w:trPr>
        <w:tc>
          <w:tcPr>
            <w:tcW w:w="1075" w:type="dxa"/>
            <w:shd w:val="clear" w:color="auto" w:fill="auto"/>
            <w:vAlign w:val="center"/>
            <w:hideMark/>
          </w:tcPr>
          <w:p w14:paraId="61A6299B"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0 to $9,999</w:t>
            </w:r>
          </w:p>
        </w:tc>
        <w:tc>
          <w:tcPr>
            <w:tcW w:w="1260" w:type="dxa"/>
            <w:shd w:val="clear" w:color="auto" w:fill="auto"/>
            <w:vAlign w:val="center"/>
            <w:hideMark/>
          </w:tcPr>
          <w:p w14:paraId="3E96F7CD"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$43,034</w:t>
            </w:r>
          </w:p>
        </w:tc>
        <w:tc>
          <w:tcPr>
            <w:tcW w:w="1080" w:type="dxa"/>
            <w:shd w:val="clear" w:color="auto" w:fill="auto"/>
            <w:vAlign w:val="center"/>
            <w:hideMark/>
          </w:tcPr>
          <w:p w14:paraId="40AD3ACE"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$97,377</w:t>
            </w:r>
          </w:p>
        </w:tc>
        <w:tc>
          <w:tcPr>
            <w:tcW w:w="720" w:type="dxa"/>
            <w:shd w:val="clear" w:color="auto" w:fill="auto"/>
            <w:vAlign w:val="center"/>
            <w:hideMark/>
          </w:tcPr>
          <w:p w14:paraId="50B5C7AD"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44.2%</w:t>
            </w:r>
          </w:p>
        </w:tc>
        <w:tc>
          <w:tcPr>
            <w:tcW w:w="1170" w:type="dxa"/>
            <w:shd w:val="clear" w:color="auto" w:fill="auto"/>
            <w:vAlign w:val="center"/>
            <w:hideMark/>
          </w:tcPr>
          <w:p w14:paraId="68BA25B1"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$31,565,349</w:t>
            </w:r>
          </w:p>
        </w:tc>
        <w:tc>
          <w:tcPr>
            <w:tcW w:w="1170" w:type="dxa"/>
            <w:shd w:val="clear" w:color="auto" w:fill="auto"/>
            <w:vAlign w:val="center"/>
            <w:hideMark/>
          </w:tcPr>
          <w:p w14:paraId="4844DC14"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21.3%</w:t>
            </w:r>
          </w:p>
        </w:tc>
        <w:tc>
          <w:tcPr>
            <w:tcW w:w="1170" w:type="dxa"/>
            <w:shd w:val="clear" w:color="auto" w:fill="auto"/>
            <w:vAlign w:val="center"/>
            <w:hideMark/>
          </w:tcPr>
          <w:p w14:paraId="14BBD0DF" w14:textId="77777777" w:rsidR="00951493" w:rsidRPr="00D179FD" w:rsidRDefault="00951493" w:rsidP="00532B28">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41,545</w:t>
            </w:r>
          </w:p>
        </w:tc>
        <w:tc>
          <w:tcPr>
            <w:tcW w:w="1170" w:type="dxa"/>
            <w:shd w:val="clear" w:color="auto" w:fill="auto"/>
            <w:vAlign w:val="center"/>
            <w:hideMark/>
          </w:tcPr>
          <w:p w14:paraId="0448BA2E"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72.4%</w:t>
            </w:r>
          </w:p>
        </w:tc>
        <w:tc>
          <w:tcPr>
            <w:tcW w:w="1080" w:type="dxa"/>
            <w:shd w:val="clear" w:color="auto" w:fill="auto"/>
            <w:vAlign w:val="center"/>
            <w:hideMark/>
          </w:tcPr>
          <w:p w14:paraId="751B2EE7"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$1,308</w:t>
            </w:r>
          </w:p>
        </w:tc>
      </w:tr>
      <w:tr w:rsidR="00245C31" w:rsidRPr="00670A02" w14:paraId="384CC2FE" w14:textId="77777777" w:rsidTr="00532B28">
        <w:trPr>
          <w:trHeight w:val="480"/>
        </w:trPr>
        <w:tc>
          <w:tcPr>
            <w:tcW w:w="1075" w:type="dxa"/>
            <w:shd w:val="clear" w:color="auto" w:fill="auto"/>
            <w:vAlign w:val="center"/>
            <w:hideMark/>
          </w:tcPr>
          <w:p w14:paraId="63722BBF"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$10,000 to $99,999</w:t>
            </w:r>
          </w:p>
        </w:tc>
        <w:tc>
          <w:tcPr>
            <w:tcW w:w="1260" w:type="dxa"/>
            <w:shd w:val="clear" w:color="auto" w:fill="auto"/>
            <w:vAlign w:val="center"/>
            <w:hideMark/>
          </w:tcPr>
          <w:p w14:paraId="2E052B2F"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$15,156</w:t>
            </w:r>
          </w:p>
        </w:tc>
        <w:tc>
          <w:tcPr>
            <w:tcW w:w="1080" w:type="dxa"/>
            <w:shd w:val="clear" w:color="auto" w:fill="auto"/>
            <w:vAlign w:val="center"/>
            <w:hideMark/>
          </w:tcPr>
          <w:p w14:paraId="17567A07"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$26,298</w:t>
            </w:r>
          </w:p>
        </w:tc>
        <w:tc>
          <w:tcPr>
            <w:tcW w:w="720" w:type="dxa"/>
            <w:shd w:val="clear" w:color="auto" w:fill="auto"/>
            <w:vAlign w:val="center"/>
            <w:hideMark/>
          </w:tcPr>
          <w:p w14:paraId="6B940AC0"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57.6%</w:t>
            </w:r>
          </w:p>
        </w:tc>
        <w:tc>
          <w:tcPr>
            <w:tcW w:w="1170" w:type="dxa"/>
            <w:shd w:val="clear" w:color="auto" w:fill="auto"/>
            <w:vAlign w:val="center"/>
            <w:hideMark/>
          </w:tcPr>
          <w:p w14:paraId="296D4809"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$5,243,170</w:t>
            </w:r>
          </w:p>
        </w:tc>
        <w:tc>
          <w:tcPr>
            <w:tcW w:w="1170" w:type="dxa"/>
            <w:shd w:val="clear" w:color="auto" w:fill="auto"/>
            <w:vAlign w:val="center"/>
            <w:hideMark/>
          </w:tcPr>
          <w:p w14:paraId="6071447B"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3.5%</w:t>
            </w:r>
          </w:p>
        </w:tc>
        <w:tc>
          <w:tcPr>
            <w:tcW w:w="1170" w:type="dxa"/>
            <w:shd w:val="clear" w:color="auto" w:fill="auto"/>
            <w:vAlign w:val="center"/>
            <w:hideMark/>
          </w:tcPr>
          <w:p w14:paraId="745CF9E6" w14:textId="77777777" w:rsidR="00951493" w:rsidRPr="00D179FD" w:rsidRDefault="00951493" w:rsidP="00532B28">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3,704</w:t>
            </w:r>
          </w:p>
        </w:tc>
        <w:tc>
          <w:tcPr>
            <w:tcW w:w="1170" w:type="dxa"/>
            <w:shd w:val="clear" w:color="auto" w:fill="auto"/>
            <w:vAlign w:val="center"/>
            <w:hideMark/>
          </w:tcPr>
          <w:p w14:paraId="2DEBD6E1"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6.5%</w:t>
            </w:r>
          </w:p>
        </w:tc>
        <w:tc>
          <w:tcPr>
            <w:tcW w:w="1080" w:type="dxa"/>
            <w:shd w:val="clear" w:color="auto" w:fill="auto"/>
            <w:vAlign w:val="center"/>
            <w:hideMark/>
          </w:tcPr>
          <w:p w14:paraId="4B9F45FC"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$3,008</w:t>
            </w:r>
          </w:p>
        </w:tc>
      </w:tr>
      <w:tr w:rsidR="00245C31" w:rsidRPr="00670A02" w14:paraId="298F6722" w14:textId="77777777" w:rsidTr="00532B28">
        <w:trPr>
          <w:trHeight w:val="280"/>
        </w:trPr>
        <w:tc>
          <w:tcPr>
            <w:tcW w:w="1075" w:type="dxa"/>
            <w:shd w:val="clear" w:color="auto" w:fill="auto"/>
            <w:vAlign w:val="center"/>
            <w:hideMark/>
          </w:tcPr>
          <w:p w14:paraId="73E15A12"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$100,000 to $999,999</w:t>
            </w:r>
          </w:p>
        </w:tc>
        <w:tc>
          <w:tcPr>
            <w:tcW w:w="1260" w:type="dxa"/>
            <w:shd w:val="clear" w:color="auto" w:fill="auto"/>
            <w:vAlign w:val="center"/>
            <w:hideMark/>
          </w:tcPr>
          <w:p w14:paraId="27494F8A"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$77,987</w:t>
            </w:r>
          </w:p>
        </w:tc>
        <w:tc>
          <w:tcPr>
            <w:tcW w:w="1080" w:type="dxa"/>
            <w:shd w:val="clear" w:color="auto" w:fill="auto"/>
            <w:vAlign w:val="center"/>
            <w:hideMark/>
          </w:tcPr>
          <w:p w14:paraId="427D234B"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$91,816</w:t>
            </w:r>
          </w:p>
        </w:tc>
        <w:tc>
          <w:tcPr>
            <w:tcW w:w="720" w:type="dxa"/>
            <w:shd w:val="clear" w:color="auto" w:fill="auto"/>
            <w:vAlign w:val="center"/>
            <w:hideMark/>
          </w:tcPr>
          <w:p w14:paraId="55BFDCFF"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84.9%</w:t>
            </w:r>
          </w:p>
        </w:tc>
        <w:tc>
          <w:tcPr>
            <w:tcW w:w="1170" w:type="dxa"/>
            <w:shd w:val="clear" w:color="auto" w:fill="auto"/>
            <w:vAlign w:val="center"/>
            <w:hideMark/>
          </w:tcPr>
          <w:p w14:paraId="3C8DF9EE"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$8,518,222</w:t>
            </w:r>
          </w:p>
        </w:tc>
        <w:tc>
          <w:tcPr>
            <w:tcW w:w="1170" w:type="dxa"/>
            <w:shd w:val="clear" w:color="auto" w:fill="auto"/>
            <w:vAlign w:val="center"/>
            <w:hideMark/>
          </w:tcPr>
          <w:p w14:paraId="2DB9EA64"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5.8%</w:t>
            </w:r>
          </w:p>
        </w:tc>
        <w:tc>
          <w:tcPr>
            <w:tcW w:w="1170" w:type="dxa"/>
            <w:shd w:val="clear" w:color="auto" w:fill="auto"/>
            <w:vAlign w:val="center"/>
            <w:hideMark/>
          </w:tcPr>
          <w:p w14:paraId="5061CA61" w14:textId="77777777" w:rsidR="00951493" w:rsidRPr="00D179FD" w:rsidRDefault="00951493" w:rsidP="00532B28">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3,561</w:t>
            </w:r>
          </w:p>
        </w:tc>
        <w:tc>
          <w:tcPr>
            <w:tcW w:w="1170" w:type="dxa"/>
            <w:shd w:val="clear" w:color="auto" w:fill="auto"/>
            <w:vAlign w:val="center"/>
            <w:hideMark/>
          </w:tcPr>
          <w:p w14:paraId="529DD317"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6.2%</w:t>
            </w:r>
          </w:p>
        </w:tc>
        <w:tc>
          <w:tcPr>
            <w:tcW w:w="1080" w:type="dxa"/>
            <w:shd w:val="clear" w:color="auto" w:fill="auto"/>
            <w:vAlign w:val="center"/>
            <w:hideMark/>
          </w:tcPr>
          <w:p w14:paraId="0BB7E9C2"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$3,883</w:t>
            </w:r>
          </w:p>
        </w:tc>
      </w:tr>
      <w:tr w:rsidR="00245C31" w:rsidRPr="00670A02" w14:paraId="39D5239A" w14:textId="77777777" w:rsidTr="00532B28">
        <w:trPr>
          <w:trHeight w:val="480"/>
        </w:trPr>
        <w:tc>
          <w:tcPr>
            <w:tcW w:w="1075" w:type="dxa"/>
            <w:shd w:val="clear" w:color="auto" w:fill="auto"/>
            <w:vAlign w:val="center"/>
            <w:hideMark/>
          </w:tcPr>
          <w:p w14:paraId="7D744AE8"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$1,000,000 to $9,999,99</w:t>
            </w:r>
          </w:p>
        </w:tc>
        <w:tc>
          <w:tcPr>
            <w:tcW w:w="1260" w:type="dxa"/>
            <w:shd w:val="clear" w:color="auto" w:fill="auto"/>
            <w:vAlign w:val="center"/>
            <w:hideMark/>
          </w:tcPr>
          <w:p w14:paraId="716A9207"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$239,544</w:t>
            </w:r>
          </w:p>
        </w:tc>
        <w:tc>
          <w:tcPr>
            <w:tcW w:w="1080" w:type="dxa"/>
            <w:shd w:val="clear" w:color="auto" w:fill="auto"/>
            <w:vAlign w:val="center"/>
            <w:hideMark/>
          </w:tcPr>
          <w:p w14:paraId="2070F82D"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$263,326</w:t>
            </w:r>
          </w:p>
        </w:tc>
        <w:tc>
          <w:tcPr>
            <w:tcW w:w="720" w:type="dxa"/>
            <w:shd w:val="clear" w:color="auto" w:fill="auto"/>
            <w:vAlign w:val="center"/>
            <w:hideMark/>
          </w:tcPr>
          <w:p w14:paraId="28EDA3E6"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91.0%</w:t>
            </w:r>
          </w:p>
        </w:tc>
        <w:tc>
          <w:tcPr>
            <w:tcW w:w="1170" w:type="dxa"/>
            <w:shd w:val="clear" w:color="auto" w:fill="auto"/>
            <w:vAlign w:val="center"/>
            <w:hideMark/>
          </w:tcPr>
          <w:p w14:paraId="3FB58852"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$23,755,709</w:t>
            </w:r>
          </w:p>
        </w:tc>
        <w:tc>
          <w:tcPr>
            <w:tcW w:w="1170" w:type="dxa"/>
            <w:shd w:val="clear" w:color="auto" w:fill="auto"/>
            <w:vAlign w:val="center"/>
            <w:hideMark/>
          </w:tcPr>
          <w:p w14:paraId="323B7C7E"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16.0%</w:t>
            </w:r>
          </w:p>
        </w:tc>
        <w:tc>
          <w:tcPr>
            <w:tcW w:w="1170" w:type="dxa"/>
            <w:shd w:val="clear" w:color="auto" w:fill="auto"/>
            <w:vAlign w:val="center"/>
            <w:hideMark/>
          </w:tcPr>
          <w:p w14:paraId="2F23CB49" w14:textId="77777777" w:rsidR="00951493" w:rsidRPr="00D179FD" w:rsidRDefault="00951493" w:rsidP="00532B28">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1,670</w:t>
            </w:r>
          </w:p>
        </w:tc>
        <w:tc>
          <w:tcPr>
            <w:tcW w:w="1170" w:type="dxa"/>
            <w:shd w:val="clear" w:color="auto" w:fill="auto"/>
            <w:vAlign w:val="center"/>
            <w:hideMark/>
          </w:tcPr>
          <w:p w14:paraId="0B3A7D60"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2.9%</w:t>
            </w:r>
          </w:p>
        </w:tc>
        <w:tc>
          <w:tcPr>
            <w:tcW w:w="1080" w:type="dxa"/>
            <w:shd w:val="clear" w:color="auto" w:fill="auto"/>
            <w:vAlign w:val="center"/>
            <w:hideMark/>
          </w:tcPr>
          <w:p w14:paraId="5DE874C9"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$14,241</w:t>
            </w:r>
          </w:p>
        </w:tc>
      </w:tr>
      <w:tr w:rsidR="00245C31" w:rsidRPr="00670A02" w14:paraId="0E1E3FA1" w14:textId="77777777" w:rsidTr="00532B28">
        <w:trPr>
          <w:trHeight w:val="480"/>
        </w:trPr>
        <w:tc>
          <w:tcPr>
            <w:tcW w:w="1075" w:type="dxa"/>
            <w:shd w:val="clear" w:color="auto" w:fill="auto"/>
            <w:vAlign w:val="center"/>
            <w:hideMark/>
          </w:tcPr>
          <w:p w14:paraId="40C3A9F4"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$10,000,000 or higher</w:t>
            </w:r>
          </w:p>
        </w:tc>
        <w:tc>
          <w:tcPr>
            <w:tcW w:w="1260" w:type="dxa"/>
            <w:shd w:val="clear" w:color="auto" w:fill="auto"/>
            <w:vAlign w:val="center"/>
            <w:hideMark/>
          </w:tcPr>
          <w:p w14:paraId="2D5BDBC5"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$619,746</w:t>
            </w:r>
          </w:p>
        </w:tc>
        <w:tc>
          <w:tcPr>
            <w:tcW w:w="1080" w:type="dxa"/>
            <w:shd w:val="clear" w:color="auto" w:fill="auto"/>
            <w:vAlign w:val="center"/>
            <w:hideMark/>
          </w:tcPr>
          <w:p w14:paraId="380ADE26"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$674,474</w:t>
            </w:r>
          </w:p>
        </w:tc>
        <w:tc>
          <w:tcPr>
            <w:tcW w:w="720" w:type="dxa"/>
            <w:shd w:val="clear" w:color="auto" w:fill="auto"/>
            <w:vAlign w:val="center"/>
            <w:hideMark/>
          </w:tcPr>
          <w:p w14:paraId="13F91985"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91.9%</w:t>
            </w:r>
          </w:p>
        </w:tc>
        <w:tc>
          <w:tcPr>
            <w:tcW w:w="1170" w:type="dxa"/>
            <w:shd w:val="clear" w:color="auto" w:fill="auto"/>
            <w:vAlign w:val="center"/>
            <w:hideMark/>
          </w:tcPr>
          <w:p w14:paraId="5654C241"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$25,116,128</w:t>
            </w:r>
          </w:p>
        </w:tc>
        <w:tc>
          <w:tcPr>
            <w:tcW w:w="1170" w:type="dxa"/>
            <w:shd w:val="clear" w:color="auto" w:fill="auto"/>
            <w:vAlign w:val="center"/>
            <w:hideMark/>
          </w:tcPr>
          <w:p w14:paraId="0CAD27A2"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17.0%</w:t>
            </w:r>
          </w:p>
        </w:tc>
        <w:tc>
          <w:tcPr>
            <w:tcW w:w="1170" w:type="dxa"/>
            <w:shd w:val="clear" w:color="auto" w:fill="auto"/>
            <w:vAlign w:val="center"/>
            <w:hideMark/>
          </w:tcPr>
          <w:p w14:paraId="69D63A88" w14:textId="77777777" w:rsidR="00951493" w:rsidRPr="00D179FD" w:rsidRDefault="00951493" w:rsidP="00532B28">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239</w:t>
            </w:r>
          </w:p>
        </w:tc>
        <w:tc>
          <w:tcPr>
            <w:tcW w:w="1170" w:type="dxa"/>
            <w:shd w:val="clear" w:color="auto" w:fill="auto"/>
            <w:vAlign w:val="center"/>
            <w:hideMark/>
          </w:tcPr>
          <w:p w14:paraId="5A905496"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0.4%</w:t>
            </w:r>
          </w:p>
        </w:tc>
        <w:tc>
          <w:tcPr>
            <w:tcW w:w="1080" w:type="dxa"/>
            <w:shd w:val="clear" w:color="auto" w:fill="auto"/>
            <w:vAlign w:val="center"/>
            <w:hideMark/>
          </w:tcPr>
          <w:p w14:paraId="6E09EEE2"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$228,987</w:t>
            </w:r>
          </w:p>
        </w:tc>
      </w:tr>
      <w:tr w:rsidR="00245C31" w:rsidRPr="00670A02" w14:paraId="21E9BF9C" w14:textId="77777777" w:rsidTr="00532B28">
        <w:trPr>
          <w:trHeight w:val="250"/>
        </w:trPr>
        <w:tc>
          <w:tcPr>
            <w:tcW w:w="1075" w:type="dxa"/>
            <w:shd w:val="clear" w:color="auto" w:fill="auto"/>
            <w:vAlign w:val="center"/>
            <w:hideMark/>
          </w:tcPr>
          <w:p w14:paraId="397BA9C7"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lastRenderedPageBreak/>
              <w:t>Unmatched*</w:t>
            </w:r>
          </w:p>
        </w:tc>
        <w:tc>
          <w:tcPr>
            <w:tcW w:w="1260" w:type="dxa"/>
            <w:shd w:val="clear" w:color="auto" w:fill="auto"/>
            <w:vAlign w:val="center"/>
            <w:hideMark/>
          </w:tcPr>
          <w:p w14:paraId="582D0A2A"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N.A.</w:t>
            </w:r>
          </w:p>
        </w:tc>
        <w:tc>
          <w:tcPr>
            <w:tcW w:w="1080" w:type="dxa"/>
            <w:shd w:val="clear" w:color="auto" w:fill="auto"/>
            <w:vAlign w:val="center"/>
            <w:hideMark/>
          </w:tcPr>
          <w:p w14:paraId="52EBC30D"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$1,941</w:t>
            </w:r>
          </w:p>
        </w:tc>
        <w:tc>
          <w:tcPr>
            <w:tcW w:w="720" w:type="dxa"/>
            <w:shd w:val="clear" w:color="auto" w:fill="auto"/>
            <w:vAlign w:val="center"/>
            <w:hideMark/>
          </w:tcPr>
          <w:p w14:paraId="39A6A2BD"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N.A.</w:t>
            </w:r>
          </w:p>
        </w:tc>
        <w:tc>
          <w:tcPr>
            <w:tcW w:w="1170" w:type="dxa"/>
            <w:shd w:val="clear" w:color="auto" w:fill="auto"/>
            <w:vAlign w:val="center"/>
            <w:hideMark/>
          </w:tcPr>
          <w:p w14:paraId="48BDFE68"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$1,142,226</w:t>
            </w:r>
          </w:p>
        </w:tc>
        <w:tc>
          <w:tcPr>
            <w:tcW w:w="1170" w:type="dxa"/>
            <w:shd w:val="clear" w:color="auto" w:fill="auto"/>
            <w:vAlign w:val="center"/>
            <w:hideMark/>
          </w:tcPr>
          <w:p w14:paraId="3BD5BC24"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0.8%</w:t>
            </w:r>
          </w:p>
        </w:tc>
        <w:tc>
          <w:tcPr>
            <w:tcW w:w="1170" w:type="dxa"/>
            <w:shd w:val="clear" w:color="auto" w:fill="auto"/>
            <w:vAlign w:val="center"/>
            <w:hideMark/>
          </w:tcPr>
          <w:p w14:paraId="119F7B2F" w14:textId="77777777" w:rsidR="00951493" w:rsidRPr="00D179FD" w:rsidRDefault="00951493" w:rsidP="00532B28">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289</w:t>
            </w:r>
          </w:p>
        </w:tc>
        <w:tc>
          <w:tcPr>
            <w:tcW w:w="1170" w:type="dxa"/>
            <w:shd w:val="clear" w:color="auto" w:fill="auto"/>
            <w:vAlign w:val="center"/>
            <w:hideMark/>
          </w:tcPr>
          <w:p w14:paraId="2E458634"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0.5%</w:t>
            </w:r>
          </w:p>
        </w:tc>
        <w:tc>
          <w:tcPr>
            <w:tcW w:w="1080" w:type="dxa"/>
            <w:shd w:val="clear" w:color="auto" w:fill="auto"/>
            <w:vAlign w:val="center"/>
            <w:hideMark/>
          </w:tcPr>
          <w:p w14:paraId="3C3A4159"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N.A.</w:t>
            </w:r>
          </w:p>
        </w:tc>
      </w:tr>
      <w:tr w:rsidR="00245C31" w:rsidRPr="00670A02" w14:paraId="52E7CDA9" w14:textId="77777777" w:rsidTr="00532B28">
        <w:trPr>
          <w:trHeight w:val="250"/>
        </w:trPr>
        <w:tc>
          <w:tcPr>
            <w:tcW w:w="1075" w:type="dxa"/>
            <w:shd w:val="clear" w:color="auto" w:fill="auto"/>
            <w:vAlign w:val="center"/>
            <w:hideMark/>
          </w:tcPr>
          <w:p w14:paraId="1F689A11"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Total or average</w:t>
            </w:r>
          </w:p>
        </w:tc>
        <w:tc>
          <w:tcPr>
            <w:tcW w:w="1260" w:type="dxa"/>
            <w:shd w:val="clear" w:color="auto" w:fill="auto"/>
            <w:vAlign w:val="center"/>
            <w:hideMark/>
          </w:tcPr>
          <w:p w14:paraId="0AEB4237"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$1,029,831</w:t>
            </w:r>
          </w:p>
        </w:tc>
        <w:tc>
          <w:tcPr>
            <w:tcW w:w="1080" w:type="dxa"/>
            <w:shd w:val="clear" w:color="auto" w:fill="auto"/>
            <w:vAlign w:val="center"/>
            <w:hideMark/>
          </w:tcPr>
          <w:p w14:paraId="7E57E8C1"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$1,284,062</w:t>
            </w:r>
          </w:p>
        </w:tc>
        <w:tc>
          <w:tcPr>
            <w:tcW w:w="720" w:type="dxa"/>
            <w:shd w:val="clear" w:color="auto" w:fill="auto"/>
            <w:vAlign w:val="center"/>
            <w:hideMark/>
          </w:tcPr>
          <w:p w14:paraId="0D893DD6"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80.3%</w:t>
            </w:r>
          </w:p>
        </w:tc>
        <w:tc>
          <w:tcPr>
            <w:tcW w:w="1170" w:type="dxa"/>
            <w:shd w:val="clear" w:color="auto" w:fill="auto"/>
            <w:vAlign w:val="center"/>
            <w:hideMark/>
          </w:tcPr>
          <w:p w14:paraId="6515E8D2"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$148,034,837</w:t>
            </w:r>
          </w:p>
        </w:tc>
        <w:tc>
          <w:tcPr>
            <w:tcW w:w="1170" w:type="dxa"/>
            <w:shd w:val="clear" w:color="auto" w:fill="auto"/>
            <w:vAlign w:val="center"/>
            <w:hideMark/>
          </w:tcPr>
          <w:p w14:paraId="1491B554"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100.0%</w:t>
            </w:r>
          </w:p>
        </w:tc>
        <w:tc>
          <w:tcPr>
            <w:tcW w:w="1170" w:type="dxa"/>
            <w:shd w:val="clear" w:color="auto" w:fill="auto"/>
            <w:vAlign w:val="center"/>
            <w:hideMark/>
          </w:tcPr>
          <w:p w14:paraId="34E626B7" w14:textId="77777777" w:rsidR="00951493" w:rsidRPr="00D179FD" w:rsidRDefault="00951493" w:rsidP="00532B28">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57,408</w:t>
            </w:r>
          </w:p>
        </w:tc>
        <w:tc>
          <w:tcPr>
            <w:tcW w:w="1170" w:type="dxa"/>
            <w:shd w:val="clear" w:color="auto" w:fill="auto"/>
            <w:vAlign w:val="center"/>
            <w:hideMark/>
          </w:tcPr>
          <w:p w14:paraId="7C681417"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100.0%</w:t>
            </w:r>
          </w:p>
        </w:tc>
        <w:tc>
          <w:tcPr>
            <w:tcW w:w="1080" w:type="dxa"/>
            <w:shd w:val="clear" w:color="auto" w:fill="auto"/>
            <w:vAlign w:val="center"/>
            <w:hideMark/>
          </w:tcPr>
          <w:p w14:paraId="3FD7BFD9"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$4,428</w:t>
            </w:r>
          </w:p>
        </w:tc>
      </w:tr>
    </w:tbl>
    <w:p w14:paraId="21C9A077" w14:textId="77777777" w:rsidR="00853B0B" w:rsidRPr="00D179FD" w:rsidRDefault="00853B0B" w:rsidP="00853B0B">
      <w:pPr>
        <w:tabs>
          <w:tab w:val="left" w:pos="7050"/>
        </w:tabs>
        <w:spacing w:after="0"/>
        <w:rPr>
          <w:rFonts w:asciiTheme="majorHAnsi" w:eastAsiaTheme="majorEastAsia" w:hAnsiTheme="majorHAnsi" w:cstheme="majorBidi"/>
          <w:bCs/>
          <w:color w:val="000000" w:themeColor="text1"/>
          <w:sz w:val="16"/>
          <w:szCs w:val="16"/>
        </w:rPr>
      </w:pPr>
      <w:r w:rsidRPr="00D179FD">
        <w:rPr>
          <w:rFonts w:asciiTheme="majorHAnsi" w:eastAsiaTheme="majorEastAsia" w:hAnsiTheme="majorHAnsi" w:cstheme="majorBidi"/>
          <w:bCs/>
          <w:color w:val="000000" w:themeColor="text1"/>
          <w:sz w:val="16"/>
          <w:szCs w:val="16"/>
        </w:rPr>
        <w:t>Source: Department of Revenue (201</w:t>
      </w:r>
      <w:r w:rsidR="00C437A9" w:rsidRPr="00D179FD">
        <w:rPr>
          <w:rFonts w:asciiTheme="majorHAnsi" w:eastAsiaTheme="majorEastAsia" w:hAnsiTheme="majorHAnsi" w:cstheme="majorBidi"/>
          <w:bCs/>
          <w:color w:val="000000" w:themeColor="text1"/>
          <w:sz w:val="16"/>
          <w:szCs w:val="16"/>
        </w:rPr>
        <w:t>8</w:t>
      </w:r>
      <w:r w:rsidR="00ED7369" w:rsidRPr="00D179FD">
        <w:rPr>
          <w:rFonts w:asciiTheme="majorHAnsi" w:eastAsiaTheme="majorEastAsia" w:hAnsiTheme="majorHAnsi" w:cstheme="majorBidi"/>
          <w:bCs/>
          <w:color w:val="000000" w:themeColor="text1"/>
          <w:sz w:val="16"/>
          <w:szCs w:val="16"/>
        </w:rPr>
        <w:t xml:space="preserve"> </w:t>
      </w:r>
      <w:r w:rsidR="00234BA3">
        <w:rPr>
          <w:rFonts w:asciiTheme="majorHAnsi" w:eastAsiaTheme="majorEastAsia" w:hAnsiTheme="majorHAnsi" w:cstheme="majorBidi"/>
          <w:bCs/>
          <w:color w:val="000000" w:themeColor="text1"/>
          <w:sz w:val="16"/>
          <w:szCs w:val="16"/>
        </w:rPr>
        <w:t>corporate excise</w:t>
      </w:r>
      <w:r w:rsidR="00234BA3" w:rsidRPr="00D179FD">
        <w:rPr>
          <w:rFonts w:asciiTheme="majorHAnsi" w:eastAsiaTheme="majorEastAsia" w:hAnsiTheme="majorHAnsi" w:cstheme="majorBidi"/>
          <w:bCs/>
          <w:color w:val="000000" w:themeColor="text1"/>
          <w:sz w:val="16"/>
          <w:szCs w:val="16"/>
        </w:rPr>
        <w:t xml:space="preserve"> </w:t>
      </w:r>
      <w:r w:rsidR="00ED7369" w:rsidRPr="00D179FD">
        <w:rPr>
          <w:rFonts w:asciiTheme="majorHAnsi" w:eastAsiaTheme="majorEastAsia" w:hAnsiTheme="majorHAnsi" w:cstheme="majorBidi"/>
          <w:bCs/>
          <w:color w:val="000000" w:themeColor="text1"/>
          <w:sz w:val="16"/>
          <w:szCs w:val="16"/>
        </w:rPr>
        <w:t>return</w:t>
      </w:r>
      <w:r w:rsidR="00234BA3">
        <w:rPr>
          <w:rFonts w:asciiTheme="majorHAnsi" w:eastAsiaTheme="majorEastAsia" w:hAnsiTheme="majorHAnsi" w:cstheme="majorBidi"/>
          <w:bCs/>
          <w:color w:val="000000" w:themeColor="text1"/>
          <w:sz w:val="16"/>
          <w:szCs w:val="16"/>
        </w:rPr>
        <w:t>s</w:t>
      </w:r>
      <w:r w:rsidRPr="00D179FD">
        <w:rPr>
          <w:rFonts w:asciiTheme="majorHAnsi" w:eastAsiaTheme="majorEastAsia" w:hAnsiTheme="majorHAnsi" w:cstheme="majorBidi"/>
          <w:bCs/>
          <w:color w:val="000000" w:themeColor="text1"/>
          <w:sz w:val="16"/>
          <w:szCs w:val="16"/>
        </w:rPr>
        <w:t>)</w:t>
      </w:r>
    </w:p>
    <w:p w14:paraId="4F1DC76D" w14:textId="77777777" w:rsidR="003F17BE" w:rsidRDefault="002017B8" w:rsidP="005A65F1">
      <w:pPr>
        <w:tabs>
          <w:tab w:val="left" w:pos="7050"/>
        </w:tabs>
        <w:spacing w:after="0"/>
        <w:rPr>
          <w:rFonts w:asciiTheme="majorHAnsi" w:hAnsiTheme="majorHAnsi"/>
          <w:sz w:val="16"/>
          <w:szCs w:val="16"/>
        </w:rPr>
      </w:pPr>
      <w:r w:rsidRPr="00D179FD">
        <w:rPr>
          <w:rFonts w:asciiTheme="majorHAnsi" w:eastAsiaTheme="majorEastAsia" w:hAnsiTheme="majorHAnsi" w:cstheme="majorBidi"/>
          <w:bCs/>
          <w:color w:val="000000" w:themeColor="text1"/>
          <w:sz w:val="16"/>
          <w:szCs w:val="16"/>
        </w:rPr>
        <w:t>Note</w:t>
      </w:r>
      <w:r w:rsidR="005A65F1" w:rsidRPr="00D179FD">
        <w:rPr>
          <w:rFonts w:asciiTheme="majorHAnsi" w:eastAsiaTheme="majorEastAsia" w:hAnsiTheme="majorHAnsi" w:cstheme="majorBidi"/>
          <w:bCs/>
          <w:color w:val="000000" w:themeColor="text1"/>
          <w:sz w:val="16"/>
          <w:szCs w:val="16"/>
        </w:rPr>
        <w:t>s</w:t>
      </w:r>
      <w:r w:rsidRPr="00D179FD">
        <w:rPr>
          <w:rFonts w:asciiTheme="majorHAnsi" w:eastAsiaTheme="majorEastAsia" w:hAnsiTheme="majorHAnsi" w:cstheme="majorBidi"/>
          <w:bCs/>
          <w:color w:val="000000" w:themeColor="text1"/>
          <w:sz w:val="16"/>
          <w:szCs w:val="16"/>
        </w:rPr>
        <w:t xml:space="preserve">: </w:t>
      </w:r>
      <w:r w:rsidR="005A65F1" w:rsidRPr="00D179FD">
        <w:rPr>
          <w:rFonts w:asciiTheme="majorHAnsi" w:eastAsiaTheme="majorEastAsia" w:hAnsiTheme="majorHAnsi" w:cstheme="majorBidi"/>
          <w:bCs/>
          <w:color w:val="000000" w:themeColor="text1"/>
          <w:sz w:val="16"/>
          <w:szCs w:val="16"/>
        </w:rPr>
        <w:t xml:space="preserve">1. </w:t>
      </w:r>
      <w:r w:rsidR="00A71361" w:rsidRPr="00D179FD">
        <w:rPr>
          <w:rFonts w:asciiTheme="majorHAnsi" w:eastAsiaTheme="majorEastAsia" w:hAnsiTheme="majorHAnsi" w:cstheme="majorBidi"/>
          <w:bCs/>
          <w:color w:val="000000" w:themeColor="text1"/>
          <w:sz w:val="16"/>
          <w:szCs w:val="16"/>
        </w:rPr>
        <w:t>*</w:t>
      </w:r>
      <w:r w:rsidRPr="00D179FD">
        <w:rPr>
          <w:rFonts w:asciiTheme="majorHAnsi" w:eastAsiaTheme="majorEastAsia" w:hAnsiTheme="majorHAnsi" w:cstheme="majorBidi"/>
          <w:bCs/>
          <w:color w:val="000000" w:themeColor="text1"/>
          <w:sz w:val="16"/>
          <w:szCs w:val="16"/>
        </w:rPr>
        <w:t xml:space="preserve">Unmatched means that we could not find some taxpayers in one or more of data sets to match. </w:t>
      </w:r>
      <w:r w:rsidR="005A65F1" w:rsidRPr="00D179FD">
        <w:rPr>
          <w:rFonts w:asciiTheme="majorHAnsi" w:hAnsiTheme="majorHAnsi"/>
          <w:sz w:val="16"/>
          <w:szCs w:val="16"/>
        </w:rPr>
        <w:t xml:space="preserve"> </w:t>
      </w:r>
    </w:p>
    <w:p w14:paraId="44788467" w14:textId="77777777" w:rsidR="005A65F1" w:rsidRPr="00D179FD" w:rsidRDefault="003F17BE" w:rsidP="005A65F1">
      <w:pPr>
        <w:tabs>
          <w:tab w:val="left" w:pos="7050"/>
        </w:tabs>
        <w:spacing w:after="0"/>
        <w:rPr>
          <w:rFonts w:asciiTheme="majorHAnsi" w:eastAsiaTheme="majorEastAsia" w:hAnsiTheme="majorHAnsi" w:cstheme="majorBidi"/>
          <w:bCs/>
          <w:color w:val="000000" w:themeColor="text1"/>
          <w:sz w:val="16"/>
          <w:szCs w:val="16"/>
        </w:rPr>
      </w:pPr>
      <w:r>
        <w:rPr>
          <w:rFonts w:asciiTheme="majorHAnsi" w:hAnsiTheme="majorHAnsi"/>
          <w:sz w:val="16"/>
          <w:szCs w:val="16"/>
        </w:rPr>
        <w:t xml:space="preserve">             </w:t>
      </w:r>
      <w:r w:rsidR="005A65F1" w:rsidRPr="00D179FD">
        <w:rPr>
          <w:rFonts w:asciiTheme="majorHAnsi" w:hAnsiTheme="majorHAnsi"/>
          <w:sz w:val="16"/>
          <w:szCs w:val="16"/>
        </w:rPr>
        <w:t xml:space="preserve">2. </w:t>
      </w:r>
      <w:r w:rsidR="00214D26" w:rsidRPr="00D179FD">
        <w:rPr>
          <w:rFonts w:asciiTheme="majorHAnsi" w:hAnsiTheme="majorHAnsi"/>
          <w:sz w:val="16"/>
          <w:szCs w:val="16"/>
        </w:rPr>
        <w:t xml:space="preserve">The data are preliminary and subject to </w:t>
      </w:r>
      <w:r>
        <w:rPr>
          <w:rFonts w:asciiTheme="majorHAnsi" w:hAnsiTheme="majorHAnsi"/>
          <w:sz w:val="16"/>
          <w:szCs w:val="16"/>
        </w:rPr>
        <w:t>change</w:t>
      </w:r>
      <w:r w:rsidR="005A65F1" w:rsidRPr="00D179FD">
        <w:rPr>
          <w:rFonts w:asciiTheme="majorHAnsi" w:eastAsiaTheme="majorEastAsia" w:hAnsiTheme="majorHAnsi" w:cstheme="majorBidi"/>
          <w:bCs/>
          <w:color w:val="000000" w:themeColor="text1"/>
          <w:sz w:val="16"/>
          <w:szCs w:val="16"/>
        </w:rPr>
        <w:t>.</w:t>
      </w:r>
    </w:p>
    <w:p w14:paraId="5E7C3B28" w14:textId="77777777" w:rsidR="002664C5" w:rsidRDefault="002664C5" w:rsidP="000D4E6E">
      <w:pPr>
        <w:spacing w:after="0"/>
        <w:rPr>
          <w:rFonts w:asciiTheme="majorHAnsi" w:hAnsiTheme="majorHAnsi"/>
          <w:sz w:val="24"/>
          <w:szCs w:val="24"/>
        </w:rPr>
      </w:pPr>
    </w:p>
    <w:p w14:paraId="5EF66245" w14:textId="77777777" w:rsidR="007814A4" w:rsidRDefault="00386837" w:rsidP="00CF3070">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405E25">
        <w:rPr>
          <w:rFonts w:asciiTheme="majorHAnsi" w:hAnsiTheme="majorHAnsi"/>
          <w:b/>
          <w:sz w:val="24"/>
          <w:szCs w:val="24"/>
        </w:rPr>
        <w:t>4</w:t>
      </w:r>
      <w:r w:rsidRPr="00CA0391">
        <w:rPr>
          <w:rFonts w:asciiTheme="majorHAnsi" w:hAnsiTheme="majorHAnsi"/>
          <w:b/>
          <w:sz w:val="24"/>
          <w:szCs w:val="24"/>
        </w:rPr>
        <w:t xml:space="preserve">. </w:t>
      </w:r>
      <w:r w:rsidR="007814A4">
        <w:rPr>
          <w:rFonts w:asciiTheme="majorHAnsi" w:hAnsiTheme="majorHAnsi"/>
          <w:b/>
          <w:sz w:val="24"/>
          <w:szCs w:val="24"/>
        </w:rPr>
        <w:t>Tangible Property Taxed Locally, Tax Liabilit</w:t>
      </w:r>
      <w:r w:rsidR="002B111A">
        <w:rPr>
          <w:rFonts w:asciiTheme="majorHAnsi" w:hAnsiTheme="majorHAnsi"/>
          <w:b/>
          <w:sz w:val="24"/>
          <w:szCs w:val="24"/>
        </w:rPr>
        <w:t>y</w:t>
      </w:r>
      <w:r w:rsidR="007814A4">
        <w:rPr>
          <w:rFonts w:asciiTheme="majorHAnsi" w:hAnsiTheme="majorHAnsi"/>
          <w:b/>
          <w:sz w:val="24"/>
          <w:szCs w:val="24"/>
        </w:rPr>
        <w:t xml:space="preserve">, </w:t>
      </w:r>
      <w:r w:rsidR="00823956">
        <w:rPr>
          <w:rFonts w:asciiTheme="majorHAnsi" w:hAnsiTheme="majorHAnsi"/>
          <w:b/>
          <w:sz w:val="24"/>
          <w:szCs w:val="24"/>
        </w:rPr>
        <w:t>Impacted Corporation</w:t>
      </w:r>
      <w:r w:rsidR="007814A4">
        <w:rPr>
          <w:rFonts w:asciiTheme="majorHAnsi" w:hAnsiTheme="majorHAnsi"/>
          <w:b/>
          <w:sz w:val="24"/>
          <w:szCs w:val="24"/>
        </w:rPr>
        <w:t xml:space="preserve">s by </w:t>
      </w:r>
      <w:r w:rsidR="00951493">
        <w:rPr>
          <w:rFonts w:asciiTheme="majorHAnsi" w:hAnsiTheme="majorHAnsi"/>
          <w:b/>
          <w:sz w:val="24"/>
          <w:szCs w:val="24"/>
        </w:rPr>
        <w:t xml:space="preserve">Number </w:t>
      </w:r>
      <w:r w:rsidR="007814A4">
        <w:rPr>
          <w:rFonts w:asciiTheme="majorHAnsi" w:hAnsiTheme="majorHAnsi"/>
          <w:b/>
          <w:sz w:val="24"/>
          <w:szCs w:val="24"/>
        </w:rPr>
        <w:t>of Employees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198"/>
        <w:gridCol w:w="1080"/>
        <w:gridCol w:w="720"/>
        <w:gridCol w:w="1260"/>
        <w:gridCol w:w="1170"/>
        <w:gridCol w:w="1170"/>
        <w:gridCol w:w="1123"/>
        <w:gridCol w:w="1127"/>
      </w:tblGrid>
      <w:tr w:rsidR="00532B28" w:rsidRPr="00670A02" w14:paraId="2A128E30" w14:textId="77777777" w:rsidTr="00532B28">
        <w:trPr>
          <w:trHeight w:val="20"/>
        </w:trPr>
        <w:tc>
          <w:tcPr>
            <w:tcW w:w="1137" w:type="dxa"/>
            <w:shd w:val="clear" w:color="auto" w:fill="B6DDE8" w:themeFill="accent5" w:themeFillTint="66"/>
            <w:vAlign w:val="center"/>
            <w:hideMark/>
          </w:tcPr>
          <w:p w14:paraId="2D24CAC2"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Employees Range</w:t>
            </w:r>
            <w:r w:rsidR="003F17BE">
              <w:rPr>
                <w:rFonts w:ascii="Cambria" w:eastAsia="Times New Roman" w:hAnsi="Cambria" w:cs="Arial"/>
                <w:color w:val="000000"/>
                <w:sz w:val="16"/>
                <w:szCs w:val="16"/>
                <w:lang w:eastAsia="ko-KR"/>
              </w:rPr>
              <w:t>*</w:t>
            </w:r>
          </w:p>
        </w:tc>
        <w:tc>
          <w:tcPr>
            <w:tcW w:w="1198" w:type="dxa"/>
            <w:shd w:val="clear" w:color="auto" w:fill="B6DDE8" w:themeFill="accent5" w:themeFillTint="66"/>
            <w:vAlign w:val="center"/>
            <w:hideMark/>
          </w:tcPr>
          <w:p w14:paraId="77833835"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eastAsia="Times New Roman" w:hAnsi="Cambria" w:cs="Arial"/>
                <w:color w:val="000000"/>
                <w:sz w:val="16"/>
                <w:szCs w:val="16"/>
                <w:lang w:eastAsia="ko-KR"/>
              </w:rPr>
              <w:t>Tax Liability</w:t>
            </w:r>
            <w:r w:rsidRPr="00D179FD">
              <w:rPr>
                <w:rFonts w:ascii="Cambria" w:eastAsia="Times New Roman" w:hAnsi="Cambria" w:cs="Arial"/>
                <w:color w:val="000000"/>
                <w:sz w:val="16"/>
                <w:szCs w:val="16"/>
                <w:lang w:eastAsia="ko-KR"/>
              </w:rPr>
              <w:t xml:space="preserve"> Under </w:t>
            </w:r>
            <w:r>
              <w:rPr>
                <w:rFonts w:ascii="Cambria" w:eastAsia="Times New Roman" w:hAnsi="Cambria" w:cs="Arial"/>
                <w:color w:val="000000"/>
                <w:sz w:val="16"/>
                <w:szCs w:val="16"/>
                <w:lang w:eastAsia="ko-KR"/>
              </w:rPr>
              <w:t xml:space="preserve">the </w:t>
            </w:r>
            <w:r w:rsidRPr="00D179FD">
              <w:rPr>
                <w:rFonts w:ascii="Cambria" w:eastAsia="Times New Roman" w:hAnsi="Cambria" w:cs="Arial"/>
                <w:color w:val="000000"/>
                <w:sz w:val="16"/>
                <w:szCs w:val="16"/>
                <w:lang w:eastAsia="ko-KR"/>
              </w:rPr>
              <w:t xml:space="preserve">Current </w:t>
            </w:r>
            <w:r>
              <w:rPr>
                <w:rFonts w:ascii="Cambria" w:eastAsia="Times New Roman" w:hAnsi="Cambria" w:cs="Arial"/>
                <w:color w:val="000000"/>
                <w:sz w:val="16"/>
                <w:szCs w:val="16"/>
                <w:lang w:eastAsia="ko-KR"/>
              </w:rPr>
              <w:t xml:space="preserve">Law </w:t>
            </w:r>
            <w:r w:rsidRPr="00D179FD">
              <w:rPr>
                <w:rFonts w:ascii="Cambria" w:eastAsia="Times New Roman" w:hAnsi="Cambria" w:cs="Arial"/>
                <w:color w:val="000000"/>
                <w:sz w:val="16"/>
                <w:szCs w:val="16"/>
                <w:lang w:eastAsia="ko-KR"/>
              </w:rPr>
              <w:t>($000) -</w:t>
            </w:r>
            <w:r w:rsidR="00532B28">
              <w:rPr>
                <w:rFonts w:ascii="Cambria" w:eastAsia="Times New Roman" w:hAnsi="Cambria" w:cs="Arial"/>
                <w:color w:val="000000"/>
                <w:sz w:val="16"/>
                <w:szCs w:val="16"/>
                <w:lang w:eastAsia="ko-KR"/>
              </w:rPr>
              <w:t xml:space="preserve"> </w:t>
            </w:r>
            <w:r w:rsidRPr="00D179FD">
              <w:rPr>
                <w:rFonts w:ascii="Cambria" w:eastAsia="Times New Roman" w:hAnsi="Cambria" w:cs="Arial"/>
                <w:color w:val="000000"/>
                <w:sz w:val="16"/>
                <w:szCs w:val="16"/>
                <w:lang w:eastAsia="ko-KR"/>
              </w:rPr>
              <w:t>A</w:t>
            </w:r>
          </w:p>
        </w:tc>
        <w:tc>
          <w:tcPr>
            <w:tcW w:w="1080" w:type="dxa"/>
            <w:shd w:val="clear" w:color="auto" w:fill="B6DDE8" w:themeFill="accent5" w:themeFillTint="66"/>
            <w:vAlign w:val="center"/>
            <w:hideMark/>
          </w:tcPr>
          <w:p w14:paraId="00105141"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 xml:space="preserve">Tax </w:t>
            </w:r>
            <w:r>
              <w:rPr>
                <w:rFonts w:ascii="Cambria" w:eastAsia="Times New Roman" w:hAnsi="Cambria" w:cs="Arial"/>
                <w:color w:val="000000"/>
                <w:sz w:val="16"/>
                <w:szCs w:val="16"/>
                <w:lang w:eastAsia="ko-KR"/>
              </w:rPr>
              <w:t>L</w:t>
            </w:r>
            <w:r w:rsidRPr="00D179FD">
              <w:rPr>
                <w:rFonts w:ascii="Cambria" w:eastAsia="Times New Roman" w:hAnsi="Cambria" w:cs="Arial"/>
                <w:color w:val="000000"/>
                <w:sz w:val="16"/>
                <w:szCs w:val="16"/>
                <w:lang w:eastAsia="ko-KR"/>
              </w:rPr>
              <w:t xml:space="preserve">iability without </w:t>
            </w:r>
            <w:r>
              <w:rPr>
                <w:rFonts w:ascii="Cambria" w:eastAsia="Times New Roman" w:hAnsi="Cambria" w:cs="Arial"/>
                <w:color w:val="000000"/>
                <w:sz w:val="16"/>
                <w:szCs w:val="16"/>
                <w:lang w:eastAsia="ko-KR"/>
              </w:rPr>
              <w:t>the Exemption</w:t>
            </w:r>
            <w:r w:rsidRPr="00D179FD" w:rsidDel="000161E9">
              <w:rPr>
                <w:rFonts w:ascii="Cambria" w:eastAsia="Times New Roman" w:hAnsi="Cambria" w:cs="Arial"/>
                <w:color w:val="000000"/>
                <w:sz w:val="16"/>
                <w:szCs w:val="16"/>
                <w:lang w:eastAsia="ko-KR"/>
              </w:rPr>
              <w:t xml:space="preserve"> </w:t>
            </w:r>
            <w:r w:rsidRPr="00D179FD">
              <w:rPr>
                <w:rFonts w:ascii="Cambria" w:eastAsia="Times New Roman" w:hAnsi="Cambria" w:cs="Arial"/>
                <w:color w:val="000000"/>
                <w:sz w:val="16"/>
                <w:szCs w:val="16"/>
                <w:lang w:eastAsia="ko-KR"/>
              </w:rPr>
              <w:t>($000) -</w:t>
            </w:r>
            <w:r w:rsidR="00532B28">
              <w:rPr>
                <w:rFonts w:ascii="Cambria" w:eastAsia="Times New Roman" w:hAnsi="Cambria" w:cs="Arial"/>
                <w:color w:val="000000"/>
                <w:sz w:val="16"/>
                <w:szCs w:val="16"/>
                <w:lang w:eastAsia="ko-KR"/>
              </w:rPr>
              <w:t xml:space="preserve"> </w:t>
            </w:r>
            <w:r w:rsidRPr="00D179FD">
              <w:rPr>
                <w:rFonts w:ascii="Cambria" w:eastAsia="Times New Roman" w:hAnsi="Cambria" w:cs="Arial"/>
                <w:color w:val="000000"/>
                <w:sz w:val="16"/>
                <w:szCs w:val="16"/>
                <w:lang w:eastAsia="ko-KR"/>
              </w:rPr>
              <w:t>B</w:t>
            </w:r>
          </w:p>
        </w:tc>
        <w:tc>
          <w:tcPr>
            <w:tcW w:w="720" w:type="dxa"/>
            <w:shd w:val="clear" w:color="auto" w:fill="B6DDE8" w:themeFill="accent5" w:themeFillTint="66"/>
            <w:vAlign w:val="center"/>
            <w:hideMark/>
          </w:tcPr>
          <w:p w14:paraId="0D09D1CE"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eastAsia="Times New Roman" w:hAnsi="Cambria" w:cs="Arial"/>
                <w:i/>
                <w:iCs/>
                <w:color w:val="000000"/>
                <w:sz w:val="16"/>
                <w:szCs w:val="16"/>
                <w:lang w:eastAsia="ko-KR"/>
              </w:rPr>
              <w:t>A/B (%)</w:t>
            </w:r>
          </w:p>
        </w:tc>
        <w:tc>
          <w:tcPr>
            <w:tcW w:w="1260" w:type="dxa"/>
            <w:shd w:val="clear" w:color="auto" w:fill="B6DDE8" w:themeFill="accent5" w:themeFillTint="66"/>
            <w:vAlign w:val="center"/>
            <w:hideMark/>
          </w:tcPr>
          <w:p w14:paraId="4CC27F3D"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Tangible Property Taxed Locally ($000)</w:t>
            </w:r>
          </w:p>
        </w:tc>
        <w:tc>
          <w:tcPr>
            <w:tcW w:w="1170" w:type="dxa"/>
            <w:shd w:val="clear" w:color="auto" w:fill="B6DDE8" w:themeFill="accent5" w:themeFillTint="66"/>
            <w:vAlign w:val="center"/>
            <w:hideMark/>
          </w:tcPr>
          <w:p w14:paraId="5C981F85"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7D73C9">
              <w:rPr>
                <w:rFonts w:ascii="Cambria" w:eastAsia="Times New Roman" w:hAnsi="Cambria" w:cs="Arial"/>
                <w:i/>
                <w:iCs/>
                <w:color w:val="000000"/>
                <w:sz w:val="16"/>
                <w:szCs w:val="16"/>
                <w:lang w:eastAsia="ko-KR"/>
              </w:rPr>
              <w:t>Percentage of Total</w:t>
            </w:r>
            <w:r>
              <w:rPr>
                <w:rFonts w:ascii="Cambria" w:eastAsia="Times New Roman" w:hAnsi="Cambria" w:cs="Arial"/>
                <w:i/>
                <w:iCs/>
                <w:color w:val="000000"/>
                <w:sz w:val="16"/>
                <w:szCs w:val="16"/>
                <w:lang w:eastAsia="ko-KR"/>
              </w:rPr>
              <w:t xml:space="preserve"> Tangible Property Taxed Locally</w:t>
            </w:r>
          </w:p>
        </w:tc>
        <w:tc>
          <w:tcPr>
            <w:tcW w:w="1170" w:type="dxa"/>
            <w:shd w:val="clear" w:color="auto" w:fill="B6DDE8" w:themeFill="accent5" w:themeFillTint="66"/>
            <w:vAlign w:val="center"/>
            <w:hideMark/>
          </w:tcPr>
          <w:p w14:paraId="52FE0935"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Number of Impacted Corporations</w:t>
            </w:r>
          </w:p>
        </w:tc>
        <w:tc>
          <w:tcPr>
            <w:tcW w:w="1123" w:type="dxa"/>
            <w:shd w:val="clear" w:color="auto" w:fill="B6DDE8" w:themeFill="accent5" w:themeFillTint="66"/>
            <w:vAlign w:val="center"/>
            <w:hideMark/>
          </w:tcPr>
          <w:p w14:paraId="76B41290"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CF3070">
              <w:rPr>
                <w:rFonts w:ascii="Cambria" w:eastAsia="Times New Roman" w:hAnsi="Cambria" w:cs="Helvetica"/>
                <w:i/>
                <w:iCs/>
                <w:color w:val="000000"/>
                <w:sz w:val="16"/>
                <w:szCs w:val="16"/>
                <w:lang w:eastAsia="ko-KR"/>
              </w:rPr>
              <w:t xml:space="preserve">Percentage of Total Number of </w:t>
            </w:r>
            <w:r w:rsidRPr="00951493">
              <w:rPr>
                <w:rFonts w:ascii="Cambria" w:eastAsia="Times New Roman" w:hAnsi="Cambria" w:cs="Arial"/>
                <w:i/>
                <w:iCs/>
                <w:color w:val="000000"/>
                <w:sz w:val="16"/>
                <w:szCs w:val="16"/>
                <w:lang w:eastAsia="ko-KR"/>
              </w:rPr>
              <w:t>Impacted Corporations</w:t>
            </w:r>
          </w:p>
        </w:tc>
        <w:tc>
          <w:tcPr>
            <w:tcW w:w="1127" w:type="dxa"/>
            <w:shd w:val="clear" w:color="auto" w:fill="B6DDE8" w:themeFill="accent5" w:themeFillTint="66"/>
            <w:vAlign w:val="center"/>
            <w:hideMark/>
          </w:tcPr>
          <w:p w14:paraId="7539161F"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Tax Saving Per Impacted Corporation ($)</w:t>
            </w:r>
          </w:p>
        </w:tc>
      </w:tr>
      <w:tr w:rsidR="0084709B" w:rsidRPr="00670A02" w14:paraId="1CA031BF" w14:textId="77777777" w:rsidTr="00532B28">
        <w:trPr>
          <w:trHeight w:val="20"/>
        </w:trPr>
        <w:tc>
          <w:tcPr>
            <w:tcW w:w="1137" w:type="dxa"/>
            <w:shd w:val="clear" w:color="auto" w:fill="auto"/>
            <w:vAlign w:val="center"/>
            <w:hideMark/>
          </w:tcPr>
          <w:p w14:paraId="24E582B5"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Less than 5</w:t>
            </w:r>
          </w:p>
        </w:tc>
        <w:tc>
          <w:tcPr>
            <w:tcW w:w="1198" w:type="dxa"/>
            <w:shd w:val="clear" w:color="auto" w:fill="auto"/>
            <w:vAlign w:val="center"/>
            <w:hideMark/>
          </w:tcPr>
          <w:p w14:paraId="13D4273C"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$193,141</w:t>
            </w:r>
          </w:p>
        </w:tc>
        <w:tc>
          <w:tcPr>
            <w:tcW w:w="1080" w:type="dxa"/>
            <w:shd w:val="clear" w:color="auto" w:fill="auto"/>
            <w:vAlign w:val="center"/>
            <w:hideMark/>
          </w:tcPr>
          <w:p w14:paraId="4CF1D53B"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$318,211</w:t>
            </w:r>
          </w:p>
        </w:tc>
        <w:tc>
          <w:tcPr>
            <w:tcW w:w="720" w:type="dxa"/>
            <w:shd w:val="clear" w:color="auto" w:fill="auto"/>
            <w:vAlign w:val="center"/>
            <w:hideMark/>
          </w:tcPr>
          <w:p w14:paraId="748E0741"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60.7%</w:t>
            </w:r>
          </w:p>
        </w:tc>
        <w:tc>
          <w:tcPr>
            <w:tcW w:w="1260" w:type="dxa"/>
            <w:shd w:val="clear" w:color="auto" w:fill="auto"/>
            <w:vAlign w:val="center"/>
            <w:hideMark/>
          </w:tcPr>
          <w:p w14:paraId="07B94C1E"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$79,403,345</w:t>
            </w:r>
          </w:p>
        </w:tc>
        <w:tc>
          <w:tcPr>
            <w:tcW w:w="1170" w:type="dxa"/>
            <w:shd w:val="clear" w:color="auto" w:fill="auto"/>
            <w:vAlign w:val="center"/>
            <w:hideMark/>
          </w:tcPr>
          <w:p w14:paraId="6AA9C5FB"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53.6%</w:t>
            </w:r>
          </w:p>
        </w:tc>
        <w:tc>
          <w:tcPr>
            <w:tcW w:w="1170" w:type="dxa"/>
            <w:shd w:val="clear" w:color="auto" w:fill="auto"/>
            <w:vAlign w:val="center"/>
            <w:hideMark/>
          </w:tcPr>
          <w:p w14:paraId="0E1D1909" w14:textId="0404E1D5" w:rsidR="00951493" w:rsidRPr="00D179FD" w:rsidRDefault="00951493" w:rsidP="007D5B29">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26,005</w:t>
            </w:r>
          </w:p>
        </w:tc>
        <w:tc>
          <w:tcPr>
            <w:tcW w:w="1123" w:type="dxa"/>
            <w:shd w:val="clear" w:color="auto" w:fill="auto"/>
            <w:vAlign w:val="center"/>
            <w:hideMark/>
          </w:tcPr>
          <w:p w14:paraId="0D56227F"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45.3%</w:t>
            </w:r>
          </w:p>
        </w:tc>
        <w:tc>
          <w:tcPr>
            <w:tcW w:w="1127" w:type="dxa"/>
            <w:shd w:val="clear" w:color="auto" w:fill="auto"/>
            <w:vAlign w:val="center"/>
            <w:hideMark/>
          </w:tcPr>
          <w:p w14:paraId="3C762CC4"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$4,809</w:t>
            </w:r>
          </w:p>
        </w:tc>
      </w:tr>
      <w:tr w:rsidR="0084709B" w:rsidRPr="00670A02" w14:paraId="5BF53004" w14:textId="77777777" w:rsidTr="00532B28">
        <w:trPr>
          <w:trHeight w:val="20"/>
        </w:trPr>
        <w:tc>
          <w:tcPr>
            <w:tcW w:w="1137" w:type="dxa"/>
            <w:shd w:val="clear" w:color="auto" w:fill="auto"/>
            <w:vAlign w:val="center"/>
            <w:hideMark/>
          </w:tcPr>
          <w:p w14:paraId="48A13E5C"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5 to 49</w:t>
            </w:r>
          </w:p>
        </w:tc>
        <w:tc>
          <w:tcPr>
            <w:tcW w:w="1198" w:type="dxa"/>
            <w:shd w:val="clear" w:color="auto" w:fill="auto"/>
            <w:vAlign w:val="center"/>
            <w:hideMark/>
          </w:tcPr>
          <w:p w14:paraId="6CE21E52"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$139,639</w:t>
            </w:r>
          </w:p>
        </w:tc>
        <w:tc>
          <w:tcPr>
            <w:tcW w:w="1080" w:type="dxa"/>
            <w:shd w:val="clear" w:color="auto" w:fill="auto"/>
            <w:vAlign w:val="center"/>
            <w:hideMark/>
          </w:tcPr>
          <w:p w14:paraId="39B213E5"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$156,773</w:t>
            </w:r>
          </w:p>
        </w:tc>
        <w:tc>
          <w:tcPr>
            <w:tcW w:w="720" w:type="dxa"/>
            <w:shd w:val="clear" w:color="auto" w:fill="auto"/>
            <w:vAlign w:val="center"/>
            <w:hideMark/>
          </w:tcPr>
          <w:p w14:paraId="7FB20570"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89.1%</w:t>
            </w:r>
          </w:p>
        </w:tc>
        <w:tc>
          <w:tcPr>
            <w:tcW w:w="1260" w:type="dxa"/>
            <w:shd w:val="clear" w:color="auto" w:fill="auto"/>
            <w:vAlign w:val="center"/>
            <w:hideMark/>
          </w:tcPr>
          <w:p w14:paraId="6B87A44D"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$9,523,745</w:t>
            </w:r>
          </w:p>
        </w:tc>
        <w:tc>
          <w:tcPr>
            <w:tcW w:w="1170" w:type="dxa"/>
            <w:shd w:val="clear" w:color="auto" w:fill="auto"/>
            <w:vAlign w:val="center"/>
            <w:hideMark/>
          </w:tcPr>
          <w:p w14:paraId="4DB71FAC"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6.4%</w:t>
            </w:r>
          </w:p>
        </w:tc>
        <w:tc>
          <w:tcPr>
            <w:tcW w:w="1170" w:type="dxa"/>
            <w:shd w:val="clear" w:color="auto" w:fill="auto"/>
            <w:vAlign w:val="center"/>
            <w:hideMark/>
          </w:tcPr>
          <w:p w14:paraId="0546F383" w14:textId="39D73D18" w:rsidR="00951493" w:rsidRPr="00D179FD" w:rsidRDefault="00951493" w:rsidP="007D5B29">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25,039</w:t>
            </w:r>
          </w:p>
        </w:tc>
        <w:tc>
          <w:tcPr>
            <w:tcW w:w="1123" w:type="dxa"/>
            <w:shd w:val="clear" w:color="auto" w:fill="auto"/>
            <w:vAlign w:val="center"/>
            <w:hideMark/>
          </w:tcPr>
          <w:p w14:paraId="0DF89CE5"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43.6%</w:t>
            </w:r>
          </w:p>
        </w:tc>
        <w:tc>
          <w:tcPr>
            <w:tcW w:w="1127" w:type="dxa"/>
            <w:shd w:val="clear" w:color="auto" w:fill="auto"/>
            <w:vAlign w:val="center"/>
            <w:hideMark/>
          </w:tcPr>
          <w:p w14:paraId="15A7A86E"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$684</w:t>
            </w:r>
          </w:p>
        </w:tc>
      </w:tr>
      <w:tr w:rsidR="0084709B" w:rsidRPr="00670A02" w14:paraId="248FAC53" w14:textId="77777777" w:rsidTr="00532B28">
        <w:trPr>
          <w:trHeight w:val="20"/>
        </w:trPr>
        <w:tc>
          <w:tcPr>
            <w:tcW w:w="1137" w:type="dxa"/>
            <w:shd w:val="clear" w:color="auto" w:fill="auto"/>
            <w:vAlign w:val="center"/>
            <w:hideMark/>
          </w:tcPr>
          <w:p w14:paraId="68400229"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50 to 99</w:t>
            </w:r>
          </w:p>
        </w:tc>
        <w:tc>
          <w:tcPr>
            <w:tcW w:w="1198" w:type="dxa"/>
            <w:shd w:val="clear" w:color="auto" w:fill="auto"/>
            <w:vAlign w:val="center"/>
            <w:hideMark/>
          </w:tcPr>
          <w:p w14:paraId="7A9FD0A2"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$57,551</w:t>
            </w:r>
          </w:p>
        </w:tc>
        <w:tc>
          <w:tcPr>
            <w:tcW w:w="1080" w:type="dxa"/>
            <w:shd w:val="clear" w:color="auto" w:fill="auto"/>
            <w:vAlign w:val="center"/>
            <w:hideMark/>
          </w:tcPr>
          <w:p w14:paraId="6013CCB6"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$63,871</w:t>
            </w:r>
          </w:p>
        </w:tc>
        <w:tc>
          <w:tcPr>
            <w:tcW w:w="720" w:type="dxa"/>
            <w:shd w:val="clear" w:color="auto" w:fill="auto"/>
            <w:vAlign w:val="center"/>
            <w:hideMark/>
          </w:tcPr>
          <w:p w14:paraId="72A157AD"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90.1%</w:t>
            </w:r>
          </w:p>
        </w:tc>
        <w:tc>
          <w:tcPr>
            <w:tcW w:w="1260" w:type="dxa"/>
            <w:shd w:val="clear" w:color="auto" w:fill="auto"/>
            <w:vAlign w:val="center"/>
            <w:hideMark/>
          </w:tcPr>
          <w:p w14:paraId="32AD87D4"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$4,355,133</w:t>
            </w:r>
          </w:p>
        </w:tc>
        <w:tc>
          <w:tcPr>
            <w:tcW w:w="1170" w:type="dxa"/>
            <w:shd w:val="clear" w:color="auto" w:fill="auto"/>
            <w:vAlign w:val="center"/>
            <w:hideMark/>
          </w:tcPr>
          <w:p w14:paraId="46408CC8"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2.9%</w:t>
            </w:r>
          </w:p>
        </w:tc>
        <w:tc>
          <w:tcPr>
            <w:tcW w:w="1170" w:type="dxa"/>
            <w:shd w:val="clear" w:color="auto" w:fill="auto"/>
            <w:vAlign w:val="center"/>
            <w:hideMark/>
          </w:tcPr>
          <w:p w14:paraId="3565BA69" w14:textId="3620CDD9" w:rsidR="00951493" w:rsidRPr="00D179FD" w:rsidRDefault="00951493" w:rsidP="007D5B29">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2,957</w:t>
            </w:r>
          </w:p>
        </w:tc>
        <w:tc>
          <w:tcPr>
            <w:tcW w:w="1123" w:type="dxa"/>
            <w:shd w:val="clear" w:color="auto" w:fill="auto"/>
            <w:vAlign w:val="center"/>
            <w:hideMark/>
          </w:tcPr>
          <w:p w14:paraId="1AAD1B40"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5.2%</w:t>
            </w:r>
          </w:p>
        </w:tc>
        <w:tc>
          <w:tcPr>
            <w:tcW w:w="1127" w:type="dxa"/>
            <w:shd w:val="clear" w:color="auto" w:fill="auto"/>
            <w:vAlign w:val="center"/>
            <w:hideMark/>
          </w:tcPr>
          <w:p w14:paraId="7DFB1633"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$2,137</w:t>
            </w:r>
          </w:p>
        </w:tc>
      </w:tr>
      <w:tr w:rsidR="0084709B" w:rsidRPr="00670A02" w14:paraId="7B05E29D" w14:textId="77777777" w:rsidTr="00532B28">
        <w:trPr>
          <w:trHeight w:val="20"/>
        </w:trPr>
        <w:tc>
          <w:tcPr>
            <w:tcW w:w="1137" w:type="dxa"/>
            <w:shd w:val="clear" w:color="auto" w:fill="auto"/>
            <w:vAlign w:val="center"/>
            <w:hideMark/>
          </w:tcPr>
          <w:p w14:paraId="36D2A121"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100 to 199</w:t>
            </w:r>
          </w:p>
        </w:tc>
        <w:tc>
          <w:tcPr>
            <w:tcW w:w="1198" w:type="dxa"/>
            <w:shd w:val="clear" w:color="auto" w:fill="auto"/>
            <w:vAlign w:val="center"/>
            <w:hideMark/>
          </w:tcPr>
          <w:p w14:paraId="497C3293"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$72,991</w:t>
            </w:r>
          </w:p>
        </w:tc>
        <w:tc>
          <w:tcPr>
            <w:tcW w:w="1080" w:type="dxa"/>
            <w:shd w:val="clear" w:color="auto" w:fill="auto"/>
            <w:vAlign w:val="center"/>
            <w:hideMark/>
          </w:tcPr>
          <w:p w14:paraId="3CAD0519"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$79,375</w:t>
            </w:r>
          </w:p>
        </w:tc>
        <w:tc>
          <w:tcPr>
            <w:tcW w:w="720" w:type="dxa"/>
            <w:shd w:val="clear" w:color="auto" w:fill="auto"/>
            <w:vAlign w:val="center"/>
            <w:hideMark/>
          </w:tcPr>
          <w:p w14:paraId="54A965CD"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92.0%</w:t>
            </w:r>
          </w:p>
        </w:tc>
        <w:tc>
          <w:tcPr>
            <w:tcW w:w="1260" w:type="dxa"/>
            <w:shd w:val="clear" w:color="auto" w:fill="auto"/>
            <w:vAlign w:val="center"/>
            <w:hideMark/>
          </w:tcPr>
          <w:p w14:paraId="01B33B86"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$3,394,873</w:t>
            </w:r>
          </w:p>
        </w:tc>
        <w:tc>
          <w:tcPr>
            <w:tcW w:w="1170" w:type="dxa"/>
            <w:shd w:val="clear" w:color="auto" w:fill="auto"/>
            <w:vAlign w:val="center"/>
            <w:hideMark/>
          </w:tcPr>
          <w:p w14:paraId="53FF332F"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2.3%</w:t>
            </w:r>
          </w:p>
        </w:tc>
        <w:tc>
          <w:tcPr>
            <w:tcW w:w="1170" w:type="dxa"/>
            <w:shd w:val="clear" w:color="auto" w:fill="auto"/>
            <w:vAlign w:val="center"/>
            <w:hideMark/>
          </w:tcPr>
          <w:p w14:paraId="005B7210" w14:textId="5CE9DE9C" w:rsidR="00951493" w:rsidRPr="00D179FD" w:rsidRDefault="00951493" w:rsidP="007D5B29">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1,440</w:t>
            </w:r>
          </w:p>
        </w:tc>
        <w:tc>
          <w:tcPr>
            <w:tcW w:w="1123" w:type="dxa"/>
            <w:shd w:val="clear" w:color="auto" w:fill="auto"/>
            <w:vAlign w:val="center"/>
            <w:hideMark/>
          </w:tcPr>
          <w:p w14:paraId="4F338E14"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2.5%</w:t>
            </w:r>
          </w:p>
        </w:tc>
        <w:tc>
          <w:tcPr>
            <w:tcW w:w="1127" w:type="dxa"/>
            <w:shd w:val="clear" w:color="auto" w:fill="auto"/>
            <w:vAlign w:val="center"/>
            <w:hideMark/>
          </w:tcPr>
          <w:p w14:paraId="07DE6CF0"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$4,433</w:t>
            </w:r>
          </w:p>
        </w:tc>
      </w:tr>
      <w:tr w:rsidR="0084709B" w:rsidRPr="00670A02" w14:paraId="1846FEB1" w14:textId="77777777" w:rsidTr="00532B28">
        <w:trPr>
          <w:trHeight w:val="20"/>
        </w:trPr>
        <w:tc>
          <w:tcPr>
            <w:tcW w:w="1137" w:type="dxa"/>
            <w:shd w:val="clear" w:color="auto" w:fill="auto"/>
            <w:vAlign w:val="center"/>
            <w:hideMark/>
          </w:tcPr>
          <w:p w14:paraId="2BD3A06A"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200 to 499</w:t>
            </w:r>
          </w:p>
        </w:tc>
        <w:tc>
          <w:tcPr>
            <w:tcW w:w="1198" w:type="dxa"/>
            <w:shd w:val="clear" w:color="auto" w:fill="auto"/>
            <w:vAlign w:val="center"/>
            <w:hideMark/>
          </w:tcPr>
          <w:p w14:paraId="70BDD440"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$95,315</w:t>
            </w:r>
          </w:p>
        </w:tc>
        <w:tc>
          <w:tcPr>
            <w:tcW w:w="1080" w:type="dxa"/>
            <w:shd w:val="clear" w:color="auto" w:fill="auto"/>
            <w:vAlign w:val="center"/>
            <w:hideMark/>
          </w:tcPr>
          <w:p w14:paraId="3D84A1F9"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$110,496</w:t>
            </w:r>
          </w:p>
        </w:tc>
        <w:tc>
          <w:tcPr>
            <w:tcW w:w="720" w:type="dxa"/>
            <w:shd w:val="clear" w:color="auto" w:fill="auto"/>
            <w:vAlign w:val="center"/>
            <w:hideMark/>
          </w:tcPr>
          <w:p w14:paraId="244697B7"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86.3%</w:t>
            </w:r>
          </w:p>
        </w:tc>
        <w:tc>
          <w:tcPr>
            <w:tcW w:w="1260" w:type="dxa"/>
            <w:shd w:val="clear" w:color="auto" w:fill="auto"/>
            <w:vAlign w:val="center"/>
            <w:hideMark/>
          </w:tcPr>
          <w:p w14:paraId="4336FB2E"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$11,539,403</w:t>
            </w:r>
          </w:p>
        </w:tc>
        <w:tc>
          <w:tcPr>
            <w:tcW w:w="1170" w:type="dxa"/>
            <w:shd w:val="clear" w:color="auto" w:fill="auto"/>
            <w:vAlign w:val="center"/>
            <w:hideMark/>
          </w:tcPr>
          <w:p w14:paraId="2F4EFA4A"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7.8%</w:t>
            </w:r>
          </w:p>
        </w:tc>
        <w:tc>
          <w:tcPr>
            <w:tcW w:w="1170" w:type="dxa"/>
            <w:shd w:val="clear" w:color="auto" w:fill="auto"/>
            <w:vAlign w:val="center"/>
            <w:hideMark/>
          </w:tcPr>
          <w:p w14:paraId="03E4B5EA" w14:textId="16E38DD5" w:rsidR="00951493" w:rsidRPr="00D179FD" w:rsidRDefault="00951493" w:rsidP="007D5B29">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874</w:t>
            </w:r>
          </w:p>
        </w:tc>
        <w:tc>
          <w:tcPr>
            <w:tcW w:w="1123" w:type="dxa"/>
            <w:shd w:val="clear" w:color="auto" w:fill="auto"/>
            <w:vAlign w:val="center"/>
            <w:hideMark/>
          </w:tcPr>
          <w:p w14:paraId="78237AFE"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1.5%</w:t>
            </w:r>
          </w:p>
        </w:tc>
        <w:tc>
          <w:tcPr>
            <w:tcW w:w="1127" w:type="dxa"/>
            <w:shd w:val="clear" w:color="auto" w:fill="auto"/>
            <w:vAlign w:val="center"/>
            <w:hideMark/>
          </w:tcPr>
          <w:p w14:paraId="043249D4"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$17,370</w:t>
            </w:r>
          </w:p>
        </w:tc>
      </w:tr>
      <w:tr w:rsidR="0084709B" w:rsidRPr="00670A02" w14:paraId="07751A8B" w14:textId="77777777" w:rsidTr="00532B28">
        <w:trPr>
          <w:trHeight w:val="20"/>
        </w:trPr>
        <w:tc>
          <w:tcPr>
            <w:tcW w:w="1137" w:type="dxa"/>
            <w:shd w:val="clear" w:color="auto" w:fill="auto"/>
            <w:vAlign w:val="center"/>
            <w:hideMark/>
          </w:tcPr>
          <w:p w14:paraId="76A59A60"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500 or more</w:t>
            </w:r>
          </w:p>
        </w:tc>
        <w:tc>
          <w:tcPr>
            <w:tcW w:w="1198" w:type="dxa"/>
            <w:shd w:val="clear" w:color="auto" w:fill="auto"/>
            <w:vAlign w:val="center"/>
            <w:hideMark/>
          </w:tcPr>
          <w:p w14:paraId="4A20390E"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$471,195</w:t>
            </w:r>
          </w:p>
        </w:tc>
        <w:tc>
          <w:tcPr>
            <w:tcW w:w="1080" w:type="dxa"/>
            <w:shd w:val="clear" w:color="auto" w:fill="auto"/>
            <w:vAlign w:val="center"/>
            <w:hideMark/>
          </w:tcPr>
          <w:p w14:paraId="5139A261"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$553,395</w:t>
            </w:r>
          </w:p>
        </w:tc>
        <w:tc>
          <w:tcPr>
            <w:tcW w:w="720" w:type="dxa"/>
            <w:shd w:val="clear" w:color="auto" w:fill="auto"/>
            <w:vAlign w:val="center"/>
            <w:hideMark/>
          </w:tcPr>
          <w:p w14:paraId="2B174A57"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85.1%</w:t>
            </w:r>
          </w:p>
        </w:tc>
        <w:tc>
          <w:tcPr>
            <w:tcW w:w="1260" w:type="dxa"/>
            <w:shd w:val="clear" w:color="auto" w:fill="auto"/>
            <w:vAlign w:val="center"/>
            <w:hideMark/>
          </w:tcPr>
          <w:p w14:paraId="378BC30C"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$38,676,112</w:t>
            </w:r>
          </w:p>
        </w:tc>
        <w:tc>
          <w:tcPr>
            <w:tcW w:w="1170" w:type="dxa"/>
            <w:shd w:val="clear" w:color="auto" w:fill="auto"/>
            <w:vAlign w:val="center"/>
            <w:hideMark/>
          </w:tcPr>
          <w:p w14:paraId="07C67C3A"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26.1%</w:t>
            </w:r>
          </w:p>
        </w:tc>
        <w:tc>
          <w:tcPr>
            <w:tcW w:w="1170" w:type="dxa"/>
            <w:shd w:val="clear" w:color="auto" w:fill="auto"/>
            <w:vAlign w:val="center"/>
            <w:hideMark/>
          </w:tcPr>
          <w:p w14:paraId="649880E1" w14:textId="47571EAD" w:rsidR="00951493" w:rsidRPr="00D179FD" w:rsidRDefault="00951493" w:rsidP="007D5B29">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804</w:t>
            </w:r>
          </w:p>
        </w:tc>
        <w:tc>
          <w:tcPr>
            <w:tcW w:w="1123" w:type="dxa"/>
            <w:shd w:val="clear" w:color="auto" w:fill="auto"/>
            <w:vAlign w:val="center"/>
            <w:hideMark/>
          </w:tcPr>
          <w:p w14:paraId="49952057"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1.4%</w:t>
            </w:r>
          </w:p>
        </w:tc>
        <w:tc>
          <w:tcPr>
            <w:tcW w:w="1127" w:type="dxa"/>
            <w:shd w:val="clear" w:color="auto" w:fill="auto"/>
            <w:vAlign w:val="center"/>
            <w:hideMark/>
          </w:tcPr>
          <w:p w14:paraId="790672F5"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$102,239</w:t>
            </w:r>
          </w:p>
        </w:tc>
      </w:tr>
      <w:tr w:rsidR="0084709B" w:rsidRPr="00670A02" w14:paraId="5B88DFFA" w14:textId="77777777" w:rsidTr="00532B28">
        <w:trPr>
          <w:trHeight w:val="20"/>
        </w:trPr>
        <w:tc>
          <w:tcPr>
            <w:tcW w:w="1137" w:type="dxa"/>
            <w:shd w:val="clear" w:color="auto" w:fill="auto"/>
            <w:vAlign w:val="center"/>
            <w:hideMark/>
          </w:tcPr>
          <w:p w14:paraId="3287EB96"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Unmatched**</w:t>
            </w:r>
          </w:p>
        </w:tc>
        <w:tc>
          <w:tcPr>
            <w:tcW w:w="1198" w:type="dxa"/>
            <w:shd w:val="clear" w:color="auto" w:fill="auto"/>
            <w:vAlign w:val="center"/>
            <w:hideMark/>
          </w:tcPr>
          <w:p w14:paraId="2365AFF6"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N.A.</w:t>
            </w:r>
          </w:p>
        </w:tc>
        <w:tc>
          <w:tcPr>
            <w:tcW w:w="1080" w:type="dxa"/>
            <w:shd w:val="clear" w:color="auto" w:fill="auto"/>
            <w:vAlign w:val="center"/>
            <w:hideMark/>
          </w:tcPr>
          <w:p w14:paraId="0F1C3B60"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$1,941</w:t>
            </w:r>
          </w:p>
        </w:tc>
        <w:tc>
          <w:tcPr>
            <w:tcW w:w="720" w:type="dxa"/>
            <w:shd w:val="clear" w:color="auto" w:fill="auto"/>
            <w:vAlign w:val="center"/>
            <w:hideMark/>
          </w:tcPr>
          <w:p w14:paraId="491E7E88"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N.A.</w:t>
            </w:r>
          </w:p>
        </w:tc>
        <w:tc>
          <w:tcPr>
            <w:tcW w:w="1260" w:type="dxa"/>
            <w:shd w:val="clear" w:color="auto" w:fill="auto"/>
            <w:vAlign w:val="center"/>
            <w:hideMark/>
          </w:tcPr>
          <w:p w14:paraId="31E90B23"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$1,142,226</w:t>
            </w:r>
          </w:p>
        </w:tc>
        <w:tc>
          <w:tcPr>
            <w:tcW w:w="1170" w:type="dxa"/>
            <w:shd w:val="clear" w:color="auto" w:fill="auto"/>
            <w:vAlign w:val="center"/>
            <w:hideMark/>
          </w:tcPr>
          <w:p w14:paraId="545D0E7D"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0.8%</w:t>
            </w:r>
          </w:p>
        </w:tc>
        <w:tc>
          <w:tcPr>
            <w:tcW w:w="1170" w:type="dxa"/>
            <w:shd w:val="clear" w:color="auto" w:fill="auto"/>
            <w:vAlign w:val="center"/>
            <w:hideMark/>
          </w:tcPr>
          <w:p w14:paraId="1101A3E9" w14:textId="6EE5FC5A" w:rsidR="00951493" w:rsidRPr="00D179FD" w:rsidRDefault="00951493" w:rsidP="007D5B29">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289</w:t>
            </w:r>
          </w:p>
        </w:tc>
        <w:tc>
          <w:tcPr>
            <w:tcW w:w="1123" w:type="dxa"/>
            <w:shd w:val="clear" w:color="auto" w:fill="auto"/>
            <w:vAlign w:val="center"/>
            <w:hideMark/>
          </w:tcPr>
          <w:p w14:paraId="06F9D499"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0.5%</w:t>
            </w:r>
          </w:p>
        </w:tc>
        <w:tc>
          <w:tcPr>
            <w:tcW w:w="1127" w:type="dxa"/>
            <w:shd w:val="clear" w:color="auto" w:fill="auto"/>
            <w:vAlign w:val="center"/>
            <w:hideMark/>
          </w:tcPr>
          <w:p w14:paraId="395DB8D7"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N.A.</w:t>
            </w:r>
          </w:p>
        </w:tc>
      </w:tr>
      <w:tr w:rsidR="0084709B" w:rsidRPr="00670A02" w14:paraId="65DEB75A" w14:textId="77777777" w:rsidTr="00532B28">
        <w:trPr>
          <w:trHeight w:val="20"/>
        </w:trPr>
        <w:tc>
          <w:tcPr>
            <w:tcW w:w="1137" w:type="dxa"/>
            <w:shd w:val="clear" w:color="auto" w:fill="auto"/>
            <w:vAlign w:val="center"/>
            <w:hideMark/>
          </w:tcPr>
          <w:p w14:paraId="2D056BCA"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sidRPr="00D179FD">
              <w:rPr>
                <w:rFonts w:ascii="Cambria" w:eastAsia="Times New Roman" w:hAnsi="Cambria" w:cs="Arial"/>
                <w:color w:val="000000"/>
                <w:sz w:val="16"/>
                <w:szCs w:val="16"/>
                <w:lang w:eastAsia="ko-KR"/>
              </w:rPr>
              <w:t>Total or average</w:t>
            </w:r>
          </w:p>
        </w:tc>
        <w:tc>
          <w:tcPr>
            <w:tcW w:w="1198" w:type="dxa"/>
            <w:shd w:val="clear" w:color="auto" w:fill="auto"/>
            <w:vAlign w:val="center"/>
            <w:hideMark/>
          </w:tcPr>
          <w:p w14:paraId="4404E26C"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$1,029,831</w:t>
            </w:r>
          </w:p>
        </w:tc>
        <w:tc>
          <w:tcPr>
            <w:tcW w:w="1080" w:type="dxa"/>
            <w:shd w:val="clear" w:color="auto" w:fill="auto"/>
            <w:vAlign w:val="center"/>
            <w:hideMark/>
          </w:tcPr>
          <w:p w14:paraId="0A6F325D"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$1,284,062</w:t>
            </w:r>
          </w:p>
        </w:tc>
        <w:tc>
          <w:tcPr>
            <w:tcW w:w="720" w:type="dxa"/>
            <w:shd w:val="clear" w:color="auto" w:fill="auto"/>
            <w:vAlign w:val="center"/>
            <w:hideMark/>
          </w:tcPr>
          <w:p w14:paraId="66EBC731"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80.3%</w:t>
            </w:r>
          </w:p>
        </w:tc>
        <w:tc>
          <w:tcPr>
            <w:tcW w:w="1260" w:type="dxa"/>
            <w:shd w:val="clear" w:color="auto" w:fill="auto"/>
            <w:vAlign w:val="center"/>
            <w:hideMark/>
          </w:tcPr>
          <w:p w14:paraId="7E457F7C"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$148,034,837</w:t>
            </w:r>
          </w:p>
        </w:tc>
        <w:tc>
          <w:tcPr>
            <w:tcW w:w="1170" w:type="dxa"/>
            <w:shd w:val="clear" w:color="auto" w:fill="auto"/>
            <w:vAlign w:val="center"/>
            <w:hideMark/>
          </w:tcPr>
          <w:p w14:paraId="4B38AC56"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sz w:val="16"/>
                <w:szCs w:val="16"/>
              </w:rPr>
              <w:t>100</w:t>
            </w:r>
            <w:r w:rsidR="0084709B">
              <w:rPr>
                <w:rFonts w:ascii="Cambria" w:hAnsi="Cambria" w:cs="Arial"/>
                <w:i/>
                <w:iCs/>
                <w:sz w:val="16"/>
                <w:szCs w:val="16"/>
              </w:rPr>
              <w:t>.0</w:t>
            </w:r>
            <w:r w:rsidRPr="00CF3070">
              <w:rPr>
                <w:rFonts w:ascii="Cambria" w:hAnsi="Cambria" w:cs="Arial"/>
                <w:i/>
                <w:iCs/>
                <w:sz w:val="16"/>
                <w:szCs w:val="16"/>
              </w:rPr>
              <w:t>%</w:t>
            </w:r>
          </w:p>
        </w:tc>
        <w:tc>
          <w:tcPr>
            <w:tcW w:w="1170" w:type="dxa"/>
            <w:shd w:val="clear" w:color="auto" w:fill="auto"/>
            <w:vAlign w:val="center"/>
            <w:hideMark/>
          </w:tcPr>
          <w:p w14:paraId="5838357C" w14:textId="3F6E63FF" w:rsidR="00951493" w:rsidRPr="00D179FD" w:rsidRDefault="00951493" w:rsidP="007D5B29">
            <w:pPr>
              <w:spacing w:after="0" w:line="240" w:lineRule="auto"/>
              <w:jc w:val="center"/>
              <w:rPr>
                <w:rFonts w:ascii="Cambria" w:eastAsia="Times New Roman" w:hAnsi="Cambria" w:cs="Arial"/>
                <w:color w:val="000000"/>
                <w:sz w:val="16"/>
                <w:szCs w:val="16"/>
                <w:lang w:eastAsia="ko-KR"/>
              </w:rPr>
            </w:pPr>
            <w:r>
              <w:rPr>
                <w:rFonts w:ascii="Cambria" w:hAnsi="Cambria" w:cs="Arial"/>
                <w:color w:val="000000"/>
                <w:sz w:val="16"/>
                <w:szCs w:val="16"/>
              </w:rPr>
              <w:t>57,408</w:t>
            </w:r>
          </w:p>
        </w:tc>
        <w:tc>
          <w:tcPr>
            <w:tcW w:w="1123" w:type="dxa"/>
            <w:shd w:val="clear" w:color="auto" w:fill="auto"/>
            <w:vAlign w:val="center"/>
            <w:hideMark/>
          </w:tcPr>
          <w:p w14:paraId="7F68B281" w14:textId="77777777" w:rsidR="00951493" w:rsidRPr="00CF3070" w:rsidRDefault="00951493" w:rsidP="00C65C96">
            <w:pPr>
              <w:spacing w:after="0" w:line="240" w:lineRule="auto"/>
              <w:jc w:val="center"/>
              <w:rPr>
                <w:rFonts w:ascii="Cambria" w:eastAsia="Times New Roman" w:hAnsi="Cambria" w:cs="Arial"/>
                <w:i/>
                <w:iCs/>
                <w:color w:val="000000"/>
                <w:sz w:val="16"/>
                <w:szCs w:val="16"/>
                <w:lang w:eastAsia="ko-KR"/>
              </w:rPr>
            </w:pPr>
            <w:r w:rsidRPr="00CF3070">
              <w:rPr>
                <w:rFonts w:ascii="Cambria" w:hAnsi="Cambria" w:cs="Arial"/>
                <w:i/>
                <w:iCs/>
                <w:color w:val="000000"/>
                <w:sz w:val="16"/>
                <w:szCs w:val="16"/>
              </w:rPr>
              <w:t>100.0%</w:t>
            </w:r>
          </w:p>
        </w:tc>
        <w:tc>
          <w:tcPr>
            <w:tcW w:w="1127" w:type="dxa"/>
            <w:shd w:val="clear" w:color="auto" w:fill="auto"/>
            <w:vAlign w:val="center"/>
            <w:hideMark/>
          </w:tcPr>
          <w:p w14:paraId="6E95049C" w14:textId="77777777" w:rsidR="00951493" w:rsidRPr="00D179FD" w:rsidRDefault="00951493" w:rsidP="00C65C96">
            <w:pPr>
              <w:spacing w:after="0" w:line="240" w:lineRule="auto"/>
              <w:jc w:val="center"/>
              <w:rPr>
                <w:rFonts w:ascii="Cambria" w:eastAsia="Times New Roman" w:hAnsi="Cambria" w:cs="Arial"/>
                <w:color w:val="000000"/>
                <w:sz w:val="16"/>
                <w:szCs w:val="16"/>
                <w:lang w:eastAsia="ko-KR"/>
              </w:rPr>
            </w:pPr>
            <w:r>
              <w:rPr>
                <w:rFonts w:ascii="Cambria" w:hAnsi="Cambria" w:cs="Arial"/>
                <w:sz w:val="16"/>
                <w:szCs w:val="16"/>
              </w:rPr>
              <w:t>$4,428</w:t>
            </w:r>
          </w:p>
        </w:tc>
      </w:tr>
    </w:tbl>
    <w:p w14:paraId="2C2CDA14" w14:textId="77777777" w:rsidR="00853B0B" w:rsidRPr="00D179FD" w:rsidRDefault="00853B0B" w:rsidP="00853B0B">
      <w:pPr>
        <w:tabs>
          <w:tab w:val="left" w:pos="7050"/>
        </w:tabs>
        <w:spacing w:after="0"/>
        <w:rPr>
          <w:rFonts w:asciiTheme="majorHAnsi" w:eastAsiaTheme="majorEastAsia" w:hAnsiTheme="majorHAnsi" w:cstheme="majorBidi"/>
          <w:bCs/>
          <w:color w:val="000000" w:themeColor="text1"/>
          <w:sz w:val="16"/>
          <w:szCs w:val="16"/>
        </w:rPr>
      </w:pPr>
      <w:r w:rsidRPr="00D179FD">
        <w:rPr>
          <w:rFonts w:asciiTheme="majorHAnsi" w:eastAsiaTheme="majorEastAsia" w:hAnsiTheme="majorHAnsi" w:cstheme="majorBidi"/>
          <w:bCs/>
          <w:color w:val="000000" w:themeColor="text1"/>
          <w:sz w:val="16"/>
          <w:szCs w:val="16"/>
        </w:rPr>
        <w:t>Source: Department of Revenue (201</w:t>
      </w:r>
      <w:r w:rsidR="00C437A9" w:rsidRPr="00D179FD">
        <w:rPr>
          <w:rFonts w:asciiTheme="majorHAnsi" w:eastAsiaTheme="majorEastAsia" w:hAnsiTheme="majorHAnsi" w:cstheme="majorBidi"/>
          <w:bCs/>
          <w:color w:val="000000" w:themeColor="text1"/>
          <w:sz w:val="16"/>
          <w:szCs w:val="16"/>
        </w:rPr>
        <w:t>8</w:t>
      </w:r>
      <w:r w:rsidR="00ED7369" w:rsidRPr="00D179FD">
        <w:rPr>
          <w:rFonts w:asciiTheme="majorHAnsi" w:eastAsiaTheme="majorEastAsia" w:hAnsiTheme="majorHAnsi" w:cstheme="majorBidi"/>
          <w:bCs/>
          <w:color w:val="000000" w:themeColor="text1"/>
          <w:sz w:val="16"/>
          <w:szCs w:val="16"/>
        </w:rPr>
        <w:t xml:space="preserve"> </w:t>
      </w:r>
      <w:r w:rsidR="00234BA3">
        <w:rPr>
          <w:rFonts w:asciiTheme="majorHAnsi" w:eastAsiaTheme="majorEastAsia" w:hAnsiTheme="majorHAnsi" w:cstheme="majorBidi"/>
          <w:bCs/>
          <w:color w:val="000000" w:themeColor="text1"/>
          <w:sz w:val="16"/>
          <w:szCs w:val="16"/>
        </w:rPr>
        <w:t>corporate excise</w:t>
      </w:r>
      <w:r w:rsidR="00ED7369" w:rsidRPr="00D179FD">
        <w:rPr>
          <w:rFonts w:asciiTheme="majorHAnsi" w:eastAsiaTheme="majorEastAsia" w:hAnsiTheme="majorHAnsi" w:cstheme="majorBidi"/>
          <w:bCs/>
          <w:color w:val="000000" w:themeColor="text1"/>
          <w:sz w:val="16"/>
          <w:szCs w:val="16"/>
        </w:rPr>
        <w:t xml:space="preserve"> return</w:t>
      </w:r>
      <w:r w:rsidR="00234BA3">
        <w:rPr>
          <w:rFonts w:asciiTheme="majorHAnsi" w:eastAsiaTheme="majorEastAsia" w:hAnsiTheme="majorHAnsi" w:cstheme="majorBidi"/>
          <w:bCs/>
          <w:color w:val="000000" w:themeColor="text1"/>
          <w:sz w:val="16"/>
          <w:szCs w:val="16"/>
        </w:rPr>
        <w:t>s</w:t>
      </w:r>
      <w:r w:rsidRPr="00D179FD">
        <w:rPr>
          <w:rFonts w:asciiTheme="majorHAnsi" w:eastAsiaTheme="majorEastAsia" w:hAnsiTheme="majorHAnsi" w:cstheme="majorBidi"/>
          <w:bCs/>
          <w:color w:val="000000" w:themeColor="text1"/>
          <w:sz w:val="16"/>
          <w:szCs w:val="16"/>
        </w:rPr>
        <w:t>)</w:t>
      </w:r>
    </w:p>
    <w:p w14:paraId="4FB6F7B3" w14:textId="77777777" w:rsidR="003F17BE" w:rsidRDefault="003A594E" w:rsidP="005A65F1">
      <w:pPr>
        <w:tabs>
          <w:tab w:val="left" w:pos="7050"/>
        </w:tabs>
        <w:spacing w:after="0"/>
        <w:rPr>
          <w:rFonts w:asciiTheme="majorHAnsi" w:eastAsiaTheme="majorEastAsia" w:hAnsiTheme="majorHAnsi" w:cstheme="majorBidi"/>
          <w:bCs/>
          <w:color w:val="000000" w:themeColor="text1"/>
          <w:sz w:val="16"/>
          <w:szCs w:val="16"/>
        </w:rPr>
      </w:pPr>
      <w:r w:rsidRPr="00D179FD">
        <w:rPr>
          <w:rFonts w:asciiTheme="majorHAnsi" w:eastAsiaTheme="majorEastAsia" w:hAnsiTheme="majorHAnsi" w:cstheme="majorBidi"/>
          <w:bCs/>
          <w:color w:val="000000" w:themeColor="text1"/>
          <w:sz w:val="16"/>
          <w:szCs w:val="16"/>
        </w:rPr>
        <w:t>Note</w:t>
      </w:r>
      <w:r w:rsidR="005A65F1" w:rsidRPr="00D179FD">
        <w:rPr>
          <w:rFonts w:asciiTheme="majorHAnsi" w:eastAsiaTheme="majorEastAsia" w:hAnsiTheme="majorHAnsi" w:cstheme="majorBidi"/>
          <w:bCs/>
          <w:color w:val="000000" w:themeColor="text1"/>
          <w:sz w:val="16"/>
          <w:szCs w:val="16"/>
        </w:rPr>
        <w:t>s</w:t>
      </w:r>
      <w:r w:rsidRPr="00D179FD">
        <w:rPr>
          <w:rFonts w:asciiTheme="majorHAnsi" w:eastAsiaTheme="majorEastAsia" w:hAnsiTheme="majorHAnsi" w:cstheme="majorBidi"/>
          <w:bCs/>
          <w:color w:val="000000" w:themeColor="text1"/>
          <w:sz w:val="16"/>
          <w:szCs w:val="16"/>
        </w:rPr>
        <w:t xml:space="preserve">: </w:t>
      </w:r>
      <w:r w:rsidR="005A65F1" w:rsidRPr="00D179FD">
        <w:rPr>
          <w:rFonts w:asciiTheme="majorHAnsi" w:eastAsiaTheme="majorEastAsia" w:hAnsiTheme="majorHAnsi" w:cstheme="majorBidi"/>
          <w:bCs/>
          <w:color w:val="000000" w:themeColor="text1"/>
          <w:sz w:val="16"/>
          <w:szCs w:val="16"/>
        </w:rPr>
        <w:t xml:space="preserve">1. </w:t>
      </w:r>
      <w:r w:rsidR="003F17BE" w:rsidRPr="00CF3070">
        <w:rPr>
          <w:rFonts w:asciiTheme="majorHAnsi" w:hAnsiTheme="majorHAnsi"/>
          <w:sz w:val="16"/>
          <w:szCs w:val="16"/>
        </w:rPr>
        <w:t>*Information is based on number of employees as reported by taxpayers.</w:t>
      </w:r>
      <w:r w:rsidR="00D179FD">
        <w:rPr>
          <w:rFonts w:asciiTheme="majorHAnsi" w:eastAsiaTheme="majorEastAsia" w:hAnsiTheme="majorHAnsi" w:cstheme="majorBidi"/>
          <w:bCs/>
          <w:color w:val="000000" w:themeColor="text1"/>
          <w:sz w:val="16"/>
          <w:szCs w:val="16"/>
        </w:rPr>
        <w:t xml:space="preserve"> </w:t>
      </w:r>
    </w:p>
    <w:p w14:paraId="39495DFA" w14:textId="77777777" w:rsidR="003F17BE" w:rsidRDefault="003F17BE" w:rsidP="005A65F1">
      <w:pPr>
        <w:tabs>
          <w:tab w:val="left" w:pos="7050"/>
        </w:tabs>
        <w:spacing w:after="0"/>
        <w:rPr>
          <w:rFonts w:asciiTheme="majorHAnsi" w:eastAsiaTheme="majorEastAsia" w:hAnsiTheme="majorHAnsi" w:cstheme="majorBidi"/>
          <w:bCs/>
          <w:color w:val="000000" w:themeColor="text1"/>
          <w:sz w:val="16"/>
          <w:szCs w:val="16"/>
        </w:rPr>
      </w:pPr>
      <w:r>
        <w:rPr>
          <w:rFonts w:asciiTheme="majorHAnsi" w:eastAsiaTheme="majorEastAsia" w:hAnsiTheme="majorHAnsi" w:cstheme="majorBidi"/>
          <w:bCs/>
          <w:color w:val="000000" w:themeColor="text1"/>
          <w:sz w:val="16"/>
          <w:szCs w:val="16"/>
        </w:rPr>
        <w:t xml:space="preserve">             </w:t>
      </w:r>
      <w:r w:rsidR="005A65F1" w:rsidRPr="00D179FD">
        <w:rPr>
          <w:rFonts w:asciiTheme="majorHAnsi" w:eastAsiaTheme="majorEastAsia" w:hAnsiTheme="majorHAnsi" w:cstheme="majorBidi"/>
          <w:bCs/>
          <w:color w:val="000000" w:themeColor="text1"/>
          <w:sz w:val="16"/>
          <w:szCs w:val="16"/>
        </w:rPr>
        <w:t xml:space="preserve">2. </w:t>
      </w:r>
      <w:r w:rsidR="002017B8" w:rsidRPr="00D179FD">
        <w:rPr>
          <w:rFonts w:asciiTheme="majorHAnsi" w:eastAsiaTheme="majorEastAsia" w:hAnsiTheme="majorHAnsi" w:cstheme="majorBidi"/>
          <w:bCs/>
          <w:color w:val="000000" w:themeColor="text1"/>
          <w:sz w:val="16"/>
          <w:szCs w:val="16"/>
        </w:rPr>
        <w:t xml:space="preserve">**Unmatched means that we could not find some taxpayers in one or more of data sets to match. </w:t>
      </w:r>
      <w:r w:rsidR="00D179FD">
        <w:rPr>
          <w:rFonts w:asciiTheme="majorHAnsi" w:eastAsiaTheme="majorEastAsia" w:hAnsiTheme="majorHAnsi" w:cstheme="majorBidi"/>
          <w:bCs/>
          <w:color w:val="000000" w:themeColor="text1"/>
          <w:sz w:val="16"/>
          <w:szCs w:val="16"/>
        </w:rPr>
        <w:t xml:space="preserve"> </w:t>
      </w:r>
    </w:p>
    <w:p w14:paraId="4EA71264" w14:textId="77777777" w:rsidR="005A65F1" w:rsidRPr="00D179FD" w:rsidRDefault="003F17BE" w:rsidP="005A65F1">
      <w:pPr>
        <w:tabs>
          <w:tab w:val="left" w:pos="7050"/>
        </w:tabs>
        <w:spacing w:after="0"/>
        <w:rPr>
          <w:rFonts w:asciiTheme="majorHAnsi" w:eastAsiaTheme="majorEastAsia" w:hAnsiTheme="majorHAnsi" w:cstheme="majorBidi"/>
          <w:bCs/>
          <w:color w:val="000000" w:themeColor="text1"/>
          <w:sz w:val="16"/>
          <w:szCs w:val="16"/>
        </w:rPr>
      </w:pPr>
      <w:r>
        <w:rPr>
          <w:rFonts w:asciiTheme="majorHAnsi" w:eastAsiaTheme="majorEastAsia" w:hAnsiTheme="majorHAnsi" w:cstheme="majorBidi"/>
          <w:bCs/>
          <w:color w:val="000000" w:themeColor="text1"/>
          <w:sz w:val="16"/>
          <w:szCs w:val="16"/>
        </w:rPr>
        <w:t xml:space="preserve">             </w:t>
      </w:r>
      <w:r w:rsidR="005A65F1" w:rsidRPr="00D179FD">
        <w:rPr>
          <w:rFonts w:asciiTheme="majorHAnsi" w:hAnsiTheme="majorHAnsi"/>
          <w:sz w:val="16"/>
          <w:szCs w:val="16"/>
        </w:rPr>
        <w:t xml:space="preserve">3. </w:t>
      </w:r>
      <w:r w:rsidR="00214D26" w:rsidRPr="00D179FD">
        <w:rPr>
          <w:rFonts w:asciiTheme="majorHAnsi" w:hAnsiTheme="majorHAnsi"/>
          <w:sz w:val="16"/>
          <w:szCs w:val="16"/>
        </w:rPr>
        <w:t xml:space="preserve">The data are preliminary and subject to </w:t>
      </w:r>
      <w:r>
        <w:rPr>
          <w:rFonts w:asciiTheme="majorHAnsi" w:hAnsiTheme="majorHAnsi"/>
          <w:sz w:val="16"/>
          <w:szCs w:val="16"/>
        </w:rPr>
        <w:t>change</w:t>
      </w:r>
      <w:r w:rsidR="005A65F1" w:rsidRPr="00D179FD">
        <w:rPr>
          <w:rFonts w:asciiTheme="majorHAnsi" w:eastAsiaTheme="majorEastAsia" w:hAnsiTheme="majorHAnsi" w:cstheme="majorBidi"/>
          <w:bCs/>
          <w:color w:val="000000" w:themeColor="text1"/>
          <w:sz w:val="16"/>
          <w:szCs w:val="16"/>
        </w:rPr>
        <w:t>.</w:t>
      </w:r>
    </w:p>
    <w:p w14:paraId="7A79669C" w14:textId="77777777" w:rsidR="00DD399C" w:rsidRDefault="00DD399C" w:rsidP="000D4E6E">
      <w:pPr>
        <w:spacing w:after="0"/>
        <w:rPr>
          <w:rFonts w:asciiTheme="majorHAnsi" w:hAnsiTheme="majorHAnsi"/>
          <w:b/>
          <w:sz w:val="24"/>
          <w:szCs w:val="24"/>
        </w:rPr>
      </w:pPr>
    </w:p>
    <w:p w14:paraId="1E62582C" w14:textId="77777777" w:rsidR="00386837" w:rsidRDefault="00386837" w:rsidP="00CF3070">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405E25">
        <w:rPr>
          <w:rFonts w:asciiTheme="majorHAnsi" w:hAnsiTheme="majorHAnsi"/>
          <w:b/>
          <w:sz w:val="24"/>
          <w:szCs w:val="24"/>
        </w:rPr>
        <w:t>5</w:t>
      </w:r>
      <w:r w:rsidRPr="00CA0391">
        <w:rPr>
          <w:rFonts w:asciiTheme="majorHAnsi" w:hAnsiTheme="majorHAnsi"/>
          <w:b/>
          <w:sz w:val="24"/>
          <w:szCs w:val="24"/>
        </w:rPr>
        <w:t xml:space="preserve">. </w:t>
      </w:r>
      <w:r w:rsidR="00B81966">
        <w:rPr>
          <w:rFonts w:asciiTheme="majorHAnsi" w:hAnsiTheme="majorHAnsi"/>
          <w:b/>
          <w:sz w:val="24"/>
          <w:szCs w:val="24"/>
        </w:rPr>
        <w:t>Tangible Property Taxed Locally, Tax Liabilit</w:t>
      </w:r>
      <w:r w:rsidR="002B111A">
        <w:rPr>
          <w:rFonts w:asciiTheme="majorHAnsi" w:hAnsiTheme="majorHAnsi"/>
          <w:b/>
          <w:sz w:val="24"/>
          <w:szCs w:val="24"/>
        </w:rPr>
        <w:t>y</w:t>
      </w:r>
      <w:r w:rsidR="00B81966">
        <w:rPr>
          <w:rFonts w:asciiTheme="majorHAnsi" w:hAnsiTheme="majorHAnsi"/>
          <w:b/>
          <w:sz w:val="24"/>
          <w:szCs w:val="24"/>
        </w:rPr>
        <w:t xml:space="preserve">, </w:t>
      </w:r>
      <w:r w:rsidR="00823956">
        <w:rPr>
          <w:rFonts w:asciiTheme="majorHAnsi" w:hAnsiTheme="majorHAnsi"/>
          <w:b/>
          <w:sz w:val="24"/>
          <w:szCs w:val="24"/>
        </w:rPr>
        <w:t>Impacted Corporation</w:t>
      </w:r>
      <w:r w:rsidR="00B81966">
        <w:rPr>
          <w:rFonts w:asciiTheme="majorHAnsi" w:hAnsiTheme="majorHAnsi"/>
          <w:b/>
          <w:sz w:val="24"/>
          <w:szCs w:val="24"/>
        </w:rPr>
        <w:t>s by Industry</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072"/>
        <w:gridCol w:w="1080"/>
        <w:gridCol w:w="720"/>
        <w:gridCol w:w="1260"/>
        <w:gridCol w:w="1170"/>
        <w:gridCol w:w="1170"/>
        <w:gridCol w:w="1170"/>
        <w:gridCol w:w="1080"/>
      </w:tblGrid>
      <w:tr w:rsidR="00245C31" w:rsidRPr="00670A02" w14:paraId="291C9FF0" w14:textId="77777777" w:rsidTr="00532B28">
        <w:trPr>
          <w:trHeight w:val="20"/>
        </w:trPr>
        <w:tc>
          <w:tcPr>
            <w:tcW w:w="1263" w:type="dxa"/>
            <w:shd w:val="clear" w:color="auto" w:fill="B6DDE8" w:themeFill="accent5" w:themeFillTint="66"/>
            <w:vAlign w:val="center"/>
            <w:hideMark/>
          </w:tcPr>
          <w:p w14:paraId="3DDD603C"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Industry</w:t>
            </w:r>
          </w:p>
        </w:tc>
        <w:tc>
          <w:tcPr>
            <w:tcW w:w="1072" w:type="dxa"/>
            <w:shd w:val="clear" w:color="auto" w:fill="B6DDE8" w:themeFill="accent5" w:themeFillTint="66"/>
            <w:vAlign w:val="center"/>
            <w:hideMark/>
          </w:tcPr>
          <w:p w14:paraId="70C1A5E0"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 xml:space="preserve">Tax </w:t>
            </w:r>
            <w:r>
              <w:rPr>
                <w:rFonts w:ascii="Cambria" w:eastAsia="Times New Roman" w:hAnsi="Cambria" w:cs="Arial"/>
                <w:color w:val="000000"/>
                <w:sz w:val="15"/>
                <w:szCs w:val="15"/>
                <w:lang w:eastAsia="ko-KR"/>
              </w:rPr>
              <w:t xml:space="preserve">Liability </w:t>
            </w:r>
            <w:r w:rsidRPr="00D179FD">
              <w:rPr>
                <w:rFonts w:ascii="Cambria" w:eastAsia="Times New Roman" w:hAnsi="Cambria" w:cs="Arial"/>
                <w:color w:val="000000"/>
                <w:sz w:val="15"/>
                <w:szCs w:val="15"/>
                <w:lang w:eastAsia="ko-KR"/>
              </w:rPr>
              <w:t xml:space="preserve">Under </w:t>
            </w:r>
            <w:r>
              <w:rPr>
                <w:rFonts w:ascii="Cambria" w:eastAsia="Times New Roman" w:hAnsi="Cambria" w:cs="Arial"/>
                <w:color w:val="000000"/>
                <w:sz w:val="15"/>
                <w:szCs w:val="15"/>
                <w:lang w:eastAsia="ko-KR"/>
              </w:rPr>
              <w:t xml:space="preserve">the </w:t>
            </w:r>
            <w:r w:rsidRPr="00D179FD">
              <w:rPr>
                <w:rFonts w:ascii="Cambria" w:eastAsia="Times New Roman" w:hAnsi="Cambria" w:cs="Arial"/>
                <w:color w:val="000000"/>
                <w:sz w:val="15"/>
                <w:szCs w:val="15"/>
                <w:lang w:eastAsia="ko-KR"/>
              </w:rPr>
              <w:t xml:space="preserve">Current </w:t>
            </w:r>
            <w:r>
              <w:rPr>
                <w:rFonts w:ascii="Cambria" w:eastAsia="Times New Roman" w:hAnsi="Cambria" w:cs="Arial"/>
                <w:color w:val="000000"/>
                <w:sz w:val="15"/>
                <w:szCs w:val="15"/>
                <w:lang w:eastAsia="ko-KR"/>
              </w:rPr>
              <w:t>Law</w:t>
            </w:r>
            <w:r w:rsidRPr="00D179FD">
              <w:rPr>
                <w:rFonts w:ascii="Cambria" w:eastAsia="Times New Roman" w:hAnsi="Cambria" w:cs="Arial"/>
                <w:color w:val="000000"/>
                <w:sz w:val="15"/>
                <w:szCs w:val="15"/>
                <w:lang w:eastAsia="ko-KR"/>
              </w:rPr>
              <w:t xml:space="preserve"> ($000</w:t>
            </w:r>
            <w:proofErr w:type="gramStart"/>
            <w:r w:rsidRPr="00D179FD">
              <w:rPr>
                <w:rFonts w:ascii="Cambria" w:eastAsia="Times New Roman" w:hAnsi="Cambria" w:cs="Arial"/>
                <w:color w:val="000000"/>
                <w:sz w:val="15"/>
                <w:szCs w:val="15"/>
                <w:lang w:eastAsia="ko-KR"/>
              </w:rPr>
              <w:t>)  -</w:t>
            </w:r>
            <w:proofErr w:type="gramEnd"/>
            <w:r w:rsidRPr="00D179FD">
              <w:rPr>
                <w:rFonts w:ascii="Cambria" w:eastAsia="Times New Roman" w:hAnsi="Cambria" w:cs="Arial"/>
                <w:color w:val="000000"/>
                <w:sz w:val="15"/>
                <w:szCs w:val="15"/>
                <w:lang w:eastAsia="ko-KR"/>
              </w:rPr>
              <w:t>A</w:t>
            </w:r>
          </w:p>
        </w:tc>
        <w:tc>
          <w:tcPr>
            <w:tcW w:w="1080" w:type="dxa"/>
            <w:shd w:val="clear" w:color="auto" w:fill="B6DDE8" w:themeFill="accent5" w:themeFillTint="66"/>
            <w:vAlign w:val="center"/>
            <w:hideMark/>
          </w:tcPr>
          <w:p w14:paraId="50057889"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 xml:space="preserve">Tax </w:t>
            </w:r>
            <w:r>
              <w:rPr>
                <w:rFonts w:ascii="Cambria" w:eastAsia="Times New Roman" w:hAnsi="Cambria" w:cs="Arial"/>
                <w:color w:val="000000"/>
                <w:sz w:val="15"/>
                <w:szCs w:val="15"/>
                <w:lang w:eastAsia="ko-KR"/>
              </w:rPr>
              <w:t>L</w:t>
            </w:r>
            <w:r w:rsidRPr="00D179FD">
              <w:rPr>
                <w:rFonts w:ascii="Cambria" w:eastAsia="Times New Roman" w:hAnsi="Cambria" w:cs="Arial"/>
                <w:color w:val="000000"/>
                <w:sz w:val="15"/>
                <w:szCs w:val="15"/>
                <w:lang w:eastAsia="ko-KR"/>
              </w:rPr>
              <w:t xml:space="preserve">iability without </w:t>
            </w:r>
            <w:r>
              <w:rPr>
                <w:rFonts w:ascii="Cambria" w:eastAsia="Times New Roman" w:hAnsi="Cambria" w:cs="Arial"/>
                <w:color w:val="000000"/>
                <w:sz w:val="15"/>
                <w:szCs w:val="15"/>
                <w:lang w:eastAsia="ko-KR"/>
              </w:rPr>
              <w:t>the Exemption</w:t>
            </w:r>
            <w:r w:rsidRPr="00D179FD">
              <w:rPr>
                <w:rFonts w:ascii="Cambria" w:eastAsia="Times New Roman" w:hAnsi="Cambria" w:cs="Arial"/>
                <w:color w:val="000000"/>
                <w:sz w:val="15"/>
                <w:szCs w:val="15"/>
                <w:lang w:eastAsia="ko-KR"/>
              </w:rPr>
              <w:t xml:space="preserve"> ($000) -B</w:t>
            </w:r>
          </w:p>
        </w:tc>
        <w:tc>
          <w:tcPr>
            <w:tcW w:w="720" w:type="dxa"/>
            <w:shd w:val="clear" w:color="auto" w:fill="B6DDE8" w:themeFill="accent5" w:themeFillTint="66"/>
            <w:vAlign w:val="center"/>
            <w:hideMark/>
          </w:tcPr>
          <w:p w14:paraId="7CEE0AD7"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eastAsia="Times New Roman" w:hAnsi="Cambria" w:cs="Arial"/>
                <w:i/>
                <w:iCs/>
                <w:color w:val="000000"/>
                <w:sz w:val="15"/>
                <w:szCs w:val="15"/>
                <w:lang w:eastAsia="ko-KR"/>
              </w:rPr>
              <w:t>A/B</w:t>
            </w:r>
            <w:r w:rsidR="0084709B" w:rsidRPr="00CF3070">
              <w:rPr>
                <w:rFonts w:ascii="Cambria" w:eastAsia="Times New Roman" w:hAnsi="Cambria" w:cs="Arial"/>
                <w:i/>
                <w:iCs/>
                <w:color w:val="000000"/>
                <w:sz w:val="15"/>
                <w:szCs w:val="15"/>
                <w:lang w:eastAsia="ko-KR"/>
              </w:rPr>
              <w:t xml:space="preserve"> (%)</w:t>
            </w:r>
          </w:p>
        </w:tc>
        <w:tc>
          <w:tcPr>
            <w:tcW w:w="1260" w:type="dxa"/>
            <w:shd w:val="clear" w:color="auto" w:fill="B6DDE8" w:themeFill="accent5" w:themeFillTint="66"/>
            <w:vAlign w:val="center"/>
            <w:hideMark/>
          </w:tcPr>
          <w:p w14:paraId="5322C999"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Tangible Property Taxed Locally ($000)</w:t>
            </w:r>
          </w:p>
        </w:tc>
        <w:tc>
          <w:tcPr>
            <w:tcW w:w="1170" w:type="dxa"/>
            <w:shd w:val="clear" w:color="auto" w:fill="B6DDE8" w:themeFill="accent5" w:themeFillTint="66"/>
            <w:vAlign w:val="center"/>
            <w:hideMark/>
          </w:tcPr>
          <w:p w14:paraId="789CD735"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7D73C9">
              <w:rPr>
                <w:rFonts w:ascii="Cambria" w:eastAsia="Times New Roman" w:hAnsi="Cambria" w:cs="Arial"/>
                <w:i/>
                <w:iCs/>
                <w:color w:val="000000"/>
                <w:sz w:val="16"/>
                <w:szCs w:val="16"/>
                <w:lang w:eastAsia="ko-KR"/>
              </w:rPr>
              <w:t>Percentage of Total</w:t>
            </w:r>
            <w:r>
              <w:rPr>
                <w:rFonts w:ascii="Cambria" w:eastAsia="Times New Roman" w:hAnsi="Cambria" w:cs="Arial"/>
                <w:i/>
                <w:iCs/>
                <w:color w:val="000000"/>
                <w:sz w:val="16"/>
                <w:szCs w:val="16"/>
                <w:lang w:eastAsia="ko-KR"/>
              </w:rPr>
              <w:t xml:space="preserve"> Tangible Property Taxed Locally</w:t>
            </w:r>
          </w:p>
        </w:tc>
        <w:tc>
          <w:tcPr>
            <w:tcW w:w="1170" w:type="dxa"/>
            <w:shd w:val="clear" w:color="auto" w:fill="B6DDE8" w:themeFill="accent5" w:themeFillTint="66"/>
            <w:vAlign w:val="center"/>
            <w:hideMark/>
          </w:tcPr>
          <w:p w14:paraId="33F90A49"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Number of Impacted Corporations</w:t>
            </w:r>
          </w:p>
        </w:tc>
        <w:tc>
          <w:tcPr>
            <w:tcW w:w="1170" w:type="dxa"/>
            <w:shd w:val="clear" w:color="auto" w:fill="B6DDE8" w:themeFill="accent5" w:themeFillTint="66"/>
            <w:vAlign w:val="center"/>
            <w:hideMark/>
          </w:tcPr>
          <w:p w14:paraId="740C5A13"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7D73C9">
              <w:rPr>
                <w:rFonts w:ascii="Cambria" w:eastAsia="Times New Roman" w:hAnsi="Cambria" w:cs="Helvetica"/>
                <w:color w:val="000000"/>
                <w:sz w:val="16"/>
                <w:szCs w:val="16"/>
                <w:lang w:eastAsia="ko-KR"/>
              </w:rPr>
              <w:t xml:space="preserve">Percentage of Total Number of </w:t>
            </w:r>
            <w:r w:rsidRPr="00B74328">
              <w:rPr>
                <w:rFonts w:ascii="Cambria" w:eastAsia="Times New Roman" w:hAnsi="Cambria" w:cs="Arial"/>
                <w:color w:val="000000"/>
                <w:sz w:val="16"/>
                <w:szCs w:val="16"/>
                <w:lang w:eastAsia="ko-KR"/>
              </w:rPr>
              <w:t>Impacted Corporations</w:t>
            </w:r>
          </w:p>
        </w:tc>
        <w:tc>
          <w:tcPr>
            <w:tcW w:w="1080" w:type="dxa"/>
            <w:shd w:val="clear" w:color="auto" w:fill="B6DDE8" w:themeFill="accent5" w:themeFillTint="66"/>
            <w:vAlign w:val="center"/>
            <w:hideMark/>
          </w:tcPr>
          <w:p w14:paraId="18E876A7"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Tax Saving Per Impacted Corporation ($)</w:t>
            </w:r>
          </w:p>
        </w:tc>
      </w:tr>
      <w:tr w:rsidR="00245C31" w:rsidRPr="00670A02" w14:paraId="3F33C794" w14:textId="77777777" w:rsidTr="00532B28">
        <w:trPr>
          <w:trHeight w:val="20"/>
        </w:trPr>
        <w:tc>
          <w:tcPr>
            <w:tcW w:w="1263" w:type="dxa"/>
            <w:shd w:val="clear" w:color="auto" w:fill="auto"/>
            <w:vAlign w:val="center"/>
            <w:hideMark/>
          </w:tcPr>
          <w:p w14:paraId="4A3087AA"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11 Agriculture, Forestry, Fishing and Hunting</w:t>
            </w:r>
          </w:p>
        </w:tc>
        <w:tc>
          <w:tcPr>
            <w:tcW w:w="1072" w:type="dxa"/>
            <w:shd w:val="clear" w:color="auto" w:fill="auto"/>
            <w:vAlign w:val="center"/>
            <w:hideMark/>
          </w:tcPr>
          <w:p w14:paraId="42D1578E"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$2,986</w:t>
            </w:r>
          </w:p>
        </w:tc>
        <w:tc>
          <w:tcPr>
            <w:tcW w:w="1080" w:type="dxa"/>
            <w:shd w:val="clear" w:color="auto" w:fill="auto"/>
            <w:vAlign w:val="center"/>
            <w:hideMark/>
          </w:tcPr>
          <w:p w14:paraId="7418B168"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$3,708</w:t>
            </w:r>
          </w:p>
        </w:tc>
        <w:tc>
          <w:tcPr>
            <w:tcW w:w="720" w:type="dxa"/>
            <w:shd w:val="clear" w:color="auto" w:fill="auto"/>
            <w:vAlign w:val="center"/>
            <w:hideMark/>
          </w:tcPr>
          <w:p w14:paraId="725AE647"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80.5%</w:t>
            </w:r>
          </w:p>
        </w:tc>
        <w:tc>
          <w:tcPr>
            <w:tcW w:w="1260" w:type="dxa"/>
            <w:shd w:val="clear" w:color="auto" w:fill="auto"/>
            <w:vAlign w:val="center"/>
            <w:hideMark/>
          </w:tcPr>
          <w:p w14:paraId="2441299B"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$467,796</w:t>
            </w:r>
          </w:p>
        </w:tc>
        <w:tc>
          <w:tcPr>
            <w:tcW w:w="1170" w:type="dxa"/>
            <w:shd w:val="clear" w:color="auto" w:fill="auto"/>
            <w:vAlign w:val="center"/>
            <w:hideMark/>
          </w:tcPr>
          <w:p w14:paraId="72E5E3DD"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0.3%</w:t>
            </w:r>
          </w:p>
        </w:tc>
        <w:tc>
          <w:tcPr>
            <w:tcW w:w="1170" w:type="dxa"/>
            <w:shd w:val="clear" w:color="auto" w:fill="auto"/>
            <w:vAlign w:val="center"/>
            <w:hideMark/>
          </w:tcPr>
          <w:p w14:paraId="78639D34" w14:textId="50BC681C"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662</w:t>
            </w:r>
          </w:p>
        </w:tc>
        <w:tc>
          <w:tcPr>
            <w:tcW w:w="1170" w:type="dxa"/>
            <w:shd w:val="clear" w:color="auto" w:fill="auto"/>
            <w:vAlign w:val="center"/>
            <w:hideMark/>
          </w:tcPr>
          <w:p w14:paraId="2092C0EA"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1.2%</w:t>
            </w:r>
          </w:p>
        </w:tc>
        <w:tc>
          <w:tcPr>
            <w:tcW w:w="1080" w:type="dxa"/>
            <w:shd w:val="clear" w:color="auto" w:fill="auto"/>
            <w:vAlign w:val="center"/>
            <w:hideMark/>
          </w:tcPr>
          <w:p w14:paraId="38FF8F93"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$1,090</w:t>
            </w:r>
          </w:p>
        </w:tc>
      </w:tr>
      <w:tr w:rsidR="00245C31" w:rsidRPr="00670A02" w14:paraId="6C5B3061" w14:textId="77777777" w:rsidTr="00532B28">
        <w:trPr>
          <w:trHeight w:val="20"/>
        </w:trPr>
        <w:tc>
          <w:tcPr>
            <w:tcW w:w="1263" w:type="dxa"/>
            <w:shd w:val="clear" w:color="auto" w:fill="auto"/>
            <w:vAlign w:val="center"/>
            <w:hideMark/>
          </w:tcPr>
          <w:p w14:paraId="407C560D"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21 Mining, Quarrying, and Oil and Gas Extract</w:t>
            </w:r>
          </w:p>
        </w:tc>
        <w:tc>
          <w:tcPr>
            <w:tcW w:w="1072" w:type="dxa"/>
            <w:shd w:val="clear" w:color="auto" w:fill="auto"/>
            <w:vAlign w:val="center"/>
            <w:hideMark/>
          </w:tcPr>
          <w:p w14:paraId="7CFE1007"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$677</w:t>
            </w:r>
          </w:p>
        </w:tc>
        <w:tc>
          <w:tcPr>
            <w:tcW w:w="1080" w:type="dxa"/>
            <w:shd w:val="clear" w:color="auto" w:fill="auto"/>
            <w:vAlign w:val="center"/>
            <w:hideMark/>
          </w:tcPr>
          <w:p w14:paraId="39B9DE8B"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$903</w:t>
            </w:r>
          </w:p>
        </w:tc>
        <w:tc>
          <w:tcPr>
            <w:tcW w:w="720" w:type="dxa"/>
            <w:shd w:val="clear" w:color="auto" w:fill="auto"/>
            <w:vAlign w:val="center"/>
            <w:hideMark/>
          </w:tcPr>
          <w:p w14:paraId="2A9B5A08"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75.0%</w:t>
            </w:r>
          </w:p>
        </w:tc>
        <w:tc>
          <w:tcPr>
            <w:tcW w:w="1260" w:type="dxa"/>
            <w:shd w:val="clear" w:color="auto" w:fill="auto"/>
            <w:vAlign w:val="center"/>
            <w:hideMark/>
          </w:tcPr>
          <w:p w14:paraId="24D9AF16"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$88,614</w:t>
            </w:r>
          </w:p>
        </w:tc>
        <w:tc>
          <w:tcPr>
            <w:tcW w:w="1170" w:type="dxa"/>
            <w:shd w:val="clear" w:color="auto" w:fill="auto"/>
            <w:vAlign w:val="center"/>
            <w:hideMark/>
          </w:tcPr>
          <w:p w14:paraId="4E1EB216"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0.1%</w:t>
            </w:r>
          </w:p>
        </w:tc>
        <w:tc>
          <w:tcPr>
            <w:tcW w:w="1170" w:type="dxa"/>
            <w:shd w:val="clear" w:color="auto" w:fill="auto"/>
            <w:vAlign w:val="center"/>
            <w:hideMark/>
          </w:tcPr>
          <w:p w14:paraId="0AA2E0B2" w14:textId="0CB0C948"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59</w:t>
            </w:r>
          </w:p>
        </w:tc>
        <w:tc>
          <w:tcPr>
            <w:tcW w:w="1170" w:type="dxa"/>
            <w:shd w:val="clear" w:color="auto" w:fill="auto"/>
            <w:vAlign w:val="center"/>
            <w:hideMark/>
          </w:tcPr>
          <w:p w14:paraId="2592B2F4"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0.1%</w:t>
            </w:r>
          </w:p>
        </w:tc>
        <w:tc>
          <w:tcPr>
            <w:tcW w:w="1080" w:type="dxa"/>
            <w:shd w:val="clear" w:color="auto" w:fill="auto"/>
            <w:vAlign w:val="center"/>
            <w:hideMark/>
          </w:tcPr>
          <w:p w14:paraId="07E80D84"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$3,828</w:t>
            </w:r>
          </w:p>
        </w:tc>
      </w:tr>
      <w:tr w:rsidR="00245C31" w:rsidRPr="00670A02" w14:paraId="789F6ED3" w14:textId="77777777" w:rsidTr="00532B28">
        <w:trPr>
          <w:trHeight w:val="20"/>
        </w:trPr>
        <w:tc>
          <w:tcPr>
            <w:tcW w:w="1263" w:type="dxa"/>
            <w:shd w:val="clear" w:color="auto" w:fill="auto"/>
            <w:vAlign w:val="center"/>
            <w:hideMark/>
          </w:tcPr>
          <w:p w14:paraId="015BF89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22 Utilities</w:t>
            </w:r>
          </w:p>
        </w:tc>
        <w:tc>
          <w:tcPr>
            <w:tcW w:w="1072" w:type="dxa"/>
            <w:shd w:val="clear" w:color="auto" w:fill="auto"/>
            <w:vAlign w:val="center"/>
            <w:hideMark/>
          </w:tcPr>
          <w:p w14:paraId="405D9725"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$4,233</w:t>
            </w:r>
          </w:p>
        </w:tc>
        <w:tc>
          <w:tcPr>
            <w:tcW w:w="1080" w:type="dxa"/>
            <w:shd w:val="clear" w:color="auto" w:fill="auto"/>
            <w:vAlign w:val="center"/>
            <w:hideMark/>
          </w:tcPr>
          <w:p w14:paraId="617C46CC"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$11,590</w:t>
            </w:r>
          </w:p>
        </w:tc>
        <w:tc>
          <w:tcPr>
            <w:tcW w:w="720" w:type="dxa"/>
            <w:shd w:val="clear" w:color="auto" w:fill="auto"/>
            <w:vAlign w:val="center"/>
            <w:hideMark/>
          </w:tcPr>
          <w:p w14:paraId="77B4FC0A"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36.5%</w:t>
            </w:r>
          </w:p>
        </w:tc>
        <w:tc>
          <w:tcPr>
            <w:tcW w:w="1260" w:type="dxa"/>
            <w:shd w:val="clear" w:color="auto" w:fill="auto"/>
            <w:vAlign w:val="center"/>
            <w:hideMark/>
          </w:tcPr>
          <w:p w14:paraId="7535F61A"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$2,920,307</w:t>
            </w:r>
          </w:p>
        </w:tc>
        <w:tc>
          <w:tcPr>
            <w:tcW w:w="1170" w:type="dxa"/>
            <w:shd w:val="clear" w:color="auto" w:fill="auto"/>
            <w:vAlign w:val="center"/>
            <w:hideMark/>
          </w:tcPr>
          <w:p w14:paraId="322F47FF"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2.0%</w:t>
            </w:r>
          </w:p>
        </w:tc>
        <w:tc>
          <w:tcPr>
            <w:tcW w:w="1170" w:type="dxa"/>
            <w:shd w:val="clear" w:color="auto" w:fill="auto"/>
            <w:vAlign w:val="center"/>
            <w:hideMark/>
          </w:tcPr>
          <w:p w14:paraId="5AE9C18D" w14:textId="63D576D9"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110</w:t>
            </w:r>
          </w:p>
        </w:tc>
        <w:tc>
          <w:tcPr>
            <w:tcW w:w="1170" w:type="dxa"/>
            <w:shd w:val="clear" w:color="auto" w:fill="auto"/>
            <w:vAlign w:val="center"/>
            <w:hideMark/>
          </w:tcPr>
          <w:p w14:paraId="54B315BD"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0.2%</w:t>
            </w:r>
          </w:p>
        </w:tc>
        <w:tc>
          <w:tcPr>
            <w:tcW w:w="1080" w:type="dxa"/>
            <w:shd w:val="clear" w:color="auto" w:fill="auto"/>
            <w:vAlign w:val="center"/>
            <w:hideMark/>
          </w:tcPr>
          <w:p w14:paraId="7555D37E"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$66,881</w:t>
            </w:r>
          </w:p>
        </w:tc>
      </w:tr>
      <w:tr w:rsidR="00245C31" w:rsidRPr="00670A02" w14:paraId="3E9ECEDA" w14:textId="77777777" w:rsidTr="00532B28">
        <w:trPr>
          <w:trHeight w:val="20"/>
        </w:trPr>
        <w:tc>
          <w:tcPr>
            <w:tcW w:w="1263" w:type="dxa"/>
            <w:shd w:val="clear" w:color="auto" w:fill="auto"/>
            <w:vAlign w:val="center"/>
            <w:hideMark/>
          </w:tcPr>
          <w:p w14:paraId="176B7DC8"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23 Construction</w:t>
            </w:r>
          </w:p>
        </w:tc>
        <w:tc>
          <w:tcPr>
            <w:tcW w:w="1072" w:type="dxa"/>
            <w:shd w:val="clear" w:color="auto" w:fill="auto"/>
            <w:vAlign w:val="center"/>
            <w:hideMark/>
          </w:tcPr>
          <w:p w14:paraId="11C50F24"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$56,176</w:t>
            </w:r>
          </w:p>
        </w:tc>
        <w:tc>
          <w:tcPr>
            <w:tcW w:w="1080" w:type="dxa"/>
            <w:shd w:val="clear" w:color="auto" w:fill="auto"/>
            <w:vAlign w:val="center"/>
            <w:hideMark/>
          </w:tcPr>
          <w:p w14:paraId="4FE2955E"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$60,914</w:t>
            </w:r>
          </w:p>
        </w:tc>
        <w:tc>
          <w:tcPr>
            <w:tcW w:w="720" w:type="dxa"/>
            <w:shd w:val="clear" w:color="auto" w:fill="auto"/>
            <w:vAlign w:val="center"/>
            <w:hideMark/>
          </w:tcPr>
          <w:p w14:paraId="42892751"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92.2%</w:t>
            </w:r>
          </w:p>
        </w:tc>
        <w:tc>
          <w:tcPr>
            <w:tcW w:w="1260" w:type="dxa"/>
            <w:shd w:val="clear" w:color="auto" w:fill="auto"/>
            <w:vAlign w:val="center"/>
            <w:hideMark/>
          </w:tcPr>
          <w:p w14:paraId="22B6250C"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$2,003,613</w:t>
            </w:r>
          </w:p>
        </w:tc>
        <w:tc>
          <w:tcPr>
            <w:tcW w:w="1170" w:type="dxa"/>
            <w:shd w:val="clear" w:color="auto" w:fill="auto"/>
            <w:vAlign w:val="center"/>
            <w:hideMark/>
          </w:tcPr>
          <w:p w14:paraId="40B7EFF0"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1.4%</w:t>
            </w:r>
          </w:p>
        </w:tc>
        <w:tc>
          <w:tcPr>
            <w:tcW w:w="1170" w:type="dxa"/>
            <w:shd w:val="clear" w:color="auto" w:fill="auto"/>
            <w:vAlign w:val="center"/>
            <w:hideMark/>
          </w:tcPr>
          <w:p w14:paraId="6B7C94F7" w14:textId="3B4D6428"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10,333</w:t>
            </w:r>
          </w:p>
        </w:tc>
        <w:tc>
          <w:tcPr>
            <w:tcW w:w="1170" w:type="dxa"/>
            <w:shd w:val="clear" w:color="auto" w:fill="auto"/>
            <w:vAlign w:val="center"/>
            <w:hideMark/>
          </w:tcPr>
          <w:p w14:paraId="256BAC36"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18.0%</w:t>
            </w:r>
          </w:p>
        </w:tc>
        <w:tc>
          <w:tcPr>
            <w:tcW w:w="1080" w:type="dxa"/>
            <w:shd w:val="clear" w:color="auto" w:fill="auto"/>
            <w:vAlign w:val="center"/>
            <w:hideMark/>
          </w:tcPr>
          <w:p w14:paraId="2EBA5D6C"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$459</w:t>
            </w:r>
          </w:p>
        </w:tc>
      </w:tr>
      <w:tr w:rsidR="00245C31" w:rsidRPr="00670A02" w14:paraId="0C3D4E1B" w14:textId="77777777" w:rsidTr="00532B28">
        <w:trPr>
          <w:trHeight w:val="20"/>
        </w:trPr>
        <w:tc>
          <w:tcPr>
            <w:tcW w:w="1263" w:type="dxa"/>
            <w:shd w:val="clear" w:color="auto" w:fill="auto"/>
            <w:vAlign w:val="center"/>
            <w:hideMark/>
          </w:tcPr>
          <w:p w14:paraId="6D725A22"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31-33 Manufacturing</w:t>
            </w:r>
          </w:p>
        </w:tc>
        <w:tc>
          <w:tcPr>
            <w:tcW w:w="1072" w:type="dxa"/>
            <w:shd w:val="clear" w:color="auto" w:fill="auto"/>
            <w:vAlign w:val="center"/>
            <w:hideMark/>
          </w:tcPr>
          <w:p w14:paraId="56F8BB7E"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$109,870</w:t>
            </w:r>
          </w:p>
        </w:tc>
        <w:tc>
          <w:tcPr>
            <w:tcW w:w="1080" w:type="dxa"/>
            <w:shd w:val="clear" w:color="auto" w:fill="auto"/>
            <w:vAlign w:val="center"/>
            <w:hideMark/>
          </w:tcPr>
          <w:p w14:paraId="1F3DB568"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$130,141</w:t>
            </w:r>
          </w:p>
        </w:tc>
        <w:tc>
          <w:tcPr>
            <w:tcW w:w="720" w:type="dxa"/>
            <w:shd w:val="clear" w:color="auto" w:fill="auto"/>
            <w:vAlign w:val="center"/>
            <w:hideMark/>
          </w:tcPr>
          <w:p w14:paraId="1D650816"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84.4%</w:t>
            </w:r>
          </w:p>
        </w:tc>
        <w:tc>
          <w:tcPr>
            <w:tcW w:w="1260" w:type="dxa"/>
            <w:shd w:val="clear" w:color="auto" w:fill="auto"/>
            <w:vAlign w:val="center"/>
            <w:hideMark/>
          </w:tcPr>
          <w:p w14:paraId="47F3FB66"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$8,755,022</w:t>
            </w:r>
          </w:p>
        </w:tc>
        <w:tc>
          <w:tcPr>
            <w:tcW w:w="1170" w:type="dxa"/>
            <w:shd w:val="clear" w:color="auto" w:fill="auto"/>
            <w:vAlign w:val="center"/>
            <w:hideMark/>
          </w:tcPr>
          <w:p w14:paraId="760055DD"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5.9%</w:t>
            </w:r>
          </w:p>
        </w:tc>
        <w:tc>
          <w:tcPr>
            <w:tcW w:w="1170" w:type="dxa"/>
            <w:shd w:val="clear" w:color="auto" w:fill="auto"/>
            <w:vAlign w:val="center"/>
            <w:hideMark/>
          </w:tcPr>
          <w:p w14:paraId="05EAE903" w14:textId="0B89CAF7"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3,789</w:t>
            </w:r>
          </w:p>
        </w:tc>
        <w:tc>
          <w:tcPr>
            <w:tcW w:w="1170" w:type="dxa"/>
            <w:shd w:val="clear" w:color="auto" w:fill="auto"/>
            <w:vAlign w:val="center"/>
            <w:hideMark/>
          </w:tcPr>
          <w:p w14:paraId="1FF9D6F5"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6.6%</w:t>
            </w:r>
          </w:p>
        </w:tc>
        <w:tc>
          <w:tcPr>
            <w:tcW w:w="1080" w:type="dxa"/>
            <w:shd w:val="clear" w:color="auto" w:fill="auto"/>
            <w:vAlign w:val="center"/>
            <w:hideMark/>
          </w:tcPr>
          <w:p w14:paraId="4EB837B1"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$5,350</w:t>
            </w:r>
          </w:p>
        </w:tc>
      </w:tr>
      <w:tr w:rsidR="00245C31" w:rsidRPr="00670A02" w14:paraId="49F3D9FE" w14:textId="77777777" w:rsidTr="00532B28">
        <w:trPr>
          <w:trHeight w:val="20"/>
        </w:trPr>
        <w:tc>
          <w:tcPr>
            <w:tcW w:w="1263" w:type="dxa"/>
            <w:shd w:val="clear" w:color="auto" w:fill="auto"/>
            <w:vAlign w:val="center"/>
            <w:hideMark/>
          </w:tcPr>
          <w:p w14:paraId="26EA1C41"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42 Wholesale Trade</w:t>
            </w:r>
          </w:p>
        </w:tc>
        <w:tc>
          <w:tcPr>
            <w:tcW w:w="1072" w:type="dxa"/>
            <w:shd w:val="clear" w:color="auto" w:fill="auto"/>
            <w:vAlign w:val="center"/>
            <w:hideMark/>
          </w:tcPr>
          <w:p w14:paraId="7E4AB729"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$100,192</w:t>
            </w:r>
          </w:p>
        </w:tc>
        <w:tc>
          <w:tcPr>
            <w:tcW w:w="1080" w:type="dxa"/>
            <w:shd w:val="clear" w:color="auto" w:fill="auto"/>
            <w:vAlign w:val="center"/>
            <w:hideMark/>
          </w:tcPr>
          <w:p w14:paraId="1361A006"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$103,134</w:t>
            </w:r>
          </w:p>
        </w:tc>
        <w:tc>
          <w:tcPr>
            <w:tcW w:w="720" w:type="dxa"/>
            <w:shd w:val="clear" w:color="auto" w:fill="auto"/>
            <w:vAlign w:val="center"/>
            <w:hideMark/>
          </w:tcPr>
          <w:p w14:paraId="2344D109"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97.1%</w:t>
            </w:r>
          </w:p>
        </w:tc>
        <w:tc>
          <w:tcPr>
            <w:tcW w:w="1260" w:type="dxa"/>
            <w:shd w:val="clear" w:color="auto" w:fill="auto"/>
            <w:vAlign w:val="center"/>
            <w:hideMark/>
          </w:tcPr>
          <w:p w14:paraId="22140B5B"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$1,952,749</w:t>
            </w:r>
          </w:p>
        </w:tc>
        <w:tc>
          <w:tcPr>
            <w:tcW w:w="1170" w:type="dxa"/>
            <w:shd w:val="clear" w:color="auto" w:fill="auto"/>
            <w:vAlign w:val="center"/>
            <w:hideMark/>
          </w:tcPr>
          <w:p w14:paraId="760467AA"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1.3%</w:t>
            </w:r>
          </w:p>
        </w:tc>
        <w:tc>
          <w:tcPr>
            <w:tcW w:w="1170" w:type="dxa"/>
            <w:shd w:val="clear" w:color="auto" w:fill="auto"/>
            <w:vAlign w:val="center"/>
            <w:hideMark/>
          </w:tcPr>
          <w:p w14:paraId="2209DB26" w14:textId="5A83703D"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2,518</w:t>
            </w:r>
          </w:p>
        </w:tc>
        <w:tc>
          <w:tcPr>
            <w:tcW w:w="1170" w:type="dxa"/>
            <w:shd w:val="clear" w:color="auto" w:fill="auto"/>
            <w:vAlign w:val="center"/>
            <w:hideMark/>
          </w:tcPr>
          <w:p w14:paraId="6F28F3FA"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4.4%</w:t>
            </w:r>
          </w:p>
        </w:tc>
        <w:tc>
          <w:tcPr>
            <w:tcW w:w="1080" w:type="dxa"/>
            <w:shd w:val="clear" w:color="auto" w:fill="auto"/>
            <w:vAlign w:val="center"/>
            <w:hideMark/>
          </w:tcPr>
          <w:p w14:paraId="1124C059"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$1,168</w:t>
            </w:r>
          </w:p>
        </w:tc>
      </w:tr>
      <w:tr w:rsidR="00245C31" w:rsidRPr="00670A02" w14:paraId="796BA736" w14:textId="77777777" w:rsidTr="00532B28">
        <w:trPr>
          <w:trHeight w:val="20"/>
        </w:trPr>
        <w:tc>
          <w:tcPr>
            <w:tcW w:w="1263" w:type="dxa"/>
            <w:shd w:val="clear" w:color="auto" w:fill="auto"/>
            <w:vAlign w:val="center"/>
            <w:hideMark/>
          </w:tcPr>
          <w:p w14:paraId="2AFEBFF0"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44-45 Retail Trade</w:t>
            </w:r>
          </w:p>
        </w:tc>
        <w:tc>
          <w:tcPr>
            <w:tcW w:w="1072" w:type="dxa"/>
            <w:shd w:val="clear" w:color="auto" w:fill="auto"/>
            <w:vAlign w:val="center"/>
            <w:hideMark/>
          </w:tcPr>
          <w:p w14:paraId="0A162BCA"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$161,572</w:t>
            </w:r>
          </w:p>
        </w:tc>
        <w:tc>
          <w:tcPr>
            <w:tcW w:w="1080" w:type="dxa"/>
            <w:shd w:val="clear" w:color="auto" w:fill="auto"/>
            <w:vAlign w:val="center"/>
            <w:hideMark/>
          </w:tcPr>
          <w:p w14:paraId="0F9A9072"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$176,512</w:t>
            </w:r>
          </w:p>
        </w:tc>
        <w:tc>
          <w:tcPr>
            <w:tcW w:w="720" w:type="dxa"/>
            <w:shd w:val="clear" w:color="auto" w:fill="auto"/>
            <w:vAlign w:val="center"/>
            <w:hideMark/>
          </w:tcPr>
          <w:p w14:paraId="37A41166"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91.5%</w:t>
            </w:r>
          </w:p>
        </w:tc>
        <w:tc>
          <w:tcPr>
            <w:tcW w:w="1260" w:type="dxa"/>
            <w:shd w:val="clear" w:color="auto" w:fill="auto"/>
            <w:vAlign w:val="center"/>
            <w:hideMark/>
          </w:tcPr>
          <w:p w14:paraId="2C3C416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$6,342,821</w:t>
            </w:r>
          </w:p>
        </w:tc>
        <w:tc>
          <w:tcPr>
            <w:tcW w:w="1170" w:type="dxa"/>
            <w:shd w:val="clear" w:color="auto" w:fill="auto"/>
            <w:vAlign w:val="center"/>
            <w:hideMark/>
          </w:tcPr>
          <w:p w14:paraId="1EA70ED3"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4.3%</w:t>
            </w:r>
          </w:p>
        </w:tc>
        <w:tc>
          <w:tcPr>
            <w:tcW w:w="1170" w:type="dxa"/>
            <w:shd w:val="clear" w:color="auto" w:fill="auto"/>
            <w:vAlign w:val="center"/>
            <w:hideMark/>
          </w:tcPr>
          <w:p w14:paraId="09F083C8" w14:textId="61AF3B83"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6,416</w:t>
            </w:r>
          </w:p>
        </w:tc>
        <w:tc>
          <w:tcPr>
            <w:tcW w:w="1170" w:type="dxa"/>
            <w:shd w:val="clear" w:color="auto" w:fill="auto"/>
            <w:vAlign w:val="center"/>
            <w:hideMark/>
          </w:tcPr>
          <w:p w14:paraId="6AFC3BF0"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11.2%</w:t>
            </w:r>
          </w:p>
        </w:tc>
        <w:tc>
          <w:tcPr>
            <w:tcW w:w="1080" w:type="dxa"/>
            <w:shd w:val="clear" w:color="auto" w:fill="auto"/>
            <w:vAlign w:val="center"/>
            <w:hideMark/>
          </w:tcPr>
          <w:p w14:paraId="69944D70"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$2,329</w:t>
            </w:r>
          </w:p>
        </w:tc>
      </w:tr>
      <w:tr w:rsidR="00245C31" w:rsidRPr="00670A02" w14:paraId="35091346" w14:textId="77777777" w:rsidTr="00532B28">
        <w:trPr>
          <w:trHeight w:val="20"/>
        </w:trPr>
        <w:tc>
          <w:tcPr>
            <w:tcW w:w="1263" w:type="dxa"/>
            <w:shd w:val="clear" w:color="auto" w:fill="auto"/>
            <w:vAlign w:val="center"/>
            <w:hideMark/>
          </w:tcPr>
          <w:p w14:paraId="31FAC78B"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48-49 Transportation and Warehousing</w:t>
            </w:r>
          </w:p>
        </w:tc>
        <w:tc>
          <w:tcPr>
            <w:tcW w:w="1072" w:type="dxa"/>
            <w:shd w:val="clear" w:color="auto" w:fill="auto"/>
            <w:vAlign w:val="center"/>
            <w:hideMark/>
          </w:tcPr>
          <w:p w14:paraId="7CC5DBF6"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$32,694</w:t>
            </w:r>
          </w:p>
        </w:tc>
        <w:tc>
          <w:tcPr>
            <w:tcW w:w="1080" w:type="dxa"/>
            <w:shd w:val="clear" w:color="auto" w:fill="auto"/>
            <w:vAlign w:val="center"/>
            <w:hideMark/>
          </w:tcPr>
          <w:p w14:paraId="4D945C9C"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$36,535</w:t>
            </w:r>
          </w:p>
        </w:tc>
        <w:tc>
          <w:tcPr>
            <w:tcW w:w="720" w:type="dxa"/>
            <w:shd w:val="clear" w:color="auto" w:fill="auto"/>
            <w:vAlign w:val="center"/>
            <w:hideMark/>
          </w:tcPr>
          <w:p w14:paraId="4FB1AA68"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89.5%</w:t>
            </w:r>
          </w:p>
        </w:tc>
        <w:tc>
          <w:tcPr>
            <w:tcW w:w="1260" w:type="dxa"/>
            <w:shd w:val="clear" w:color="auto" w:fill="auto"/>
            <w:vAlign w:val="center"/>
            <w:hideMark/>
          </w:tcPr>
          <w:p w14:paraId="6DE33A89"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$3,055,223</w:t>
            </w:r>
          </w:p>
        </w:tc>
        <w:tc>
          <w:tcPr>
            <w:tcW w:w="1170" w:type="dxa"/>
            <w:shd w:val="clear" w:color="auto" w:fill="auto"/>
            <w:vAlign w:val="center"/>
            <w:hideMark/>
          </w:tcPr>
          <w:p w14:paraId="4149830B"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2.1%</w:t>
            </w:r>
          </w:p>
        </w:tc>
        <w:tc>
          <w:tcPr>
            <w:tcW w:w="1170" w:type="dxa"/>
            <w:shd w:val="clear" w:color="auto" w:fill="auto"/>
            <w:vAlign w:val="center"/>
            <w:hideMark/>
          </w:tcPr>
          <w:p w14:paraId="3C351EC7" w14:textId="636F14A9"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2,283</w:t>
            </w:r>
          </w:p>
        </w:tc>
        <w:tc>
          <w:tcPr>
            <w:tcW w:w="1170" w:type="dxa"/>
            <w:shd w:val="clear" w:color="auto" w:fill="auto"/>
            <w:vAlign w:val="center"/>
            <w:hideMark/>
          </w:tcPr>
          <w:p w14:paraId="5CEA93B4"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4.0%</w:t>
            </w:r>
          </w:p>
        </w:tc>
        <w:tc>
          <w:tcPr>
            <w:tcW w:w="1080" w:type="dxa"/>
            <w:shd w:val="clear" w:color="auto" w:fill="auto"/>
            <w:vAlign w:val="center"/>
            <w:hideMark/>
          </w:tcPr>
          <w:p w14:paraId="2E31514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$1,683</w:t>
            </w:r>
          </w:p>
        </w:tc>
      </w:tr>
      <w:tr w:rsidR="00245C31" w:rsidRPr="00670A02" w14:paraId="0236337E" w14:textId="77777777" w:rsidTr="00532B28">
        <w:trPr>
          <w:trHeight w:val="20"/>
        </w:trPr>
        <w:tc>
          <w:tcPr>
            <w:tcW w:w="1263" w:type="dxa"/>
            <w:shd w:val="clear" w:color="auto" w:fill="auto"/>
            <w:vAlign w:val="center"/>
            <w:hideMark/>
          </w:tcPr>
          <w:p w14:paraId="38353A86"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51 Information</w:t>
            </w:r>
          </w:p>
        </w:tc>
        <w:tc>
          <w:tcPr>
            <w:tcW w:w="1072" w:type="dxa"/>
            <w:shd w:val="clear" w:color="auto" w:fill="auto"/>
            <w:vAlign w:val="center"/>
            <w:hideMark/>
          </w:tcPr>
          <w:p w14:paraId="6D12F534"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$45,952</w:t>
            </w:r>
          </w:p>
        </w:tc>
        <w:tc>
          <w:tcPr>
            <w:tcW w:w="1080" w:type="dxa"/>
            <w:shd w:val="clear" w:color="auto" w:fill="auto"/>
            <w:vAlign w:val="center"/>
            <w:hideMark/>
          </w:tcPr>
          <w:p w14:paraId="0B55B385"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$48,526</w:t>
            </w:r>
          </w:p>
        </w:tc>
        <w:tc>
          <w:tcPr>
            <w:tcW w:w="720" w:type="dxa"/>
            <w:shd w:val="clear" w:color="auto" w:fill="auto"/>
            <w:vAlign w:val="center"/>
            <w:hideMark/>
          </w:tcPr>
          <w:p w14:paraId="71D4B0E2"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94.7%</w:t>
            </w:r>
          </w:p>
        </w:tc>
        <w:tc>
          <w:tcPr>
            <w:tcW w:w="1260" w:type="dxa"/>
            <w:shd w:val="clear" w:color="auto" w:fill="auto"/>
            <w:vAlign w:val="center"/>
            <w:hideMark/>
          </w:tcPr>
          <w:p w14:paraId="0792B774"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$2,047,231</w:t>
            </w:r>
          </w:p>
        </w:tc>
        <w:tc>
          <w:tcPr>
            <w:tcW w:w="1170" w:type="dxa"/>
            <w:shd w:val="clear" w:color="auto" w:fill="auto"/>
            <w:vAlign w:val="center"/>
            <w:hideMark/>
          </w:tcPr>
          <w:p w14:paraId="22949F9B"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1.4%</w:t>
            </w:r>
          </w:p>
        </w:tc>
        <w:tc>
          <w:tcPr>
            <w:tcW w:w="1170" w:type="dxa"/>
            <w:shd w:val="clear" w:color="auto" w:fill="auto"/>
            <w:vAlign w:val="center"/>
            <w:hideMark/>
          </w:tcPr>
          <w:p w14:paraId="3ABBB535" w14:textId="22A29C36"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633</w:t>
            </w:r>
          </w:p>
        </w:tc>
        <w:tc>
          <w:tcPr>
            <w:tcW w:w="1170" w:type="dxa"/>
            <w:shd w:val="clear" w:color="auto" w:fill="auto"/>
            <w:vAlign w:val="center"/>
            <w:hideMark/>
          </w:tcPr>
          <w:p w14:paraId="4E237910"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1.1%</w:t>
            </w:r>
          </w:p>
        </w:tc>
        <w:tc>
          <w:tcPr>
            <w:tcW w:w="1080" w:type="dxa"/>
            <w:shd w:val="clear" w:color="auto" w:fill="auto"/>
            <w:vAlign w:val="center"/>
            <w:hideMark/>
          </w:tcPr>
          <w:p w14:paraId="41E8273D"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$4,067</w:t>
            </w:r>
          </w:p>
        </w:tc>
      </w:tr>
      <w:tr w:rsidR="00245C31" w:rsidRPr="00670A02" w14:paraId="01FC96FC" w14:textId="77777777" w:rsidTr="00532B28">
        <w:trPr>
          <w:trHeight w:val="20"/>
        </w:trPr>
        <w:tc>
          <w:tcPr>
            <w:tcW w:w="1263" w:type="dxa"/>
            <w:shd w:val="clear" w:color="auto" w:fill="auto"/>
            <w:vAlign w:val="center"/>
            <w:hideMark/>
          </w:tcPr>
          <w:p w14:paraId="74622490"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52 Finance</w:t>
            </w:r>
            <w:r>
              <w:rPr>
                <w:rFonts w:ascii="Cambria" w:eastAsia="Times New Roman" w:hAnsi="Cambria" w:cs="Arial"/>
                <w:color w:val="000000"/>
                <w:sz w:val="15"/>
                <w:szCs w:val="15"/>
                <w:lang w:eastAsia="ko-KR"/>
              </w:rPr>
              <w:t xml:space="preserve"> and Insurance</w:t>
            </w:r>
          </w:p>
        </w:tc>
        <w:tc>
          <w:tcPr>
            <w:tcW w:w="1072" w:type="dxa"/>
            <w:shd w:val="clear" w:color="auto" w:fill="auto"/>
            <w:vAlign w:val="center"/>
            <w:hideMark/>
          </w:tcPr>
          <w:p w14:paraId="7421A691"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$79,246</w:t>
            </w:r>
          </w:p>
        </w:tc>
        <w:tc>
          <w:tcPr>
            <w:tcW w:w="1080" w:type="dxa"/>
            <w:shd w:val="clear" w:color="auto" w:fill="auto"/>
            <w:vAlign w:val="center"/>
            <w:hideMark/>
          </w:tcPr>
          <w:p w14:paraId="49FFFBFD"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$80,854</w:t>
            </w:r>
          </w:p>
        </w:tc>
        <w:tc>
          <w:tcPr>
            <w:tcW w:w="720" w:type="dxa"/>
            <w:shd w:val="clear" w:color="auto" w:fill="auto"/>
            <w:vAlign w:val="center"/>
            <w:hideMark/>
          </w:tcPr>
          <w:p w14:paraId="7C7307BA"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98.0%</w:t>
            </w:r>
          </w:p>
        </w:tc>
        <w:tc>
          <w:tcPr>
            <w:tcW w:w="1260" w:type="dxa"/>
            <w:shd w:val="clear" w:color="auto" w:fill="auto"/>
            <w:vAlign w:val="center"/>
            <w:hideMark/>
          </w:tcPr>
          <w:p w14:paraId="63FC5D35"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$5,567,042</w:t>
            </w:r>
          </w:p>
        </w:tc>
        <w:tc>
          <w:tcPr>
            <w:tcW w:w="1170" w:type="dxa"/>
            <w:shd w:val="clear" w:color="auto" w:fill="auto"/>
            <w:vAlign w:val="center"/>
            <w:hideMark/>
          </w:tcPr>
          <w:p w14:paraId="6390B728"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3.8%</w:t>
            </w:r>
          </w:p>
        </w:tc>
        <w:tc>
          <w:tcPr>
            <w:tcW w:w="1170" w:type="dxa"/>
            <w:shd w:val="clear" w:color="auto" w:fill="auto"/>
            <w:vAlign w:val="center"/>
            <w:hideMark/>
          </w:tcPr>
          <w:p w14:paraId="41CF71DE" w14:textId="2F0AF22E"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1,227</w:t>
            </w:r>
          </w:p>
        </w:tc>
        <w:tc>
          <w:tcPr>
            <w:tcW w:w="1170" w:type="dxa"/>
            <w:shd w:val="clear" w:color="auto" w:fill="auto"/>
            <w:vAlign w:val="center"/>
            <w:hideMark/>
          </w:tcPr>
          <w:p w14:paraId="4E50208C"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2.1%</w:t>
            </w:r>
          </w:p>
        </w:tc>
        <w:tc>
          <w:tcPr>
            <w:tcW w:w="1080" w:type="dxa"/>
            <w:shd w:val="clear" w:color="auto" w:fill="auto"/>
            <w:vAlign w:val="center"/>
            <w:hideMark/>
          </w:tcPr>
          <w:p w14:paraId="72FD7EF6"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$1,310</w:t>
            </w:r>
          </w:p>
        </w:tc>
      </w:tr>
      <w:tr w:rsidR="00245C31" w:rsidRPr="00670A02" w14:paraId="50FA3D13" w14:textId="77777777" w:rsidTr="00532B28">
        <w:trPr>
          <w:trHeight w:val="20"/>
        </w:trPr>
        <w:tc>
          <w:tcPr>
            <w:tcW w:w="1263" w:type="dxa"/>
            <w:shd w:val="clear" w:color="auto" w:fill="auto"/>
            <w:vAlign w:val="center"/>
            <w:hideMark/>
          </w:tcPr>
          <w:p w14:paraId="5238FF83"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53 Real Estate and Rental and Leasing</w:t>
            </w:r>
          </w:p>
        </w:tc>
        <w:tc>
          <w:tcPr>
            <w:tcW w:w="1072" w:type="dxa"/>
            <w:shd w:val="clear" w:color="auto" w:fill="auto"/>
            <w:vAlign w:val="center"/>
            <w:hideMark/>
          </w:tcPr>
          <w:p w14:paraId="6FAF26B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$62,018</w:t>
            </w:r>
          </w:p>
        </w:tc>
        <w:tc>
          <w:tcPr>
            <w:tcW w:w="1080" w:type="dxa"/>
            <w:shd w:val="clear" w:color="auto" w:fill="auto"/>
            <w:vAlign w:val="center"/>
            <w:hideMark/>
          </w:tcPr>
          <w:p w14:paraId="2D6E5C48"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$167,631</w:t>
            </w:r>
          </w:p>
        </w:tc>
        <w:tc>
          <w:tcPr>
            <w:tcW w:w="720" w:type="dxa"/>
            <w:shd w:val="clear" w:color="auto" w:fill="auto"/>
            <w:vAlign w:val="center"/>
            <w:hideMark/>
          </w:tcPr>
          <w:p w14:paraId="7DD70966"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37.0%</w:t>
            </w:r>
          </w:p>
        </w:tc>
        <w:tc>
          <w:tcPr>
            <w:tcW w:w="1260" w:type="dxa"/>
            <w:shd w:val="clear" w:color="auto" w:fill="auto"/>
            <w:vAlign w:val="center"/>
            <w:hideMark/>
          </w:tcPr>
          <w:p w14:paraId="3D9086B1"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$73,291,774</w:t>
            </w:r>
          </w:p>
        </w:tc>
        <w:tc>
          <w:tcPr>
            <w:tcW w:w="1170" w:type="dxa"/>
            <w:shd w:val="clear" w:color="auto" w:fill="auto"/>
            <w:vAlign w:val="center"/>
            <w:hideMark/>
          </w:tcPr>
          <w:p w14:paraId="6C8BF8DC"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49.5%</w:t>
            </w:r>
          </w:p>
        </w:tc>
        <w:tc>
          <w:tcPr>
            <w:tcW w:w="1170" w:type="dxa"/>
            <w:shd w:val="clear" w:color="auto" w:fill="auto"/>
            <w:vAlign w:val="center"/>
            <w:hideMark/>
          </w:tcPr>
          <w:p w14:paraId="50D6F17A" w14:textId="51F9936B" w:rsidR="00951493" w:rsidRPr="00086335" w:rsidRDefault="00951493" w:rsidP="00086335">
            <w:pPr>
              <w:spacing w:after="0" w:line="240" w:lineRule="auto"/>
              <w:jc w:val="center"/>
              <w:rPr>
                <w:rFonts w:ascii="Cambria" w:hAnsi="Cambria" w:cs="Arial"/>
                <w:color w:val="000000"/>
                <w:sz w:val="16"/>
                <w:szCs w:val="16"/>
              </w:rPr>
            </w:pPr>
            <w:r w:rsidRPr="00086335">
              <w:rPr>
                <w:rFonts w:ascii="Cambria" w:hAnsi="Cambria" w:cs="Arial"/>
                <w:color w:val="000000"/>
                <w:sz w:val="16"/>
                <w:szCs w:val="16"/>
              </w:rPr>
              <w:t>6,945</w:t>
            </w:r>
          </w:p>
        </w:tc>
        <w:tc>
          <w:tcPr>
            <w:tcW w:w="1170" w:type="dxa"/>
            <w:shd w:val="clear" w:color="auto" w:fill="auto"/>
            <w:vAlign w:val="center"/>
            <w:hideMark/>
          </w:tcPr>
          <w:p w14:paraId="60FAC257"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12.1%</w:t>
            </w:r>
          </w:p>
        </w:tc>
        <w:tc>
          <w:tcPr>
            <w:tcW w:w="1080" w:type="dxa"/>
            <w:shd w:val="clear" w:color="auto" w:fill="auto"/>
            <w:vAlign w:val="center"/>
            <w:hideMark/>
          </w:tcPr>
          <w:p w14:paraId="0EFE6876"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$15,207</w:t>
            </w:r>
          </w:p>
        </w:tc>
      </w:tr>
      <w:tr w:rsidR="00245C31" w:rsidRPr="00670A02" w14:paraId="5DD51C77" w14:textId="77777777" w:rsidTr="00532B28">
        <w:trPr>
          <w:trHeight w:val="20"/>
        </w:trPr>
        <w:tc>
          <w:tcPr>
            <w:tcW w:w="1263" w:type="dxa"/>
            <w:shd w:val="clear" w:color="auto" w:fill="auto"/>
            <w:vAlign w:val="center"/>
            <w:hideMark/>
          </w:tcPr>
          <w:p w14:paraId="2B05E350"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 xml:space="preserve">54 Professional, Scientific, and </w:t>
            </w:r>
            <w:r w:rsidRPr="00D179FD">
              <w:rPr>
                <w:rFonts w:ascii="Cambria" w:eastAsia="Times New Roman" w:hAnsi="Cambria" w:cs="Arial"/>
                <w:color w:val="000000"/>
                <w:sz w:val="15"/>
                <w:szCs w:val="15"/>
                <w:lang w:eastAsia="ko-KR"/>
              </w:rPr>
              <w:lastRenderedPageBreak/>
              <w:t>Technical Services</w:t>
            </w:r>
          </w:p>
        </w:tc>
        <w:tc>
          <w:tcPr>
            <w:tcW w:w="1072" w:type="dxa"/>
            <w:shd w:val="clear" w:color="auto" w:fill="auto"/>
            <w:vAlign w:val="center"/>
            <w:hideMark/>
          </w:tcPr>
          <w:p w14:paraId="1BEE2CA3"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lastRenderedPageBreak/>
              <w:t>$57,173</w:t>
            </w:r>
          </w:p>
        </w:tc>
        <w:tc>
          <w:tcPr>
            <w:tcW w:w="1080" w:type="dxa"/>
            <w:shd w:val="clear" w:color="auto" w:fill="auto"/>
            <w:vAlign w:val="center"/>
            <w:hideMark/>
          </w:tcPr>
          <w:p w14:paraId="1B332203"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$65,909</w:t>
            </w:r>
          </w:p>
        </w:tc>
        <w:tc>
          <w:tcPr>
            <w:tcW w:w="720" w:type="dxa"/>
            <w:shd w:val="clear" w:color="auto" w:fill="auto"/>
            <w:vAlign w:val="center"/>
            <w:hideMark/>
          </w:tcPr>
          <w:p w14:paraId="13AC9ACB"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86.7%</w:t>
            </w:r>
          </w:p>
        </w:tc>
        <w:tc>
          <w:tcPr>
            <w:tcW w:w="1260" w:type="dxa"/>
            <w:shd w:val="clear" w:color="auto" w:fill="auto"/>
            <w:vAlign w:val="center"/>
            <w:hideMark/>
          </w:tcPr>
          <w:p w14:paraId="5FBB1F15"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$4,681,280</w:t>
            </w:r>
          </w:p>
        </w:tc>
        <w:tc>
          <w:tcPr>
            <w:tcW w:w="1170" w:type="dxa"/>
            <w:shd w:val="clear" w:color="auto" w:fill="auto"/>
            <w:vAlign w:val="center"/>
            <w:hideMark/>
          </w:tcPr>
          <w:p w14:paraId="28A45175"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3.2%</w:t>
            </w:r>
          </w:p>
        </w:tc>
        <w:tc>
          <w:tcPr>
            <w:tcW w:w="1170" w:type="dxa"/>
            <w:shd w:val="clear" w:color="auto" w:fill="auto"/>
            <w:vAlign w:val="center"/>
            <w:hideMark/>
          </w:tcPr>
          <w:p w14:paraId="42D5AD67" w14:textId="0CEC576B"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5,953</w:t>
            </w:r>
          </w:p>
        </w:tc>
        <w:tc>
          <w:tcPr>
            <w:tcW w:w="1170" w:type="dxa"/>
            <w:shd w:val="clear" w:color="auto" w:fill="auto"/>
            <w:vAlign w:val="center"/>
            <w:hideMark/>
          </w:tcPr>
          <w:p w14:paraId="1A6A0F3A"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10.4%</w:t>
            </w:r>
          </w:p>
        </w:tc>
        <w:tc>
          <w:tcPr>
            <w:tcW w:w="1080" w:type="dxa"/>
            <w:shd w:val="clear" w:color="auto" w:fill="auto"/>
            <w:vAlign w:val="center"/>
            <w:hideMark/>
          </w:tcPr>
          <w:p w14:paraId="71D6F07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$1,467</w:t>
            </w:r>
          </w:p>
        </w:tc>
      </w:tr>
      <w:tr w:rsidR="00245C31" w:rsidRPr="00670A02" w14:paraId="0F7871B7" w14:textId="77777777" w:rsidTr="00532B28">
        <w:trPr>
          <w:trHeight w:val="20"/>
        </w:trPr>
        <w:tc>
          <w:tcPr>
            <w:tcW w:w="1263" w:type="dxa"/>
            <w:shd w:val="clear" w:color="auto" w:fill="auto"/>
            <w:vAlign w:val="center"/>
            <w:hideMark/>
          </w:tcPr>
          <w:p w14:paraId="53B1E376"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55 Management of Companies and Enterprises</w:t>
            </w:r>
          </w:p>
        </w:tc>
        <w:tc>
          <w:tcPr>
            <w:tcW w:w="1072" w:type="dxa"/>
            <w:shd w:val="clear" w:color="auto" w:fill="auto"/>
            <w:vAlign w:val="center"/>
            <w:hideMark/>
          </w:tcPr>
          <w:p w14:paraId="6A7004B9"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$44,048</w:t>
            </w:r>
          </w:p>
        </w:tc>
        <w:tc>
          <w:tcPr>
            <w:tcW w:w="1080" w:type="dxa"/>
            <w:shd w:val="clear" w:color="auto" w:fill="auto"/>
            <w:vAlign w:val="center"/>
            <w:hideMark/>
          </w:tcPr>
          <w:p w14:paraId="66722BC2"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$46,850</w:t>
            </w:r>
          </w:p>
        </w:tc>
        <w:tc>
          <w:tcPr>
            <w:tcW w:w="720" w:type="dxa"/>
            <w:shd w:val="clear" w:color="auto" w:fill="auto"/>
            <w:vAlign w:val="center"/>
            <w:hideMark/>
          </w:tcPr>
          <w:p w14:paraId="4505A9A9"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94.0%</w:t>
            </w:r>
          </w:p>
        </w:tc>
        <w:tc>
          <w:tcPr>
            <w:tcW w:w="1260" w:type="dxa"/>
            <w:shd w:val="clear" w:color="auto" w:fill="auto"/>
            <w:vAlign w:val="center"/>
            <w:hideMark/>
          </w:tcPr>
          <w:p w14:paraId="054A9FB9"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$3,056,405</w:t>
            </w:r>
          </w:p>
        </w:tc>
        <w:tc>
          <w:tcPr>
            <w:tcW w:w="1170" w:type="dxa"/>
            <w:shd w:val="clear" w:color="auto" w:fill="auto"/>
            <w:vAlign w:val="center"/>
            <w:hideMark/>
          </w:tcPr>
          <w:p w14:paraId="1ADE4231"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2.1%</w:t>
            </w:r>
          </w:p>
        </w:tc>
        <w:tc>
          <w:tcPr>
            <w:tcW w:w="1170" w:type="dxa"/>
            <w:shd w:val="clear" w:color="auto" w:fill="auto"/>
            <w:vAlign w:val="center"/>
            <w:hideMark/>
          </w:tcPr>
          <w:p w14:paraId="5B9E1E4D" w14:textId="42ED46A0"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200</w:t>
            </w:r>
          </w:p>
        </w:tc>
        <w:tc>
          <w:tcPr>
            <w:tcW w:w="1170" w:type="dxa"/>
            <w:shd w:val="clear" w:color="auto" w:fill="auto"/>
            <w:vAlign w:val="center"/>
            <w:hideMark/>
          </w:tcPr>
          <w:p w14:paraId="5BFD5B45"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0.3%</w:t>
            </w:r>
          </w:p>
        </w:tc>
        <w:tc>
          <w:tcPr>
            <w:tcW w:w="1080" w:type="dxa"/>
            <w:shd w:val="clear" w:color="auto" w:fill="auto"/>
            <w:vAlign w:val="center"/>
            <w:hideMark/>
          </w:tcPr>
          <w:p w14:paraId="21A3441B"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$14,009</w:t>
            </w:r>
          </w:p>
        </w:tc>
      </w:tr>
      <w:tr w:rsidR="00245C31" w:rsidRPr="00670A02" w14:paraId="75A05163" w14:textId="77777777" w:rsidTr="00532B28">
        <w:trPr>
          <w:trHeight w:val="20"/>
        </w:trPr>
        <w:tc>
          <w:tcPr>
            <w:tcW w:w="1263" w:type="dxa"/>
            <w:shd w:val="clear" w:color="auto" w:fill="auto"/>
            <w:vAlign w:val="center"/>
            <w:hideMark/>
          </w:tcPr>
          <w:p w14:paraId="1AAF2BE9"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56 Administrative and Support and Waste Management</w:t>
            </w:r>
          </w:p>
        </w:tc>
        <w:tc>
          <w:tcPr>
            <w:tcW w:w="1072" w:type="dxa"/>
            <w:shd w:val="clear" w:color="auto" w:fill="auto"/>
            <w:vAlign w:val="center"/>
            <w:hideMark/>
          </w:tcPr>
          <w:p w14:paraId="4D34467C"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$14,494</w:t>
            </w:r>
          </w:p>
        </w:tc>
        <w:tc>
          <w:tcPr>
            <w:tcW w:w="1080" w:type="dxa"/>
            <w:shd w:val="clear" w:color="auto" w:fill="auto"/>
            <w:vAlign w:val="center"/>
            <w:hideMark/>
          </w:tcPr>
          <w:p w14:paraId="6980EFC4"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$16,003</w:t>
            </w:r>
          </w:p>
        </w:tc>
        <w:tc>
          <w:tcPr>
            <w:tcW w:w="720" w:type="dxa"/>
            <w:shd w:val="clear" w:color="auto" w:fill="auto"/>
            <w:vAlign w:val="center"/>
            <w:hideMark/>
          </w:tcPr>
          <w:p w14:paraId="127B218D"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90.6%</w:t>
            </w:r>
          </w:p>
        </w:tc>
        <w:tc>
          <w:tcPr>
            <w:tcW w:w="1260" w:type="dxa"/>
            <w:shd w:val="clear" w:color="auto" w:fill="auto"/>
            <w:vAlign w:val="center"/>
            <w:hideMark/>
          </w:tcPr>
          <w:p w14:paraId="18C2CE8E"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$875,639</w:t>
            </w:r>
          </w:p>
        </w:tc>
        <w:tc>
          <w:tcPr>
            <w:tcW w:w="1170" w:type="dxa"/>
            <w:shd w:val="clear" w:color="auto" w:fill="auto"/>
            <w:vAlign w:val="center"/>
            <w:hideMark/>
          </w:tcPr>
          <w:p w14:paraId="047AD723"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0.6%</w:t>
            </w:r>
          </w:p>
        </w:tc>
        <w:tc>
          <w:tcPr>
            <w:tcW w:w="1170" w:type="dxa"/>
            <w:shd w:val="clear" w:color="auto" w:fill="auto"/>
            <w:vAlign w:val="center"/>
            <w:hideMark/>
          </w:tcPr>
          <w:p w14:paraId="779BFA02" w14:textId="61D8B2A9"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2,442</w:t>
            </w:r>
          </w:p>
        </w:tc>
        <w:tc>
          <w:tcPr>
            <w:tcW w:w="1170" w:type="dxa"/>
            <w:shd w:val="clear" w:color="auto" w:fill="auto"/>
            <w:vAlign w:val="center"/>
            <w:hideMark/>
          </w:tcPr>
          <w:p w14:paraId="35D30395"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4.3%</w:t>
            </w:r>
          </w:p>
        </w:tc>
        <w:tc>
          <w:tcPr>
            <w:tcW w:w="1080" w:type="dxa"/>
            <w:shd w:val="clear" w:color="auto" w:fill="auto"/>
            <w:vAlign w:val="center"/>
            <w:hideMark/>
          </w:tcPr>
          <w:p w14:paraId="7B3D317C"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$618</w:t>
            </w:r>
          </w:p>
        </w:tc>
      </w:tr>
      <w:tr w:rsidR="00245C31" w:rsidRPr="00670A02" w14:paraId="30FD4E9E" w14:textId="77777777" w:rsidTr="00532B28">
        <w:trPr>
          <w:trHeight w:val="20"/>
        </w:trPr>
        <w:tc>
          <w:tcPr>
            <w:tcW w:w="1263" w:type="dxa"/>
            <w:shd w:val="clear" w:color="auto" w:fill="auto"/>
            <w:vAlign w:val="center"/>
            <w:hideMark/>
          </w:tcPr>
          <w:p w14:paraId="225F402C"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61 Educational Services</w:t>
            </w:r>
          </w:p>
        </w:tc>
        <w:tc>
          <w:tcPr>
            <w:tcW w:w="1072" w:type="dxa"/>
            <w:shd w:val="clear" w:color="auto" w:fill="auto"/>
            <w:vAlign w:val="center"/>
            <w:hideMark/>
          </w:tcPr>
          <w:p w14:paraId="3B2D9F8B"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$1,071</w:t>
            </w:r>
          </w:p>
        </w:tc>
        <w:tc>
          <w:tcPr>
            <w:tcW w:w="1080" w:type="dxa"/>
            <w:shd w:val="clear" w:color="auto" w:fill="auto"/>
            <w:vAlign w:val="center"/>
            <w:hideMark/>
          </w:tcPr>
          <w:p w14:paraId="604E5CE1"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$1,202</w:t>
            </w:r>
          </w:p>
        </w:tc>
        <w:tc>
          <w:tcPr>
            <w:tcW w:w="720" w:type="dxa"/>
            <w:shd w:val="clear" w:color="auto" w:fill="auto"/>
            <w:vAlign w:val="center"/>
            <w:hideMark/>
          </w:tcPr>
          <w:p w14:paraId="394E0539"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89.1%</w:t>
            </w:r>
          </w:p>
        </w:tc>
        <w:tc>
          <w:tcPr>
            <w:tcW w:w="1260" w:type="dxa"/>
            <w:shd w:val="clear" w:color="auto" w:fill="auto"/>
            <w:vAlign w:val="center"/>
            <w:hideMark/>
          </w:tcPr>
          <w:p w14:paraId="012B1B40"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$55,857</w:t>
            </w:r>
          </w:p>
        </w:tc>
        <w:tc>
          <w:tcPr>
            <w:tcW w:w="1170" w:type="dxa"/>
            <w:shd w:val="clear" w:color="auto" w:fill="auto"/>
            <w:vAlign w:val="center"/>
            <w:hideMark/>
          </w:tcPr>
          <w:p w14:paraId="6DC11AEC"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0.0%</w:t>
            </w:r>
          </w:p>
        </w:tc>
        <w:tc>
          <w:tcPr>
            <w:tcW w:w="1170" w:type="dxa"/>
            <w:shd w:val="clear" w:color="auto" w:fill="auto"/>
            <w:vAlign w:val="center"/>
            <w:hideMark/>
          </w:tcPr>
          <w:p w14:paraId="2432C42D" w14:textId="405ADD05"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326</w:t>
            </w:r>
          </w:p>
        </w:tc>
        <w:tc>
          <w:tcPr>
            <w:tcW w:w="1170" w:type="dxa"/>
            <w:shd w:val="clear" w:color="auto" w:fill="auto"/>
            <w:vAlign w:val="center"/>
            <w:hideMark/>
          </w:tcPr>
          <w:p w14:paraId="4A9CBBB4"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0.6%</w:t>
            </w:r>
          </w:p>
        </w:tc>
        <w:tc>
          <w:tcPr>
            <w:tcW w:w="1080" w:type="dxa"/>
            <w:shd w:val="clear" w:color="auto" w:fill="auto"/>
            <w:vAlign w:val="center"/>
            <w:hideMark/>
          </w:tcPr>
          <w:p w14:paraId="79D9BB8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$403</w:t>
            </w:r>
          </w:p>
        </w:tc>
      </w:tr>
      <w:tr w:rsidR="00245C31" w:rsidRPr="00670A02" w14:paraId="1862A807" w14:textId="77777777" w:rsidTr="00532B28">
        <w:trPr>
          <w:trHeight w:val="20"/>
        </w:trPr>
        <w:tc>
          <w:tcPr>
            <w:tcW w:w="1263" w:type="dxa"/>
            <w:shd w:val="clear" w:color="auto" w:fill="auto"/>
            <w:vAlign w:val="center"/>
            <w:hideMark/>
          </w:tcPr>
          <w:p w14:paraId="00BDCC02"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62 Health Care and Social Assistance</w:t>
            </w:r>
          </w:p>
        </w:tc>
        <w:tc>
          <w:tcPr>
            <w:tcW w:w="1072" w:type="dxa"/>
            <w:shd w:val="clear" w:color="auto" w:fill="auto"/>
            <w:vAlign w:val="center"/>
            <w:hideMark/>
          </w:tcPr>
          <w:p w14:paraId="0C481C95"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$13,410</w:t>
            </w:r>
          </w:p>
        </w:tc>
        <w:tc>
          <w:tcPr>
            <w:tcW w:w="1080" w:type="dxa"/>
            <w:shd w:val="clear" w:color="auto" w:fill="auto"/>
            <w:vAlign w:val="center"/>
            <w:hideMark/>
          </w:tcPr>
          <w:p w14:paraId="457D27EB"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$14,918</w:t>
            </w:r>
          </w:p>
        </w:tc>
        <w:tc>
          <w:tcPr>
            <w:tcW w:w="720" w:type="dxa"/>
            <w:shd w:val="clear" w:color="auto" w:fill="auto"/>
            <w:vAlign w:val="center"/>
            <w:hideMark/>
          </w:tcPr>
          <w:p w14:paraId="6D7132A8"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89.9%</w:t>
            </w:r>
          </w:p>
        </w:tc>
        <w:tc>
          <w:tcPr>
            <w:tcW w:w="1260" w:type="dxa"/>
            <w:shd w:val="clear" w:color="auto" w:fill="auto"/>
            <w:vAlign w:val="center"/>
            <w:hideMark/>
          </w:tcPr>
          <w:p w14:paraId="2AB135BE"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$863,750</w:t>
            </w:r>
          </w:p>
        </w:tc>
        <w:tc>
          <w:tcPr>
            <w:tcW w:w="1170" w:type="dxa"/>
            <w:shd w:val="clear" w:color="auto" w:fill="auto"/>
            <w:vAlign w:val="center"/>
            <w:hideMark/>
          </w:tcPr>
          <w:p w14:paraId="6B678446"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0.6%</w:t>
            </w:r>
          </w:p>
        </w:tc>
        <w:tc>
          <w:tcPr>
            <w:tcW w:w="1170" w:type="dxa"/>
            <w:shd w:val="clear" w:color="auto" w:fill="auto"/>
            <w:vAlign w:val="center"/>
            <w:hideMark/>
          </w:tcPr>
          <w:p w14:paraId="7D4A71DA" w14:textId="723EE4DB"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3,065</w:t>
            </w:r>
          </w:p>
        </w:tc>
        <w:tc>
          <w:tcPr>
            <w:tcW w:w="1170" w:type="dxa"/>
            <w:shd w:val="clear" w:color="auto" w:fill="auto"/>
            <w:vAlign w:val="center"/>
            <w:hideMark/>
          </w:tcPr>
          <w:p w14:paraId="2BFEC549"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5.3%</w:t>
            </w:r>
          </w:p>
        </w:tc>
        <w:tc>
          <w:tcPr>
            <w:tcW w:w="1080" w:type="dxa"/>
            <w:shd w:val="clear" w:color="auto" w:fill="auto"/>
            <w:vAlign w:val="center"/>
            <w:hideMark/>
          </w:tcPr>
          <w:p w14:paraId="67E35C8E"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$492</w:t>
            </w:r>
          </w:p>
        </w:tc>
      </w:tr>
      <w:tr w:rsidR="00245C31" w:rsidRPr="00670A02" w14:paraId="2FDB0818" w14:textId="77777777" w:rsidTr="00532B28">
        <w:trPr>
          <w:trHeight w:val="20"/>
        </w:trPr>
        <w:tc>
          <w:tcPr>
            <w:tcW w:w="1263" w:type="dxa"/>
            <w:shd w:val="clear" w:color="auto" w:fill="auto"/>
            <w:vAlign w:val="center"/>
            <w:hideMark/>
          </w:tcPr>
          <w:p w14:paraId="1BD4D25D"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71 Arts, Entertainment, and Recreation</w:t>
            </w:r>
          </w:p>
        </w:tc>
        <w:tc>
          <w:tcPr>
            <w:tcW w:w="1072" w:type="dxa"/>
            <w:shd w:val="clear" w:color="auto" w:fill="auto"/>
            <w:vAlign w:val="center"/>
            <w:hideMark/>
          </w:tcPr>
          <w:p w14:paraId="4E96E7A4"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$5,579</w:t>
            </w:r>
          </w:p>
        </w:tc>
        <w:tc>
          <w:tcPr>
            <w:tcW w:w="1080" w:type="dxa"/>
            <w:shd w:val="clear" w:color="auto" w:fill="auto"/>
            <w:vAlign w:val="center"/>
            <w:hideMark/>
          </w:tcPr>
          <w:p w14:paraId="0E415EB7"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$6,679</w:t>
            </w:r>
          </w:p>
        </w:tc>
        <w:tc>
          <w:tcPr>
            <w:tcW w:w="720" w:type="dxa"/>
            <w:shd w:val="clear" w:color="auto" w:fill="auto"/>
            <w:vAlign w:val="center"/>
            <w:hideMark/>
          </w:tcPr>
          <w:p w14:paraId="7CDB47AD"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83.5%</w:t>
            </w:r>
          </w:p>
        </w:tc>
        <w:tc>
          <w:tcPr>
            <w:tcW w:w="1260" w:type="dxa"/>
            <w:shd w:val="clear" w:color="auto" w:fill="auto"/>
            <w:vAlign w:val="center"/>
            <w:hideMark/>
          </w:tcPr>
          <w:p w14:paraId="0359B6B5"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$479,821</w:t>
            </w:r>
          </w:p>
        </w:tc>
        <w:tc>
          <w:tcPr>
            <w:tcW w:w="1170" w:type="dxa"/>
            <w:shd w:val="clear" w:color="auto" w:fill="auto"/>
            <w:vAlign w:val="center"/>
            <w:hideMark/>
          </w:tcPr>
          <w:p w14:paraId="23C2DECD"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0.3%</w:t>
            </w:r>
          </w:p>
        </w:tc>
        <w:tc>
          <w:tcPr>
            <w:tcW w:w="1170" w:type="dxa"/>
            <w:shd w:val="clear" w:color="auto" w:fill="auto"/>
            <w:vAlign w:val="center"/>
            <w:hideMark/>
          </w:tcPr>
          <w:p w14:paraId="05EA15EC" w14:textId="060875E6"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924</w:t>
            </w:r>
          </w:p>
        </w:tc>
        <w:tc>
          <w:tcPr>
            <w:tcW w:w="1170" w:type="dxa"/>
            <w:shd w:val="clear" w:color="auto" w:fill="auto"/>
            <w:vAlign w:val="center"/>
            <w:hideMark/>
          </w:tcPr>
          <w:p w14:paraId="0057C219"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1.6%</w:t>
            </w:r>
          </w:p>
        </w:tc>
        <w:tc>
          <w:tcPr>
            <w:tcW w:w="1080" w:type="dxa"/>
            <w:shd w:val="clear" w:color="auto" w:fill="auto"/>
            <w:vAlign w:val="center"/>
            <w:hideMark/>
          </w:tcPr>
          <w:p w14:paraId="41BDF7D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$1,191</w:t>
            </w:r>
          </w:p>
        </w:tc>
      </w:tr>
      <w:tr w:rsidR="00245C31" w:rsidRPr="00670A02" w14:paraId="2AF04679" w14:textId="77777777" w:rsidTr="00532B28">
        <w:trPr>
          <w:trHeight w:val="20"/>
        </w:trPr>
        <w:tc>
          <w:tcPr>
            <w:tcW w:w="1263" w:type="dxa"/>
            <w:shd w:val="clear" w:color="auto" w:fill="auto"/>
            <w:vAlign w:val="center"/>
            <w:hideMark/>
          </w:tcPr>
          <w:p w14:paraId="00D26008"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72 Accommodation and Food Services</w:t>
            </w:r>
          </w:p>
        </w:tc>
        <w:tc>
          <w:tcPr>
            <w:tcW w:w="1072" w:type="dxa"/>
            <w:shd w:val="clear" w:color="auto" w:fill="auto"/>
            <w:vAlign w:val="center"/>
            <w:hideMark/>
          </w:tcPr>
          <w:p w14:paraId="21BAC82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$17,881</w:t>
            </w:r>
          </w:p>
        </w:tc>
        <w:tc>
          <w:tcPr>
            <w:tcW w:w="1080" w:type="dxa"/>
            <w:shd w:val="clear" w:color="auto" w:fill="auto"/>
            <w:vAlign w:val="center"/>
            <w:hideMark/>
          </w:tcPr>
          <w:p w14:paraId="159E6C2C"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$27,008</w:t>
            </w:r>
          </w:p>
        </w:tc>
        <w:tc>
          <w:tcPr>
            <w:tcW w:w="720" w:type="dxa"/>
            <w:shd w:val="clear" w:color="auto" w:fill="auto"/>
            <w:vAlign w:val="center"/>
            <w:hideMark/>
          </w:tcPr>
          <w:p w14:paraId="79A8A2B1"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66.2%</w:t>
            </w:r>
          </w:p>
        </w:tc>
        <w:tc>
          <w:tcPr>
            <w:tcW w:w="1260" w:type="dxa"/>
            <w:shd w:val="clear" w:color="auto" w:fill="auto"/>
            <w:vAlign w:val="center"/>
            <w:hideMark/>
          </w:tcPr>
          <w:p w14:paraId="55766C87"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$4,510,690</w:t>
            </w:r>
          </w:p>
        </w:tc>
        <w:tc>
          <w:tcPr>
            <w:tcW w:w="1170" w:type="dxa"/>
            <w:shd w:val="clear" w:color="auto" w:fill="auto"/>
            <w:vAlign w:val="center"/>
            <w:hideMark/>
          </w:tcPr>
          <w:p w14:paraId="3B2E61D1"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3.0%</w:t>
            </w:r>
          </w:p>
        </w:tc>
        <w:tc>
          <w:tcPr>
            <w:tcW w:w="1170" w:type="dxa"/>
            <w:shd w:val="clear" w:color="auto" w:fill="auto"/>
            <w:vAlign w:val="center"/>
            <w:hideMark/>
          </w:tcPr>
          <w:p w14:paraId="7D6B628B" w14:textId="4426E318"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4,574</w:t>
            </w:r>
          </w:p>
        </w:tc>
        <w:tc>
          <w:tcPr>
            <w:tcW w:w="1170" w:type="dxa"/>
            <w:shd w:val="clear" w:color="auto" w:fill="auto"/>
            <w:vAlign w:val="center"/>
            <w:hideMark/>
          </w:tcPr>
          <w:p w14:paraId="1BB0639D"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8.0%</w:t>
            </w:r>
          </w:p>
        </w:tc>
        <w:tc>
          <w:tcPr>
            <w:tcW w:w="1080" w:type="dxa"/>
            <w:shd w:val="clear" w:color="auto" w:fill="auto"/>
            <w:vAlign w:val="center"/>
            <w:hideMark/>
          </w:tcPr>
          <w:p w14:paraId="58EA2DEA"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$1,995</w:t>
            </w:r>
          </w:p>
        </w:tc>
      </w:tr>
      <w:tr w:rsidR="00245C31" w:rsidRPr="00670A02" w14:paraId="1880720F" w14:textId="77777777" w:rsidTr="00532B28">
        <w:trPr>
          <w:trHeight w:val="20"/>
        </w:trPr>
        <w:tc>
          <w:tcPr>
            <w:tcW w:w="1263" w:type="dxa"/>
            <w:shd w:val="clear" w:color="auto" w:fill="auto"/>
            <w:vAlign w:val="center"/>
            <w:hideMark/>
          </w:tcPr>
          <w:p w14:paraId="5ECC48FA"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81 Other Services (except Public Administration)</w:t>
            </w:r>
          </w:p>
        </w:tc>
        <w:tc>
          <w:tcPr>
            <w:tcW w:w="1072" w:type="dxa"/>
            <w:shd w:val="clear" w:color="auto" w:fill="auto"/>
            <w:vAlign w:val="center"/>
            <w:hideMark/>
          </w:tcPr>
          <w:p w14:paraId="5E18816D"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$8,617</w:t>
            </w:r>
          </w:p>
        </w:tc>
        <w:tc>
          <w:tcPr>
            <w:tcW w:w="1080" w:type="dxa"/>
            <w:shd w:val="clear" w:color="auto" w:fill="auto"/>
            <w:vAlign w:val="center"/>
            <w:hideMark/>
          </w:tcPr>
          <w:p w14:paraId="6D2A0DE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$10,013</w:t>
            </w:r>
          </w:p>
        </w:tc>
        <w:tc>
          <w:tcPr>
            <w:tcW w:w="720" w:type="dxa"/>
            <w:shd w:val="clear" w:color="auto" w:fill="auto"/>
            <w:vAlign w:val="center"/>
            <w:hideMark/>
          </w:tcPr>
          <w:p w14:paraId="016573C7"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86.1%</w:t>
            </w:r>
          </w:p>
        </w:tc>
        <w:tc>
          <w:tcPr>
            <w:tcW w:w="1260" w:type="dxa"/>
            <w:shd w:val="clear" w:color="auto" w:fill="auto"/>
            <w:vAlign w:val="center"/>
            <w:hideMark/>
          </w:tcPr>
          <w:p w14:paraId="2C1746C7"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$560,395</w:t>
            </w:r>
          </w:p>
        </w:tc>
        <w:tc>
          <w:tcPr>
            <w:tcW w:w="1170" w:type="dxa"/>
            <w:shd w:val="clear" w:color="auto" w:fill="auto"/>
            <w:vAlign w:val="center"/>
            <w:hideMark/>
          </w:tcPr>
          <w:p w14:paraId="1402FD97"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0.4%</w:t>
            </w:r>
          </w:p>
        </w:tc>
        <w:tc>
          <w:tcPr>
            <w:tcW w:w="1170" w:type="dxa"/>
            <w:shd w:val="clear" w:color="auto" w:fill="auto"/>
            <w:vAlign w:val="center"/>
            <w:hideMark/>
          </w:tcPr>
          <w:p w14:paraId="51C738CC" w14:textId="734145FC"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4,135</w:t>
            </w:r>
          </w:p>
        </w:tc>
        <w:tc>
          <w:tcPr>
            <w:tcW w:w="1170" w:type="dxa"/>
            <w:shd w:val="clear" w:color="auto" w:fill="auto"/>
            <w:vAlign w:val="center"/>
            <w:hideMark/>
          </w:tcPr>
          <w:p w14:paraId="62DACF60"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7.2%</w:t>
            </w:r>
          </w:p>
        </w:tc>
        <w:tc>
          <w:tcPr>
            <w:tcW w:w="1080" w:type="dxa"/>
            <w:shd w:val="clear" w:color="auto" w:fill="auto"/>
            <w:vAlign w:val="center"/>
            <w:hideMark/>
          </w:tcPr>
          <w:p w14:paraId="7F526F30"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$337</w:t>
            </w:r>
          </w:p>
        </w:tc>
      </w:tr>
      <w:tr w:rsidR="00245C31" w:rsidRPr="00670A02" w14:paraId="0EBEF122" w14:textId="77777777" w:rsidTr="00532B28">
        <w:trPr>
          <w:trHeight w:val="20"/>
        </w:trPr>
        <w:tc>
          <w:tcPr>
            <w:tcW w:w="1263" w:type="dxa"/>
            <w:shd w:val="clear" w:color="auto" w:fill="auto"/>
            <w:vAlign w:val="center"/>
            <w:hideMark/>
          </w:tcPr>
          <w:p w14:paraId="12A47967"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Others or unmatched*</w:t>
            </w:r>
          </w:p>
        </w:tc>
        <w:tc>
          <w:tcPr>
            <w:tcW w:w="1072" w:type="dxa"/>
            <w:shd w:val="clear" w:color="auto" w:fill="auto"/>
            <w:vAlign w:val="center"/>
            <w:hideMark/>
          </w:tcPr>
          <w:p w14:paraId="4AD210A0"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$211,942</w:t>
            </w:r>
          </w:p>
        </w:tc>
        <w:tc>
          <w:tcPr>
            <w:tcW w:w="1080" w:type="dxa"/>
            <w:shd w:val="clear" w:color="auto" w:fill="auto"/>
            <w:vAlign w:val="center"/>
            <w:hideMark/>
          </w:tcPr>
          <w:p w14:paraId="77D4AA68"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$275,034</w:t>
            </w:r>
          </w:p>
        </w:tc>
        <w:tc>
          <w:tcPr>
            <w:tcW w:w="720" w:type="dxa"/>
            <w:shd w:val="clear" w:color="auto" w:fill="auto"/>
            <w:vAlign w:val="center"/>
            <w:hideMark/>
          </w:tcPr>
          <w:p w14:paraId="349A4148"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77.1%</w:t>
            </w:r>
          </w:p>
        </w:tc>
        <w:tc>
          <w:tcPr>
            <w:tcW w:w="1260" w:type="dxa"/>
            <w:shd w:val="clear" w:color="auto" w:fill="auto"/>
            <w:vAlign w:val="center"/>
            <w:hideMark/>
          </w:tcPr>
          <w:p w14:paraId="1CC73768"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$26,458,810</w:t>
            </w:r>
          </w:p>
        </w:tc>
        <w:tc>
          <w:tcPr>
            <w:tcW w:w="1170" w:type="dxa"/>
            <w:shd w:val="clear" w:color="auto" w:fill="auto"/>
            <w:vAlign w:val="center"/>
            <w:hideMark/>
          </w:tcPr>
          <w:p w14:paraId="21A558DD"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17.9%</w:t>
            </w:r>
          </w:p>
        </w:tc>
        <w:tc>
          <w:tcPr>
            <w:tcW w:w="1170" w:type="dxa"/>
            <w:shd w:val="clear" w:color="auto" w:fill="auto"/>
            <w:vAlign w:val="center"/>
            <w:hideMark/>
          </w:tcPr>
          <w:p w14:paraId="5F4EE615" w14:textId="2D07AF28"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814</w:t>
            </w:r>
          </w:p>
        </w:tc>
        <w:tc>
          <w:tcPr>
            <w:tcW w:w="1170" w:type="dxa"/>
            <w:shd w:val="clear" w:color="auto" w:fill="auto"/>
            <w:vAlign w:val="center"/>
            <w:hideMark/>
          </w:tcPr>
          <w:p w14:paraId="70DD9EA0"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1.4%</w:t>
            </w:r>
          </w:p>
        </w:tc>
        <w:tc>
          <w:tcPr>
            <w:tcW w:w="1080" w:type="dxa"/>
            <w:shd w:val="clear" w:color="auto" w:fill="auto"/>
            <w:vAlign w:val="center"/>
          </w:tcPr>
          <w:p w14:paraId="011B48A7"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$77,509</w:t>
            </w:r>
          </w:p>
        </w:tc>
      </w:tr>
      <w:tr w:rsidR="00245C31" w:rsidRPr="00670A02" w14:paraId="3C4E9793" w14:textId="77777777" w:rsidTr="00532B28">
        <w:trPr>
          <w:trHeight w:val="20"/>
        </w:trPr>
        <w:tc>
          <w:tcPr>
            <w:tcW w:w="1263" w:type="dxa"/>
            <w:shd w:val="clear" w:color="auto" w:fill="auto"/>
            <w:vAlign w:val="center"/>
            <w:hideMark/>
          </w:tcPr>
          <w:p w14:paraId="4E355D40"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sidRPr="00D179FD">
              <w:rPr>
                <w:rFonts w:ascii="Cambria" w:eastAsia="Times New Roman" w:hAnsi="Cambria" w:cs="Arial"/>
                <w:color w:val="000000"/>
                <w:sz w:val="15"/>
                <w:szCs w:val="15"/>
                <w:lang w:eastAsia="ko-KR"/>
              </w:rPr>
              <w:t>Total or average</w:t>
            </w:r>
          </w:p>
        </w:tc>
        <w:tc>
          <w:tcPr>
            <w:tcW w:w="1072" w:type="dxa"/>
            <w:shd w:val="clear" w:color="auto" w:fill="auto"/>
            <w:vAlign w:val="center"/>
            <w:hideMark/>
          </w:tcPr>
          <w:p w14:paraId="7047328E"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$1,029,831</w:t>
            </w:r>
          </w:p>
        </w:tc>
        <w:tc>
          <w:tcPr>
            <w:tcW w:w="1080" w:type="dxa"/>
            <w:shd w:val="clear" w:color="auto" w:fill="auto"/>
            <w:vAlign w:val="center"/>
            <w:hideMark/>
          </w:tcPr>
          <w:p w14:paraId="766B730F"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$1,284,062</w:t>
            </w:r>
          </w:p>
        </w:tc>
        <w:tc>
          <w:tcPr>
            <w:tcW w:w="720" w:type="dxa"/>
            <w:shd w:val="clear" w:color="auto" w:fill="auto"/>
            <w:vAlign w:val="center"/>
            <w:hideMark/>
          </w:tcPr>
          <w:p w14:paraId="132A01DC"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80.3%</w:t>
            </w:r>
          </w:p>
        </w:tc>
        <w:tc>
          <w:tcPr>
            <w:tcW w:w="1260" w:type="dxa"/>
            <w:shd w:val="clear" w:color="auto" w:fill="auto"/>
            <w:vAlign w:val="center"/>
            <w:hideMark/>
          </w:tcPr>
          <w:p w14:paraId="4D960EB1"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$148,034,837</w:t>
            </w:r>
          </w:p>
        </w:tc>
        <w:tc>
          <w:tcPr>
            <w:tcW w:w="1170" w:type="dxa"/>
            <w:shd w:val="clear" w:color="auto" w:fill="auto"/>
            <w:vAlign w:val="center"/>
            <w:hideMark/>
          </w:tcPr>
          <w:p w14:paraId="10BE77DE"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100.0%</w:t>
            </w:r>
          </w:p>
        </w:tc>
        <w:tc>
          <w:tcPr>
            <w:tcW w:w="1170" w:type="dxa"/>
            <w:shd w:val="clear" w:color="auto" w:fill="auto"/>
            <w:vAlign w:val="center"/>
            <w:hideMark/>
          </w:tcPr>
          <w:p w14:paraId="760931C6" w14:textId="525C2E6B" w:rsidR="00951493" w:rsidRPr="00D179FD" w:rsidRDefault="00951493" w:rsidP="00086335">
            <w:pPr>
              <w:spacing w:after="0" w:line="240" w:lineRule="auto"/>
              <w:jc w:val="center"/>
              <w:rPr>
                <w:rFonts w:ascii="Cambria" w:eastAsia="Times New Roman" w:hAnsi="Cambria" w:cs="Arial"/>
                <w:color w:val="000000"/>
                <w:sz w:val="15"/>
                <w:szCs w:val="15"/>
                <w:lang w:eastAsia="ko-KR"/>
              </w:rPr>
            </w:pPr>
            <w:r>
              <w:rPr>
                <w:rFonts w:ascii="Cambria" w:hAnsi="Cambria" w:cs="Arial"/>
                <w:color w:val="000000"/>
                <w:sz w:val="16"/>
                <w:szCs w:val="16"/>
              </w:rPr>
              <w:t>57,408</w:t>
            </w:r>
          </w:p>
        </w:tc>
        <w:tc>
          <w:tcPr>
            <w:tcW w:w="1170" w:type="dxa"/>
            <w:shd w:val="clear" w:color="auto" w:fill="auto"/>
            <w:vAlign w:val="center"/>
            <w:hideMark/>
          </w:tcPr>
          <w:p w14:paraId="59C766A0" w14:textId="77777777" w:rsidR="00951493" w:rsidRPr="00CF3070" w:rsidRDefault="00951493" w:rsidP="00C65C96">
            <w:pPr>
              <w:spacing w:after="0" w:line="240" w:lineRule="auto"/>
              <w:jc w:val="center"/>
              <w:rPr>
                <w:rFonts w:ascii="Cambria" w:eastAsia="Times New Roman" w:hAnsi="Cambria" w:cs="Arial"/>
                <w:i/>
                <w:iCs/>
                <w:color w:val="000000"/>
                <w:sz w:val="15"/>
                <w:szCs w:val="15"/>
                <w:lang w:eastAsia="ko-KR"/>
              </w:rPr>
            </w:pPr>
            <w:r w:rsidRPr="00CF3070">
              <w:rPr>
                <w:rFonts w:ascii="Cambria" w:hAnsi="Cambria" w:cs="Arial"/>
                <w:i/>
                <w:iCs/>
                <w:color w:val="000000"/>
                <w:sz w:val="16"/>
                <w:szCs w:val="16"/>
              </w:rPr>
              <w:t>100.0%</w:t>
            </w:r>
          </w:p>
        </w:tc>
        <w:tc>
          <w:tcPr>
            <w:tcW w:w="1080" w:type="dxa"/>
            <w:shd w:val="clear" w:color="auto" w:fill="auto"/>
            <w:vAlign w:val="center"/>
            <w:hideMark/>
          </w:tcPr>
          <w:p w14:paraId="51B8DEF7" w14:textId="77777777" w:rsidR="00951493" w:rsidRPr="00D179FD" w:rsidRDefault="00951493" w:rsidP="00C65C96">
            <w:pPr>
              <w:spacing w:after="0" w:line="240" w:lineRule="auto"/>
              <w:jc w:val="center"/>
              <w:rPr>
                <w:rFonts w:ascii="Cambria" w:eastAsia="Times New Roman" w:hAnsi="Cambria" w:cs="Arial"/>
                <w:color w:val="000000"/>
                <w:sz w:val="15"/>
                <w:szCs w:val="15"/>
                <w:lang w:eastAsia="ko-KR"/>
              </w:rPr>
            </w:pPr>
            <w:r>
              <w:rPr>
                <w:rFonts w:ascii="Cambria" w:hAnsi="Cambria" w:cs="Arial"/>
                <w:sz w:val="16"/>
                <w:szCs w:val="16"/>
              </w:rPr>
              <w:t>$4,428</w:t>
            </w:r>
          </w:p>
        </w:tc>
      </w:tr>
    </w:tbl>
    <w:p w14:paraId="2E19C72F" w14:textId="77777777" w:rsidR="00853B0B" w:rsidRPr="00D179FD" w:rsidRDefault="00853B0B" w:rsidP="00853B0B">
      <w:pPr>
        <w:tabs>
          <w:tab w:val="left" w:pos="7050"/>
        </w:tabs>
        <w:spacing w:after="0"/>
        <w:rPr>
          <w:rFonts w:asciiTheme="majorHAnsi" w:eastAsiaTheme="majorEastAsia" w:hAnsiTheme="majorHAnsi" w:cstheme="majorBidi"/>
          <w:bCs/>
          <w:color w:val="000000" w:themeColor="text1"/>
          <w:sz w:val="16"/>
          <w:szCs w:val="16"/>
        </w:rPr>
      </w:pPr>
      <w:r w:rsidRPr="00D179FD">
        <w:rPr>
          <w:rFonts w:asciiTheme="majorHAnsi" w:eastAsiaTheme="majorEastAsia" w:hAnsiTheme="majorHAnsi" w:cstheme="majorBidi"/>
          <w:bCs/>
          <w:color w:val="000000" w:themeColor="text1"/>
          <w:sz w:val="16"/>
          <w:szCs w:val="16"/>
        </w:rPr>
        <w:t>Source: Department of Revenue (201</w:t>
      </w:r>
      <w:r w:rsidR="00C437A9" w:rsidRPr="00D179FD">
        <w:rPr>
          <w:rFonts w:asciiTheme="majorHAnsi" w:eastAsiaTheme="majorEastAsia" w:hAnsiTheme="majorHAnsi" w:cstheme="majorBidi"/>
          <w:bCs/>
          <w:color w:val="000000" w:themeColor="text1"/>
          <w:sz w:val="16"/>
          <w:szCs w:val="16"/>
        </w:rPr>
        <w:t>8</w:t>
      </w:r>
      <w:r w:rsidR="00ED7369" w:rsidRPr="00D179FD">
        <w:rPr>
          <w:rFonts w:asciiTheme="majorHAnsi" w:eastAsiaTheme="majorEastAsia" w:hAnsiTheme="majorHAnsi" w:cstheme="majorBidi"/>
          <w:bCs/>
          <w:color w:val="000000" w:themeColor="text1"/>
          <w:sz w:val="16"/>
          <w:szCs w:val="16"/>
        </w:rPr>
        <w:t xml:space="preserve"> </w:t>
      </w:r>
      <w:r w:rsidR="00234BA3">
        <w:rPr>
          <w:rFonts w:asciiTheme="majorHAnsi" w:eastAsiaTheme="majorEastAsia" w:hAnsiTheme="majorHAnsi" w:cstheme="majorBidi"/>
          <w:bCs/>
          <w:color w:val="000000" w:themeColor="text1"/>
          <w:sz w:val="16"/>
          <w:szCs w:val="16"/>
        </w:rPr>
        <w:t>corporate excise</w:t>
      </w:r>
      <w:r w:rsidR="00ED7369" w:rsidRPr="00D179FD">
        <w:rPr>
          <w:rFonts w:asciiTheme="majorHAnsi" w:eastAsiaTheme="majorEastAsia" w:hAnsiTheme="majorHAnsi" w:cstheme="majorBidi"/>
          <w:bCs/>
          <w:color w:val="000000" w:themeColor="text1"/>
          <w:sz w:val="16"/>
          <w:szCs w:val="16"/>
        </w:rPr>
        <w:t xml:space="preserve"> return</w:t>
      </w:r>
      <w:r w:rsidR="00234BA3">
        <w:rPr>
          <w:rFonts w:asciiTheme="majorHAnsi" w:eastAsiaTheme="majorEastAsia" w:hAnsiTheme="majorHAnsi" w:cstheme="majorBidi"/>
          <w:bCs/>
          <w:color w:val="000000" w:themeColor="text1"/>
          <w:sz w:val="16"/>
          <w:szCs w:val="16"/>
        </w:rPr>
        <w:t>s</w:t>
      </w:r>
      <w:r w:rsidRPr="00D179FD">
        <w:rPr>
          <w:rFonts w:asciiTheme="majorHAnsi" w:eastAsiaTheme="majorEastAsia" w:hAnsiTheme="majorHAnsi" w:cstheme="majorBidi"/>
          <w:bCs/>
          <w:color w:val="000000" w:themeColor="text1"/>
          <w:sz w:val="16"/>
          <w:szCs w:val="16"/>
        </w:rPr>
        <w:t>)</w:t>
      </w:r>
    </w:p>
    <w:p w14:paraId="2DFB1551" w14:textId="77777777" w:rsidR="003F17BE" w:rsidRDefault="002017B8" w:rsidP="00291074">
      <w:pPr>
        <w:tabs>
          <w:tab w:val="left" w:pos="7050"/>
        </w:tabs>
        <w:spacing w:after="0"/>
        <w:rPr>
          <w:rFonts w:asciiTheme="majorHAnsi" w:eastAsiaTheme="majorEastAsia" w:hAnsiTheme="majorHAnsi" w:cstheme="majorBidi"/>
          <w:bCs/>
          <w:color w:val="000000" w:themeColor="text1"/>
          <w:sz w:val="16"/>
          <w:szCs w:val="16"/>
        </w:rPr>
      </w:pPr>
      <w:r w:rsidRPr="00D179FD">
        <w:rPr>
          <w:rFonts w:asciiTheme="majorHAnsi" w:eastAsiaTheme="majorEastAsia" w:hAnsiTheme="majorHAnsi" w:cstheme="majorBidi"/>
          <w:bCs/>
          <w:color w:val="000000" w:themeColor="text1"/>
          <w:sz w:val="16"/>
          <w:szCs w:val="16"/>
        </w:rPr>
        <w:t>Note</w:t>
      </w:r>
      <w:r w:rsidR="005A65F1" w:rsidRPr="00D179FD">
        <w:rPr>
          <w:rFonts w:asciiTheme="majorHAnsi" w:eastAsiaTheme="majorEastAsia" w:hAnsiTheme="majorHAnsi" w:cstheme="majorBidi"/>
          <w:bCs/>
          <w:color w:val="000000" w:themeColor="text1"/>
          <w:sz w:val="16"/>
          <w:szCs w:val="16"/>
        </w:rPr>
        <w:t>s</w:t>
      </w:r>
      <w:r w:rsidRPr="00D179FD">
        <w:rPr>
          <w:rFonts w:asciiTheme="majorHAnsi" w:eastAsiaTheme="majorEastAsia" w:hAnsiTheme="majorHAnsi" w:cstheme="majorBidi"/>
          <w:bCs/>
          <w:color w:val="000000" w:themeColor="text1"/>
          <w:sz w:val="16"/>
          <w:szCs w:val="16"/>
        </w:rPr>
        <w:t xml:space="preserve">: </w:t>
      </w:r>
      <w:r w:rsidR="005A65F1" w:rsidRPr="00D179FD">
        <w:rPr>
          <w:rFonts w:asciiTheme="majorHAnsi" w:eastAsiaTheme="majorEastAsia" w:hAnsiTheme="majorHAnsi" w:cstheme="majorBidi"/>
          <w:bCs/>
          <w:color w:val="000000" w:themeColor="text1"/>
          <w:sz w:val="16"/>
          <w:szCs w:val="16"/>
        </w:rPr>
        <w:t xml:space="preserve">1. </w:t>
      </w:r>
      <w:r w:rsidR="00A71361" w:rsidRPr="00D179FD">
        <w:rPr>
          <w:rFonts w:asciiTheme="majorHAnsi" w:eastAsiaTheme="majorEastAsia" w:hAnsiTheme="majorHAnsi" w:cstheme="majorBidi"/>
          <w:bCs/>
          <w:color w:val="000000" w:themeColor="text1"/>
          <w:sz w:val="16"/>
          <w:szCs w:val="16"/>
        </w:rPr>
        <w:t>*</w:t>
      </w:r>
      <w:r w:rsidRPr="00D179FD">
        <w:rPr>
          <w:rFonts w:asciiTheme="majorHAnsi" w:eastAsiaTheme="majorEastAsia" w:hAnsiTheme="majorHAnsi" w:cstheme="majorBidi"/>
          <w:bCs/>
          <w:color w:val="000000" w:themeColor="text1"/>
          <w:sz w:val="16"/>
          <w:szCs w:val="16"/>
        </w:rPr>
        <w:t xml:space="preserve">Unmatched means that we could not find some taxpayers in one or more of data sets to match. </w:t>
      </w:r>
    </w:p>
    <w:p w14:paraId="146D8398" w14:textId="77777777" w:rsidR="009A5CCE" w:rsidRPr="00D179FD" w:rsidRDefault="003F17BE" w:rsidP="00291074">
      <w:pPr>
        <w:tabs>
          <w:tab w:val="left" w:pos="7050"/>
        </w:tabs>
        <w:spacing w:after="0"/>
        <w:rPr>
          <w:rFonts w:asciiTheme="majorHAnsi" w:eastAsiaTheme="majorEastAsia" w:hAnsiTheme="majorHAnsi" w:cstheme="majorBidi"/>
          <w:bCs/>
          <w:color w:val="000000" w:themeColor="text1"/>
          <w:sz w:val="16"/>
          <w:szCs w:val="16"/>
        </w:rPr>
      </w:pPr>
      <w:r>
        <w:rPr>
          <w:rFonts w:asciiTheme="majorHAnsi" w:eastAsiaTheme="majorEastAsia" w:hAnsiTheme="majorHAnsi" w:cstheme="majorBidi"/>
          <w:bCs/>
          <w:color w:val="000000" w:themeColor="text1"/>
          <w:sz w:val="16"/>
          <w:szCs w:val="16"/>
        </w:rPr>
        <w:t xml:space="preserve">             </w:t>
      </w:r>
      <w:r w:rsidR="005A65F1" w:rsidRPr="00D179FD">
        <w:rPr>
          <w:rFonts w:asciiTheme="majorHAnsi" w:eastAsiaTheme="majorEastAsia" w:hAnsiTheme="majorHAnsi" w:cstheme="majorBidi"/>
          <w:bCs/>
          <w:color w:val="000000" w:themeColor="text1"/>
          <w:sz w:val="16"/>
          <w:szCs w:val="16"/>
        </w:rPr>
        <w:t xml:space="preserve">2. </w:t>
      </w:r>
      <w:r w:rsidR="00214D26" w:rsidRPr="00D179FD">
        <w:rPr>
          <w:rFonts w:asciiTheme="majorHAnsi" w:eastAsiaTheme="majorEastAsia" w:hAnsiTheme="majorHAnsi" w:cstheme="majorBidi"/>
          <w:bCs/>
          <w:color w:val="000000" w:themeColor="text1"/>
          <w:sz w:val="16"/>
          <w:szCs w:val="16"/>
        </w:rPr>
        <w:t xml:space="preserve">The data are preliminary and subject to </w:t>
      </w:r>
      <w:r>
        <w:rPr>
          <w:rFonts w:asciiTheme="majorHAnsi" w:eastAsiaTheme="majorEastAsia" w:hAnsiTheme="majorHAnsi" w:cstheme="majorBidi"/>
          <w:bCs/>
          <w:color w:val="000000" w:themeColor="text1"/>
          <w:sz w:val="16"/>
          <w:szCs w:val="16"/>
        </w:rPr>
        <w:t>change</w:t>
      </w:r>
      <w:r w:rsidR="005A65F1" w:rsidRPr="00D179FD">
        <w:rPr>
          <w:rFonts w:asciiTheme="majorHAnsi" w:eastAsiaTheme="majorEastAsia" w:hAnsiTheme="majorHAnsi" w:cstheme="majorBidi"/>
          <w:bCs/>
          <w:color w:val="000000" w:themeColor="text1"/>
          <w:sz w:val="16"/>
          <w:szCs w:val="16"/>
        </w:rPr>
        <w:t>.</w:t>
      </w:r>
    </w:p>
    <w:p w14:paraId="485E166A" w14:textId="77777777" w:rsidR="00F743A1" w:rsidRDefault="00F743A1" w:rsidP="00AE43FE">
      <w:pPr>
        <w:spacing w:after="0"/>
        <w:rPr>
          <w:rFonts w:asciiTheme="majorHAnsi" w:eastAsiaTheme="majorEastAsia" w:hAnsiTheme="majorHAnsi" w:cstheme="majorBidi"/>
          <w:bCs/>
          <w:color w:val="000000" w:themeColor="text1"/>
          <w:sz w:val="24"/>
          <w:szCs w:val="24"/>
        </w:rPr>
      </w:pPr>
    </w:p>
    <w:p w14:paraId="5C8EC330" w14:textId="77777777" w:rsidR="00720DE1" w:rsidRDefault="00720DE1" w:rsidP="00291074">
      <w:pPr>
        <w:tabs>
          <w:tab w:val="left" w:pos="7050"/>
        </w:tabs>
        <w:spacing w:after="0"/>
        <w:rPr>
          <w:rFonts w:asciiTheme="majorHAnsi" w:hAnsiTheme="majorHAnsi"/>
          <w:b/>
          <w:sz w:val="24"/>
          <w:szCs w:val="24"/>
        </w:rPr>
      </w:pPr>
    </w:p>
    <w:p w14:paraId="6BE2EABE" w14:textId="77777777" w:rsidR="008E3EDC" w:rsidRPr="00A07439" w:rsidRDefault="008E3EDC" w:rsidP="008E3EDC">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7B5460D9" w14:textId="04B23803" w:rsidR="00DD7F82" w:rsidRDefault="00DD7F82" w:rsidP="00DD7F82">
      <w:pPr>
        <w:tabs>
          <w:tab w:val="left" w:pos="7050"/>
        </w:tabs>
        <w:spacing w:after="0"/>
        <w:rPr>
          <w:rFonts w:asciiTheme="majorHAnsi" w:hAnsiTheme="majorHAnsi"/>
          <w:bCs/>
          <w:sz w:val="24"/>
          <w:szCs w:val="24"/>
        </w:rPr>
      </w:pPr>
      <w:r>
        <w:rPr>
          <w:rFonts w:asciiTheme="majorHAnsi" w:hAnsiTheme="majorHAnsi"/>
          <w:bCs/>
          <w:sz w:val="24"/>
          <w:szCs w:val="24"/>
        </w:rPr>
        <w:t>In the previous sections, we reported</w:t>
      </w:r>
      <w:r w:rsidR="00EA5BFA">
        <w:rPr>
          <w:rFonts w:asciiTheme="majorHAnsi" w:hAnsiTheme="majorHAnsi"/>
          <w:bCs/>
          <w:sz w:val="24"/>
          <w:szCs w:val="24"/>
        </w:rPr>
        <w:t xml:space="preserve"> </w:t>
      </w:r>
      <w:r>
        <w:rPr>
          <w:rFonts w:asciiTheme="majorHAnsi" w:hAnsiTheme="majorHAnsi"/>
          <w:bCs/>
          <w:sz w:val="24"/>
          <w:szCs w:val="24"/>
        </w:rPr>
        <w:t xml:space="preserve">the direct costs </w:t>
      </w:r>
      <w:r w:rsidR="002D7158">
        <w:rPr>
          <w:rFonts w:asciiTheme="majorHAnsi" w:hAnsiTheme="majorHAnsi"/>
          <w:bCs/>
          <w:sz w:val="24"/>
          <w:szCs w:val="24"/>
        </w:rPr>
        <w:t>(</w:t>
      </w:r>
      <w:r>
        <w:rPr>
          <w:rFonts w:asciiTheme="majorHAnsi" w:hAnsiTheme="majorHAnsi"/>
          <w:bCs/>
          <w:sz w:val="24"/>
          <w:szCs w:val="24"/>
        </w:rPr>
        <w:t>to the Commonwealth</w:t>
      </w:r>
      <w:r w:rsidR="007C099B">
        <w:rPr>
          <w:rFonts w:asciiTheme="majorHAnsi" w:hAnsiTheme="majorHAnsi"/>
          <w:bCs/>
          <w:sz w:val="24"/>
          <w:szCs w:val="24"/>
        </w:rPr>
        <w:t xml:space="preserve">, </w:t>
      </w:r>
      <w:r w:rsidR="002D7158">
        <w:rPr>
          <w:rFonts w:asciiTheme="majorHAnsi" w:hAnsiTheme="majorHAnsi"/>
          <w:bCs/>
          <w:sz w:val="24"/>
          <w:szCs w:val="24"/>
        </w:rPr>
        <w:t xml:space="preserve">or </w:t>
      </w:r>
      <w:r>
        <w:rPr>
          <w:rFonts w:asciiTheme="majorHAnsi" w:hAnsiTheme="majorHAnsi"/>
          <w:bCs/>
          <w:sz w:val="24"/>
          <w:szCs w:val="24"/>
        </w:rPr>
        <w:t xml:space="preserve">to the residents and businesses </w:t>
      </w:r>
      <w:r w:rsidR="00B30EFF">
        <w:rPr>
          <w:rFonts w:asciiTheme="majorHAnsi" w:hAnsiTheme="majorHAnsi"/>
          <w:bCs/>
          <w:sz w:val="24"/>
          <w:szCs w:val="24"/>
        </w:rPr>
        <w:t xml:space="preserve">that </w:t>
      </w:r>
      <w:r>
        <w:rPr>
          <w:rFonts w:asciiTheme="majorHAnsi" w:hAnsiTheme="majorHAnsi"/>
          <w:bCs/>
          <w:sz w:val="24"/>
          <w:szCs w:val="24"/>
        </w:rPr>
        <w:t>ultimately bear the costs when the Commonwealth cuts government spending or increase</w:t>
      </w:r>
      <w:r w:rsidR="0079756A">
        <w:rPr>
          <w:rFonts w:asciiTheme="majorHAnsi" w:hAnsiTheme="majorHAnsi"/>
          <w:bCs/>
          <w:sz w:val="24"/>
          <w:szCs w:val="24"/>
        </w:rPr>
        <w:t>s</w:t>
      </w:r>
      <w:r>
        <w:rPr>
          <w:rFonts w:asciiTheme="majorHAnsi" w:hAnsiTheme="majorHAnsi"/>
          <w:bCs/>
          <w:sz w:val="24"/>
          <w:szCs w:val="24"/>
        </w:rPr>
        <w:t xml:space="preserve"> tax to finance the </w:t>
      </w:r>
      <w:r w:rsidR="00CA7D50">
        <w:rPr>
          <w:rFonts w:asciiTheme="majorHAnsi" w:hAnsiTheme="majorHAnsi"/>
          <w:bCs/>
          <w:sz w:val="24"/>
          <w:szCs w:val="24"/>
        </w:rPr>
        <w:t>exemption for tangible property subject to local taxation</w:t>
      </w:r>
      <w:r w:rsidR="002D7158">
        <w:rPr>
          <w:rFonts w:asciiTheme="majorHAnsi" w:hAnsiTheme="majorHAnsi"/>
          <w:bCs/>
          <w:sz w:val="24"/>
          <w:szCs w:val="24"/>
        </w:rPr>
        <w:t>)</w:t>
      </w:r>
      <w:r w:rsidR="004421E9">
        <w:rPr>
          <w:rFonts w:asciiTheme="majorHAnsi" w:hAnsiTheme="majorHAnsi"/>
          <w:bCs/>
          <w:sz w:val="24"/>
          <w:szCs w:val="24"/>
        </w:rPr>
        <w:t xml:space="preserve"> </w:t>
      </w:r>
      <w:r w:rsidR="002D7158">
        <w:rPr>
          <w:rFonts w:asciiTheme="majorHAnsi" w:hAnsiTheme="majorHAnsi"/>
          <w:bCs/>
          <w:sz w:val="24"/>
          <w:szCs w:val="24"/>
        </w:rPr>
        <w:t>and</w:t>
      </w:r>
      <w:r w:rsidR="00EA5BFA">
        <w:rPr>
          <w:rFonts w:asciiTheme="majorHAnsi" w:hAnsiTheme="majorHAnsi"/>
          <w:bCs/>
          <w:sz w:val="24"/>
          <w:szCs w:val="24"/>
        </w:rPr>
        <w:t xml:space="preserve"> the </w:t>
      </w:r>
      <w:r>
        <w:rPr>
          <w:rFonts w:asciiTheme="majorHAnsi" w:hAnsiTheme="majorHAnsi"/>
          <w:bCs/>
          <w:sz w:val="24"/>
          <w:szCs w:val="24"/>
        </w:rPr>
        <w:t xml:space="preserve">direct benefits </w:t>
      </w:r>
      <w:r w:rsidR="002D7158">
        <w:rPr>
          <w:rFonts w:asciiTheme="majorHAnsi" w:hAnsiTheme="majorHAnsi"/>
          <w:bCs/>
          <w:sz w:val="24"/>
          <w:szCs w:val="24"/>
        </w:rPr>
        <w:t>(</w:t>
      </w:r>
      <w:r>
        <w:rPr>
          <w:rFonts w:asciiTheme="majorHAnsi" w:hAnsiTheme="majorHAnsi"/>
          <w:bCs/>
          <w:sz w:val="24"/>
          <w:szCs w:val="24"/>
        </w:rPr>
        <w:t>to taxpayers who claim the benefits</w:t>
      </w:r>
      <w:r w:rsidR="002D7158">
        <w:rPr>
          <w:rFonts w:asciiTheme="majorHAnsi" w:hAnsiTheme="majorHAnsi"/>
          <w:bCs/>
          <w:sz w:val="24"/>
          <w:szCs w:val="24"/>
        </w:rPr>
        <w:t>)</w:t>
      </w:r>
      <w:r>
        <w:rPr>
          <w:rFonts w:asciiTheme="majorHAnsi" w:hAnsiTheme="majorHAnsi"/>
          <w:bCs/>
          <w:sz w:val="24"/>
          <w:szCs w:val="24"/>
        </w:rPr>
        <w:t xml:space="preserve"> of this tax expenditure. Since the direct costs to the Commonwealth </w:t>
      </w:r>
      <w:r w:rsidR="002D7158">
        <w:rPr>
          <w:rFonts w:asciiTheme="majorHAnsi" w:hAnsiTheme="majorHAnsi"/>
          <w:bCs/>
          <w:sz w:val="24"/>
          <w:szCs w:val="24"/>
        </w:rPr>
        <w:t>are</w:t>
      </w:r>
      <w:r w:rsidR="00EA5BFA">
        <w:rPr>
          <w:rFonts w:asciiTheme="majorHAnsi" w:hAnsiTheme="majorHAnsi"/>
          <w:bCs/>
          <w:sz w:val="24"/>
          <w:szCs w:val="24"/>
        </w:rPr>
        <w:t xml:space="preserve"> </w:t>
      </w:r>
      <w:r>
        <w:rPr>
          <w:rFonts w:asciiTheme="majorHAnsi" w:hAnsiTheme="majorHAnsi"/>
          <w:bCs/>
          <w:sz w:val="24"/>
          <w:szCs w:val="24"/>
        </w:rPr>
        <w:t>the direct benefits to taxpayers, they are equal.</w:t>
      </w:r>
    </w:p>
    <w:p w14:paraId="6F145F56" w14:textId="77777777" w:rsidR="00DD7F82" w:rsidRDefault="00DD7F82" w:rsidP="00DD7F82">
      <w:pPr>
        <w:tabs>
          <w:tab w:val="left" w:pos="7050"/>
        </w:tabs>
        <w:spacing w:after="0"/>
        <w:rPr>
          <w:rFonts w:asciiTheme="majorHAnsi" w:hAnsiTheme="majorHAnsi"/>
          <w:bCs/>
          <w:sz w:val="24"/>
          <w:szCs w:val="24"/>
        </w:rPr>
      </w:pPr>
    </w:p>
    <w:p w14:paraId="7B9A65D7" w14:textId="759894A9" w:rsidR="00DD7F82" w:rsidRDefault="00B120B4" w:rsidP="00DD7F82">
      <w:pPr>
        <w:tabs>
          <w:tab w:val="left" w:pos="7050"/>
        </w:tabs>
        <w:spacing w:after="0"/>
        <w:rPr>
          <w:rFonts w:asciiTheme="majorHAnsi" w:hAnsiTheme="majorHAnsi"/>
          <w:bCs/>
          <w:sz w:val="24"/>
          <w:szCs w:val="24"/>
        </w:rPr>
      </w:pPr>
      <w:r>
        <w:rPr>
          <w:rFonts w:asciiTheme="majorHAnsi" w:eastAsiaTheme="majorEastAsia" w:hAnsiTheme="majorHAnsi" w:cstheme="majorBidi"/>
          <w:bCs/>
          <w:color w:val="000000" w:themeColor="text1"/>
          <w:sz w:val="24"/>
          <w:szCs w:val="24"/>
        </w:rPr>
        <w:t>W</w:t>
      </w:r>
      <w:r w:rsidR="00DD7F82">
        <w:rPr>
          <w:rFonts w:asciiTheme="majorHAnsi" w:eastAsiaTheme="majorEastAsia" w:hAnsiTheme="majorHAnsi" w:cstheme="majorBidi"/>
          <w:bCs/>
          <w:color w:val="000000" w:themeColor="text1"/>
          <w:sz w:val="24"/>
          <w:szCs w:val="24"/>
        </w:rPr>
        <w:t>hen looking at the broader economy, there are</w:t>
      </w:r>
      <w:r w:rsidR="00EA5BFA">
        <w:rPr>
          <w:rFonts w:asciiTheme="majorHAnsi" w:eastAsiaTheme="majorEastAsia" w:hAnsiTheme="majorHAnsi" w:cstheme="majorBidi"/>
          <w:bCs/>
          <w:color w:val="000000" w:themeColor="text1"/>
          <w:sz w:val="24"/>
          <w:szCs w:val="24"/>
        </w:rPr>
        <w:t xml:space="preserve"> also</w:t>
      </w:r>
      <w:r w:rsidR="00DD7F82">
        <w:rPr>
          <w:rFonts w:asciiTheme="majorHAnsi" w:eastAsiaTheme="majorEastAsia" w:hAnsiTheme="majorHAnsi" w:cstheme="majorBidi"/>
          <w:bCs/>
          <w:color w:val="000000" w:themeColor="text1"/>
          <w:sz w:val="24"/>
          <w:szCs w:val="24"/>
        </w:rPr>
        <w:t xml:space="preserve"> indirect and induced impacts on other residents and businesses in Massachusetts. See the appendix for more discussion.</w:t>
      </w:r>
    </w:p>
    <w:p w14:paraId="6D41F631" w14:textId="77777777" w:rsidR="00DD7F82" w:rsidRDefault="00DD7F82" w:rsidP="00DD7F82">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 </w:t>
      </w:r>
    </w:p>
    <w:p w14:paraId="168EB734" w14:textId="77777777" w:rsidR="00DD7F82" w:rsidRDefault="00DD7F82" w:rsidP="00DD7F82">
      <w:pPr>
        <w:spacing w:after="0"/>
        <w:rPr>
          <w:rFonts w:asciiTheme="majorHAnsi" w:hAnsiTheme="majorHAnsi"/>
          <w:bCs/>
          <w:sz w:val="24"/>
          <w:szCs w:val="23"/>
        </w:rPr>
      </w:pPr>
      <w:r w:rsidRPr="00DF1213">
        <w:rPr>
          <w:rFonts w:asciiTheme="majorHAnsi" w:eastAsiaTheme="majorEastAsia" w:hAnsiTheme="majorHAnsi" w:cstheme="majorBidi"/>
          <w:bCs/>
          <w:color w:val="000000" w:themeColor="text1"/>
          <w:sz w:val="24"/>
          <w:szCs w:val="24"/>
        </w:rPr>
        <w:t xml:space="preserve">To </w:t>
      </w:r>
      <w:r>
        <w:rPr>
          <w:rFonts w:asciiTheme="majorHAnsi" w:eastAsiaTheme="majorEastAsia" w:hAnsiTheme="majorHAnsi" w:cstheme="majorBidi"/>
          <w:bCs/>
          <w:color w:val="000000" w:themeColor="text1"/>
          <w:sz w:val="24"/>
          <w:szCs w:val="24"/>
        </w:rPr>
        <w:t>determine the net impact of the tax expenditure, i.e., the total benefits (including direct, indirect and induced benefits) offset by the total costs (including direct, indirect and induced costs)</w:t>
      </w:r>
      <w:r w:rsidRPr="00DF1213">
        <w:rPr>
          <w:rFonts w:asciiTheme="majorHAnsi" w:eastAsiaTheme="majorEastAsia" w:hAnsiTheme="majorHAnsi" w:cstheme="majorBidi"/>
          <w:bCs/>
          <w:color w:val="000000" w:themeColor="text1"/>
          <w:sz w:val="24"/>
          <w:szCs w:val="24"/>
        </w:rPr>
        <w:t xml:space="preserve">, we employed </w:t>
      </w:r>
      <w:r>
        <w:rPr>
          <w:rFonts w:asciiTheme="majorHAnsi" w:eastAsiaTheme="majorEastAsia" w:hAnsiTheme="majorHAnsi" w:cstheme="majorBidi"/>
          <w:bCs/>
          <w:color w:val="000000" w:themeColor="text1"/>
          <w:sz w:val="24"/>
          <w:szCs w:val="24"/>
        </w:rPr>
        <w:t>the model of “</w:t>
      </w:r>
      <w:r w:rsidRPr="00DF1213">
        <w:rPr>
          <w:rFonts w:asciiTheme="majorHAnsi" w:eastAsiaTheme="majorEastAsia" w:hAnsiTheme="majorHAnsi" w:cstheme="majorBidi"/>
          <w:bCs/>
          <w:color w:val="000000" w:themeColor="text1"/>
          <w:sz w:val="24"/>
          <w:szCs w:val="24"/>
        </w:rPr>
        <w:t>Tax-PI</w:t>
      </w:r>
      <w:r>
        <w:rPr>
          <w:rFonts w:asciiTheme="majorHAnsi" w:eastAsiaTheme="majorEastAsia" w:hAnsiTheme="majorHAnsi" w:cstheme="majorBidi"/>
          <w:bCs/>
          <w:color w:val="000000" w:themeColor="text1"/>
          <w:sz w:val="24"/>
          <w:szCs w:val="24"/>
        </w:rPr>
        <w:t>” developed by Regional Economic Models Incorporated (“REMI”).</w:t>
      </w:r>
      <w:r>
        <w:rPr>
          <w:rStyle w:val="FootnoteReference"/>
          <w:rFonts w:asciiTheme="majorHAnsi" w:eastAsiaTheme="majorEastAsia" w:hAnsiTheme="majorHAnsi"/>
          <w:bCs/>
          <w:color w:val="000000" w:themeColor="text1"/>
          <w:sz w:val="24"/>
          <w:szCs w:val="24"/>
        </w:rPr>
        <w:footnoteReference w:id="3"/>
      </w:r>
      <w:r>
        <w:rPr>
          <w:rFonts w:asciiTheme="majorHAnsi" w:eastAsiaTheme="majorEastAsia" w:hAnsiTheme="majorHAnsi" w:cstheme="majorBidi"/>
          <w:bCs/>
          <w:color w:val="000000" w:themeColor="text1"/>
          <w:sz w:val="24"/>
          <w:szCs w:val="24"/>
        </w:rPr>
        <w:t xml:space="preserve">  See the appendix for details.</w:t>
      </w:r>
    </w:p>
    <w:p w14:paraId="7C17140A" w14:textId="77777777" w:rsidR="00DD7F82" w:rsidRDefault="00DD7F82" w:rsidP="00DD7F82">
      <w:pPr>
        <w:tabs>
          <w:tab w:val="left" w:pos="7050"/>
        </w:tabs>
        <w:spacing w:after="0"/>
        <w:rPr>
          <w:rFonts w:asciiTheme="majorHAnsi" w:hAnsiTheme="majorHAnsi"/>
          <w:bCs/>
          <w:sz w:val="24"/>
          <w:szCs w:val="23"/>
        </w:rPr>
      </w:pPr>
    </w:p>
    <w:p w14:paraId="1C68AEC8" w14:textId="77777777" w:rsidR="00DD7F82" w:rsidRDefault="00DD7F82" w:rsidP="00DD7F82">
      <w:pPr>
        <w:tabs>
          <w:tab w:val="left" w:pos="7050"/>
        </w:tabs>
        <w:spacing w:after="0"/>
        <w:rPr>
          <w:rFonts w:asciiTheme="majorHAnsi" w:hAnsiTheme="majorHAnsi"/>
          <w:bCs/>
          <w:sz w:val="24"/>
          <w:szCs w:val="23"/>
        </w:rPr>
      </w:pPr>
      <w:r>
        <w:rPr>
          <w:rFonts w:asciiTheme="majorHAnsi" w:hAnsiTheme="majorHAnsi"/>
          <w:bCs/>
          <w:sz w:val="24"/>
          <w:szCs w:val="23"/>
        </w:rPr>
        <w:lastRenderedPageBreak/>
        <w:t xml:space="preserve">The estimated net impact of the tax expenditure for fiscal years 2018 through 2022 are shown in </w:t>
      </w:r>
      <w:r w:rsidRPr="00A76DAE">
        <w:rPr>
          <w:rFonts w:asciiTheme="majorHAnsi" w:hAnsiTheme="majorHAnsi"/>
          <w:bCs/>
          <w:sz w:val="24"/>
          <w:szCs w:val="23"/>
        </w:rPr>
        <w:t xml:space="preserve">Tables </w:t>
      </w:r>
      <w:r>
        <w:rPr>
          <w:rFonts w:asciiTheme="majorHAnsi" w:hAnsiTheme="majorHAnsi"/>
          <w:bCs/>
          <w:sz w:val="24"/>
          <w:szCs w:val="23"/>
        </w:rPr>
        <w:t>6</w:t>
      </w:r>
      <w:r w:rsidRPr="00A76DAE">
        <w:rPr>
          <w:rFonts w:asciiTheme="majorHAnsi" w:hAnsiTheme="majorHAnsi"/>
          <w:bCs/>
          <w:sz w:val="24"/>
          <w:szCs w:val="23"/>
        </w:rPr>
        <w:t xml:space="preserve"> and </w:t>
      </w:r>
      <w:r>
        <w:rPr>
          <w:rFonts w:asciiTheme="majorHAnsi" w:hAnsiTheme="majorHAnsi"/>
          <w:bCs/>
          <w:sz w:val="24"/>
          <w:szCs w:val="23"/>
        </w:rPr>
        <w:t>7.  As</w:t>
      </w:r>
      <w:r w:rsidRPr="00A76DAE">
        <w:rPr>
          <w:rFonts w:asciiTheme="majorHAnsi" w:hAnsiTheme="majorHAnsi"/>
          <w:bCs/>
          <w:sz w:val="24"/>
          <w:szCs w:val="23"/>
        </w:rPr>
        <w:t xml:space="preserve"> show</w:t>
      </w:r>
      <w:r>
        <w:rPr>
          <w:rFonts w:asciiTheme="majorHAnsi" w:hAnsiTheme="majorHAnsi"/>
          <w:bCs/>
          <w:sz w:val="24"/>
          <w:szCs w:val="23"/>
        </w:rPr>
        <w:t>n,</w:t>
      </w:r>
      <w:r w:rsidRPr="00A76DAE">
        <w:rPr>
          <w:rFonts w:asciiTheme="majorHAnsi" w:hAnsiTheme="majorHAnsi"/>
          <w:bCs/>
          <w:sz w:val="24"/>
          <w:szCs w:val="23"/>
        </w:rPr>
        <w:t xml:space="preserve"> the </w:t>
      </w:r>
      <w:r w:rsidR="00405E25">
        <w:rPr>
          <w:rFonts w:asciiTheme="majorHAnsi" w:hAnsiTheme="majorHAnsi"/>
          <w:bCs/>
          <w:sz w:val="24"/>
          <w:szCs w:val="23"/>
        </w:rPr>
        <w:t xml:space="preserve">exemption for </w:t>
      </w:r>
      <w:r w:rsidR="00CA7D50">
        <w:rPr>
          <w:rFonts w:asciiTheme="majorHAnsi" w:hAnsiTheme="majorHAnsi"/>
          <w:bCs/>
          <w:sz w:val="24"/>
          <w:szCs w:val="23"/>
        </w:rPr>
        <w:t xml:space="preserve">tangible </w:t>
      </w:r>
      <w:r w:rsidR="00405E25">
        <w:rPr>
          <w:rFonts w:asciiTheme="majorHAnsi" w:hAnsiTheme="majorHAnsi"/>
          <w:bCs/>
          <w:sz w:val="24"/>
          <w:szCs w:val="23"/>
        </w:rPr>
        <w:t>property subject to local taxation</w:t>
      </w:r>
      <w:r w:rsidRPr="00A76DAE">
        <w:rPr>
          <w:rFonts w:asciiTheme="majorHAnsi" w:hAnsiTheme="majorHAnsi"/>
          <w:bCs/>
          <w:sz w:val="24"/>
          <w:szCs w:val="23"/>
        </w:rPr>
        <w:t xml:space="preserve"> combined with a cut in state government spending results in less economic activities, with real state GDP decreasing</w:t>
      </w:r>
      <w:r>
        <w:rPr>
          <w:rFonts w:asciiTheme="majorHAnsi" w:hAnsiTheme="majorHAnsi"/>
          <w:bCs/>
          <w:sz w:val="24"/>
          <w:szCs w:val="23"/>
        </w:rPr>
        <w:t xml:space="preserve"> by $187 million</w:t>
      </w:r>
      <w:r w:rsidR="00B30EFF">
        <w:rPr>
          <w:rFonts w:asciiTheme="majorHAnsi" w:hAnsiTheme="majorHAnsi"/>
          <w:bCs/>
          <w:sz w:val="24"/>
          <w:szCs w:val="23"/>
        </w:rPr>
        <w:t xml:space="preserve"> </w:t>
      </w:r>
      <w:r>
        <w:rPr>
          <w:rFonts w:asciiTheme="majorHAnsi" w:hAnsiTheme="majorHAnsi"/>
          <w:bCs/>
          <w:sz w:val="24"/>
          <w:szCs w:val="23"/>
        </w:rPr>
        <w:t>-</w:t>
      </w:r>
      <w:r w:rsidR="00B30EFF">
        <w:rPr>
          <w:rFonts w:asciiTheme="majorHAnsi" w:hAnsiTheme="majorHAnsi"/>
          <w:bCs/>
          <w:sz w:val="24"/>
          <w:szCs w:val="23"/>
        </w:rPr>
        <w:t xml:space="preserve"> </w:t>
      </w:r>
      <w:r w:rsidRPr="00A76DAE">
        <w:rPr>
          <w:rFonts w:asciiTheme="majorHAnsi" w:hAnsiTheme="majorHAnsi"/>
          <w:bCs/>
          <w:sz w:val="24"/>
          <w:szCs w:val="23"/>
        </w:rPr>
        <w:t>$</w:t>
      </w:r>
      <w:r>
        <w:rPr>
          <w:rFonts w:asciiTheme="majorHAnsi" w:hAnsiTheme="majorHAnsi"/>
          <w:bCs/>
          <w:sz w:val="24"/>
          <w:szCs w:val="23"/>
        </w:rPr>
        <w:t>318</w:t>
      </w:r>
      <w:r w:rsidRPr="00A76DAE">
        <w:rPr>
          <w:rFonts w:asciiTheme="majorHAnsi" w:hAnsiTheme="majorHAnsi"/>
          <w:bCs/>
          <w:sz w:val="24"/>
          <w:szCs w:val="23"/>
        </w:rPr>
        <w:t xml:space="preserve"> million. The net impact on total employment is negative</w:t>
      </w:r>
      <w:r>
        <w:rPr>
          <w:rFonts w:asciiTheme="majorHAnsi" w:hAnsiTheme="majorHAnsi"/>
          <w:bCs/>
          <w:sz w:val="24"/>
          <w:szCs w:val="23"/>
        </w:rPr>
        <w:t>,</w:t>
      </w:r>
      <w:r w:rsidRPr="00A76DAE">
        <w:rPr>
          <w:rFonts w:asciiTheme="majorHAnsi" w:hAnsiTheme="majorHAnsi"/>
          <w:bCs/>
          <w:sz w:val="24"/>
          <w:szCs w:val="23"/>
        </w:rPr>
        <w:t xml:space="preserve"> decreasing </w:t>
      </w:r>
      <w:r>
        <w:rPr>
          <w:rFonts w:asciiTheme="majorHAnsi" w:hAnsiTheme="majorHAnsi"/>
          <w:bCs/>
          <w:sz w:val="24"/>
          <w:szCs w:val="23"/>
        </w:rPr>
        <w:t>by 2,911 – 3,976</w:t>
      </w:r>
      <w:r w:rsidRPr="00A76DA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w:t>
      </w:r>
      <w:r>
        <w:rPr>
          <w:rFonts w:asciiTheme="majorHAnsi" w:hAnsiTheme="majorHAnsi"/>
          <w:bCs/>
          <w:sz w:val="24"/>
          <w:szCs w:val="23"/>
        </w:rPr>
        <w:t xml:space="preserve">net additional </w:t>
      </w:r>
      <w:r w:rsidRPr="00A76DAE">
        <w:rPr>
          <w:rFonts w:asciiTheme="majorHAnsi" w:hAnsiTheme="majorHAnsi"/>
          <w:bCs/>
          <w:sz w:val="24"/>
          <w:szCs w:val="23"/>
        </w:rPr>
        <w:t xml:space="preserve">impact on </w:t>
      </w:r>
      <w:r>
        <w:rPr>
          <w:rFonts w:asciiTheme="majorHAnsi" w:hAnsiTheme="majorHAnsi"/>
          <w:bCs/>
          <w:sz w:val="24"/>
          <w:szCs w:val="23"/>
        </w:rPr>
        <w:t xml:space="preserve">state </w:t>
      </w:r>
      <w:r w:rsidRPr="00A76DAE">
        <w:rPr>
          <w:rFonts w:asciiTheme="majorHAnsi" w:hAnsiTheme="majorHAnsi"/>
          <w:bCs/>
          <w:sz w:val="24"/>
          <w:szCs w:val="23"/>
        </w:rPr>
        <w:t>revenues</w:t>
      </w:r>
      <w:r>
        <w:rPr>
          <w:rStyle w:val="FootnoteReference"/>
          <w:rFonts w:asciiTheme="majorHAnsi" w:hAnsiTheme="majorHAnsi"/>
          <w:bCs/>
          <w:sz w:val="24"/>
          <w:szCs w:val="23"/>
        </w:rPr>
        <w:footnoteReference w:id="4"/>
      </w:r>
      <w:r w:rsidRPr="00A76DAE">
        <w:rPr>
          <w:rFonts w:asciiTheme="majorHAnsi" w:hAnsiTheme="majorHAnsi"/>
          <w:bCs/>
          <w:sz w:val="24"/>
          <w:szCs w:val="23"/>
        </w:rPr>
        <w:t xml:space="preserve">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Pr>
          <w:rFonts w:asciiTheme="majorHAnsi" w:hAnsiTheme="majorHAnsi"/>
          <w:bCs/>
          <w:sz w:val="24"/>
          <w:szCs w:val="23"/>
        </w:rPr>
        <w:t>6.4</w:t>
      </w:r>
      <w:r w:rsidRPr="00A76DAE">
        <w:rPr>
          <w:rFonts w:asciiTheme="majorHAnsi" w:hAnsiTheme="majorHAnsi"/>
          <w:bCs/>
          <w:sz w:val="24"/>
          <w:szCs w:val="23"/>
        </w:rPr>
        <w:t xml:space="preserve"> million</w:t>
      </w:r>
      <w:r w:rsidR="00B30EFF">
        <w:rPr>
          <w:rFonts w:asciiTheme="majorHAnsi" w:hAnsiTheme="majorHAnsi"/>
          <w:bCs/>
          <w:sz w:val="24"/>
          <w:szCs w:val="23"/>
        </w:rPr>
        <w:t xml:space="preserve"> </w:t>
      </w:r>
      <w:r>
        <w:rPr>
          <w:rFonts w:asciiTheme="majorHAnsi" w:hAnsiTheme="majorHAnsi"/>
          <w:bCs/>
          <w:sz w:val="24"/>
          <w:szCs w:val="23"/>
        </w:rPr>
        <w:t>-</w:t>
      </w:r>
      <w:r w:rsidRPr="00A76DAE">
        <w:rPr>
          <w:rFonts w:asciiTheme="majorHAnsi" w:hAnsiTheme="majorHAnsi"/>
          <w:bCs/>
          <w:sz w:val="24"/>
          <w:szCs w:val="23"/>
        </w:rPr>
        <w:t xml:space="preserve"> $</w:t>
      </w:r>
      <w:r>
        <w:rPr>
          <w:rFonts w:asciiTheme="majorHAnsi" w:hAnsiTheme="majorHAnsi"/>
          <w:bCs/>
          <w:sz w:val="24"/>
          <w:szCs w:val="23"/>
        </w:rPr>
        <w:t>12.7</w:t>
      </w:r>
      <w:r w:rsidRPr="00A76DAE">
        <w:rPr>
          <w:rFonts w:asciiTheme="majorHAnsi" w:hAnsiTheme="majorHAnsi"/>
          <w:bCs/>
          <w:sz w:val="24"/>
          <w:szCs w:val="23"/>
        </w:rPr>
        <w:t xml:space="preserve"> million annually.</w:t>
      </w:r>
    </w:p>
    <w:p w14:paraId="7705FEE7" w14:textId="77777777" w:rsidR="00D933FF" w:rsidRDefault="00D933FF" w:rsidP="00E82758">
      <w:pPr>
        <w:tabs>
          <w:tab w:val="left" w:pos="7050"/>
        </w:tabs>
        <w:spacing w:after="0"/>
        <w:rPr>
          <w:rFonts w:asciiTheme="majorHAnsi" w:hAnsiTheme="majorHAnsi"/>
          <w:bCs/>
          <w:sz w:val="24"/>
          <w:szCs w:val="23"/>
        </w:rPr>
      </w:pPr>
    </w:p>
    <w:p w14:paraId="3C10D25D" w14:textId="0C2BB1AD" w:rsidR="007C4FEF" w:rsidRDefault="00DD7F82" w:rsidP="00E522C7">
      <w:pPr>
        <w:tabs>
          <w:tab w:val="left" w:pos="7050"/>
        </w:tabs>
        <w:spacing w:after="0"/>
        <w:rPr>
          <w:rFonts w:asciiTheme="majorHAnsi" w:hAnsiTheme="majorHAnsi"/>
          <w:bCs/>
          <w:sz w:val="24"/>
          <w:szCs w:val="23"/>
        </w:rPr>
      </w:pPr>
      <w:r w:rsidRPr="000A70F3">
        <w:rPr>
          <w:rFonts w:asciiTheme="majorHAnsi" w:hAnsiTheme="majorHAnsi"/>
          <w:bCs/>
          <w:sz w:val="24"/>
          <w:szCs w:val="24"/>
        </w:rPr>
        <w:t xml:space="preserve">Because the tax expenditure has its own specific purpose, the net negative impacts do not necessarily imply that the tax expenditure is not desirable. </w:t>
      </w:r>
      <w:r w:rsidR="00B120B4">
        <w:rPr>
          <w:rFonts w:asciiTheme="majorHAnsi" w:hAnsiTheme="majorHAnsi"/>
          <w:bCs/>
          <w:sz w:val="24"/>
          <w:szCs w:val="24"/>
        </w:rPr>
        <w:t>T</w:t>
      </w:r>
      <w:r w:rsidR="00B120B4" w:rsidRPr="000A70F3">
        <w:rPr>
          <w:rFonts w:asciiTheme="majorHAnsi" w:eastAsiaTheme="majorEastAsia" w:hAnsiTheme="majorHAnsi" w:cstheme="majorBidi"/>
          <w:bCs/>
          <w:color w:val="000000" w:themeColor="text1"/>
          <w:sz w:val="24"/>
          <w:szCs w:val="24"/>
        </w:rPr>
        <w:t>he statute does not explicitly state the purpose of this tax expenditure</w:t>
      </w:r>
      <w:r w:rsidR="00B120B4">
        <w:rPr>
          <w:rFonts w:asciiTheme="majorHAnsi" w:eastAsiaTheme="majorEastAsia" w:hAnsiTheme="majorHAnsi" w:cstheme="majorBidi"/>
          <w:bCs/>
          <w:color w:val="000000" w:themeColor="text1"/>
          <w:sz w:val="24"/>
          <w:szCs w:val="24"/>
        </w:rPr>
        <w:t>; h</w:t>
      </w:r>
      <w:r w:rsidR="00B120B4" w:rsidRPr="000A70F3">
        <w:rPr>
          <w:rFonts w:asciiTheme="majorHAnsi" w:eastAsiaTheme="majorEastAsia" w:hAnsiTheme="majorHAnsi" w:cstheme="majorBidi"/>
          <w:bCs/>
          <w:color w:val="000000" w:themeColor="text1"/>
          <w:sz w:val="24"/>
          <w:szCs w:val="24"/>
        </w:rPr>
        <w:t>owever, the exemption avoids taxation of property at both the local and state level</w:t>
      </w:r>
      <w:r w:rsidR="00B120B4">
        <w:rPr>
          <w:rFonts w:asciiTheme="majorHAnsi" w:eastAsiaTheme="majorEastAsia" w:hAnsiTheme="majorHAnsi" w:cstheme="majorBidi"/>
          <w:bCs/>
          <w:color w:val="000000" w:themeColor="text1"/>
          <w:sz w:val="24"/>
          <w:szCs w:val="24"/>
        </w:rPr>
        <w:t>.</w:t>
      </w:r>
    </w:p>
    <w:p w14:paraId="6C6309BB" w14:textId="77777777" w:rsidR="008E3EDC" w:rsidRDefault="008E3EDC" w:rsidP="008E3EDC">
      <w:pPr>
        <w:tabs>
          <w:tab w:val="left" w:pos="7050"/>
        </w:tabs>
        <w:spacing w:after="0"/>
        <w:rPr>
          <w:rFonts w:asciiTheme="majorHAnsi" w:hAnsiTheme="majorHAnsi"/>
          <w:bCs/>
          <w:sz w:val="24"/>
          <w:szCs w:val="23"/>
        </w:rPr>
      </w:pPr>
    </w:p>
    <w:p w14:paraId="2E7943DF" w14:textId="77777777" w:rsidR="000A6847" w:rsidRPr="00366FFC" w:rsidRDefault="000A6847" w:rsidP="00CF307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405E25">
        <w:rPr>
          <w:rFonts w:asciiTheme="majorHAnsi" w:eastAsiaTheme="majorEastAsia" w:hAnsiTheme="majorHAnsi" w:cstheme="majorBidi"/>
          <w:b/>
          <w:color w:val="000000" w:themeColor="text1"/>
          <w:sz w:val="24"/>
          <w:szCs w:val="24"/>
        </w:rPr>
        <w:t>6</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Net Additional Revenue Impact of Exemption for </w:t>
      </w:r>
      <w:r w:rsidR="00CA7D50">
        <w:rPr>
          <w:rFonts w:asciiTheme="majorHAnsi" w:eastAsiaTheme="majorEastAsia" w:hAnsiTheme="majorHAnsi" w:cstheme="majorBidi"/>
          <w:b/>
          <w:color w:val="000000" w:themeColor="text1"/>
          <w:sz w:val="24"/>
          <w:szCs w:val="24"/>
        </w:rPr>
        <w:t xml:space="preserve">Tangible </w:t>
      </w:r>
      <w:r>
        <w:rPr>
          <w:rFonts w:asciiTheme="majorHAnsi" w:eastAsiaTheme="majorEastAsia" w:hAnsiTheme="majorHAnsi" w:cstheme="majorBidi"/>
          <w:b/>
          <w:color w:val="000000" w:themeColor="text1"/>
          <w:sz w:val="24"/>
          <w:szCs w:val="24"/>
        </w:rPr>
        <w:t>Property Subject to Local Taxation</w:t>
      </w:r>
      <w:r w:rsidR="00CA7D50">
        <w:rPr>
          <w:rFonts w:asciiTheme="majorHAnsi" w:eastAsiaTheme="majorEastAsia" w:hAnsiTheme="majorHAnsi" w:cstheme="majorBidi"/>
          <w:b/>
          <w:color w:val="000000" w:themeColor="text1"/>
          <w:sz w:val="24"/>
          <w:szCs w:val="24"/>
        </w:rPr>
        <w:t>*</w:t>
      </w:r>
      <w:r>
        <w:rPr>
          <w:rFonts w:asciiTheme="majorHAnsi" w:eastAsiaTheme="majorEastAsia" w:hAnsiTheme="majorHAnsi" w:cstheme="majorBidi"/>
          <w:b/>
          <w:color w:val="000000" w:themeColor="text1"/>
          <w:sz w:val="24"/>
          <w:szCs w:val="24"/>
        </w:rPr>
        <w:t xml:space="preserve"> </w:t>
      </w:r>
    </w:p>
    <w:tbl>
      <w:tblPr>
        <w:tblW w:w="9350" w:type="dxa"/>
        <w:tblLook w:val="04A0" w:firstRow="1" w:lastRow="0" w:firstColumn="1" w:lastColumn="0" w:noHBand="0" w:noVBand="1"/>
      </w:tblPr>
      <w:tblGrid>
        <w:gridCol w:w="4005"/>
        <w:gridCol w:w="1069"/>
        <w:gridCol w:w="1069"/>
        <w:gridCol w:w="1069"/>
        <w:gridCol w:w="1069"/>
        <w:gridCol w:w="1069"/>
      </w:tblGrid>
      <w:tr w:rsidR="0084709B" w:rsidRPr="003F4280" w14:paraId="570DCDC8" w14:textId="77777777" w:rsidTr="00CF3070">
        <w:trPr>
          <w:trHeight w:val="500"/>
        </w:trPr>
        <w:tc>
          <w:tcPr>
            <w:tcW w:w="377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D2D7C14" w14:textId="77777777" w:rsidR="000A6847" w:rsidRPr="003F4280" w:rsidRDefault="000A6847" w:rsidP="00C61177">
            <w:pPr>
              <w:spacing w:after="0" w:line="240" w:lineRule="auto"/>
              <w:jc w:val="center"/>
              <w:rPr>
                <w:rFonts w:ascii="Cambria" w:eastAsia="Times New Roman" w:hAnsi="Cambria" w:cs="Arial"/>
                <w:sz w:val="20"/>
                <w:szCs w:val="20"/>
                <w:lang w:eastAsia="ko-KR"/>
              </w:rPr>
            </w:pPr>
            <w:r w:rsidRPr="003F4280">
              <w:rPr>
                <w:rFonts w:ascii="Cambria" w:eastAsia="Times New Roman" w:hAnsi="Cambria" w:cs="Arial"/>
                <w:sz w:val="20"/>
                <w:szCs w:val="20"/>
                <w:lang w:eastAsia="ko-KR"/>
              </w:rPr>
              <w:t>Fiscal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54FE02B3" w14:textId="77777777" w:rsidR="000A6847" w:rsidRPr="003F4280" w:rsidRDefault="000A6847" w:rsidP="00C61177">
            <w:pPr>
              <w:spacing w:after="0" w:line="240" w:lineRule="auto"/>
              <w:jc w:val="center"/>
              <w:rPr>
                <w:rFonts w:ascii="Cambria" w:eastAsia="Times New Roman" w:hAnsi="Cambria" w:cs="Arial"/>
                <w:sz w:val="20"/>
                <w:szCs w:val="20"/>
                <w:lang w:eastAsia="ko-KR"/>
              </w:rPr>
            </w:pPr>
            <w:r w:rsidRPr="003F4280">
              <w:rPr>
                <w:rFonts w:ascii="Cambria" w:eastAsia="Times New Roman" w:hAnsi="Cambria" w:cs="Arial"/>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FBA7B8C" w14:textId="77777777" w:rsidR="000A6847" w:rsidRPr="003F4280" w:rsidRDefault="000A6847" w:rsidP="00C61177">
            <w:pPr>
              <w:spacing w:after="0" w:line="240" w:lineRule="auto"/>
              <w:jc w:val="center"/>
              <w:rPr>
                <w:rFonts w:ascii="Cambria" w:eastAsia="Times New Roman" w:hAnsi="Cambria" w:cs="Arial"/>
                <w:sz w:val="20"/>
                <w:szCs w:val="20"/>
                <w:lang w:eastAsia="ko-KR"/>
              </w:rPr>
            </w:pPr>
            <w:r w:rsidRPr="003F4280">
              <w:rPr>
                <w:rFonts w:ascii="Cambria" w:eastAsia="Times New Roman" w:hAnsi="Cambria" w:cs="Arial"/>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02280A1" w14:textId="77777777" w:rsidR="000A6847" w:rsidRPr="003F4280" w:rsidRDefault="000A6847" w:rsidP="00C61177">
            <w:pPr>
              <w:spacing w:after="0" w:line="240" w:lineRule="auto"/>
              <w:jc w:val="center"/>
              <w:rPr>
                <w:rFonts w:ascii="Cambria" w:eastAsia="Times New Roman" w:hAnsi="Cambria" w:cs="Arial"/>
                <w:sz w:val="20"/>
                <w:szCs w:val="20"/>
                <w:lang w:eastAsia="ko-KR"/>
              </w:rPr>
            </w:pPr>
            <w:r w:rsidRPr="003F4280">
              <w:rPr>
                <w:rFonts w:ascii="Cambria" w:eastAsia="Times New Roman" w:hAnsi="Cambria" w:cs="Arial"/>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66AD6100" w14:textId="77777777" w:rsidR="000A6847" w:rsidRPr="003F4280" w:rsidRDefault="000A6847" w:rsidP="00C61177">
            <w:pPr>
              <w:spacing w:after="0" w:line="240" w:lineRule="auto"/>
              <w:jc w:val="center"/>
              <w:rPr>
                <w:rFonts w:ascii="Cambria" w:eastAsia="Times New Roman" w:hAnsi="Cambria" w:cs="Arial"/>
                <w:sz w:val="20"/>
                <w:szCs w:val="20"/>
                <w:lang w:eastAsia="ko-KR"/>
              </w:rPr>
            </w:pPr>
            <w:r w:rsidRPr="003F4280">
              <w:rPr>
                <w:rFonts w:ascii="Cambria" w:eastAsia="Times New Roman" w:hAnsi="Cambria" w:cs="Arial"/>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46F25E7" w14:textId="77777777" w:rsidR="000A6847" w:rsidRPr="003F4280" w:rsidRDefault="000A6847" w:rsidP="00C61177">
            <w:pPr>
              <w:spacing w:after="0" w:line="240" w:lineRule="auto"/>
              <w:jc w:val="center"/>
              <w:rPr>
                <w:rFonts w:ascii="Cambria" w:eastAsia="Times New Roman" w:hAnsi="Cambria" w:cs="Arial"/>
                <w:sz w:val="20"/>
                <w:szCs w:val="20"/>
                <w:lang w:eastAsia="ko-KR"/>
              </w:rPr>
            </w:pPr>
            <w:r w:rsidRPr="003F4280">
              <w:rPr>
                <w:rFonts w:ascii="Cambria" w:eastAsia="Times New Roman" w:hAnsi="Cambria" w:cs="Arial"/>
                <w:sz w:val="20"/>
                <w:szCs w:val="20"/>
                <w:lang w:eastAsia="ko-KR"/>
              </w:rPr>
              <w:t>2022</w:t>
            </w:r>
          </w:p>
        </w:tc>
      </w:tr>
      <w:tr w:rsidR="0084709B" w:rsidRPr="003F4280" w14:paraId="2DDCF701" w14:textId="77777777" w:rsidTr="00CF3070">
        <w:trPr>
          <w:trHeight w:val="50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479C5AB5" w14:textId="77777777" w:rsidR="005456DC" w:rsidRPr="003F4280" w:rsidRDefault="005456DC" w:rsidP="005456DC">
            <w:pPr>
              <w:spacing w:after="0" w:line="240" w:lineRule="auto"/>
              <w:jc w:val="center"/>
              <w:rPr>
                <w:rFonts w:ascii="Cambria" w:eastAsia="Times New Roman" w:hAnsi="Cambria" w:cs="Arial"/>
                <w:sz w:val="20"/>
                <w:szCs w:val="20"/>
                <w:lang w:eastAsia="ko-KR"/>
              </w:rPr>
            </w:pPr>
            <w:r w:rsidRPr="003F4280">
              <w:rPr>
                <w:rFonts w:ascii="Cambria" w:eastAsia="Times New Roman" w:hAnsi="Cambria" w:cs="Arial"/>
                <w:sz w:val="20"/>
                <w:szCs w:val="20"/>
                <w:lang w:eastAsia="ko-KR"/>
              </w:rPr>
              <w:t>Net additional revenue impact ($000)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09E8E" w14:textId="77777777" w:rsidR="005456DC" w:rsidRPr="003F4280"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-$6,388</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3DF8E65" w14:textId="77777777" w:rsidR="005456DC" w:rsidRPr="003F4280"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-$12,748</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2266863F" w14:textId="77777777" w:rsidR="005456DC" w:rsidRPr="003F4280"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-$12,227</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5238D249" w14:textId="77777777" w:rsidR="005456DC" w:rsidRPr="003F4280"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-$11,965</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68E82B96" w14:textId="77777777" w:rsidR="005456DC" w:rsidRPr="003F4280"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-$11,785</w:t>
            </w:r>
          </w:p>
        </w:tc>
      </w:tr>
    </w:tbl>
    <w:p w14:paraId="10FCAF38" w14:textId="77777777" w:rsidR="0084709B" w:rsidRPr="00304366" w:rsidRDefault="0084709B" w:rsidP="0084709B">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exemption for tangible property subject to local taxation to balance budget</w:t>
      </w:r>
      <w:r w:rsidRPr="00304366">
        <w:rPr>
          <w:rFonts w:asciiTheme="majorHAnsi" w:hAnsiTheme="majorHAnsi"/>
          <w:bCs/>
          <w:sz w:val="20"/>
          <w:szCs w:val="20"/>
        </w:rPr>
        <w:t>.</w:t>
      </w:r>
    </w:p>
    <w:p w14:paraId="48DAA041" w14:textId="77777777" w:rsidR="000A6847" w:rsidRDefault="000A6847" w:rsidP="000A6847">
      <w:pPr>
        <w:tabs>
          <w:tab w:val="left" w:pos="7050"/>
        </w:tabs>
        <w:spacing w:after="0"/>
        <w:rPr>
          <w:rFonts w:asciiTheme="majorHAnsi" w:hAnsiTheme="majorHAnsi"/>
          <w:b/>
          <w:sz w:val="24"/>
          <w:szCs w:val="24"/>
        </w:rPr>
      </w:pPr>
    </w:p>
    <w:p w14:paraId="0642BE33" w14:textId="77777777" w:rsidR="000A6847" w:rsidRDefault="000A6847" w:rsidP="00CF307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405E25">
        <w:rPr>
          <w:rFonts w:asciiTheme="majorHAnsi" w:eastAsiaTheme="majorEastAsia" w:hAnsiTheme="majorHAnsi" w:cstheme="majorBidi"/>
          <w:b/>
          <w:color w:val="000000" w:themeColor="text1"/>
          <w:sz w:val="24"/>
          <w:szCs w:val="24"/>
        </w:rPr>
        <w:t>7</w:t>
      </w:r>
      <w:r w:rsidRPr="00366FFC">
        <w:rPr>
          <w:rFonts w:asciiTheme="majorHAnsi" w:eastAsiaTheme="majorEastAsia" w:hAnsiTheme="majorHAnsi" w:cstheme="majorBidi"/>
          <w:b/>
          <w:color w:val="000000" w:themeColor="text1"/>
          <w:sz w:val="24"/>
          <w:szCs w:val="24"/>
        </w:rPr>
        <w:t xml:space="preserve">. </w:t>
      </w:r>
      <w:r w:rsidR="0084709B">
        <w:rPr>
          <w:rFonts w:asciiTheme="majorHAnsi" w:eastAsiaTheme="majorEastAsia" w:hAnsiTheme="majorHAnsi" w:cstheme="majorBidi"/>
          <w:b/>
          <w:color w:val="000000" w:themeColor="text1"/>
          <w:sz w:val="24"/>
          <w:szCs w:val="24"/>
        </w:rPr>
        <w:t>Net Economic Impacts of Exemption for Tangible Property Subject to Local Taxation by Selected Economic Measure*</w:t>
      </w:r>
    </w:p>
    <w:tbl>
      <w:tblPr>
        <w:tblW w:w="9350" w:type="dxa"/>
        <w:tblLook w:val="04A0" w:firstRow="1" w:lastRow="0" w:firstColumn="1" w:lastColumn="0" w:noHBand="0" w:noVBand="1"/>
      </w:tblPr>
      <w:tblGrid>
        <w:gridCol w:w="3295"/>
        <w:gridCol w:w="1211"/>
        <w:gridCol w:w="1211"/>
        <w:gridCol w:w="1211"/>
        <w:gridCol w:w="1211"/>
        <w:gridCol w:w="1211"/>
      </w:tblGrid>
      <w:tr w:rsidR="000A6847" w:rsidRPr="007D73B4" w14:paraId="2588D101" w14:textId="77777777" w:rsidTr="00CF3070">
        <w:trPr>
          <w:trHeight w:val="380"/>
        </w:trPr>
        <w:tc>
          <w:tcPr>
            <w:tcW w:w="278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987632C" w14:textId="77777777" w:rsidR="000A6847" w:rsidRPr="007D73B4" w:rsidRDefault="000A6847" w:rsidP="00C61177">
            <w:pPr>
              <w:spacing w:after="0" w:line="240" w:lineRule="auto"/>
              <w:jc w:val="center"/>
              <w:rPr>
                <w:rFonts w:ascii="Cambria" w:eastAsia="Times New Roman" w:hAnsi="Cambria" w:cs="Arial"/>
                <w:sz w:val="20"/>
                <w:szCs w:val="20"/>
                <w:lang w:eastAsia="ko-KR"/>
              </w:rPr>
            </w:pPr>
            <w:r w:rsidRPr="007D73B4">
              <w:rPr>
                <w:rFonts w:ascii="Cambria" w:eastAsia="Times New Roman" w:hAnsi="Cambria" w:cs="Arial"/>
                <w:sz w:val="20"/>
                <w:szCs w:val="20"/>
                <w:lang w:eastAsia="ko-KR"/>
              </w:rPr>
              <w:t>Calendar Year</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69F4751C" w14:textId="77777777" w:rsidR="000A6847" w:rsidRPr="007D73B4" w:rsidRDefault="000A6847" w:rsidP="00C61177">
            <w:pPr>
              <w:spacing w:after="0" w:line="240" w:lineRule="auto"/>
              <w:jc w:val="center"/>
              <w:rPr>
                <w:rFonts w:ascii="Cambria" w:eastAsia="Times New Roman" w:hAnsi="Cambria" w:cs="Arial"/>
                <w:sz w:val="20"/>
                <w:szCs w:val="20"/>
                <w:lang w:eastAsia="ko-KR"/>
              </w:rPr>
            </w:pPr>
            <w:r w:rsidRPr="007D73B4">
              <w:rPr>
                <w:rFonts w:ascii="Cambria" w:eastAsia="Times New Roman" w:hAnsi="Cambria" w:cs="Arial"/>
                <w:sz w:val="20"/>
                <w:szCs w:val="20"/>
                <w:lang w:eastAsia="ko-KR"/>
              </w:rPr>
              <w:t>2018</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623DA31D" w14:textId="77777777" w:rsidR="000A6847" w:rsidRPr="007D73B4" w:rsidRDefault="000A6847" w:rsidP="00C61177">
            <w:pPr>
              <w:spacing w:after="0" w:line="240" w:lineRule="auto"/>
              <w:jc w:val="center"/>
              <w:rPr>
                <w:rFonts w:ascii="Cambria" w:eastAsia="Times New Roman" w:hAnsi="Cambria" w:cs="Arial"/>
                <w:sz w:val="20"/>
                <w:szCs w:val="20"/>
                <w:lang w:eastAsia="ko-KR"/>
              </w:rPr>
            </w:pPr>
            <w:r w:rsidRPr="007D73B4">
              <w:rPr>
                <w:rFonts w:ascii="Cambria" w:eastAsia="Times New Roman" w:hAnsi="Cambria" w:cs="Arial"/>
                <w:sz w:val="20"/>
                <w:szCs w:val="20"/>
                <w:lang w:eastAsia="ko-KR"/>
              </w:rPr>
              <w:t>2019</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71A7779C" w14:textId="77777777" w:rsidR="000A6847" w:rsidRPr="007D73B4" w:rsidRDefault="000A6847" w:rsidP="00C61177">
            <w:pPr>
              <w:spacing w:after="0" w:line="240" w:lineRule="auto"/>
              <w:jc w:val="center"/>
              <w:rPr>
                <w:rFonts w:ascii="Cambria" w:eastAsia="Times New Roman" w:hAnsi="Cambria" w:cs="Arial"/>
                <w:sz w:val="20"/>
                <w:szCs w:val="20"/>
                <w:lang w:eastAsia="ko-KR"/>
              </w:rPr>
            </w:pPr>
            <w:r w:rsidRPr="007D73B4">
              <w:rPr>
                <w:rFonts w:ascii="Cambria" w:eastAsia="Times New Roman" w:hAnsi="Cambria" w:cs="Arial"/>
                <w:sz w:val="20"/>
                <w:szCs w:val="20"/>
                <w:lang w:eastAsia="ko-KR"/>
              </w:rPr>
              <w:t>2020</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40A480FA" w14:textId="77777777" w:rsidR="000A6847" w:rsidRPr="007D73B4" w:rsidRDefault="000A6847" w:rsidP="00C61177">
            <w:pPr>
              <w:spacing w:after="0" w:line="240" w:lineRule="auto"/>
              <w:jc w:val="center"/>
              <w:rPr>
                <w:rFonts w:ascii="Cambria" w:eastAsia="Times New Roman" w:hAnsi="Cambria" w:cs="Arial"/>
                <w:sz w:val="20"/>
                <w:szCs w:val="20"/>
                <w:lang w:eastAsia="ko-KR"/>
              </w:rPr>
            </w:pPr>
            <w:r w:rsidRPr="007D73B4">
              <w:rPr>
                <w:rFonts w:ascii="Cambria" w:eastAsia="Times New Roman" w:hAnsi="Cambria" w:cs="Arial"/>
                <w:sz w:val="20"/>
                <w:szCs w:val="20"/>
                <w:lang w:eastAsia="ko-KR"/>
              </w:rPr>
              <w:t>2021</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01F4C07B" w14:textId="77777777" w:rsidR="000A6847" w:rsidRPr="007D73B4" w:rsidRDefault="000A6847" w:rsidP="00C61177">
            <w:pPr>
              <w:spacing w:after="0" w:line="240" w:lineRule="auto"/>
              <w:jc w:val="center"/>
              <w:rPr>
                <w:rFonts w:ascii="Cambria" w:eastAsia="Times New Roman" w:hAnsi="Cambria" w:cs="Arial"/>
                <w:sz w:val="20"/>
                <w:szCs w:val="20"/>
                <w:lang w:eastAsia="ko-KR"/>
              </w:rPr>
            </w:pPr>
            <w:r w:rsidRPr="007D73B4">
              <w:rPr>
                <w:rFonts w:ascii="Cambria" w:eastAsia="Times New Roman" w:hAnsi="Cambria" w:cs="Arial"/>
                <w:sz w:val="20"/>
                <w:szCs w:val="20"/>
                <w:lang w:eastAsia="ko-KR"/>
              </w:rPr>
              <w:t>2022</w:t>
            </w:r>
          </w:p>
        </w:tc>
      </w:tr>
      <w:tr w:rsidR="005456DC" w:rsidRPr="007D73B4" w14:paraId="7F11EEBA" w14:textId="77777777" w:rsidTr="00CF3070">
        <w:trPr>
          <w:trHeight w:val="41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0CC6CE30" w14:textId="77777777" w:rsidR="005456DC" w:rsidRPr="007D73B4" w:rsidRDefault="005456DC" w:rsidP="005456DC">
            <w:pPr>
              <w:spacing w:after="0" w:line="240" w:lineRule="auto"/>
              <w:rPr>
                <w:rFonts w:ascii="Cambria" w:eastAsia="Times New Roman" w:hAnsi="Cambria" w:cs="Arial"/>
                <w:sz w:val="20"/>
                <w:szCs w:val="20"/>
                <w:lang w:eastAsia="ko-KR"/>
              </w:rPr>
            </w:pPr>
            <w:r w:rsidRPr="007D73B4">
              <w:rPr>
                <w:rFonts w:ascii="Cambria" w:eastAsia="Times New Roman" w:hAnsi="Cambria" w:cs="Arial"/>
                <w:sz w:val="20"/>
                <w:szCs w:val="20"/>
                <w:lang w:eastAsia="ko-KR"/>
              </w:rPr>
              <w:t>Impact on total employment</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0C21B"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-3,976</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66836843"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-3,482</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5A43C61A"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-3,246</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7513C5A2"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-3,018</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1291D12A"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-2,911</w:t>
            </w:r>
          </w:p>
        </w:tc>
      </w:tr>
      <w:tr w:rsidR="005456DC" w:rsidRPr="007D73B4" w14:paraId="76979D95" w14:textId="77777777" w:rsidTr="00CF3070">
        <w:trPr>
          <w:trHeight w:val="5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E0057CB" w14:textId="77777777" w:rsidR="005456DC" w:rsidRPr="007D73B4" w:rsidRDefault="005456DC" w:rsidP="005456DC">
            <w:pPr>
              <w:spacing w:after="0" w:line="240" w:lineRule="auto"/>
              <w:rPr>
                <w:rFonts w:ascii="Cambria" w:eastAsia="Times New Roman" w:hAnsi="Cambria" w:cs="Arial"/>
                <w:sz w:val="20"/>
                <w:szCs w:val="20"/>
                <w:lang w:eastAsia="ko-KR"/>
              </w:rPr>
            </w:pPr>
            <w:r w:rsidRPr="007D73B4">
              <w:rPr>
                <w:rFonts w:ascii="Cambria" w:eastAsia="Times New Roman" w:hAnsi="Cambria" w:cs="Arial"/>
                <w:sz w:val="20"/>
                <w:szCs w:val="20"/>
                <w:lang w:eastAsia="ko-KR"/>
              </w:rPr>
              <w:t>Impact on private non-farm employment</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E34FB43"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-1,065</w:t>
            </w:r>
          </w:p>
        </w:tc>
        <w:tc>
          <w:tcPr>
            <w:tcW w:w="864" w:type="dxa"/>
            <w:tcBorders>
              <w:top w:val="nil"/>
              <w:left w:val="nil"/>
              <w:bottom w:val="single" w:sz="4" w:space="0" w:color="auto"/>
              <w:right w:val="single" w:sz="4" w:space="0" w:color="auto"/>
            </w:tcBorders>
            <w:shd w:val="clear" w:color="auto" w:fill="auto"/>
            <w:noWrap/>
            <w:vAlign w:val="center"/>
            <w:hideMark/>
          </w:tcPr>
          <w:p w14:paraId="7197FE32"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-479</w:t>
            </w:r>
          </w:p>
        </w:tc>
        <w:tc>
          <w:tcPr>
            <w:tcW w:w="864" w:type="dxa"/>
            <w:tcBorders>
              <w:top w:val="nil"/>
              <w:left w:val="nil"/>
              <w:bottom w:val="single" w:sz="4" w:space="0" w:color="auto"/>
              <w:right w:val="single" w:sz="4" w:space="0" w:color="auto"/>
            </w:tcBorders>
            <w:shd w:val="clear" w:color="auto" w:fill="auto"/>
            <w:noWrap/>
            <w:vAlign w:val="center"/>
            <w:hideMark/>
          </w:tcPr>
          <w:p w14:paraId="6EFFC197"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-192</w:t>
            </w:r>
          </w:p>
        </w:tc>
        <w:tc>
          <w:tcPr>
            <w:tcW w:w="864" w:type="dxa"/>
            <w:tcBorders>
              <w:top w:val="nil"/>
              <w:left w:val="nil"/>
              <w:bottom w:val="single" w:sz="4" w:space="0" w:color="auto"/>
              <w:right w:val="single" w:sz="4" w:space="0" w:color="auto"/>
            </w:tcBorders>
            <w:shd w:val="clear" w:color="auto" w:fill="auto"/>
            <w:noWrap/>
            <w:vAlign w:val="center"/>
            <w:hideMark/>
          </w:tcPr>
          <w:p w14:paraId="64B2C0C1"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41</w:t>
            </w:r>
          </w:p>
        </w:tc>
        <w:tc>
          <w:tcPr>
            <w:tcW w:w="864" w:type="dxa"/>
            <w:tcBorders>
              <w:top w:val="nil"/>
              <w:left w:val="nil"/>
              <w:bottom w:val="single" w:sz="4" w:space="0" w:color="auto"/>
              <w:right w:val="single" w:sz="4" w:space="0" w:color="auto"/>
            </w:tcBorders>
            <w:shd w:val="clear" w:color="auto" w:fill="auto"/>
            <w:noWrap/>
            <w:vAlign w:val="center"/>
            <w:hideMark/>
          </w:tcPr>
          <w:p w14:paraId="3899928B"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165</w:t>
            </w:r>
          </w:p>
        </w:tc>
      </w:tr>
      <w:tr w:rsidR="005456DC" w:rsidRPr="007D73B4" w14:paraId="72D4B38F" w14:textId="77777777" w:rsidTr="00CF3070">
        <w:trPr>
          <w:trHeight w:val="5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31855B16" w14:textId="77777777" w:rsidR="005456DC" w:rsidRPr="007D73B4" w:rsidRDefault="005456DC" w:rsidP="005456DC">
            <w:pPr>
              <w:spacing w:after="0" w:line="240" w:lineRule="auto"/>
              <w:rPr>
                <w:rFonts w:ascii="Cambria" w:eastAsia="Times New Roman" w:hAnsi="Cambria" w:cs="Arial"/>
                <w:sz w:val="20"/>
                <w:szCs w:val="20"/>
                <w:lang w:eastAsia="ko-KR"/>
              </w:rPr>
            </w:pPr>
            <w:r w:rsidRPr="007D73B4">
              <w:rPr>
                <w:rFonts w:ascii="Cambria" w:eastAsia="Times New Roman" w:hAnsi="Cambria" w:cs="Arial"/>
                <w:sz w:val="20"/>
                <w:szCs w:val="20"/>
                <w:lang w:eastAsia="ko-KR"/>
              </w:rPr>
              <w:t>Impact on GDP ($000), real dollars</w:t>
            </w:r>
            <w:r>
              <w:rPr>
                <w:rFonts w:ascii="Cambria" w:eastAsia="Times New Roman" w:hAnsi="Cambria" w:cs="Arial"/>
                <w:sz w:val="20"/>
                <w:szCs w:val="20"/>
                <w:lang w:eastAsia="ko-KR"/>
              </w:rPr>
              <w:t xml:space="preserve"> </w:t>
            </w:r>
            <w:r w:rsidRPr="007D73B4">
              <w:rPr>
                <w:rFonts w:ascii="Cambria" w:eastAsia="Times New Roman" w:hAnsi="Cambria" w:cs="Arial"/>
                <w:sz w:val="20"/>
                <w:szCs w:val="20"/>
                <w:lang w:eastAsia="ko-KR"/>
              </w:rPr>
              <w:t>(2012)</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4041B81"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-$318,000</w:t>
            </w:r>
          </w:p>
        </w:tc>
        <w:tc>
          <w:tcPr>
            <w:tcW w:w="864" w:type="dxa"/>
            <w:tcBorders>
              <w:top w:val="nil"/>
              <w:left w:val="nil"/>
              <w:bottom w:val="single" w:sz="4" w:space="0" w:color="auto"/>
              <w:right w:val="single" w:sz="4" w:space="0" w:color="auto"/>
            </w:tcBorders>
            <w:shd w:val="clear" w:color="auto" w:fill="auto"/>
            <w:noWrap/>
            <w:vAlign w:val="center"/>
            <w:hideMark/>
          </w:tcPr>
          <w:p w14:paraId="0CA00CC4"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-$264,000</w:t>
            </w:r>
          </w:p>
        </w:tc>
        <w:tc>
          <w:tcPr>
            <w:tcW w:w="864" w:type="dxa"/>
            <w:tcBorders>
              <w:top w:val="nil"/>
              <w:left w:val="nil"/>
              <w:bottom w:val="single" w:sz="4" w:space="0" w:color="auto"/>
              <w:right w:val="single" w:sz="4" w:space="0" w:color="auto"/>
            </w:tcBorders>
            <w:shd w:val="clear" w:color="auto" w:fill="auto"/>
            <w:noWrap/>
            <w:vAlign w:val="center"/>
            <w:hideMark/>
          </w:tcPr>
          <w:p w14:paraId="73167A11"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-$233,000</w:t>
            </w:r>
          </w:p>
        </w:tc>
        <w:tc>
          <w:tcPr>
            <w:tcW w:w="864" w:type="dxa"/>
            <w:tcBorders>
              <w:top w:val="nil"/>
              <w:left w:val="nil"/>
              <w:bottom w:val="single" w:sz="4" w:space="0" w:color="auto"/>
              <w:right w:val="single" w:sz="4" w:space="0" w:color="auto"/>
            </w:tcBorders>
            <w:shd w:val="clear" w:color="auto" w:fill="auto"/>
            <w:noWrap/>
            <w:vAlign w:val="center"/>
            <w:hideMark/>
          </w:tcPr>
          <w:p w14:paraId="4055C73A"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-$205,000</w:t>
            </w:r>
          </w:p>
        </w:tc>
        <w:tc>
          <w:tcPr>
            <w:tcW w:w="864" w:type="dxa"/>
            <w:tcBorders>
              <w:top w:val="nil"/>
              <w:left w:val="nil"/>
              <w:bottom w:val="single" w:sz="4" w:space="0" w:color="auto"/>
              <w:right w:val="single" w:sz="4" w:space="0" w:color="auto"/>
            </w:tcBorders>
            <w:shd w:val="clear" w:color="auto" w:fill="auto"/>
            <w:noWrap/>
            <w:vAlign w:val="center"/>
            <w:hideMark/>
          </w:tcPr>
          <w:p w14:paraId="35C8C906"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-$187,000</w:t>
            </w:r>
          </w:p>
        </w:tc>
      </w:tr>
      <w:tr w:rsidR="005456DC" w:rsidRPr="007D73B4" w14:paraId="231C0B67" w14:textId="77777777" w:rsidTr="00CF3070">
        <w:trPr>
          <w:trHeight w:val="5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4F9609F" w14:textId="77777777" w:rsidR="005456DC" w:rsidRPr="007D73B4" w:rsidRDefault="005456DC" w:rsidP="005456DC">
            <w:pPr>
              <w:spacing w:after="0" w:line="240" w:lineRule="auto"/>
              <w:rPr>
                <w:rFonts w:ascii="Cambria" w:eastAsia="Times New Roman" w:hAnsi="Cambria" w:cs="Arial"/>
                <w:sz w:val="20"/>
                <w:szCs w:val="20"/>
                <w:lang w:eastAsia="ko-KR"/>
              </w:rPr>
            </w:pPr>
            <w:r w:rsidRPr="007D73B4">
              <w:rPr>
                <w:rFonts w:ascii="Cambria" w:eastAsia="Times New Roman" w:hAnsi="Cambria" w:cs="Arial"/>
                <w:sz w:val="20"/>
                <w:szCs w:val="20"/>
                <w:lang w:eastAsia="ko-KR"/>
              </w:rPr>
              <w:t>Impact on personal income ($000)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DFC8E59"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-$294,000</w:t>
            </w:r>
          </w:p>
        </w:tc>
        <w:tc>
          <w:tcPr>
            <w:tcW w:w="864" w:type="dxa"/>
            <w:tcBorders>
              <w:top w:val="nil"/>
              <w:left w:val="nil"/>
              <w:bottom w:val="single" w:sz="4" w:space="0" w:color="auto"/>
              <w:right w:val="single" w:sz="4" w:space="0" w:color="auto"/>
            </w:tcBorders>
            <w:shd w:val="clear" w:color="auto" w:fill="auto"/>
            <w:noWrap/>
            <w:vAlign w:val="center"/>
            <w:hideMark/>
          </w:tcPr>
          <w:p w14:paraId="6CEDDD52"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-$288,000</w:t>
            </w:r>
          </w:p>
        </w:tc>
        <w:tc>
          <w:tcPr>
            <w:tcW w:w="864" w:type="dxa"/>
            <w:tcBorders>
              <w:top w:val="nil"/>
              <w:left w:val="nil"/>
              <w:bottom w:val="single" w:sz="4" w:space="0" w:color="auto"/>
              <w:right w:val="single" w:sz="4" w:space="0" w:color="auto"/>
            </w:tcBorders>
            <w:shd w:val="clear" w:color="auto" w:fill="auto"/>
            <w:noWrap/>
            <w:vAlign w:val="center"/>
            <w:hideMark/>
          </w:tcPr>
          <w:p w14:paraId="7C508FB1"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-$291,000</w:t>
            </w:r>
          </w:p>
        </w:tc>
        <w:tc>
          <w:tcPr>
            <w:tcW w:w="864" w:type="dxa"/>
            <w:tcBorders>
              <w:top w:val="nil"/>
              <w:left w:val="nil"/>
              <w:bottom w:val="single" w:sz="4" w:space="0" w:color="auto"/>
              <w:right w:val="single" w:sz="4" w:space="0" w:color="auto"/>
            </w:tcBorders>
            <w:shd w:val="clear" w:color="auto" w:fill="auto"/>
            <w:noWrap/>
            <w:vAlign w:val="center"/>
            <w:hideMark/>
          </w:tcPr>
          <w:p w14:paraId="39A571B6"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-$289,000</w:t>
            </w:r>
          </w:p>
        </w:tc>
        <w:tc>
          <w:tcPr>
            <w:tcW w:w="864" w:type="dxa"/>
            <w:tcBorders>
              <w:top w:val="nil"/>
              <w:left w:val="nil"/>
              <w:bottom w:val="single" w:sz="4" w:space="0" w:color="auto"/>
              <w:right w:val="single" w:sz="4" w:space="0" w:color="auto"/>
            </w:tcBorders>
            <w:shd w:val="clear" w:color="auto" w:fill="auto"/>
            <w:noWrap/>
            <w:vAlign w:val="center"/>
            <w:hideMark/>
          </w:tcPr>
          <w:p w14:paraId="1B082910" w14:textId="77777777" w:rsidR="005456DC" w:rsidRPr="007D73B4" w:rsidRDefault="005456DC" w:rsidP="005456DC">
            <w:pPr>
              <w:spacing w:after="0" w:line="240" w:lineRule="auto"/>
              <w:jc w:val="center"/>
              <w:rPr>
                <w:rFonts w:ascii="Cambria" w:eastAsia="Times New Roman" w:hAnsi="Cambria" w:cs="Arial"/>
                <w:sz w:val="20"/>
                <w:szCs w:val="20"/>
                <w:lang w:eastAsia="ko-KR"/>
              </w:rPr>
            </w:pPr>
            <w:r>
              <w:rPr>
                <w:rFonts w:ascii="Cambria" w:hAnsi="Cambria" w:cs="Arial"/>
                <w:sz w:val="20"/>
                <w:szCs w:val="20"/>
              </w:rPr>
              <w:t>-$295,000</w:t>
            </w:r>
          </w:p>
        </w:tc>
      </w:tr>
    </w:tbl>
    <w:p w14:paraId="05EE37ED" w14:textId="77777777" w:rsidR="0084709B" w:rsidRPr="00304366" w:rsidRDefault="0084709B" w:rsidP="0084709B">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exemption for tangible property subject to local taxation to balance budget</w:t>
      </w:r>
      <w:r w:rsidRPr="00304366">
        <w:rPr>
          <w:rFonts w:asciiTheme="majorHAnsi" w:hAnsiTheme="majorHAnsi"/>
          <w:bCs/>
          <w:sz w:val="20"/>
          <w:szCs w:val="20"/>
        </w:rPr>
        <w:t>.</w:t>
      </w:r>
    </w:p>
    <w:p w14:paraId="1EE439D8" w14:textId="77777777" w:rsidR="00EB54BC" w:rsidRDefault="00EB54BC" w:rsidP="008E3EDC">
      <w:pPr>
        <w:tabs>
          <w:tab w:val="left" w:pos="7050"/>
        </w:tabs>
        <w:spacing w:after="0"/>
        <w:rPr>
          <w:rFonts w:asciiTheme="majorHAnsi" w:hAnsiTheme="majorHAnsi"/>
          <w:bCs/>
          <w:sz w:val="24"/>
          <w:szCs w:val="23"/>
        </w:rPr>
      </w:pPr>
    </w:p>
    <w:p w14:paraId="348BD688" w14:textId="77777777" w:rsidR="008E3EDC" w:rsidRDefault="008E3EDC" w:rsidP="008E3EDC">
      <w:pPr>
        <w:tabs>
          <w:tab w:val="left" w:pos="7050"/>
        </w:tabs>
        <w:spacing w:after="0"/>
        <w:rPr>
          <w:rFonts w:asciiTheme="majorHAnsi" w:hAnsiTheme="majorHAnsi"/>
          <w:bCs/>
          <w:sz w:val="24"/>
          <w:szCs w:val="23"/>
        </w:rPr>
      </w:pPr>
    </w:p>
    <w:p w14:paraId="73B1E8AF" w14:textId="77777777" w:rsidR="00B758D0" w:rsidRDefault="008E3EDC" w:rsidP="00B758D0">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0B387425" w14:textId="175E0A7D" w:rsidR="008E3EDC" w:rsidRPr="00B758D0" w:rsidRDefault="00B758D0" w:rsidP="00B758D0">
      <w:pPr>
        <w:rPr>
          <w:rFonts w:asciiTheme="majorHAnsi" w:eastAsiaTheme="majorEastAsia" w:hAnsiTheme="majorHAnsi" w:cstheme="majorBidi"/>
          <w:b/>
          <w:bCs/>
          <w:color w:val="E36C0A" w:themeColor="accent6" w:themeShade="BF"/>
          <w:sz w:val="28"/>
          <w:szCs w:val="28"/>
        </w:rPr>
      </w:pPr>
      <w:r w:rsidRPr="00A9779F">
        <w:rPr>
          <w:rFonts w:asciiTheme="majorHAnsi" w:hAnsiTheme="majorHAnsi"/>
          <w:sz w:val="24"/>
          <w:szCs w:val="24"/>
        </w:rPr>
        <w:t xml:space="preserve">According to </w:t>
      </w:r>
      <w:r w:rsidR="007148B6">
        <w:rPr>
          <w:rFonts w:asciiTheme="majorHAnsi" w:hAnsiTheme="majorHAnsi"/>
          <w:sz w:val="24"/>
          <w:szCs w:val="24"/>
        </w:rPr>
        <w:t xml:space="preserve">an article </w:t>
      </w:r>
      <w:r w:rsidR="0005311A">
        <w:rPr>
          <w:rFonts w:asciiTheme="majorHAnsi" w:hAnsiTheme="majorHAnsi"/>
          <w:sz w:val="24"/>
          <w:szCs w:val="24"/>
        </w:rPr>
        <w:t>by the</w:t>
      </w:r>
      <w:r w:rsidR="007148B6">
        <w:rPr>
          <w:rFonts w:asciiTheme="majorHAnsi" w:hAnsiTheme="majorHAnsi"/>
          <w:sz w:val="24"/>
          <w:szCs w:val="24"/>
        </w:rPr>
        <w:t xml:space="preserve"> </w:t>
      </w:r>
      <w:r>
        <w:rPr>
          <w:rFonts w:asciiTheme="majorHAnsi" w:hAnsiTheme="majorHAnsi"/>
          <w:sz w:val="24"/>
          <w:szCs w:val="24"/>
        </w:rPr>
        <w:t>Tax Foundation</w:t>
      </w:r>
      <w:sdt>
        <w:sdtPr>
          <w:rPr>
            <w:rFonts w:asciiTheme="majorHAnsi" w:hAnsiTheme="majorHAnsi"/>
            <w:sz w:val="24"/>
            <w:szCs w:val="24"/>
          </w:rPr>
          <w:id w:val="1429621917"/>
          <w:citation/>
        </w:sdtPr>
        <w:sdtEndPr/>
        <w:sdtContent>
          <w:r w:rsidR="00667C40">
            <w:rPr>
              <w:rFonts w:asciiTheme="majorHAnsi" w:hAnsiTheme="majorHAnsi"/>
              <w:sz w:val="24"/>
              <w:szCs w:val="24"/>
            </w:rPr>
            <w:fldChar w:fldCharType="begin"/>
          </w:r>
          <w:r w:rsidR="00667C40">
            <w:rPr>
              <w:rFonts w:asciiTheme="majorHAnsi" w:hAnsiTheme="majorHAnsi"/>
              <w:sz w:val="24"/>
              <w:szCs w:val="24"/>
            </w:rPr>
            <w:instrText xml:space="preserve"> CITATION Cam20 \l 1033 </w:instrText>
          </w:r>
          <w:r w:rsidR="00667C40">
            <w:rPr>
              <w:rFonts w:asciiTheme="majorHAnsi" w:hAnsiTheme="majorHAnsi"/>
              <w:sz w:val="24"/>
              <w:szCs w:val="24"/>
            </w:rPr>
            <w:fldChar w:fldCharType="separate"/>
          </w:r>
          <w:r w:rsidR="00667C40">
            <w:rPr>
              <w:rFonts w:asciiTheme="majorHAnsi" w:hAnsiTheme="majorHAnsi"/>
              <w:noProof/>
              <w:sz w:val="24"/>
              <w:szCs w:val="24"/>
            </w:rPr>
            <w:t xml:space="preserve"> </w:t>
          </w:r>
          <w:r w:rsidR="00667C40" w:rsidRPr="00667C40">
            <w:rPr>
              <w:rFonts w:asciiTheme="majorHAnsi" w:hAnsiTheme="majorHAnsi"/>
              <w:noProof/>
              <w:sz w:val="24"/>
              <w:szCs w:val="24"/>
            </w:rPr>
            <w:t>(Cammenga, 2020)</w:t>
          </w:r>
          <w:r w:rsidR="00667C40">
            <w:rPr>
              <w:rFonts w:asciiTheme="majorHAnsi" w:hAnsiTheme="majorHAnsi"/>
              <w:sz w:val="24"/>
              <w:szCs w:val="24"/>
            </w:rPr>
            <w:fldChar w:fldCharType="end"/>
          </w:r>
        </w:sdtContent>
      </w:sdt>
      <w:r>
        <w:rPr>
          <w:rFonts w:asciiTheme="majorHAnsi" w:hAnsiTheme="majorHAnsi"/>
          <w:sz w:val="24"/>
          <w:szCs w:val="24"/>
        </w:rPr>
        <w:t>, as of 2020</w:t>
      </w:r>
      <w:r w:rsidRPr="00A9779F">
        <w:rPr>
          <w:rFonts w:asciiTheme="majorHAnsi" w:hAnsiTheme="majorHAnsi"/>
          <w:sz w:val="24"/>
          <w:szCs w:val="24"/>
        </w:rPr>
        <w:t xml:space="preserve"> there were sixteen states with some type of capital stock or net worth tax. NY and CT are phasing the entire tax out; and RI repealed it starting in 2014. However, it is not clear whether </w:t>
      </w:r>
      <w:r w:rsidR="0005311A">
        <w:rPr>
          <w:rFonts w:asciiTheme="majorHAnsi" w:hAnsiTheme="majorHAnsi"/>
          <w:sz w:val="24"/>
          <w:szCs w:val="24"/>
        </w:rPr>
        <w:t xml:space="preserve">any of </w:t>
      </w:r>
      <w:r w:rsidR="0005311A">
        <w:rPr>
          <w:rFonts w:asciiTheme="majorHAnsi" w:hAnsiTheme="majorHAnsi"/>
          <w:sz w:val="24"/>
          <w:szCs w:val="24"/>
        </w:rPr>
        <w:lastRenderedPageBreak/>
        <w:t>the</w:t>
      </w:r>
      <w:r w:rsidR="0005311A" w:rsidRPr="00A9779F">
        <w:rPr>
          <w:rFonts w:asciiTheme="majorHAnsi" w:hAnsiTheme="majorHAnsi"/>
          <w:sz w:val="24"/>
          <w:szCs w:val="24"/>
        </w:rPr>
        <w:t xml:space="preserve"> </w:t>
      </w:r>
      <w:r w:rsidRPr="00A9779F">
        <w:rPr>
          <w:rFonts w:asciiTheme="majorHAnsi" w:hAnsiTheme="majorHAnsi"/>
          <w:sz w:val="24"/>
          <w:szCs w:val="24"/>
        </w:rPr>
        <w:t xml:space="preserve">states </w:t>
      </w:r>
      <w:r w:rsidR="0005311A">
        <w:rPr>
          <w:rFonts w:asciiTheme="majorHAnsi" w:hAnsiTheme="majorHAnsi"/>
          <w:sz w:val="24"/>
          <w:szCs w:val="24"/>
        </w:rPr>
        <w:t xml:space="preserve">with such a tax </w:t>
      </w:r>
      <w:r w:rsidRPr="00A9779F">
        <w:rPr>
          <w:rFonts w:asciiTheme="majorHAnsi" w:hAnsiTheme="majorHAnsi"/>
          <w:sz w:val="24"/>
          <w:szCs w:val="24"/>
        </w:rPr>
        <w:t xml:space="preserve">have a similar exemption </w:t>
      </w:r>
      <w:r w:rsidR="0005311A">
        <w:rPr>
          <w:rFonts w:asciiTheme="majorHAnsi" w:hAnsiTheme="majorHAnsi"/>
          <w:sz w:val="24"/>
          <w:szCs w:val="24"/>
        </w:rPr>
        <w:t>for</w:t>
      </w:r>
      <w:r w:rsidRPr="00A9779F">
        <w:rPr>
          <w:rFonts w:asciiTheme="majorHAnsi" w:hAnsiTheme="majorHAnsi"/>
          <w:sz w:val="24"/>
          <w:szCs w:val="24"/>
        </w:rPr>
        <w:t xml:space="preserve"> property subject to tax at the local level.</w:t>
      </w:r>
    </w:p>
    <w:p w14:paraId="0FCC5895" w14:textId="77777777" w:rsidR="007C4FEF" w:rsidRDefault="007C4FEF" w:rsidP="008E3EDC">
      <w:pPr>
        <w:tabs>
          <w:tab w:val="left" w:pos="7050"/>
        </w:tabs>
        <w:spacing w:after="0" w:line="240" w:lineRule="auto"/>
        <w:rPr>
          <w:rFonts w:asciiTheme="majorHAnsi" w:hAnsiTheme="majorHAnsi"/>
          <w:b/>
          <w:sz w:val="23"/>
          <w:szCs w:val="23"/>
        </w:rPr>
      </w:pPr>
    </w:p>
    <w:p w14:paraId="2D6EF4E4" w14:textId="77777777" w:rsidR="007C4FEF" w:rsidRDefault="007C4FEF" w:rsidP="008E3EDC">
      <w:pPr>
        <w:tabs>
          <w:tab w:val="left" w:pos="7050"/>
        </w:tabs>
        <w:spacing w:after="0" w:line="240" w:lineRule="auto"/>
        <w:rPr>
          <w:rFonts w:asciiTheme="majorHAnsi" w:hAnsiTheme="majorHAnsi"/>
          <w:b/>
          <w:sz w:val="23"/>
          <w:szCs w:val="23"/>
        </w:rPr>
      </w:pPr>
    </w:p>
    <w:p w14:paraId="14B5A17A" w14:textId="77777777" w:rsidR="00D12CA7" w:rsidRDefault="00D12CA7" w:rsidP="008E3EDC">
      <w:pPr>
        <w:tabs>
          <w:tab w:val="left" w:pos="7050"/>
        </w:tabs>
        <w:spacing w:after="0" w:line="240" w:lineRule="auto"/>
        <w:rPr>
          <w:rFonts w:asciiTheme="majorHAnsi" w:hAnsiTheme="majorHAnsi"/>
          <w:b/>
          <w:sz w:val="23"/>
          <w:szCs w:val="23"/>
        </w:rPr>
      </w:pPr>
    </w:p>
    <w:p w14:paraId="17008636" w14:textId="77777777" w:rsidR="008E3EDC" w:rsidRPr="00A07439" w:rsidRDefault="008E3EDC" w:rsidP="008E3EDC">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0A2984A3" w14:textId="77777777" w:rsidR="00DD7F82" w:rsidRDefault="00DD7F82" w:rsidP="00DD7F82">
      <w:pPr>
        <w:tabs>
          <w:tab w:val="left" w:pos="7050"/>
        </w:tabs>
        <w:spacing w:after="0" w:line="240" w:lineRule="auto"/>
        <w:rPr>
          <w:rFonts w:asciiTheme="majorHAnsi" w:eastAsiaTheme="majorEastAsia" w:hAnsiTheme="majorHAnsi" w:cstheme="majorBidi"/>
          <w:bCs/>
          <w:color w:val="000000" w:themeColor="text1"/>
          <w:sz w:val="24"/>
          <w:szCs w:val="24"/>
        </w:rPr>
      </w:pPr>
      <w:bookmarkStart w:id="3" w:name="_Hlk51155631"/>
      <w:r>
        <w:rPr>
          <w:rFonts w:asciiTheme="majorHAnsi" w:eastAsiaTheme="majorEastAsia" w:hAnsiTheme="majorHAnsi" w:cstheme="majorBidi"/>
          <w:bCs/>
          <w:color w:val="000000" w:themeColor="text1"/>
          <w:sz w:val="24"/>
          <w:szCs w:val="24"/>
        </w:rPr>
        <w:t>[FOR TERC TO COMPLETE]</w:t>
      </w:r>
      <w:bookmarkEnd w:id="3"/>
    </w:p>
    <w:p w14:paraId="75D20B79" w14:textId="77777777" w:rsidR="008E3EDC" w:rsidRDefault="008E3EDC" w:rsidP="008E3EDC">
      <w:pPr>
        <w:tabs>
          <w:tab w:val="left" w:pos="7050"/>
        </w:tabs>
        <w:rPr>
          <w:rFonts w:asciiTheme="majorHAnsi" w:eastAsiaTheme="majorEastAsia" w:hAnsiTheme="majorHAnsi" w:cstheme="majorBidi"/>
          <w:bCs/>
          <w:color w:val="000000" w:themeColor="text1"/>
          <w:sz w:val="24"/>
          <w:szCs w:val="28"/>
        </w:rPr>
      </w:pPr>
    </w:p>
    <w:sdt>
      <w:sdtPr>
        <w:rPr>
          <w:rFonts w:asciiTheme="minorHAnsi" w:eastAsiaTheme="minorHAnsi" w:hAnsiTheme="minorHAnsi" w:cstheme="minorBidi"/>
          <w:color w:val="auto"/>
          <w:sz w:val="22"/>
          <w:szCs w:val="22"/>
        </w:rPr>
        <w:id w:val="1570537072"/>
        <w:docPartObj>
          <w:docPartGallery w:val="Bibliographies"/>
          <w:docPartUnique/>
        </w:docPartObj>
      </w:sdtPr>
      <w:sdtEndPr/>
      <w:sdtContent>
        <w:p w14:paraId="160F0BE2" w14:textId="77777777" w:rsidR="008E3EDC" w:rsidRPr="00D12CA7" w:rsidRDefault="008E3EDC" w:rsidP="008E3EDC">
          <w:pPr>
            <w:pStyle w:val="Heading1"/>
            <w:rPr>
              <w:color w:val="auto"/>
            </w:rPr>
          </w:pPr>
          <w:r w:rsidRPr="00D12CA7">
            <w:rPr>
              <w:color w:val="auto"/>
            </w:rPr>
            <w:t>References</w:t>
          </w:r>
        </w:p>
        <w:p w14:paraId="5A47985E" w14:textId="77777777" w:rsidR="00932C3E" w:rsidRPr="00C546F4" w:rsidRDefault="00932C3E" w:rsidP="00932C3E">
          <w:pPr>
            <w:pStyle w:val="Bibliography"/>
            <w:ind w:left="720" w:hanging="720"/>
            <w:rPr>
              <w:rFonts w:asciiTheme="majorHAnsi" w:hAnsiTheme="majorHAnsi"/>
              <w:noProof/>
              <w:sz w:val="24"/>
              <w:szCs w:val="24"/>
            </w:rPr>
          </w:pPr>
          <w:r w:rsidRPr="00C546F4">
            <w:rPr>
              <w:rFonts w:asciiTheme="majorHAnsi" w:hAnsiTheme="majorHAnsi"/>
              <w:noProof/>
            </w:rPr>
            <w:t xml:space="preserve">Felix, </w:t>
          </w:r>
          <w:r>
            <w:rPr>
              <w:rFonts w:asciiTheme="majorHAnsi" w:hAnsiTheme="majorHAnsi"/>
              <w:noProof/>
            </w:rPr>
            <w:t>R.</w:t>
          </w:r>
          <w:r w:rsidRPr="00C546F4">
            <w:rPr>
              <w:rFonts w:asciiTheme="majorHAnsi" w:hAnsiTheme="majorHAnsi"/>
              <w:noProof/>
            </w:rPr>
            <w:t xml:space="preserve"> </w:t>
          </w:r>
          <w:r>
            <w:rPr>
              <w:rFonts w:asciiTheme="majorHAnsi" w:hAnsiTheme="majorHAnsi"/>
              <w:noProof/>
            </w:rPr>
            <w:t xml:space="preserve">A. </w:t>
          </w:r>
          <w:r w:rsidRPr="00C546F4">
            <w:rPr>
              <w:rFonts w:asciiTheme="majorHAnsi" w:hAnsiTheme="majorHAnsi"/>
              <w:noProof/>
            </w:rPr>
            <w:t>(2009</w:t>
          </w:r>
          <w:r>
            <w:rPr>
              <w:rFonts w:asciiTheme="majorHAnsi" w:hAnsiTheme="majorHAnsi"/>
              <w:noProof/>
            </w:rPr>
            <w:t>, Second Quarter</w:t>
          </w:r>
          <w:r w:rsidRPr="00C546F4">
            <w:rPr>
              <w:rFonts w:asciiTheme="majorHAnsi" w:hAnsiTheme="majorHAnsi"/>
              <w:noProof/>
            </w:rPr>
            <w:t xml:space="preserve">). </w:t>
          </w:r>
          <w:r w:rsidRPr="00C546F4">
            <w:rPr>
              <w:rFonts w:asciiTheme="majorHAnsi" w:hAnsiTheme="majorHAnsi"/>
              <w:i/>
              <w:iCs/>
              <w:noProof/>
            </w:rPr>
            <w:t>Do State Corporate Income Taxes Reduce Wages?</w:t>
          </w:r>
          <w:r>
            <w:rPr>
              <w:rFonts w:asciiTheme="majorHAnsi" w:hAnsiTheme="majorHAnsi"/>
              <w:i/>
              <w:iCs/>
              <w:noProof/>
            </w:rPr>
            <w:t>,</w:t>
          </w:r>
          <w:r w:rsidRPr="00C546F4">
            <w:rPr>
              <w:rFonts w:asciiTheme="majorHAnsi" w:hAnsiTheme="majorHAnsi"/>
              <w:noProof/>
            </w:rPr>
            <w:t xml:space="preserve"> Economic Review, FEDERAL RESERVE BANK OF KANSAS CITY.</w:t>
          </w:r>
        </w:p>
        <w:sdt>
          <w:sdtPr>
            <w:rPr>
              <w:rFonts w:asciiTheme="majorHAnsi" w:hAnsiTheme="majorHAnsi"/>
            </w:rPr>
            <w:id w:val="-573587230"/>
            <w:bibliography/>
          </w:sdtPr>
          <w:sdtEndPr>
            <w:rPr>
              <w:rFonts w:asciiTheme="minorHAnsi" w:hAnsiTheme="minorHAnsi"/>
            </w:rPr>
          </w:sdtEndPr>
          <w:sdtContent>
            <w:sdt>
              <w:sdtPr>
                <w:rPr>
                  <w:rFonts w:asciiTheme="majorHAnsi" w:hAnsiTheme="majorHAnsi"/>
                </w:rPr>
                <w:id w:val="-619375087"/>
                <w:bibliography/>
              </w:sdtPr>
              <w:sdtEndPr>
                <w:rPr>
                  <w:rFonts w:asciiTheme="minorHAnsi" w:hAnsiTheme="minorHAnsi"/>
                </w:rPr>
              </w:sdtEndPr>
              <w:sdtContent>
                <w:p w14:paraId="07AD41FE" w14:textId="77777777" w:rsidR="00667C40" w:rsidRPr="00667C40" w:rsidRDefault="008E3EDC" w:rsidP="00667C40">
                  <w:pPr>
                    <w:pStyle w:val="Bibliography"/>
                    <w:ind w:left="720" w:hanging="720"/>
                    <w:rPr>
                      <w:rFonts w:asciiTheme="majorHAnsi" w:hAnsiTheme="majorHAnsi"/>
                      <w:noProof/>
                      <w:sz w:val="24"/>
                      <w:szCs w:val="24"/>
                    </w:rPr>
                  </w:pPr>
                  <w:r w:rsidRPr="00667C40">
                    <w:rPr>
                      <w:rFonts w:asciiTheme="majorHAnsi" w:hAnsiTheme="majorHAnsi"/>
                    </w:rPr>
                    <w:fldChar w:fldCharType="begin"/>
                  </w:r>
                  <w:r w:rsidRPr="00667C40">
                    <w:rPr>
                      <w:rFonts w:asciiTheme="majorHAnsi" w:hAnsiTheme="majorHAnsi"/>
                    </w:rPr>
                    <w:instrText xml:space="preserve"> BIBLIOGRAPHY </w:instrText>
                  </w:r>
                  <w:r w:rsidRPr="00667C40">
                    <w:rPr>
                      <w:rFonts w:asciiTheme="majorHAnsi" w:hAnsiTheme="majorHAnsi"/>
                    </w:rPr>
                    <w:fldChar w:fldCharType="separate"/>
                  </w:r>
                  <w:r w:rsidR="00667C40" w:rsidRPr="00667C40">
                    <w:rPr>
                      <w:rFonts w:asciiTheme="majorHAnsi" w:hAnsiTheme="majorHAnsi"/>
                      <w:noProof/>
                    </w:rPr>
                    <w:t xml:space="preserve">Cammenga, J. (2020, April 29). </w:t>
                  </w:r>
                  <w:r w:rsidR="00667C40" w:rsidRPr="00667C40">
                    <w:rPr>
                      <w:rFonts w:asciiTheme="majorHAnsi" w:hAnsiTheme="majorHAnsi"/>
                      <w:i/>
                      <w:iCs/>
                      <w:noProof/>
                    </w:rPr>
                    <w:t>Does Your State Levy a Capital Stock Tax?</w:t>
                  </w:r>
                  <w:r w:rsidR="00667C40" w:rsidRPr="00667C40">
                    <w:rPr>
                      <w:rFonts w:asciiTheme="majorHAnsi" w:hAnsiTheme="majorHAnsi"/>
                      <w:noProof/>
                    </w:rPr>
                    <w:t xml:space="preserve"> Retrieved from Tax Foundation: https://taxfoundation.org/state-capital-stock-tax-2020/</w:t>
                  </w:r>
                </w:p>
                <w:p w14:paraId="1CC959B5" w14:textId="77777777" w:rsidR="00667C40" w:rsidRPr="00667C40" w:rsidRDefault="00667C40" w:rsidP="00667C40">
                  <w:pPr>
                    <w:pStyle w:val="Bibliography"/>
                    <w:ind w:left="720" w:hanging="720"/>
                    <w:rPr>
                      <w:rFonts w:asciiTheme="majorHAnsi" w:hAnsiTheme="majorHAnsi"/>
                      <w:noProof/>
                    </w:rPr>
                  </w:pPr>
                  <w:r w:rsidRPr="00667C40">
                    <w:rPr>
                      <w:rFonts w:asciiTheme="majorHAnsi" w:hAnsiTheme="majorHAnsi"/>
                      <w:noProof/>
                    </w:rPr>
                    <w:t xml:space="preserve">Keith R. Ihlanfeldt, David L. Sjoquist. (2001, August). Conducting an Analysis of Georgia’s Economic Development Tax Incentive Program. </w:t>
                  </w:r>
                  <w:r w:rsidRPr="00667C40">
                    <w:rPr>
                      <w:rFonts w:asciiTheme="majorHAnsi" w:hAnsiTheme="majorHAnsi"/>
                      <w:i/>
                      <w:iCs/>
                      <w:noProof/>
                    </w:rPr>
                    <w:t>ECONOMIC DEVELOPMENT QUARTERLY, 15</w:t>
                  </w:r>
                  <w:r w:rsidRPr="00667C40">
                    <w:rPr>
                      <w:rFonts w:asciiTheme="majorHAnsi" w:hAnsiTheme="majorHAnsi"/>
                      <w:noProof/>
                    </w:rPr>
                    <w:t>(3), 217-228.</w:t>
                  </w:r>
                </w:p>
                <w:p w14:paraId="73834393" w14:textId="77777777" w:rsidR="008E3EDC" w:rsidRDefault="00667C40" w:rsidP="00CF3070">
                  <w:pPr>
                    <w:pStyle w:val="Bibliography"/>
                    <w:ind w:left="720" w:hanging="720"/>
                  </w:pPr>
                  <w:r w:rsidRPr="00667C40">
                    <w:rPr>
                      <w:rFonts w:asciiTheme="majorHAnsi" w:hAnsiTheme="majorHAnsi"/>
                      <w:i/>
                      <w:iCs/>
                      <w:noProof/>
                    </w:rPr>
                    <w:t>MODELS: TAX-PI</w:t>
                  </w:r>
                  <w:r w:rsidRPr="00667C40">
                    <w:rPr>
                      <w:rFonts w:asciiTheme="majorHAnsi" w:hAnsiTheme="majorHAnsi"/>
                      <w:noProof/>
                    </w:rPr>
                    <w:t>. (n.d.). Retrieved from Regional Economic Models, Inc.: https://www.remi.com/model/tax-pi/</w:t>
                  </w:r>
                  <w:r w:rsidR="008E3EDC" w:rsidRPr="00667C40">
                    <w:rPr>
                      <w:rFonts w:asciiTheme="majorHAnsi" w:hAnsiTheme="majorHAnsi"/>
                      <w:b/>
                      <w:bCs/>
                      <w:noProof/>
                    </w:rPr>
                    <w:fldChar w:fldCharType="end"/>
                  </w:r>
                </w:p>
              </w:sdtContent>
            </w:sdt>
            <w:p w14:paraId="0DC461E8" w14:textId="77777777" w:rsidR="008E3EDC" w:rsidRDefault="00A220CB" w:rsidP="008E3EDC"/>
          </w:sdtContent>
        </w:sdt>
      </w:sdtContent>
    </w:sdt>
    <w:p w14:paraId="41ECAC5D" w14:textId="77777777" w:rsidR="009D12D5" w:rsidRDefault="009D12D5">
      <w:pPr>
        <w:rPr>
          <w:rFonts w:asciiTheme="majorHAnsi" w:hAnsiTheme="majorHAnsi"/>
          <w:b/>
          <w:sz w:val="24"/>
          <w:szCs w:val="24"/>
        </w:rPr>
      </w:pPr>
      <w:r>
        <w:rPr>
          <w:rFonts w:asciiTheme="majorHAnsi" w:hAnsiTheme="majorHAnsi"/>
          <w:b/>
          <w:sz w:val="24"/>
          <w:szCs w:val="24"/>
        </w:rPr>
        <w:br w:type="page"/>
      </w:r>
    </w:p>
    <w:p w14:paraId="2F9D56A2" w14:textId="77777777" w:rsidR="009D12D5" w:rsidRPr="008C67C1" w:rsidRDefault="009D12D5" w:rsidP="009D12D5">
      <w:pPr>
        <w:jc w:val="center"/>
        <w:rPr>
          <w:rFonts w:asciiTheme="majorHAnsi" w:hAnsiTheme="majorHAnsi"/>
          <w:b/>
          <w:sz w:val="32"/>
          <w:szCs w:val="32"/>
        </w:rPr>
      </w:pPr>
      <w:r w:rsidRPr="008C67C1">
        <w:rPr>
          <w:rFonts w:asciiTheme="majorHAnsi" w:hAnsiTheme="majorHAnsi"/>
          <w:b/>
          <w:sz w:val="32"/>
          <w:szCs w:val="32"/>
        </w:rPr>
        <w:lastRenderedPageBreak/>
        <w:t xml:space="preserve">Appendix: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42115F71" w14:textId="21704850" w:rsidR="009D12D5" w:rsidRDefault="009D12D5" w:rsidP="009D12D5">
      <w:pPr>
        <w:rPr>
          <w:rFonts w:asciiTheme="majorHAnsi" w:hAnsiTheme="majorHAnsi"/>
          <w:bCs/>
          <w:sz w:val="24"/>
          <w:szCs w:val="24"/>
        </w:rPr>
      </w:pPr>
      <w:r>
        <w:rPr>
          <w:rFonts w:asciiTheme="majorHAnsi" w:hAnsiTheme="majorHAnsi"/>
          <w:bCs/>
          <w:sz w:val="24"/>
          <w:szCs w:val="24"/>
        </w:rPr>
        <w:t>The text of the report discusse</w:t>
      </w:r>
      <w:r w:rsidR="00B30EFF">
        <w:rPr>
          <w:rFonts w:asciiTheme="majorHAnsi" w:hAnsiTheme="majorHAnsi"/>
          <w:bCs/>
          <w:sz w:val="24"/>
          <w:szCs w:val="24"/>
        </w:rPr>
        <w:t>s</w:t>
      </w:r>
      <w:r>
        <w:rPr>
          <w:rFonts w:asciiTheme="majorHAnsi" w:hAnsiTheme="majorHAnsi"/>
          <w:bCs/>
          <w:sz w:val="24"/>
          <w:szCs w:val="24"/>
        </w:rPr>
        <w:t xml:space="preserve"> 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5"/>
      </w:r>
      <w:r>
        <w:rPr>
          <w:rFonts w:asciiTheme="majorHAnsi" w:hAnsiTheme="majorHAnsi"/>
          <w:bCs/>
          <w:sz w:val="24"/>
          <w:szCs w:val="24"/>
        </w:rPr>
        <w:t>) and direct benefits (to taxpayers who claim the benefits) of this tax expenditure. It also summarize</w:t>
      </w:r>
      <w:r w:rsidR="00B30EFF">
        <w:rPr>
          <w:rFonts w:asciiTheme="majorHAnsi" w:hAnsiTheme="majorHAnsi"/>
          <w:bCs/>
          <w:sz w:val="24"/>
          <w:szCs w:val="24"/>
        </w:rPr>
        <w:t>s</w:t>
      </w:r>
      <w:r>
        <w:rPr>
          <w:rFonts w:asciiTheme="majorHAnsi" w:hAnsiTheme="majorHAnsi"/>
          <w:bCs/>
          <w:sz w:val="24"/>
          <w:szCs w:val="24"/>
        </w:rPr>
        <w:t xml:space="preserve"> indirect and induced costs and benefits associated with this tax expenditure.  This appendix will discuss the indirect and induced, as well as other costs and benefits in more detail.</w:t>
      </w:r>
    </w:p>
    <w:p w14:paraId="2F873CAE" w14:textId="77777777" w:rsidR="009D12D5" w:rsidRDefault="009D12D5" w:rsidP="009D12D5">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722FB5C0" w14:textId="77777777" w:rsidR="009D12D5" w:rsidRPr="00EB68D5" w:rsidRDefault="009D12D5" w:rsidP="009D12D5">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2B5C7F16" w14:textId="15109DCA" w:rsidR="009D12D5" w:rsidRDefault="009D12D5" w:rsidP="009D12D5">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balanced budget requirement</w:t>
      </w:r>
      <w:r w:rsidR="00CE211A">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assuming no increase in state revenues.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00B30EFF" w:rsidRPr="00657362">
        <w:rPr>
          <w:rFonts w:asciiTheme="majorHAnsi" w:eastAsiaTheme="majorEastAsia" w:hAnsiTheme="majorHAnsi" w:cstheme="majorBidi"/>
          <w:b/>
          <w:color w:val="000000" w:themeColor="text1"/>
          <w:sz w:val="24"/>
          <w:szCs w:val="24"/>
        </w:rPr>
        <w:t>“</w:t>
      </w:r>
      <w:r w:rsidRPr="005D6E3F">
        <w:rPr>
          <w:rFonts w:asciiTheme="majorHAnsi" w:eastAsiaTheme="majorEastAsia" w:hAnsiTheme="majorHAnsi" w:cstheme="majorBidi"/>
          <w:b/>
          <w:bCs/>
          <w:color w:val="000000" w:themeColor="text1"/>
          <w:sz w:val="24"/>
          <w:szCs w:val="24"/>
        </w:rPr>
        <w:t>opportunity cost</w:t>
      </w:r>
      <w:r w:rsidR="00B30EFF">
        <w:rPr>
          <w:rFonts w:asciiTheme="majorHAnsi" w:eastAsiaTheme="majorEastAsia" w:hAnsiTheme="majorHAnsi" w:cstheme="majorBidi"/>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The opportunity cost to the state include</w:t>
      </w:r>
      <w:r w:rsidR="00B30EFF">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not only the impact on the businesses and their employees that directly benefit from those expenditure items (this is called “direct impact”), but also the indirect impact on the chain of businesses that provide intermediate products and services to the directly impacted businesses (this is called “indirect impact”).  In addition, there is </w:t>
      </w:r>
      <w:r w:rsidR="00B30EFF">
        <w:rPr>
          <w:rFonts w:asciiTheme="majorHAnsi" w:eastAsiaTheme="majorEastAsia" w:hAnsiTheme="majorHAnsi" w:cstheme="majorBidi"/>
          <w:bCs/>
          <w:color w:val="000000" w:themeColor="text1"/>
          <w:sz w:val="24"/>
          <w:szCs w:val="24"/>
        </w:rPr>
        <w:t xml:space="preserve">a </w:t>
      </w:r>
      <w:r>
        <w:rPr>
          <w:rFonts w:asciiTheme="majorHAnsi" w:eastAsiaTheme="majorEastAsia" w:hAnsiTheme="majorHAnsi" w:cstheme="majorBidi"/>
          <w:bCs/>
          <w:color w:val="000000" w:themeColor="text1"/>
          <w:sz w:val="24"/>
          <w:szCs w:val="24"/>
        </w:rPr>
        <w:t xml:space="preserve">cost </w:t>
      </w:r>
      <w:r w:rsidR="00B30EFF">
        <w:rPr>
          <w:rFonts w:asciiTheme="majorHAnsi" w:eastAsiaTheme="majorEastAsia" w:hAnsiTheme="majorHAnsi" w:cstheme="majorBidi"/>
          <w:bCs/>
          <w:color w:val="000000" w:themeColor="text1"/>
          <w:sz w:val="24"/>
          <w:szCs w:val="24"/>
        </w:rPr>
        <w:t xml:space="preserve">related </w:t>
      </w:r>
      <w:r>
        <w:rPr>
          <w:rFonts w:asciiTheme="majorHAnsi" w:eastAsiaTheme="majorEastAsia" w:hAnsiTheme="majorHAnsi" w:cstheme="majorBidi"/>
          <w:bCs/>
          <w:color w:val="000000" w:themeColor="text1"/>
          <w:sz w:val="24"/>
          <w:szCs w:val="24"/>
        </w:rPr>
        <w:t>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w:t>
      </w:r>
      <w:r w:rsidR="00B30EFF">
        <w:rPr>
          <w:rFonts w:asciiTheme="majorHAnsi" w:eastAsiaTheme="majorEastAsia" w:hAnsiTheme="majorHAnsi" w:cstheme="majorBidi"/>
          <w:bCs/>
          <w:color w:val="000000" w:themeColor="text1"/>
          <w:sz w:val="24"/>
          <w:szCs w:val="24"/>
        </w:rPr>
        <w:t>m</w:t>
      </w:r>
      <w:r>
        <w:rPr>
          <w:rFonts w:asciiTheme="majorHAnsi" w:eastAsiaTheme="majorEastAsia" w:hAnsiTheme="majorHAnsi" w:cstheme="majorBidi"/>
          <w:bCs/>
          <w:color w:val="000000" w:themeColor="text1"/>
          <w:sz w:val="24"/>
          <w:szCs w:val="24"/>
        </w:rPr>
        <w:t xml:space="preserve">ultiplier </w:t>
      </w:r>
      <w:r w:rsidR="00B30EFF">
        <w:rPr>
          <w:rFonts w:asciiTheme="majorHAnsi" w:eastAsiaTheme="majorEastAsia" w:hAnsiTheme="majorHAnsi" w:cstheme="majorBidi"/>
          <w:bCs/>
          <w:color w:val="000000" w:themeColor="text1"/>
          <w:sz w:val="24"/>
          <w:szCs w:val="24"/>
        </w:rPr>
        <w:t>e</w:t>
      </w:r>
      <w:r>
        <w:rPr>
          <w:rFonts w:asciiTheme="majorHAnsi" w:eastAsiaTheme="majorEastAsia" w:hAnsiTheme="majorHAnsi" w:cstheme="majorBidi"/>
          <w:bCs/>
          <w:color w:val="000000" w:themeColor="text1"/>
          <w:sz w:val="24"/>
          <w:szCs w:val="24"/>
        </w:rPr>
        <w:t>ffect”.</w:t>
      </w:r>
      <w:r>
        <w:rPr>
          <w:rStyle w:val="FootnoteReference"/>
          <w:rFonts w:asciiTheme="majorHAnsi" w:eastAsiaTheme="majorEastAsia" w:hAnsiTheme="majorHAnsi"/>
          <w:bCs/>
          <w:color w:val="000000" w:themeColor="text1"/>
          <w:sz w:val="24"/>
          <w:szCs w:val="24"/>
        </w:rPr>
        <w:footnoteReference w:id="6"/>
      </w:r>
      <w:r>
        <w:rPr>
          <w:rFonts w:asciiTheme="majorHAnsi" w:eastAsiaTheme="majorEastAsia" w:hAnsiTheme="majorHAnsi" w:cstheme="majorBidi"/>
          <w:bCs/>
          <w:color w:val="000000" w:themeColor="text1"/>
          <w:sz w:val="24"/>
          <w:szCs w:val="24"/>
        </w:rPr>
        <w:t xml:space="preserve"> </w:t>
      </w:r>
    </w:p>
    <w:p w14:paraId="16843E0B" w14:textId="77777777" w:rsidR="009D12D5" w:rsidRDefault="009D12D5" w:rsidP="009D12D5">
      <w:pPr>
        <w:spacing w:after="0"/>
        <w:rPr>
          <w:rFonts w:asciiTheme="majorHAnsi" w:eastAsiaTheme="majorEastAsia" w:hAnsiTheme="majorHAnsi" w:cstheme="majorBidi"/>
          <w:bCs/>
          <w:color w:val="000000" w:themeColor="text1"/>
          <w:sz w:val="24"/>
          <w:szCs w:val="24"/>
        </w:rPr>
      </w:pPr>
    </w:p>
    <w:p w14:paraId="6A4CF7AC" w14:textId="6AB73301" w:rsidR="009D12D5" w:rsidRDefault="009D12D5" w:rsidP="009D12D5">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 xml:space="preserve">tool for evaluating the total fiscal and economic effects of tax policy changes. Tax-PI is built on over 30 years of experience in modeling the economic effects of tax policy changes, according to MODELS: TAX-PI in the reference. The popularity of the model has grown substantially since it was introduced.  Note that while the tax incentive </w:t>
      </w:r>
      <w:r w:rsidR="002D7158">
        <w:rPr>
          <w:rFonts w:asciiTheme="majorHAnsi" w:eastAsiaTheme="majorEastAsia" w:hAnsiTheme="majorHAnsi" w:cstheme="majorBidi"/>
          <w:bCs/>
          <w:color w:val="000000" w:themeColor="text1"/>
          <w:sz w:val="24"/>
          <w:szCs w:val="24"/>
        </w:rPr>
        <w:t>has</w:t>
      </w:r>
      <w:r>
        <w:rPr>
          <w:rFonts w:asciiTheme="majorHAnsi" w:eastAsiaTheme="majorEastAsia" w:hAnsiTheme="majorHAnsi" w:cstheme="majorBidi"/>
          <w:bCs/>
          <w:color w:val="000000" w:themeColor="text1"/>
          <w:sz w:val="24"/>
          <w:szCs w:val="24"/>
        </w:rPr>
        <w:t xml:space="preserve"> 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xml:space="preserve">, </w:t>
      </w:r>
      <w:r w:rsidR="002D7158" w:rsidRPr="00DF1213">
        <w:rPr>
          <w:rFonts w:asciiTheme="majorHAnsi" w:eastAsiaTheme="majorEastAsia" w:hAnsiTheme="majorHAnsi" w:cstheme="majorBidi"/>
          <w:bCs/>
          <w:color w:val="000000" w:themeColor="text1"/>
          <w:sz w:val="24"/>
          <w:szCs w:val="24"/>
        </w:rPr>
        <w:t xml:space="preserve">the reduced spending </w:t>
      </w:r>
      <w:r w:rsidR="002D7158">
        <w:rPr>
          <w:rFonts w:asciiTheme="majorHAnsi" w:eastAsiaTheme="majorEastAsia" w:hAnsiTheme="majorHAnsi" w:cstheme="majorBidi"/>
          <w:bCs/>
          <w:color w:val="000000" w:themeColor="text1"/>
          <w:sz w:val="24"/>
          <w:szCs w:val="24"/>
        </w:rPr>
        <w:t xml:space="preserve">that results from the expenditure </w:t>
      </w:r>
      <w:r w:rsidR="002D7158" w:rsidRPr="00DF1213">
        <w:rPr>
          <w:rFonts w:asciiTheme="majorHAnsi" w:eastAsiaTheme="majorEastAsia" w:hAnsiTheme="majorHAnsi" w:cstheme="majorBidi"/>
          <w:bCs/>
          <w:color w:val="000000" w:themeColor="text1"/>
          <w:sz w:val="24"/>
          <w:szCs w:val="24"/>
        </w:rPr>
        <w:t>is assumed to be</w:t>
      </w:r>
      <w:r w:rsidR="002D7158">
        <w:rPr>
          <w:rFonts w:asciiTheme="majorHAnsi" w:eastAsiaTheme="majorEastAsia" w:hAnsiTheme="majorHAnsi" w:cstheme="majorBidi"/>
          <w:bCs/>
          <w:color w:val="000000" w:themeColor="text1"/>
          <w:sz w:val="24"/>
          <w:szCs w:val="24"/>
        </w:rPr>
        <w:t xml:space="preserve"> </w:t>
      </w:r>
      <w:r w:rsidR="000374A3">
        <w:rPr>
          <w:rFonts w:asciiTheme="majorHAnsi" w:eastAsiaTheme="majorEastAsia" w:hAnsiTheme="majorHAnsi" w:cstheme="majorBidi"/>
          <w:bCs/>
          <w:color w:val="000000" w:themeColor="text1"/>
          <w:sz w:val="24"/>
          <w:szCs w:val="24"/>
        </w:rPr>
        <w:t>proportionally</w:t>
      </w:r>
      <w:r w:rsidR="002D7158">
        <w:rPr>
          <w:rFonts w:asciiTheme="majorHAnsi" w:eastAsiaTheme="majorEastAsia" w:hAnsiTheme="majorHAnsi" w:cstheme="majorBidi"/>
          <w:bCs/>
          <w:color w:val="000000" w:themeColor="text1"/>
          <w:sz w:val="24"/>
          <w:szCs w:val="24"/>
        </w:rPr>
        <w:t xml:space="preserve"> distributed across</w:t>
      </w:r>
      <w:r w:rsidR="002D7158" w:rsidRPr="00DF1213">
        <w:rPr>
          <w:rFonts w:asciiTheme="majorHAnsi" w:eastAsiaTheme="majorEastAsia" w:hAnsiTheme="majorHAnsi" w:cstheme="majorBidi"/>
          <w:bCs/>
          <w:color w:val="000000" w:themeColor="text1"/>
          <w:sz w:val="24"/>
          <w:szCs w:val="24"/>
        </w:rPr>
        <w:t xml:space="preserve"> the Commonwealth’s </w:t>
      </w:r>
      <w:r w:rsidR="00C741FF">
        <w:rPr>
          <w:rFonts w:asciiTheme="majorHAnsi" w:eastAsiaTheme="majorEastAsia" w:hAnsiTheme="majorHAnsi" w:cstheme="majorBidi"/>
          <w:bCs/>
          <w:color w:val="000000" w:themeColor="text1"/>
          <w:sz w:val="24"/>
          <w:szCs w:val="24"/>
        </w:rPr>
        <w:t>current</w:t>
      </w:r>
      <w:r w:rsidR="002D7158">
        <w:rPr>
          <w:rFonts w:asciiTheme="majorHAnsi" w:eastAsiaTheme="majorEastAsia" w:hAnsiTheme="majorHAnsi" w:cstheme="majorBidi"/>
          <w:bCs/>
          <w:color w:val="000000" w:themeColor="text1"/>
          <w:sz w:val="24"/>
          <w:szCs w:val="24"/>
        </w:rPr>
        <w:t xml:space="preserve"> </w:t>
      </w:r>
      <w:r w:rsidR="002D7158" w:rsidRPr="00DF1213">
        <w:rPr>
          <w:rFonts w:asciiTheme="majorHAnsi" w:eastAsiaTheme="majorEastAsia" w:hAnsiTheme="majorHAnsi" w:cstheme="majorBidi"/>
          <w:bCs/>
          <w:color w:val="000000" w:themeColor="text1"/>
          <w:sz w:val="24"/>
          <w:szCs w:val="24"/>
        </w:rPr>
        <w:t>expenditure</w:t>
      </w:r>
      <w:r w:rsidR="002D7158">
        <w:rPr>
          <w:rFonts w:asciiTheme="majorHAnsi" w:eastAsiaTheme="majorEastAsia" w:hAnsiTheme="majorHAnsi" w:cstheme="majorBidi"/>
          <w:bCs/>
          <w:color w:val="000000" w:themeColor="text1"/>
          <w:sz w:val="24"/>
          <w:szCs w:val="24"/>
        </w:rPr>
        <w:t>s</w:t>
      </w:r>
      <w:r w:rsidRPr="00DF1213">
        <w:rPr>
          <w:rFonts w:asciiTheme="majorHAnsi" w:eastAsiaTheme="majorEastAsia" w:hAnsiTheme="majorHAnsi" w:cstheme="majorBidi"/>
          <w:bCs/>
          <w:color w:val="000000" w:themeColor="text1"/>
          <w:sz w:val="24"/>
          <w:szCs w:val="24"/>
        </w:rPr>
        <w:t>.</w:t>
      </w:r>
    </w:p>
    <w:p w14:paraId="25C66CDC" w14:textId="77777777" w:rsidR="009D12D5" w:rsidRDefault="009D12D5" w:rsidP="009D12D5">
      <w:pPr>
        <w:spacing w:after="0"/>
        <w:rPr>
          <w:rFonts w:asciiTheme="majorHAnsi" w:eastAsiaTheme="majorEastAsia" w:hAnsiTheme="majorHAnsi" w:cstheme="majorBidi"/>
          <w:bCs/>
          <w:color w:val="000000" w:themeColor="text1"/>
          <w:sz w:val="24"/>
          <w:szCs w:val="24"/>
        </w:rPr>
      </w:pPr>
    </w:p>
    <w:p w14:paraId="484AF290" w14:textId="77777777" w:rsidR="009D12D5" w:rsidRPr="00E0511F" w:rsidRDefault="009D12D5" w:rsidP="009D12D5">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 xml:space="preserve">(direct,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7E485274" w14:textId="15A2D586" w:rsidR="009D12D5" w:rsidRDefault="009D12D5" w:rsidP="009D12D5">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 xml:space="preserve">The effects are displayed as negative numbers </w:t>
      </w:r>
      <w:r w:rsidR="00B41A8B">
        <w:rPr>
          <w:rFonts w:asciiTheme="majorHAnsi" w:eastAsiaTheme="majorEastAsia" w:hAnsiTheme="majorHAnsi" w:cstheme="majorBidi"/>
          <w:bCs/>
          <w:color w:val="000000" w:themeColor="text1"/>
          <w:sz w:val="24"/>
          <w:szCs w:val="24"/>
        </w:rPr>
        <w:t xml:space="preserve">since </w:t>
      </w:r>
      <w:r>
        <w:rPr>
          <w:rFonts w:asciiTheme="majorHAnsi" w:eastAsiaTheme="majorEastAsia" w:hAnsiTheme="majorHAnsi" w:cstheme="majorBidi"/>
          <w:bCs/>
          <w:color w:val="000000" w:themeColor="text1"/>
          <w:sz w:val="24"/>
          <w:szCs w:val="24"/>
        </w:rPr>
        <w:t>reduced spending has a negative impact on the state economy.</w:t>
      </w:r>
    </w:p>
    <w:p w14:paraId="37902BAB" w14:textId="77777777" w:rsidR="009D12D5" w:rsidRDefault="009D12D5" w:rsidP="009D12D5">
      <w:pPr>
        <w:spacing w:after="0"/>
        <w:rPr>
          <w:rFonts w:asciiTheme="majorHAnsi" w:hAnsiTheme="majorHAnsi"/>
          <w:bCs/>
          <w:sz w:val="24"/>
          <w:szCs w:val="24"/>
        </w:rPr>
      </w:pPr>
    </w:p>
    <w:p w14:paraId="30E81EF5" w14:textId="77777777" w:rsidR="009D12D5" w:rsidRDefault="009D12D5" w:rsidP="009D12D5">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activities, with real state GDP declining </w:t>
      </w:r>
      <w:r>
        <w:rPr>
          <w:rFonts w:asciiTheme="majorHAnsi" w:eastAsiaTheme="majorEastAsia" w:hAnsiTheme="majorHAnsi" w:cstheme="majorBidi"/>
          <w:bCs/>
          <w:color w:val="000000" w:themeColor="text1"/>
          <w:sz w:val="24"/>
          <w:szCs w:val="24"/>
        </w:rPr>
        <w:t xml:space="preserve">by </w:t>
      </w:r>
      <w:r w:rsidRPr="00D86973">
        <w:rPr>
          <w:rFonts w:asciiTheme="majorHAnsi" w:eastAsiaTheme="majorEastAsia" w:hAnsiTheme="majorHAnsi" w:cstheme="majorBidi"/>
          <w:bCs/>
          <w:color w:val="000000" w:themeColor="text1"/>
          <w:sz w:val="24"/>
          <w:szCs w:val="24"/>
        </w:rPr>
        <w:t>$</w:t>
      </w:r>
      <w:r w:rsidR="00032727">
        <w:rPr>
          <w:rFonts w:asciiTheme="majorHAnsi" w:eastAsiaTheme="majorEastAsia" w:hAnsiTheme="majorHAnsi" w:cstheme="majorBidi"/>
          <w:bCs/>
          <w:color w:val="000000" w:themeColor="text1"/>
          <w:sz w:val="24"/>
          <w:szCs w:val="24"/>
        </w:rPr>
        <w:t>581</w:t>
      </w:r>
      <w:r w:rsidRPr="00D86973">
        <w:rPr>
          <w:rFonts w:asciiTheme="majorHAnsi" w:eastAsiaTheme="majorEastAsia" w:hAnsiTheme="majorHAnsi" w:cstheme="majorBidi"/>
          <w:bCs/>
          <w:color w:val="000000" w:themeColor="text1"/>
          <w:sz w:val="24"/>
          <w:szCs w:val="24"/>
        </w:rPr>
        <w:t xml:space="preserve"> million</w:t>
      </w:r>
      <w:r w:rsidR="00B41A8B">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w:t>
      </w:r>
      <w:r w:rsidR="00B41A8B">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w:t>
      </w:r>
      <w:r w:rsidR="00032727">
        <w:rPr>
          <w:rFonts w:asciiTheme="majorHAnsi" w:eastAsiaTheme="majorEastAsia" w:hAnsiTheme="majorHAnsi" w:cstheme="majorBidi"/>
          <w:bCs/>
          <w:color w:val="000000" w:themeColor="text1"/>
          <w:sz w:val="24"/>
          <w:szCs w:val="24"/>
        </w:rPr>
        <w:t>665</w:t>
      </w:r>
      <w:r w:rsidRPr="00D86973">
        <w:rPr>
          <w:rFonts w:asciiTheme="majorHAnsi" w:eastAsiaTheme="majorEastAsia" w:hAnsiTheme="majorHAnsi" w:cstheme="majorBidi"/>
          <w:bCs/>
          <w:color w:val="000000" w:themeColor="text1"/>
          <w:sz w:val="24"/>
          <w:szCs w:val="24"/>
        </w:rPr>
        <w:t xml:space="preserve"> million and total employment declining </w:t>
      </w:r>
      <w:r>
        <w:rPr>
          <w:rFonts w:asciiTheme="majorHAnsi" w:eastAsiaTheme="majorEastAsia" w:hAnsiTheme="majorHAnsi" w:cstheme="majorBidi"/>
          <w:bCs/>
          <w:color w:val="000000" w:themeColor="text1"/>
          <w:sz w:val="24"/>
          <w:szCs w:val="24"/>
        </w:rPr>
        <w:t xml:space="preserve">by </w:t>
      </w:r>
      <w:r w:rsidR="00032727">
        <w:rPr>
          <w:rFonts w:asciiTheme="majorHAnsi" w:eastAsiaTheme="majorEastAsia" w:hAnsiTheme="majorHAnsi" w:cstheme="majorBidi"/>
          <w:bCs/>
          <w:color w:val="000000" w:themeColor="text1"/>
          <w:sz w:val="24"/>
          <w:szCs w:val="24"/>
        </w:rPr>
        <w:t>6,719</w:t>
      </w:r>
      <w:r w:rsidR="00032727" w:rsidRPr="00D86973">
        <w:rPr>
          <w:rFonts w:asciiTheme="majorHAnsi" w:eastAsiaTheme="majorEastAsia" w:hAnsiTheme="majorHAnsi" w:cstheme="majorBidi"/>
          <w:bCs/>
          <w:color w:val="000000" w:themeColor="text1"/>
          <w:sz w:val="24"/>
          <w:szCs w:val="24"/>
        </w:rPr>
        <w:t xml:space="preserve"> </w:t>
      </w:r>
      <w:r w:rsidR="00032727">
        <w:rPr>
          <w:rFonts w:asciiTheme="majorHAnsi" w:eastAsiaTheme="majorEastAsia" w:hAnsiTheme="majorHAnsi" w:cstheme="majorBidi"/>
          <w:bCs/>
          <w:color w:val="000000" w:themeColor="text1"/>
          <w:sz w:val="24"/>
          <w:szCs w:val="24"/>
        </w:rPr>
        <w:t>– 7,526</w:t>
      </w:r>
      <w:r w:rsidR="00032727"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 xml:space="preserve">annually. Lost economic activities result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revenues, ranging from $</w:t>
      </w:r>
      <w:r>
        <w:rPr>
          <w:rFonts w:asciiTheme="majorHAnsi" w:eastAsiaTheme="majorEastAsia" w:hAnsiTheme="majorHAnsi" w:cstheme="majorBidi"/>
          <w:bCs/>
          <w:color w:val="000000" w:themeColor="text1"/>
          <w:sz w:val="24"/>
          <w:szCs w:val="24"/>
        </w:rPr>
        <w:t>1</w:t>
      </w:r>
      <w:r w:rsidR="00032727">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w:t>
      </w:r>
      <w:r w:rsidR="00032727">
        <w:rPr>
          <w:rFonts w:asciiTheme="majorHAnsi" w:eastAsiaTheme="majorEastAsia" w:hAnsiTheme="majorHAnsi" w:cstheme="majorBidi"/>
          <w:bCs/>
          <w:color w:val="000000" w:themeColor="text1"/>
          <w:sz w:val="24"/>
          <w:szCs w:val="24"/>
        </w:rPr>
        <w:t>4</w:t>
      </w:r>
      <w:r w:rsidRPr="00D86973">
        <w:rPr>
          <w:rFonts w:asciiTheme="majorHAnsi" w:eastAsiaTheme="majorEastAsia" w:hAnsiTheme="majorHAnsi" w:cstheme="majorBidi"/>
          <w:bCs/>
          <w:color w:val="000000" w:themeColor="text1"/>
          <w:sz w:val="24"/>
          <w:szCs w:val="24"/>
        </w:rPr>
        <w:t xml:space="preserve"> million to $</w:t>
      </w:r>
      <w:r w:rsidR="00032727">
        <w:rPr>
          <w:rFonts w:asciiTheme="majorHAnsi" w:eastAsiaTheme="majorEastAsia" w:hAnsiTheme="majorHAnsi" w:cstheme="majorBidi"/>
          <w:bCs/>
          <w:color w:val="000000" w:themeColor="text1"/>
          <w:sz w:val="24"/>
          <w:szCs w:val="24"/>
        </w:rPr>
        <w:t>36.9</w:t>
      </w:r>
      <w:r w:rsidRPr="00D86973">
        <w:rPr>
          <w:rFonts w:asciiTheme="majorHAnsi" w:eastAsiaTheme="majorEastAsia" w:hAnsiTheme="majorHAnsi" w:cstheme="majorBidi"/>
          <w:bCs/>
          <w:color w:val="000000" w:themeColor="text1"/>
          <w:sz w:val="24"/>
          <w:szCs w:val="24"/>
        </w:rPr>
        <w:t xml:space="preserve"> million annually. </w:t>
      </w:r>
      <w:r>
        <w:rPr>
          <w:rFonts w:asciiTheme="majorHAnsi" w:eastAsiaTheme="majorEastAsia" w:hAnsiTheme="majorHAnsi" w:cstheme="majorBidi"/>
          <w:bCs/>
          <w:color w:val="000000" w:themeColor="text1"/>
          <w:sz w:val="24"/>
          <w:szCs w:val="24"/>
        </w:rPr>
        <w:t>Note that the revenue impact reported in Table A1 does not include the estimated direct impact of the tax expenditure from Table 1, but only the additional indirect/induced impact.</w:t>
      </w:r>
    </w:p>
    <w:p w14:paraId="53F85CB1" w14:textId="77777777" w:rsidR="009D12D5" w:rsidRDefault="009D12D5" w:rsidP="009D12D5">
      <w:pPr>
        <w:spacing w:after="0"/>
        <w:rPr>
          <w:rFonts w:asciiTheme="majorHAnsi" w:hAnsiTheme="majorHAnsi"/>
          <w:bCs/>
          <w:sz w:val="24"/>
          <w:szCs w:val="24"/>
        </w:rPr>
      </w:pPr>
    </w:p>
    <w:p w14:paraId="7A08DB46" w14:textId="77777777" w:rsidR="009D12D5" w:rsidRDefault="009D12D5" w:rsidP="009D12D5">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9D12D5" w:rsidRPr="008B33E0" w14:paraId="24067AD4" w14:textId="77777777" w:rsidTr="00C65C96">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0D0F8A0" w14:textId="77777777" w:rsidR="009D12D5" w:rsidRPr="008B33E0" w:rsidRDefault="009D12D5" w:rsidP="00C65C9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2BDEF70E" w14:textId="77777777" w:rsidR="009D12D5" w:rsidRPr="008B33E0" w:rsidRDefault="009D12D5" w:rsidP="00C65C9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23B8A144" w14:textId="77777777" w:rsidR="009D12D5" w:rsidRPr="008B33E0" w:rsidRDefault="009D12D5" w:rsidP="00C65C9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D0F649F" w14:textId="77777777" w:rsidR="009D12D5" w:rsidRPr="008B33E0" w:rsidRDefault="009D12D5" w:rsidP="00C65C9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52942D6F" w14:textId="77777777" w:rsidR="009D12D5" w:rsidRPr="008B33E0" w:rsidRDefault="009D12D5" w:rsidP="00C65C9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199FD6F7" w14:textId="77777777" w:rsidR="009D12D5" w:rsidRPr="008B33E0" w:rsidRDefault="009D12D5" w:rsidP="00C65C9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C65C96" w:rsidRPr="008B33E0" w14:paraId="61BACEFC" w14:textId="77777777" w:rsidTr="00C65C96">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27A2DA3A" w14:textId="77777777" w:rsidR="00C65C96" w:rsidRPr="008B33E0" w:rsidRDefault="00C65C96" w:rsidP="00C65C96">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BA4A" w14:textId="77777777" w:rsidR="00C65C96" w:rsidRPr="008B33E0"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-$12,379</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23E96CD8" w14:textId="77777777" w:rsidR="00C65C96" w:rsidRPr="008B33E0"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-$27,480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4D016AA4" w14:textId="77777777" w:rsidR="00C65C96" w:rsidRPr="008B33E0"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-$31,632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4A64FD0E" w14:textId="77777777" w:rsidR="00C65C96" w:rsidRPr="008B33E0"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-$34,914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1F4CD602" w14:textId="77777777" w:rsidR="00C65C96" w:rsidRPr="008B33E0"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-$36,874</w:t>
            </w:r>
          </w:p>
        </w:tc>
      </w:tr>
    </w:tbl>
    <w:p w14:paraId="56A38598" w14:textId="77777777" w:rsidR="009D12D5" w:rsidRPr="00304366" w:rsidRDefault="009D12D5" w:rsidP="009D12D5">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001E30CF" w:rsidRPr="001E30CF">
        <w:rPr>
          <w:rFonts w:asciiTheme="majorHAnsi" w:eastAsiaTheme="majorEastAsia" w:hAnsiTheme="majorHAnsi" w:cstheme="majorBidi"/>
          <w:bCs/>
          <w:color w:val="000000" w:themeColor="text1"/>
          <w:sz w:val="20"/>
          <w:szCs w:val="20"/>
        </w:rPr>
        <w:t xml:space="preserve"> </w:t>
      </w:r>
      <w:r w:rsidR="001E30CF" w:rsidRPr="00304366">
        <w:rPr>
          <w:rFonts w:asciiTheme="majorHAnsi" w:eastAsiaTheme="majorEastAsia" w:hAnsiTheme="majorHAnsi" w:cstheme="majorBidi"/>
          <w:bCs/>
          <w:color w:val="000000" w:themeColor="text1"/>
          <w:sz w:val="20"/>
          <w:szCs w:val="20"/>
        </w:rPr>
        <w:t>This table report</w:t>
      </w:r>
      <w:r w:rsidR="001E30CF">
        <w:rPr>
          <w:rFonts w:asciiTheme="majorHAnsi" w:eastAsiaTheme="majorEastAsia" w:hAnsiTheme="majorHAnsi" w:cstheme="majorBidi"/>
          <w:bCs/>
          <w:color w:val="000000" w:themeColor="text1"/>
          <w:sz w:val="20"/>
          <w:szCs w:val="20"/>
        </w:rPr>
        <w:t>s</w:t>
      </w:r>
      <w:r w:rsidR="001E30CF" w:rsidRPr="00304366">
        <w:rPr>
          <w:rFonts w:asciiTheme="majorHAnsi" w:eastAsiaTheme="majorEastAsia" w:hAnsiTheme="majorHAnsi" w:cstheme="majorBidi"/>
          <w:bCs/>
          <w:color w:val="000000" w:themeColor="text1"/>
          <w:sz w:val="20"/>
          <w:szCs w:val="20"/>
        </w:rPr>
        <w:t xml:space="preserve"> the lost revenues from the foregone economic activities as the state </w:t>
      </w:r>
      <w:r w:rsidR="001E30CF">
        <w:rPr>
          <w:rFonts w:asciiTheme="majorHAnsi" w:eastAsiaTheme="majorEastAsia" w:hAnsiTheme="majorHAnsi" w:cstheme="majorBidi"/>
          <w:bCs/>
          <w:color w:val="000000" w:themeColor="text1"/>
          <w:sz w:val="20"/>
          <w:szCs w:val="20"/>
        </w:rPr>
        <w:t>reduced</w:t>
      </w:r>
      <w:r w:rsidR="001E30CF" w:rsidRPr="00304366">
        <w:rPr>
          <w:rFonts w:asciiTheme="majorHAnsi" w:eastAsiaTheme="majorEastAsia" w:hAnsiTheme="majorHAnsi" w:cstheme="majorBidi"/>
          <w:bCs/>
          <w:color w:val="000000" w:themeColor="text1"/>
          <w:sz w:val="20"/>
          <w:szCs w:val="20"/>
        </w:rPr>
        <w:t xml:space="preserve"> government spending to finance the </w:t>
      </w:r>
      <w:r w:rsidR="001E30CF">
        <w:rPr>
          <w:rFonts w:asciiTheme="majorHAnsi" w:eastAsiaTheme="majorEastAsia" w:hAnsiTheme="majorHAnsi" w:cstheme="majorBidi"/>
          <w:bCs/>
          <w:color w:val="000000" w:themeColor="text1"/>
          <w:sz w:val="20"/>
          <w:szCs w:val="20"/>
        </w:rPr>
        <w:t>e</w:t>
      </w:r>
      <w:r w:rsidR="001E30CF" w:rsidRPr="006F6795">
        <w:rPr>
          <w:rFonts w:asciiTheme="majorHAnsi" w:eastAsiaTheme="majorEastAsia" w:hAnsiTheme="majorHAnsi" w:cstheme="majorBidi"/>
          <w:bCs/>
          <w:color w:val="000000" w:themeColor="text1"/>
          <w:sz w:val="20"/>
          <w:szCs w:val="20"/>
        </w:rPr>
        <w:t xml:space="preserve">xemption </w:t>
      </w:r>
      <w:r w:rsidR="001E30CF">
        <w:rPr>
          <w:rFonts w:asciiTheme="majorHAnsi" w:eastAsiaTheme="majorEastAsia" w:hAnsiTheme="majorHAnsi" w:cstheme="majorBidi"/>
          <w:bCs/>
          <w:color w:val="000000" w:themeColor="text1"/>
          <w:sz w:val="20"/>
          <w:szCs w:val="20"/>
        </w:rPr>
        <w:t>for</w:t>
      </w:r>
      <w:r w:rsidR="001E30CF" w:rsidRPr="006F6795">
        <w:rPr>
          <w:rFonts w:asciiTheme="majorHAnsi" w:eastAsiaTheme="majorEastAsia" w:hAnsiTheme="majorHAnsi" w:cstheme="majorBidi"/>
          <w:bCs/>
          <w:color w:val="000000" w:themeColor="text1"/>
          <w:sz w:val="20"/>
          <w:szCs w:val="20"/>
        </w:rPr>
        <w:t xml:space="preserve"> </w:t>
      </w:r>
      <w:r w:rsidR="001E30CF">
        <w:rPr>
          <w:rFonts w:asciiTheme="majorHAnsi" w:eastAsiaTheme="majorEastAsia" w:hAnsiTheme="majorHAnsi" w:cstheme="majorBidi"/>
          <w:bCs/>
          <w:color w:val="000000" w:themeColor="text1"/>
          <w:sz w:val="20"/>
          <w:szCs w:val="20"/>
        </w:rPr>
        <w:t>tangible property subject to local taxation</w:t>
      </w:r>
      <w:r w:rsidR="001E30CF" w:rsidRPr="00304366">
        <w:rPr>
          <w:rFonts w:asciiTheme="majorHAnsi" w:eastAsiaTheme="majorEastAsia" w:hAnsiTheme="majorHAnsi" w:cstheme="majorBidi"/>
          <w:bCs/>
          <w:color w:val="000000" w:themeColor="text1"/>
          <w:sz w:val="20"/>
          <w:szCs w:val="20"/>
        </w:rPr>
        <w:t>.</w:t>
      </w:r>
    </w:p>
    <w:p w14:paraId="5A48EF36" w14:textId="77777777" w:rsidR="009D12D5" w:rsidRDefault="009D12D5" w:rsidP="009D12D5">
      <w:pPr>
        <w:spacing w:after="0"/>
        <w:rPr>
          <w:rFonts w:asciiTheme="majorHAnsi" w:eastAsiaTheme="majorEastAsia" w:hAnsiTheme="majorHAnsi" w:cstheme="majorBidi"/>
          <w:bCs/>
          <w:color w:val="000000" w:themeColor="text1"/>
          <w:sz w:val="24"/>
          <w:szCs w:val="24"/>
        </w:rPr>
      </w:pPr>
    </w:p>
    <w:p w14:paraId="3B0DC009" w14:textId="77777777" w:rsidR="009D12D5" w:rsidRDefault="009D12D5" w:rsidP="009D12D5">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Economic Impacts due to Decreased Government Spending by Selected Economic Measure*</w:t>
      </w:r>
    </w:p>
    <w:tbl>
      <w:tblPr>
        <w:tblW w:w="9265" w:type="dxa"/>
        <w:jc w:val="center"/>
        <w:tblLook w:val="04A0" w:firstRow="1" w:lastRow="0" w:firstColumn="1" w:lastColumn="0" w:noHBand="0" w:noVBand="1"/>
      </w:tblPr>
      <w:tblGrid>
        <w:gridCol w:w="2735"/>
        <w:gridCol w:w="1323"/>
        <w:gridCol w:w="1323"/>
        <w:gridCol w:w="1323"/>
        <w:gridCol w:w="1323"/>
        <w:gridCol w:w="1238"/>
      </w:tblGrid>
      <w:tr w:rsidR="009D12D5" w:rsidRPr="00DC336F" w14:paraId="1C948B8B" w14:textId="77777777" w:rsidTr="00C65C96">
        <w:trPr>
          <w:trHeight w:val="380"/>
          <w:jc w:val="center"/>
        </w:trPr>
        <w:tc>
          <w:tcPr>
            <w:tcW w:w="27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98CF5CF" w14:textId="77777777" w:rsidR="009D12D5" w:rsidRPr="00DC336F" w:rsidRDefault="009D12D5" w:rsidP="00C65C9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4FBEC630" w14:textId="77777777" w:rsidR="009D12D5" w:rsidRPr="00DC336F" w:rsidRDefault="009D12D5" w:rsidP="00C65C9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64C5FDEC" w14:textId="77777777" w:rsidR="009D12D5" w:rsidRPr="00DC336F" w:rsidRDefault="009D12D5" w:rsidP="00C65C9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1AAB2273" w14:textId="77777777" w:rsidR="009D12D5" w:rsidRPr="00DC336F" w:rsidRDefault="009D12D5" w:rsidP="00C65C9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325555D8" w14:textId="77777777" w:rsidR="009D12D5" w:rsidRPr="00DC336F" w:rsidRDefault="009D12D5" w:rsidP="00C65C9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238" w:type="dxa"/>
            <w:tcBorders>
              <w:top w:val="single" w:sz="4" w:space="0" w:color="auto"/>
              <w:left w:val="nil"/>
              <w:bottom w:val="single" w:sz="4" w:space="0" w:color="auto"/>
              <w:right w:val="single" w:sz="4" w:space="0" w:color="auto"/>
            </w:tcBorders>
            <w:shd w:val="clear" w:color="000000" w:fill="B7DEE8"/>
            <w:noWrap/>
            <w:vAlign w:val="center"/>
            <w:hideMark/>
          </w:tcPr>
          <w:p w14:paraId="0ECAFE90" w14:textId="77777777" w:rsidR="009D12D5" w:rsidRPr="00DC336F" w:rsidRDefault="009D12D5" w:rsidP="00C65C9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C65C96" w:rsidRPr="00DC336F" w14:paraId="7D0AF848" w14:textId="77777777" w:rsidTr="00C65C96">
        <w:trPr>
          <w:trHeight w:val="54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09BA13F0" w14:textId="77777777" w:rsidR="00C65C96" w:rsidRPr="00DC336F" w:rsidRDefault="00C65C96" w:rsidP="00C65C9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B99C1"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-6,719</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6666A76"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-7,100</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020F198C"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-7,526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853B9D2"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-7,455</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7C57"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-7,302</w:t>
            </w:r>
          </w:p>
        </w:tc>
      </w:tr>
      <w:tr w:rsidR="00C65C96" w:rsidRPr="00DC336F" w14:paraId="0FF3CBB1" w14:textId="77777777" w:rsidTr="00C65C96">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28E3EAD4" w14:textId="77777777" w:rsidR="00C65C96" w:rsidRPr="00DC336F" w:rsidRDefault="00C65C96" w:rsidP="00C65C9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AB4867B"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-3,705</w:t>
            </w:r>
          </w:p>
        </w:tc>
        <w:tc>
          <w:tcPr>
            <w:tcW w:w="1323" w:type="dxa"/>
            <w:tcBorders>
              <w:top w:val="nil"/>
              <w:left w:val="nil"/>
              <w:bottom w:val="single" w:sz="4" w:space="0" w:color="auto"/>
              <w:right w:val="single" w:sz="4" w:space="0" w:color="auto"/>
            </w:tcBorders>
            <w:shd w:val="clear" w:color="auto" w:fill="auto"/>
            <w:noWrap/>
            <w:vAlign w:val="center"/>
            <w:hideMark/>
          </w:tcPr>
          <w:p w14:paraId="0A97F0C2"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-3,914</w:t>
            </w:r>
          </w:p>
        </w:tc>
        <w:tc>
          <w:tcPr>
            <w:tcW w:w="1323" w:type="dxa"/>
            <w:tcBorders>
              <w:top w:val="nil"/>
              <w:left w:val="nil"/>
              <w:bottom w:val="single" w:sz="4" w:space="0" w:color="auto"/>
              <w:right w:val="single" w:sz="4" w:space="0" w:color="auto"/>
            </w:tcBorders>
            <w:shd w:val="clear" w:color="auto" w:fill="auto"/>
            <w:noWrap/>
            <w:vAlign w:val="center"/>
            <w:hideMark/>
          </w:tcPr>
          <w:p w14:paraId="01FBEE50"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-4,164</w:t>
            </w:r>
          </w:p>
        </w:tc>
        <w:tc>
          <w:tcPr>
            <w:tcW w:w="1323" w:type="dxa"/>
            <w:tcBorders>
              <w:top w:val="nil"/>
              <w:left w:val="nil"/>
              <w:bottom w:val="single" w:sz="4" w:space="0" w:color="auto"/>
              <w:right w:val="single" w:sz="4" w:space="0" w:color="auto"/>
            </w:tcBorders>
            <w:shd w:val="clear" w:color="auto" w:fill="auto"/>
            <w:noWrap/>
            <w:vAlign w:val="center"/>
            <w:hideMark/>
          </w:tcPr>
          <w:p w14:paraId="38F23081"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-4,063</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3E3B9C9B"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-3,891</w:t>
            </w:r>
          </w:p>
        </w:tc>
      </w:tr>
      <w:tr w:rsidR="00C65C96" w:rsidRPr="00DC336F" w14:paraId="31A8B0C2" w14:textId="77777777" w:rsidTr="00C65C96">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16D9EF90" w14:textId="77777777" w:rsidR="00C65C96" w:rsidRPr="00DC336F" w:rsidRDefault="00C65C96" w:rsidP="00C65C9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1C82BDF"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-$581,000</w:t>
            </w:r>
          </w:p>
        </w:tc>
        <w:tc>
          <w:tcPr>
            <w:tcW w:w="1323" w:type="dxa"/>
            <w:tcBorders>
              <w:top w:val="nil"/>
              <w:left w:val="nil"/>
              <w:bottom w:val="single" w:sz="4" w:space="0" w:color="auto"/>
              <w:right w:val="single" w:sz="4" w:space="0" w:color="auto"/>
            </w:tcBorders>
            <w:shd w:val="clear" w:color="auto" w:fill="auto"/>
            <w:noWrap/>
            <w:vAlign w:val="center"/>
            <w:hideMark/>
          </w:tcPr>
          <w:p w14:paraId="3747EB92"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-$619,000</w:t>
            </w:r>
          </w:p>
        </w:tc>
        <w:tc>
          <w:tcPr>
            <w:tcW w:w="1323" w:type="dxa"/>
            <w:tcBorders>
              <w:top w:val="nil"/>
              <w:left w:val="nil"/>
              <w:bottom w:val="single" w:sz="4" w:space="0" w:color="auto"/>
              <w:right w:val="single" w:sz="4" w:space="0" w:color="auto"/>
            </w:tcBorders>
            <w:shd w:val="clear" w:color="auto" w:fill="auto"/>
            <w:noWrap/>
            <w:vAlign w:val="center"/>
            <w:hideMark/>
          </w:tcPr>
          <w:p w14:paraId="5D25068C"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-$662,000</w:t>
            </w:r>
          </w:p>
        </w:tc>
        <w:tc>
          <w:tcPr>
            <w:tcW w:w="1323" w:type="dxa"/>
            <w:tcBorders>
              <w:top w:val="nil"/>
              <w:left w:val="nil"/>
              <w:bottom w:val="single" w:sz="4" w:space="0" w:color="auto"/>
              <w:right w:val="single" w:sz="4" w:space="0" w:color="auto"/>
            </w:tcBorders>
            <w:shd w:val="clear" w:color="auto" w:fill="auto"/>
            <w:noWrap/>
            <w:vAlign w:val="center"/>
            <w:hideMark/>
          </w:tcPr>
          <w:p w14:paraId="7078FFC6"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-$665,000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CF943BE"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-$660,000</w:t>
            </w:r>
          </w:p>
        </w:tc>
      </w:tr>
      <w:tr w:rsidR="00C65C96" w:rsidRPr="00DC336F" w14:paraId="4168349D" w14:textId="77777777" w:rsidTr="00C65C96">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2F91C923" w14:textId="77777777" w:rsidR="00C65C96" w:rsidRPr="00DC336F" w:rsidRDefault="00C65C96" w:rsidP="00C65C96">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6DE0235"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-$484,000</w:t>
            </w:r>
          </w:p>
        </w:tc>
        <w:tc>
          <w:tcPr>
            <w:tcW w:w="1323" w:type="dxa"/>
            <w:tcBorders>
              <w:top w:val="nil"/>
              <w:left w:val="nil"/>
              <w:bottom w:val="single" w:sz="4" w:space="0" w:color="auto"/>
              <w:right w:val="single" w:sz="4" w:space="0" w:color="auto"/>
            </w:tcBorders>
            <w:shd w:val="clear" w:color="auto" w:fill="auto"/>
            <w:noWrap/>
            <w:vAlign w:val="center"/>
            <w:hideMark/>
          </w:tcPr>
          <w:p w14:paraId="0E077177"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-$567,000</w:t>
            </w:r>
          </w:p>
        </w:tc>
        <w:tc>
          <w:tcPr>
            <w:tcW w:w="1323" w:type="dxa"/>
            <w:tcBorders>
              <w:top w:val="nil"/>
              <w:left w:val="nil"/>
              <w:bottom w:val="single" w:sz="4" w:space="0" w:color="auto"/>
              <w:right w:val="single" w:sz="4" w:space="0" w:color="auto"/>
            </w:tcBorders>
            <w:shd w:val="clear" w:color="auto" w:fill="auto"/>
            <w:noWrap/>
            <w:vAlign w:val="center"/>
            <w:hideMark/>
          </w:tcPr>
          <w:p w14:paraId="4E989D46"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-$650,000</w:t>
            </w:r>
          </w:p>
        </w:tc>
        <w:tc>
          <w:tcPr>
            <w:tcW w:w="1323" w:type="dxa"/>
            <w:tcBorders>
              <w:top w:val="nil"/>
              <w:left w:val="nil"/>
              <w:bottom w:val="single" w:sz="4" w:space="0" w:color="auto"/>
              <w:right w:val="single" w:sz="4" w:space="0" w:color="auto"/>
            </w:tcBorders>
            <w:shd w:val="clear" w:color="auto" w:fill="auto"/>
            <w:noWrap/>
            <w:vAlign w:val="center"/>
            <w:hideMark/>
          </w:tcPr>
          <w:p w14:paraId="4FD6655D"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-$694,000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EFB7FF1" w14:textId="77777777" w:rsidR="00C65C96" w:rsidRPr="00DC336F"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-$727,000</w:t>
            </w:r>
          </w:p>
        </w:tc>
      </w:tr>
    </w:tbl>
    <w:p w14:paraId="55B752CF" w14:textId="77777777" w:rsidR="001E30CF" w:rsidRPr="00304366" w:rsidRDefault="009D12D5" w:rsidP="001E30CF">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activities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finance </w:t>
      </w:r>
      <w:r w:rsidR="001E30CF" w:rsidRPr="00304366">
        <w:rPr>
          <w:rFonts w:asciiTheme="majorHAnsi" w:eastAsiaTheme="majorEastAsia" w:hAnsiTheme="majorHAnsi" w:cstheme="majorBidi"/>
          <w:bCs/>
          <w:color w:val="000000" w:themeColor="text1"/>
          <w:sz w:val="20"/>
          <w:szCs w:val="20"/>
        </w:rPr>
        <w:t xml:space="preserve">the </w:t>
      </w:r>
      <w:r w:rsidR="001E30CF">
        <w:rPr>
          <w:rFonts w:asciiTheme="majorHAnsi" w:eastAsiaTheme="majorEastAsia" w:hAnsiTheme="majorHAnsi" w:cstheme="majorBidi"/>
          <w:bCs/>
          <w:color w:val="000000" w:themeColor="text1"/>
          <w:sz w:val="20"/>
          <w:szCs w:val="20"/>
        </w:rPr>
        <w:t>e</w:t>
      </w:r>
      <w:r w:rsidR="001E30CF" w:rsidRPr="006F6795">
        <w:rPr>
          <w:rFonts w:asciiTheme="majorHAnsi" w:eastAsiaTheme="majorEastAsia" w:hAnsiTheme="majorHAnsi" w:cstheme="majorBidi"/>
          <w:bCs/>
          <w:color w:val="000000" w:themeColor="text1"/>
          <w:sz w:val="20"/>
          <w:szCs w:val="20"/>
        </w:rPr>
        <w:t xml:space="preserve">xemption </w:t>
      </w:r>
      <w:r w:rsidR="001E30CF">
        <w:rPr>
          <w:rFonts w:asciiTheme="majorHAnsi" w:eastAsiaTheme="majorEastAsia" w:hAnsiTheme="majorHAnsi" w:cstheme="majorBidi"/>
          <w:bCs/>
          <w:color w:val="000000" w:themeColor="text1"/>
          <w:sz w:val="20"/>
          <w:szCs w:val="20"/>
        </w:rPr>
        <w:t>for</w:t>
      </w:r>
      <w:r w:rsidR="001E30CF" w:rsidRPr="006F6795">
        <w:rPr>
          <w:rFonts w:asciiTheme="majorHAnsi" w:eastAsiaTheme="majorEastAsia" w:hAnsiTheme="majorHAnsi" w:cstheme="majorBidi"/>
          <w:bCs/>
          <w:color w:val="000000" w:themeColor="text1"/>
          <w:sz w:val="20"/>
          <w:szCs w:val="20"/>
        </w:rPr>
        <w:t xml:space="preserve"> </w:t>
      </w:r>
      <w:r w:rsidR="001E30CF">
        <w:rPr>
          <w:rFonts w:asciiTheme="majorHAnsi" w:eastAsiaTheme="majorEastAsia" w:hAnsiTheme="majorHAnsi" w:cstheme="majorBidi"/>
          <w:bCs/>
          <w:color w:val="000000" w:themeColor="text1"/>
          <w:sz w:val="20"/>
          <w:szCs w:val="20"/>
        </w:rPr>
        <w:t>tangible property subject to local taxation</w:t>
      </w:r>
      <w:r w:rsidR="001E30CF" w:rsidRPr="00304366">
        <w:rPr>
          <w:rFonts w:asciiTheme="majorHAnsi" w:eastAsiaTheme="majorEastAsia" w:hAnsiTheme="majorHAnsi" w:cstheme="majorBidi"/>
          <w:bCs/>
          <w:color w:val="000000" w:themeColor="text1"/>
          <w:sz w:val="20"/>
          <w:szCs w:val="20"/>
        </w:rPr>
        <w:t>.</w:t>
      </w:r>
    </w:p>
    <w:p w14:paraId="74F0BEFD" w14:textId="77777777" w:rsidR="009D12D5" w:rsidRPr="008A3AB7" w:rsidRDefault="009D12D5" w:rsidP="009D12D5">
      <w:pPr>
        <w:spacing w:after="0"/>
        <w:rPr>
          <w:rFonts w:asciiTheme="majorHAnsi" w:eastAsiaTheme="majorEastAsia" w:hAnsiTheme="majorHAnsi" w:cstheme="majorBidi"/>
          <w:bCs/>
          <w:color w:val="000000" w:themeColor="text1"/>
          <w:sz w:val="20"/>
          <w:szCs w:val="20"/>
        </w:rPr>
      </w:pPr>
    </w:p>
    <w:p w14:paraId="52DBF069" w14:textId="77777777" w:rsidR="009D12D5" w:rsidRDefault="009D12D5" w:rsidP="009D12D5">
      <w:pPr>
        <w:rPr>
          <w:rFonts w:asciiTheme="majorHAnsi" w:hAnsiTheme="majorHAnsi"/>
          <w:bCs/>
          <w:sz w:val="24"/>
          <w:szCs w:val="24"/>
        </w:rPr>
      </w:pPr>
    </w:p>
    <w:p w14:paraId="5AA2D9C3" w14:textId="77777777" w:rsidR="009D12D5" w:rsidRPr="00782E31" w:rsidRDefault="009D12D5" w:rsidP="009D12D5">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34890414" w14:textId="77777777" w:rsidR="009D12D5" w:rsidRDefault="009D12D5" w:rsidP="009D12D5">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cost savings due to the </w:t>
      </w:r>
      <w:r w:rsidR="00032727">
        <w:rPr>
          <w:rFonts w:asciiTheme="majorHAnsi" w:eastAsiaTheme="majorEastAsia" w:hAnsiTheme="majorHAnsi" w:cstheme="majorBidi"/>
          <w:bCs/>
          <w:color w:val="000000" w:themeColor="text1"/>
          <w:sz w:val="24"/>
          <w:szCs w:val="24"/>
        </w:rPr>
        <w:t>exemption</w:t>
      </w:r>
      <w:r>
        <w:rPr>
          <w:rFonts w:asciiTheme="majorHAnsi" w:eastAsiaTheme="majorEastAsia" w:hAnsiTheme="majorHAnsi" w:cstheme="majorBidi"/>
          <w:bCs/>
          <w:color w:val="000000" w:themeColor="text1"/>
          <w:sz w:val="24"/>
          <w:szCs w:val="24"/>
        </w:rPr>
        <w:t xml:space="preserve"> encourages the directly affected businesses to </w:t>
      </w:r>
      <w:r w:rsidR="001E30CF">
        <w:rPr>
          <w:rFonts w:asciiTheme="majorHAnsi" w:eastAsiaTheme="majorEastAsia" w:hAnsiTheme="majorHAnsi" w:cstheme="majorBidi"/>
          <w:bCs/>
          <w:color w:val="000000" w:themeColor="text1"/>
          <w:sz w:val="24"/>
          <w:szCs w:val="24"/>
        </w:rPr>
        <w:t>invest, expand, hire additional workers, etc</w:t>
      </w:r>
      <w:r>
        <w:rPr>
          <w:rFonts w:asciiTheme="majorHAnsi" w:eastAsiaTheme="majorEastAsia" w:hAnsiTheme="majorHAnsi" w:cstheme="majorBidi"/>
          <w:bCs/>
          <w:color w:val="000000" w:themeColor="text1"/>
          <w:sz w:val="24"/>
          <w:szCs w:val="24"/>
        </w:rPr>
        <w:t xml:space="preserve">. Such decisions would increase demand for </w:t>
      </w:r>
      <w:r>
        <w:rPr>
          <w:rFonts w:asciiTheme="majorHAnsi" w:eastAsiaTheme="majorEastAsia" w:hAnsiTheme="majorHAnsi" w:cstheme="majorBidi"/>
          <w:bCs/>
          <w:color w:val="000000" w:themeColor="text1"/>
          <w:sz w:val="24"/>
          <w:szCs w:val="24"/>
        </w:rPr>
        <w:lastRenderedPageBreak/>
        <w:t xml:space="preserve">goods and services provided by other individuals and businesses in the economy, or put another way, generate a “Multiplier Effect” (see discussion in the previous section) from the initial or direct benefits as reported in the text. As a result, the total benefits of the </w:t>
      </w:r>
      <w:r w:rsidR="001E30CF">
        <w:rPr>
          <w:rFonts w:asciiTheme="majorHAnsi" w:eastAsiaTheme="majorEastAsia" w:hAnsiTheme="majorHAnsi" w:cstheme="majorBidi"/>
          <w:bCs/>
          <w:color w:val="000000" w:themeColor="text1"/>
          <w:sz w:val="24"/>
          <w:szCs w:val="24"/>
        </w:rPr>
        <w:t>exemption</w:t>
      </w:r>
      <w:r>
        <w:rPr>
          <w:rFonts w:asciiTheme="majorHAnsi" w:eastAsiaTheme="majorEastAsia" w:hAnsiTheme="majorHAnsi" w:cstheme="majorBidi"/>
          <w:bCs/>
          <w:color w:val="000000" w:themeColor="text1"/>
          <w:sz w:val="24"/>
          <w:szCs w:val="24"/>
        </w:rPr>
        <w:t xml:space="preserve"> would be larger than the initial or direct benefits.</w:t>
      </w:r>
    </w:p>
    <w:p w14:paraId="076E3EDF" w14:textId="77777777" w:rsidR="009D12D5" w:rsidRDefault="009D12D5" w:rsidP="009D12D5">
      <w:pPr>
        <w:spacing w:after="0"/>
        <w:rPr>
          <w:rFonts w:asciiTheme="majorHAnsi" w:eastAsiaTheme="majorEastAsia" w:hAnsiTheme="majorHAnsi" w:cstheme="majorBidi"/>
          <w:bCs/>
          <w:color w:val="000000" w:themeColor="text1"/>
          <w:sz w:val="24"/>
          <w:szCs w:val="24"/>
        </w:rPr>
      </w:pPr>
    </w:p>
    <w:p w14:paraId="2B6EAF0E" w14:textId="77777777" w:rsidR="009D12D5" w:rsidRDefault="009D12D5" w:rsidP="009D12D5">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 xml:space="preserve">benefits (direct,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503E6ED9" w14:textId="77777777" w:rsidR="009D12D5" w:rsidRDefault="009D12D5" w:rsidP="009D12D5">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the </w:t>
      </w:r>
      <w:r w:rsidR="002603D4">
        <w:rPr>
          <w:rFonts w:asciiTheme="majorHAnsi" w:eastAsiaTheme="majorEastAsia" w:hAnsiTheme="majorHAnsi" w:cstheme="majorBidi"/>
          <w:bCs/>
          <w:color w:val="000000" w:themeColor="text1"/>
          <w:sz w:val="24"/>
          <w:szCs w:val="24"/>
        </w:rPr>
        <w:t>exemption</w:t>
      </w:r>
      <w:r>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noProof/>
          <w:color w:val="000000" w:themeColor="text1"/>
          <w:sz w:val="24"/>
          <w:szCs w:val="24"/>
        </w:rPr>
        <w:t xml:space="preserve">is reported in Table A3, and the economic benefit from the </w:t>
      </w:r>
      <w:r w:rsidR="00FC3063">
        <w:rPr>
          <w:rFonts w:asciiTheme="majorHAnsi" w:eastAsiaTheme="majorEastAsia" w:hAnsiTheme="majorHAnsi" w:cstheme="majorBidi"/>
          <w:noProof/>
          <w:color w:val="000000" w:themeColor="text1"/>
          <w:sz w:val="24"/>
          <w:szCs w:val="24"/>
        </w:rPr>
        <w:t>exemption</w:t>
      </w:r>
      <w:r>
        <w:rPr>
          <w:rFonts w:asciiTheme="majorHAnsi" w:eastAsiaTheme="majorEastAsia" w:hAnsiTheme="majorHAnsi" w:cstheme="majorBidi"/>
          <w:noProof/>
          <w:color w:val="000000" w:themeColor="text1"/>
          <w:sz w:val="24"/>
          <w:szCs w:val="24"/>
        </w:rPr>
        <w:t xml:space="preserve"> is reflected in Table A4 below. The figures for 2018 and 2019 are estimates of benefits that the Massachusetts economy experienced and those for 2020, 2021 and 2022 are projections of the benefits that the Massachusetts economy will experience going forward.  </w:t>
      </w:r>
    </w:p>
    <w:p w14:paraId="062F4E9B" w14:textId="77777777" w:rsidR="009D12D5" w:rsidRDefault="009D12D5" w:rsidP="009D12D5">
      <w:pPr>
        <w:spacing w:after="0"/>
        <w:rPr>
          <w:rFonts w:asciiTheme="majorHAnsi" w:eastAsiaTheme="majorEastAsia" w:hAnsiTheme="majorHAnsi" w:cstheme="majorBidi"/>
          <w:bCs/>
          <w:color w:val="000000" w:themeColor="text1"/>
          <w:sz w:val="24"/>
          <w:szCs w:val="24"/>
        </w:rPr>
      </w:pPr>
    </w:p>
    <w:p w14:paraId="5FE746A1" w14:textId="77777777" w:rsidR="009D12D5" w:rsidRDefault="009D12D5" w:rsidP="009D12D5">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A3</w:t>
      </w:r>
      <w:r w:rsidRPr="009E0158">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A4</w:t>
      </w:r>
      <w:r w:rsidRPr="009E0158">
        <w:rPr>
          <w:rFonts w:asciiTheme="majorHAnsi" w:eastAsiaTheme="majorEastAsia" w:hAnsiTheme="majorHAnsi" w:cstheme="majorBidi"/>
          <w:bCs/>
          <w:color w:val="000000" w:themeColor="text1"/>
          <w:sz w:val="24"/>
          <w:szCs w:val="24"/>
        </w:rPr>
        <w:t xml:space="preserve"> show that, the </w:t>
      </w:r>
      <w:r w:rsidR="00FC3063">
        <w:rPr>
          <w:rFonts w:asciiTheme="majorHAnsi" w:eastAsiaTheme="majorEastAsia" w:hAnsiTheme="majorHAnsi" w:cstheme="majorBidi"/>
          <w:bCs/>
          <w:color w:val="000000" w:themeColor="text1"/>
          <w:sz w:val="24"/>
          <w:szCs w:val="24"/>
        </w:rPr>
        <w:t>exemption for tangible property subject to local taxation</w:t>
      </w:r>
      <w:r w:rsidRPr="009E0158">
        <w:rPr>
          <w:rFonts w:asciiTheme="majorHAnsi" w:eastAsiaTheme="majorEastAsia" w:hAnsiTheme="majorHAnsi" w:cstheme="majorBidi"/>
          <w:bCs/>
          <w:color w:val="000000" w:themeColor="text1"/>
          <w:sz w:val="24"/>
          <w:szCs w:val="24"/>
        </w:rPr>
        <w:t xml:space="preserve"> results in more economic activities, with real state GDP increasing </w:t>
      </w:r>
      <w:r>
        <w:rPr>
          <w:rFonts w:asciiTheme="majorHAnsi" w:eastAsiaTheme="majorEastAsia" w:hAnsiTheme="majorHAnsi" w:cstheme="majorBidi"/>
          <w:bCs/>
          <w:color w:val="000000" w:themeColor="text1"/>
          <w:sz w:val="24"/>
          <w:szCs w:val="24"/>
        </w:rPr>
        <w:t xml:space="preserve">by </w:t>
      </w:r>
      <w:r w:rsidRPr="009E0158">
        <w:rPr>
          <w:rFonts w:asciiTheme="majorHAnsi" w:eastAsiaTheme="majorEastAsia" w:hAnsiTheme="majorHAnsi" w:cstheme="majorBidi"/>
          <w:bCs/>
          <w:color w:val="000000" w:themeColor="text1"/>
          <w:sz w:val="24"/>
          <w:szCs w:val="24"/>
        </w:rPr>
        <w:t>$</w:t>
      </w:r>
      <w:r w:rsidR="00032727">
        <w:rPr>
          <w:rFonts w:asciiTheme="majorHAnsi" w:eastAsiaTheme="majorEastAsia" w:hAnsiTheme="majorHAnsi" w:cstheme="majorBidi"/>
          <w:bCs/>
          <w:color w:val="000000" w:themeColor="text1"/>
          <w:sz w:val="24"/>
          <w:szCs w:val="24"/>
        </w:rPr>
        <w:t>263</w:t>
      </w:r>
      <w:r w:rsidRPr="009E0158">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sidR="00032727">
        <w:rPr>
          <w:rFonts w:asciiTheme="majorHAnsi" w:eastAsiaTheme="majorEastAsia" w:hAnsiTheme="majorHAnsi" w:cstheme="majorBidi"/>
          <w:bCs/>
          <w:color w:val="000000" w:themeColor="text1"/>
          <w:sz w:val="24"/>
          <w:szCs w:val="24"/>
        </w:rPr>
        <w:t>473</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 xml:space="preserve">by </w:t>
      </w:r>
      <w:r w:rsidR="00032727">
        <w:rPr>
          <w:rFonts w:asciiTheme="majorHAnsi" w:eastAsiaTheme="majorEastAsia" w:hAnsiTheme="majorHAnsi" w:cstheme="majorBidi"/>
          <w:bCs/>
          <w:color w:val="000000" w:themeColor="text1"/>
          <w:sz w:val="24"/>
          <w:szCs w:val="24"/>
        </w:rPr>
        <w:t>2,743 – 4,437</w:t>
      </w:r>
      <w:r w:rsidR="00032727"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 xml:space="preserve">annually. More economic activities result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revenues, ranging from $</w:t>
      </w:r>
      <w:r w:rsidR="00032727">
        <w:rPr>
          <w:rFonts w:asciiTheme="majorHAnsi" w:eastAsiaTheme="majorEastAsia" w:hAnsiTheme="majorHAnsi" w:cstheme="majorBidi"/>
          <w:bCs/>
          <w:color w:val="000000" w:themeColor="text1"/>
          <w:sz w:val="24"/>
          <w:szCs w:val="24"/>
        </w:rPr>
        <w:t>6.0</w:t>
      </w:r>
      <w:r w:rsidRPr="009E0158">
        <w:rPr>
          <w:rFonts w:asciiTheme="majorHAnsi" w:eastAsiaTheme="majorEastAsia" w:hAnsiTheme="majorHAnsi" w:cstheme="majorBidi"/>
          <w:bCs/>
          <w:color w:val="000000" w:themeColor="text1"/>
          <w:sz w:val="24"/>
          <w:szCs w:val="24"/>
        </w:rPr>
        <w:t xml:space="preserve"> million to $</w:t>
      </w:r>
      <w:r w:rsidR="00032727">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5.</w:t>
      </w:r>
      <w:r w:rsidR="00032727">
        <w:rPr>
          <w:rFonts w:asciiTheme="majorHAnsi" w:eastAsiaTheme="majorEastAsia" w:hAnsiTheme="majorHAnsi" w:cstheme="majorBidi"/>
          <w:bCs/>
          <w:color w:val="000000" w:themeColor="text1"/>
          <w:sz w:val="24"/>
          <w:szCs w:val="24"/>
        </w:rPr>
        <w:t>1</w:t>
      </w:r>
      <w:r w:rsidRPr="009E0158">
        <w:rPr>
          <w:rFonts w:asciiTheme="majorHAnsi" w:eastAsiaTheme="majorEastAsia" w:hAnsiTheme="majorHAnsi" w:cstheme="majorBidi"/>
          <w:bCs/>
          <w:color w:val="000000" w:themeColor="text1"/>
          <w:sz w:val="24"/>
          <w:szCs w:val="24"/>
        </w:rPr>
        <w:t xml:space="preserve"> 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468D82C7" w14:textId="77777777" w:rsidR="009D12D5" w:rsidRDefault="009D12D5" w:rsidP="009D12D5">
      <w:pPr>
        <w:spacing w:after="0"/>
        <w:rPr>
          <w:rFonts w:asciiTheme="majorHAnsi" w:eastAsiaTheme="majorEastAsia" w:hAnsiTheme="majorHAnsi" w:cstheme="majorBidi"/>
          <w:bCs/>
          <w:color w:val="000000" w:themeColor="text1"/>
          <w:sz w:val="24"/>
          <w:szCs w:val="24"/>
        </w:rPr>
      </w:pPr>
    </w:p>
    <w:p w14:paraId="3DDEE289" w14:textId="77777777" w:rsidR="009D12D5" w:rsidRDefault="009D12D5" w:rsidP="009D12D5">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FC3063">
        <w:rPr>
          <w:rFonts w:asciiTheme="majorHAnsi" w:eastAsiaTheme="majorEastAsia" w:hAnsiTheme="majorHAnsi" w:cstheme="majorBidi"/>
          <w:b/>
          <w:color w:val="000000" w:themeColor="text1"/>
          <w:sz w:val="24"/>
          <w:szCs w:val="24"/>
        </w:rPr>
        <w:t>Exemption for Tangible Property Subject to Local Taxation</w:t>
      </w:r>
    </w:p>
    <w:tbl>
      <w:tblPr>
        <w:tblW w:w="9265" w:type="dxa"/>
        <w:tblLook w:val="04A0" w:firstRow="1" w:lastRow="0" w:firstColumn="1" w:lastColumn="0" w:noHBand="0" w:noVBand="1"/>
      </w:tblPr>
      <w:tblGrid>
        <w:gridCol w:w="3505"/>
        <w:gridCol w:w="1152"/>
        <w:gridCol w:w="1152"/>
        <w:gridCol w:w="1152"/>
        <w:gridCol w:w="1152"/>
        <w:gridCol w:w="1152"/>
      </w:tblGrid>
      <w:tr w:rsidR="009D12D5" w:rsidRPr="006809CE" w14:paraId="264D1FE3" w14:textId="77777777" w:rsidTr="00C65C96">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AA57E3C" w14:textId="77777777" w:rsidR="009D12D5" w:rsidRPr="006809CE" w:rsidRDefault="009D12D5" w:rsidP="00C65C96">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29E87CD2" w14:textId="77777777" w:rsidR="009D12D5" w:rsidRPr="006809CE" w:rsidRDefault="009D12D5" w:rsidP="00C65C9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7094088" w14:textId="77777777" w:rsidR="009D12D5" w:rsidRPr="006809CE" w:rsidRDefault="009D12D5" w:rsidP="00C65C9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18FD7CBF" w14:textId="77777777" w:rsidR="009D12D5" w:rsidRPr="006809CE" w:rsidRDefault="009D12D5" w:rsidP="00C65C9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4FA76EF9" w14:textId="77777777" w:rsidR="009D12D5" w:rsidRPr="006809CE" w:rsidRDefault="009D12D5" w:rsidP="00C65C9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5591A26" w14:textId="77777777" w:rsidR="009D12D5" w:rsidRPr="006809CE" w:rsidRDefault="009D12D5" w:rsidP="00C65C9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C65C96" w:rsidRPr="006809CE" w14:paraId="0C44478A" w14:textId="77777777" w:rsidTr="00C65C96">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7CD1982" w14:textId="77777777" w:rsidR="00C65C96" w:rsidRPr="006809CE" w:rsidRDefault="00C65C96" w:rsidP="00C65C96">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88C76" w14:textId="77777777" w:rsidR="00C65C96" w:rsidRPr="006809CE"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$5,991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A1144A2" w14:textId="77777777" w:rsidR="00C65C96" w:rsidRPr="006809CE"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$14,732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382FCC7" w14:textId="77777777" w:rsidR="00C65C96" w:rsidRPr="006809CE"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$19,405</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32836C9" w14:textId="77777777" w:rsidR="00C65C96" w:rsidRPr="006809CE"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$22,949</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8CA8459" w14:textId="77777777" w:rsidR="00C65C96" w:rsidRPr="006809CE"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$25,089</w:t>
            </w:r>
          </w:p>
        </w:tc>
      </w:tr>
    </w:tbl>
    <w:p w14:paraId="327940B1" w14:textId="77777777" w:rsidR="009D12D5" w:rsidRDefault="009D12D5" w:rsidP="009D12D5">
      <w:pPr>
        <w:tabs>
          <w:tab w:val="left" w:pos="7050"/>
        </w:tabs>
        <w:spacing w:after="0"/>
        <w:rPr>
          <w:rFonts w:asciiTheme="majorHAnsi" w:hAnsiTheme="majorHAnsi"/>
          <w:sz w:val="24"/>
          <w:szCs w:val="24"/>
        </w:rPr>
      </w:pPr>
    </w:p>
    <w:p w14:paraId="70B38BAF" w14:textId="77777777" w:rsidR="009D12D5" w:rsidRDefault="009D12D5" w:rsidP="009D12D5">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FC3063">
        <w:rPr>
          <w:rFonts w:asciiTheme="majorHAnsi" w:eastAsiaTheme="majorEastAsia" w:hAnsiTheme="majorHAnsi" w:cstheme="majorBidi"/>
          <w:b/>
          <w:color w:val="000000" w:themeColor="text1"/>
          <w:sz w:val="24"/>
          <w:szCs w:val="24"/>
        </w:rPr>
        <w:t xml:space="preserve">Exemption for Tangible Property Subject to Local Taxation </w:t>
      </w: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2704"/>
        <w:gridCol w:w="1330"/>
        <w:gridCol w:w="1329"/>
        <w:gridCol w:w="1329"/>
        <w:gridCol w:w="1329"/>
        <w:gridCol w:w="1329"/>
      </w:tblGrid>
      <w:tr w:rsidR="009D12D5" w:rsidRPr="00A94F48" w14:paraId="19C64743" w14:textId="77777777" w:rsidTr="00C65C96">
        <w:trPr>
          <w:trHeight w:val="380"/>
        </w:trPr>
        <w:tc>
          <w:tcPr>
            <w:tcW w:w="270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3029A0F"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330" w:type="dxa"/>
            <w:tcBorders>
              <w:top w:val="single" w:sz="4" w:space="0" w:color="auto"/>
              <w:left w:val="nil"/>
              <w:bottom w:val="single" w:sz="4" w:space="0" w:color="auto"/>
              <w:right w:val="single" w:sz="4" w:space="0" w:color="auto"/>
            </w:tcBorders>
            <w:shd w:val="clear" w:color="000000" w:fill="B7DEE8"/>
            <w:noWrap/>
            <w:vAlign w:val="center"/>
            <w:hideMark/>
          </w:tcPr>
          <w:p w14:paraId="05DCF111"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329" w:type="dxa"/>
            <w:tcBorders>
              <w:top w:val="single" w:sz="4" w:space="0" w:color="auto"/>
              <w:left w:val="nil"/>
              <w:bottom w:val="single" w:sz="4" w:space="0" w:color="auto"/>
              <w:right w:val="single" w:sz="4" w:space="0" w:color="auto"/>
            </w:tcBorders>
            <w:shd w:val="clear" w:color="000000" w:fill="B7DEE8"/>
            <w:noWrap/>
            <w:vAlign w:val="center"/>
            <w:hideMark/>
          </w:tcPr>
          <w:p w14:paraId="0818D4D3"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329" w:type="dxa"/>
            <w:tcBorders>
              <w:top w:val="single" w:sz="4" w:space="0" w:color="auto"/>
              <w:left w:val="nil"/>
              <w:bottom w:val="single" w:sz="4" w:space="0" w:color="auto"/>
              <w:right w:val="single" w:sz="4" w:space="0" w:color="auto"/>
            </w:tcBorders>
            <w:shd w:val="clear" w:color="000000" w:fill="B7DEE8"/>
            <w:noWrap/>
            <w:vAlign w:val="center"/>
            <w:hideMark/>
          </w:tcPr>
          <w:p w14:paraId="3BA9463E"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329" w:type="dxa"/>
            <w:tcBorders>
              <w:top w:val="single" w:sz="4" w:space="0" w:color="auto"/>
              <w:left w:val="nil"/>
              <w:bottom w:val="single" w:sz="4" w:space="0" w:color="auto"/>
              <w:right w:val="single" w:sz="4" w:space="0" w:color="auto"/>
            </w:tcBorders>
            <w:shd w:val="clear" w:color="000000" w:fill="B7DEE8"/>
            <w:noWrap/>
            <w:vAlign w:val="center"/>
            <w:hideMark/>
          </w:tcPr>
          <w:p w14:paraId="67F89D13"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329" w:type="dxa"/>
            <w:tcBorders>
              <w:top w:val="single" w:sz="4" w:space="0" w:color="auto"/>
              <w:left w:val="nil"/>
              <w:bottom w:val="single" w:sz="4" w:space="0" w:color="auto"/>
              <w:right w:val="single" w:sz="4" w:space="0" w:color="auto"/>
            </w:tcBorders>
            <w:shd w:val="clear" w:color="000000" w:fill="B7DEE8"/>
            <w:noWrap/>
            <w:vAlign w:val="center"/>
            <w:hideMark/>
          </w:tcPr>
          <w:p w14:paraId="47AED8F7"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C65C96" w:rsidRPr="00A94F48" w14:paraId="59378C45" w14:textId="77777777" w:rsidTr="00C65C96">
        <w:trPr>
          <w:trHeight w:val="41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66A88C69" w14:textId="77777777" w:rsidR="00C65C96" w:rsidRPr="00A94F48" w:rsidRDefault="00C65C96" w:rsidP="00C65C9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8563"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2,743</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334D20B9"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3,618</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30ED397E"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4,280</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17C359E9"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4,437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D0FE5"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4,391</w:t>
            </w:r>
          </w:p>
        </w:tc>
      </w:tr>
      <w:tr w:rsidR="00C65C96" w:rsidRPr="00A94F48" w14:paraId="270DD57E" w14:textId="77777777" w:rsidTr="00C65C96">
        <w:trPr>
          <w:trHeight w:val="50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430D293A" w14:textId="77777777" w:rsidR="00C65C96" w:rsidRPr="00A94F48" w:rsidRDefault="00C65C96" w:rsidP="00C65C9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6AF38111"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2,640</w:t>
            </w:r>
          </w:p>
        </w:tc>
        <w:tc>
          <w:tcPr>
            <w:tcW w:w="1329" w:type="dxa"/>
            <w:tcBorders>
              <w:top w:val="nil"/>
              <w:left w:val="nil"/>
              <w:bottom w:val="single" w:sz="4" w:space="0" w:color="auto"/>
              <w:right w:val="single" w:sz="4" w:space="0" w:color="auto"/>
            </w:tcBorders>
            <w:shd w:val="clear" w:color="auto" w:fill="auto"/>
            <w:noWrap/>
            <w:vAlign w:val="center"/>
            <w:hideMark/>
          </w:tcPr>
          <w:p w14:paraId="1AAB51B4"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3,435</w:t>
            </w:r>
          </w:p>
        </w:tc>
        <w:tc>
          <w:tcPr>
            <w:tcW w:w="1329" w:type="dxa"/>
            <w:tcBorders>
              <w:top w:val="nil"/>
              <w:left w:val="nil"/>
              <w:bottom w:val="single" w:sz="4" w:space="0" w:color="auto"/>
              <w:right w:val="single" w:sz="4" w:space="0" w:color="auto"/>
            </w:tcBorders>
            <w:shd w:val="clear" w:color="auto" w:fill="auto"/>
            <w:noWrap/>
            <w:vAlign w:val="center"/>
            <w:hideMark/>
          </w:tcPr>
          <w:p w14:paraId="396A28DA"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3,972</w:t>
            </w:r>
          </w:p>
        </w:tc>
        <w:tc>
          <w:tcPr>
            <w:tcW w:w="1329" w:type="dxa"/>
            <w:tcBorders>
              <w:top w:val="nil"/>
              <w:left w:val="nil"/>
              <w:bottom w:val="single" w:sz="4" w:space="0" w:color="auto"/>
              <w:right w:val="single" w:sz="4" w:space="0" w:color="auto"/>
            </w:tcBorders>
            <w:shd w:val="clear" w:color="auto" w:fill="auto"/>
            <w:noWrap/>
            <w:vAlign w:val="center"/>
            <w:hideMark/>
          </w:tcPr>
          <w:p w14:paraId="38AE1175"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4,104</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08E07C51"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4,056</w:t>
            </w:r>
          </w:p>
        </w:tc>
      </w:tr>
      <w:tr w:rsidR="00C65C96" w:rsidRPr="00A94F48" w14:paraId="3F38C429" w14:textId="77777777" w:rsidTr="00C65C96">
        <w:trPr>
          <w:trHeight w:val="50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58C400BD" w14:textId="77777777" w:rsidR="00C65C96" w:rsidRPr="00A94F48" w:rsidRDefault="00C65C96" w:rsidP="00C65C9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725D34D0"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$263,000</w:t>
            </w:r>
          </w:p>
        </w:tc>
        <w:tc>
          <w:tcPr>
            <w:tcW w:w="1329" w:type="dxa"/>
            <w:tcBorders>
              <w:top w:val="nil"/>
              <w:left w:val="nil"/>
              <w:bottom w:val="single" w:sz="4" w:space="0" w:color="auto"/>
              <w:right w:val="single" w:sz="4" w:space="0" w:color="auto"/>
            </w:tcBorders>
            <w:shd w:val="clear" w:color="auto" w:fill="auto"/>
            <w:noWrap/>
            <w:vAlign w:val="center"/>
            <w:hideMark/>
          </w:tcPr>
          <w:p w14:paraId="7CC00DD0"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$355,000</w:t>
            </w:r>
          </w:p>
        </w:tc>
        <w:tc>
          <w:tcPr>
            <w:tcW w:w="1329" w:type="dxa"/>
            <w:tcBorders>
              <w:top w:val="nil"/>
              <w:left w:val="nil"/>
              <w:bottom w:val="single" w:sz="4" w:space="0" w:color="auto"/>
              <w:right w:val="single" w:sz="4" w:space="0" w:color="auto"/>
            </w:tcBorders>
            <w:shd w:val="clear" w:color="auto" w:fill="auto"/>
            <w:noWrap/>
            <w:vAlign w:val="center"/>
            <w:hideMark/>
          </w:tcPr>
          <w:p w14:paraId="6EDEE74F"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$429,000</w:t>
            </w:r>
          </w:p>
        </w:tc>
        <w:tc>
          <w:tcPr>
            <w:tcW w:w="1329" w:type="dxa"/>
            <w:tcBorders>
              <w:top w:val="nil"/>
              <w:left w:val="nil"/>
              <w:bottom w:val="single" w:sz="4" w:space="0" w:color="auto"/>
              <w:right w:val="single" w:sz="4" w:space="0" w:color="auto"/>
            </w:tcBorders>
            <w:shd w:val="clear" w:color="auto" w:fill="auto"/>
            <w:noWrap/>
            <w:vAlign w:val="center"/>
            <w:hideMark/>
          </w:tcPr>
          <w:p w14:paraId="785CC08D"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$460,000</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1953CEFF"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$473,000</w:t>
            </w:r>
          </w:p>
        </w:tc>
      </w:tr>
      <w:tr w:rsidR="00C65C96" w:rsidRPr="00A94F48" w14:paraId="1C503401" w14:textId="77777777" w:rsidTr="00C65C96">
        <w:trPr>
          <w:trHeight w:val="50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7FCA2338" w14:textId="77777777" w:rsidR="00C65C96" w:rsidRPr="00A94F48" w:rsidRDefault="00C65C96" w:rsidP="00C65C9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08B622BE"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$190,000</w:t>
            </w:r>
          </w:p>
        </w:tc>
        <w:tc>
          <w:tcPr>
            <w:tcW w:w="1329" w:type="dxa"/>
            <w:tcBorders>
              <w:top w:val="nil"/>
              <w:left w:val="nil"/>
              <w:bottom w:val="single" w:sz="4" w:space="0" w:color="auto"/>
              <w:right w:val="single" w:sz="4" w:space="0" w:color="auto"/>
            </w:tcBorders>
            <w:shd w:val="clear" w:color="auto" w:fill="auto"/>
            <w:noWrap/>
            <w:vAlign w:val="center"/>
            <w:hideMark/>
          </w:tcPr>
          <w:p w14:paraId="4E5F8F31"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$279,000</w:t>
            </w:r>
          </w:p>
        </w:tc>
        <w:tc>
          <w:tcPr>
            <w:tcW w:w="1329" w:type="dxa"/>
            <w:tcBorders>
              <w:top w:val="nil"/>
              <w:left w:val="nil"/>
              <w:bottom w:val="single" w:sz="4" w:space="0" w:color="auto"/>
              <w:right w:val="single" w:sz="4" w:space="0" w:color="auto"/>
            </w:tcBorders>
            <w:shd w:val="clear" w:color="auto" w:fill="auto"/>
            <w:noWrap/>
            <w:vAlign w:val="center"/>
            <w:hideMark/>
          </w:tcPr>
          <w:p w14:paraId="43051F2C"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$359,000</w:t>
            </w:r>
          </w:p>
        </w:tc>
        <w:tc>
          <w:tcPr>
            <w:tcW w:w="1329" w:type="dxa"/>
            <w:tcBorders>
              <w:top w:val="nil"/>
              <w:left w:val="nil"/>
              <w:bottom w:val="single" w:sz="4" w:space="0" w:color="auto"/>
              <w:right w:val="single" w:sz="4" w:space="0" w:color="auto"/>
            </w:tcBorders>
            <w:shd w:val="clear" w:color="auto" w:fill="auto"/>
            <w:noWrap/>
            <w:vAlign w:val="center"/>
            <w:hideMark/>
          </w:tcPr>
          <w:p w14:paraId="3689A2B1"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$405,000</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5933339F"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$432,000</w:t>
            </w:r>
          </w:p>
        </w:tc>
      </w:tr>
    </w:tbl>
    <w:p w14:paraId="4BE7CAA7" w14:textId="77777777" w:rsidR="009D12D5" w:rsidRDefault="009D12D5" w:rsidP="009D12D5">
      <w:pPr>
        <w:rPr>
          <w:rFonts w:asciiTheme="majorHAnsi" w:hAnsiTheme="majorHAnsi"/>
          <w:bCs/>
          <w:sz w:val="24"/>
          <w:szCs w:val="24"/>
        </w:rPr>
      </w:pPr>
    </w:p>
    <w:p w14:paraId="16563CAA" w14:textId="77777777" w:rsidR="009D12D5" w:rsidRDefault="009D12D5" w:rsidP="009D12D5">
      <w:pPr>
        <w:rPr>
          <w:rFonts w:asciiTheme="majorHAnsi" w:hAnsiTheme="majorHAnsi"/>
          <w:b/>
          <w:sz w:val="24"/>
          <w:szCs w:val="24"/>
        </w:rPr>
      </w:pPr>
      <w:r w:rsidRPr="00782E31">
        <w:rPr>
          <w:rFonts w:asciiTheme="majorHAnsi" w:hAnsiTheme="majorHAnsi"/>
          <w:b/>
          <w:sz w:val="24"/>
          <w:szCs w:val="24"/>
        </w:rPr>
        <w:t>Comparison of costs and benefits</w:t>
      </w:r>
    </w:p>
    <w:p w14:paraId="056210FD" w14:textId="44258032" w:rsidR="009D12D5" w:rsidRDefault="00712831" w:rsidP="009D12D5">
      <w:pPr>
        <w:tabs>
          <w:tab w:val="left" w:pos="7050"/>
        </w:tabs>
        <w:spacing w:after="0"/>
        <w:rPr>
          <w:rFonts w:asciiTheme="majorHAnsi" w:hAnsiTheme="majorHAnsi"/>
          <w:bCs/>
          <w:sz w:val="24"/>
          <w:szCs w:val="23"/>
        </w:rPr>
      </w:pPr>
      <w:r>
        <w:rPr>
          <w:rFonts w:asciiTheme="majorHAnsi" w:hAnsiTheme="majorHAnsi"/>
          <w:bCs/>
          <w:sz w:val="24"/>
          <w:szCs w:val="23"/>
        </w:rPr>
        <w:t>Ignoring</w:t>
      </w:r>
      <w:r w:rsidR="009D12D5">
        <w:rPr>
          <w:rFonts w:asciiTheme="majorHAnsi" w:hAnsiTheme="majorHAnsi"/>
          <w:bCs/>
          <w:sz w:val="24"/>
          <w:szCs w:val="23"/>
        </w:rPr>
        <w:t xml:space="preserve"> the opportunity cost of the tax incentive, total benefits are greater than costs. Considering the opportunity cost means asking what benefits would </w:t>
      </w:r>
      <w:r>
        <w:rPr>
          <w:rFonts w:asciiTheme="majorHAnsi" w:hAnsiTheme="majorHAnsi"/>
          <w:bCs/>
          <w:sz w:val="24"/>
          <w:szCs w:val="23"/>
        </w:rPr>
        <w:t xml:space="preserve">be reaped </w:t>
      </w:r>
      <w:r w:rsidR="009D12D5">
        <w:rPr>
          <w:rFonts w:asciiTheme="majorHAnsi" w:hAnsiTheme="majorHAnsi"/>
          <w:bCs/>
          <w:sz w:val="24"/>
          <w:szCs w:val="23"/>
        </w:rPr>
        <w:t xml:space="preserve">if the </w:t>
      </w:r>
      <w:r w:rsidR="009D12D5">
        <w:rPr>
          <w:rFonts w:asciiTheme="majorHAnsi" w:hAnsiTheme="majorHAnsi"/>
          <w:bCs/>
          <w:sz w:val="24"/>
          <w:szCs w:val="23"/>
        </w:rPr>
        <w:lastRenderedPageBreak/>
        <w:t xml:space="preserve">Commonwealth used </w:t>
      </w:r>
      <w:r>
        <w:rPr>
          <w:rFonts w:asciiTheme="majorHAnsi" w:hAnsiTheme="majorHAnsi"/>
          <w:bCs/>
          <w:sz w:val="24"/>
          <w:szCs w:val="23"/>
        </w:rPr>
        <w:t xml:space="preserve">the dollars spent on </w:t>
      </w:r>
      <w:r w:rsidR="009D12D5">
        <w:rPr>
          <w:rFonts w:asciiTheme="majorHAnsi" w:hAnsiTheme="majorHAnsi"/>
          <w:bCs/>
          <w:sz w:val="24"/>
          <w:szCs w:val="23"/>
        </w:rPr>
        <w:t xml:space="preserve">the tax incentive for other purposes. </w:t>
      </w:r>
      <w:r>
        <w:rPr>
          <w:rFonts w:asciiTheme="majorHAnsi" w:hAnsiTheme="majorHAnsi"/>
          <w:bCs/>
          <w:sz w:val="24"/>
          <w:szCs w:val="23"/>
        </w:rPr>
        <w:t xml:space="preserve">Those dollars could be spent in many other </w:t>
      </w:r>
      <w:proofErr w:type="gramStart"/>
      <w:r>
        <w:rPr>
          <w:rFonts w:asciiTheme="majorHAnsi" w:hAnsiTheme="majorHAnsi"/>
          <w:bCs/>
          <w:sz w:val="24"/>
          <w:szCs w:val="23"/>
        </w:rPr>
        <w:t xml:space="preserve">ways, </w:t>
      </w:r>
      <w:r w:rsidR="009D12D5">
        <w:rPr>
          <w:rFonts w:asciiTheme="majorHAnsi" w:hAnsiTheme="majorHAnsi"/>
          <w:bCs/>
          <w:sz w:val="24"/>
          <w:szCs w:val="23"/>
        </w:rPr>
        <w:t>and</w:t>
      </w:r>
      <w:proofErr w:type="gramEnd"/>
      <w:r w:rsidR="009D12D5">
        <w:rPr>
          <w:rFonts w:asciiTheme="majorHAnsi" w:hAnsiTheme="majorHAnsi"/>
          <w:bCs/>
          <w:sz w:val="24"/>
          <w:szCs w:val="23"/>
        </w:rPr>
        <w:t xml:space="preserve"> examining them is beyond the scope of the current evaluation report.  Nonetheless, we reported net impacts of the tax incentive in Tables A5 and A6 below under the balanced budget requirement, which are the combined effects in Tables A1-A4. </w:t>
      </w:r>
    </w:p>
    <w:p w14:paraId="1E327B7A" w14:textId="77777777" w:rsidR="009D12D5" w:rsidRDefault="009D12D5" w:rsidP="009D12D5">
      <w:pPr>
        <w:tabs>
          <w:tab w:val="left" w:pos="7050"/>
        </w:tabs>
        <w:spacing w:after="0"/>
        <w:rPr>
          <w:rFonts w:asciiTheme="majorHAnsi" w:hAnsiTheme="majorHAnsi"/>
          <w:bCs/>
          <w:sz w:val="24"/>
          <w:szCs w:val="23"/>
        </w:rPr>
      </w:pPr>
    </w:p>
    <w:p w14:paraId="11B7A854" w14:textId="6DB3E82F" w:rsidR="009D12D5" w:rsidRDefault="009D12D5" w:rsidP="009D12D5">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A5</w:t>
      </w:r>
      <w:r w:rsidRPr="00A76DAE">
        <w:rPr>
          <w:rFonts w:asciiTheme="majorHAnsi" w:hAnsiTheme="majorHAnsi"/>
          <w:bCs/>
          <w:sz w:val="24"/>
          <w:szCs w:val="23"/>
        </w:rPr>
        <w:t xml:space="preserve"> and </w:t>
      </w:r>
      <w:r>
        <w:rPr>
          <w:rFonts w:asciiTheme="majorHAnsi" w:hAnsiTheme="majorHAnsi"/>
          <w:bCs/>
          <w:sz w:val="24"/>
          <w:szCs w:val="23"/>
        </w:rPr>
        <w:t>A6</w:t>
      </w:r>
      <w:r w:rsidRPr="00A76DAE">
        <w:rPr>
          <w:rFonts w:asciiTheme="majorHAnsi" w:hAnsiTheme="majorHAnsi"/>
          <w:bCs/>
          <w:sz w:val="24"/>
          <w:szCs w:val="23"/>
        </w:rPr>
        <w:t xml:space="preserve"> show that the </w:t>
      </w:r>
      <w:r w:rsidR="00FC3063">
        <w:rPr>
          <w:rFonts w:asciiTheme="majorHAnsi" w:hAnsiTheme="majorHAnsi"/>
          <w:bCs/>
          <w:sz w:val="24"/>
          <w:szCs w:val="23"/>
        </w:rPr>
        <w:t>exemption for tangible property subject to local taxation</w:t>
      </w:r>
      <w:r w:rsidRPr="00A76DAE">
        <w:rPr>
          <w:rFonts w:asciiTheme="majorHAnsi" w:hAnsiTheme="majorHAnsi"/>
          <w:bCs/>
          <w:sz w:val="24"/>
          <w:szCs w:val="23"/>
        </w:rPr>
        <w:t xml:space="preserve"> combined with a cut in state government spending results in less economic </w:t>
      </w:r>
      <w:r w:rsidR="00C330FE" w:rsidRPr="00A76DAE">
        <w:rPr>
          <w:rFonts w:asciiTheme="majorHAnsi" w:hAnsiTheme="majorHAnsi"/>
          <w:bCs/>
          <w:sz w:val="24"/>
          <w:szCs w:val="23"/>
        </w:rPr>
        <w:t>activit</w:t>
      </w:r>
      <w:r w:rsidR="00C330FE">
        <w:rPr>
          <w:rFonts w:asciiTheme="majorHAnsi" w:hAnsiTheme="majorHAnsi"/>
          <w:bCs/>
          <w:sz w:val="24"/>
          <w:szCs w:val="23"/>
        </w:rPr>
        <w:t>y</w:t>
      </w:r>
      <w:r w:rsidRPr="00A76DAE">
        <w:rPr>
          <w:rFonts w:asciiTheme="majorHAnsi" w:hAnsiTheme="majorHAnsi"/>
          <w:bCs/>
          <w:sz w:val="24"/>
          <w:szCs w:val="23"/>
        </w:rPr>
        <w:t>, with real state GDP decreasing</w:t>
      </w:r>
      <w:r>
        <w:rPr>
          <w:rFonts w:asciiTheme="majorHAnsi" w:hAnsiTheme="majorHAnsi"/>
          <w:bCs/>
          <w:sz w:val="24"/>
          <w:szCs w:val="23"/>
        </w:rPr>
        <w:t xml:space="preserve"> by $18</w:t>
      </w:r>
      <w:r w:rsidR="00032727">
        <w:rPr>
          <w:rFonts w:asciiTheme="majorHAnsi" w:hAnsiTheme="majorHAnsi"/>
          <w:bCs/>
          <w:sz w:val="24"/>
          <w:szCs w:val="23"/>
        </w:rPr>
        <w:t>7</w:t>
      </w:r>
      <w:r>
        <w:rPr>
          <w:rFonts w:asciiTheme="majorHAnsi" w:hAnsiTheme="majorHAnsi"/>
          <w:bCs/>
          <w:sz w:val="24"/>
          <w:szCs w:val="23"/>
        </w:rPr>
        <w:t xml:space="preserve"> million</w:t>
      </w:r>
      <w:r w:rsidR="00B41A8B">
        <w:rPr>
          <w:rFonts w:asciiTheme="majorHAnsi" w:hAnsiTheme="majorHAnsi"/>
          <w:bCs/>
          <w:sz w:val="24"/>
          <w:szCs w:val="23"/>
        </w:rPr>
        <w:t xml:space="preserve"> </w:t>
      </w:r>
      <w:r>
        <w:rPr>
          <w:rFonts w:asciiTheme="majorHAnsi" w:hAnsiTheme="majorHAnsi"/>
          <w:bCs/>
          <w:sz w:val="24"/>
          <w:szCs w:val="23"/>
        </w:rPr>
        <w:t>-</w:t>
      </w:r>
      <w:r w:rsidR="00B41A8B">
        <w:rPr>
          <w:rFonts w:asciiTheme="majorHAnsi" w:hAnsiTheme="majorHAnsi"/>
          <w:bCs/>
          <w:sz w:val="24"/>
          <w:szCs w:val="23"/>
        </w:rPr>
        <w:t xml:space="preserve"> </w:t>
      </w:r>
      <w:r w:rsidRPr="00A76DAE">
        <w:rPr>
          <w:rFonts w:asciiTheme="majorHAnsi" w:hAnsiTheme="majorHAnsi"/>
          <w:bCs/>
          <w:sz w:val="24"/>
          <w:szCs w:val="23"/>
        </w:rPr>
        <w:t>$</w:t>
      </w:r>
      <w:r w:rsidR="00032727">
        <w:rPr>
          <w:rFonts w:asciiTheme="majorHAnsi" w:hAnsiTheme="majorHAnsi"/>
          <w:bCs/>
          <w:sz w:val="24"/>
          <w:szCs w:val="23"/>
        </w:rPr>
        <w:t>318</w:t>
      </w:r>
      <w:r w:rsidRPr="00A76DAE">
        <w:rPr>
          <w:rFonts w:asciiTheme="majorHAnsi" w:hAnsiTheme="majorHAnsi"/>
          <w:bCs/>
          <w:sz w:val="24"/>
          <w:szCs w:val="23"/>
        </w:rPr>
        <w:t xml:space="preserve"> million. The net impact on total employment is negative with total employment decreasing </w:t>
      </w:r>
      <w:r>
        <w:rPr>
          <w:rFonts w:asciiTheme="majorHAnsi" w:hAnsiTheme="majorHAnsi"/>
          <w:bCs/>
          <w:sz w:val="24"/>
          <w:szCs w:val="23"/>
        </w:rPr>
        <w:t xml:space="preserve">by </w:t>
      </w:r>
      <w:r w:rsidR="00032727">
        <w:rPr>
          <w:rFonts w:asciiTheme="majorHAnsi" w:hAnsiTheme="majorHAnsi"/>
          <w:bCs/>
          <w:sz w:val="24"/>
          <w:szCs w:val="23"/>
        </w:rPr>
        <w:t>2,911 – 3,976</w:t>
      </w:r>
      <w:r w:rsidR="00032727" w:rsidRPr="00A76DA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impact on </w:t>
      </w:r>
      <w:r>
        <w:rPr>
          <w:rFonts w:asciiTheme="majorHAnsi" w:hAnsiTheme="majorHAnsi"/>
          <w:bCs/>
          <w:sz w:val="24"/>
          <w:szCs w:val="23"/>
        </w:rPr>
        <w:t xml:space="preserve">state </w:t>
      </w:r>
      <w:r w:rsidRPr="00A76DAE">
        <w:rPr>
          <w:rFonts w:asciiTheme="majorHAnsi" w:hAnsiTheme="majorHAnsi"/>
          <w:bCs/>
          <w:sz w:val="24"/>
          <w:szCs w:val="23"/>
        </w:rPr>
        <w:t xml:space="preserve">revenues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sidR="00032727">
        <w:rPr>
          <w:rFonts w:asciiTheme="majorHAnsi" w:hAnsiTheme="majorHAnsi"/>
          <w:bCs/>
          <w:sz w:val="24"/>
          <w:szCs w:val="23"/>
        </w:rPr>
        <w:t>6</w:t>
      </w:r>
      <w:r>
        <w:rPr>
          <w:rFonts w:asciiTheme="majorHAnsi" w:hAnsiTheme="majorHAnsi"/>
          <w:bCs/>
          <w:sz w:val="24"/>
          <w:szCs w:val="23"/>
        </w:rPr>
        <w:t>.4</w:t>
      </w:r>
      <w:r w:rsidRPr="00A76DAE">
        <w:rPr>
          <w:rFonts w:asciiTheme="majorHAnsi" w:hAnsiTheme="majorHAnsi"/>
          <w:bCs/>
          <w:sz w:val="24"/>
          <w:szCs w:val="23"/>
        </w:rPr>
        <w:t xml:space="preserve"> million</w:t>
      </w:r>
      <w:r w:rsidR="00B41A8B">
        <w:rPr>
          <w:rFonts w:asciiTheme="majorHAnsi" w:hAnsiTheme="majorHAnsi"/>
          <w:bCs/>
          <w:sz w:val="24"/>
          <w:szCs w:val="23"/>
        </w:rPr>
        <w:t xml:space="preserve"> </w:t>
      </w:r>
      <w:r>
        <w:rPr>
          <w:rFonts w:asciiTheme="majorHAnsi" w:hAnsiTheme="majorHAnsi"/>
          <w:bCs/>
          <w:sz w:val="24"/>
          <w:szCs w:val="23"/>
        </w:rPr>
        <w:t>-</w:t>
      </w:r>
      <w:r w:rsidRPr="00A76DAE">
        <w:rPr>
          <w:rFonts w:asciiTheme="majorHAnsi" w:hAnsiTheme="majorHAnsi"/>
          <w:bCs/>
          <w:sz w:val="24"/>
          <w:szCs w:val="23"/>
        </w:rPr>
        <w:t xml:space="preserve"> $</w:t>
      </w:r>
      <w:r>
        <w:rPr>
          <w:rFonts w:asciiTheme="majorHAnsi" w:hAnsiTheme="majorHAnsi"/>
          <w:bCs/>
          <w:sz w:val="24"/>
          <w:szCs w:val="23"/>
        </w:rPr>
        <w:t>1</w:t>
      </w:r>
      <w:r w:rsidR="00032727">
        <w:rPr>
          <w:rFonts w:asciiTheme="majorHAnsi" w:hAnsiTheme="majorHAnsi"/>
          <w:bCs/>
          <w:sz w:val="24"/>
          <w:szCs w:val="23"/>
        </w:rPr>
        <w:t>2</w:t>
      </w:r>
      <w:r>
        <w:rPr>
          <w:rFonts w:asciiTheme="majorHAnsi" w:hAnsiTheme="majorHAnsi"/>
          <w:bCs/>
          <w:sz w:val="24"/>
          <w:szCs w:val="23"/>
        </w:rPr>
        <w:t>.</w:t>
      </w:r>
      <w:r w:rsidR="00032727">
        <w:rPr>
          <w:rFonts w:asciiTheme="majorHAnsi" w:hAnsiTheme="majorHAnsi"/>
          <w:bCs/>
          <w:sz w:val="24"/>
          <w:szCs w:val="23"/>
        </w:rPr>
        <w:t>7</w:t>
      </w:r>
      <w:r w:rsidRPr="00A76DAE">
        <w:rPr>
          <w:rFonts w:asciiTheme="majorHAnsi" w:hAnsiTheme="majorHAnsi"/>
          <w:bCs/>
          <w:sz w:val="24"/>
          <w:szCs w:val="23"/>
        </w:rPr>
        <w:t xml:space="preserve"> million annually.</w:t>
      </w:r>
    </w:p>
    <w:p w14:paraId="4DC14A0C" w14:textId="77777777" w:rsidR="009D12D5" w:rsidRDefault="009D12D5" w:rsidP="009D12D5">
      <w:pPr>
        <w:tabs>
          <w:tab w:val="left" w:pos="7050"/>
        </w:tabs>
        <w:spacing w:after="0"/>
        <w:rPr>
          <w:rFonts w:asciiTheme="majorHAnsi" w:hAnsiTheme="majorHAnsi"/>
          <w:bCs/>
          <w:sz w:val="24"/>
          <w:szCs w:val="23"/>
        </w:rPr>
      </w:pPr>
    </w:p>
    <w:p w14:paraId="0B429CA8" w14:textId="0F835868" w:rsidR="002471C8" w:rsidRDefault="002471C8" w:rsidP="009D12D5">
      <w:pPr>
        <w:tabs>
          <w:tab w:val="left" w:pos="7050"/>
        </w:tabs>
        <w:spacing w:after="0"/>
        <w:rPr>
          <w:rFonts w:asciiTheme="majorHAnsi" w:hAnsiTheme="majorHAnsi"/>
          <w:bCs/>
          <w:sz w:val="24"/>
          <w:szCs w:val="23"/>
        </w:rPr>
      </w:pPr>
      <w:r>
        <w:rPr>
          <w:rFonts w:asciiTheme="majorHAnsi" w:hAnsiTheme="majorHAnsi"/>
          <w:bCs/>
          <w:sz w:val="24"/>
          <w:szCs w:val="23"/>
        </w:rPr>
        <w:t xml:space="preserve">Because the tax expenditure has its own specific purpose, the net negative impacts do not necessarily imply that the tax expenditure is not desirable. </w:t>
      </w:r>
      <w:r w:rsidR="00B41A8B" w:rsidRPr="00D46765">
        <w:rPr>
          <w:rFonts w:asciiTheme="majorHAnsi" w:eastAsiaTheme="majorEastAsia" w:hAnsiTheme="majorHAnsi" w:cstheme="majorBidi"/>
          <w:bCs/>
          <w:color w:val="000000" w:themeColor="text1"/>
          <w:sz w:val="24"/>
          <w:szCs w:val="24"/>
        </w:rPr>
        <w:t>The statute does not explicitly state the pu</w:t>
      </w:r>
      <w:r w:rsidR="00B41A8B">
        <w:rPr>
          <w:rFonts w:asciiTheme="majorHAnsi" w:eastAsiaTheme="majorEastAsia" w:hAnsiTheme="majorHAnsi" w:cstheme="majorBidi"/>
          <w:bCs/>
          <w:color w:val="000000" w:themeColor="text1"/>
          <w:sz w:val="24"/>
          <w:szCs w:val="24"/>
        </w:rPr>
        <w:t>rpose of this tax expenditure; h</w:t>
      </w:r>
      <w:r w:rsidR="00B41A8B" w:rsidRPr="00D46765">
        <w:rPr>
          <w:rFonts w:asciiTheme="majorHAnsi" w:eastAsiaTheme="majorEastAsia" w:hAnsiTheme="majorHAnsi" w:cstheme="majorBidi"/>
          <w:bCs/>
          <w:color w:val="000000" w:themeColor="text1"/>
          <w:sz w:val="24"/>
          <w:szCs w:val="24"/>
        </w:rPr>
        <w:t>owever, the exemption avoids taxation of property at both the local and state level</w:t>
      </w:r>
      <w:r w:rsidR="00B41A8B">
        <w:rPr>
          <w:rFonts w:asciiTheme="majorHAnsi" w:eastAsiaTheme="majorEastAsia" w:hAnsiTheme="majorHAnsi" w:cstheme="majorBidi"/>
          <w:bCs/>
          <w:color w:val="000000" w:themeColor="text1"/>
          <w:sz w:val="24"/>
          <w:szCs w:val="24"/>
        </w:rPr>
        <w:t>.</w:t>
      </w:r>
    </w:p>
    <w:p w14:paraId="15809AE5" w14:textId="77777777" w:rsidR="009D12D5" w:rsidRDefault="009D12D5" w:rsidP="009D12D5">
      <w:pPr>
        <w:tabs>
          <w:tab w:val="left" w:pos="7050"/>
        </w:tabs>
        <w:spacing w:after="0"/>
        <w:rPr>
          <w:rFonts w:asciiTheme="majorHAnsi" w:hAnsiTheme="majorHAnsi"/>
          <w:bCs/>
          <w:sz w:val="24"/>
          <w:szCs w:val="23"/>
        </w:rPr>
      </w:pPr>
      <w:r w:rsidDel="0047670C">
        <w:rPr>
          <w:rFonts w:asciiTheme="majorHAnsi" w:hAnsiTheme="majorHAnsi"/>
          <w:bCs/>
          <w:sz w:val="24"/>
          <w:szCs w:val="23"/>
        </w:rPr>
        <w:t xml:space="preserve"> </w:t>
      </w:r>
    </w:p>
    <w:p w14:paraId="01C31012" w14:textId="77777777" w:rsidR="009D12D5" w:rsidRDefault="009D12D5" w:rsidP="009D12D5">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w:t>
      </w:r>
      <w:r w:rsidR="00FC3063">
        <w:rPr>
          <w:rFonts w:asciiTheme="majorHAnsi" w:eastAsiaTheme="majorEastAsia" w:hAnsiTheme="majorHAnsi" w:cstheme="majorBidi"/>
          <w:b/>
          <w:color w:val="000000" w:themeColor="text1"/>
          <w:sz w:val="24"/>
          <w:szCs w:val="24"/>
        </w:rPr>
        <w:t>Net Additional Revenue Impact of Exemption for Tangible Property Subject to Local Taxation*</w:t>
      </w:r>
    </w:p>
    <w:tbl>
      <w:tblPr>
        <w:tblW w:w="9350" w:type="dxa"/>
        <w:tblLook w:val="04A0" w:firstRow="1" w:lastRow="0" w:firstColumn="1" w:lastColumn="0" w:noHBand="0" w:noVBand="1"/>
      </w:tblPr>
      <w:tblGrid>
        <w:gridCol w:w="3835"/>
        <w:gridCol w:w="1103"/>
        <w:gridCol w:w="1103"/>
        <w:gridCol w:w="1103"/>
        <w:gridCol w:w="1103"/>
        <w:gridCol w:w="1103"/>
      </w:tblGrid>
      <w:tr w:rsidR="009D12D5" w:rsidRPr="00E072E2" w14:paraId="3A3171A6" w14:textId="77777777" w:rsidTr="00C65C96">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34C43F4" w14:textId="77777777" w:rsidR="009D12D5" w:rsidRPr="00E072E2" w:rsidRDefault="009D12D5" w:rsidP="00C65C9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0FD7B113" w14:textId="77777777" w:rsidR="009D12D5" w:rsidRPr="00E072E2" w:rsidRDefault="009D12D5" w:rsidP="00C65C9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60B0F0AE" w14:textId="77777777" w:rsidR="009D12D5" w:rsidRPr="00E072E2" w:rsidRDefault="009D12D5" w:rsidP="00C65C9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7F0E27B0" w14:textId="77777777" w:rsidR="009D12D5" w:rsidRPr="00E072E2" w:rsidRDefault="009D12D5" w:rsidP="00C65C9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D157B07" w14:textId="77777777" w:rsidR="009D12D5" w:rsidRPr="00E072E2" w:rsidRDefault="009D12D5" w:rsidP="00C65C9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C1DB18F" w14:textId="77777777" w:rsidR="009D12D5" w:rsidRPr="00E072E2" w:rsidRDefault="009D12D5" w:rsidP="00C65C9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C65C96" w:rsidRPr="00E072E2" w14:paraId="2833EB0B" w14:textId="77777777" w:rsidTr="00C65C96">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15E1B7B6" w14:textId="77777777" w:rsidR="00C65C96" w:rsidRPr="00E072E2" w:rsidRDefault="00C65C96" w:rsidP="00C65C96">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182C2" w14:textId="77777777" w:rsidR="00C65C96" w:rsidRPr="00E072E2"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-$6,388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5120473" w14:textId="77777777" w:rsidR="00C65C96" w:rsidRPr="00E072E2"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-$12,748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5F417D8D" w14:textId="77777777" w:rsidR="00C65C96" w:rsidRPr="00E072E2"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-$12,227</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6E7A78E4" w14:textId="77777777" w:rsidR="00C65C96" w:rsidRPr="00E072E2"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-$11,965</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6B7CA788" w14:textId="77777777" w:rsidR="00C65C96" w:rsidRPr="00E072E2"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-$11,785</w:t>
            </w:r>
          </w:p>
        </w:tc>
      </w:tr>
    </w:tbl>
    <w:p w14:paraId="6ACCC85B" w14:textId="77777777" w:rsidR="00FC3063" w:rsidRPr="00304366" w:rsidRDefault="00FC3063" w:rsidP="00FC3063">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exemption for tangible property subject to local taxation to balance budget</w:t>
      </w:r>
      <w:r w:rsidRPr="00304366">
        <w:rPr>
          <w:rFonts w:asciiTheme="majorHAnsi" w:hAnsiTheme="majorHAnsi"/>
          <w:bCs/>
          <w:sz w:val="20"/>
          <w:szCs w:val="20"/>
        </w:rPr>
        <w:t>.</w:t>
      </w:r>
    </w:p>
    <w:p w14:paraId="4D2F3036" w14:textId="77777777" w:rsidR="009D12D5" w:rsidRDefault="009D12D5" w:rsidP="009D12D5">
      <w:pPr>
        <w:tabs>
          <w:tab w:val="left" w:pos="7050"/>
        </w:tabs>
        <w:spacing w:after="0"/>
        <w:rPr>
          <w:rFonts w:asciiTheme="majorHAnsi" w:hAnsiTheme="majorHAnsi"/>
          <w:sz w:val="24"/>
          <w:szCs w:val="24"/>
        </w:rPr>
      </w:pPr>
    </w:p>
    <w:p w14:paraId="265969DA" w14:textId="77777777" w:rsidR="009D12D5" w:rsidRDefault="009D12D5" w:rsidP="009D12D5">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A6</w:t>
      </w:r>
      <w:r w:rsidRPr="00366FFC">
        <w:rPr>
          <w:rFonts w:asciiTheme="majorHAnsi" w:eastAsiaTheme="majorEastAsia" w:hAnsiTheme="majorHAnsi" w:cstheme="majorBidi"/>
          <w:b/>
          <w:color w:val="000000" w:themeColor="text1"/>
          <w:sz w:val="24"/>
          <w:szCs w:val="24"/>
        </w:rPr>
        <w:t xml:space="preserve">. </w:t>
      </w:r>
      <w:r w:rsidR="00FC3063">
        <w:rPr>
          <w:rFonts w:asciiTheme="majorHAnsi" w:eastAsiaTheme="majorEastAsia" w:hAnsiTheme="majorHAnsi" w:cstheme="majorBidi"/>
          <w:b/>
          <w:color w:val="000000" w:themeColor="text1"/>
          <w:sz w:val="24"/>
          <w:szCs w:val="24"/>
        </w:rPr>
        <w:t>Net Economic Impacts of Exemption for Tangible Property Subject to Local Taxation by Selected Economic Measure*</w:t>
      </w:r>
    </w:p>
    <w:tbl>
      <w:tblPr>
        <w:tblW w:w="9350" w:type="dxa"/>
        <w:tblLook w:val="04A0" w:firstRow="1" w:lastRow="0" w:firstColumn="1" w:lastColumn="0" w:noHBand="0" w:noVBand="1"/>
      </w:tblPr>
      <w:tblGrid>
        <w:gridCol w:w="3365"/>
        <w:gridCol w:w="1197"/>
        <w:gridCol w:w="1197"/>
        <w:gridCol w:w="1197"/>
        <w:gridCol w:w="1197"/>
        <w:gridCol w:w="1197"/>
      </w:tblGrid>
      <w:tr w:rsidR="009D12D5" w:rsidRPr="00A94F48" w14:paraId="62B3EE64" w14:textId="77777777" w:rsidTr="00C65C96">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F3E88B1"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2D0EC67E"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2AE1A199"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2D012B8C"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20F05FD8"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4099ADF9" w14:textId="77777777" w:rsidR="009D12D5" w:rsidRPr="00A94F48" w:rsidRDefault="009D12D5" w:rsidP="00C65C9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C65C96" w:rsidRPr="00A94F48" w14:paraId="06EFC14D" w14:textId="77777777" w:rsidTr="00C65C96">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2BCD505D" w14:textId="77777777" w:rsidR="00C65C96" w:rsidRPr="00A94F48" w:rsidRDefault="00C65C96" w:rsidP="00C65C9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0D80C"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-3,976</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15BD4384"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-3,482</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18D3DBDF"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-3,246</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12A6C757"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-3,018</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A1977"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-2,911</w:t>
            </w:r>
          </w:p>
        </w:tc>
      </w:tr>
      <w:tr w:rsidR="00C65C96" w:rsidRPr="00A94F48" w14:paraId="7E2522ED" w14:textId="77777777" w:rsidTr="00C65C96">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36D75CFF" w14:textId="77777777" w:rsidR="00C65C96" w:rsidRPr="00A94F48" w:rsidRDefault="00C65C96" w:rsidP="00C65C9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7F177B0C"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-1,065</w:t>
            </w:r>
          </w:p>
        </w:tc>
        <w:tc>
          <w:tcPr>
            <w:tcW w:w="1197" w:type="dxa"/>
            <w:tcBorders>
              <w:top w:val="nil"/>
              <w:left w:val="nil"/>
              <w:bottom w:val="single" w:sz="4" w:space="0" w:color="auto"/>
              <w:right w:val="single" w:sz="4" w:space="0" w:color="auto"/>
            </w:tcBorders>
            <w:shd w:val="clear" w:color="auto" w:fill="auto"/>
            <w:noWrap/>
            <w:vAlign w:val="center"/>
            <w:hideMark/>
          </w:tcPr>
          <w:p w14:paraId="42D88873"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-479</w:t>
            </w:r>
          </w:p>
        </w:tc>
        <w:tc>
          <w:tcPr>
            <w:tcW w:w="1197" w:type="dxa"/>
            <w:tcBorders>
              <w:top w:val="nil"/>
              <w:left w:val="nil"/>
              <w:bottom w:val="single" w:sz="4" w:space="0" w:color="auto"/>
              <w:right w:val="single" w:sz="4" w:space="0" w:color="auto"/>
            </w:tcBorders>
            <w:shd w:val="clear" w:color="auto" w:fill="auto"/>
            <w:noWrap/>
            <w:vAlign w:val="center"/>
            <w:hideMark/>
          </w:tcPr>
          <w:p w14:paraId="07F77ED2"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-192</w:t>
            </w:r>
          </w:p>
        </w:tc>
        <w:tc>
          <w:tcPr>
            <w:tcW w:w="1197" w:type="dxa"/>
            <w:tcBorders>
              <w:top w:val="nil"/>
              <w:left w:val="nil"/>
              <w:bottom w:val="single" w:sz="4" w:space="0" w:color="auto"/>
              <w:right w:val="single" w:sz="4" w:space="0" w:color="auto"/>
            </w:tcBorders>
            <w:shd w:val="clear" w:color="auto" w:fill="auto"/>
            <w:noWrap/>
            <w:vAlign w:val="center"/>
            <w:hideMark/>
          </w:tcPr>
          <w:p w14:paraId="3CC8E600"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41</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22C722F"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165</w:t>
            </w:r>
          </w:p>
        </w:tc>
      </w:tr>
      <w:tr w:rsidR="00C65C96" w:rsidRPr="00A94F48" w14:paraId="61AE4E54" w14:textId="77777777" w:rsidTr="00C65C96">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71B9E498" w14:textId="77777777" w:rsidR="00C65C96" w:rsidRPr="00A94F48" w:rsidRDefault="00C65C96" w:rsidP="00C65C9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3838DCA"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-$318,000</w:t>
            </w:r>
          </w:p>
        </w:tc>
        <w:tc>
          <w:tcPr>
            <w:tcW w:w="1197" w:type="dxa"/>
            <w:tcBorders>
              <w:top w:val="nil"/>
              <w:left w:val="nil"/>
              <w:bottom w:val="single" w:sz="4" w:space="0" w:color="auto"/>
              <w:right w:val="single" w:sz="4" w:space="0" w:color="auto"/>
            </w:tcBorders>
            <w:shd w:val="clear" w:color="auto" w:fill="auto"/>
            <w:noWrap/>
            <w:vAlign w:val="center"/>
            <w:hideMark/>
          </w:tcPr>
          <w:p w14:paraId="68E32784"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-$264,000</w:t>
            </w:r>
          </w:p>
        </w:tc>
        <w:tc>
          <w:tcPr>
            <w:tcW w:w="1197" w:type="dxa"/>
            <w:tcBorders>
              <w:top w:val="nil"/>
              <w:left w:val="nil"/>
              <w:bottom w:val="single" w:sz="4" w:space="0" w:color="auto"/>
              <w:right w:val="single" w:sz="4" w:space="0" w:color="auto"/>
            </w:tcBorders>
            <w:shd w:val="clear" w:color="auto" w:fill="auto"/>
            <w:noWrap/>
            <w:vAlign w:val="center"/>
            <w:hideMark/>
          </w:tcPr>
          <w:p w14:paraId="6D6FE870"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-$233,000</w:t>
            </w:r>
          </w:p>
        </w:tc>
        <w:tc>
          <w:tcPr>
            <w:tcW w:w="1197" w:type="dxa"/>
            <w:tcBorders>
              <w:top w:val="nil"/>
              <w:left w:val="nil"/>
              <w:bottom w:val="single" w:sz="4" w:space="0" w:color="auto"/>
              <w:right w:val="single" w:sz="4" w:space="0" w:color="auto"/>
            </w:tcBorders>
            <w:shd w:val="clear" w:color="auto" w:fill="auto"/>
            <w:noWrap/>
            <w:vAlign w:val="center"/>
            <w:hideMark/>
          </w:tcPr>
          <w:p w14:paraId="793509B2"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-$205,000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2C1D8FF"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-$187,000</w:t>
            </w:r>
          </w:p>
        </w:tc>
      </w:tr>
      <w:tr w:rsidR="00C65C96" w:rsidRPr="00A94F48" w14:paraId="4B7FF53C" w14:textId="77777777" w:rsidTr="00C65C96">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76FFE659" w14:textId="77777777" w:rsidR="00C65C96" w:rsidRPr="00A94F48" w:rsidRDefault="00C65C96" w:rsidP="00C65C96">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5234E283"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-$294,000</w:t>
            </w:r>
          </w:p>
        </w:tc>
        <w:tc>
          <w:tcPr>
            <w:tcW w:w="1197" w:type="dxa"/>
            <w:tcBorders>
              <w:top w:val="nil"/>
              <w:left w:val="nil"/>
              <w:bottom w:val="single" w:sz="4" w:space="0" w:color="auto"/>
              <w:right w:val="single" w:sz="4" w:space="0" w:color="auto"/>
            </w:tcBorders>
            <w:shd w:val="clear" w:color="auto" w:fill="auto"/>
            <w:noWrap/>
            <w:vAlign w:val="center"/>
            <w:hideMark/>
          </w:tcPr>
          <w:p w14:paraId="51E290EF"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-$288,000</w:t>
            </w:r>
          </w:p>
        </w:tc>
        <w:tc>
          <w:tcPr>
            <w:tcW w:w="1197" w:type="dxa"/>
            <w:tcBorders>
              <w:top w:val="nil"/>
              <w:left w:val="nil"/>
              <w:bottom w:val="single" w:sz="4" w:space="0" w:color="auto"/>
              <w:right w:val="single" w:sz="4" w:space="0" w:color="auto"/>
            </w:tcBorders>
            <w:shd w:val="clear" w:color="auto" w:fill="auto"/>
            <w:noWrap/>
            <w:vAlign w:val="center"/>
            <w:hideMark/>
          </w:tcPr>
          <w:p w14:paraId="7BDEF664"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-$291,000</w:t>
            </w:r>
          </w:p>
        </w:tc>
        <w:tc>
          <w:tcPr>
            <w:tcW w:w="1197" w:type="dxa"/>
            <w:tcBorders>
              <w:top w:val="nil"/>
              <w:left w:val="nil"/>
              <w:bottom w:val="single" w:sz="4" w:space="0" w:color="auto"/>
              <w:right w:val="single" w:sz="4" w:space="0" w:color="auto"/>
            </w:tcBorders>
            <w:shd w:val="clear" w:color="auto" w:fill="auto"/>
            <w:noWrap/>
            <w:vAlign w:val="center"/>
            <w:hideMark/>
          </w:tcPr>
          <w:p w14:paraId="339F44CD"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-$289,000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01F4AA9" w14:textId="77777777" w:rsidR="00C65C96" w:rsidRPr="00A94F48" w:rsidRDefault="00C65C96" w:rsidP="00C65C96">
            <w:pPr>
              <w:spacing w:after="0" w:line="240" w:lineRule="auto"/>
              <w:jc w:val="center"/>
              <w:rPr>
                <w:rFonts w:ascii="Cambria" w:eastAsia="Times New Roman" w:hAnsi="Cambria" w:cs="Helvetica"/>
                <w:sz w:val="20"/>
                <w:szCs w:val="20"/>
                <w:lang w:eastAsia="ko-KR"/>
              </w:rPr>
            </w:pPr>
            <w:r>
              <w:rPr>
                <w:rFonts w:ascii="Cambria" w:hAnsi="Cambria" w:cs="Arial"/>
                <w:sz w:val="20"/>
                <w:szCs w:val="20"/>
              </w:rPr>
              <w:t>-$295,000</w:t>
            </w:r>
          </w:p>
        </w:tc>
      </w:tr>
    </w:tbl>
    <w:p w14:paraId="06EFCF5A" w14:textId="77777777" w:rsidR="00FC3063" w:rsidRPr="00304366" w:rsidRDefault="00FC3063" w:rsidP="00FC3063">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exemption for tangible property subject to local taxation to balance budget</w:t>
      </w:r>
      <w:r w:rsidRPr="00304366">
        <w:rPr>
          <w:rFonts w:asciiTheme="majorHAnsi" w:hAnsiTheme="majorHAnsi"/>
          <w:bCs/>
          <w:sz w:val="20"/>
          <w:szCs w:val="20"/>
        </w:rPr>
        <w:t>.</w:t>
      </w:r>
    </w:p>
    <w:p w14:paraId="38F2554F" w14:textId="77777777" w:rsidR="009D12D5" w:rsidRDefault="009D12D5" w:rsidP="009D12D5">
      <w:pPr>
        <w:tabs>
          <w:tab w:val="left" w:pos="7050"/>
        </w:tabs>
        <w:spacing w:after="0"/>
        <w:rPr>
          <w:rFonts w:asciiTheme="majorHAnsi" w:hAnsiTheme="majorHAnsi"/>
          <w:bCs/>
          <w:sz w:val="24"/>
          <w:szCs w:val="23"/>
        </w:rPr>
      </w:pPr>
    </w:p>
    <w:p w14:paraId="43BF9895" w14:textId="77777777" w:rsidR="009D12D5" w:rsidRDefault="009D12D5" w:rsidP="009D12D5">
      <w:pPr>
        <w:tabs>
          <w:tab w:val="left" w:pos="7050"/>
        </w:tabs>
        <w:spacing w:after="0"/>
        <w:rPr>
          <w:rFonts w:asciiTheme="majorHAnsi" w:hAnsiTheme="majorHAnsi"/>
          <w:bCs/>
          <w:sz w:val="24"/>
          <w:szCs w:val="23"/>
        </w:rPr>
      </w:pPr>
    </w:p>
    <w:p w14:paraId="284D60A6" w14:textId="77777777" w:rsidR="009D12D5" w:rsidRPr="00782E31" w:rsidRDefault="009D12D5" w:rsidP="009D12D5">
      <w:pPr>
        <w:rPr>
          <w:rFonts w:asciiTheme="majorHAnsi" w:hAnsiTheme="majorHAnsi"/>
          <w:b/>
          <w:sz w:val="24"/>
          <w:szCs w:val="24"/>
        </w:rPr>
      </w:pPr>
      <w:r w:rsidRPr="00782E31">
        <w:rPr>
          <w:rFonts w:asciiTheme="majorHAnsi" w:hAnsiTheme="majorHAnsi"/>
          <w:b/>
          <w:sz w:val="24"/>
          <w:szCs w:val="24"/>
        </w:rPr>
        <w:lastRenderedPageBreak/>
        <w:t xml:space="preserve">Other </w:t>
      </w:r>
      <w:r>
        <w:rPr>
          <w:rFonts w:asciiTheme="majorHAnsi" w:hAnsiTheme="majorHAnsi"/>
          <w:b/>
          <w:sz w:val="24"/>
          <w:szCs w:val="24"/>
        </w:rPr>
        <w:t xml:space="preserve">unquantified </w:t>
      </w:r>
      <w:r w:rsidRPr="00782E31">
        <w:rPr>
          <w:rFonts w:asciiTheme="majorHAnsi" w:hAnsiTheme="majorHAnsi"/>
          <w:b/>
          <w:sz w:val="24"/>
          <w:szCs w:val="24"/>
        </w:rPr>
        <w:t>costs</w:t>
      </w:r>
      <w:r>
        <w:rPr>
          <w:rFonts w:asciiTheme="majorHAnsi" w:hAnsiTheme="majorHAnsi"/>
          <w:b/>
          <w:sz w:val="24"/>
          <w:szCs w:val="24"/>
        </w:rPr>
        <w:t xml:space="preserve"> and benefits</w:t>
      </w:r>
      <w:r w:rsidRPr="00A046B8">
        <w:rPr>
          <w:rFonts w:asciiTheme="majorHAnsi" w:hAnsiTheme="majorHAnsi"/>
          <w:b/>
          <w:sz w:val="24"/>
          <w:szCs w:val="24"/>
        </w:rPr>
        <w:t xml:space="preserve">:  </w:t>
      </w:r>
    </w:p>
    <w:p w14:paraId="3B8195F3" w14:textId="77777777" w:rsidR="009D12D5" w:rsidRPr="00A05217" w:rsidRDefault="009D12D5" w:rsidP="009D12D5">
      <w:pPr>
        <w:tabs>
          <w:tab w:val="left" w:pos="7050"/>
        </w:tabs>
        <w:spacing w:after="0"/>
        <w:rPr>
          <w:rFonts w:asciiTheme="majorHAnsi" w:hAnsiTheme="majorHAnsi"/>
          <w:bCs/>
          <w:sz w:val="24"/>
          <w:szCs w:val="23"/>
        </w:rPr>
      </w:pPr>
    </w:p>
    <w:p w14:paraId="7562565A" w14:textId="77777777" w:rsidR="009D12D5" w:rsidRDefault="009D12D5" w:rsidP="009D12D5">
      <w:pPr>
        <w:tabs>
          <w:tab w:val="left" w:pos="7050"/>
        </w:tabs>
        <w:spacing w:after="0"/>
        <w:rPr>
          <w:rFonts w:asciiTheme="majorHAnsi" w:hAnsiTheme="majorHAnsi"/>
          <w:bCs/>
          <w:sz w:val="24"/>
          <w:szCs w:val="23"/>
        </w:rPr>
      </w:pPr>
      <w:r>
        <w:rPr>
          <w:rFonts w:asciiTheme="majorHAnsi" w:hAnsiTheme="majorHAnsi"/>
          <w:bCs/>
          <w:sz w:val="24"/>
          <w:szCs w:val="23"/>
        </w:rPr>
        <w:t>Besides the additional costs and benefits quantified in the previous sections, t</w:t>
      </w:r>
      <w:r w:rsidRPr="00A05217">
        <w:rPr>
          <w:rFonts w:asciiTheme="majorHAnsi" w:hAnsiTheme="majorHAnsi"/>
          <w:bCs/>
          <w:sz w:val="24"/>
          <w:szCs w:val="23"/>
        </w:rPr>
        <w:t xml:space="preserve">here are other costs and benefits that are hard to quantify </w:t>
      </w:r>
      <w:r>
        <w:rPr>
          <w:rFonts w:asciiTheme="majorHAnsi" w:hAnsiTheme="majorHAnsi"/>
          <w:bCs/>
          <w:sz w:val="24"/>
          <w:szCs w:val="23"/>
        </w:rPr>
        <w:t>due to lack</w:t>
      </w:r>
      <w:r w:rsidRPr="00A05217">
        <w:rPr>
          <w:rFonts w:asciiTheme="majorHAnsi" w:hAnsiTheme="majorHAnsi"/>
          <w:bCs/>
          <w:sz w:val="24"/>
          <w:szCs w:val="23"/>
        </w:rPr>
        <w:t xml:space="preserve"> of data </w:t>
      </w:r>
      <w:r>
        <w:rPr>
          <w:rFonts w:asciiTheme="majorHAnsi" w:hAnsiTheme="majorHAnsi"/>
          <w:bCs/>
          <w:sz w:val="24"/>
          <w:szCs w:val="23"/>
        </w:rPr>
        <w:t>or other challenges</w:t>
      </w:r>
      <w:r w:rsidRPr="00A05217">
        <w:rPr>
          <w:rFonts w:asciiTheme="majorHAnsi" w:hAnsiTheme="majorHAnsi"/>
          <w:bCs/>
          <w:sz w:val="24"/>
          <w:szCs w:val="23"/>
        </w:rPr>
        <w:t>.</w:t>
      </w:r>
      <w:r>
        <w:rPr>
          <w:rFonts w:asciiTheme="majorHAnsi" w:hAnsiTheme="majorHAnsi"/>
          <w:bCs/>
          <w:sz w:val="24"/>
          <w:szCs w:val="23"/>
        </w:rPr>
        <w:t xml:space="preserve"> In this section we will enumerate some of these costs and benefits.</w:t>
      </w:r>
    </w:p>
    <w:p w14:paraId="5897BB0C" w14:textId="77777777" w:rsidR="009D12D5" w:rsidRDefault="009D12D5" w:rsidP="009D12D5">
      <w:pPr>
        <w:tabs>
          <w:tab w:val="left" w:pos="7050"/>
        </w:tabs>
        <w:spacing w:after="0"/>
        <w:rPr>
          <w:rFonts w:asciiTheme="majorHAnsi" w:hAnsiTheme="majorHAnsi"/>
          <w:bCs/>
          <w:sz w:val="24"/>
          <w:szCs w:val="23"/>
        </w:rPr>
      </w:pPr>
    </w:p>
    <w:p w14:paraId="4FEF9B0B" w14:textId="77777777" w:rsidR="009D12D5" w:rsidRDefault="009D12D5" w:rsidP="009D12D5">
      <w:pPr>
        <w:tabs>
          <w:tab w:val="left" w:pos="7050"/>
        </w:tabs>
        <w:spacing w:after="0"/>
        <w:rPr>
          <w:rFonts w:asciiTheme="majorHAnsi" w:hAnsiTheme="majorHAnsi"/>
          <w:bCs/>
          <w:sz w:val="24"/>
          <w:szCs w:val="23"/>
        </w:rPr>
      </w:pPr>
      <w:r w:rsidRPr="00A05217">
        <w:rPr>
          <w:rFonts w:asciiTheme="majorHAnsi" w:hAnsiTheme="majorHAnsi"/>
          <w:noProof/>
          <w:sz w:val="24"/>
          <w:szCs w:val="23"/>
        </w:rPr>
        <w:t>Ihlanfeldt and Sjoquist</w:t>
      </w:r>
      <w:r>
        <w:rPr>
          <w:rFonts w:asciiTheme="majorHAnsi" w:hAnsiTheme="majorHAnsi"/>
          <w:noProof/>
          <w:sz w:val="24"/>
          <w:szCs w:val="23"/>
        </w:rPr>
        <w:t xml:space="preserve"> </w:t>
      </w:r>
      <w:r w:rsidRPr="00A05217">
        <w:rPr>
          <w:rFonts w:asciiTheme="majorHAnsi" w:hAnsiTheme="majorHAnsi"/>
          <w:noProof/>
          <w:sz w:val="24"/>
          <w:szCs w:val="23"/>
        </w:rPr>
        <w:t>(2001)</w:t>
      </w:r>
      <w:r w:rsidRPr="00A05217">
        <w:rPr>
          <w:rFonts w:asciiTheme="majorHAnsi" w:hAnsiTheme="majorHAnsi"/>
          <w:bCs/>
          <w:sz w:val="24"/>
          <w:szCs w:val="23"/>
        </w:rPr>
        <w:t>, a published study for the state of Georgia</w:t>
      </w:r>
      <w:r w:rsidR="00B41A8B">
        <w:rPr>
          <w:rFonts w:asciiTheme="majorHAnsi" w:hAnsiTheme="majorHAnsi"/>
          <w:bCs/>
          <w:sz w:val="24"/>
          <w:szCs w:val="23"/>
        </w:rPr>
        <w:t>,</w:t>
      </w:r>
      <w:r w:rsidRPr="00A05217">
        <w:rPr>
          <w:rFonts w:asciiTheme="majorHAnsi" w:hAnsiTheme="majorHAnsi"/>
          <w:bCs/>
          <w:sz w:val="24"/>
          <w:szCs w:val="23"/>
        </w:rPr>
        <w:t xml:space="preserve"> summarizes </w:t>
      </w:r>
      <w:r>
        <w:rPr>
          <w:rFonts w:asciiTheme="majorHAnsi" w:hAnsiTheme="majorHAnsi"/>
          <w:bCs/>
          <w:sz w:val="24"/>
          <w:szCs w:val="23"/>
        </w:rPr>
        <w:t xml:space="preserve">some of other costs and benefits as follows:  </w:t>
      </w:r>
    </w:p>
    <w:p w14:paraId="361BCD1D" w14:textId="77777777" w:rsidR="009D12D5" w:rsidRDefault="009D12D5" w:rsidP="009D12D5">
      <w:pPr>
        <w:tabs>
          <w:tab w:val="left" w:pos="7050"/>
        </w:tabs>
        <w:spacing w:after="0"/>
        <w:rPr>
          <w:rFonts w:asciiTheme="majorHAnsi" w:hAnsiTheme="majorHAnsi"/>
          <w:bCs/>
          <w:sz w:val="24"/>
          <w:szCs w:val="23"/>
        </w:rPr>
      </w:pPr>
    </w:p>
    <w:p w14:paraId="63989C63" w14:textId="77777777" w:rsidR="009D12D5" w:rsidRDefault="009D12D5" w:rsidP="009D12D5">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Loss of competitiveness.</w:t>
      </w:r>
      <w:r w:rsidRPr="00A05217">
        <w:rPr>
          <w:rFonts w:asciiTheme="majorHAnsi" w:hAnsiTheme="majorHAnsi"/>
          <w:bCs/>
          <w:sz w:val="24"/>
          <w:szCs w:val="23"/>
        </w:rPr>
        <w:t xml:space="preserve"> </w:t>
      </w:r>
      <w:r w:rsidR="007A61B5" w:rsidRPr="00E4532C">
        <w:rPr>
          <w:rFonts w:asciiTheme="majorHAnsi" w:hAnsiTheme="majorHAnsi"/>
          <w:bCs/>
          <w:sz w:val="24"/>
          <w:szCs w:val="23"/>
        </w:rPr>
        <w:t xml:space="preserve">Providing tax </w:t>
      </w:r>
      <w:r w:rsidR="007A61B5">
        <w:rPr>
          <w:rFonts w:asciiTheme="majorHAnsi" w:hAnsiTheme="majorHAnsi"/>
          <w:bCs/>
          <w:sz w:val="24"/>
          <w:szCs w:val="23"/>
        </w:rPr>
        <w:t xml:space="preserve">incentive such as </w:t>
      </w:r>
      <w:r w:rsidR="007A61B5" w:rsidRPr="00E4532C">
        <w:rPr>
          <w:rFonts w:asciiTheme="majorHAnsi" w:hAnsiTheme="majorHAnsi"/>
          <w:bCs/>
          <w:sz w:val="24"/>
          <w:szCs w:val="23"/>
        </w:rPr>
        <w:t xml:space="preserve">credits to selected firms </w:t>
      </w:r>
      <w:r w:rsidR="007A61B5">
        <w:rPr>
          <w:rFonts w:asciiTheme="majorHAnsi" w:hAnsiTheme="majorHAnsi"/>
          <w:bCs/>
          <w:sz w:val="24"/>
          <w:szCs w:val="23"/>
        </w:rPr>
        <w:t>may d</w:t>
      </w:r>
      <w:r w:rsidR="007A61B5" w:rsidRPr="00E4532C">
        <w:rPr>
          <w:rFonts w:asciiTheme="majorHAnsi" w:hAnsiTheme="majorHAnsi"/>
          <w:bCs/>
          <w:sz w:val="24"/>
          <w:szCs w:val="23"/>
        </w:rPr>
        <w:t>iminish</w:t>
      </w:r>
      <w:r w:rsidR="007A61B5">
        <w:rPr>
          <w:rFonts w:asciiTheme="majorHAnsi" w:hAnsiTheme="majorHAnsi"/>
          <w:bCs/>
          <w:sz w:val="24"/>
          <w:szCs w:val="23"/>
        </w:rPr>
        <w:t xml:space="preserve"> the </w:t>
      </w:r>
      <w:r w:rsidR="007A61B5" w:rsidRPr="00E4532C">
        <w:rPr>
          <w:rFonts w:asciiTheme="majorHAnsi" w:hAnsiTheme="majorHAnsi"/>
          <w:bCs/>
          <w:sz w:val="24"/>
          <w:szCs w:val="23"/>
        </w:rPr>
        <w:t>competitiveness</w:t>
      </w:r>
      <w:r w:rsidR="007A61B5">
        <w:rPr>
          <w:rFonts w:asciiTheme="majorHAnsi" w:hAnsiTheme="majorHAnsi"/>
          <w:bCs/>
          <w:sz w:val="24"/>
          <w:szCs w:val="23"/>
        </w:rPr>
        <w:t xml:space="preserve"> </w:t>
      </w:r>
      <w:r w:rsidR="007A61B5" w:rsidRPr="00E4532C">
        <w:rPr>
          <w:rFonts w:asciiTheme="majorHAnsi" w:hAnsiTheme="majorHAnsi"/>
          <w:bCs/>
          <w:sz w:val="24"/>
          <w:szCs w:val="23"/>
        </w:rPr>
        <w:t>for</w:t>
      </w:r>
      <w:r w:rsidR="007A61B5">
        <w:rPr>
          <w:rFonts w:asciiTheme="majorHAnsi" w:hAnsiTheme="majorHAnsi"/>
          <w:bCs/>
          <w:sz w:val="24"/>
          <w:szCs w:val="23"/>
        </w:rPr>
        <w:t xml:space="preserve"> </w:t>
      </w:r>
      <w:r w:rsidR="007A61B5" w:rsidRPr="00E4532C">
        <w:rPr>
          <w:rFonts w:asciiTheme="majorHAnsi" w:hAnsiTheme="majorHAnsi"/>
          <w:bCs/>
          <w:sz w:val="24"/>
          <w:szCs w:val="23"/>
        </w:rPr>
        <w:t>existing</w:t>
      </w:r>
      <w:r w:rsidR="007A61B5">
        <w:rPr>
          <w:rFonts w:asciiTheme="majorHAnsi" w:hAnsiTheme="majorHAnsi"/>
          <w:bCs/>
          <w:sz w:val="24"/>
          <w:szCs w:val="23"/>
        </w:rPr>
        <w:t xml:space="preserve"> </w:t>
      </w:r>
      <w:r w:rsidR="007A61B5" w:rsidRPr="00E4532C">
        <w:rPr>
          <w:rFonts w:asciiTheme="majorHAnsi" w:hAnsiTheme="majorHAnsi"/>
          <w:bCs/>
          <w:sz w:val="24"/>
          <w:szCs w:val="23"/>
        </w:rPr>
        <w:t>similar</w:t>
      </w:r>
      <w:r w:rsidR="007A61B5">
        <w:rPr>
          <w:rFonts w:asciiTheme="majorHAnsi" w:hAnsiTheme="majorHAnsi"/>
          <w:bCs/>
          <w:sz w:val="24"/>
          <w:szCs w:val="23"/>
        </w:rPr>
        <w:t xml:space="preserve"> </w:t>
      </w:r>
      <w:r w:rsidR="007A61B5" w:rsidRPr="00E4532C">
        <w:rPr>
          <w:rFonts w:asciiTheme="majorHAnsi" w:hAnsiTheme="majorHAnsi"/>
          <w:bCs/>
          <w:sz w:val="24"/>
          <w:szCs w:val="23"/>
        </w:rPr>
        <w:t>firms.</w:t>
      </w:r>
      <w:r w:rsidRPr="00A05217">
        <w:rPr>
          <w:rFonts w:asciiTheme="majorHAnsi" w:hAnsiTheme="majorHAnsi"/>
          <w:bCs/>
          <w:sz w:val="24"/>
          <w:szCs w:val="23"/>
        </w:rPr>
        <w:t xml:space="preserve">  </w:t>
      </w:r>
    </w:p>
    <w:p w14:paraId="70B46D69" w14:textId="77777777" w:rsidR="009D12D5" w:rsidRDefault="009D12D5" w:rsidP="009D12D5">
      <w:pPr>
        <w:tabs>
          <w:tab w:val="left" w:pos="7050"/>
        </w:tabs>
        <w:spacing w:after="0"/>
        <w:rPr>
          <w:rFonts w:asciiTheme="majorHAnsi" w:hAnsiTheme="majorHAnsi"/>
          <w:bCs/>
          <w:sz w:val="24"/>
          <w:szCs w:val="23"/>
        </w:rPr>
      </w:pPr>
    </w:p>
    <w:p w14:paraId="54D6411E" w14:textId="77777777" w:rsidR="009D12D5" w:rsidRDefault="009D12D5" w:rsidP="009D12D5">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Compliance costs.</w:t>
      </w:r>
      <w:r w:rsidRPr="00A05217">
        <w:rPr>
          <w:rFonts w:asciiTheme="majorHAnsi" w:hAnsiTheme="majorHAnsi"/>
          <w:bCs/>
          <w:sz w:val="24"/>
          <w:szCs w:val="23"/>
        </w:rPr>
        <w:t xml:space="preserve">  They think that the costs to the firm may be substantial. </w:t>
      </w:r>
    </w:p>
    <w:p w14:paraId="3A8CEBFF" w14:textId="77777777" w:rsidR="009D12D5" w:rsidRDefault="009D12D5" w:rsidP="009D12D5">
      <w:pPr>
        <w:tabs>
          <w:tab w:val="left" w:pos="7050"/>
        </w:tabs>
        <w:spacing w:after="0"/>
        <w:rPr>
          <w:rFonts w:asciiTheme="majorHAnsi" w:hAnsiTheme="majorHAnsi"/>
          <w:bCs/>
          <w:sz w:val="24"/>
          <w:szCs w:val="23"/>
        </w:rPr>
      </w:pPr>
    </w:p>
    <w:p w14:paraId="4B467625" w14:textId="77777777" w:rsidR="009D12D5" w:rsidRDefault="009D12D5" w:rsidP="009D12D5">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Improved business climate.</w:t>
      </w:r>
      <w:r w:rsidRPr="00A05217">
        <w:rPr>
          <w:rFonts w:asciiTheme="majorHAnsi" w:hAnsiTheme="majorHAnsi"/>
          <w:bCs/>
          <w:sz w:val="24"/>
          <w:szCs w:val="23"/>
        </w:rPr>
        <w:t xml:space="preserve"> Tax incentive improves the perception of the business climate in the state and is used by site location specialists in screening alternative sites. </w:t>
      </w:r>
    </w:p>
    <w:p w14:paraId="692F417B" w14:textId="77777777" w:rsidR="009D12D5" w:rsidRDefault="009D12D5" w:rsidP="009D12D5">
      <w:pPr>
        <w:tabs>
          <w:tab w:val="left" w:pos="7050"/>
        </w:tabs>
        <w:spacing w:after="0"/>
        <w:rPr>
          <w:rFonts w:asciiTheme="majorHAnsi" w:hAnsiTheme="majorHAnsi"/>
          <w:bCs/>
          <w:sz w:val="24"/>
          <w:szCs w:val="23"/>
        </w:rPr>
      </w:pPr>
    </w:p>
    <w:p w14:paraId="54EFF5EE" w14:textId="77777777" w:rsidR="009D12D5" w:rsidRDefault="009D12D5" w:rsidP="009D12D5">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Synergistic or clustering effects.</w:t>
      </w:r>
      <w:r w:rsidRPr="00A05217">
        <w:rPr>
          <w:rFonts w:asciiTheme="majorHAnsi" w:hAnsiTheme="majorHAnsi"/>
          <w:bCs/>
          <w:sz w:val="24"/>
          <w:szCs w:val="23"/>
        </w:rPr>
        <w:t xml:space="preserve"> Tax incentive may attract a firm in an industry new to the state, which then serves as a magnet for attracting additional firms in the industry.  </w:t>
      </w:r>
      <w:r>
        <w:rPr>
          <w:rFonts w:asciiTheme="majorHAnsi" w:hAnsiTheme="majorHAnsi"/>
          <w:bCs/>
          <w:sz w:val="24"/>
          <w:szCs w:val="23"/>
        </w:rPr>
        <w:t xml:space="preserve"> </w:t>
      </w:r>
    </w:p>
    <w:p w14:paraId="14BA9B08" w14:textId="77777777" w:rsidR="009D12D5" w:rsidRDefault="009D12D5" w:rsidP="009D12D5">
      <w:pPr>
        <w:rPr>
          <w:rFonts w:asciiTheme="majorHAnsi" w:hAnsiTheme="majorHAnsi"/>
          <w:b/>
          <w:sz w:val="24"/>
          <w:szCs w:val="24"/>
        </w:rPr>
      </w:pPr>
    </w:p>
    <w:p w14:paraId="55DA4724" w14:textId="77777777" w:rsidR="009D12D5" w:rsidRPr="00616EEB" w:rsidRDefault="009D12D5" w:rsidP="009D12D5">
      <w:pPr>
        <w:spacing w:after="0"/>
        <w:rPr>
          <w:rFonts w:asciiTheme="majorHAnsi" w:eastAsiaTheme="majorEastAsia" w:hAnsiTheme="majorHAnsi" w:cstheme="majorBidi"/>
          <w:bCs/>
          <w:i/>
          <w:iCs/>
          <w:color w:val="000000" w:themeColor="text1"/>
          <w:sz w:val="24"/>
          <w:szCs w:val="24"/>
        </w:rPr>
      </w:pPr>
      <w:r>
        <w:rPr>
          <w:rFonts w:asciiTheme="majorHAnsi" w:eastAsiaTheme="majorEastAsia" w:hAnsiTheme="majorHAnsi" w:cstheme="majorBidi"/>
          <w:bCs/>
          <w:color w:val="000000" w:themeColor="text1"/>
          <w:sz w:val="24"/>
          <w:szCs w:val="24"/>
        </w:rPr>
        <w:t xml:space="preserve">Another hard to quantify cost is the administrative cost. The administrative cost attributable to </w:t>
      </w:r>
      <w:r w:rsidR="007A61B5">
        <w:rPr>
          <w:rFonts w:asciiTheme="majorHAnsi" w:eastAsiaTheme="majorEastAsia" w:hAnsiTheme="majorHAnsi" w:cstheme="majorBidi"/>
          <w:bCs/>
          <w:color w:val="000000" w:themeColor="text1"/>
          <w:sz w:val="24"/>
          <w:szCs w:val="24"/>
        </w:rPr>
        <w:t xml:space="preserve">this incentive </w:t>
      </w:r>
      <w:r>
        <w:rPr>
          <w:rFonts w:asciiTheme="majorHAnsi" w:eastAsiaTheme="majorEastAsia" w:hAnsiTheme="majorHAnsi" w:cstheme="majorBidi"/>
          <w:bCs/>
          <w:color w:val="000000" w:themeColor="text1"/>
          <w:sz w:val="24"/>
          <w:szCs w:val="24"/>
        </w:rPr>
        <w:t xml:space="preserve">should be relatively small because the Department of Revenue administers the </w:t>
      </w:r>
      <w:r w:rsidR="007A61B5">
        <w:rPr>
          <w:rFonts w:asciiTheme="majorHAnsi" w:eastAsiaTheme="majorEastAsia" w:hAnsiTheme="majorHAnsi" w:cstheme="majorBidi"/>
          <w:bCs/>
          <w:color w:val="000000" w:themeColor="text1"/>
          <w:sz w:val="24"/>
          <w:szCs w:val="24"/>
        </w:rPr>
        <w:t>exemption</w:t>
      </w:r>
      <w:r>
        <w:rPr>
          <w:rFonts w:asciiTheme="majorHAnsi" w:eastAsiaTheme="majorEastAsia" w:hAnsiTheme="majorHAnsi" w:cstheme="majorBidi"/>
          <w:bCs/>
          <w:color w:val="000000" w:themeColor="text1"/>
          <w:sz w:val="24"/>
          <w:szCs w:val="24"/>
        </w:rPr>
        <w:t xml:space="preserve"> with existing staff as part of its overall mission. </w:t>
      </w:r>
    </w:p>
    <w:p w14:paraId="31E803A0" w14:textId="77777777" w:rsidR="009D12D5" w:rsidRDefault="009D12D5" w:rsidP="009D12D5">
      <w:pPr>
        <w:tabs>
          <w:tab w:val="left" w:pos="7050"/>
        </w:tabs>
        <w:spacing w:after="0"/>
        <w:rPr>
          <w:rFonts w:asciiTheme="majorHAnsi" w:hAnsiTheme="majorHAnsi"/>
          <w:bCs/>
          <w:sz w:val="24"/>
          <w:szCs w:val="23"/>
        </w:rPr>
      </w:pPr>
    </w:p>
    <w:p w14:paraId="2CDFD8E8" w14:textId="77777777" w:rsidR="009D12D5" w:rsidRPr="00782E31" w:rsidRDefault="009D12D5" w:rsidP="009D12D5">
      <w:pPr>
        <w:rPr>
          <w:rFonts w:asciiTheme="majorHAnsi" w:hAnsiTheme="majorHAnsi"/>
          <w:b/>
          <w:sz w:val="24"/>
          <w:szCs w:val="24"/>
        </w:rPr>
      </w:pPr>
      <w:r>
        <w:rPr>
          <w:rFonts w:asciiTheme="majorHAnsi" w:hAnsiTheme="majorHAnsi"/>
          <w:b/>
          <w:sz w:val="24"/>
          <w:szCs w:val="24"/>
        </w:rPr>
        <w:t>Other issues related to costs and benefits</w:t>
      </w:r>
    </w:p>
    <w:p w14:paraId="22911692" w14:textId="77777777" w:rsidR="009D12D5" w:rsidRDefault="009D12D5" w:rsidP="009D12D5">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burden of a tax does not necessarily fall on those responsible for remitting the tax. It is known through economic theories that corporate taxes change the allocation of capital between corporations and noncorporate businesses and among states because capital would flee from states of higher corporate taxes if all other considerable factors are not significantly different.  </w:t>
      </w:r>
    </w:p>
    <w:p w14:paraId="331BB429" w14:textId="77777777" w:rsidR="009D12D5" w:rsidRDefault="009D12D5" w:rsidP="009D12D5">
      <w:pPr>
        <w:spacing w:after="0"/>
        <w:rPr>
          <w:rFonts w:asciiTheme="majorHAnsi" w:eastAsiaTheme="majorEastAsia" w:hAnsiTheme="majorHAnsi" w:cstheme="majorBidi"/>
          <w:bCs/>
          <w:color w:val="000000" w:themeColor="text1"/>
          <w:sz w:val="24"/>
          <w:szCs w:val="24"/>
        </w:rPr>
      </w:pPr>
    </w:p>
    <w:p w14:paraId="48DB498F" w14:textId="77777777" w:rsidR="009D12D5" w:rsidRDefault="009D12D5" w:rsidP="009D12D5">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t>Felix (2009)</w:t>
      </w:r>
      <w:r>
        <w:rPr>
          <w:rFonts w:asciiTheme="majorHAnsi" w:eastAsiaTheme="majorEastAsia" w:hAnsiTheme="majorHAnsi" w:cstheme="majorBidi"/>
          <w:bCs/>
          <w:color w:val="000000" w:themeColor="text1"/>
          <w:sz w:val="24"/>
          <w:szCs w:val="24"/>
        </w:rPr>
        <w:t xml:space="preserve"> finds that labor bears a significant burden from the state corporate tax in the form of lower wages. Her study further suggests that a one-percentage-point increase in the marginal state corporate tax rate reduces wages by 0.14</w:t>
      </w:r>
      <w:r w:rsidR="005A5C1C">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to 0.36%, that labor’s burden from the state corporate tax has trended upward over time due to increased global competition and increased competition among states to attract businesses, and that state corporate taxes reduce the wages of highly educated workers more than that of less-educated workers. </w:t>
      </w:r>
    </w:p>
    <w:p w14:paraId="1FA1C36D" w14:textId="77777777" w:rsidR="009D12D5" w:rsidRDefault="009D12D5" w:rsidP="009D12D5">
      <w:pPr>
        <w:spacing w:after="0"/>
        <w:rPr>
          <w:rFonts w:asciiTheme="majorHAnsi" w:eastAsiaTheme="majorEastAsia" w:hAnsiTheme="majorHAnsi" w:cstheme="majorBidi"/>
          <w:bCs/>
          <w:color w:val="000000" w:themeColor="text1"/>
          <w:sz w:val="24"/>
          <w:szCs w:val="24"/>
        </w:rPr>
      </w:pPr>
    </w:p>
    <w:p w14:paraId="1BD2E339" w14:textId="77777777" w:rsidR="005A5C1C" w:rsidRDefault="005A5C1C" w:rsidP="005A5C1C">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exemption for tangible property subject to local taxation is significant to the direct beneficiaries. Hence, the findings imply that the incentive may have benefited workers who were employed by the corporations in the form of higher wages.  The incentive may have further benefited the shareholders and clients due to the growth of businesses.   </w:t>
      </w:r>
    </w:p>
    <w:p w14:paraId="0463C525" w14:textId="77777777" w:rsidR="009D12D5" w:rsidRPr="00782E31" w:rsidRDefault="009D12D5" w:rsidP="009D12D5">
      <w:pPr>
        <w:rPr>
          <w:rFonts w:asciiTheme="majorHAnsi" w:hAnsiTheme="majorHAnsi"/>
          <w:b/>
          <w:sz w:val="24"/>
          <w:szCs w:val="24"/>
        </w:rPr>
      </w:pPr>
    </w:p>
    <w:p w14:paraId="028EE234" w14:textId="77777777" w:rsidR="00245D07" w:rsidRPr="00881147" w:rsidRDefault="00245D07" w:rsidP="008E3EDC">
      <w:pPr>
        <w:tabs>
          <w:tab w:val="left" w:pos="7050"/>
        </w:tabs>
        <w:spacing w:after="0"/>
        <w:rPr>
          <w:rFonts w:asciiTheme="majorHAnsi" w:hAnsiTheme="majorHAnsi"/>
          <w:b/>
          <w:sz w:val="24"/>
          <w:szCs w:val="24"/>
        </w:rPr>
      </w:pPr>
    </w:p>
    <w:sectPr w:rsidR="00245D07" w:rsidRPr="00881147" w:rsidSect="00ED458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C71E" w14:textId="77777777" w:rsidR="00BF75DC" w:rsidRDefault="00BF75DC" w:rsidP="00110E98">
      <w:pPr>
        <w:spacing w:after="0" w:line="240" w:lineRule="auto"/>
      </w:pPr>
      <w:r>
        <w:separator/>
      </w:r>
    </w:p>
  </w:endnote>
  <w:endnote w:type="continuationSeparator" w:id="0">
    <w:p w14:paraId="1B450493" w14:textId="77777777" w:rsidR="00BF75DC" w:rsidRDefault="00BF75DC"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3909" w14:textId="77777777" w:rsidR="00BF75DC" w:rsidRDefault="00BF7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127E5B7D" w14:textId="77777777" w:rsidR="00BF75DC" w:rsidRPr="00B204AF" w:rsidRDefault="00BF75DC">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13</w:t>
        </w:r>
        <w:r w:rsidRPr="00B204AF">
          <w:rPr>
            <w:rFonts w:asciiTheme="majorHAnsi" w:hAnsiTheme="majorHAnsi"/>
            <w:noProof/>
            <w:sz w:val="24"/>
          </w:rPr>
          <w:fldChar w:fldCharType="end"/>
        </w:r>
      </w:p>
    </w:sdtContent>
  </w:sdt>
  <w:p w14:paraId="14888468" w14:textId="77777777" w:rsidR="00BF75DC" w:rsidRDefault="00BF7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9B21" w14:textId="77777777" w:rsidR="00BF75DC" w:rsidRDefault="00BF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5CBC9" w14:textId="77777777" w:rsidR="00BF75DC" w:rsidRDefault="00BF75DC" w:rsidP="00110E98">
      <w:pPr>
        <w:spacing w:after="0" w:line="240" w:lineRule="auto"/>
      </w:pPr>
      <w:r>
        <w:separator/>
      </w:r>
    </w:p>
  </w:footnote>
  <w:footnote w:type="continuationSeparator" w:id="0">
    <w:p w14:paraId="758B764F" w14:textId="77777777" w:rsidR="00BF75DC" w:rsidRDefault="00BF75DC" w:rsidP="00110E98">
      <w:pPr>
        <w:spacing w:after="0" w:line="240" w:lineRule="auto"/>
      </w:pPr>
      <w:r>
        <w:continuationSeparator/>
      </w:r>
    </w:p>
  </w:footnote>
  <w:footnote w:id="1">
    <w:p w14:paraId="0A96909A" w14:textId="77777777" w:rsidR="00BF75DC" w:rsidRPr="00CF3070" w:rsidRDefault="00BF75DC">
      <w:pPr>
        <w:pStyle w:val="FootnoteText"/>
        <w:rPr>
          <w:rFonts w:asciiTheme="majorHAnsi" w:hAnsiTheme="majorHAnsi"/>
          <w:sz w:val="18"/>
          <w:szCs w:val="18"/>
        </w:rPr>
      </w:pPr>
      <w:r w:rsidRPr="00CF3070">
        <w:rPr>
          <w:rStyle w:val="FootnoteReference"/>
          <w:rFonts w:asciiTheme="majorHAnsi" w:hAnsiTheme="majorHAnsi"/>
          <w:sz w:val="18"/>
          <w:szCs w:val="18"/>
        </w:rPr>
        <w:footnoteRef/>
      </w:r>
      <w:hyperlink r:id="rId1" w:anchor=":~:text=Connecticut%20will%20phase%20out%20its,more%20neutral%20forms%20of%20taxation" w:history="1">
        <w:r w:rsidRPr="00CF3070">
          <w:rPr>
            <w:rStyle w:val="Hyperlink"/>
            <w:rFonts w:asciiTheme="majorHAnsi" w:hAnsiTheme="majorHAnsi"/>
            <w:sz w:val="18"/>
            <w:szCs w:val="18"/>
          </w:rPr>
          <w:t>https://taxfoundation.org/state-capital-stock-tax-2020/#:~:text=Connecticut%20will%20phase%20out%20its,more%20neutral%20forms%20of%20taxation</w:t>
        </w:r>
      </w:hyperlink>
    </w:p>
  </w:footnote>
  <w:footnote w:id="2">
    <w:p w14:paraId="6802D3D5" w14:textId="332A16DD" w:rsidR="00BF75DC" w:rsidRDefault="00BF75DC" w:rsidP="00A220CB">
      <w:pPr>
        <w:pStyle w:val="FootnoteText"/>
        <w:jc w:val="left"/>
      </w:pPr>
      <w:r>
        <w:rPr>
          <w:rStyle w:val="FootnoteReference"/>
        </w:rPr>
        <w:footnoteRef/>
      </w:r>
      <w:r>
        <w:t xml:space="preserve"> </w:t>
      </w:r>
      <w:r w:rsidRPr="00A220CB">
        <w:rPr>
          <w:rFonts w:asciiTheme="majorHAnsi" w:eastAsiaTheme="majorEastAsia" w:hAnsiTheme="majorHAnsi" w:cstheme="majorBidi"/>
          <w:bCs/>
          <w:color w:val="000000" w:themeColor="text1"/>
        </w:rPr>
        <w:t xml:space="preserve">The term “tax liability” includes both the income and non-income measure of the </w:t>
      </w:r>
      <w:r w:rsidR="00E24855">
        <w:rPr>
          <w:rFonts w:asciiTheme="majorHAnsi" w:eastAsiaTheme="majorEastAsia" w:hAnsiTheme="majorHAnsi" w:cstheme="majorBidi"/>
          <w:bCs/>
          <w:color w:val="000000" w:themeColor="text1"/>
        </w:rPr>
        <w:t xml:space="preserve">corporate </w:t>
      </w:r>
      <w:r w:rsidRPr="00A220CB">
        <w:rPr>
          <w:rFonts w:asciiTheme="majorHAnsi" w:eastAsiaTheme="majorEastAsia" w:hAnsiTheme="majorHAnsi" w:cstheme="majorBidi"/>
          <w:bCs/>
          <w:color w:val="000000" w:themeColor="text1"/>
        </w:rPr>
        <w:t>excise, when applicable.</w:t>
      </w:r>
    </w:p>
  </w:footnote>
  <w:footnote w:id="3">
    <w:p w14:paraId="4D361207" w14:textId="77777777" w:rsidR="00BF75DC" w:rsidRDefault="00BF75DC" w:rsidP="00DD7F82">
      <w:pPr>
        <w:pStyle w:val="FootnoteText"/>
      </w:pPr>
      <w:r>
        <w:rPr>
          <w:rStyle w:val="FootnoteReference"/>
        </w:rPr>
        <w:footnoteRef/>
      </w:r>
      <w:r>
        <w:t xml:space="preserve"> Regional Economic Models Inc. is a recognized leader in economic analysis at the state level.  See their website for background information and further details </w:t>
      </w:r>
      <w:hyperlink r:id="rId2" w:history="1">
        <w:r w:rsidRPr="0047089A">
          <w:rPr>
            <w:rStyle w:val="Hyperlink"/>
          </w:rPr>
          <w:t>https://www.remi.com/</w:t>
        </w:r>
      </w:hyperlink>
    </w:p>
  </w:footnote>
  <w:footnote w:id="4">
    <w:p w14:paraId="2E5E6538" w14:textId="77777777" w:rsidR="00BF75DC" w:rsidRDefault="00BF75DC" w:rsidP="00DD7F82">
      <w:pPr>
        <w:pStyle w:val="FootnoteText"/>
      </w:pPr>
      <w:r>
        <w:rPr>
          <w:rStyle w:val="FootnoteReference"/>
        </w:rPr>
        <w:footnoteRef/>
      </w:r>
      <w:r>
        <w:t xml:space="preserve"> Including both tax and non-tax revenues </w:t>
      </w:r>
      <w:bookmarkStart w:id="2" w:name="_Hlk54708176"/>
      <w:r>
        <w:t>but excluding the revenue loss reported in Table 1</w:t>
      </w:r>
      <w:bookmarkEnd w:id="2"/>
      <w:r>
        <w:t>.</w:t>
      </w:r>
    </w:p>
  </w:footnote>
  <w:footnote w:id="5">
    <w:p w14:paraId="765DE48A" w14:textId="77777777" w:rsidR="00BF75DC" w:rsidRDefault="00BF75DC" w:rsidP="009D12D5">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6">
    <w:p w14:paraId="0B15821D" w14:textId="77AA3B30" w:rsidR="00BF75DC" w:rsidRDefault="00BF75DC" w:rsidP="009D12D5">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3" w:history="1">
        <w:r>
          <w:rPr>
            <w:rStyle w:val="Hyperlink"/>
            <w:rFonts w:asciiTheme="majorHAnsi" w:hAnsiTheme="majorHAnsi"/>
          </w:rPr>
          <w:t>https://www.ilw.com/seminars/JohnNeillCitation.pdf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024F" w14:textId="77777777" w:rsidR="00BF75DC" w:rsidRDefault="00BF7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9798"/>
      <w:docPartObj>
        <w:docPartGallery w:val="Watermarks"/>
        <w:docPartUnique/>
      </w:docPartObj>
    </w:sdtPr>
    <w:sdtEndPr/>
    <w:sdtContent>
      <w:p w14:paraId="01546BC5" w14:textId="77777777" w:rsidR="00BF75DC" w:rsidRDefault="00A220CB">
        <w:pPr>
          <w:pStyle w:val="Header"/>
        </w:pPr>
        <w:r>
          <w:rPr>
            <w:noProof/>
          </w:rPr>
          <w:pict w14:anchorId="76CF5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F798" w14:textId="77777777" w:rsidR="00BF75DC" w:rsidRDefault="00BF7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0CE0"/>
    <w:rsid w:val="00003921"/>
    <w:rsid w:val="0000728B"/>
    <w:rsid w:val="000161E9"/>
    <w:rsid w:val="000235E9"/>
    <w:rsid w:val="00024896"/>
    <w:rsid w:val="0002682C"/>
    <w:rsid w:val="00032727"/>
    <w:rsid w:val="00033855"/>
    <w:rsid w:val="000374A3"/>
    <w:rsid w:val="00045638"/>
    <w:rsid w:val="00046C6A"/>
    <w:rsid w:val="00053035"/>
    <w:rsid w:val="0005311A"/>
    <w:rsid w:val="000540F5"/>
    <w:rsid w:val="00064605"/>
    <w:rsid w:val="00066F7A"/>
    <w:rsid w:val="00086335"/>
    <w:rsid w:val="000A15D2"/>
    <w:rsid w:val="000A15DA"/>
    <w:rsid w:val="000A6847"/>
    <w:rsid w:val="000A70F3"/>
    <w:rsid w:val="000B5AEF"/>
    <w:rsid w:val="000B6F96"/>
    <w:rsid w:val="000C56D9"/>
    <w:rsid w:val="000D3ABD"/>
    <w:rsid w:val="000D4E6E"/>
    <w:rsid w:val="000D5A29"/>
    <w:rsid w:val="000E2DC0"/>
    <w:rsid w:val="000F3809"/>
    <w:rsid w:val="00100150"/>
    <w:rsid w:val="00101808"/>
    <w:rsid w:val="00107835"/>
    <w:rsid w:val="00107B0E"/>
    <w:rsid w:val="0011072E"/>
    <w:rsid w:val="00110E98"/>
    <w:rsid w:val="001141E2"/>
    <w:rsid w:val="00120142"/>
    <w:rsid w:val="00122D60"/>
    <w:rsid w:val="00132027"/>
    <w:rsid w:val="00137985"/>
    <w:rsid w:val="00141566"/>
    <w:rsid w:val="00141CE1"/>
    <w:rsid w:val="0014263E"/>
    <w:rsid w:val="00144829"/>
    <w:rsid w:val="00150C7F"/>
    <w:rsid w:val="00175529"/>
    <w:rsid w:val="00183ABF"/>
    <w:rsid w:val="00192CE1"/>
    <w:rsid w:val="00197BE4"/>
    <w:rsid w:val="001A2D96"/>
    <w:rsid w:val="001A4CBE"/>
    <w:rsid w:val="001A4FD6"/>
    <w:rsid w:val="001A5D12"/>
    <w:rsid w:val="001A6A88"/>
    <w:rsid w:val="001D20BE"/>
    <w:rsid w:val="001D3BAE"/>
    <w:rsid w:val="001D4E02"/>
    <w:rsid w:val="001E30CF"/>
    <w:rsid w:val="001E7645"/>
    <w:rsid w:val="001F45F8"/>
    <w:rsid w:val="002017B8"/>
    <w:rsid w:val="002054E9"/>
    <w:rsid w:val="00206AC2"/>
    <w:rsid w:val="002116BE"/>
    <w:rsid w:val="00214D26"/>
    <w:rsid w:val="00230DBA"/>
    <w:rsid w:val="00234BA3"/>
    <w:rsid w:val="00235025"/>
    <w:rsid w:val="00245C31"/>
    <w:rsid w:val="00245D07"/>
    <w:rsid w:val="002471C8"/>
    <w:rsid w:val="00256CE9"/>
    <w:rsid w:val="002603D4"/>
    <w:rsid w:val="002664C5"/>
    <w:rsid w:val="0027253D"/>
    <w:rsid w:val="0027319E"/>
    <w:rsid w:val="002768F2"/>
    <w:rsid w:val="002778F9"/>
    <w:rsid w:val="00282EBF"/>
    <w:rsid w:val="00285B46"/>
    <w:rsid w:val="0028699E"/>
    <w:rsid w:val="00291074"/>
    <w:rsid w:val="002970B4"/>
    <w:rsid w:val="002A240D"/>
    <w:rsid w:val="002A31E6"/>
    <w:rsid w:val="002A54D6"/>
    <w:rsid w:val="002A71E8"/>
    <w:rsid w:val="002A7F0C"/>
    <w:rsid w:val="002B111A"/>
    <w:rsid w:val="002B1E84"/>
    <w:rsid w:val="002D3297"/>
    <w:rsid w:val="002D55C5"/>
    <w:rsid w:val="002D7158"/>
    <w:rsid w:val="002D74AE"/>
    <w:rsid w:val="002E0D03"/>
    <w:rsid w:val="002F10DB"/>
    <w:rsid w:val="002F4DFA"/>
    <w:rsid w:val="002F534B"/>
    <w:rsid w:val="002F5704"/>
    <w:rsid w:val="002F71B7"/>
    <w:rsid w:val="00301122"/>
    <w:rsid w:val="00307917"/>
    <w:rsid w:val="00313E12"/>
    <w:rsid w:val="003155A7"/>
    <w:rsid w:val="00316424"/>
    <w:rsid w:val="003211FC"/>
    <w:rsid w:val="003229C4"/>
    <w:rsid w:val="00332B7B"/>
    <w:rsid w:val="00332DA9"/>
    <w:rsid w:val="003347AF"/>
    <w:rsid w:val="00344841"/>
    <w:rsid w:val="00352AEA"/>
    <w:rsid w:val="00355122"/>
    <w:rsid w:val="00355A51"/>
    <w:rsid w:val="00363118"/>
    <w:rsid w:val="00373B2F"/>
    <w:rsid w:val="00374F02"/>
    <w:rsid w:val="00377433"/>
    <w:rsid w:val="00380D5D"/>
    <w:rsid w:val="00385EE3"/>
    <w:rsid w:val="00386837"/>
    <w:rsid w:val="00387D07"/>
    <w:rsid w:val="0039451F"/>
    <w:rsid w:val="003973DD"/>
    <w:rsid w:val="003A3411"/>
    <w:rsid w:val="003A594E"/>
    <w:rsid w:val="003B0A43"/>
    <w:rsid w:val="003B15FF"/>
    <w:rsid w:val="003B39D4"/>
    <w:rsid w:val="003B4FD9"/>
    <w:rsid w:val="003C17A8"/>
    <w:rsid w:val="003C5B8D"/>
    <w:rsid w:val="003C7315"/>
    <w:rsid w:val="003D56E7"/>
    <w:rsid w:val="003E71AD"/>
    <w:rsid w:val="003F17BE"/>
    <w:rsid w:val="003F4280"/>
    <w:rsid w:val="003F6D59"/>
    <w:rsid w:val="0040008C"/>
    <w:rsid w:val="00405E25"/>
    <w:rsid w:val="00416405"/>
    <w:rsid w:val="00432DF6"/>
    <w:rsid w:val="004351B8"/>
    <w:rsid w:val="004406A4"/>
    <w:rsid w:val="004421E9"/>
    <w:rsid w:val="00467A84"/>
    <w:rsid w:val="00474062"/>
    <w:rsid w:val="00475799"/>
    <w:rsid w:val="00477235"/>
    <w:rsid w:val="00481E5A"/>
    <w:rsid w:val="00485FBB"/>
    <w:rsid w:val="00486F3F"/>
    <w:rsid w:val="00491E99"/>
    <w:rsid w:val="004A1129"/>
    <w:rsid w:val="004A3B69"/>
    <w:rsid w:val="004B14D0"/>
    <w:rsid w:val="004B71F1"/>
    <w:rsid w:val="004C0287"/>
    <w:rsid w:val="004C0367"/>
    <w:rsid w:val="004C1EE9"/>
    <w:rsid w:val="004C45A3"/>
    <w:rsid w:val="004D07EA"/>
    <w:rsid w:val="004D54CC"/>
    <w:rsid w:val="004E4C36"/>
    <w:rsid w:val="00503DFA"/>
    <w:rsid w:val="00506005"/>
    <w:rsid w:val="00512086"/>
    <w:rsid w:val="00512B08"/>
    <w:rsid w:val="00513284"/>
    <w:rsid w:val="00515EE7"/>
    <w:rsid w:val="00525E15"/>
    <w:rsid w:val="00532B28"/>
    <w:rsid w:val="0053327A"/>
    <w:rsid w:val="005405A9"/>
    <w:rsid w:val="005456DC"/>
    <w:rsid w:val="0055247A"/>
    <w:rsid w:val="005529C5"/>
    <w:rsid w:val="00552A5D"/>
    <w:rsid w:val="00564F0E"/>
    <w:rsid w:val="00565D22"/>
    <w:rsid w:val="00567CC4"/>
    <w:rsid w:val="00567D60"/>
    <w:rsid w:val="0057274B"/>
    <w:rsid w:val="00575009"/>
    <w:rsid w:val="00576773"/>
    <w:rsid w:val="0058232A"/>
    <w:rsid w:val="00586566"/>
    <w:rsid w:val="00586899"/>
    <w:rsid w:val="005962E2"/>
    <w:rsid w:val="005A0637"/>
    <w:rsid w:val="005A0E40"/>
    <w:rsid w:val="005A537C"/>
    <w:rsid w:val="005A53F3"/>
    <w:rsid w:val="005A5C1C"/>
    <w:rsid w:val="005A65F1"/>
    <w:rsid w:val="005A7BF9"/>
    <w:rsid w:val="005B1BBE"/>
    <w:rsid w:val="005B76B5"/>
    <w:rsid w:val="005C0FC8"/>
    <w:rsid w:val="005D2FEF"/>
    <w:rsid w:val="005D4624"/>
    <w:rsid w:val="005D6E3F"/>
    <w:rsid w:val="005E0E18"/>
    <w:rsid w:val="006016F3"/>
    <w:rsid w:val="00604146"/>
    <w:rsid w:val="00617863"/>
    <w:rsid w:val="00627717"/>
    <w:rsid w:val="006369BA"/>
    <w:rsid w:val="00643742"/>
    <w:rsid w:val="00657362"/>
    <w:rsid w:val="00664139"/>
    <w:rsid w:val="00667C40"/>
    <w:rsid w:val="00670A02"/>
    <w:rsid w:val="006736B0"/>
    <w:rsid w:val="00691B7B"/>
    <w:rsid w:val="006958A8"/>
    <w:rsid w:val="006A209C"/>
    <w:rsid w:val="006A2EF3"/>
    <w:rsid w:val="006A54D1"/>
    <w:rsid w:val="006B0A12"/>
    <w:rsid w:val="006B205F"/>
    <w:rsid w:val="006B76F2"/>
    <w:rsid w:val="006B7AFE"/>
    <w:rsid w:val="006C6BF1"/>
    <w:rsid w:val="006D360F"/>
    <w:rsid w:val="006D73F3"/>
    <w:rsid w:val="006F2A11"/>
    <w:rsid w:val="006F36E9"/>
    <w:rsid w:val="006F4DB1"/>
    <w:rsid w:val="0070360C"/>
    <w:rsid w:val="007061E6"/>
    <w:rsid w:val="007100DF"/>
    <w:rsid w:val="00712831"/>
    <w:rsid w:val="00712EA1"/>
    <w:rsid w:val="007148B6"/>
    <w:rsid w:val="007153BC"/>
    <w:rsid w:val="00720DE1"/>
    <w:rsid w:val="00721748"/>
    <w:rsid w:val="00732DF8"/>
    <w:rsid w:val="007361C4"/>
    <w:rsid w:val="0074239C"/>
    <w:rsid w:val="00744541"/>
    <w:rsid w:val="00763CCC"/>
    <w:rsid w:val="00767412"/>
    <w:rsid w:val="00773109"/>
    <w:rsid w:val="007814A4"/>
    <w:rsid w:val="007966BE"/>
    <w:rsid w:val="0079756A"/>
    <w:rsid w:val="00797B3E"/>
    <w:rsid w:val="007A17E0"/>
    <w:rsid w:val="007A3349"/>
    <w:rsid w:val="007A61B5"/>
    <w:rsid w:val="007B2313"/>
    <w:rsid w:val="007C099B"/>
    <w:rsid w:val="007C384C"/>
    <w:rsid w:val="007C3ABD"/>
    <w:rsid w:val="007C4FEF"/>
    <w:rsid w:val="007C549B"/>
    <w:rsid w:val="007D5B29"/>
    <w:rsid w:val="007D73B4"/>
    <w:rsid w:val="007E23AA"/>
    <w:rsid w:val="007F1467"/>
    <w:rsid w:val="007F1706"/>
    <w:rsid w:val="0080004F"/>
    <w:rsid w:val="00801BCB"/>
    <w:rsid w:val="00805242"/>
    <w:rsid w:val="00806A80"/>
    <w:rsid w:val="008141D1"/>
    <w:rsid w:val="00823956"/>
    <w:rsid w:val="0082440B"/>
    <w:rsid w:val="00826D71"/>
    <w:rsid w:val="00826F2A"/>
    <w:rsid w:val="008337C2"/>
    <w:rsid w:val="00841782"/>
    <w:rsid w:val="0084709B"/>
    <w:rsid w:val="0085082D"/>
    <w:rsid w:val="00851A87"/>
    <w:rsid w:val="00852A7D"/>
    <w:rsid w:val="00853B0B"/>
    <w:rsid w:val="00857E34"/>
    <w:rsid w:val="00873E1D"/>
    <w:rsid w:val="00881147"/>
    <w:rsid w:val="00885712"/>
    <w:rsid w:val="008948ED"/>
    <w:rsid w:val="008A3F20"/>
    <w:rsid w:val="008A51C9"/>
    <w:rsid w:val="008B282B"/>
    <w:rsid w:val="008B3B6F"/>
    <w:rsid w:val="008C2341"/>
    <w:rsid w:val="008C5DE0"/>
    <w:rsid w:val="008C6261"/>
    <w:rsid w:val="008E3712"/>
    <w:rsid w:val="008E3EDC"/>
    <w:rsid w:val="008F2FEE"/>
    <w:rsid w:val="0090750D"/>
    <w:rsid w:val="00907C7E"/>
    <w:rsid w:val="00914346"/>
    <w:rsid w:val="00914CD4"/>
    <w:rsid w:val="00921525"/>
    <w:rsid w:val="00921869"/>
    <w:rsid w:val="009223DE"/>
    <w:rsid w:val="00932C3E"/>
    <w:rsid w:val="009427BE"/>
    <w:rsid w:val="00951493"/>
    <w:rsid w:val="00952848"/>
    <w:rsid w:val="0095683B"/>
    <w:rsid w:val="00976534"/>
    <w:rsid w:val="00992E6A"/>
    <w:rsid w:val="009A5CCE"/>
    <w:rsid w:val="009A6163"/>
    <w:rsid w:val="009B5279"/>
    <w:rsid w:val="009B7F4A"/>
    <w:rsid w:val="009C211A"/>
    <w:rsid w:val="009C3E3D"/>
    <w:rsid w:val="009D12D5"/>
    <w:rsid w:val="009D1C6F"/>
    <w:rsid w:val="009D62CE"/>
    <w:rsid w:val="009E4488"/>
    <w:rsid w:val="009E4A0C"/>
    <w:rsid w:val="009E7BAA"/>
    <w:rsid w:val="009F478E"/>
    <w:rsid w:val="00A04A44"/>
    <w:rsid w:val="00A04F53"/>
    <w:rsid w:val="00A07796"/>
    <w:rsid w:val="00A10C00"/>
    <w:rsid w:val="00A11C18"/>
    <w:rsid w:val="00A2176F"/>
    <w:rsid w:val="00A220CB"/>
    <w:rsid w:val="00A223E8"/>
    <w:rsid w:val="00A3735E"/>
    <w:rsid w:val="00A37C74"/>
    <w:rsid w:val="00A44DB9"/>
    <w:rsid w:val="00A44F91"/>
    <w:rsid w:val="00A46E0C"/>
    <w:rsid w:val="00A6097D"/>
    <w:rsid w:val="00A65A37"/>
    <w:rsid w:val="00A71361"/>
    <w:rsid w:val="00A72CFB"/>
    <w:rsid w:val="00A7701B"/>
    <w:rsid w:val="00A846CA"/>
    <w:rsid w:val="00A94CCD"/>
    <w:rsid w:val="00A97010"/>
    <w:rsid w:val="00AB1A2C"/>
    <w:rsid w:val="00AB263F"/>
    <w:rsid w:val="00AD0BEE"/>
    <w:rsid w:val="00AD2A39"/>
    <w:rsid w:val="00AD2F95"/>
    <w:rsid w:val="00AE43FE"/>
    <w:rsid w:val="00AE706B"/>
    <w:rsid w:val="00AE7B4E"/>
    <w:rsid w:val="00AF0748"/>
    <w:rsid w:val="00AF2CDE"/>
    <w:rsid w:val="00AF6E62"/>
    <w:rsid w:val="00B03E76"/>
    <w:rsid w:val="00B120B4"/>
    <w:rsid w:val="00B17C4F"/>
    <w:rsid w:val="00B204AF"/>
    <w:rsid w:val="00B22F9D"/>
    <w:rsid w:val="00B23BA6"/>
    <w:rsid w:val="00B2591D"/>
    <w:rsid w:val="00B27C5F"/>
    <w:rsid w:val="00B27F46"/>
    <w:rsid w:val="00B30EFF"/>
    <w:rsid w:val="00B3573A"/>
    <w:rsid w:val="00B37DB1"/>
    <w:rsid w:val="00B41A8B"/>
    <w:rsid w:val="00B5310C"/>
    <w:rsid w:val="00B600AA"/>
    <w:rsid w:val="00B62D9E"/>
    <w:rsid w:val="00B634B6"/>
    <w:rsid w:val="00B64529"/>
    <w:rsid w:val="00B74328"/>
    <w:rsid w:val="00B74E61"/>
    <w:rsid w:val="00B758D0"/>
    <w:rsid w:val="00B76079"/>
    <w:rsid w:val="00B77D67"/>
    <w:rsid w:val="00B80C28"/>
    <w:rsid w:val="00B81966"/>
    <w:rsid w:val="00B83821"/>
    <w:rsid w:val="00B83873"/>
    <w:rsid w:val="00B94733"/>
    <w:rsid w:val="00BA34F3"/>
    <w:rsid w:val="00BA52C6"/>
    <w:rsid w:val="00BB0DC9"/>
    <w:rsid w:val="00BB398E"/>
    <w:rsid w:val="00BC6223"/>
    <w:rsid w:val="00BC6806"/>
    <w:rsid w:val="00BD3224"/>
    <w:rsid w:val="00BE01E6"/>
    <w:rsid w:val="00BE31C0"/>
    <w:rsid w:val="00BE3690"/>
    <w:rsid w:val="00BF2F47"/>
    <w:rsid w:val="00BF75DC"/>
    <w:rsid w:val="00C07161"/>
    <w:rsid w:val="00C07688"/>
    <w:rsid w:val="00C167FD"/>
    <w:rsid w:val="00C23317"/>
    <w:rsid w:val="00C23B65"/>
    <w:rsid w:val="00C24414"/>
    <w:rsid w:val="00C26EC7"/>
    <w:rsid w:val="00C330FE"/>
    <w:rsid w:val="00C437A9"/>
    <w:rsid w:val="00C44D17"/>
    <w:rsid w:val="00C55640"/>
    <w:rsid w:val="00C56E02"/>
    <w:rsid w:val="00C57924"/>
    <w:rsid w:val="00C603BB"/>
    <w:rsid w:val="00C61177"/>
    <w:rsid w:val="00C65C96"/>
    <w:rsid w:val="00C741FF"/>
    <w:rsid w:val="00C85CF6"/>
    <w:rsid w:val="00C97827"/>
    <w:rsid w:val="00CA34ED"/>
    <w:rsid w:val="00CA7D50"/>
    <w:rsid w:val="00CB3308"/>
    <w:rsid w:val="00CB365A"/>
    <w:rsid w:val="00CB6784"/>
    <w:rsid w:val="00CC05CE"/>
    <w:rsid w:val="00CC208F"/>
    <w:rsid w:val="00CC6568"/>
    <w:rsid w:val="00CC661A"/>
    <w:rsid w:val="00CC7BB4"/>
    <w:rsid w:val="00CD3A6C"/>
    <w:rsid w:val="00CE211A"/>
    <w:rsid w:val="00CF297C"/>
    <w:rsid w:val="00CF3070"/>
    <w:rsid w:val="00CF3F8E"/>
    <w:rsid w:val="00CF41DD"/>
    <w:rsid w:val="00D12CA7"/>
    <w:rsid w:val="00D1571B"/>
    <w:rsid w:val="00D179FD"/>
    <w:rsid w:val="00D203FB"/>
    <w:rsid w:val="00D27042"/>
    <w:rsid w:val="00D363DB"/>
    <w:rsid w:val="00D4431A"/>
    <w:rsid w:val="00D50A68"/>
    <w:rsid w:val="00D5451F"/>
    <w:rsid w:val="00D71163"/>
    <w:rsid w:val="00D73F36"/>
    <w:rsid w:val="00D76C1C"/>
    <w:rsid w:val="00D80D2E"/>
    <w:rsid w:val="00D81992"/>
    <w:rsid w:val="00D9137B"/>
    <w:rsid w:val="00D933FF"/>
    <w:rsid w:val="00D94596"/>
    <w:rsid w:val="00DA7925"/>
    <w:rsid w:val="00DB30B8"/>
    <w:rsid w:val="00DB3A4A"/>
    <w:rsid w:val="00DC424F"/>
    <w:rsid w:val="00DC78FB"/>
    <w:rsid w:val="00DD399C"/>
    <w:rsid w:val="00DD7F82"/>
    <w:rsid w:val="00DE03D8"/>
    <w:rsid w:val="00DE0DA2"/>
    <w:rsid w:val="00DF05D4"/>
    <w:rsid w:val="00E0544E"/>
    <w:rsid w:val="00E10004"/>
    <w:rsid w:val="00E21C41"/>
    <w:rsid w:val="00E24855"/>
    <w:rsid w:val="00E33F60"/>
    <w:rsid w:val="00E34C46"/>
    <w:rsid w:val="00E40FE9"/>
    <w:rsid w:val="00E44A2C"/>
    <w:rsid w:val="00E522C7"/>
    <w:rsid w:val="00E578FD"/>
    <w:rsid w:val="00E60620"/>
    <w:rsid w:val="00E6094D"/>
    <w:rsid w:val="00E65525"/>
    <w:rsid w:val="00E659B6"/>
    <w:rsid w:val="00E66E8D"/>
    <w:rsid w:val="00E671DE"/>
    <w:rsid w:val="00E767A0"/>
    <w:rsid w:val="00E76948"/>
    <w:rsid w:val="00E82758"/>
    <w:rsid w:val="00E92C1D"/>
    <w:rsid w:val="00E9429D"/>
    <w:rsid w:val="00EA5BFA"/>
    <w:rsid w:val="00EB064B"/>
    <w:rsid w:val="00EB1DDD"/>
    <w:rsid w:val="00EB3FF7"/>
    <w:rsid w:val="00EB40E2"/>
    <w:rsid w:val="00EB54BC"/>
    <w:rsid w:val="00ED3285"/>
    <w:rsid w:val="00ED4589"/>
    <w:rsid w:val="00ED7369"/>
    <w:rsid w:val="00EE2265"/>
    <w:rsid w:val="00EF4AAA"/>
    <w:rsid w:val="00F065BC"/>
    <w:rsid w:val="00F076B1"/>
    <w:rsid w:val="00F20645"/>
    <w:rsid w:val="00F22DAA"/>
    <w:rsid w:val="00F24AE3"/>
    <w:rsid w:val="00F34E1E"/>
    <w:rsid w:val="00F42F20"/>
    <w:rsid w:val="00F505A0"/>
    <w:rsid w:val="00F51224"/>
    <w:rsid w:val="00F60684"/>
    <w:rsid w:val="00F743A1"/>
    <w:rsid w:val="00F7586D"/>
    <w:rsid w:val="00F82F4E"/>
    <w:rsid w:val="00F91013"/>
    <w:rsid w:val="00F92612"/>
    <w:rsid w:val="00F96DB4"/>
    <w:rsid w:val="00FA4EFA"/>
    <w:rsid w:val="00FB483A"/>
    <w:rsid w:val="00FB68BE"/>
    <w:rsid w:val="00FC23E8"/>
    <w:rsid w:val="00FC3063"/>
    <w:rsid w:val="00FC7795"/>
    <w:rsid w:val="00FD45F2"/>
    <w:rsid w:val="00FE12FE"/>
    <w:rsid w:val="00FF01FA"/>
    <w:rsid w:val="00FF0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906AC"/>
  <w15:docId w15:val="{0E2529C8-28B0-416A-8DCE-3C8F963C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ED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8E3ED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8E3EDC"/>
  </w:style>
  <w:style w:type="character" w:styleId="FollowedHyperlink">
    <w:name w:val="FollowedHyperlink"/>
    <w:basedOn w:val="DefaultParagraphFont"/>
    <w:uiPriority w:val="99"/>
    <w:semiHidden/>
    <w:unhideWhenUsed/>
    <w:rsid w:val="00150C7F"/>
    <w:rPr>
      <w:color w:val="800080" w:themeColor="followedHyperlink"/>
      <w:u w:val="single"/>
    </w:rPr>
  </w:style>
  <w:style w:type="character" w:customStyle="1" w:styleId="UnresolvedMention1">
    <w:name w:val="Unresolved Mention1"/>
    <w:basedOn w:val="DefaultParagraphFont"/>
    <w:uiPriority w:val="99"/>
    <w:semiHidden/>
    <w:unhideWhenUsed/>
    <w:rsid w:val="00150C7F"/>
    <w:rPr>
      <w:color w:val="605E5C"/>
      <w:shd w:val="clear" w:color="auto" w:fill="E1DFDD"/>
    </w:rPr>
  </w:style>
  <w:style w:type="paragraph" w:styleId="Revision">
    <w:name w:val="Revision"/>
    <w:hidden/>
    <w:uiPriority w:val="99"/>
    <w:semiHidden/>
    <w:rsid w:val="00142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9510">
      <w:bodyDiv w:val="1"/>
      <w:marLeft w:val="0"/>
      <w:marRight w:val="0"/>
      <w:marTop w:val="0"/>
      <w:marBottom w:val="0"/>
      <w:divBdr>
        <w:top w:val="none" w:sz="0" w:space="0" w:color="auto"/>
        <w:left w:val="none" w:sz="0" w:space="0" w:color="auto"/>
        <w:bottom w:val="none" w:sz="0" w:space="0" w:color="auto"/>
        <w:right w:val="none" w:sz="0" w:space="0" w:color="auto"/>
      </w:divBdr>
    </w:div>
    <w:div w:id="70548804">
      <w:bodyDiv w:val="1"/>
      <w:marLeft w:val="0"/>
      <w:marRight w:val="0"/>
      <w:marTop w:val="0"/>
      <w:marBottom w:val="0"/>
      <w:divBdr>
        <w:top w:val="none" w:sz="0" w:space="0" w:color="auto"/>
        <w:left w:val="none" w:sz="0" w:space="0" w:color="auto"/>
        <w:bottom w:val="none" w:sz="0" w:space="0" w:color="auto"/>
        <w:right w:val="none" w:sz="0" w:space="0" w:color="auto"/>
      </w:divBdr>
    </w:div>
    <w:div w:id="211238753">
      <w:bodyDiv w:val="1"/>
      <w:marLeft w:val="0"/>
      <w:marRight w:val="0"/>
      <w:marTop w:val="0"/>
      <w:marBottom w:val="0"/>
      <w:divBdr>
        <w:top w:val="none" w:sz="0" w:space="0" w:color="auto"/>
        <w:left w:val="none" w:sz="0" w:space="0" w:color="auto"/>
        <w:bottom w:val="none" w:sz="0" w:space="0" w:color="auto"/>
        <w:right w:val="none" w:sz="0" w:space="0" w:color="auto"/>
      </w:divBdr>
    </w:div>
    <w:div w:id="265843054">
      <w:bodyDiv w:val="1"/>
      <w:marLeft w:val="0"/>
      <w:marRight w:val="0"/>
      <w:marTop w:val="0"/>
      <w:marBottom w:val="0"/>
      <w:divBdr>
        <w:top w:val="none" w:sz="0" w:space="0" w:color="auto"/>
        <w:left w:val="none" w:sz="0" w:space="0" w:color="auto"/>
        <w:bottom w:val="none" w:sz="0" w:space="0" w:color="auto"/>
        <w:right w:val="none" w:sz="0" w:space="0" w:color="auto"/>
      </w:divBdr>
    </w:div>
    <w:div w:id="339281288">
      <w:bodyDiv w:val="1"/>
      <w:marLeft w:val="0"/>
      <w:marRight w:val="0"/>
      <w:marTop w:val="0"/>
      <w:marBottom w:val="0"/>
      <w:divBdr>
        <w:top w:val="none" w:sz="0" w:space="0" w:color="auto"/>
        <w:left w:val="none" w:sz="0" w:space="0" w:color="auto"/>
        <w:bottom w:val="none" w:sz="0" w:space="0" w:color="auto"/>
        <w:right w:val="none" w:sz="0" w:space="0" w:color="auto"/>
      </w:divBdr>
    </w:div>
    <w:div w:id="351495990">
      <w:bodyDiv w:val="1"/>
      <w:marLeft w:val="0"/>
      <w:marRight w:val="0"/>
      <w:marTop w:val="0"/>
      <w:marBottom w:val="0"/>
      <w:divBdr>
        <w:top w:val="none" w:sz="0" w:space="0" w:color="auto"/>
        <w:left w:val="none" w:sz="0" w:space="0" w:color="auto"/>
        <w:bottom w:val="none" w:sz="0" w:space="0" w:color="auto"/>
        <w:right w:val="none" w:sz="0" w:space="0" w:color="auto"/>
      </w:divBdr>
    </w:div>
    <w:div w:id="474568555">
      <w:bodyDiv w:val="1"/>
      <w:marLeft w:val="0"/>
      <w:marRight w:val="0"/>
      <w:marTop w:val="0"/>
      <w:marBottom w:val="0"/>
      <w:divBdr>
        <w:top w:val="none" w:sz="0" w:space="0" w:color="auto"/>
        <w:left w:val="none" w:sz="0" w:space="0" w:color="auto"/>
        <w:bottom w:val="none" w:sz="0" w:space="0" w:color="auto"/>
        <w:right w:val="none" w:sz="0" w:space="0" w:color="auto"/>
      </w:divBdr>
    </w:div>
    <w:div w:id="612636030">
      <w:bodyDiv w:val="1"/>
      <w:marLeft w:val="0"/>
      <w:marRight w:val="0"/>
      <w:marTop w:val="0"/>
      <w:marBottom w:val="0"/>
      <w:divBdr>
        <w:top w:val="none" w:sz="0" w:space="0" w:color="auto"/>
        <w:left w:val="none" w:sz="0" w:space="0" w:color="auto"/>
        <w:bottom w:val="none" w:sz="0" w:space="0" w:color="auto"/>
        <w:right w:val="none" w:sz="0" w:space="0" w:color="auto"/>
      </w:divBdr>
    </w:div>
    <w:div w:id="635988723">
      <w:bodyDiv w:val="1"/>
      <w:marLeft w:val="0"/>
      <w:marRight w:val="0"/>
      <w:marTop w:val="0"/>
      <w:marBottom w:val="0"/>
      <w:divBdr>
        <w:top w:val="none" w:sz="0" w:space="0" w:color="auto"/>
        <w:left w:val="none" w:sz="0" w:space="0" w:color="auto"/>
        <w:bottom w:val="none" w:sz="0" w:space="0" w:color="auto"/>
        <w:right w:val="none" w:sz="0" w:space="0" w:color="auto"/>
      </w:divBdr>
    </w:div>
    <w:div w:id="653215369">
      <w:bodyDiv w:val="1"/>
      <w:marLeft w:val="0"/>
      <w:marRight w:val="0"/>
      <w:marTop w:val="0"/>
      <w:marBottom w:val="0"/>
      <w:divBdr>
        <w:top w:val="none" w:sz="0" w:space="0" w:color="auto"/>
        <w:left w:val="none" w:sz="0" w:space="0" w:color="auto"/>
        <w:bottom w:val="none" w:sz="0" w:space="0" w:color="auto"/>
        <w:right w:val="none" w:sz="0" w:space="0" w:color="auto"/>
      </w:divBdr>
    </w:div>
    <w:div w:id="725418091">
      <w:bodyDiv w:val="1"/>
      <w:marLeft w:val="0"/>
      <w:marRight w:val="0"/>
      <w:marTop w:val="0"/>
      <w:marBottom w:val="0"/>
      <w:divBdr>
        <w:top w:val="none" w:sz="0" w:space="0" w:color="auto"/>
        <w:left w:val="none" w:sz="0" w:space="0" w:color="auto"/>
        <w:bottom w:val="none" w:sz="0" w:space="0" w:color="auto"/>
        <w:right w:val="none" w:sz="0" w:space="0" w:color="auto"/>
      </w:divBdr>
    </w:div>
    <w:div w:id="786773737">
      <w:bodyDiv w:val="1"/>
      <w:marLeft w:val="0"/>
      <w:marRight w:val="0"/>
      <w:marTop w:val="0"/>
      <w:marBottom w:val="0"/>
      <w:divBdr>
        <w:top w:val="none" w:sz="0" w:space="0" w:color="auto"/>
        <w:left w:val="none" w:sz="0" w:space="0" w:color="auto"/>
        <w:bottom w:val="none" w:sz="0" w:space="0" w:color="auto"/>
        <w:right w:val="none" w:sz="0" w:space="0" w:color="auto"/>
      </w:divBdr>
    </w:div>
    <w:div w:id="832842569">
      <w:bodyDiv w:val="1"/>
      <w:marLeft w:val="0"/>
      <w:marRight w:val="0"/>
      <w:marTop w:val="0"/>
      <w:marBottom w:val="0"/>
      <w:divBdr>
        <w:top w:val="none" w:sz="0" w:space="0" w:color="auto"/>
        <w:left w:val="none" w:sz="0" w:space="0" w:color="auto"/>
        <w:bottom w:val="none" w:sz="0" w:space="0" w:color="auto"/>
        <w:right w:val="none" w:sz="0" w:space="0" w:color="auto"/>
      </w:divBdr>
    </w:div>
    <w:div w:id="850339605">
      <w:bodyDiv w:val="1"/>
      <w:marLeft w:val="0"/>
      <w:marRight w:val="0"/>
      <w:marTop w:val="0"/>
      <w:marBottom w:val="0"/>
      <w:divBdr>
        <w:top w:val="none" w:sz="0" w:space="0" w:color="auto"/>
        <w:left w:val="none" w:sz="0" w:space="0" w:color="auto"/>
        <w:bottom w:val="none" w:sz="0" w:space="0" w:color="auto"/>
        <w:right w:val="none" w:sz="0" w:space="0" w:color="auto"/>
      </w:divBdr>
    </w:div>
    <w:div w:id="869757148">
      <w:bodyDiv w:val="1"/>
      <w:marLeft w:val="0"/>
      <w:marRight w:val="0"/>
      <w:marTop w:val="0"/>
      <w:marBottom w:val="0"/>
      <w:divBdr>
        <w:top w:val="none" w:sz="0" w:space="0" w:color="auto"/>
        <w:left w:val="none" w:sz="0" w:space="0" w:color="auto"/>
        <w:bottom w:val="none" w:sz="0" w:space="0" w:color="auto"/>
        <w:right w:val="none" w:sz="0" w:space="0" w:color="auto"/>
      </w:divBdr>
    </w:div>
    <w:div w:id="1018896155">
      <w:bodyDiv w:val="1"/>
      <w:marLeft w:val="0"/>
      <w:marRight w:val="0"/>
      <w:marTop w:val="0"/>
      <w:marBottom w:val="0"/>
      <w:divBdr>
        <w:top w:val="none" w:sz="0" w:space="0" w:color="auto"/>
        <w:left w:val="none" w:sz="0" w:space="0" w:color="auto"/>
        <w:bottom w:val="none" w:sz="0" w:space="0" w:color="auto"/>
        <w:right w:val="none" w:sz="0" w:space="0" w:color="auto"/>
      </w:divBdr>
    </w:div>
    <w:div w:id="1081295898">
      <w:bodyDiv w:val="1"/>
      <w:marLeft w:val="0"/>
      <w:marRight w:val="0"/>
      <w:marTop w:val="0"/>
      <w:marBottom w:val="0"/>
      <w:divBdr>
        <w:top w:val="none" w:sz="0" w:space="0" w:color="auto"/>
        <w:left w:val="none" w:sz="0" w:space="0" w:color="auto"/>
        <w:bottom w:val="none" w:sz="0" w:space="0" w:color="auto"/>
        <w:right w:val="none" w:sz="0" w:space="0" w:color="auto"/>
      </w:divBdr>
    </w:div>
    <w:div w:id="1089471080">
      <w:bodyDiv w:val="1"/>
      <w:marLeft w:val="0"/>
      <w:marRight w:val="0"/>
      <w:marTop w:val="0"/>
      <w:marBottom w:val="0"/>
      <w:divBdr>
        <w:top w:val="none" w:sz="0" w:space="0" w:color="auto"/>
        <w:left w:val="none" w:sz="0" w:space="0" w:color="auto"/>
        <w:bottom w:val="none" w:sz="0" w:space="0" w:color="auto"/>
        <w:right w:val="none" w:sz="0" w:space="0" w:color="auto"/>
      </w:divBdr>
    </w:div>
    <w:div w:id="1098216935">
      <w:bodyDiv w:val="1"/>
      <w:marLeft w:val="0"/>
      <w:marRight w:val="0"/>
      <w:marTop w:val="0"/>
      <w:marBottom w:val="0"/>
      <w:divBdr>
        <w:top w:val="none" w:sz="0" w:space="0" w:color="auto"/>
        <w:left w:val="none" w:sz="0" w:space="0" w:color="auto"/>
        <w:bottom w:val="none" w:sz="0" w:space="0" w:color="auto"/>
        <w:right w:val="none" w:sz="0" w:space="0" w:color="auto"/>
      </w:divBdr>
    </w:div>
    <w:div w:id="1281181969">
      <w:bodyDiv w:val="1"/>
      <w:marLeft w:val="0"/>
      <w:marRight w:val="0"/>
      <w:marTop w:val="0"/>
      <w:marBottom w:val="0"/>
      <w:divBdr>
        <w:top w:val="none" w:sz="0" w:space="0" w:color="auto"/>
        <w:left w:val="none" w:sz="0" w:space="0" w:color="auto"/>
        <w:bottom w:val="none" w:sz="0" w:space="0" w:color="auto"/>
        <w:right w:val="none" w:sz="0" w:space="0" w:color="auto"/>
      </w:divBdr>
    </w:div>
    <w:div w:id="1429814388">
      <w:bodyDiv w:val="1"/>
      <w:marLeft w:val="0"/>
      <w:marRight w:val="0"/>
      <w:marTop w:val="0"/>
      <w:marBottom w:val="0"/>
      <w:divBdr>
        <w:top w:val="none" w:sz="0" w:space="0" w:color="auto"/>
        <w:left w:val="none" w:sz="0" w:space="0" w:color="auto"/>
        <w:bottom w:val="none" w:sz="0" w:space="0" w:color="auto"/>
        <w:right w:val="none" w:sz="0" w:space="0" w:color="auto"/>
      </w:divBdr>
    </w:div>
    <w:div w:id="1446383840">
      <w:bodyDiv w:val="1"/>
      <w:marLeft w:val="0"/>
      <w:marRight w:val="0"/>
      <w:marTop w:val="0"/>
      <w:marBottom w:val="0"/>
      <w:divBdr>
        <w:top w:val="none" w:sz="0" w:space="0" w:color="auto"/>
        <w:left w:val="none" w:sz="0" w:space="0" w:color="auto"/>
        <w:bottom w:val="none" w:sz="0" w:space="0" w:color="auto"/>
        <w:right w:val="none" w:sz="0" w:space="0" w:color="auto"/>
      </w:divBdr>
    </w:div>
    <w:div w:id="1491210219">
      <w:bodyDiv w:val="1"/>
      <w:marLeft w:val="0"/>
      <w:marRight w:val="0"/>
      <w:marTop w:val="0"/>
      <w:marBottom w:val="0"/>
      <w:divBdr>
        <w:top w:val="none" w:sz="0" w:space="0" w:color="auto"/>
        <w:left w:val="none" w:sz="0" w:space="0" w:color="auto"/>
        <w:bottom w:val="none" w:sz="0" w:space="0" w:color="auto"/>
        <w:right w:val="none" w:sz="0" w:space="0" w:color="auto"/>
      </w:divBdr>
    </w:div>
    <w:div w:id="1568956721">
      <w:bodyDiv w:val="1"/>
      <w:marLeft w:val="0"/>
      <w:marRight w:val="0"/>
      <w:marTop w:val="0"/>
      <w:marBottom w:val="0"/>
      <w:divBdr>
        <w:top w:val="none" w:sz="0" w:space="0" w:color="auto"/>
        <w:left w:val="none" w:sz="0" w:space="0" w:color="auto"/>
        <w:bottom w:val="none" w:sz="0" w:space="0" w:color="auto"/>
        <w:right w:val="none" w:sz="0" w:space="0" w:color="auto"/>
      </w:divBdr>
    </w:div>
    <w:div w:id="1667630113">
      <w:bodyDiv w:val="1"/>
      <w:marLeft w:val="0"/>
      <w:marRight w:val="0"/>
      <w:marTop w:val="0"/>
      <w:marBottom w:val="0"/>
      <w:divBdr>
        <w:top w:val="none" w:sz="0" w:space="0" w:color="auto"/>
        <w:left w:val="none" w:sz="0" w:space="0" w:color="auto"/>
        <w:bottom w:val="none" w:sz="0" w:space="0" w:color="auto"/>
        <w:right w:val="none" w:sz="0" w:space="0" w:color="auto"/>
      </w:divBdr>
    </w:div>
    <w:div w:id="1688555380">
      <w:bodyDiv w:val="1"/>
      <w:marLeft w:val="0"/>
      <w:marRight w:val="0"/>
      <w:marTop w:val="0"/>
      <w:marBottom w:val="0"/>
      <w:divBdr>
        <w:top w:val="none" w:sz="0" w:space="0" w:color="auto"/>
        <w:left w:val="none" w:sz="0" w:space="0" w:color="auto"/>
        <w:bottom w:val="none" w:sz="0" w:space="0" w:color="auto"/>
        <w:right w:val="none" w:sz="0" w:space="0" w:color="auto"/>
      </w:divBdr>
    </w:div>
    <w:div w:id="1728721711">
      <w:bodyDiv w:val="1"/>
      <w:marLeft w:val="0"/>
      <w:marRight w:val="0"/>
      <w:marTop w:val="0"/>
      <w:marBottom w:val="0"/>
      <w:divBdr>
        <w:top w:val="none" w:sz="0" w:space="0" w:color="auto"/>
        <w:left w:val="none" w:sz="0" w:space="0" w:color="auto"/>
        <w:bottom w:val="none" w:sz="0" w:space="0" w:color="auto"/>
        <w:right w:val="none" w:sz="0" w:space="0" w:color="auto"/>
      </w:divBdr>
    </w:div>
    <w:div w:id="1921716567">
      <w:bodyDiv w:val="1"/>
      <w:marLeft w:val="0"/>
      <w:marRight w:val="0"/>
      <w:marTop w:val="0"/>
      <w:marBottom w:val="0"/>
      <w:divBdr>
        <w:top w:val="none" w:sz="0" w:space="0" w:color="auto"/>
        <w:left w:val="none" w:sz="0" w:space="0" w:color="auto"/>
        <w:bottom w:val="none" w:sz="0" w:space="0" w:color="auto"/>
        <w:right w:val="none" w:sz="0" w:space="0" w:color="auto"/>
      </w:divBdr>
    </w:div>
    <w:div w:id="19354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foundation.org/state-capital-stock-tax-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lw.com/seminars/JohnNeillCitation.pdf" TargetMode="External"/><Relationship Id="rId2" Type="http://schemas.openxmlformats.org/officeDocument/2006/relationships/hyperlink" Target="https://www.remi.com/" TargetMode="External"/><Relationship Id="rId1" Type="http://schemas.openxmlformats.org/officeDocument/2006/relationships/hyperlink" Target="https://taxfoundation.org/state-capital-stock-tax-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3</b:RefOrder>
  </b:Source>
  <b:Source>
    <b:Tag>Cam20</b:Tag>
    <b:SourceType>InternetSite</b:SourceType>
    <b:Guid>{07CD33BF-7FCD-4B3F-9720-C585BE10C970}</b:Guid>
    <b:Title>Does Your State Levy a Capital Stock Tax?</b:Title>
    <b:Year>2020</b:Year>
    <b:Author>
      <b:Author>
        <b:NameList>
          <b:Person>
            <b:Last>Cammenga</b:Last>
            <b:First>Janelle</b:First>
          </b:Person>
        </b:NameList>
      </b:Author>
    </b:Author>
    <b:InternetSiteTitle>Tax Foundation</b:InternetSiteTitle>
    <b:Month>April</b:Month>
    <b:Day>29</b:Day>
    <b:URL>https://taxfoundation.org/state-capital-stock-tax-2020/#:~:text=Connecticut%20will%20phase%20out%20its,more%20neutral%20forms%20of%20taxation.</b:URL>
    <b:RefOrder>1</b:RefOrder>
  </b:Source>
</b:Sources>
</file>

<file path=customXml/itemProps1.xml><?xml version="1.0" encoding="utf-8"?>
<ds:datastoreItem xmlns:ds="http://schemas.openxmlformats.org/officeDocument/2006/customXml" ds:itemID="{EC0A693C-5903-4D72-806F-F25A2752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4357</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Pokharel</dc:creator>
  <cp:lastModifiedBy>Fushang Liu</cp:lastModifiedBy>
  <cp:revision>24</cp:revision>
  <cp:lastPrinted>2020-01-28T19:08:00Z</cp:lastPrinted>
  <dcterms:created xsi:type="dcterms:W3CDTF">2020-11-18T23:12:00Z</dcterms:created>
  <dcterms:modified xsi:type="dcterms:W3CDTF">2020-12-04T13:29:00Z</dcterms:modified>
</cp:coreProperties>
</file>