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List1-Accent2"/>
        <w:tblW w:w="0" w:type="auto"/>
        <w:tblLook w:val="04A0" w:firstRow="1" w:lastRow="0" w:firstColumn="1" w:lastColumn="0" w:noHBand="0" w:noVBand="1"/>
      </w:tblPr>
      <w:tblGrid>
        <w:gridCol w:w="9360"/>
      </w:tblGrid>
      <w:tr w:rsidR="005B1BBE" w:rsidRPr="002C2079" w14:paraId="4A77EFD2" w14:textId="77777777" w:rsidTr="005002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552322B1" w14:textId="77777777" w:rsidR="008C2341" w:rsidRDefault="005B1BBE" w:rsidP="008C2341">
            <w:pPr>
              <w:jc w:val="center"/>
              <w:rPr>
                <w:color w:val="150399"/>
                <w:sz w:val="28"/>
                <w:szCs w:val="28"/>
              </w:rPr>
            </w:pPr>
            <w:bookmarkStart w:id="0" w:name="_GoBack"/>
            <w:bookmarkEnd w:id="0"/>
            <w:r w:rsidRPr="002C2079">
              <w:rPr>
                <w:rFonts w:cs="Times New Roman"/>
                <w:sz w:val="24"/>
              </w:rPr>
              <w:br w:type="page"/>
            </w:r>
            <w:r w:rsidR="008C2341" w:rsidRPr="008C2341">
              <w:rPr>
                <w:color w:val="150399"/>
                <w:sz w:val="28"/>
                <w:szCs w:val="28"/>
              </w:rPr>
              <w:t xml:space="preserve">PROPOSED MASSACHUSETTS TAX EXPENDITURES </w:t>
            </w:r>
          </w:p>
          <w:p w14:paraId="3FF6C8C0" w14:textId="77777777" w:rsidR="005B1BBE" w:rsidRPr="008C2341" w:rsidRDefault="008C2341" w:rsidP="008C2341">
            <w:pPr>
              <w:jc w:val="center"/>
              <w:rPr>
                <w:b w:val="0"/>
                <w:bCs w:val="0"/>
                <w:color w:val="150399"/>
                <w:sz w:val="28"/>
                <w:szCs w:val="28"/>
              </w:rPr>
            </w:pPr>
            <w:r w:rsidRPr="008C2341">
              <w:rPr>
                <w:color w:val="150399"/>
                <w:sz w:val="28"/>
                <w:szCs w:val="28"/>
              </w:rPr>
              <w:t>EVALUATION SUMMARY</w:t>
            </w:r>
            <w:r>
              <w:rPr>
                <w:color w:val="150399"/>
                <w:sz w:val="28"/>
                <w:szCs w:val="28"/>
              </w:rPr>
              <w:t xml:space="preserve"> </w:t>
            </w:r>
          </w:p>
          <w:p w14:paraId="79804F87" w14:textId="77777777" w:rsidR="004B14D0" w:rsidRPr="004B14D0" w:rsidRDefault="004B14D0" w:rsidP="00565D22">
            <w:pPr>
              <w:rPr>
                <w:color w:val="150399"/>
                <w:sz w:val="28"/>
                <w:szCs w:val="28"/>
              </w:rPr>
            </w:pPr>
          </w:p>
        </w:tc>
      </w:tr>
      <w:tr w:rsidR="005B1BBE" w:rsidRPr="002C2079" w14:paraId="60AACF0A" w14:textId="77777777" w:rsidTr="00500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63815D7" w14:textId="77777777" w:rsidR="005B1BBE" w:rsidRPr="002C2079" w:rsidRDefault="005B1BBE" w:rsidP="005B1BBE">
            <w:pPr>
              <w:jc w:val="center"/>
              <w:rPr>
                <w:rFonts w:asciiTheme="majorHAnsi" w:hAnsiTheme="majorHAnsi"/>
              </w:rPr>
            </w:pPr>
            <w:r w:rsidRPr="002C2079">
              <w:rPr>
                <w:rFonts w:asciiTheme="majorHAnsi" w:hAnsiTheme="majorHAnsi"/>
                <w:sz w:val="28"/>
                <w:szCs w:val="28"/>
              </w:rPr>
              <w:t>EVALUATION YEAR: 2020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8"/>
        <w:gridCol w:w="4652"/>
      </w:tblGrid>
      <w:tr w:rsidR="005B1BBE" w:rsidRPr="002C2079" w14:paraId="1C1C1A26" w14:textId="77777777" w:rsidTr="00462148">
        <w:trPr>
          <w:trHeight w:val="360"/>
        </w:trPr>
        <w:tc>
          <w:tcPr>
            <w:tcW w:w="4788" w:type="dxa"/>
          </w:tcPr>
          <w:p w14:paraId="13D5AF3E" w14:textId="77777777" w:rsidR="005B1BBE" w:rsidRPr="002C2079" w:rsidRDefault="005B1BBE" w:rsidP="005B1BBE">
            <w:pPr>
              <w:tabs>
                <w:tab w:val="left" w:pos="7050"/>
              </w:tabs>
              <w:rPr>
                <w:rFonts w:asciiTheme="majorHAnsi" w:hAnsiTheme="majorHAnsi"/>
              </w:rPr>
            </w:pPr>
          </w:p>
        </w:tc>
        <w:tc>
          <w:tcPr>
            <w:tcW w:w="4770" w:type="dxa"/>
          </w:tcPr>
          <w:p w14:paraId="07B093A0" w14:textId="77777777" w:rsidR="005B1BBE" w:rsidRPr="002C2079" w:rsidRDefault="005B1BBE" w:rsidP="005B1BBE">
            <w:pPr>
              <w:tabs>
                <w:tab w:val="left" w:pos="7050"/>
              </w:tabs>
              <w:rPr>
                <w:rFonts w:asciiTheme="majorHAnsi" w:hAnsiTheme="majorHAnsi"/>
              </w:rPr>
            </w:pPr>
          </w:p>
        </w:tc>
      </w:tr>
      <w:tr w:rsidR="005B1BBE" w:rsidRPr="002C2079" w14:paraId="1A4C379A" w14:textId="77777777" w:rsidTr="00462148">
        <w:tc>
          <w:tcPr>
            <w:tcW w:w="4788" w:type="dxa"/>
          </w:tcPr>
          <w:p w14:paraId="7D23E00B"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TITLE</w:t>
            </w:r>
          </w:p>
          <w:p w14:paraId="645707B2" w14:textId="77777777" w:rsidR="005B1BBE" w:rsidRPr="002C2079" w:rsidRDefault="005B1BBE" w:rsidP="005B1BBE">
            <w:pPr>
              <w:tabs>
                <w:tab w:val="left" w:pos="7050"/>
              </w:tabs>
              <w:rPr>
                <w:rFonts w:asciiTheme="majorHAnsi" w:hAnsiTheme="majorHAnsi"/>
              </w:rPr>
            </w:pPr>
          </w:p>
        </w:tc>
        <w:tc>
          <w:tcPr>
            <w:tcW w:w="4770" w:type="dxa"/>
          </w:tcPr>
          <w:p w14:paraId="79CF21AF" w14:textId="77777777" w:rsidR="005B1BBE" w:rsidRPr="002C2079" w:rsidRDefault="00C95B6E" w:rsidP="005B1BBE">
            <w:pPr>
              <w:tabs>
                <w:tab w:val="left" w:pos="7050"/>
              </w:tabs>
              <w:rPr>
                <w:rFonts w:asciiTheme="majorHAnsi" w:hAnsiTheme="majorHAnsi"/>
              </w:rPr>
            </w:pPr>
            <w:r w:rsidRPr="00C95B6E">
              <w:rPr>
                <w:rFonts w:asciiTheme="majorHAnsi" w:hAnsiTheme="majorHAnsi"/>
              </w:rPr>
              <w:t xml:space="preserve">Investment Tax Credit </w:t>
            </w:r>
          </w:p>
        </w:tc>
      </w:tr>
      <w:tr w:rsidR="005B1BBE" w:rsidRPr="002C2079" w14:paraId="767EB95E" w14:textId="77777777" w:rsidTr="00462148">
        <w:tc>
          <w:tcPr>
            <w:tcW w:w="4788" w:type="dxa"/>
          </w:tcPr>
          <w:p w14:paraId="78FDE0B0"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NUMBER</w:t>
            </w:r>
          </w:p>
          <w:p w14:paraId="3EA1C6A9" w14:textId="77777777" w:rsidR="005B1BBE" w:rsidRPr="002C2079" w:rsidRDefault="005B1BBE" w:rsidP="005B1BBE">
            <w:pPr>
              <w:tabs>
                <w:tab w:val="left" w:pos="7050"/>
              </w:tabs>
              <w:rPr>
                <w:rFonts w:asciiTheme="majorHAnsi" w:hAnsiTheme="majorHAnsi"/>
              </w:rPr>
            </w:pPr>
          </w:p>
        </w:tc>
        <w:tc>
          <w:tcPr>
            <w:tcW w:w="4770" w:type="dxa"/>
          </w:tcPr>
          <w:p w14:paraId="5F4F0BA6" w14:textId="77777777" w:rsidR="005B1BBE" w:rsidRPr="002C2079" w:rsidRDefault="00C95B6E" w:rsidP="005B1BBE">
            <w:pPr>
              <w:tabs>
                <w:tab w:val="left" w:pos="7050"/>
              </w:tabs>
              <w:rPr>
                <w:rFonts w:asciiTheme="majorHAnsi" w:hAnsiTheme="majorHAnsi"/>
              </w:rPr>
            </w:pPr>
            <w:r>
              <w:rPr>
                <w:rFonts w:asciiTheme="majorHAnsi" w:hAnsiTheme="majorHAnsi"/>
              </w:rPr>
              <w:t>2</w:t>
            </w:r>
            <w:r w:rsidR="005B1BBE" w:rsidRPr="002C2079">
              <w:rPr>
                <w:rFonts w:asciiTheme="majorHAnsi" w:hAnsiTheme="majorHAnsi"/>
              </w:rPr>
              <w:t>.6</w:t>
            </w:r>
            <w:r>
              <w:rPr>
                <w:rFonts w:asciiTheme="majorHAnsi" w:hAnsiTheme="majorHAnsi"/>
              </w:rPr>
              <w:t>0</w:t>
            </w:r>
            <w:r w:rsidR="00AE727B">
              <w:rPr>
                <w:rFonts w:asciiTheme="majorHAnsi" w:hAnsiTheme="majorHAnsi"/>
              </w:rPr>
              <w:t>2</w:t>
            </w:r>
          </w:p>
        </w:tc>
      </w:tr>
      <w:tr w:rsidR="005B1BBE" w:rsidRPr="002C2079" w14:paraId="27900B13" w14:textId="77777777" w:rsidTr="00462148">
        <w:tc>
          <w:tcPr>
            <w:tcW w:w="4788" w:type="dxa"/>
          </w:tcPr>
          <w:p w14:paraId="769A31B9"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CATEGORY</w:t>
            </w:r>
          </w:p>
          <w:p w14:paraId="147279AD" w14:textId="77777777" w:rsidR="005B1BBE" w:rsidRPr="002C2079" w:rsidRDefault="005B1BBE" w:rsidP="005B1BBE">
            <w:pPr>
              <w:tabs>
                <w:tab w:val="left" w:pos="7050"/>
              </w:tabs>
              <w:rPr>
                <w:rFonts w:asciiTheme="majorHAnsi" w:hAnsiTheme="majorHAnsi"/>
              </w:rPr>
            </w:pPr>
          </w:p>
        </w:tc>
        <w:tc>
          <w:tcPr>
            <w:tcW w:w="4770" w:type="dxa"/>
          </w:tcPr>
          <w:p w14:paraId="06B291E1" w14:textId="77777777" w:rsidR="005B1BBE" w:rsidRPr="002C2079" w:rsidRDefault="005B1BBE" w:rsidP="005B1BBE">
            <w:pPr>
              <w:tabs>
                <w:tab w:val="left" w:pos="7050"/>
              </w:tabs>
              <w:rPr>
                <w:rFonts w:asciiTheme="majorHAnsi" w:hAnsiTheme="majorHAnsi"/>
                <w:i/>
              </w:rPr>
            </w:pPr>
            <w:r w:rsidRPr="002C2079">
              <w:rPr>
                <w:rFonts w:asciiTheme="majorHAnsi" w:hAnsiTheme="majorHAnsi"/>
              </w:rPr>
              <w:t xml:space="preserve">Credit against tax </w:t>
            </w:r>
            <w:r w:rsidRPr="002C2079">
              <w:rPr>
                <w:rFonts w:asciiTheme="majorHAnsi" w:hAnsiTheme="majorHAnsi"/>
                <w:i/>
              </w:rPr>
              <w:t>(</w:t>
            </w:r>
            <w:r w:rsidR="008C2341">
              <w:rPr>
                <w:rFonts w:asciiTheme="majorHAnsi" w:hAnsiTheme="majorHAnsi"/>
                <w:i/>
              </w:rPr>
              <w:t xml:space="preserve">corporate </w:t>
            </w:r>
            <w:r w:rsidRPr="002C2079">
              <w:rPr>
                <w:rFonts w:asciiTheme="majorHAnsi" w:hAnsiTheme="majorHAnsi"/>
                <w:i/>
              </w:rPr>
              <w:t>and business tax)</w:t>
            </w:r>
          </w:p>
          <w:p w14:paraId="0B9328C7" w14:textId="77777777" w:rsidR="005B1BBE" w:rsidRPr="002C2079" w:rsidRDefault="005B1BBE" w:rsidP="005B1BBE">
            <w:pPr>
              <w:tabs>
                <w:tab w:val="left" w:pos="7050"/>
              </w:tabs>
              <w:rPr>
                <w:rFonts w:asciiTheme="majorHAnsi" w:hAnsiTheme="majorHAnsi"/>
              </w:rPr>
            </w:pPr>
          </w:p>
        </w:tc>
      </w:tr>
      <w:tr w:rsidR="005B1BBE" w:rsidRPr="002C2079" w14:paraId="06FB8640" w14:textId="77777777" w:rsidTr="00462148">
        <w:tc>
          <w:tcPr>
            <w:tcW w:w="4788" w:type="dxa"/>
          </w:tcPr>
          <w:p w14:paraId="5C0594E5"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TYPE</w:t>
            </w:r>
          </w:p>
          <w:p w14:paraId="5D2DE97C" w14:textId="77777777" w:rsidR="005B1BBE" w:rsidRPr="002C2079" w:rsidRDefault="005B1BBE" w:rsidP="005B1BBE">
            <w:pPr>
              <w:tabs>
                <w:tab w:val="left" w:pos="7050"/>
              </w:tabs>
              <w:rPr>
                <w:rFonts w:asciiTheme="majorHAnsi" w:hAnsiTheme="majorHAnsi"/>
              </w:rPr>
            </w:pPr>
          </w:p>
        </w:tc>
        <w:tc>
          <w:tcPr>
            <w:tcW w:w="4770" w:type="dxa"/>
          </w:tcPr>
          <w:p w14:paraId="45632126" w14:textId="77777777" w:rsidR="00565D22" w:rsidRPr="002C2079" w:rsidRDefault="00C95B6E" w:rsidP="005B1BBE">
            <w:pPr>
              <w:tabs>
                <w:tab w:val="left" w:pos="7050"/>
              </w:tabs>
              <w:rPr>
                <w:rFonts w:asciiTheme="majorHAnsi" w:hAnsiTheme="majorHAnsi"/>
              </w:rPr>
            </w:pPr>
            <w:r w:rsidRPr="00C95B6E">
              <w:rPr>
                <w:rFonts w:asciiTheme="majorHAnsi" w:hAnsiTheme="majorHAnsi"/>
              </w:rPr>
              <w:t>Corporate excise</w:t>
            </w:r>
          </w:p>
        </w:tc>
      </w:tr>
      <w:tr w:rsidR="005B1BBE" w:rsidRPr="002C2079" w14:paraId="12B13479" w14:textId="77777777" w:rsidTr="00462148">
        <w:tc>
          <w:tcPr>
            <w:tcW w:w="4788" w:type="dxa"/>
          </w:tcPr>
          <w:p w14:paraId="7A59F7C0"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LEGAL REFERENCE</w:t>
            </w:r>
          </w:p>
          <w:p w14:paraId="68826AEC" w14:textId="77777777" w:rsidR="005B1BBE" w:rsidRPr="002C2079" w:rsidRDefault="005B1BBE" w:rsidP="005B1BBE">
            <w:pPr>
              <w:tabs>
                <w:tab w:val="left" w:pos="7050"/>
              </w:tabs>
              <w:rPr>
                <w:rFonts w:asciiTheme="majorHAnsi" w:hAnsiTheme="majorHAnsi"/>
              </w:rPr>
            </w:pPr>
          </w:p>
        </w:tc>
        <w:tc>
          <w:tcPr>
            <w:tcW w:w="4770" w:type="dxa"/>
          </w:tcPr>
          <w:p w14:paraId="6E4CC868" w14:textId="77777777" w:rsidR="005B1BBE" w:rsidRPr="002C2079" w:rsidRDefault="00C95B6E" w:rsidP="005B1BBE">
            <w:pPr>
              <w:tabs>
                <w:tab w:val="left" w:pos="7050"/>
              </w:tabs>
              <w:rPr>
                <w:rFonts w:asciiTheme="majorHAnsi" w:hAnsiTheme="majorHAnsi"/>
              </w:rPr>
            </w:pPr>
            <w:r w:rsidRPr="00C95B6E">
              <w:rPr>
                <w:rFonts w:asciiTheme="majorHAnsi" w:hAnsiTheme="majorHAnsi"/>
              </w:rPr>
              <w:t>M.G.L. c. 63, § 31A (i), (j)</w:t>
            </w:r>
          </w:p>
        </w:tc>
      </w:tr>
      <w:tr w:rsidR="005B1BBE" w:rsidRPr="002C2079" w14:paraId="46AD7592" w14:textId="77777777" w:rsidTr="00462148">
        <w:tc>
          <w:tcPr>
            <w:tcW w:w="4788" w:type="dxa"/>
          </w:tcPr>
          <w:p w14:paraId="3336AEA5"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YEAR ENACTED</w:t>
            </w:r>
          </w:p>
          <w:p w14:paraId="53D6BB9E" w14:textId="77777777" w:rsidR="005B1BBE" w:rsidRPr="002C2079" w:rsidRDefault="005B1BBE" w:rsidP="005B1BBE">
            <w:pPr>
              <w:tabs>
                <w:tab w:val="left" w:pos="7050"/>
              </w:tabs>
              <w:rPr>
                <w:rFonts w:asciiTheme="majorHAnsi" w:hAnsiTheme="majorHAnsi"/>
              </w:rPr>
            </w:pPr>
          </w:p>
        </w:tc>
        <w:tc>
          <w:tcPr>
            <w:tcW w:w="4770" w:type="dxa"/>
          </w:tcPr>
          <w:p w14:paraId="6FE887C5" w14:textId="77777777" w:rsidR="005B1BBE" w:rsidRPr="002C2079" w:rsidRDefault="008E54DA" w:rsidP="005B1BBE">
            <w:pPr>
              <w:tabs>
                <w:tab w:val="left" w:pos="7050"/>
              </w:tabs>
              <w:rPr>
                <w:rFonts w:asciiTheme="majorHAnsi" w:hAnsiTheme="majorHAnsi"/>
              </w:rPr>
            </w:pPr>
            <w:r>
              <w:rPr>
                <w:rFonts w:asciiTheme="majorHAnsi" w:hAnsiTheme="majorHAnsi"/>
              </w:rPr>
              <w:t>1971</w:t>
            </w:r>
          </w:p>
        </w:tc>
      </w:tr>
      <w:tr w:rsidR="005B1BBE" w:rsidRPr="002C2079" w14:paraId="36555FA9" w14:textId="77777777" w:rsidTr="00462148">
        <w:tc>
          <w:tcPr>
            <w:tcW w:w="4788" w:type="dxa"/>
          </w:tcPr>
          <w:p w14:paraId="07843630" w14:textId="77777777" w:rsidR="005B1BBE" w:rsidRPr="002C2079" w:rsidRDefault="005B1BBE" w:rsidP="005B1BBE">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REPEAL/EXPIRATION DATE</w:t>
            </w:r>
          </w:p>
        </w:tc>
        <w:tc>
          <w:tcPr>
            <w:tcW w:w="4770" w:type="dxa"/>
          </w:tcPr>
          <w:p w14:paraId="761F823C" w14:textId="77777777" w:rsidR="005B1BBE" w:rsidRDefault="008E54DA" w:rsidP="00C95B6E">
            <w:pPr>
              <w:tabs>
                <w:tab w:val="left" w:pos="7050"/>
              </w:tabs>
              <w:rPr>
                <w:rFonts w:asciiTheme="majorHAnsi" w:hAnsiTheme="majorHAnsi"/>
              </w:rPr>
            </w:pPr>
            <w:r>
              <w:rPr>
                <w:rFonts w:asciiTheme="majorHAnsi" w:hAnsiTheme="majorHAnsi"/>
              </w:rPr>
              <w:t>None</w:t>
            </w:r>
          </w:p>
          <w:p w14:paraId="31D43DD8" w14:textId="77777777" w:rsidR="00C95B6E" w:rsidRPr="002C2079" w:rsidRDefault="00C95B6E" w:rsidP="00C95B6E">
            <w:pPr>
              <w:tabs>
                <w:tab w:val="left" w:pos="7050"/>
              </w:tabs>
              <w:rPr>
                <w:rFonts w:asciiTheme="majorHAnsi" w:hAnsiTheme="majorHAnsi"/>
              </w:rPr>
            </w:pPr>
          </w:p>
        </w:tc>
      </w:tr>
      <w:tr w:rsidR="005B1BBE" w:rsidRPr="002C2079" w14:paraId="57C54F33" w14:textId="77777777" w:rsidTr="00462148">
        <w:tc>
          <w:tcPr>
            <w:tcW w:w="4788" w:type="dxa"/>
          </w:tcPr>
          <w:p w14:paraId="0443A838"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ANNUAL REVENUE IMPACT</w:t>
            </w:r>
          </w:p>
          <w:p w14:paraId="32992D4F" w14:textId="77777777" w:rsidR="005B1BBE" w:rsidRPr="002C2079" w:rsidRDefault="005B1BBE" w:rsidP="005B1BBE">
            <w:pPr>
              <w:tabs>
                <w:tab w:val="left" w:pos="7050"/>
              </w:tabs>
              <w:rPr>
                <w:rFonts w:asciiTheme="majorHAnsi" w:hAnsiTheme="majorHAnsi"/>
              </w:rPr>
            </w:pPr>
          </w:p>
        </w:tc>
        <w:tc>
          <w:tcPr>
            <w:tcW w:w="4770" w:type="dxa"/>
          </w:tcPr>
          <w:p w14:paraId="396BF5AF" w14:textId="77777777" w:rsidR="005B1BBE" w:rsidRDefault="005B1BBE" w:rsidP="005B1BBE">
            <w:pPr>
              <w:tabs>
                <w:tab w:val="left" w:pos="7050"/>
              </w:tabs>
              <w:rPr>
                <w:rFonts w:asciiTheme="majorHAnsi" w:hAnsiTheme="majorHAnsi"/>
              </w:rPr>
            </w:pPr>
            <w:r w:rsidRPr="002C2079">
              <w:rPr>
                <w:rFonts w:asciiTheme="majorHAnsi" w:hAnsiTheme="majorHAnsi"/>
              </w:rPr>
              <w:t>Tax loss of $</w:t>
            </w:r>
            <w:r w:rsidR="0009772E">
              <w:rPr>
                <w:rFonts w:asciiTheme="majorHAnsi" w:hAnsiTheme="majorHAnsi"/>
              </w:rPr>
              <w:t>66.4 - $7</w:t>
            </w:r>
            <w:r w:rsidR="00303B9E">
              <w:rPr>
                <w:rFonts w:asciiTheme="majorHAnsi" w:hAnsiTheme="majorHAnsi"/>
              </w:rPr>
              <w:t>7.1</w:t>
            </w:r>
            <w:r w:rsidRPr="002C2079">
              <w:rPr>
                <w:rFonts w:asciiTheme="majorHAnsi" w:hAnsiTheme="majorHAnsi"/>
              </w:rPr>
              <w:t xml:space="preserve"> million annually </w:t>
            </w:r>
            <w:r w:rsidR="00B0313F">
              <w:rPr>
                <w:rFonts w:asciiTheme="majorHAnsi" w:hAnsiTheme="majorHAnsi"/>
              </w:rPr>
              <w:t xml:space="preserve">during </w:t>
            </w:r>
            <w:r w:rsidRPr="002C2079">
              <w:rPr>
                <w:rFonts w:asciiTheme="majorHAnsi" w:hAnsiTheme="majorHAnsi"/>
              </w:rPr>
              <w:t>FY1</w:t>
            </w:r>
            <w:r w:rsidR="00C95B6E">
              <w:rPr>
                <w:rFonts w:asciiTheme="majorHAnsi" w:hAnsiTheme="majorHAnsi"/>
              </w:rPr>
              <w:t>8</w:t>
            </w:r>
            <w:r w:rsidRPr="002C2079">
              <w:rPr>
                <w:rFonts w:asciiTheme="majorHAnsi" w:hAnsiTheme="majorHAnsi"/>
              </w:rPr>
              <w:t>-FY2</w:t>
            </w:r>
            <w:r w:rsidR="00C95B6E">
              <w:rPr>
                <w:rFonts w:asciiTheme="majorHAnsi" w:hAnsiTheme="majorHAnsi"/>
              </w:rPr>
              <w:t>2</w:t>
            </w:r>
          </w:p>
          <w:p w14:paraId="7DBD0713" w14:textId="77777777" w:rsidR="002C17F9" w:rsidRPr="002C2079" w:rsidRDefault="002C17F9" w:rsidP="005B1BBE">
            <w:pPr>
              <w:tabs>
                <w:tab w:val="left" w:pos="7050"/>
              </w:tabs>
              <w:rPr>
                <w:rFonts w:asciiTheme="majorHAnsi" w:hAnsiTheme="majorHAnsi"/>
              </w:rPr>
            </w:pPr>
          </w:p>
        </w:tc>
      </w:tr>
      <w:tr w:rsidR="005B1BBE" w:rsidRPr="002C2079" w14:paraId="13572DCC" w14:textId="77777777" w:rsidTr="00462148">
        <w:tc>
          <w:tcPr>
            <w:tcW w:w="4788" w:type="dxa"/>
          </w:tcPr>
          <w:p w14:paraId="477C3590" w14:textId="77777777" w:rsidR="005B1BBE" w:rsidRPr="002C2079" w:rsidRDefault="005B1BBE" w:rsidP="005B1BBE">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 xml:space="preserve">NUMBER OF TAXPAYERS </w:t>
            </w:r>
          </w:p>
        </w:tc>
        <w:tc>
          <w:tcPr>
            <w:tcW w:w="4770" w:type="dxa"/>
          </w:tcPr>
          <w:p w14:paraId="031FAD95" w14:textId="77777777" w:rsidR="005B1BBE" w:rsidRPr="002C2079" w:rsidRDefault="00462148" w:rsidP="005B1BBE">
            <w:pPr>
              <w:tabs>
                <w:tab w:val="left" w:pos="7050"/>
              </w:tabs>
              <w:rPr>
                <w:rFonts w:asciiTheme="majorHAnsi" w:eastAsiaTheme="majorEastAsia" w:hAnsiTheme="majorHAnsi" w:cstheme="majorBidi"/>
                <w:bCs/>
                <w:color w:val="000000" w:themeColor="text1"/>
              </w:rPr>
            </w:pPr>
            <w:r w:rsidRPr="00462148">
              <w:rPr>
                <w:rFonts w:asciiTheme="majorHAnsi" w:eastAsiaTheme="majorEastAsia" w:hAnsiTheme="majorHAnsi" w:cstheme="majorBidi"/>
                <w:bCs/>
                <w:color w:val="000000" w:themeColor="text1"/>
              </w:rPr>
              <w:t>2,109 – 2,363 claims per year</w:t>
            </w:r>
            <w:r>
              <w:rPr>
                <w:rFonts w:asciiTheme="majorHAnsi" w:eastAsiaTheme="majorEastAsia" w:hAnsiTheme="majorHAnsi" w:cstheme="majorBidi"/>
                <w:bCs/>
                <w:color w:val="000000" w:themeColor="text1"/>
              </w:rPr>
              <w:t xml:space="preserve"> during </w:t>
            </w:r>
            <w:r w:rsidR="00B0313F">
              <w:rPr>
                <w:rFonts w:asciiTheme="majorHAnsi" w:eastAsiaTheme="majorEastAsia" w:hAnsiTheme="majorHAnsi" w:cstheme="majorBidi"/>
                <w:bCs/>
                <w:color w:val="000000" w:themeColor="text1"/>
              </w:rPr>
              <w:t>tax year</w:t>
            </w:r>
            <w:r w:rsidR="00E06717">
              <w:rPr>
                <w:rFonts w:asciiTheme="majorHAnsi" w:eastAsiaTheme="majorEastAsia" w:hAnsiTheme="majorHAnsi" w:cstheme="majorBidi"/>
                <w:bCs/>
                <w:color w:val="000000" w:themeColor="text1"/>
              </w:rPr>
              <w:t>s</w:t>
            </w:r>
            <w:r w:rsidR="00B0313F">
              <w:rPr>
                <w:rFonts w:asciiTheme="majorHAnsi" w:eastAsiaTheme="majorEastAsia" w:hAnsiTheme="majorHAnsi" w:cstheme="majorBidi"/>
                <w:bCs/>
                <w:color w:val="000000" w:themeColor="text1"/>
              </w:rPr>
              <w:t xml:space="preserve"> </w:t>
            </w:r>
            <w:r>
              <w:rPr>
                <w:rFonts w:asciiTheme="majorHAnsi" w:eastAsiaTheme="majorEastAsia" w:hAnsiTheme="majorHAnsi" w:cstheme="majorBidi"/>
                <w:bCs/>
                <w:color w:val="000000" w:themeColor="text1"/>
              </w:rPr>
              <w:t>2015-2018</w:t>
            </w:r>
          </w:p>
          <w:p w14:paraId="7152DF8E" w14:textId="77777777" w:rsidR="005B1BBE" w:rsidRPr="002C2079" w:rsidRDefault="005B1BBE" w:rsidP="005B1BBE">
            <w:pPr>
              <w:tabs>
                <w:tab w:val="left" w:pos="7050"/>
              </w:tabs>
              <w:rPr>
                <w:rFonts w:asciiTheme="majorHAnsi" w:hAnsiTheme="majorHAnsi"/>
              </w:rPr>
            </w:pPr>
          </w:p>
        </w:tc>
      </w:tr>
      <w:tr w:rsidR="005B1BBE" w:rsidRPr="002C2079" w14:paraId="3627A966" w14:textId="77777777" w:rsidTr="00462148">
        <w:tc>
          <w:tcPr>
            <w:tcW w:w="4788" w:type="dxa"/>
          </w:tcPr>
          <w:p w14:paraId="1284A22F" w14:textId="77777777" w:rsidR="005B1BBE" w:rsidRPr="002C2079" w:rsidRDefault="005B1BBE" w:rsidP="00F7586D">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AVERAGE TAXPAYER BENEFIT</w:t>
            </w:r>
          </w:p>
        </w:tc>
        <w:tc>
          <w:tcPr>
            <w:tcW w:w="4770" w:type="dxa"/>
          </w:tcPr>
          <w:p w14:paraId="054EABF6" w14:textId="77777777" w:rsidR="005B1BBE" w:rsidRPr="002C2079" w:rsidRDefault="003D6080" w:rsidP="00565D22">
            <w:pPr>
              <w:tabs>
                <w:tab w:val="left" w:pos="7050"/>
              </w:tabs>
              <w:rPr>
                <w:rFonts w:asciiTheme="majorHAnsi" w:hAnsiTheme="majorHAnsi"/>
              </w:rPr>
            </w:pPr>
            <w:r>
              <w:rPr>
                <w:rFonts w:asciiTheme="majorHAnsi" w:eastAsiaTheme="majorEastAsia" w:hAnsiTheme="majorHAnsi" w:cstheme="majorBidi"/>
                <w:bCs/>
                <w:color w:val="000000" w:themeColor="text1"/>
              </w:rPr>
              <w:t xml:space="preserve">About </w:t>
            </w:r>
            <w:r w:rsidR="005B1BBE" w:rsidRPr="002C2079">
              <w:rPr>
                <w:rFonts w:asciiTheme="majorHAnsi" w:eastAsiaTheme="majorEastAsia" w:hAnsiTheme="majorHAnsi" w:cstheme="majorBidi"/>
                <w:bCs/>
                <w:color w:val="000000" w:themeColor="text1"/>
              </w:rPr>
              <w:t>$</w:t>
            </w:r>
            <w:r w:rsidR="000B33B6">
              <w:rPr>
                <w:rFonts w:asciiTheme="majorHAnsi" w:eastAsiaTheme="majorEastAsia" w:hAnsiTheme="majorHAnsi" w:cstheme="majorBidi"/>
                <w:bCs/>
                <w:color w:val="000000" w:themeColor="text1"/>
              </w:rPr>
              <w:t>23</w:t>
            </w:r>
            <w:r w:rsidR="002C17F9">
              <w:rPr>
                <w:rFonts w:asciiTheme="majorHAnsi" w:eastAsiaTheme="majorEastAsia" w:hAnsiTheme="majorHAnsi" w:cstheme="majorBidi"/>
                <w:bCs/>
                <w:color w:val="000000" w:themeColor="text1"/>
              </w:rPr>
              <w:t>,100</w:t>
            </w:r>
            <w:r w:rsidR="000B33B6">
              <w:rPr>
                <w:rFonts w:asciiTheme="majorHAnsi" w:eastAsiaTheme="majorEastAsia" w:hAnsiTheme="majorHAnsi" w:cstheme="majorBidi"/>
                <w:bCs/>
                <w:color w:val="000000" w:themeColor="text1"/>
              </w:rPr>
              <w:t xml:space="preserve"> - $32</w:t>
            </w:r>
            <w:r w:rsidR="002C17F9">
              <w:rPr>
                <w:rFonts w:asciiTheme="majorHAnsi" w:eastAsiaTheme="majorEastAsia" w:hAnsiTheme="majorHAnsi" w:cstheme="majorBidi"/>
                <w:bCs/>
                <w:color w:val="000000" w:themeColor="text1"/>
              </w:rPr>
              <w:t>,</w:t>
            </w:r>
            <w:r w:rsidR="000B33B6">
              <w:rPr>
                <w:rFonts w:asciiTheme="majorHAnsi" w:eastAsiaTheme="majorEastAsia" w:hAnsiTheme="majorHAnsi" w:cstheme="majorBidi"/>
                <w:bCs/>
                <w:color w:val="000000" w:themeColor="text1"/>
              </w:rPr>
              <w:t>9</w:t>
            </w:r>
            <w:r w:rsidR="002C17F9">
              <w:rPr>
                <w:rFonts w:asciiTheme="majorHAnsi" w:eastAsiaTheme="majorEastAsia" w:hAnsiTheme="majorHAnsi" w:cstheme="majorBidi"/>
                <w:bCs/>
                <w:color w:val="000000" w:themeColor="text1"/>
              </w:rPr>
              <w:t>00</w:t>
            </w:r>
            <w:r w:rsidR="00C95B6E">
              <w:rPr>
                <w:rFonts w:asciiTheme="majorHAnsi" w:eastAsiaTheme="majorEastAsia" w:hAnsiTheme="majorHAnsi" w:cstheme="majorBidi"/>
                <w:bCs/>
                <w:color w:val="000000" w:themeColor="text1"/>
              </w:rPr>
              <w:t xml:space="preserve"> </w:t>
            </w:r>
            <w:r w:rsidR="005B1BBE" w:rsidRPr="002C2079">
              <w:rPr>
                <w:rFonts w:asciiTheme="majorHAnsi" w:eastAsiaTheme="majorEastAsia" w:hAnsiTheme="majorHAnsi" w:cstheme="majorBidi"/>
                <w:bCs/>
                <w:color w:val="000000" w:themeColor="text1"/>
              </w:rPr>
              <w:t xml:space="preserve">per </w:t>
            </w:r>
            <w:r w:rsidR="000B33B6">
              <w:rPr>
                <w:rFonts w:asciiTheme="majorHAnsi" w:eastAsiaTheme="majorEastAsia" w:hAnsiTheme="majorHAnsi" w:cstheme="majorBidi"/>
                <w:bCs/>
                <w:color w:val="000000" w:themeColor="text1"/>
              </w:rPr>
              <w:t xml:space="preserve">claim </w:t>
            </w:r>
            <w:r w:rsidR="005B1BBE" w:rsidRPr="002C2079">
              <w:rPr>
                <w:rFonts w:asciiTheme="majorHAnsi" w:eastAsiaTheme="majorEastAsia" w:hAnsiTheme="majorHAnsi" w:cstheme="majorBidi"/>
                <w:bCs/>
                <w:color w:val="000000" w:themeColor="text1"/>
              </w:rPr>
              <w:t xml:space="preserve">during </w:t>
            </w:r>
            <w:r w:rsidR="002B62D1">
              <w:rPr>
                <w:rFonts w:asciiTheme="majorHAnsi" w:eastAsiaTheme="majorEastAsia" w:hAnsiTheme="majorHAnsi" w:cstheme="majorBidi"/>
                <w:bCs/>
                <w:color w:val="000000" w:themeColor="text1"/>
              </w:rPr>
              <w:t>tax year</w:t>
            </w:r>
            <w:r w:rsidR="00E06717">
              <w:rPr>
                <w:rFonts w:asciiTheme="majorHAnsi" w:eastAsiaTheme="majorEastAsia" w:hAnsiTheme="majorHAnsi" w:cstheme="majorBidi"/>
                <w:bCs/>
                <w:color w:val="000000" w:themeColor="text1"/>
              </w:rPr>
              <w:t>s</w:t>
            </w:r>
            <w:r w:rsidR="002B62D1">
              <w:rPr>
                <w:rFonts w:asciiTheme="majorHAnsi" w:eastAsiaTheme="majorEastAsia" w:hAnsiTheme="majorHAnsi" w:cstheme="majorBidi"/>
                <w:bCs/>
                <w:color w:val="000000" w:themeColor="text1"/>
              </w:rPr>
              <w:t xml:space="preserve"> </w:t>
            </w:r>
            <w:r w:rsidR="000B33B6">
              <w:rPr>
                <w:rFonts w:asciiTheme="majorHAnsi" w:eastAsiaTheme="majorEastAsia" w:hAnsiTheme="majorHAnsi" w:cstheme="majorBidi"/>
                <w:bCs/>
                <w:color w:val="000000" w:themeColor="text1"/>
              </w:rPr>
              <w:t>2015-2018</w:t>
            </w:r>
          </w:p>
        </w:tc>
      </w:tr>
    </w:tbl>
    <w:p w14:paraId="2A9A8E44" w14:textId="77777777" w:rsidR="00565D22" w:rsidRDefault="00565D22">
      <w:pPr>
        <w:rPr>
          <w:b/>
          <w:bCs/>
        </w:rPr>
      </w:pPr>
    </w:p>
    <w:tbl>
      <w:tblPr>
        <w:tblStyle w:val="TableGrid"/>
        <w:tblW w:w="0" w:type="auto"/>
        <w:tblLook w:val="04A0" w:firstRow="1" w:lastRow="0" w:firstColumn="1" w:lastColumn="0" w:noHBand="0" w:noVBand="1"/>
      </w:tblPr>
      <w:tblGrid>
        <w:gridCol w:w="4676"/>
        <w:gridCol w:w="4674"/>
      </w:tblGrid>
      <w:tr w:rsidR="00565D22" w14:paraId="57312ABD" w14:textId="77777777" w:rsidTr="003D5912">
        <w:tc>
          <w:tcPr>
            <w:tcW w:w="4788" w:type="dxa"/>
          </w:tcPr>
          <w:p w14:paraId="065082E0" w14:textId="77777777" w:rsidR="00E8549A" w:rsidRPr="002C2079" w:rsidRDefault="00E8549A" w:rsidP="00E8549A">
            <w:pPr>
              <w:tabs>
                <w:tab w:val="left" w:pos="7050"/>
              </w:tabs>
              <w:rPr>
                <w:rFonts w:asciiTheme="majorHAnsi" w:eastAsiaTheme="majorEastAsia" w:hAnsiTheme="majorHAnsi" w:cstheme="majorBidi"/>
                <w:b/>
                <w:bCs/>
                <w:color w:val="000000" w:themeColor="text1"/>
                <w:sz w:val="24"/>
              </w:rPr>
            </w:pPr>
            <w:r w:rsidRPr="002C2079">
              <w:rPr>
                <w:rFonts w:asciiTheme="majorHAnsi" w:eastAsiaTheme="majorEastAsia" w:hAnsiTheme="majorHAnsi" w:cstheme="majorBidi"/>
                <w:b/>
                <w:bCs/>
                <w:color w:val="000000" w:themeColor="text1"/>
                <w:sz w:val="24"/>
              </w:rPr>
              <w:t>Description of the Tax Expenditure:</w:t>
            </w:r>
          </w:p>
          <w:p w14:paraId="59B97961" w14:textId="77777777" w:rsidR="00565D22" w:rsidRDefault="00E8549A" w:rsidP="00E8549A">
            <w:pPr>
              <w:tabs>
                <w:tab w:val="left" w:pos="7050"/>
              </w:tabs>
              <w:rPr>
                <w:rFonts w:asciiTheme="majorHAnsi" w:eastAsiaTheme="majorEastAsia" w:hAnsiTheme="majorHAnsi" w:cstheme="majorBidi"/>
                <w:bCs/>
                <w:color w:val="000000" w:themeColor="text1"/>
                <w:sz w:val="24"/>
              </w:rPr>
            </w:pPr>
            <w:r w:rsidRPr="000D3D82">
              <w:rPr>
                <w:rFonts w:asciiTheme="majorHAnsi" w:eastAsiaTheme="majorEastAsia" w:hAnsiTheme="majorHAnsi" w:cstheme="majorBidi"/>
                <w:bCs/>
                <w:color w:val="000000" w:themeColor="text1"/>
                <w:sz w:val="24"/>
              </w:rPr>
              <w:t>Manufacturing corporations and corporations engaged primarily in research and development, agriculture or commercial fishing are allowed to take a credit of 3% of the cost of qualifying tangible property</w:t>
            </w:r>
            <w:r>
              <w:rPr>
                <w:rFonts w:asciiTheme="majorHAnsi" w:eastAsiaTheme="majorEastAsia" w:hAnsiTheme="majorHAnsi" w:cstheme="majorBidi"/>
                <w:bCs/>
                <w:color w:val="000000" w:themeColor="text1"/>
                <w:sz w:val="24"/>
              </w:rPr>
              <w:t>.</w:t>
            </w:r>
          </w:p>
          <w:p w14:paraId="3B726C4F" w14:textId="77777777" w:rsidR="002B62D1" w:rsidRPr="00565D22" w:rsidRDefault="002B62D1" w:rsidP="00E8549A">
            <w:pPr>
              <w:tabs>
                <w:tab w:val="left" w:pos="7050"/>
              </w:tabs>
              <w:rPr>
                <w:rFonts w:asciiTheme="majorHAnsi" w:eastAsiaTheme="majorEastAsia" w:hAnsiTheme="majorHAnsi" w:cstheme="majorBidi"/>
                <w:b/>
                <w:bCs/>
                <w:color w:val="000000" w:themeColor="text1"/>
                <w:sz w:val="24"/>
              </w:rPr>
            </w:pPr>
          </w:p>
        </w:tc>
        <w:tc>
          <w:tcPr>
            <w:tcW w:w="4788" w:type="dxa"/>
          </w:tcPr>
          <w:p w14:paraId="2FB1E605" w14:textId="77777777" w:rsidR="00565D22" w:rsidRPr="002C2079" w:rsidRDefault="00565D22" w:rsidP="00565D22">
            <w:pPr>
              <w:tabs>
                <w:tab w:val="left" w:pos="7050"/>
              </w:tabs>
              <w:rPr>
                <w:rFonts w:asciiTheme="majorHAnsi" w:eastAsiaTheme="majorEastAsia" w:hAnsiTheme="majorHAnsi" w:cstheme="majorBidi"/>
                <w:b/>
                <w:bCs/>
                <w:color w:val="000000" w:themeColor="text1"/>
                <w:sz w:val="24"/>
              </w:rPr>
            </w:pPr>
            <w:r w:rsidRPr="002C2079">
              <w:rPr>
                <w:rFonts w:asciiTheme="majorHAnsi" w:eastAsiaTheme="majorEastAsia" w:hAnsiTheme="majorHAnsi" w:cstheme="majorBidi"/>
                <w:b/>
                <w:bCs/>
                <w:color w:val="000000" w:themeColor="text1"/>
                <w:sz w:val="24"/>
              </w:rPr>
              <w:t>Is the purpose defined in the statute?</w:t>
            </w:r>
          </w:p>
          <w:p w14:paraId="56D2270E" w14:textId="77777777" w:rsidR="00565D22" w:rsidRDefault="003D5912" w:rsidP="004A569B">
            <w:pPr>
              <w:rPr>
                <w:b/>
                <w:bCs/>
              </w:rPr>
            </w:pPr>
            <w:r w:rsidRPr="003D5912">
              <w:rPr>
                <w:rFonts w:asciiTheme="majorHAnsi" w:eastAsiaTheme="majorEastAsia" w:hAnsiTheme="majorHAnsi" w:cstheme="majorBidi"/>
                <w:bCs/>
                <w:color w:val="000000" w:themeColor="text1"/>
                <w:sz w:val="24"/>
              </w:rPr>
              <w:t>The statute does not explicitly state the purpose of this tax expenditure.</w:t>
            </w:r>
          </w:p>
        </w:tc>
      </w:tr>
      <w:tr w:rsidR="00565D22" w14:paraId="36ECDEE1" w14:textId="77777777" w:rsidTr="003D5912">
        <w:tc>
          <w:tcPr>
            <w:tcW w:w="4788" w:type="dxa"/>
          </w:tcPr>
          <w:p w14:paraId="144168A8" w14:textId="77777777" w:rsidR="00565D22" w:rsidRPr="00003921" w:rsidRDefault="00565D22" w:rsidP="00565D22">
            <w:pPr>
              <w:tabs>
                <w:tab w:val="left" w:pos="7050"/>
              </w:tabs>
              <w:rPr>
                <w:rFonts w:asciiTheme="majorHAnsi" w:eastAsiaTheme="majorEastAsia" w:hAnsiTheme="majorHAnsi" w:cstheme="majorBidi"/>
                <w:b/>
                <w:bCs/>
                <w:color w:val="000000" w:themeColor="text1"/>
                <w:sz w:val="24"/>
              </w:rPr>
            </w:pPr>
            <w:r>
              <w:rPr>
                <w:rFonts w:asciiTheme="majorHAnsi" w:eastAsiaTheme="majorEastAsia" w:hAnsiTheme="majorHAnsi" w:cstheme="majorBidi"/>
                <w:b/>
                <w:bCs/>
                <w:color w:val="000000" w:themeColor="text1"/>
                <w:sz w:val="24"/>
              </w:rPr>
              <w:t xml:space="preserve">What are the </w:t>
            </w:r>
            <w:r w:rsidR="004A569B">
              <w:rPr>
                <w:rFonts w:asciiTheme="majorHAnsi" w:eastAsiaTheme="majorEastAsia" w:hAnsiTheme="majorHAnsi" w:cstheme="majorBidi"/>
                <w:b/>
                <w:bCs/>
                <w:color w:val="000000" w:themeColor="text1"/>
                <w:sz w:val="24"/>
              </w:rPr>
              <w:t>policy</w:t>
            </w:r>
            <w:r>
              <w:rPr>
                <w:rFonts w:asciiTheme="majorHAnsi" w:eastAsiaTheme="majorEastAsia" w:hAnsiTheme="majorHAnsi" w:cstheme="majorBidi"/>
                <w:b/>
                <w:bCs/>
                <w:color w:val="000000" w:themeColor="text1"/>
                <w:sz w:val="24"/>
              </w:rPr>
              <w:t xml:space="preserve"> goals of the expenditure?</w:t>
            </w:r>
          </w:p>
          <w:p w14:paraId="2C58C043" w14:textId="77777777" w:rsidR="00565D22" w:rsidRDefault="004A569B" w:rsidP="004A569B">
            <w:pPr>
              <w:rPr>
                <w:b/>
                <w:bCs/>
              </w:rPr>
            </w:pPr>
            <w:r>
              <w:rPr>
                <w:rFonts w:asciiTheme="majorHAnsi" w:eastAsiaTheme="majorEastAsia" w:hAnsiTheme="majorHAnsi" w:cstheme="majorBidi"/>
                <w:bCs/>
                <w:color w:val="000000" w:themeColor="text1"/>
                <w:sz w:val="24"/>
              </w:rPr>
              <w:t>DOR i</w:t>
            </w:r>
            <w:r w:rsidRPr="003D5912">
              <w:rPr>
                <w:rFonts w:asciiTheme="majorHAnsi" w:eastAsiaTheme="majorEastAsia" w:hAnsiTheme="majorHAnsi" w:cstheme="majorBidi"/>
                <w:bCs/>
                <w:color w:val="000000" w:themeColor="text1"/>
                <w:sz w:val="24"/>
              </w:rPr>
              <w:t>nfer</w:t>
            </w:r>
            <w:r>
              <w:rPr>
                <w:rFonts w:asciiTheme="majorHAnsi" w:eastAsiaTheme="majorEastAsia" w:hAnsiTheme="majorHAnsi" w:cstheme="majorBidi"/>
                <w:bCs/>
                <w:color w:val="000000" w:themeColor="text1"/>
                <w:sz w:val="24"/>
              </w:rPr>
              <w:t>s</w:t>
            </w:r>
            <w:r w:rsidRPr="003D5912">
              <w:rPr>
                <w:rFonts w:asciiTheme="majorHAnsi" w:eastAsiaTheme="majorEastAsia" w:hAnsiTheme="majorHAnsi" w:cstheme="majorBidi"/>
                <w:bCs/>
                <w:color w:val="000000" w:themeColor="text1"/>
                <w:sz w:val="24"/>
              </w:rPr>
              <w:t xml:space="preserve"> that </w:t>
            </w:r>
            <w:r>
              <w:rPr>
                <w:rFonts w:asciiTheme="majorHAnsi" w:eastAsiaTheme="majorEastAsia" w:hAnsiTheme="majorHAnsi" w:cstheme="majorBidi"/>
                <w:bCs/>
                <w:color w:val="000000" w:themeColor="text1"/>
                <w:sz w:val="24"/>
              </w:rPr>
              <w:t>the expenditure</w:t>
            </w:r>
            <w:r w:rsidRPr="003D5912">
              <w:rPr>
                <w:rFonts w:asciiTheme="majorHAnsi" w:eastAsiaTheme="majorEastAsia" w:hAnsiTheme="majorHAnsi" w:cstheme="majorBidi"/>
                <w:bCs/>
                <w:color w:val="000000" w:themeColor="text1"/>
                <w:sz w:val="24"/>
              </w:rPr>
              <w:t xml:space="preserve"> was intended to encourage manufacturing and R&amp;D in Massachusetts</w:t>
            </w:r>
            <w:r>
              <w:rPr>
                <w:rFonts w:asciiTheme="majorHAnsi" w:eastAsiaTheme="majorEastAsia" w:hAnsiTheme="majorHAnsi" w:cstheme="majorBidi"/>
                <w:bCs/>
                <w:color w:val="000000" w:themeColor="text1"/>
                <w:sz w:val="24"/>
              </w:rPr>
              <w:t>.</w:t>
            </w:r>
          </w:p>
        </w:tc>
        <w:tc>
          <w:tcPr>
            <w:tcW w:w="4788" w:type="dxa"/>
          </w:tcPr>
          <w:p w14:paraId="63D48BE6" w14:textId="77777777" w:rsidR="002B62D1" w:rsidRDefault="00E8549A" w:rsidP="00E8549A">
            <w:pPr>
              <w:tabs>
                <w:tab w:val="left" w:pos="7050"/>
              </w:tabs>
              <w:rPr>
                <w:rFonts w:asciiTheme="majorHAnsi" w:eastAsiaTheme="majorEastAsia" w:hAnsiTheme="majorHAnsi" w:cstheme="majorBidi"/>
                <w:b/>
                <w:bCs/>
                <w:color w:val="000000" w:themeColor="text1"/>
                <w:sz w:val="24"/>
              </w:rPr>
            </w:pPr>
            <w:r>
              <w:rPr>
                <w:rFonts w:asciiTheme="majorHAnsi" w:eastAsiaTheme="majorEastAsia" w:hAnsiTheme="majorHAnsi" w:cstheme="majorBidi"/>
                <w:b/>
                <w:bCs/>
                <w:color w:val="000000" w:themeColor="text1"/>
                <w:sz w:val="24"/>
              </w:rPr>
              <w:t>Are there other states with a s</w:t>
            </w:r>
            <w:r w:rsidRPr="002C2079">
              <w:rPr>
                <w:rFonts w:asciiTheme="majorHAnsi" w:eastAsiaTheme="majorEastAsia" w:hAnsiTheme="majorHAnsi" w:cstheme="majorBidi"/>
                <w:b/>
                <w:bCs/>
                <w:color w:val="000000" w:themeColor="text1"/>
                <w:sz w:val="24"/>
              </w:rPr>
              <w:t>imilar Tax Expenditure?</w:t>
            </w:r>
            <w:r>
              <w:rPr>
                <w:rFonts w:asciiTheme="majorHAnsi" w:eastAsiaTheme="majorEastAsia" w:hAnsiTheme="majorHAnsi" w:cstheme="majorBidi"/>
                <w:b/>
                <w:bCs/>
                <w:color w:val="000000" w:themeColor="text1"/>
                <w:sz w:val="24"/>
              </w:rPr>
              <w:t xml:space="preserve"> </w:t>
            </w:r>
          </w:p>
          <w:p w14:paraId="6C07F448" w14:textId="77777777" w:rsidR="00E8549A" w:rsidRDefault="00E8549A" w:rsidP="00E8549A">
            <w:pPr>
              <w:tabs>
                <w:tab w:val="left" w:pos="7050"/>
              </w:tabs>
              <w:rPr>
                <w:rFonts w:asciiTheme="majorHAnsi" w:eastAsiaTheme="majorEastAsia" w:hAnsiTheme="majorHAnsi" w:cstheme="majorBidi"/>
                <w:b/>
                <w:bCs/>
                <w:color w:val="000000" w:themeColor="text1"/>
                <w:sz w:val="24"/>
              </w:rPr>
            </w:pPr>
            <w:r w:rsidRPr="00BC6DB8">
              <w:rPr>
                <w:rFonts w:asciiTheme="majorHAnsi" w:eastAsiaTheme="majorEastAsia" w:hAnsiTheme="majorHAnsi" w:cstheme="majorBidi"/>
                <w:bCs/>
                <w:color w:val="000000" w:themeColor="text1"/>
                <w:sz w:val="24"/>
              </w:rPr>
              <w:t>Yes, DOR estimates that over 20 states have a similar expenditure</w:t>
            </w:r>
            <w:r>
              <w:rPr>
                <w:rFonts w:asciiTheme="majorHAnsi" w:eastAsiaTheme="majorEastAsia" w:hAnsiTheme="majorHAnsi" w:cstheme="majorBidi"/>
                <w:b/>
                <w:bCs/>
                <w:color w:val="000000" w:themeColor="text1"/>
                <w:sz w:val="24"/>
              </w:rPr>
              <w:t>.</w:t>
            </w:r>
          </w:p>
          <w:p w14:paraId="0833666B" w14:textId="77777777" w:rsidR="00565D22" w:rsidRDefault="00565D22" w:rsidP="00565D22">
            <w:pPr>
              <w:rPr>
                <w:b/>
                <w:bCs/>
              </w:rPr>
            </w:pPr>
          </w:p>
        </w:tc>
      </w:tr>
    </w:tbl>
    <w:tbl>
      <w:tblPr>
        <w:tblStyle w:val="MediumList1-Accent2"/>
        <w:tblW w:w="0" w:type="auto"/>
        <w:tblLook w:val="04A0" w:firstRow="1" w:lastRow="0" w:firstColumn="1" w:lastColumn="0" w:noHBand="0" w:noVBand="1"/>
      </w:tblPr>
      <w:tblGrid>
        <w:gridCol w:w="9360"/>
      </w:tblGrid>
      <w:tr w:rsidR="00F065BC" w:rsidRPr="002C2079" w14:paraId="03E777CC" w14:textId="77777777" w:rsidTr="00515E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382F2692" w14:textId="77777777" w:rsidR="00F065BC" w:rsidRDefault="00F065BC" w:rsidP="00F065BC">
            <w:pPr>
              <w:rPr>
                <w:sz w:val="28"/>
                <w:szCs w:val="28"/>
              </w:rPr>
            </w:pPr>
          </w:p>
        </w:tc>
      </w:tr>
      <w:tr w:rsidR="004B14D0" w:rsidRPr="002C2079" w14:paraId="24D5D377" w14:textId="77777777" w:rsidTr="00515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C0504D" w:themeColor="accent2"/>
              <w:bottom w:val="single" w:sz="8" w:space="0" w:color="C0504D" w:themeColor="accent2"/>
            </w:tcBorders>
            <w:shd w:val="clear" w:color="auto" w:fill="B6DDE8" w:themeFill="accent5" w:themeFillTint="66"/>
          </w:tcPr>
          <w:p w14:paraId="61EB8EE5" w14:textId="77777777" w:rsidR="004B14D0" w:rsidRPr="002C2079" w:rsidRDefault="004B14D0" w:rsidP="00F065BC">
            <w:pPr>
              <w:rPr>
                <w:rFonts w:asciiTheme="majorHAnsi" w:hAnsiTheme="majorHAnsi"/>
              </w:rPr>
            </w:pPr>
            <w:r w:rsidRPr="00AD2A39">
              <w:rPr>
                <w:sz w:val="28"/>
                <w:szCs w:val="28"/>
                <w:highlight w:val="cyan"/>
              </w:rPr>
              <w:t>Conclusion/Recommendations: [To be</w:t>
            </w:r>
            <w:r w:rsidR="00F065BC" w:rsidRPr="00AD2A39">
              <w:rPr>
                <w:sz w:val="28"/>
                <w:szCs w:val="28"/>
                <w:highlight w:val="cyan"/>
              </w:rPr>
              <w:t xml:space="preserve"> Entered by TERC]</w:t>
            </w:r>
          </w:p>
        </w:tc>
      </w:tr>
    </w:tbl>
    <w:p w14:paraId="3A1E41C4" w14:textId="77777777" w:rsidR="005B1BBE" w:rsidRDefault="005B1BBE" w:rsidP="00500265">
      <w:pPr>
        <w:rPr>
          <w:rFonts w:asciiTheme="majorHAnsi" w:hAnsiTheme="majorHAnsi"/>
        </w:rPr>
      </w:pPr>
    </w:p>
    <w:p w14:paraId="35CDC542" w14:textId="77777777" w:rsidR="00610071" w:rsidRDefault="00610071">
      <w:r>
        <w:br w:type="page"/>
      </w:r>
    </w:p>
    <w:p w14:paraId="321552A3" w14:textId="77777777" w:rsidR="005B1BBE" w:rsidRPr="00B22F40" w:rsidRDefault="005B1BBE" w:rsidP="005B1BBE">
      <w:pPr>
        <w:sectPr w:rsidR="005B1BBE" w:rsidRPr="00B22F40" w:rsidSect="00565D22">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267" w:left="1440" w:header="720" w:footer="720" w:gutter="0"/>
          <w:cols w:space="720"/>
          <w:docGrid w:linePitch="360"/>
        </w:sectPr>
      </w:pPr>
    </w:p>
    <w:tbl>
      <w:tblPr>
        <w:tblStyle w:val="MediumList1-Accent2"/>
        <w:tblW w:w="0" w:type="auto"/>
        <w:tblLook w:val="04A0" w:firstRow="1" w:lastRow="0" w:firstColumn="1" w:lastColumn="0" w:noHBand="0" w:noVBand="1"/>
      </w:tblPr>
      <w:tblGrid>
        <w:gridCol w:w="9360"/>
      </w:tblGrid>
      <w:tr w:rsidR="00ED4589" w:rsidRPr="007C3ABD" w14:paraId="3EB5D465" w14:textId="77777777" w:rsidTr="005002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7101300" w14:textId="77777777" w:rsidR="00ED4589" w:rsidRPr="00003921" w:rsidRDefault="00003921" w:rsidP="00003921">
            <w:pPr>
              <w:jc w:val="center"/>
              <w:rPr>
                <w:sz w:val="36"/>
              </w:rPr>
            </w:pPr>
            <w:r w:rsidRPr="00003921">
              <w:rPr>
                <w:sz w:val="40"/>
                <w:szCs w:val="32"/>
              </w:rPr>
              <w:lastRenderedPageBreak/>
              <w:t>Incentive Evaluation</w:t>
            </w:r>
            <w:r>
              <w:rPr>
                <w:sz w:val="40"/>
                <w:szCs w:val="32"/>
              </w:rPr>
              <w:t xml:space="preserve"> Results</w:t>
            </w:r>
          </w:p>
        </w:tc>
      </w:tr>
    </w:tbl>
    <w:p w14:paraId="60A20806" w14:textId="77777777" w:rsidR="00291074" w:rsidRDefault="00291074" w:rsidP="00CF41DD">
      <w:pPr>
        <w:tabs>
          <w:tab w:val="left" w:pos="7050"/>
        </w:tabs>
        <w:spacing w:after="0"/>
        <w:rPr>
          <w:rFonts w:asciiTheme="majorHAnsi" w:hAnsiTheme="majorHAnsi"/>
          <w:b/>
          <w:sz w:val="28"/>
          <w:szCs w:val="24"/>
        </w:rPr>
      </w:pPr>
    </w:p>
    <w:p w14:paraId="431AA625" w14:textId="77777777" w:rsidR="00E8549A" w:rsidRPr="00A07439" w:rsidRDefault="00E8549A" w:rsidP="00E8549A">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t>INTRODUCTION</w:t>
      </w:r>
    </w:p>
    <w:p w14:paraId="719D818D" w14:textId="77777777" w:rsidR="00544662" w:rsidRDefault="00544662" w:rsidP="00235EBA">
      <w:pPr>
        <w:tabs>
          <w:tab w:val="left" w:pos="7050"/>
        </w:tabs>
        <w:spacing w:after="0"/>
        <w:rPr>
          <w:rFonts w:asciiTheme="majorHAnsi" w:hAnsiTheme="majorHAnsi"/>
          <w:sz w:val="24"/>
          <w:szCs w:val="24"/>
        </w:rPr>
      </w:pPr>
    </w:p>
    <w:p w14:paraId="63A8D288" w14:textId="70BBD9C0" w:rsidR="00E8549A" w:rsidRDefault="00E8549A" w:rsidP="00235EBA">
      <w:pPr>
        <w:tabs>
          <w:tab w:val="left" w:pos="7050"/>
        </w:tabs>
        <w:spacing w:after="0"/>
        <w:rPr>
          <w:rFonts w:asciiTheme="majorHAnsi" w:hAnsiTheme="majorHAnsi" w:cs="Arial"/>
          <w:sz w:val="24"/>
          <w:szCs w:val="24"/>
        </w:rPr>
      </w:pPr>
      <w:r w:rsidRPr="00E16458">
        <w:rPr>
          <w:rFonts w:asciiTheme="majorHAnsi" w:hAnsiTheme="majorHAnsi"/>
          <w:sz w:val="24"/>
          <w:szCs w:val="24"/>
        </w:rPr>
        <w:t xml:space="preserve">Manufacturing corporations and corporations engaged primarily in research and development, agriculture or commercial fishing </w:t>
      </w:r>
      <w:proofErr w:type="gramStart"/>
      <w:r w:rsidRPr="00E16458">
        <w:rPr>
          <w:rFonts w:asciiTheme="majorHAnsi" w:hAnsiTheme="majorHAnsi"/>
          <w:sz w:val="24"/>
          <w:szCs w:val="24"/>
        </w:rPr>
        <w:t>are allowed to</w:t>
      </w:r>
      <w:proofErr w:type="gramEnd"/>
      <w:r w:rsidRPr="00E16458">
        <w:rPr>
          <w:rFonts w:asciiTheme="majorHAnsi" w:hAnsiTheme="majorHAnsi"/>
          <w:sz w:val="24"/>
          <w:szCs w:val="24"/>
        </w:rPr>
        <w:t xml:space="preserve"> take an investment tax credit (ITC) of 3% (for tax years ending before January 1, 1993 the rate was 1%) of the cost of </w:t>
      </w:r>
      <w:r w:rsidRPr="00ED5842">
        <w:rPr>
          <w:rFonts w:asciiTheme="majorHAnsi" w:hAnsiTheme="majorHAnsi"/>
          <w:sz w:val="24"/>
          <w:szCs w:val="24"/>
        </w:rPr>
        <w:t xml:space="preserve">qualifying tangible property.   </w:t>
      </w:r>
      <w:r>
        <w:rPr>
          <w:rFonts w:asciiTheme="majorHAnsi" w:hAnsiTheme="majorHAnsi"/>
          <w:sz w:val="24"/>
          <w:szCs w:val="24"/>
        </w:rPr>
        <w:t>Both</w:t>
      </w:r>
      <w:r w:rsidRPr="00ED5842">
        <w:rPr>
          <w:rFonts w:asciiTheme="majorHAnsi" w:hAnsiTheme="majorHAnsi"/>
          <w:sz w:val="24"/>
          <w:szCs w:val="24"/>
        </w:rPr>
        <w:t xml:space="preserve"> owners </w:t>
      </w:r>
      <w:r>
        <w:rPr>
          <w:rFonts w:asciiTheme="majorHAnsi" w:hAnsiTheme="majorHAnsi"/>
          <w:sz w:val="24"/>
          <w:szCs w:val="24"/>
        </w:rPr>
        <w:t xml:space="preserve">and </w:t>
      </w:r>
      <w:r w:rsidRPr="00ED5842">
        <w:rPr>
          <w:rFonts w:asciiTheme="majorHAnsi" w:hAnsiTheme="majorHAnsi"/>
          <w:sz w:val="24"/>
          <w:szCs w:val="24"/>
        </w:rPr>
        <w:t xml:space="preserve">eligible corporate lessees </w:t>
      </w:r>
      <w:r>
        <w:rPr>
          <w:rFonts w:asciiTheme="majorHAnsi" w:hAnsiTheme="majorHAnsi"/>
          <w:sz w:val="24"/>
          <w:szCs w:val="24"/>
        </w:rPr>
        <w:t xml:space="preserve">of property </w:t>
      </w:r>
      <w:r w:rsidRPr="00ED5842">
        <w:rPr>
          <w:rFonts w:asciiTheme="majorHAnsi" w:hAnsiTheme="majorHAnsi"/>
          <w:sz w:val="24"/>
          <w:szCs w:val="24"/>
        </w:rPr>
        <w:t>may claim the ITC.</w:t>
      </w:r>
      <w:r w:rsidR="00235EBA">
        <w:rPr>
          <w:rFonts w:asciiTheme="majorHAnsi" w:hAnsiTheme="majorHAnsi"/>
          <w:sz w:val="24"/>
          <w:szCs w:val="24"/>
        </w:rPr>
        <w:t xml:space="preserve">  </w:t>
      </w:r>
      <w:r w:rsidRPr="00E16458">
        <w:rPr>
          <w:rFonts w:asciiTheme="majorHAnsi" w:hAnsiTheme="majorHAnsi"/>
          <w:sz w:val="24"/>
          <w:szCs w:val="24"/>
        </w:rPr>
        <w:t>Qualifying property</w:t>
      </w:r>
      <w:r>
        <w:rPr>
          <w:rFonts w:asciiTheme="majorHAnsi" w:hAnsiTheme="majorHAnsi"/>
          <w:sz w:val="24"/>
          <w:szCs w:val="24"/>
        </w:rPr>
        <w:t xml:space="preserve"> </w:t>
      </w:r>
      <w:r w:rsidRPr="00E16458">
        <w:rPr>
          <w:rFonts w:asciiTheme="majorHAnsi" w:hAnsiTheme="majorHAnsi"/>
          <w:sz w:val="24"/>
          <w:szCs w:val="24"/>
        </w:rPr>
        <w:t>includes tangible personal property</w:t>
      </w:r>
      <w:r>
        <w:rPr>
          <w:rFonts w:asciiTheme="majorHAnsi" w:hAnsiTheme="majorHAnsi"/>
          <w:sz w:val="24"/>
          <w:szCs w:val="24"/>
        </w:rPr>
        <w:t xml:space="preserve">, </w:t>
      </w:r>
      <w:r w:rsidRPr="00ED5842">
        <w:rPr>
          <w:rFonts w:asciiTheme="majorHAnsi" w:hAnsiTheme="majorHAnsi"/>
          <w:sz w:val="24"/>
          <w:szCs w:val="24"/>
        </w:rPr>
        <w:t>real property including buildings and build-outs</w:t>
      </w:r>
      <w:r>
        <w:rPr>
          <w:rFonts w:asciiTheme="majorHAnsi" w:hAnsiTheme="majorHAnsi"/>
          <w:sz w:val="24"/>
          <w:szCs w:val="24"/>
        </w:rPr>
        <w:t xml:space="preserve">. It </w:t>
      </w:r>
      <w:r w:rsidRPr="00ED5842">
        <w:rPr>
          <w:rFonts w:asciiTheme="majorHAnsi" w:hAnsiTheme="majorHAnsi"/>
          <w:sz w:val="24"/>
          <w:szCs w:val="24"/>
        </w:rPr>
        <w:t>does not include motor vehicles</w:t>
      </w:r>
      <w:r>
        <w:rPr>
          <w:rFonts w:asciiTheme="majorHAnsi" w:hAnsiTheme="majorHAnsi"/>
          <w:sz w:val="24"/>
          <w:szCs w:val="24"/>
        </w:rPr>
        <w:t xml:space="preserve">. The property </w:t>
      </w:r>
      <w:r w:rsidRPr="00ED5842">
        <w:rPr>
          <w:rFonts w:asciiTheme="majorHAnsi" w:hAnsiTheme="majorHAnsi"/>
          <w:sz w:val="24"/>
          <w:szCs w:val="24"/>
        </w:rPr>
        <w:t>must be depreciable under Code § 167 and have a useful life of four years or more</w:t>
      </w:r>
      <w:r>
        <w:rPr>
          <w:rFonts w:asciiTheme="majorHAnsi" w:hAnsiTheme="majorHAnsi"/>
          <w:sz w:val="24"/>
          <w:szCs w:val="24"/>
        </w:rPr>
        <w:t>,</w:t>
      </w:r>
      <w:r w:rsidRPr="00ED5842">
        <w:rPr>
          <w:rFonts w:asciiTheme="majorHAnsi" w:hAnsiTheme="majorHAnsi"/>
          <w:sz w:val="24"/>
          <w:szCs w:val="24"/>
        </w:rPr>
        <w:t xml:space="preserve"> and</w:t>
      </w:r>
      <w:r>
        <w:rPr>
          <w:rFonts w:asciiTheme="majorHAnsi" w:hAnsiTheme="majorHAnsi"/>
          <w:sz w:val="24"/>
          <w:szCs w:val="24"/>
        </w:rPr>
        <w:t xml:space="preserve"> it </w:t>
      </w:r>
      <w:r w:rsidRPr="00ED5842">
        <w:rPr>
          <w:rFonts w:asciiTheme="majorHAnsi" w:hAnsiTheme="majorHAnsi"/>
          <w:sz w:val="24"/>
          <w:szCs w:val="24"/>
        </w:rPr>
        <w:t>must be used in Massachusetts and situated in Massachusetts on the last day of the taxable year</w:t>
      </w:r>
      <w:r>
        <w:rPr>
          <w:rFonts w:asciiTheme="majorHAnsi" w:hAnsiTheme="majorHAnsi"/>
          <w:sz w:val="24"/>
          <w:szCs w:val="24"/>
        </w:rPr>
        <w:t>.</w:t>
      </w:r>
      <w:r w:rsidRPr="00ED5842">
        <w:rPr>
          <w:rFonts w:asciiTheme="majorHAnsi" w:hAnsiTheme="majorHAnsi"/>
          <w:sz w:val="24"/>
          <w:szCs w:val="24"/>
        </w:rPr>
        <w:t xml:space="preserve"> </w:t>
      </w:r>
      <w:r w:rsidR="00235EBA">
        <w:rPr>
          <w:rFonts w:asciiTheme="majorHAnsi" w:hAnsiTheme="majorHAnsi"/>
          <w:sz w:val="24"/>
          <w:szCs w:val="24"/>
        </w:rPr>
        <w:t xml:space="preserve"> </w:t>
      </w:r>
      <w:r w:rsidRPr="00BC6DB8">
        <w:rPr>
          <w:rFonts w:asciiTheme="majorHAnsi" w:hAnsiTheme="majorHAnsi" w:cs="Arial"/>
          <w:sz w:val="24"/>
          <w:szCs w:val="24"/>
        </w:rPr>
        <w:t xml:space="preserve">The maximum amount of ITC allowed in any one taxable year cannot exceed fifty percent of the excise </w:t>
      </w:r>
      <w:r>
        <w:rPr>
          <w:rFonts w:asciiTheme="majorHAnsi" w:hAnsiTheme="majorHAnsi" w:cs="Arial"/>
          <w:sz w:val="24"/>
          <w:szCs w:val="24"/>
        </w:rPr>
        <w:t xml:space="preserve">due </w:t>
      </w:r>
      <w:r w:rsidRPr="00BC6DB8">
        <w:rPr>
          <w:rFonts w:asciiTheme="majorHAnsi" w:hAnsiTheme="majorHAnsi" w:cs="Arial"/>
          <w:sz w:val="24"/>
          <w:szCs w:val="24"/>
        </w:rPr>
        <w:t xml:space="preserve">for the taxable year.  </w:t>
      </w:r>
      <w:r w:rsidRPr="00E16458" w:rsidDel="00963233">
        <w:rPr>
          <w:rFonts w:asciiTheme="majorHAnsi" w:hAnsiTheme="majorHAnsi"/>
          <w:sz w:val="24"/>
          <w:szCs w:val="24"/>
        </w:rPr>
        <w:t xml:space="preserve"> </w:t>
      </w:r>
      <w:r w:rsidRPr="00E16458">
        <w:rPr>
          <w:rFonts w:asciiTheme="majorHAnsi" w:hAnsiTheme="majorHAnsi"/>
          <w:sz w:val="24"/>
          <w:szCs w:val="24"/>
        </w:rPr>
        <w:t>The credit is neither transferable nor refundable.</w:t>
      </w:r>
      <w:r w:rsidR="00235EBA">
        <w:rPr>
          <w:rFonts w:asciiTheme="majorHAnsi" w:hAnsiTheme="majorHAnsi"/>
          <w:sz w:val="24"/>
          <w:szCs w:val="24"/>
        </w:rPr>
        <w:t xml:space="preserve">  </w:t>
      </w:r>
      <w:r w:rsidRPr="00BC6DB8">
        <w:rPr>
          <w:rFonts w:asciiTheme="majorHAnsi" w:hAnsiTheme="majorHAnsi" w:cs="Arial"/>
          <w:sz w:val="24"/>
          <w:szCs w:val="24"/>
        </w:rPr>
        <w:t>A corporation that does not use the full amount of ITC generated in a taxable year because the credit exceeded its excise for the taxable year may carry over the credit</w:t>
      </w:r>
      <w:r>
        <w:rPr>
          <w:rFonts w:asciiTheme="majorHAnsi" w:hAnsiTheme="majorHAnsi" w:cs="Arial"/>
          <w:sz w:val="24"/>
          <w:szCs w:val="24"/>
        </w:rPr>
        <w:t>,</w:t>
      </w:r>
      <w:r w:rsidRPr="00BC6DB8">
        <w:rPr>
          <w:rFonts w:asciiTheme="majorHAnsi" w:hAnsiTheme="majorHAnsi" w:cs="Arial"/>
          <w:sz w:val="24"/>
          <w:szCs w:val="24"/>
        </w:rPr>
        <w:t xml:space="preserve"> </w:t>
      </w:r>
      <w:r w:rsidRPr="00A60CF8">
        <w:rPr>
          <w:rFonts w:asciiTheme="majorHAnsi" w:hAnsiTheme="majorHAnsi" w:cs="Arial"/>
          <w:sz w:val="24"/>
          <w:szCs w:val="24"/>
        </w:rPr>
        <w:t>as reduced from year to year,</w:t>
      </w:r>
      <w:r>
        <w:rPr>
          <w:rFonts w:asciiTheme="majorHAnsi" w:hAnsiTheme="majorHAnsi" w:cs="Arial"/>
          <w:sz w:val="24"/>
          <w:szCs w:val="24"/>
        </w:rPr>
        <w:t xml:space="preserve"> </w:t>
      </w:r>
      <w:r w:rsidRPr="00BC6DB8">
        <w:rPr>
          <w:rFonts w:asciiTheme="majorHAnsi" w:hAnsiTheme="majorHAnsi" w:cs="Arial"/>
          <w:sz w:val="24"/>
          <w:szCs w:val="24"/>
        </w:rPr>
        <w:t>for three years.  Any portion of ITC not used in a taxable year because of the fifty percent limitation may be carried over, as reduced from year to year, indefinitely.</w:t>
      </w:r>
      <w:r w:rsidR="00235EBA">
        <w:rPr>
          <w:rFonts w:asciiTheme="majorHAnsi" w:hAnsiTheme="majorHAnsi" w:cs="Arial"/>
          <w:sz w:val="24"/>
          <w:szCs w:val="24"/>
        </w:rPr>
        <w:t xml:space="preserve"> </w:t>
      </w:r>
      <w:r w:rsidRPr="00BC6DB8">
        <w:rPr>
          <w:rFonts w:asciiTheme="majorHAnsi" w:hAnsiTheme="majorHAnsi" w:cs="Arial"/>
          <w:sz w:val="24"/>
          <w:szCs w:val="24"/>
        </w:rPr>
        <w:t xml:space="preserve">A portion of the credit is subject to a recapture tax if the qualifying property </w:t>
      </w:r>
      <w:r>
        <w:rPr>
          <w:rFonts w:asciiTheme="majorHAnsi" w:hAnsiTheme="majorHAnsi" w:cs="Arial"/>
          <w:sz w:val="24"/>
          <w:szCs w:val="24"/>
        </w:rPr>
        <w:t xml:space="preserve">sold or otherwise transferred before </w:t>
      </w:r>
      <w:r w:rsidRPr="00BC6DB8">
        <w:rPr>
          <w:rFonts w:asciiTheme="majorHAnsi" w:hAnsiTheme="majorHAnsi" w:cs="Arial"/>
          <w:sz w:val="24"/>
          <w:szCs w:val="24"/>
        </w:rPr>
        <w:t>the end of its useful life, unless the property was in qualified use for more than twelve years.</w:t>
      </w:r>
    </w:p>
    <w:p w14:paraId="5EA196A1" w14:textId="77777777" w:rsidR="00235EBA" w:rsidRPr="00BC6DB8" w:rsidRDefault="00235EBA" w:rsidP="00235EBA">
      <w:pPr>
        <w:tabs>
          <w:tab w:val="left" w:pos="7050"/>
        </w:tabs>
        <w:spacing w:after="0"/>
        <w:rPr>
          <w:rFonts w:asciiTheme="majorHAnsi" w:hAnsiTheme="majorHAnsi"/>
          <w:sz w:val="24"/>
          <w:szCs w:val="24"/>
        </w:rPr>
      </w:pPr>
    </w:p>
    <w:p w14:paraId="781C758D" w14:textId="77777777" w:rsidR="00291074" w:rsidRDefault="00E8549A" w:rsidP="00E8549A">
      <w:pPr>
        <w:tabs>
          <w:tab w:val="left" w:pos="7050"/>
        </w:tabs>
        <w:spacing w:after="0"/>
        <w:rPr>
          <w:rFonts w:asciiTheme="majorHAnsi" w:hAnsiTheme="majorHAnsi"/>
          <w:sz w:val="24"/>
          <w:szCs w:val="24"/>
        </w:rPr>
      </w:pPr>
      <w:r w:rsidRPr="00ED5842">
        <w:rPr>
          <w:rFonts w:asciiTheme="majorHAnsi" w:hAnsiTheme="majorHAnsi"/>
          <w:sz w:val="24"/>
          <w:szCs w:val="24"/>
        </w:rPr>
        <w:t xml:space="preserve">The incentive was enacted on July 1, 1971, </w:t>
      </w:r>
      <w:r>
        <w:rPr>
          <w:rFonts w:asciiTheme="majorHAnsi" w:hAnsiTheme="majorHAnsi"/>
          <w:sz w:val="24"/>
          <w:szCs w:val="24"/>
        </w:rPr>
        <w:t xml:space="preserve">and </w:t>
      </w:r>
      <w:r w:rsidRPr="00ED5842">
        <w:rPr>
          <w:rFonts w:asciiTheme="majorHAnsi" w:hAnsiTheme="majorHAnsi"/>
          <w:sz w:val="24"/>
          <w:szCs w:val="24"/>
        </w:rPr>
        <w:t>applied to qualifying tangible property acquired, constructed, reconstructed, or erected after December 31, 1969</w:t>
      </w:r>
      <w:r w:rsidR="004A569B">
        <w:rPr>
          <w:rFonts w:asciiTheme="majorHAnsi" w:hAnsiTheme="majorHAnsi"/>
          <w:sz w:val="24"/>
          <w:szCs w:val="24"/>
        </w:rPr>
        <w:t>.</w:t>
      </w:r>
    </w:p>
    <w:p w14:paraId="76D6A4F8" w14:textId="77777777" w:rsidR="00E8549A" w:rsidRPr="00003FFA" w:rsidRDefault="00E8549A" w:rsidP="00E8549A">
      <w:pPr>
        <w:tabs>
          <w:tab w:val="left" w:pos="7050"/>
        </w:tabs>
        <w:spacing w:after="0"/>
        <w:rPr>
          <w:rFonts w:asciiTheme="majorHAnsi" w:hAnsiTheme="majorHAnsi"/>
          <w:sz w:val="24"/>
          <w:szCs w:val="24"/>
        </w:rPr>
      </w:pPr>
    </w:p>
    <w:p w14:paraId="2383BCF3" w14:textId="77777777" w:rsidR="00291074" w:rsidRDefault="00291074" w:rsidP="00291074">
      <w:pPr>
        <w:tabs>
          <w:tab w:val="left" w:pos="7050"/>
        </w:tabs>
        <w:spacing w:after="0"/>
        <w:rPr>
          <w:rFonts w:asciiTheme="majorHAnsi" w:hAnsiTheme="majorHAnsi"/>
          <w:sz w:val="24"/>
          <w:szCs w:val="24"/>
        </w:rPr>
      </w:pPr>
      <w:r w:rsidRPr="005C5281">
        <w:rPr>
          <w:rFonts w:asciiTheme="majorHAnsi" w:hAnsiTheme="majorHAnsi"/>
          <w:sz w:val="24"/>
          <w:szCs w:val="24"/>
        </w:rPr>
        <w:t xml:space="preserve"> </w:t>
      </w:r>
    </w:p>
    <w:p w14:paraId="0FF47DB0" w14:textId="77777777" w:rsidR="00291074" w:rsidRPr="00A07439" w:rsidRDefault="004A569B" w:rsidP="00291074">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POLICY GOALS</w:t>
      </w:r>
    </w:p>
    <w:p w14:paraId="31868063" w14:textId="77777777" w:rsidR="00156AAE" w:rsidRPr="00BB467B" w:rsidRDefault="00156AAE" w:rsidP="00156AAE">
      <w:pPr>
        <w:tabs>
          <w:tab w:val="left" w:pos="7050"/>
        </w:tabs>
        <w:spacing w:after="0" w:line="240" w:lineRule="auto"/>
        <w:rPr>
          <w:rFonts w:asciiTheme="majorHAnsi" w:eastAsiaTheme="majorEastAsia" w:hAnsiTheme="majorHAnsi" w:cstheme="majorBidi"/>
          <w:bCs/>
          <w:color w:val="000000" w:themeColor="text1"/>
          <w:sz w:val="24"/>
          <w:szCs w:val="24"/>
        </w:rPr>
      </w:pPr>
      <w:r w:rsidRPr="00BB467B">
        <w:rPr>
          <w:rFonts w:asciiTheme="majorHAnsi" w:eastAsiaTheme="majorEastAsia" w:hAnsiTheme="majorHAnsi" w:cstheme="majorBidi"/>
          <w:bCs/>
          <w:color w:val="000000" w:themeColor="text1"/>
          <w:sz w:val="24"/>
          <w:szCs w:val="24"/>
        </w:rPr>
        <w:t>The statute does not explicitly state the purpose of this tax expenditure</w:t>
      </w:r>
      <w:r>
        <w:rPr>
          <w:rFonts w:asciiTheme="majorHAnsi" w:eastAsiaTheme="majorEastAsia" w:hAnsiTheme="majorHAnsi" w:cstheme="majorBidi"/>
          <w:bCs/>
          <w:color w:val="000000" w:themeColor="text1"/>
          <w:sz w:val="24"/>
          <w:szCs w:val="24"/>
        </w:rPr>
        <w:t>, but we infer that it was intended to encourage manufacturing and R&amp;D in Massachusetts</w:t>
      </w:r>
      <w:r w:rsidRPr="00BB467B">
        <w:rPr>
          <w:rFonts w:asciiTheme="majorHAnsi" w:eastAsiaTheme="majorEastAsia" w:hAnsiTheme="majorHAnsi" w:cstheme="majorBidi"/>
          <w:bCs/>
          <w:color w:val="000000" w:themeColor="text1"/>
          <w:sz w:val="24"/>
          <w:szCs w:val="24"/>
        </w:rPr>
        <w:t>.</w:t>
      </w:r>
    </w:p>
    <w:p w14:paraId="0FF81954" w14:textId="77777777" w:rsidR="00291074" w:rsidRDefault="00291074" w:rsidP="00291074">
      <w:pPr>
        <w:tabs>
          <w:tab w:val="left" w:pos="7050"/>
        </w:tabs>
        <w:spacing w:after="0"/>
        <w:rPr>
          <w:rFonts w:asciiTheme="majorHAnsi" w:eastAsiaTheme="majorEastAsia" w:hAnsiTheme="majorHAnsi" w:cstheme="majorBidi"/>
          <w:bCs/>
          <w:color w:val="000000" w:themeColor="text1"/>
          <w:sz w:val="24"/>
          <w:szCs w:val="24"/>
        </w:rPr>
      </w:pPr>
    </w:p>
    <w:p w14:paraId="3BF06A4E" w14:textId="77777777" w:rsidR="00156AAE" w:rsidRDefault="00156AAE" w:rsidP="00291074">
      <w:pPr>
        <w:tabs>
          <w:tab w:val="left" w:pos="7050"/>
        </w:tabs>
        <w:spacing w:after="0"/>
        <w:rPr>
          <w:rFonts w:asciiTheme="majorHAnsi" w:eastAsiaTheme="majorEastAsia" w:hAnsiTheme="majorHAnsi" w:cstheme="majorBidi"/>
          <w:bCs/>
          <w:color w:val="000000" w:themeColor="text1"/>
          <w:sz w:val="24"/>
          <w:szCs w:val="24"/>
        </w:rPr>
      </w:pPr>
    </w:p>
    <w:p w14:paraId="112B146C" w14:textId="77777777" w:rsidR="005F25AF" w:rsidRPr="00A07439" w:rsidRDefault="005F25AF" w:rsidP="005F25AF">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t xml:space="preserve">COSTS </w:t>
      </w:r>
    </w:p>
    <w:p w14:paraId="3CBB1DCB" w14:textId="4485B628" w:rsidR="0044014D" w:rsidRDefault="00303B9E" w:rsidP="00324CD8">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Table 1 reports </w:t>
      </w:r>
      <w:r w:rsidR="00A410BE">
        <w:rPr>
          <w:rFonts w:asciiTheme="majorHAnsi" w:eastAsiaTheme="majorEastAsia" w:hAnsiTheme="majorHAnsi" w:cstheme="majorBidi"/>
          <w:bCs/>
          <w:color w:val="000000" w:themeColor="text1"/>
          <w:sz w:val="24"/>
          <w:szCs w:val="24"/>
        </w:rPr>
        <w:t xml:space="preserve">revenue loss estimates </w:t>
      </w:r>
      <w:r w:rsidR="00252518">
        <w:rPr>
          <w:rFonts w:asciiTheme="majorHAnsi" w:eastAsiaTheme="majorEastAsia" w:hAnsiTheme="majorHAnsi" w:cstheme="majorBidi"/>
          <w:bCs/>
          <w:color w:val="000000" w:themeColor="text1"/>
          <w:sz w:val="24"/>
          <w:szCs w:val="24"/>
        </w:rPr>
        <w:t>for the</w:t>
      </w:r>
      <w:r>
        <w:rPr>
          <w:rFonts w:asciiTheme="majorHAnsi" w:eastAsiaTheme="majorEastAsia" w:hAnsiTheme="majorHAnsi" w:cstheme="majorBidi"/>
          <w:bCs/>
          <w:color w:val="000000" w:themeColor="text1"/>
          <w:sz w:val="24"/>
          <w:szCs w:val="24"/>
        </w:rPr>
        <w:t xml:space="preserve"> </w:t>
      </w:r>
      <w:r w:rsidR="00A410BE">
        <w:rPr>
          <w:rFonts w:asciiTheme="majorHAnsi" w:eastAsiaTheme="majorEastAsia" w:hAnsiTheme="majorHAnsi" w:cstheme="majorBidi"/>
          <w:bCs/>
          <w:color w:val="000000" w:themeColor="text1"/>
          <w:sz w:val="24"/>
          <w:szCs w:val="24"/>
        </w:rPr>
        <w:t>ITC</w:t>
      </w:r>
      <w:r>
        <w:rPr>
          <w:rFonts w:asciiTheme="majorHAnsi" w:eastAsiaTheme="majorEastAsia" w:hAnsiTheme="majorHAnsi" w:cstheme="majorBidi"/>
          <w:bCs/>
          <w:color w:val="000000" w:themeColor="text1"/>
          <w:sz w:val="24"/>
          <w:szCs w:val="24"/>
        </w:rPr>
        <w:t xml:space="preserve">, which ranges from </w:t>
      </w:r>
      <w:r w:rsidR="00653319" w:rsidRPr="00653319">
        <w:rPr>
          <w:rFonts w:asciiTheme="majorHAnsi" w:eastAsiaTheme="majorEastAsia" w:hAnsiTheme="majorHAnsi" w:cstheme="majorBidi"/>
          <w:bCs/>
          <w:color w:val="000000" w:themeColor="text1"/>
          <w:sz w:val="24"/>
          <w:szCs w:val="24"/>
        </w:rPr>
        <w:t>$</w:t>
      </w:r>
      <w:r w:rsidR="00653319">
        <w:rPr>
          <w:rFonts w:asciiTheme="majorHAnsi" w:eastAsiaTheme="majorEastAsia" w:hAnsiTheme="majorHAnsi" w:cstheme="majorBidi"/>
          <w:bCs/>
          <w:color w:val="000000" w:themeColor="text1"/>
          <w:sz w:val="24"/>
          <w:szCs w:val="24"/>
        </w:rPr>
        <w:t>66.4</w:t>
      </w:r>
      <w:r>
        <w:rPr>
          <w:rFonts w:asciiTheme="majorHAnsi" w:eastAsiaTheme="majorEastAsia" w:hAnsiTheme="majorHAnsi" w:cstheme="majorBidi"/>
          <w:bCs/>
          <w:color w:val="000000" w:themeColor="text1"/>
          <w:sz w:val="24"/>
          <w:szCs w:val="24"/>
        </w:rPr>
        <w:t xml:space="preserve"> to</w:t>
      </w:r>
      <w:r w:rsidR="00653319" w:rsidRPr="00653319">
        <w:rPr>
          <w:rFonts w:asciiTheme="majorHAnsi" w:eastAsiaTheme="majorEastAsia" w:hAnsiTheme="majorHAnsi" w:cstheme="majorBidi"/>
          <w:bCs/>
          <w:color w:val="000000" w:themeColor="text1"/>
          <w:sz w:val="24"/>
          <w:szCs w:val="24"/>
        </w:rPr>
        <w:t xml:space="preserve"> $</w:t>
      </w:r>
      <w:r w:rsidR="00653319">
        <w:rPr>
          <w:rFonts w:asciiTheme="majorHAnsi" w:eastAsiaTheme="majorEastAsia" w:hAnsiTheme="majorHAnsi" w:cstheme="majorBidi"/>
          <w:bCs/>
          <w:color w:val="000000" w:themeColor="text1"/>
          <w:sz w:val="24"/>
          <w:szCs w:val="24"/>
        </w:rPr>
        <w:t>7</w:t>
      </w:r>
      <w:r>
        <w:rPr>
          <w:rFonts w:asciiTheme="majorHAnsi" w:eastAsiaTheme="majorEastAsia" w:hAnsiTheme="majorHAnsi" w:cstheme="majorBidi"/>
          <w:bCs/>
          <w:color w:val="000000" w:themeColor="text1"/>
          <w:sz w:val="24"/>
          <w:szCs w:val="24"/>
        </w:rPr>
        <w:t>7.1</w:t>
      </w:r>
      <w:r w:rsidR="00653319" w:rsidRPr="00653319">
        <w:rPr>
          <w:rFonts w:asciiTheme="majorHAnsi" w:eastAsiaTheme="majorEastAsia" w:hAnsiTheme="majorHAnsi" w:cstheme="majorBidi"/>
          <w:bCs/>
          <w:color w:val="000000" w:themeColor="text1"/>
          <w:sz w:val="24"/>
          <w:szCs w:val="24"/>
        </w:rPr>
        <w:t xml:space="preserve"> million annually during FY18-FY22.  </w:t>
      </w:r>
      <w:r w:rsidR="00A410BE">
        <w:rPr>
          <w:rFonts w:asciiTheme="majorHAnsi" w:eastAsiaTheme="majorEastAsia" w:hAnsiTheme="majorHAnsi" w:cstheme="majorBidi"/>
          <w:bCs/>
          <w:color w:val="000000" w:themeColor="text1"/>
          <w:sz w:val="24"/>
          <w:szCs w:val="24"/>
        </w:rPr>
        <w:t>The</w:t>
      </w:r>
      <w:r>
        <w:rPr>
          <w:rFonts w:asciiTheme="majorHAnsi" w:eastAsiaTheme="majorEastAsia" w:hAnsiTheme="majorHAnsi" w:cstheme="majorBidi"/>
          <w:bCs/>
          <w:color w:val="000000" w:themeColor="text1"/>
          <w:sz w:val="24"/>
          <w:szCs w:val="24"/>
        </w:rPr>
        <w:t xml:space="preserve"> estimates </w:t>
      </w:r>
      <w:r w:rsidR="00A410BE">
        <w:rPr>
          <w:rFonts w:asciiTheme="majorHAnsi" w:eastAsiaTheme="majorEastAsia" w:hAnsiTheme="majorHAnsi" w:cstheme="majorBidi"/>
          <w:bCs/>
          <w:color w:val="000000" w:themeColor="text1"/>
          <w:sz w:val="24"/>
          <w:szCs w:val="24"/>
        </w:rPr>
        <w:t>are made based on</w:t>
      </w:r>
      <w:r>
        <w:rPr>
          <w:rFonts w:asciiTheme="majorHAnsi" w:eastAsiaTheme="majorEastAsia" w:hAnsiTheme="majorHAnsi" w:cstheme="majorBidi"/>
          <w:bCs/>
          <w:color w:val="000000" w:themeColor="text1"/>
          <w:sz w:val="24"/>
          <w:szCs w:val="24"/>
        </w:rPr>
        <w:t xml:space="preserve"> historical claims, economic forecasts, related law changes, etc. </w:t>
      </w:r>
    </w:p>
    <w:p w14:paraId="7172D52D" w14:textId="427FE027" w:rsidR="00303B9E" w:rsidRDefault="00303B9E" w:rsidP="00324CD8">
      <w:pPr>
        <w:spacing w:after="0"/>
        <w:rPr>
          <w:rFonts w:asciiTheme="majorHAnsi" w:eastAsiaTheme="majorEastAsia" w:hAnsiTheme="majorHAnsi" w:cstheme="majorBidi"/>
          <w:bCs/>
          <w:color w:val="000000" w:themeColor="text1"/>
          <w:sz w:val="24"/>
          <w:szCs w:val="24"/>
        </w:rPr>
      </w:pPr>
    </w:p>
    <w:p w14:paraId="3EC72198" w14:textId="78608D7F" w:rsidR="00544662" w:rsidRDefault="00544662" w:rsidP="00324CD8">
      <w:pPr>
        <w:spacing w:after="0"/>
        <w:rPr>
          <w:rFonts w:asciiTheme="majorHAnsi" w:eastAsiaTheme="majorEastAsia" w:hAnsiTheme="majorHAnsi" w:cstheme="majorBidi"/>
          <w:bCs/>
          <w:color w:val="000000" w:themeColor="text1"/>
          <w:sz w:val="24"/>
          <w:szCs w:val="24"/>
        </w:rPr>
      </w:pPr>
    </w:p>
    <w:p w14:paraId="2B2133B4" w14:textId="33C94FE4" w:rsidR="00544662" w:rsidRDefault="00544662" w:rsidP="00324CD8">
      <w:pPr>
        <w:spacing w:after="0"/>
        <w:rPr>
          <w:rFonts w:asciiTheme="majorHAnsi" w:eastAsiaTheme="majorEastAsia" w:hAnsiTheme="majorHAnsi" w:cstheme="majorBidi"/>
          <w:bCs/>
          <w:color w:val="000000" w:themeColor="text1"/>
          <w:sz w:val="24"/>
          <w:szCs w:val="24"/>
        </w:rPr>
      </w:pPr>
    </w:p>
    <w:p w14:paraId="4D0AACF4" w14:textId="77777777" w:rsidR="00544662" w:rsidRDefault="00544662" w:rsidP="00324CD8">
      <w:pPr>
        <w:spacing w:after="0"/>
        <w:rPr>
          <w:rFonts w:asciiTheme="majorHAnsi" w:eastAsiaTheme="majorEastAsia" w:hAnsiTheme="majorHAnsi" w:cstheme="majorBidi"/>
          <w:bCs/>
          <w:color w:val="000000" w:themeColor="text1"/>
          <w:sz w:val="24"/>
          <w:szCs w:val="24"/>
        </w:rPr>
      </w:pPr>
    </w:p>
    <w:p w14:paraId="41C42D69" w14:textId="77777777" w:rsidR="00303B9E" w:rsidRPr="00F326BA" w:rsidRDefault="00303B9E" w:rsidP="00252518">
      <w:pPr>
        <w:spacing w:after="0"/>
        <w:jc w:val="center"/>
        <w:rPr>
          <w:rFonts w:asciiTheme="majorHAnsi" w:eastAsiaTheme="majorEastAsia" w:hAnsiTheme="majorHAnsi" w:cstheme="majorBidi"/>
          <w:b/>
          <w:bCs/>
          <w:color w:val="000000" w:themeColor="text1"/>
          <w:sz w:val="24"/>
          <w:szCs w:val="24"/>
        </w:rPr>
      </w:pPr>
      <w:r w:rsidRPr="00F326BA">
        <w:rPr>
          <w:rFonts w:asciiTheme="majorHAnsi" w:eastAsiaTheme="majorEastAsia" w:hAnsiTheme="majorHAnsi" w:cstheme="majorBidi"/>
          <w:b/>
          <w:bCs/>
          <w:color w:val="000000" w:themeColor="text1"/>
          <w:sz w:val="24"/>
          <w:szCs w:val="24"/>
        </w:rPr>
        <w:lastRenderedPageBreak/>
        <w:t>Table 1.  Tax Revenue Loss Estimates for ITC</w:t>
      </w:r>
    </w:p>
    <w:tbl>
      <w:tblPr>
        <w:tblW w:w="7875" w:type="dxa"/>
        <w:jc w:val="center"/>
        <w:tblLook w:val="04A0" w:firstRow="1" w:lastRow="0" w:firstColumn="1" w:lastColumn="0" w:noHBand="0" w:noVBand="1"/>
      </w:tblPr>
      <w:tblGrid>
        <w:gridCol w:w="2775"/>
        <w:gridCol w:w="1020"/>
        <w:gridCol w:w="1020"/>
        <w:gridCol w:w="1020"/>
        <w:gridCol w:w="1020"/>
        <w:gridCol w:w="1020"/>
      </w:tblGrid>
      <w:tr w:rsidR="00303B9E" w:rsidRPr="00303B9E" w14:paraId="59ABFDE6" w14:textId="77777777" w:rsidTr="00252518">
        <w:trPr>
          <w:trHeight w:val="420"/>
          <w:jc w:val="center"/>
        </w:trPr>
        <w:tc>
          <w:tcPr>
            <w:tcW w:w="2775" w:type="dxa"/>
            <w:tcBorders>
              <w:top w:val="single" w:sz="4" w:space="0" w:color="auto"/>
              <w:left w:val="single" w:sz="4" w:space="0" w:color="auto"/>
              <w:bottom w:val="single" w:sz="4" w:space="0" w:color="auto"/>
              <w:right w:val="single" w:sz="4" w:space="0" w:color="auto"/>
            </w:tcBorders>
            <w:shd w:val="clear" w:color="000000" w:fill="B6DDE8" w:themeFill="accent5" w:themeFillTint="66"/>
            <w:vAlign w:val="center"/>
            <w:hideMark/>
          </w:tcPr>
          <w:p w14:paraId="1E0EFE0C" w14:textId="77777777" w:rsidR="00303B9E" w:rsidRPr="00303B9E" w:rsidRDefault="00303B9E" w:rsidP="00254EDE">
            <w:pPr>
              <w:spacing w:after="0" w:line="240" w:lineRule="auto"/>
              <w:jc w:val="center"/>
              <w:rPr>
                <w:rFonts w:ascii="Cambria" w:eastAsia="Times New Roman" w:hAnsi="Cambria" w:cs="Helvetica"/>
                <w:sz w:val="20"/>
                <w:szCs w:val="20"/>
                <w:lang w:eastAsia="ko-KR"/>
              </w:rPr>
            </w:pPr>
            <w:r w:rsidRPr="00303B9E">
              <w:rPr>
                <w:rFonts w:ascii="Cambria" w:eastAsia="Times New Roman" w:hAnsi="Cambria" w:cs="Helvetica"/>
                <w:sz w:val="20"/>
                <w:szCs w:val="20"/>
                <w:lang w:eastAsia="ko-KR"/>
              </w:rPr>
              <w:t>Fiscal Year</w:t>
            </w:r>
          </w:p>
        </w:tc>
        <w:tc>
          <w:tcPr>
            <w:tcW w:w="102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4034D139" w14:textId="77777777" w:rsidR="00303B9E" w:rsidRPr="00303B9E" w:rsidRDefault="00303B9E" w:rsidP="00254EDE">
            <w:pPr>
              <w:spacing w:after="0" w:line="240" w:lineRule="auto"/>
              <w:jc w:val="center"/>
              <w:rPr>
                <w:rFonts w:ascii="Cambria" w:eastAsia="Times New Roman" w:hAnsi="Cambria" w:cs="Helvetica"/>
                <w:sz w:val="20"/>
                <w:szCs w:val="20"/>
                <w:lang w:eastAsia="ko-KR"/>
              </w:rPr>
            </w:pPr>
            <w:r w:rsidRPr="00303B9E">
              <w:rPr>
                <w:rFonts w:ascii="Cambria" w:eastAsia="Times New Roman" w:hAnsi="Cambria" w:cs="Helvetica"/>
                <w:sz w:val="20"/>
                <w:szCs w:val="20"/>
                <w:lang w:eastAsia="ko-KR"/>
              </w:rPr>
              <w:t>2018</w:t>
            </w:r>
          </w:p>
        </w:tc>
        <w:tc>
          <w:tcPr>
            <w:tcW w:w="102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454B60C2" w14:textId="77777777" w:rsidR="00303B9E" w:rsidRPr="00303B9E" w:rsidRDefault="00303B9E" w:rsidP="00254EDE">
            <w:pPr>
              <w:spacing w:after="0" w:line="240" w:lineRule="auto"/>
              <w:jc w:val="center"/>
              <w:rPr>
                <w:rFonts w:ascii="Cambria" w:eastAsia="Times New Roman" w:hAnsi="Cambria" w:cs="Helvetica"/>
                <w:sz w:val="20"/>
                <w:szCs w:val="20"/>
                <w:lang w:eastAsia="ko-KR"/>
              </w:rPr>
            </w:pPr>
            <w:r w:rsidRPr="00303B9E">
              <w:rPr>
                <w:rFonts w:ascii="Cambria" w:eastAsia="Times New Roman" w:hAnsi="Cambria" w:cs="Helvetica"/>
                <w:sz w:val="20"/>
                <w:szCs w:val="20"/>
                <w:lang w:eastAsia="ko-KR"/>
              </w:rPr>
              <w:t>2019</w:t>
            </w:r>
          </w:p>
        </w:tc>
        <w:tc>
          <w:tcPr>
            <w:tcW w:w="102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77CBBF46" w14:textId="77777777" w:rsidR="00303B9E" w:rsidRPr="00303B9E" w:rsidRDefault="00303B9E" w:rsidP="00254EDE">
            <w:pPr>
              <w:spacing w:after="0" w:line="240" w:lineRule="auto"/>
              <w:jc w:val="center"/>
              <w:rPr>
                <w:rFonts w:ascii="Cambria" w:eastAsia="Times New Roman" w:hAnsi="Cambria" w:cs="Helvetica"/>
                <w:sz w:val="20"/>
                <w:szCs w:val="20"/>
                <w:lang w:eastAsia="ko-KR"/>
              </w:rPr>
            </w:pPr>
            <w:r w:rsidRPr="00303B9E">
              <w:rPr>
                <w:rFonts w:ascii="Cambria" w:eastAsia="Times New Roman" w:hAnsi="Cambria" w:cs="Helvetica"/>
                <w:sz w:val="20"/>
                <w:szCs w:val="20"/>
                <w:lang w:eastAsia="ko-KR"/>
              </w:rPr>
              <w:t>2020</w:t>
            </w:r>
          </w:p>
        </w:tc>
        <w:tc>
          <w:tcPr>
            <w:tcW w:w="102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5E75E799" w14:textId="77777777" w:rsidR="00303B9E" w:rsidRPr="00303B9E" w:rsidRDefault="00303B9E" w:rsidP="00254EDE">
            <w:pPr>
              <w:spacing w:after="0" w:line="240" w:lineRule="auto"/>
              <w:jc w:val="center"/>
              <w:rPr>
                <w:rFonts w:ascii="Cambria" w:eastAsia="Times New Roman" w:hAnsi="Cambria" w:cs="Helvetica"/>
                <w:sz w:val="20"/>
                <w:szCs w:val="20"/>
                <w:lang w:eastAsia="ko-KR"/>
              </w:rPr>
            </w:pPr>
            <w:r w:rsidRPr="00303B9E">
              <w:rPr>
                <w:rFonts w:ascii="Cambria" w:eastAsia="Times New Roman" w:hAnsi="Cambria" w:cs="Helvetica"/>
                <w:sz w:val="20"/>
                <w:szCs w:val="20"/>
                <w:lang w:eastAsia="ko-KR"/>
              </w:rPr>
              <w:t>2021</w:t>
            </w:r>
          </w:p>
        </w:tc>
        <w:tc>
          <w:tcPr>
            <w:tcW w:w="102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6C42CC7E" w14:textId="77777777" w:rsidR="00303B9E" w:rsidRPr="00303B9E" w:rsidRDefault="00303B9E" w:rsidP="00254EDE">
            <w:pPr>
              <w:spacing w:after="0" w:line="240" w:lineRule="auto"/>
              <w:jc w:val="center"/>
              <w:rPr>
                <w:rFonts w:ascii="Cambria" w:eastAsia="Times New Roman" w:hAnsi="Cambria" w:cs="Helvetica"/>
                <w:sz w:val="20"/>
                <w:szCs w:val="20"/>
                <w:lang w:eastAsia="ko-KR"/>
              </w:rPr>
            </w:pPr>
            <w:r w:rsidRPr="00303B9E">
              <w:rPr>
                <w:rFonts w:ascii="Cambria" w:eastAsia="Times New Roman" w:hAnsi="Cambria" w:cs="Helvetica"/>
                <w:sz w:val="20"/>
                <w:szCs w:val="20"/>
                <w:lang w:eastAsia="ko-KR"/>
              </w:rPr>
              <w:t>2022</w:t>
            </w:r>
          </w:p>
        </w:tc>
      </w:tr>
      <w:tr w:rsidR="00303B9E" w:rsidRPr="00303B9E" w14:paraId="7A85FC4C" w14:textId="77777777" w:rsidTr="00252518">
        <w:trPr>
          <w:trHeight w:val="760"/>
          <w:jc w:val="center"/>
        </w:trPr>
        <w:tc>
          <w:tcPr>
            <w:tcW w:w="2775" w:type="dxa"/>
            <w:tcBorders>
              <w:top w:val="nil"/>
              <w:left w:val="single" w:sz="4" w:space="0" w:color="auto"/>
              <w:bottom w:val="single" w:sz="4" w:space="0" w:color="auto"/>
              <w:right w:val="single" w:sz="4" w:space="0" w:color="auto"/>
            </w:tcBorders>
            <w:shd w:val="clear" w:color="000000" w:fill="FFFFFF"/>
            <w:vAlign w:val="center"/>
            <w:hideMark/>
          </w:tcPr>
          <w:p w14:paraId="363851C6" w14:textId="77777777" w:rsidR="00303B9E" w:rsidRPr="00303B9E" w:rsidRDefault="00303B9E" w:rsidP="00254EDE">
            <w:pPr>
              <w:spacing w:after="0" w:line="240" w:lineRule="auto"/>
              <w:jc w:val="center"/>
              <w:rPr>
                <w:rFonts w:ascii="Cambria" w:eastAsia="Times New Roman" w:hAnsi="Cambria" w:cs="Helvetica"/>
                <w:sz w:val="20"/>
                <w:szCs w:val="20"/>
                <w:lang w:eastAsia="ko-KR"/>
              </w:rPr>
            </w:pPr>
            <w:r w:rsidRPr="00303B9E">
              <w:rPr>
                <w:rFonts w:ascii="Cambria" w:eastAsia="Times New Roman" w:hAnsi="Cambria" w:cs="Helvetica"/>
                <w:sz w:val="20"/>
                <w:szCs w:val="20"/>
                <w:lang w:eastAsia="ko-KR"/>
              </w:rPr>
              <w:t>Tax Expenditure Estimate ($Million)</w:t>
            </w:r>
          </w:p>
        </w:tc>
        <w:tc>
          <w:tcPr>
            <w:tcW w:w="1020" w:type="dxa"/>
            <w:tcBorders>
              <w:top w:val="nil"/>
              <w:left w:val="nil"/>
              <w:bottom w:val="single" w:sz="4" w:space="0" w:color="auto"/>
              <w:right w:val="single" w:sz="4" w:space="0" w:color="auto"/>
            </w:tcBorders>
            <w:shd w:val="clear" w:color="auto" w:fill="auto"/>
            <w:vAlign w:val="center"/>
            <w:hideMark/>
          </w:tcPr>
          <w:p w14:paraId="29A5DE04" w14:textId="77777777" w:rsidR="00303B9E" w:rsidRPr="00303B9E" w:rsidRDefault="00303B9E" w:rsidP="00254EDE">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w:t>
            </w:r>
            <w:r w:rsidRPr="00303B9E">
              <w:rPr>
                <w:rFonts w:ascii="Cambria" w:eastAsia="Times New Roman" w:hAnsi="Cambria" w:cs="Helvetica"/>
                <w:sz w:val="20"/>
                <w:szCs w:val="20"/>
                <w:lang w:eastAsia="ko-KR"/>
              </w:rPr>
              <w:t>66.4</w:t>
            </w:r>
          </w:p>
        </w:tc>
        <w:tc>
          <w:tcPr>
            <w:tcW w:w="1020" w:type="dxa"/>
            <w:tcBorders>
              <w:top w:val="nil"/>
              <w:left w:val="nil"/>
              <w:bottom w:val="single" w:sz="4" w:space="0" w:color="auto"/>
              <w:right w:val="single" w:sz="4" w:space="0" w:color="auto"/>
            </w:tcBorders>
            <w:shd w:val="clear" w:color="auto" w:fill="auto"/>
            <w:vAlign w:val="center"/>
            <w:hideMark/>
          </w:tcPr>
          <w:p w14:paraId="5B43050F" w14:textId="77777777" w:rsidR="00303B9E" w:rsidRPr="00303B9E" w:rsidRDefault="00303B9E" w:rsidP="00254EDE">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w:t>
            </w:r>
            <w:r w:rsidRPr="00303B9E">
              <w:rPr>
                <w:rFonts w:ascii="Cambria" w:eastAsia="Times New Roman" w:hAnsi="Cambria" w:cs="Helvetica"/>
                <w:sz w:val="20"/>
                <w:szCs w:val="20"/>
                <w:lang w:eastAsia="ko-KR"/>
              </w:rPr>
              <w:t>70.5</w:t>
            </w:r>
          </w:p>
        </w:tc>
        <w:tc>
          <w:tcPr>
            <w:tcW w:w="1020" w:type="dxa"/>
            <w:tcBorders>
              <w:top w:val="nil"/>
              <w:left w:val="nil"/>
              <w:bottom w:val="single" w:sz="4" w:space="0" w:color="auto"/>
              <w:right w:val="single" w:sz="4" w:space="0" w:color="auto"/>
            </w:tcBorders>
            <w:shd w:val="clear" w:color="auto" w:fill="auto"/>
            <w:vAlign w:val="center"/>
            <w:hideMark/>
          </w:tcPr>
          <w:p w14:paraId="352606D6" w14:textId="77777777" w:rsidR="00303B9E" w:rsidRPr="00303B9E" w:rsidRDefault="00303B9E" w:rsidP="00254EDE">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w:t>
            </w:r>
            <w:r w:rsidRPr="00303B9E">
              <w:rPr>
                <w:rFonts w:ascii="Cambria" w:eastAsia="Times New Roman" w:hAnsi="Cambria" w:cs="Helvetica"/>
                <w:sz w:val="20"/>
                <w:szCs w:val="20"/>
                <w:lang w:eastAsia="ko-KR"/>
              </w:rPr>
              <w:t>72.6</w:t>
            </w:r>
          </w:p>
        </w:tc>
        <w:tc>
          <w:tcPr>
            <w:tcW w:w="1020" w:type="dxa"/>
            <w:tcBorders>
              <w:top w:val="nil"/>
              <w:left w:val="nil"/>
              <w:bottom w:val="single" w:sz="4" w:space="0" w:color="auto"/>
              <w:right w:val="single" w:sz="4" w:space="0" w:color="auto"/>
            </w:tcBorders>
            <w:shd w:val="clear" w:color="auto" w:fill="auto"/>
            <w:vAlign w:val="center"/>
            <w:hideMark/>
          </w:tcPr>
          <w:p w14:paraId="0EE11949" w14:textId="77777777" w:rsidR="00303B9E" w:rsidRPr="00303B9E" w:rsidRDefault="00303B9E" w:rsidP="00254EDE">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w:t>
            </w:r>
            <w:r w:rsidRPr="00303B9E">
              <w:rPr>
                <w:rFonts w:ascii="Cambria" w:eastAsia="Times New Roman" w:hAnsi="Cambria" w:cs="Helvetica"/>
                <w:sz w:val="20"/>
                <w:szCs w:val="20"/>
                <w:lang w:eastAsia="ko-KR"/>
              </w:rPr>
              <w:t>74.8</w:t>
            </w:r>
          </w:p>
        </w:tc>
        <w:tc>
          <w:tcPr>
            <w:tcW w:w="1020" w:type="dxa"/>
            <w:tcBorders>
              <w:top w:val="nil"/>
              <w:left w:val="nil"/>
              <w:bottom w:val="single" w:sz="4" w:space="0" w:color="auto"/>
              <w:right w:val="single" w:sz="4" w:space="0" w:color="auto"/>
            </w:tcBorders>
            <w:shd w:val="clear" w:color="auto" w:fill="auto"/>
            <w:vAlign w:val="center"/>
            <w:hideMark/>
          </w:tcPr>
          <w:p w14:paraId="6C93BB51" w14:textId="77777777" w:rsidR="00303B9E" w:rsidRPr="00303B9E" w:rsidRDefault="00303B9E" w:rsidP="00254EDE">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w:t>
            </w:r>
            <w:r w:rsidRPr="00303B9E">
              <w:rPr>
                <w:rFonts w:ascii="Cambria" w:eastAsia="Times New Roman" w:hAnsi="Cambria" w:cs="Helvetica"/>
                <w:sz w:val="20"/>
                <w:szCs w:val="20"/>
                <w:lang w:eastAsia="ko-KR"/>
              </w:rPr>
              <w:t>77.1</w:t>
            </w:r>
          </w:p>
        </w:tc>
      </w:tr>
    </w:tbl>
    <w:p w14:paraId="012CE2C7" w14:textId="77777777" w:rsidR="00303B9E" w:rsidRDefault="00303B9E" w:rsidP="00324CD8">
      <w:pPr>
        <w:spacing w:after="0"/>
        <w:rPr>
          <w:rFonts w:asciiTheme="majorHAnsi" w:eastAsiaTheme="majorEastAsia" w:hAnsiTheme="majorHAnsi" w:cstheme="majorBidi"/>
          <w:bCs/>
          <w:color w:val="000000" w:themeColor="text1"/>
          <w:sz w:val="24"/>
          <w:szCs w:val="24"/>
        </w:rPr>
      </w:pPr>
    </w:p>
    <w:p w14:paraId="77804E14" w14:textId="77777777" w:rsidR="00D4544F" w:rsidRDefault="005E4A6B" w:rsidP="00324CD8">
      <w:pPr>
        <w:spacing w:after="0"/>
        <w:rPr>
          <w:rFonts w:asciiTheme="majorHAnsi" w:eastAsiaTheme="majorEastAsia" w:hAnsiTheme="majorHAnsi" w:cstheme="majorBidi"/>
          <w:bCs/>
          <w:color w:val="000000" w:themeColor="text1"/>
          <w:sz w:val="24"/>
          <w:szCs w:val="24"/>
        </w:rPr>
      </w:pPr>
      <w:r w:rsidRPr="005E4A6B">
        <w:rPr>
          <w:rFonts w:asciiTheme="majorHAnsi" w:eastAsiaTheme="majorEastAsia" w:hAnsiTheme="majorHAnsi" w:cstheme="majorBidi"/>
          <w:bCs/>
          <w:color w:val="000000" w:themeColor="text1"/>
          <w:sz w:val="24"/>
          <w:szCs w:val="24"/>
        </w:rPr>
        <w:t xml:space="preserve">Table </w:t>
      </w:r>
      <w:r w:rsidR="00303B9E">
        <w:rPr>
          <w:rFonts w:asciiTheme="majorHAnsi" w:eastAsiaTheme="majorEastAsia" w:hAnsiTheme="majorHAnsi" w:cstheme="majorBidi"/>
          <w:bCs/>
          <w:color w:val="000000" w:themeColor="text1"/>
          <w:sz w:val="24"/>
          <w:szCs w:val="24"/>
        </w:rPr>
        <w:t>2</w:t>
      </w:r>
      <w:r w:rsidRPr="005E4A6B">
        <w:rPr>
          <w:rFonts w:asciiTheme="majorHAnsi" w:eastAsiaTheme="majorEastAsia" w:hAnsiTheme="majorHAnsi" w:cstheme="majorBidi"/>
          <w:bCs/>
          <w:color w:val="000000" w:themeColor="text1"/>
          <w:sz w:val="24"/>
          <w:szCs w:val="24"/>
        </w:rPr>
        <w:t xml:space="preserve"> below shows </w:t>
      </w:r>
      <w:r w:rsidR="00A504B9">
        <w:rPr>
          <w:rFonts w:asciiTheme="majorHAnsi" w:eastAsiaTheme="majorEastAsia" w:hAnsiTheme="majorHAnsi" w:cstheme="majorBidi"/>
          <w:bCs/>
          <w:color w:val="000000" w:themeColor="text1"/>
          <w:sz w:val="24"/>
          <w:szCs w:val="24"/>
        </w:rPr>
        <w:t xml:space="preserve">the count and amount of </w:t>
      </w:r>
      <w:r w:rsidRPr="005E4A6B">
        <w:rPr>
          <w:rFonts w:asciiTheme="majorHAnsi" w:eastAsiaTheme="majorEastAsia" w:hAnsiTheme="majorHAnsi" w:cstheme="majorBidi"/>
          <w:bCs/>
          <w:color w:val="000000" w:themeColor="text1"/>
          <w:sz w:val="24"/>
          <w:szCs w:val="24"/>
        </w:rPr>
        <w:t xml:space="preserve">available, claimed, and shared credit </w:t>
      </w:r>
      <w:r w:rsidR="00EF097D">
        <w:rPr>
          <w:rFonts w:asciiTheme="majorHAnsi" w:eastAsiaTheme="majorEastAsia" w:hAnsiTheme="majorHAnsi" w:cstheme="majorBidi"/>
          <w:bCs/>
          <w:color w:val="000000" w:themeColor="text1"/>
          <w:sz w:val="24"/>
          <w:szCs w:val="24"/>
        </w:rPr>
        <w:t>in</w:t>
      </w:r>
      <w:r w:rsidR="00EF097D" w:rsidRPr="005E4A6B">
        <w:rPr>
          <w:rFonts w:asciiTheme="majorHAnsi" w:eastAsiaTheme="majorEastAsia" w:hAnsiTheme="majorHAnsi" w:cstheme="majorBidi"/>
          <w:bCs/>
          <w:color w:val="000000" w:themeColor="text1"/>
          <w:sz w:val="24"/>
          <w:szCs w:val="24"/>
        </w:rPr>
        <w:t xml:space="preserve"> </w:t>
      </w:r>
      <w:r w:rsidRPr="005E4A6B">
        <w:rPr>
          <w:rFonts w:asciiTheme="majorHAnsi" w:eastAsiaTheme="majorEastAsia" w:hAnsiTheme="majorHAnsi" w:cstheme="majorBidi"/>
          <w:bCs/>
          <w:color w:val="000000" w:themeColor="text1"/>
          <w:sz w:val="24"/>
          <w:szCs w:val="24"/>
        </w:rPr>
        <w:t xml:space="preserve">the past several years. </w:t>
      </w:r>
      <w:r w:rsidR="00D4544F" w:rsidRPr="00D4544F">
        <w:rPr>
          <w:rFonts w:asciiTheme="majorHAnsi" w:eastAsiaTheme="majorEastAsia" w:hAnsiTheme="majorHAnsi" w:cstheme="majorBidi"/>
          <w:bCs/>
          <w:color w:val="000000" w:themeColor="text1"/>
          <w:sz w:val="24"/>
          <w:szCs w:val="24"/>
        </w:rPr>
        <w:t xml:space="preserve">Here, available credit is </w:t>
      </w:r>
      <w:r w:rsidR="00A504B9">
        <w:rPr>
          <w:rFonts w:asciiTheme="majorHAnsi" w:eastAsiaTheme="majorEastAsia" w:hAnsiTheme="majorHAnsi" w:cstheme="majorBidi"/>
          <w:bCs/>
          <w:color w:val="000000" w:themeColor="text1"/>
          <w:sz w:val="24"/>
          <w:szCs w:val="24"/>
        </w:rPr>
        <w:t xml:space="preserve">the </w:t>
      </w:r>
      <w:r w:rsidR="00D4544F" w:rsidRPr="00D4544F">
        <w:rPr>
          <w:rFonts w:asciiTheme="majorHAnsi" w:eastAsiaTheme="majorEastAsia" w:hAnsiTheme="majorHAnsi" w:cstheme="majorBidi"/>
          <w:bCs/>
          <w:color w:val="000000" w:themeColor="text1"/>
          <w:sz w:val="24"/>
          <w:szCs w:val="24"/>
        </w:rPr>
        <w:t xml:space="preserve">maximum amount </w:t>
      </w:r>
      <w:r w:rsidR="00A504B9">
        <w:rPr>
          <w:rFonts w:asciiTheme="majorHAnsi" w:eastAsiaTheme="majorEastAsia" w:hAnsiTheme="majorHAnsi" w:cstheme="majorBidi"/>
          <w:bCs/>
          <w:color w:val="000000" w:themeColor="text1"/>
          <w:sz w:val="24"/>
          <w:szCs w:val="24"/>
        </w:rPr>
        <w:t xml:space="preserve">of </w:t>
      </w:r>
      <w:r w:rsidR="00D4544F" w:rsidRPr="00D4544F">
        <w:rPr>
          <w:rFonts w:asciiTheme="majorHAnsi" w:eastAsiaTheme="majorEastAsia" w:hAnsiTheme="majorHAnsi" w:cstheme="majorBidi"/>
          <w:bCs/>
          <w:color w:val="000000" w:themeColor="text1"/>
          <w:sz w:val="24"/>
          <w:szCs w:val="24"/>
        </w:rPr>
        <w:t xml:space="preserve">credit which a taxpayer can claim </w:t>
      </w:r>
      <w:r w:rsidR="001A418E">
        <w:rPr>
          <w:rFonts w:asciiTheme="majorHAnsi" w:eastAsiaTheme="majorEastAsia" w:hAnsiTheme="majorHAnsi" w:cstheme="majorBidi"/>
          <w:bCs/>
          <w:color w:val="000000" w:themeColor="text1"/>
          <w:sz w:val="24"/>
          <w:szCs w:val="24"/>
        </w:rPr>
        <w:t>based on</w:t>
      </w:r>
      <w:r w:rsidR="00D4544F" w:rsidRPr="00D4544F">
        <w:rPr>
          <w:rFonts w:asciiTheme="majorHAnsi" w:eastAsiaTheme="majorEastAsia" w:hAnsiTheme="majorHAnsi" w:cstheme="majorBidi"/>
          <w:bCs/>
          <w:color w:val="000000" w:themeColor="text1"/>
          <w:sz w:val="24"/>
          <w:szCs w:val="24"/>
        </w:rPr>
        <w:t xml:space="preserve"> tax liability</w:t>
      </w:r>
      <w:r w:rsidR="001A418E">
        <w:rPr>
          <w:rFonts w:asciiTheme="majorHAnsi" w:eastAsiaTheme="majorEastAsia" w:hAnsiTheme="majorHAnsi" w:cstheme="majorBidi"/>
          <w:bCs/>
          <w:color w:val="000000" w:themeColor="text1"/>
          <w:sz w:val="24"/>
          <w:szCs w:val="24"/>
        </w:rPr>
        <w:t xml:space="preserve">, provided </w:t>
      </w:r>
      <w:r w:rsidR="00A504B9">
        <w:rPr>
          <w:rFonts w:asciiTheme="majorHAnsi" w:eastAsiaTheme="majorEastAsia" w:hAnsiTheme="majorHAnsi" w:cstheme="majorBidi"/>
          <w:bCs/>
          <w:color w:val="000000" w:themeColor="text1"/>
          <w:sz w:val="24"/>
          <w:szCs w:val="24"/>
        </w:rPr>
        <w:t>there are</w:t>
      </w:r>
      <w:r w:rsidR="00D4544F" w:rsidRPr="00D4544F">
        <w:rPr>
          <w:rFonts w:asciiTheme="majorHAnsi" w:eastAsiaTheme="majorEastAsia" w:hAnsiTheme="majorHAnsi" w:cstheme="majorBidi"/>
          <w:bCs/>
          <w:color w:val="000000" w:themeColor="text1"/>
          <w:sz w:val="24"/>
          <w:szCs w:val="24"/>
        </w:rPr>
        <w:t xml:space="preserve"> no</w:t>
      </w:r>
      <w:r w:rsidR="00A504B9">
        <w:rPr>
          <w:rFonts w:asciiTheme="majorHAnsi" w:eastAsiaTheme="majorEastAsia" w:hAnsiTheme="majorHAnsi" w:cstheme="majorBidi"/>
          <w:bCs/>
          <w:color w:val="000000" w:themeColor="text1"/>
          <w:sz w:val="24"/>
          <w:szCs w:val="24"/>
        </w:rPr>
        <w:t xml:space="preserve"> other</w:t>
      </w:r>
      <w:r w:rsidR="00D4544F" w:rsidRPr="00D4544F">
        <w:rPr>
          <w:rFonts w:asciiTheme="majorHAnsi" w:eastAsiaTheme="majorEastAsia" w:hAnsiTheme="majorHAnsi" w:cstheme="majorBidi"/>
          <w:bCs/>
          <w:color w:val="000000" w:themeColor="text1"/>
          <w:sz w:val="24"/>
          <w:szCs w:val="24"/>
        </w:rPr>
        <w:t xml:space="preserve"> restriction</w:t>
      </w:r>
      <w:r w:rsidR="00A504B9">
        <w:rPr>
          <w:rFonts w:asciiTheme="majorHAnsi" w:eastAsiaTheme="majorEastAsia" w:hAnsiTheme="majorHAnsi" w:cstheme="majorBidi"/>
          <w:bCs/>
          <w:color w:val="000000" w:themeColor="text1"/>
          <w:sz w:val="24"/>
          <w:szCs w:val="24"/>
        </w:rPr>
        <w:t>s;</w:t>
      </w:r>
      <w:r w:rsidR="00A504B9" w:rsidRPr="00D4544F">
        <w:rPr>
          <w:rFonts w:asciiTheme="majorHAnsi" w:eastAsiaTheme="majorEastAsia" w:hAnsiTheme="majorHAnsi" w:cstheme="majorBidi"/>
          <w:bCs/>
          <w:color w:val="000000" w:themeColor="text1"/>
          <w:sz w:val="24"/>
          <w:szCs w:val="24"/>
        </w:rPr>
        <w:t xml:space="preserve"> </w:t>
      </w:r>
      <w:r w:rsidR="00D4544F" w:rsidRPr="00D4544F">
        <w:rPr>
          <w:rFonts w:asciiTheme="majorHAnsi" w:eastAsiaTheme="majorEastAsia" w:hAnsiTheme="majorHAnsi" w:cstheme="majorBidi"/>
          <w:bCs/>
          <w:color w:val="000000" w:themeColor="text1"/>
          <w:sz w:val="24"/>
          <w:szCs w:val="24"/>
        </w:rPr>
        <w:t xml:space="preserve">claimed credit is </w:t>
      </w:r>
      <w:r w:rsidR="00A504B9">
        <w:rPr>
          <w:rFonts w:asciiTheme="majorHAnsi" w:eastAsiaTheme="majorEastAsia" w:hAnsiTheme="majorHAnsi" w:cstheme="majorBidi"/>
          <w:bCs/>
          <w:color w:val="000000" w:themeColor="text1"/>
          <w:sz w:val="24"/>
          <w:szCs w:val="24"/>
        </w:rPr>
        <w:t xml:space="preserve">the </w:t>
      </w:r>
      <w:r w:rsidR="00D4544F" w:rsidRPr="00D4544F">
        <w:rPr>
          <w:rFonts w:asciiTheme="majorHAnsi" w:eastAsiaTheme="majorEastAsia" w:hAnsiTheme="majorHAnsi" w:cstheme="majorBidi"/>
          <w:bCs/>
          <w:color w:val="000000" w:themeColor="text1"/>
          <w:sz w:val="24"/>
          <w:szCs w:val="24"/>
        </w:rPr>
        <w:t>credit amount which a taxpayer actually claimed</w:t>
      </w:r>
      <w:r w:rsidR="00A504B9">
        <w:rPr>
          <w:rFonts w:asciiTheme="majorHAnsi" w:eastAsiaTheme="majorEastAsia" w:hAnsiTheme="majorHAnsi" w:cstheme="majorBidi"/>
          <w:bCs/>
          <w:color w:val="000000" w:themeColor="text1"/>
          <w:sz w:val="24"/>
          <w:szCs w:val="24"/>
        </w:rPr>
        <w:t>;</w:t>
      </w:r>
      <w:r w:rsidR="00A504B9" w:rsidRPr="00D4544F">
        <w:rPr>
          <w:rFonts w:asciiTheme="majorHAnsi" w:eastAsiaTheme="majorEastAsia" w:hAnsiTheme="majorHAnsi" w:cstheme="majorBidi"/>
          <w:bCs/>
          <w:color w:val="000000" w:themeColor="text1"/>
          <w:sz w:val="24"/>
          <w:szCs w:val="24"/>
        </w:rPr>
        <w:t xml:space="preserve"> </w:t>
      </w:r>
      <w:r w:rsidR="00D4544F" w:rsidRPr="00D4544F">
        <w:rPr>
          <w:rFonts w:asciiTheme="majorHAnsi" w:eastAsiaTheme="majorEastAsia" w:hAnsiTheme="majorHAnsi" w:cstheme="majorBidi"/>
          <w:bCs/>
          <w:color w:val="000000" w:themeColor="text1"/>
          <w:sz w:val="24"/>
          <w:szCs w:val="24"/>
        </w:rPr>
        <w:t xml:space="preserve">and shared credit is </w:t>
      </w:r>
      <w:r w:rsidR="00A504B9">
        <w:rPr>
          <w:rFonts w:asciiTheme="majorHAnsi" w:eastAsiaTheme="majorEastAsia" w:hAnsiTheme="majorHAnsi" w:cstheme="majorBidi"/>
          <w:bCs/>
          <w:color w:val="000000" w:themeColor="text1"/>
          <w:sz w:val="24"/>
          <w:szCs w:val="24"/>
        </w:rPr>
        <w:t xml:space="preserve">the </w:t>
      </w:r>
      <w:r w:rsidR="00D4544F" w:rsidRPr="00D4544F">
        <w:rPr>
          <w:rFonts w:asciiTheme="majorHAnsi" w:eastAsiaTheme="majorEastAsia" w:hAnsiTheme="majorHAnsi" w:cstheme="majorBidi"/>
          <w:bCs/>
          <w:color w:val="000000" w:themeColor="text1"/>
          <w:sz w:val="24"/>
          <w:szCs w:val="24"/>
        </w:rPr>
        <w:t xml:space="preserve">credit amount </w:t>
      </w:r>
      <w:r w:rsidR="001A418E">
        <w:rPr>
          <w:rFonts w:asciiTheme="majorHAnsi" w:eastAsiaTheme="majorEastAsia" w:hAnsiTheme="majorHAnsi" w:cstheme="majorBidi"/>
          <w:bCs/>
          <w:color w:val="000000" w:themeColor="text1"/>
          <w:sz w:val="24"/>
          <w:szCs w:val="24"/>
        </w:rPr>
        <w:t xml:space="preserve">used by other members of the </w:t>
      </w:r>
      <w:r w:rsidR="00D4544F" w:rsidRPr="00D4544F">
        <w:rPr>
          <w:rFonts w:asciiTheme="majorHAnsi" w:eastAsiaTheme="majorEastAsia" w:hAnsiTheme="majorHAnsi" w:cstheme="majorBidi"/>
          <w:bCs/>
          <w:color w:val="000000" w:themeColor="text1"/>
          <w:sz w:val="24"/>
          <w:szCs w:val="24"/>
        </w:rPr>
        <w:t>taxpayer</w:t>
      </w:r>
      <w:r w:rsidR="001A418E">
        <w:rPr>
          <w:rFonts w:asciiTheme="majorHAnsi" w:eastAsiaTheme="majorEastAsia" w:hAnsiTheme="majorHAnsi" w:cstheme="majorBidi"/>
          <w:bCs/>
          <w:color w:val="000000" w:themeColor="text1"/>
          <w:sz w:val="24"/>
          <w:szCs w:val="24"/>
        </w:rPr>
        <w:t xml:space="preserve">’s combined </w:t>
      </w:r>
      <w:r w:rsidR="00D4544F" w:rsidRPr="00D4544F">
        <w:rPr>
          <w:rFonts w:asciiTheme="majorHAnsi" w:eastAsiaTheme="majorEastAsia" w:hAnsiTheme="majorHAnsi" w:cstheme="majorBidi"/>
          <w:bCs/>
          <w:color w:val="000000" w:themeColor="text1"/>
          <w:sz w:val="24"/>
          <w:szCs w:val="24"/>
        </w:rPr>
        <w:t>group</w:t>
      </w:r>
      <w:r w:rsidR="001A418E">
        <w:rPr>
          <w:rFonts w:asciiTheme="majorHAnsi" w:eastAsiaTheme="majorEastAsia" w:hAnsiTheme="majorHAnsi" w:cstheme="majorBidi"/>
          <w:bCs/>
          <w:color w:val="000000" w:themeColor="text1"/>
          <w:sz w:val="24"/>
          <w:szCs w:val="24"/>
        </w:rPr>
        <w:t>.</w:t>
      </w:r>
    </w:p>
    <w:p w14:paraId="10405CC7" w14:textId="77777777" w:rsidR="00D4544F" w:rsidRDefault="00D4544F" w:rsidP="00324CD8">
      <w:pPr>
        <w:spacing w:after="0"/>
        <w:rPr>
          <w:rFonts w:asciiTheme="majorHAnsi" w:eastAsiaTheme="majorEastAsia" w:hAnsiTheme="majorHAnsi" w:cstheme="majorBidi"/>
          <w:bCs/>
          <w:color w:val="000000" w:themeColor="text1"/>
          <w:sz w:val="24"/>
          <w:szCs w:val="24"/>
        </w:rPr>
      </w:pPr>
    </w:p>
    <w:p w14:paraId="1033F1C6" w14:textId="77777777" w:rsidR="00324CD8" w:rsidRDefault="002C17F9" w:rsidP="00324CD8">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During the </w:t>
      </w:r>
      <w:r w:rsidR="005714F4">
        <w:rPr>
          <w:rFonts w:asciiTheme="majorHAnsi" w:eastAsiaTheme="majorEastAsia" w:hAnsiTheme="majorHAnsi" w:cstheme="majorBidi"/>
          <w:bCs/>
          <w:color w:val="000000" w:themeColor="text1"/>
          <w:sz w:val="24"/>
          <w:szCs w:val="24"/>
        </w:rPr>
        <w:t xml:space="preserve">tax </w:t>
      </w:r>
      <w:r>
        <w:rPr>
          <w:rFonts w:asciiTheme="majorHAnsi" w:eastAsiaTheme="majorEastAsia" w:hAnsiTheme="majorHAnsi" w:cstheme="majorBidi"/>
          <w:bCs/>
          <w:color w:val="000000" w:themeColor="text1"/>
          <w:sz w:val="24"/>
          <w:szCs w:val="24"/>
        </w:rPr>
        <w:t xml:space="preserve">years 2015 through 2018, </w:t>
      </w:r>
      <w:r w:rsidR="00EF097D">
        <w:rPr>
          <w:rFonts w:asciiTheme="majorHAnsi" w:eastAsiaTheme="majorEastAsia" w:hAnsiTheme="majorHAnsi" w:cstheme="majorBidi"/>
          <w:bCs/>
          <w:color w:val="000000" w:themeColor="text1"/>
          <w:sz w:val="24"/>
          <w:szCs w:val="24"/>
        </w:rPr>
        <w:t>the number of credit</w:t>
      </w:r>
      <w:r w:rsidR="00E31246">
        <w:rPr>
          <w:rFonts w:asciiTheme="majorHAnsi" w:eastAsiaTheme="majorEastAsia" w:hAnsiTheme="majorHAnsi" w:cstheme="majorBidi"/>
          <w:bCs/>
          <w:color w:val="000000" w:themeColor="text1"/>
          <w:sz w:val="24"/>
          <w:szCs w:val="24"/>
        </w:rPr>
        <w:t>s</w:t>
      </w:r>
      <w:r w:rsidR="00EF097D">
        <w:rPr>
          <w:rFonts w:asciiTheme="majorHAnsi" w:eastAsiaTheme="majorEastAsia" w:hAnsiTheme="majorHAnsi" w:cstheme="majorBidi"/>
          <w:bCs/>
          <w:color w:val="000000" w:themeColor="text1"/>
          <w:sz w:val="24"/>
          <w:szCs w:val="24"/>
        </w:rPr>
        <w:t xml:space="preserve"> claimed or shared annually varied from 2,109 to 2,363</w:t>
      </w:r>
      <w:r>
        <w:rPr>
          <w:rFonts w:asciiTheme="majorHAnsi" w:eastAsiaTheme="majorEastAsia" w:hAnsiTheme="majorHAnsi" w:cstheme="majorBidi"/>
          <w:bCs/>
          <w:color w:val="000000" w:themeColor="text1"/>
          <w:sz w:val="24"/>
          <w:szCs w:val="24"/>
        </w:rPr>
        <w:t xml:space="preserve">, and the </w:t>
      </w:r>
      <w:r w:rsidR="00EF097D">
        <w:rPr>
          <w:rFonts w:asciiTheme="majorHAnsi" w:eastAsiaTheme="majorEastAsia" w:hAnsiTheme="majorHAnsi" w:cstheme="majorBidi"/>
          <w:bCs/>
          <w:color w:val="000000" w:themeColor="text1"/>
          <w:sz w:val="24"/>
          <w:szCs w:val="24"/>
        </w:rPr>
        <w:t xml:space="preserve">average </w:t>
      </w:r>
      <w:r>
        <w:rPr>
          <w:rFonts w:asciiTheme="majorHAnsi" w:eastAsiaTheme="majorEastAsia" w:hAnsiTheme="majorHAnsi" w:cstheme="majorBidi"/>
          <w:bCs/>
          <w:color w:val="000000" w:themeColor="text1"/>
          <w:sz w:val="24"/>
          <w:szCs w:val="24"/>
        </w:rPr>
        <w:t>claimed</w:t>
      </w:r>
      <w:r w:rsidR="00796258">
        <w:rPr>
          <w:rFonts w:asciiTheme="majorHAnsi" w:eastAsiaTheme="majorEastAsia" w:hAnsiTheme="majorHAnsi" w:cstheme="majorBidi"/>
          <w:bCs/>
          <w:color w:val="000000" w:themeColor="text1"/>
          <w:sz w:val="24"/>
          <w:szCs w:val="24"/>
        </w:rPr>
        <w:t xml:space="preserve"> or shared</w:t>
      </w:r>
      <w:r>
        <w:rPr>
          <w:rFonts w:asciiTheme="majorHAnsi" w:eastAsiaTheme="majorEastAsia" w:hAnsiTheme="majorHAnsi" w:cstheme="majorBidi"/>
          <w:bCs/>
          <w:color w:val="000000" w:themeColor="text1"/>
          <w:sz w:val="24"/>
          <w:szCs w:val="24"/>
        </w:rPr>
        <w:t xml:space="preserve"> amount was about $23,100 - $32,900 per year.  </w:t>
      </w:r>
      <w:r w:rsidR="00324CD8">
        <w:rPr>
          <w:rFonts w:asciiTheme="majorHAnsi" w:eastAsiaTheme="majorEastAsia" w:hAnsiTheme="majorHAnsi" w:cstheme="majorBidi"/>
          <w:bCs/>
          <w:color w:val="000000" w:themeColor="text1"/>
          <w:sz w:val="24"/>
          <w:szCs w:val="24"/>
        </w:rPr>
        <w:t xml:space="preserve">Note that </w:t>
      </w:r>
      <w:r w:rsidR="004B1182">
        <w:rPr>
          <w:rFonts w:asciiTheme="majorHAnsi" w:eastAsiaTheme="majorEastAsia" w:hAnsiTheme="majorHAnsi" w:cstheme="majorBidi"/>
          <w:bCs/>
          <w:color w:val="000000" w:themeColor="text1"/>
          <w:sz w:val="24"/>
          <w:szCs w:val="24"/>
        </w:rPr>
        <w:t>the total amount of credit claimed or shared</w:t>
      </w:r>
      <w:r w:rsidR="00324CD8">
        <w:rPr>
          <w:rFonts w:asciiTheme="majorHAnsi" w:eastAsiaTheme="majorEastAsia" w:hAnsiTheme="majorHAnsi" w:cstheme="majorBidi"/>
          <w:bCs/>
          <w:color w:val="000000" w:themeColor="text1"/>
          <w:sz w:val="24"/>
          <w:szCs w:val="24"/>
        </w:rPr>
        <w:t xml:space="preserve"> </w:t>
      </w:r>
      <w:r w:rsidR="0059122E">
        <w:rPr>
          <w:rFonts w:asciiTheme="majorHAnsi" w:eastAsiaTheme="majorEastAsia" w:hAnsiTheme="majorHAnsi" w:cstheme="majorBidi"/>
          <w:bCs/>
          <w:color w:val="000000" w:themeColor="text1"/>
          <w:sz w:val="24"/>
          <w:szCs w:val="24"/>
        </w:rPr>
        <w:t xml:space="preserve">was </w:t>
      </w:r>
      <w:r w:rsidR="004B1182">
        <w:rPr>
          <w:rFonts w:asciiTheme="majorHAnsi" w:eastAsiaTheme="majorEastAsia" w:hAnsiTheme="majorHAnsi" w:cstheme="majorBidi"/>
          <w:bCs/>
          <w:color w:val="000000" w:themeColor="text1"/>
          <w:sz w:val="24"/>
          <w:szCs w:val="24"/>
        </w:rPr>
        <w:t>13%-18% of the amount of credit</w:t>
      </w:r>
      <w:r w:rsidR="000C0361">
        <w:rPr>
          <w:rFonts w:asciiTheme="majorHAnsi" w:eastAsiaTheme="majorEastAsia" w:hAnsiTheme="majorHAnsi" w:cstheme="majorBidi"/>
          <w:bCs/>
          <w:color w:val="000000" w:themeColor="text1"/>
          <w:sz w:val="24"/>
          <w:szCs w:val="24"/>
        </w:rPr>
        <w:t xml:space="preserve"> available</w:t>
      </w:r>
      <w:r w:rsidR="0059122E">
        <w:rPr>
          <w:rFonts w:asciiTheme="majorHAnsi" w:eastAsiaTheme="majorEastAsia" w:hAnsiTheme="majorHAnsi" w:cstheme="majorBidi"/>
          <w:bCs/>
          <w:color w:val="000000" w:themeColor="text1"/>
          <w:sz w:val="24"/>
          <w:szCs w:val="24"/>
        </w:rPr>
        <w:t>, meaning</w:t>
      </w:r>
      <w:r w:rsidR="00324CD8">
        <w:rPr>
          <w:rFonts w:asciiTheme="majorHAnsi" w:eastAsiaTheme="majorEastAsia" w:hAnsiTheme="majorHAnsi" w:cstheme="majorBidi"/>
          <w:bCs/>
          <w:color w:val="000000" w:themeColor="text1"/>
          <w:sz w:val="24"/>
          <w:szCs w:val="24"/>
        </w:rPr>
        <w:t xml:space="preserve"> that </w:t>
      </w:r>
      <w:r w:rsidR="000C0361">
        <w:rPr>
          <w:rFonts w:asciiTheme="majorHAnsi" w:eastAsiaTheme="majorEastAsia" w:hAnsiTheme="majorHAnsi" w:cstheme="majorBidi"/>
          <w:bCs/>
          <w:color w:val="000000" w:themeColor="text1"/>
          <w:sz w:val="24"/>
          <w:szCs w:val="24"/>
        </w:rPr>
        <w:t xml:space="preserve">tax </w:t>
      </w:r>
      <w:r w:rsidR="00324CD8">
        <w:rPr>
          <w:rFonts w:asciiTheme="majorHAnsi" w:eastAsiaTheme="majorEastAsia" w:hAnsiTheme="majorHAnsi" w:cstheme="majorBidi"/>
          <w:bCs/>
          <w:color w:val="000000" w:themeColor="text1"/>
          <w:sz w:val="24"/>
          <w:szCs w:val="24"/>
        </w:rPr>
        <w:t xml:space="preserve">filers </w:t>
      </w:r>
      <w:r w:rsidR="0059122E">
        <w:rPr>
          <w:rFonts w:asciiTheme="majorHAnsi" w:eastAsiaTheme="majorEastAsia" w:hAnsiTheme="majorHAnsi" w:cstheme="majorBidi"/>
          <w:bCs/>
          <w:color w:val="000000" w:themeColor="text1"/>
          <w:sz w:val="24"/>
          <w:szCs w:val="24"/>
        </w:rPr>
        <w:t>did</w:t>
      </w:r>
      <w:r w:rsidR="00324CD8">
        <w:rPr>
          <w:rFonts w:asciiTheme="majorHAnsi" w:eastAsiaTheme="majorEastAsia" w:hAnsiTheme="majorHAnsi" w:cstheme="majorBidi"/>
          <w:bCs/>
          <w:color w:val="000000" w:themeColor="text1"/>
          <w:sz w:val="24"/>
          <w:szCs w:val="24"/>
        </w:rPr>
        <w:t xml:space="preserve"> not </w:t>
      </w:r>
      <w:r w:rsidR="0059122E">
        <w:rPr>
          <w:rFonts w:asciiTheme="majorHAnsi" w:eastAsiaTheme="majorEastAsia" w:hAnsiTheme="majorHAnsi" w:cstheme="majorBidi"/>
          <w:bCs/>
          <w:color w:val="000000" w:themeColor="text1"/>
          <w:sz w:val="24"/>
          <w:szCs w:val="24"/>
        </w:rPr>
        <w:t xml:space="preserve">have </w:t>
      </w:r>
      <w:r w:rsidR="00324CD8">
        <w:rPr>
          <w:rFonts w:asciiTheme="majorHAnsi" w:eastAsiaTheme="majorEastAsia" w:hAnsiTheme="majorHAnsi" w:cstheme="majorBidi"/>
          <w:bCs/>
          <w:color w:val="000000" w:themeColor="text1"/>
          <w:sz w:val="24"/>
          <w:szCs w:val="24"/>
        </w:rPr>
        <w:t xml:space="preserve">enough tax </w:t>
      </w:r>
      <w:r w:rsidR="0059122E">
        <w:rPr>
          <w:rFonts w:asciiTheme="majorHAnsi" w:eastAsiaTheme="majorEastAsia" w:hAnsiTheme="majorHAnsi" w:cstheme="majorBidi"/>
          <w:bCs/>
          <w:color w:val="000000" w:themeColor="text1"/>
          <w:sz w:val="24"/>
          <w:szCs w:val="24"/>
        </w:rPr>
        <w:t xml:space="preserve">liability </w:t>
      </w:r>
      <w:r w:rsidR="00324CD8">
        <w:rPr>
          <w:rFonts w:asciiTheme="majorHAnsi" w:eastAsiaTheme="majorEastAsia" w:hAnsiTheme="majorHAnsi" w:cstheme="majorBidi"/>
          <w:bCs/>
          <w:color w:val="000000" w:themeColor="text1"/>
          <w:sz w:val="24"/>
          <w:szCs w:val="24"/>
        </w:rPr>
        <w:t xml:space="preserve">to take </w:t>
      </w:r>
      <w:r w:rsidR="000C0361">
        <w:rPr>
          <w:rFonts w:asciiTheme="majorHAnsi" w:eastAsiaTheme="majorEastAsia" w:hAnsiTheme="majorHAnsi" w:cstheme="majorBidi"/>
          <w:bCs/>
          <w:color w:val="000000" w:themeColor="text1"/>
          <w:sz w:val="24"/>
          <w:szCs w:val="24"/>
        </w:rPr>
        <w:t xml:space="preserve">full </w:t>
      </w:r>
      <w:r w:rsidR="00324CD8">
        <w:rPr>
          <w:rFonts w:asciiTheme="majorHAnsi" w:eastAsiaTheme="majorEastAsia" w:hAnsiTheme="majorHAnsi" w:cstheme="majorBidi"/>
          <w:bCs/>
          <w:color w:val="000000" w:themeColor="text1"/>
          <w:sz w:val="24"/>
          <w:szCs w:val="24"/>
        </w:rPr>
        <w:t>advantage of the credit</w:t>
      </w:r>
      <w:r w:rsidR="0059122E">
        <w:rPr>
          <w:rFonts w:asciiTheme="majorHAnsi" w:eastAsiaTheme="majorEastAsia" w:hAnsiTheme="majorHAnsi" w:cstheme="majorBidi"/>
          <w:bCs/>
          <w:color w:val="000000" w:themeColor="text1"/>
          <w:sz w:val="24"/>
          <w:szCs w:val="24"/>
        </w:rPr>
        <w:t>,</w:t>
      </w:r>
      <w:r w:rsidR="00324CD8">
        <w:rPr>
          <w:rFonts w:asciiTheme="majorHAnsi" w:eastAsiaTheme="majorEastAsia" w:hAnsiTheme="majorHAnsi" w:cstheme="majorBidi"/>
          <w:bCs/>
          <w:color w:val="000000" w:themeColor="text1"/>
          <w:sz w:val="24"/>
          <w:szCs w:val="24"/>
        </w:rPr>
        <w:t xml:space="preserve"> or certain </w:t>
      </w:r>
      <w:r w:rsidR="003E788E">
        <w:rPr>
          <w:rFonts w:asciiTheme="majorHAnsi" w:eastAsiaTheme="majorEastAsia" w:hAnsiTheme="majorHAnsi" w:cstheme="majorBidi"/>
          <w:bCs/>
          <w:color w:val="000000" w:themeColor="text1"/>
          <w:sz w:val="24"/>
          <w:szCs w:val="24"/>
        </w:rPr>
        <w:t>statutory limitations</w:t>
      </w:r>
      <w:r w:rsidR="00324CD8">
        <w:rPr>
          <w:rStyle w:val="FootnoteReference"/>
          <w:rFonts w:asciiTheme="majorHAnsi" w:eastAsiaTheme="majorEastAsia" w:hAnsiTheme="majorHAnsi"/>
          <w:bCs/>
          <w:color w:val="000000" w:themeColor="text1"/>
          <w:sz w:val="24"/>
          <w:szCs w:val="24"/>
        </w:rPr>
        <w:footnoteReference w:id="1"/>
      </w:r>
      <w:r w:rsidR="00324CD8">
        <w:rPr>
          <w:rFonts w:asciiTheme="majorHAnsi" w:eastAsiaTheme="majorEastAsia" w:hAnsiTheme="majorHAnsi" w:cstheme="majorBidi"/>
          <w:bCs/>
          <w:color w:val="000000" w:themeColor="text1"/>
          <w:sz w:val="24"/>
          <w:szCs w:val="24"/>
        </w:rPr>
        <w:t xml:space="preserve"> prevented them from </w:t>
      </w:r>
      <w:r w:rsidR="000C0361">
        <w:rPr>
          <w:rFonts w:asciiTheme="majorHAnsi" w:eastAsiaTheme="majorEastAsia" w:hAnsiTheme="majorHAnsi" w:cstheme="majorBidi"/>
          <w:bCs/>
          <w:color w:val="000000" w:themeColor="text1"/>
          <w:sz w:val="24"/>
          <w:szCs w:val="24"/>
        </w:rPr>
        <w:t>doing so</w:t>
      </w:r>
      <w:r w:rsidR="00324CD8">
        <w:rPr>
          <w:rFonts w:asciiTheme="majorHAnsi" w:eastAsiaTheme="majorEastAsia" w:hAnsiTheme="majorHAnsi" w:cstheme="majorBidi"/>
          <w:bCs/>
          <w:color w:val="000000" w:themeColor="text1"/>
          <w:sz w:val="24"/>
          <w:szCs w:val="24"/>
        </w:rPr>
        <w:t xml:space="preserve">. </w:t>
      </w:r>
    </w:p>
    <w:p w14:paraId="33CEE43D" w14:textId="77777777" w:rsidR="00223B10" w:rsidRDefault="00223B10" w:rsidP="00030EED">
      <w:pPr>
        <w:spacing w:after="0"/>
        <w:rPr>
          <w:rFonts w:asciiTheme="majorHAnsi" w:eastAsiaTheme="majorEastAsia" w:hAnsiTheme="majorHAnsi" w:cstheme="majorBidi"/>
          <w:bCs/>
          <w:color w:val="000000" w:themeColor="text1"/>
          <w:sz w:val="24"/>
          <w:szCs w:val="24"/>
        </w:rPr>
      </w:pPr>
    </w:p>
    <w:p w14:paraId="2316D18D" w14:textId="77777777" w:rsidR="00223B10" w:rsidRDefault="00223B10" w:rsidP="00E65DE4">
      <w:pPr>
        <w:spacing w:after="0"/>
        <w:jc w:val="center"/>
        <w:rPr>
          <w:rFonts w:asciiTheme="majorHAnsi" w:hAnsiTheme="majorHAnsi"/>
          <w:b/>
          <w:sz w:val="24"/>
          <w:szCs w:val="24"/>
        </w:rPr>
      </w:pPr>
      <w:r w:rsidRPr="00CA0391">
        <w:rPr>
          <w:rFonts w:asciiTheme="majorHAnsi" w:hAnsiTheme="majorHAnsi"/>
          <w:b/>
          <w:sz w:val="24"/>
          <w:szCs w:val="24"/>
        </w:rPr>
        <w:t xml:space="preserve">Table </w:t>
      </w:r>
      <w:r w:rsidR="00303B9E">
        <w:rPr>
          <w:rFonts w:asciiTheme="majorHAnsi" w:hAnsiTheme="majorHAnsi"/>
          <w:b/>
          <w:sz w:val="24"/>
          <w:szCs w:val="24"/>
        </w:rPr>
        <w:t>2</w:t>
      </w:r>
      <w:r w:rsidRPr="00CA0391">
        <w:rPr>
          <w:rFonts w:asciiTheme="majorHAnsi" w:hAnsiTheme="majorHAnsi"/>
          <w:b/>
          <w:sz w:val="24"/>
          <w:szCs w:val="24"/>
        </w:rPr>
        <w:t xml:space="preserve">. </w:t>
      </w:r>
      <w:r w:rsidR="005714F4">
        <w:rPr>
          <w:rFonts w:asciiTheme="majorHAnsi" w:hAnsiTheme="majorHAnsi"/>
          <w:b/>
          <w:sz w:val="24"/>
          <w:szCs w:val="24"/>
        </w:rPr>
        <w:t xml:space="preserve">Count and </w:t>
      </w:r>
      <w:r w:rsidR="0089586A">
        <w:rPr>
          <w:rFonts w:asciiTheme="majorHAnsi" w:hAnsiTheme="majorHAnsi"/>
          <w:b/>
          <w:sz w:val="24"/>
          <w:szCs w:val="24"/>
        </w:rPr>
        <w:t xml:space="preserve">Amount of Investment Tax Credit by </w:t>
      </w:r>
      <w:r w:rsidR="005714F4">
        <w:rPr>
          <w:rFonts w:asciiTheme="majorHAnsi" w:hAnsiTheme="majorHAnsi"/>
          <w:b/>
          <w:sz w:val="24"/>
          <w:szCs w:val="24"/>
        </w:rPr>
        <w:t xml:space="preserve">Tax </w:t>
      </w:r>
      <w:r w:rsidR="0089586A">
        <w:rPr>
          <w:rFonts w:asciiTheme="majorHAnsi" w:hAnsiTheme="majorHAnsi"/>
          <w:b/>
          <w:sz w:val="24"/>
          <w:szCs w:val="24"/>
        </w:rPr>
        <w:t>Year</w:t>
      </w:r>
    </w:p>
    <w:tbl>
      <w:tblPr>
        <w:tblW w:w="9720" w:type="dxa"/>
        <w:tblInd w:w="108" w:type="dxa"/>
        <w:tblLook w:val="04A0" w:firstRow="1" w:lastRow="0" w:firstColumn="1" w:lastColumn="0" w:noHBand="0" w:noVBand="1"/>
      </w:tblPr>
      <w:tblGrid>
        <w:gridCol w:w="1980"/>
        <w:gridCol w:w="1104"/>
        <w:gridCol w:w="823"/>
        <w:gridCol w:w="1104"/>
        <w:gridCol w:w="839"/>
        <w:gridCol w:w="1104"/>
        <w:gridCol w:w="823"/>
        <w:gridCol w:w="1104"/>
        <w:gridCol w:w="839"/>
      </w:tblGrid>
      <w:tr w:rsidR="00F326BA" w:rsidRPr="00A23654" w14:paraId="5B310951" w14:textId="77777777" w:rsidTr="00F326BA">
        <w:trPr>
          <w:trHeight w:val="290"/>
        </w:trPr>
        <w:tc>
          <w:tcPr>
            <w:tcW w:w="1980" w:type="dxa"/>
            <w:vMerge w:val="restart"/>
            <w:tcBorders>
              <w:top w:val="single" w:sz="4" w:space="0" w:color="auto"/>
              <w:left w:val="single" w:sz="4" w:space="0" w:color="auto"/>
              <w:bottom w:val="single" w:sz="4" w:space="0" w:color="000000"/>
              <w:right w:val="single" w:sz="4" w:space="0" w:color="auto"/>
            </w:tcBorders>
            <w:shd w:val="clear" w:color="auto" w:fill="B6DDE8" w:themeFill="accent5" w:themeFillTint="66"/>
            <w:noWrap/>
            <w:vAlign w:val="bottom"/>
            <w:hideMark/>
          </w:tcPr>
          <w:p w14:paraId="3D71DC73" w14:textId="77777777" w:rsidR="00E65DE4" w:rsidRPr="00A23654" w:rsidRDefault="00E65DE4" w:rsidP="00A90779">
            <w:pPr>
              <w:spacing w:after="0" w:line="240" w:lineRule="auto"/>
              <w:jc w:val="center"/>
              <w:rPr>
                <w:rFonts w:ascii="Cambria" w:eastAsia="Times New Roman" w:hAnsi="Cambria" w:cs="Helvetica"/>
                <w:lang w:eastAsia="ko-KR"/>
              </w:rPr>
            </w:pPr>
            <w:r w:rsidRPr="00A23654">
              <w:rPr>
                <w:rFonts w:ascii="Cambria" w:eastAsia="Times New Roman" w:hAnsi="Cambria" w:cs="Helvetica"/>
                <w:lang w:eastAsia="ko-KR"/>
              </w:rPr>
              <w:t> </w:t>
            </w:r>
          </w:p>
        </w:tc>
        <w:tc>
          <w:tcPr>
            <w:tcW w:w="1927" w:type="dxa"/>
            <w:gridSpan w:val="2"/>
            <w:tcBorders>
              <w:top w:val="single" w:sz="4" w:space="0" w:color="auto"/>
              <w:left w:val="nil"/>
              <w:bottom w:val="single" w:sz="4" w:space="0" w:color="auto"/>
              <w:right w:val="single" w:sz="4" w:space="0" w:color="000000"/>
            </w:tcBorders>
            <w:shd w:val="clear" w:color="auto" w:fill="B6DDE8" w:themeFill="accent5" w:themeFillTint="66"/>
            <w:noWrap/>
            <w:vAlign w:val="bottom"/>
            <w:hideMark/>
          </w:tcPr>
          <w:p w14:paraId="5422F387" w14:textId="77777777" w:rsidR="00E65DE4" w:rsidRPr="00A23654" w:rsidRDefault="00E65DE4" w:rsidP="00A90779">
            <w:pPr>
              <w:spacing w:after="0" w:line="240" w:lineRule="auto"/>
              <w:jc w:val="center"/>
              <w:rPr>
                <w:rFonts w:ascii="Cambria" w:eastAsia="Times New Roman" w:hAnsi="Cambria" w:cs="Helvetica"/>
                <w:color w:val="000000"/>
                <w:lang w:eastAsia="ko-KR"/>
              </w:rPr>
            </w:pPr>
            <w:r w:rsidRPr="00A23654">
              <w:rPr>
                <w:rFonts w:ascii="Cambria" w:eastAsia="Times New Roman" w:hAnsi="Cambria" w:cs="Helvetica"/>
                <w:color w:val="000000"/>
                <w:lang w:eastAsia="ko-KR"/>
              </w:rPr>
              <w:t>201</w:t>
            </w:r>
            <w:r w:rsidR="003950EE">
              <w:rPr>
                <w:rFonts w:ascii="Cambria" w:eastAsia="Times New Roman" w:hAnsi="Cambria" w:cs="Helvetica"/>
                <w:color w:val="000000"/>
                <w:lang w:eastAsia="ko-KR"/>
              </w:rPr>
              <w:t>5</w:t>
            </w:r>
          </w:p>
        </w:tc>
        <w:tc>
          <w:tcPr>
            <w:tcW w:w="1943" w:type="dxa"/>
            <w:gridSpan w:val="2"/>
            <w:tcBorders>
              <w:top w:val="single" w:sz="4" w:space="0" w:color="auto"/>
              <w:left w:val="nil"/>
              <w:bottom w:val="single" w:sz="4" w:space="0" w:color="auto"/>
              <w:right w:val="single" w:sz="4" w:space="0" w:color="000000"/>
            </w:tcBorders>
            <w:shd w:val="clear" w:color="auto" w:fill="B6DDE8" w:themeFill="accent5" w:themeFillTint="66"/>
            <w:noWrap/>
            <w:vAlign w:val="bottom"/>
            <w:hideMark/>
          </w:tcPr>
          <w:p w14:paraId="5BE57462" w14:textId="77777777" w:rsidR="00E65DE4" w:rsidRPr="00A23654" w:rsidRDefault="00E65DE4" w:rsidP="00A90779">
            <w:pPr>
              <w:spacing w:after="0" w:line="240" w:lineRule="auto"/>
              <w:jc w:val="center"/>
              <w:rPr>
                <w:rFonts w:ascii="Cambria" w:eastAsia="Times New Roman" w:hAnsi="Cambria" w:cs="Helvetica"/>
                <w:color w:val="000000"/>
                <w:lang w:eastAsia="ko-KR"/>
              </w:rPr>
            </w:pPr>
            <w:r w:rsidRPr="00A23654">
              <w:rPr>
                <w:rFonts w:ascii="Cambria" w:eastAsia="Times New Roman" w:hAnsi="Cambria" w:cs="Helvetica"/>
                <w:color w:val="000000"/>
                <w:lang w:eastAsia="ko-KR"/>
              </w:rPr>
              <w:t>201</w:t>
            </w:r>
            <w:r w:rsidR="003950EE">
              <w:rPr>
                <w:rFonts w:ascii="Cambria" w:eastAsia="Times New Roman" w:hAnsi="Cambria" w:cs="Helvetica"/>
                <w:color w:val="000000"/>
                <w:lang w:eastAsia="ko-KR"/>
              </w:rPr>
              <w:t>6</w:t>
            </w:r>
          </w:p>
        </w:tc>
        <w:tc>
          <w:tcPr>
            <w:tcW w:w="1927" w:type="dxa"/>
            <w:gridSpan w:val="2"/>
            <w:tcBorders>
              <w:top w:val="single" w:sz="4" w:space="0" w:color="auto"/>
              <w:left w:val="nil"/>
              <w:bottom w:val="single" w:sz="4" w:space="0" w:color="auto"/>
              <w:right w:val="single" w:sz="4" w:space="0" w:color="000000"/>
            </w:tcBorders>
            <w:shd w:val="clear" w:color="auto" w:fill="B6DDE8" w:themeFill="accent5" w:themeFillTint="66"/>
            <w:noWrap/>
            <w:vAlign w:val="bottom"/>
            <w:hideMark/>
          </w:tcPr>
          <w:p w14:paraId="0CAEB47D" w14:textId="77777777" w:rsidR="00E65DE4" w:rsidRPr="00A23654" w:rsidRDefault="00E65DE4" w:rsidP="00A90779">
            <w:pPr>
              <w:spacing w:after="0" w:line="240" w:lineRule="auto"/>
              <w:jc w:val="center"/>
              <w:rPr>
                <w:rFonts w:ascii="Cambria" w:eastAsia="Times New Roman" w:hAnsi="Cambria" w:cs="Helvetica"/>
                <w:color w:val="000000"/>
                <w:lang w:eastAsia="ko-KR"/>
              </w:rPr>
            </w:pPr>
            <w:r w:rsidRPr="00A23654">
              <w:rPr>
                <w:rFonts w:ascii="Cambria" w:eastAsia="Times New Roman" w:hAnsi="Cambria" w:cs="Helvetica"/>
                <w:color w:val="000000"/>
                <w:lang w:eastAsia="ko-KR"/>
              </w:rPr>
              <w:t>201</w:t>
            </w:r>
            <w:r w:rsidR="003950EE">
              <w:rPr>
                <w:rFonts w:ascii="Cambria" w:eastAsia="Times New Roman" w:hAnsi="Cambria" w:cs="Helvetica"/>
                <w:color w:val="000000"/>
                <w:lang w:eastAsia="ko-KR"/>
              </w:rPr>
              <w:t>7</w:t>
            </w:r>
          </w:p>
        </w:tc>
        <w:tc>
          <w:tcPr>
            <w:tcW w:w="1943" w:type="dxa"/>
            <w:gridSpan w:val="2"/>
            <w:tcBorders>
              <w:top w:val="single" w:sz="4" w:space="0" w:color="auto"/>
              <w:left w:val="nil"/>
              <w:bottom w:val="single" w:sz="4" w:space="0" w:color="auto"/>
              <w:right w:val="single" w:sz="4" w:space="0" w:color="000000"/>
            </w:tcBorders>
            <w:shd w:val="clear" w:color="auto" w:fill="B6DDE8" w:themeFill="accent5" w:themeFillTint="66"/>
            <w:noWrap/>
            <w:vAlign w:val="bottom"/>
            <w:hideMark/>
          </w:tcPr>
          <w:p w14:paraId="254ECD91" w14:textId="77777777" w:rsidR="00E65DE4" w:rsidRPr="00A23654" w:rsidRDefault="00E65DE4" w:rsidP="00A90779">
            <w:pPr>
              <w:spacing w:after="0" w:line="240" w:lineRule="auto"/>
              <w:jc w:val="center"/>
              <w:rPr>
                <w:rFonts w:ascii="Cambria" w:eastAsia="Times New Roman" w:hAnsi="Cambria" w:cs="Helvetica"/>
                <w:color w:val="000000"/>
                <w:lang w:eastAsia="ko-KR"/>
              </w:rPr>
            </w:pPr>
            <w:r w:rsidRPr="00A23654">
              <w:rPr>
                <w:rFonts w:ascii="Cambria" w:eastAsia="Times New Roman" w:hAnsi="Cambria" w:cs="Helvetica"/>
                <w:color w:val="000000"/>
                <w:lang w:eastAsia="ko-KR"/>
              </w:rPr>
              <w:t>201</w:t>
            </w:r>
            <w:r w:rsidR="003950EE">
              <w:rPr>
                <w:rFonts w:ascii="Cambria" w:eastAsia="Times New Roman" w:hAnsi="Cambria" w:cs="Helvetica"/>
                <w:color w:val="000000"/>
                <w:lang w:eastAsia="ko-KR"/>
              </w:rPr>
              <w:t>8</w:t>
            </w:r>
          </w:p>
        </w:tc>
      </w:tr>
      <w:tr w:rsidR="00F326BA" w:rsidRPr="00A23654" w14:paraId="6EBFF686" w14:textId="77777777" w:rsidTr="00F326BA">
        <w:trPr>
          <w:trHeight w:val="290"/>
        </w:trPr>
        <w:tc>
          <w:tcPr>
            <w:tcW w:w="1980" w:type="dxa"/>
            <w:vMerge/>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14:paraId="033F59DF" w14:textId="77777777" w:rsidR="00E65DE4" w:rsidRPr="00A23654" w:rsidRDefault="00E65DE4" w:rsidP="00A90779">
            <w:pPr>
              <w:spacing w:after="0" w:line="240" w:lineRule="auto"/>
              <w:rPr>
                <w:rFonts w:ascii="Cambria" w:eastAsia="Times New Roman" w:hAnsi="Cambria" w:cs="Helvetica"/>
                <w:lang w:eastAsia="ko-KR"/>
              </w:rPr>
            </w:pPr>
          </w:p>
        </w:tc>
        <w:tc>
          <w:tcPr>
            <w:tcW w:w="1104" w:type="dxa"/>
            <w:tcBorders>
              <w:top w:val="nil"/>
              <w:left w:val="nil"/>
              <w:bottom w:val="single" w:sz="4" w:space="0" w:color="auto"/>
              <w:right w:val="single" w:sz="4" w:space="0" w:color="auto"/>
            </w:tcBorders>
            <w:shd w:val="clear" w:color="auto" w:fill="B6DDE8" w:themeFill="accent5" w:themeFillTint="66"/>
            <w:noWrap/>
            <w:vAlign w:val="center"/>
            <w:hideMark/>
          </w:tcPr>
          <w:p w14:paraId="306773A3" w14:textId="77777777" w:rsidR="00E65DE4" w:rsidRDefault="00E65DE4" w:rsidP="00A90779">
            <w:pPr>
              <w:spacing w:after="0" w:line="240" w:lineRule="auto"/>
              <w:jc w:val="center"/>
              <w:rPr>
                <w:rFonts w:ascii="Cambria" w:eastAsia="Times New Roman" w:hAnsi="Cambria" w:cs="Helvetica"/>
                <w:lang w:eastAsia="ko-KR"/>
              </w:rPr>
            </w:pPr>
            <w:r>
              <w:rPr>
                <w:rFonts w:ascii="Cambria" w:eastAsia="Times New Roman" w:hAnsi="Cambria" w:cs="Helvetica"/>
                <w:lang w:eastAsia="ko-KR"/>
              </w:rPr>
              <w:t>Amount</w:t>
            </w:r>
          </w:p>
          <w:p w14:paraId="0BCC13D4" w14:textId="77777777" w:rsidR="00E65DE4" w:rsidRPr="00A23654" w:rsidRDefault="00E65DE4" w:rsidP="00A90779">
            <w:pPr>
              <w:spacing w:after="0" w:line="240" w:lineRule="auto"/>
              <w:jc w:val="center"/>
              <w:rPr>
                <w:rFonts w:ascii="Cambria" w:eastAsia="Times New Roman" w:hAnsi="Cambria" w:cs="Helvetica"/>
                <w:lang w:eastAsia="ko-KR"/>
              </w:rPr>
            </w:pPr>
            <w:r>
              <w:rPr>
                <w:rFonts w:ascii="Cambria" w:eastAsia="Times New Roman" w:hAnsi="Cambria" w:cs="Helvetica"/>
                <w:lang w:eastAsia="ko-KR"/>
              </w:rPr>
              <w:t>(</w:t>
            </w:r>
            <w:r w:rsidRPr="00A23654">
              <w:rPr>
                <w:rFonts w:ascii="Cambria" w:eastAsia="Times New Roman" w:hAnsi="Cambria" w:cs="Helvetica"/>
                <w:lang w:eastAsia="ko-KR"/>
              </w:rPr>
              <w:t>$</w:t>
            </w:r>
            <w:r>
              <w:rPr>
                <w:rFonts w:ascii="Cambria" w:eastAsia="Times New Roman" w:hAnsi="Cambria" w:cs="Helvetica"/>
                <w:lang w:eastAsia="ko-KR"/>
              </w:rPr>
              <w:t>000)</w:t>
            </w:r>
          </w:p>
        </w:tc>
        <w:tc>
          <w:tcPr>
            <w:tcW w:w="823" w:type="dxa"/>
            <w:tcBorders>
              <w:top w:val="nil"/>
              <w:left w:val="nil"/>
              <w:bottom w:val="single" w:sz="4" w:space="0" w:color="auto"/>
              <w:right w:val="single" w:sz="4" w:space="0" w:color="auto"/>
            </w:tcBorders>
            <w:shd w:val="clear" w:color="auto" w:fill="B6DDE8" w:themeFill="accent5" w:themeFillTint="66"/>
            <w:noWrap/>
            <w:vAlign w:val="center"/>
            <w:hideMark/>
          </w:tcPr>
          <w:p w14:paraId="2F216DCE" w14:textId="77777777" w:rsidR="00E65DE4" w:rsidRPr="00A23654" w:rsidRDefault="00E65DE4" w:rsidP="00A90779">
            <w:pPr>
              <w:spacing w:after="0" w:line="240" w:lineRule="auto"/>
              <w:jc w:val="center"/>
              <w:rPr>
                <w:rFonts w:ascii="Cambria" w:eastAsia="Times New Roman" w:hAnsi="Cambria" w:cs="Helvetica"/>
                <w:lang w:eastAsia="ko-KR"/>
              </w:rPr>
            </w:pPr>
            <w:r w:rsidRPr="00A23654">
              <w:rPr>
                <w:rFonts w:ascii="Cambria" w:eastAsia="Times New Roman" w:hAnsi="Cambria" w:cs="Helvetica"/>
                <w:lang w:eastAsia="ko-KR"/>
              </w:rPr>
              <w:t>Count</w:t>
            </w:r>
          </w:p>
        </w:tc>
        <w:tc>
          <w:tcPr>
            <w:tcW w:w="1104" w:type="dxa"/>
            <w:tcBorders>
              <w:top w:val="nil"/>
              <w:left w:val="nil"/>
              <w:bottom w:val="single" w:sz="4" w:space="0" w:color="auto"/>
              <w:right w:val="single" w:sz="4" w:space="0" w:color="auto"/>
            </w:tcBorders>
            <w:shd w:val="clear" w:color="auto" w:fill="B6DDE8" w:themeFill="accent5" w:themeFillTint="66"/>
            <w:noWrap/>
            <w:vAlign w:val="center"/>
            <w:hideMark/>
          </w:tcPr>
          <w:p w14:paraId="307E3DBF" w14:textId="77777777" w:rsidR="00E65DE4" w:rsidRDefault="00E65DE4" w:rsidP="00A90779">
            <w:pPr>
              <w:spacing w:after="0" w:line="240" w:lineRule="auto"/>
              <w:jc w:val="center"/>
              <w:rPr>
                <w:rFonts w:ascii="Cambria" w:eastAsia="Times New Roman" w:hAnsi="Cambria" w:cs="Helvetica"/>
                <w:lang w:eastAsia="ko-KR"/>
              </w:rPr>
            </w:pPr>
            <w:r>
              <w:rPr>
                <w:rFonts w:ascii="Cambria" w:eastAsia="Times New Roman" w:hAnsi="Cambria" w:cs="Helvetica"/>
                <w:lang w:eastAsia="ko-KR"/>
              </w:rPr>
              <w:t>Amount</w:t>
            </w:r>
          </w:p>
          <w:p w14:paraId="76138DEB" w14:textId="77777777" w:rsidR="00E65DE4" w:rsidRPr="00A23654" w:rsidRDefault="00E65DE4" w:rsidP="00A90779">
            <w:pPr>
              <w:spacing w:after="0" w:line="240" w:lineRule="auto"/>
              <w:jc w:val="center"/>
              <w:rPr>
                <w:rFonts w:ascii="Cambria" w:eastAsia="Times New Roman" w:hAnsi="Cambria" w:cs="Helvetica"/>
                <w:lang w:eastAsia="ko-KR"/>
              </w:rPr>
            </w:pPr>
            <w:r>
              <w:rPr>
                <w:rFonts w:ascii="Cambria" w:eastAsia="Times New Roman" w:hAnsi="Cambria" w:cs="Helvetica"/>
                <w:lang w:eastAsia="ko-KR"/>
              </w:rPr>
              <w:t>(</w:t>
            </w:r>
            <w:r w:rsidRPr="00A23654">
              <w:rPr>
                <w:rFonts w:ascii="Cambria" w:eastAsia="Times New Roman" w:hAnsi="Cambria" w:cs="Helvetica"/>
                <w:lang w:eastAsia="ko-KR"/>
              </w:rPr>
              <w:t>$</w:t>
            </w:r>
            <w:r>
              <w:rPr>
                <w:rFonts w:ascii="Cambria" w:eastAsia="Times New Roman" w:hAnsi="Cambria" w:cs="Helvetica"/>
                <w:lang w:eastAsia="ko-KR"/>
              </w:rPr>
              <w:t>000)</w:t>
            </w:r>
          </w:p>
        </w:tc>
        <w:tc>
          <w:tcPr>
            <w:tcW w:w="839" w:type="dxa"/>
            <w:tcBorders>
              <w:top w:val="nil"/>
              <w:left w:val="nil"/>
              <w:bottom w:val="single" w:sz="4" w:space="0" w:color="auto"/>
              <w:right w:val="single" w:sz="4" w:space="0" w:color="auto"/>
            </w:tcBorders>
            <w:shd w:val="clear" w:color="auto" w:fill="B6DDE8" w:themeFill="accent5" w:themeFillTint="66"/>
            <w:noWrap/>
            <w:vAlign w:val="center"/>
            <w:hideMark/>
          </w:tcPr>
          <w:p w14:paraId="67385FCA" w14:textId="77777777" w:rsidR="00E65DE4" w:rsidRPr="00A23654" w:rsidRDefault="00E65DE4" w:rsidP="00A90779">
            <w:pPr>
              <w:spacing w:after="0" w:line="240" w:lineRule="auto"/>
              <w:jc w:val="center"/>
              <w:rPr>
                <w:rFonts w:ascii="Cambria" w:eastAsia="Times New Roman" w:hAnsi="Cambria" w:cs="Helvetica"/>
                <w:lang w:eastAsia="ko-KR"/>
              </w:rPr>
            </w:pPr>
            <w:r w:rsidRPr="00A23654">
              <w:rPr>
                <w:rFonts w:ascii="Cambria" w:eastAsia="Times New Roman" w:hAnsi="Cambria" w:cs="Helvetica"/>
                <w:lang w:eastAsia="ko-KR"/>
              </w:rPr>
              <w:t>Count</w:t>
            </w:r>
          </w:p>
        </w:tc>
        <w:tc>
          <w:tcPr>
            <w:tcW w:w="1104" w:type="dxa"/>
            <w:tcBorders>
              <w:top w:val="nil"/>
              <w:left w:val="nil"/>
              <w:bottom w:val="single" w:sz="4" w:space="0" w:color="auto"/>
              <w:right w:val="single" w:sz="4" w:space="0" w:color="auto"/>
            </w:tcBorders>
            <w:shd w:val="clear" w:color="auto" w:fill="B6DDE8" w:themeFill="accent5" w:themeFillTint="66"/>
            <w:noWrap/>
            <w:vAlign w:val="center"/>
            <w:hideMark/>
          </w:tcPr>
          <w:p w14:paraId="78BFA61D" w14:textId="77777777" w:rsidR="00E65DE4" w:rsidRDefault="00E65DE4" w:rsidP="00A90779">
            <w:pPr>
              <w:spacing w:after="0" w:line="240" w:lineRule="auto"/>
              <w:jc w:val="center"/>
              <w:rPr>
                <w:rFonts w:ascii="Cambria" w:eastAsia="Times New Roman" w:hAnsi="Cambria" w:cs="Helvetica"/>
                <w:lang w:eastAsia="ko-KR"/>
              </w:rPr>
            </w:pPr>
            <w:r>
              <w:rPr>
                <w:rFonts w:ascii="Cambria" w:eastAsia="Times New Roman" w:hAnsi="Cambria" w:cs="Helvetica"/>
                <w:lang w:eastAsia="ko-KR"/>
              </w:rPr>
              <w:t>Amount</w:t>
            </w:r>
          </w:p>
          <w:p w14:paraId="6B54AFA7" w14:textId="77777777" w:rsidR="00E65DE4" w:rsidRPr="00A23654" w:rsidRDefault="00E65DE4" w:rsidP="00A90779">
            <w:pPr>
              <w:spacing w:after="0" w:line="240" w:lineRule="auto"/>
              <w:jc w:val="center"/>
              <w:rPr>
                <w:rFonts w:ascii="Cambria" w:eastAsia="Times New Roman" w:hAnsi="Cambria" w:cs="Helvetica"/>
                <w:lang w:eastAsia="ko-KR"/>
              </w:rPr>
            </w:pPr>
            <w:r>
              <w:rPr>
                <w:rFonts w:ascii="Cambria" w:eastAsia="Times New Roman" w:hAnsi="Cambria" w:cs="Helvetica"/>
                <w:lang w:eastAsia="ko-KR"/>
              </w:rPr>
              <w:t>(</w:t>
            </w:r>
            <w:r w:rsidRPr="00A23654">
              <w:rPr>
                <w:rFonts w:ascii="Cambria" w:eastAsia="Times New Roman" w:hAnsi="Cambria" w:cs="Helvetica"/>
                <w:lang w:eastAsia="ko-KR"/>
              </w:rPr>
              <w:t>$</w:t>
            </w:r>
            <w:r>
              <w:rPr>
                <w:rFonts w:ascii="Cambria" w:eastAsia="Times New Roman" w:hAnsi="Cambria" w:cs="Helvetica"/>
                <w:lang w:eastAsia="ko-KR"/>
              </w:rPr>
              <w:t>000)</w:t>
            </w:r>
          </w:p>
        </w:tc>
        <w:tc>
          <w:tcPr>
            <w:tcW w:w="823" w:type="dxa"/>
            <w:tcBorders>
              <w:top w:val="nil"/>
              <w:left w:val="nil"/>
              <w:bottom w:val="single" w:sz="4" w:space="0" w:color="auto"/>
              <w:right w:val="single" w:sz="4" w:space="0" w:color="auto"/>
            </w:tcBorders>
            <w:shd w:val="clear" w:color="auto" w:fill="B6DDE8" w:themeFill="accent5" w:themeFillTint="66"/>
            <w:noWrap/>
            <w:vAlign w:val="center"/>
            <w:hideMark/>
          </w:tcPr>
          <w:p w14:paraId="2AE38318" w14:textId="77777777" w:rsidR="00E65DE4" w:rsidRPr="00A23654" w:rsidRDefault="00E65DE4" w:rsidP="00A90779">
            <w:pPr>
              <w:spacing w:after="0" w:line="240" w:lineRule="auto"/>
              <w:jc w:val="center"/>
              <w:rPr>
                <w:rFonts w:ascii="Cambria" w:eastAsia="Times New Roman" w:hAnsi="Cambria" w:cs="Helvetica"/>
                <w:lang w:eastAsia="ko-KR"/>
              </w:rPr>
            </w:pPr>
            <w:r w:rsidRPr="00A23654">
              <w:rPr>
                <w:rFonts w:ascii="Cambria" w:eastAsia="Times New Roman" w:hAnsi="Cambria" w:cs="Helvetica"/>
                <w:lang w:eastAsia="ko-KR"/>
              </w:rPr>
              <w:t>Count</w:t>
            </w:r>
          </w:p>
        </w:tc>
        <w:tc>
          <w:tcPr>
            <w:tcW w:w="1104" w:type="dxa"/>
            <w:tcBorders>
              <w:top w:val="nil"/>
              <w:left w:val="nil"/>
              <w:bottom w:val="single" w:sz="4" w:space="0" w:color="auto"/>
              <w:right w:val="single" w:sz="4" w:space="0" w:color="auto"/>
            </w:tcBorders>
            <w:shd w:val="clear" w:color="auto" w:fill="B6DDE8" w:themeFill="accent5" w:themeFillTint="66"/>
            <w:noWrap/>
            <w:vAlign w:val="center"/>
            <w:hideMark/>
          </w:tcPr>
          <w:p w14:paraId="7528F912" w14:textId="77777777" w:rsidR="00E65DE4" w:rsidRDefault="00E65DE4" w:rsidP="00A90779">
            <w:pPr>
              <w:spacing w:after="0" w:line="240" w:lineRule="auto"/>
              <w:jc w:val="center"/>
              <w:rPr>
                <w:rFonts w:ascii="Cambria" w:eastAsia="Times New Roman" w:hAnsi="Cambria" w:cs="Helvetica"/>
                <w:lang w:eastAsia="ko-KR"/>
              </w:rPr>
            </w:pPr>
            <w:r>
              <w:rPr>
                <w:rFonts w:ascii="Cambria" w:eastAsia="Times New Roman" w:hAnsi="Cambria" w:cs="Helvetica"/>
                <w:lang w:eastAsia="ko-KR"/>
              </w:rPr>
              <w:t>Amount</w:t>
            </w:r>
          </w:p>
          <w:p w14:paraId="3FE82113" w14:textId="77777777" w:rsidR="00E65DE4" w:rsidRPr="00A23654" w:rsidRDefault="00E65DE4" w:rsidP="00A90779">
            <w:pPr>
              <w:spacing w:after="0" w:line="240" w:lineRule="auto"/>
              <w:jc w:val="center"/>
              <w:rPr>
                <w:rFonts w:ascii="Cambria" w:eastAsia="Times New Roman" w:hAnsi="Cambria" w:cs="Helvetica"/>
                <w:lang w:eastAsia="ko-KR"/>
              </w:rPr>
            </w:pPr>
            <w:r>
              <w:rPr>
                <w:rFonts w:ascii="Cambria" w:eastAsia="Times New Roman" w:hAnsi="Cambria" w:cs="Helvetica"/>
                <w:lang w:eastAsia="ko-KR"/>
              </w:rPr>
              <w:t>(</w:t>
            </w:r>
            <w:r w:rsidRPr="00A23654">
              <w:rPr>
                <w:rFonts w:ascii="Cambria" w:eastAsia="Times New Roman" w:hAnsi="Cambria" w:cs="Helvetica"/>
                <w:lang w:eastAsia="ko-KR"/>
              </w:rPr>
              <w:t>$</w:t>
            </w:r>
            <w:r>
              <w:rPr>
                <w:rFonts w:ascii="Cambria" w:eastAsia="Times New Roman" w:hAnsi="Cambria" w:cs="Helvetica"/>
                <w:lang w:eastAsia="ko-KR"/>
              </w:rPr>
              <w:t>000)</w:t>
            </w:r>
          </w:p>
        </w:tc>
        <w:tc>
          <w:tcPr>
            <w:tcW w:w="839" w:type="dxa"/>
            <w:tcBorders>
              <w:top w:val="nil"/>
              <w:left w:val="nil"/>
              <w:bottom w:val="single" w:sz="4" w:space="0" w:color="auto"/>
              <w:right w:val="single" w:sz="4" w:space="0" w:color="auto"/>
            </w:tcBorders>
            <w:shd w:val="clear" w:color="auto" w:fill="B6DDE8" w:themeFill="accent5" w:themeFillTint="66"/>
            <w:noWrap/>
            <w:vAlign w:val="center"/>
            <w:hideMark/>
          </w:tcPr>
          <w:p w14:paraId="4749A15B" w14:textId="77777777" w:rsidR="00E65DE4" w:rsidRPr="00A23654" w:rsidRDefault="00E65DE4" w:rsidP="00A90779">
            <w:pPr>
              <w:spacing w:after="0" w:line="240" w:lineRule="auto"/>
              <w:jc w:val="center"/>
              <w:rPr>
                <w:rFonts w:ascii="Cambria" w:eastAsia="Times New Roman" w:hAnsi="Cambria" w:cs="Helvetica"/>
                <w:lang w:eastAsia="ko-KR"/>
              </w:rPr>
            </w:pPr>
            <w:r w:rsidRPr="00A23654">
              <w:rPr>
                <w:rFonts w:ascii="Cambria" w:eastAsia="Times New Roman" w:hAnsi="Cambria" w:cs="Helvetica"/>
                <w:lang w:eastAsia="ko-KR"/>
              </w:rPr>
              <w:t>Count</w:t>
            </w:r>
          </w:p>
        </w:tc>
      </w:tr>
      <w:tr w:rsidR="00F326BA" w:rsidRPr="00A23654" w14:paraId="027C5CD9" w14:textId="77777777" w:rsidTr="00F326BA">
        <w:trPr>
          <w:trHeight w:val="51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561640C" w14:textId="77777777" w:rsidR="003950EE" w:rsidRPr="00A23654" w:rsidRDefault="003950EE" w:rsidP="003950EE">
            <w:pPr>
              <w:spacing w:after="0" w:line="240" w:lineRule="auto"/>
              <w:jc w:val="center"/>
              <w:rPr>
                <w:rFonts w:ascii="Cambria" w:eastAsia="Times New Roman" w:hAnsi="Cambria" w:cs="Helvetica"/>
                <w:sz w:val="20"/>
                <w:szCs w:val="20"/>
                <w:lang w:eastAsia="ko-KR"/>
              </w:rPr>
            </w:pPr>
            <w:r w:rsidRPr="00A23654">
              <w:rPr>
                <w:rFonts w:ascii="Cambria" w:eastAsia="Times New Roman" w:hAnsi="Cambria" w:cs="Helvetica"/>
                <w:sz w:val="20"/>
                <w:szCs w:val="20"/>
                <w:lang w:eastAsia="ko-KR"/>
              </w:rPr>
              <w:t xml:space="preserve">Available </w:t>
            </w:r>
            <w:r>
              <w:rPr>
                <w:rFonts w:ascii="Cambria" w:eastAsia="Times New Roman" w:hAnsi="Cambria" w:cs="Helvetica"/>
                <w:sz w:val="20"/>
                <w:szCs w:val="20"/>
                <w:lang w:eastAsia="ko-KR"/>
              </w:rPr>
              <w:t>Credit</w:t>
            </w:r>
            <w:r w:rsidRPr="00A23654">
              <w:rPr>
                <w:rFonts w:ascii="Cambria" w:eastAsia="Times New Roman" w:hAnsi="Cambria" w:cs="Helvetica"/>
                <w:sz w:val="20"/>
                <w:szCs w:val="20"/>
                <w:lang w:eastAsia="ko-KR"/>
              </w:rPr>
              <w:t xml:space="preserve"> -A</w:t>
            </w:r>
          </w:p>
        </w:tc>
        <w:tc>
          <w:tcPr>
            <w:tcW w:w="1104" w:type="dxa"/>
            <w:tcBorders>
              <w:top w:val="nil"/>
              <w:left w:val="nil"/>
              <w:bottom w:val="single" w:sz="4" w:space="0" w:color="auto"/>
              <w:right w:val="single" w:sz="4" w:space="0" w:color="auto"/>
            </w:tcBorders>
            <w:shd w:val="clear" w:color="auto" w:fill="auto"/>
            <w:noWrap/>
            <w:vAlign w:val="center"/>
            <w:hideMark/>
          </w:tcPr>
          <w:p w14:paraId="1447F375" w14:textId="77777777" w:rsidR="003950EE" w:rsidRPr="00A23654" w:rsidRDefault="003950EE" w:rsidP="003950EE">
            <w:pPr>
              <w:spacing w:after="0" w:line="240" w:lineRule="auto"/>
              <w:jc w:val="center"/>
              <w:rPr>
                <w:rFonts w:ascii="Cambria" w:eastAsia="Times New Roman" w:hAnsi="Cambria" w:cs="Helvetica"/>
                <w:lang w:eastAsia="ko-KR"/>
              </w:rPr>
            </w:pPr>
            <w:r>
              <w:rPr>
                <w:rFonts w:ascii="Cambria" w:eastAsia="Times New Roman" w:hAnsi="Cambria" w:cs="Helvetica"/>
                <w:lang w:eastAsia="ko-KR"/>
              </w:rPr>
              <w:t>$</w:t>
            </w:r>
            <w:r w:rsidRPr="00A23654">
              <w:rPr>
                <w:rFonts w:ascii="Cambria" w:eastAsia="Times New Roman" w:hAnsi="Cambria" w:cs="Helvetica"/>
                <w:lang w:eastAsia="ko-KR"/>
              </w:rPr>
              <w:t>387,008</w:t>
            </w:r>
          </w:p>
        </w:tc>
        <w:tc>
          <w:tcPr>
            <w:tcW w:w="823" w:type="dxa"/>
            <w:tcBorders>
              <w:top w:val="nil"/>
              <w:left w:val="nil"/>
              <w:bottom w:val="single" w:sz="4" w:space="0" w:color="auto"/>
              <w:right w:val="single" w:sz="4" w:space="0" w:color="auto"/>
            </w:tcBorders>
            <w:shd w:val="clear" w:color="auto" w:fill="auto"/>
            <w:noWrap/>
            <w:vAlign w:val="center"/>
            <w:hideMark/>
          </w:tcPr>
          <w:p w14:paraId="275393D7" w14:textId="77777777" w:rsidR="003950EE" w:rsidRPr="00A23654" w:rsidRDefault="003950EE" w:rsidP="003950EE">
            <w:pPr>
              <w:spacing w:after="0" w:line="240" w:lineRule="auto"/>
              <w:jc w:val="center"/>
              <w:rPr>
                <w:rFonts w:ascii="Cambria" w:eastAsia="Times New Roman" w:hAnsi="Cambria" w:cs="Helvetica"/>
                <w:lang w:eastAsia="ko-KR"/>
              </w:rPr>
            </w:pPr>
            <w:r w:rsidRPr="00A23654">
              <w:rPr>
                <w:rFonts w:ascii="Cambria" w:eastAsia="Times New Roman" w:hAnsi="Cambria" w:cs="Helvetica"/>
                <w:lang w:eastAsia="ko-KR"/>
              </w:rPr>
              <w:t>4,836</w:t>
            </w:r>
          </w:p>
        </w:tc>
        <w:tc>
          <w:tcPr>
            <w:tcW w:w="1104" w:type="dxa"/>
            <w:tcBorders>
              <w:top w:val="nil"/>
              <w:left w:val="nil"/>
              <w:bottom w:val="single" w:sz="4" w:space="0" w:color="auto"/>
              <w:right w:val="single" w:sz="4" w:space="0" w:color="auto"/>
            </w:tcBorders>
            <w:shd w:val="clear" w:color="auto" w:fill="auto"/>
            <w:noWrap/>
            <w:vAlign w:val="center"/>
            <w:hideMark/>
          </w:tcPr>
          <w:p w14:paraId="4C5B6BC2" w14:textId="77777777" w:rsidR="003950EE" w:rsidRPr="00A23654" w:rsidRDefault="003950EE" w:rsidP="003950EE">
            <w:pPr>
              <w:spacing w:after="0" w:line="240" w:lineRule="auto"/>
              <w:jc w:val="center"/>
              <w:rPr>
                <w:rFonts w:ascii="Cambria" w:eastAsia="Times New Roman" w:hAnsi="Cambria" w:cs="Helvetica"/>
                <w:lang w:eastAsia="ko-KR"/>
              </w:rPr>
            </w:pPr>
            <w:r>
              <w:rPr>
                <w:rFonts w:ascii="Cambria" w:eastAsia="Times New Roman" w:hAnsi="Cambria" w:cs="Helvetica"/>
                <w:lang w:eastAsia="ko-KR"/>
              </w:rPr>
              <w:t>$</w:t>
            </w:r>
            <w:r w:rsidRPr="00A23654">
              <w:rPr>
                <w:rFonts w:ascii="Cambria" w:eastAsia="Times New Roman" w:hAnsi="Cambria" w:cs="Helvetica"/>
                <w:lang w:eastAsia="ko-KR"/>
              </w:rPr>
              <w:t>400,047</w:t>
            </w:r>
          </w:p>
        </w:tc>
        <w:tc>
          <w:tcPr>
            <w:tcW w:w="839" w:type="dxa"/>
            <w:tcBorders>
              <w:top w:val="nil"/>
              <w:left w:val="nil"/>
              <w:bottom w:val="single" w:sz="4" w:space="0" w:color="auto"/>
              <w:right w:val="single" w:sz="4" w:space="0" w:color="auto"/>
            </w:tcBorders>
            <w:shd w:val="clear" w:color="auto" w:fill="auto"/>
            <w:noWrap/>
            <w:vAlign w:val="center"/>
            <w:hideMark/>
          </w:tcPr>
          <w:p w14:paraId="6A41C458" w14:textId="77777777" w:rsidR="003950EE" w:rsidRPr="00A23654" w:rsidRDefault="003950EE" w:rsidP="003950EE">
            <w:pPr>
              <w:spacing w:after="0" w:line="240" w:lineRule="auto"/>
              <w:jc w:val="center"/>
              <w:rPr>
                <w:rFonts w:ascii="Cambria" w:eastAsia="Times New Roman" w:hAnsi="Cambria" w:cs="Helvetica"/>
                <w:lang w:eastAsia="ko-KR"/>
              </w:rPr>
            </w:pPr>
            <w:r w:rsidRPr="00A23654">
              <w:rPr>
                <w:rFonts w:ascii="Cambria" w:eastAsia="Times New Roman" w:hAnsi="Cambria" w:cs="Helvetica"/>
                <w:lang w:eastAsia="ko-KR"/>
              </w:rPr>
              <w:t>4,809</w:t>
            </w:r>
          </w:p>
        </w:tc>
        <w:tc>
          <w:tcPr>
            <w:tcW w:w="1104" w:type="dxa"/>
            <w:tcBorders>
              <w:top w:val="nil"/>
              <w:left w:val="nil"/>
              <w:bottom w:val="single" w:sz="4" w:space="0" w:color="auto"/>
              <w:right w:val="single" w:sz="4" w:space="0" w:color="auto"/>
            </w:tcBorders>
            <w:shd w:val="clear" w:color="auto" w:fill="auto"/>
            <w:noWrap/>
            <w:vAlign w:val="center"/>
            <w:hideMark/>
          </w:tcPr>
          <w:p w14:paraId="7816601F" w14:textId="77777777" w:rsidR="003950EE" w:rsidRPr="00A23654" w:rsidRDefault="003950EE" w:rsidP="003950EE">
            <w:pPr>
              <w:spacing w:after="0" w:line="240" w:lineRule="auto"/>
              <w:jc w:val="center"/>
              <w:rPr>
                <w:rFonts w:ascii="Cambria" w:eastAsia="Times New Roman" w:hAnsi="Cambria" w:cs="Helvetica"/>
                <w:lang w:eastAsia="ko-KR"/>
              </w:rPr>
            </w:pPr>
            <w:r>
              <w:rPr>
                <w:rFonts w:ascii="Cambria" w:eastAsia="Times New Roman" w:hAnsi="Cambria" w:cs="Helvetica"/>
                <w:lang w:eastAsia="ko-KR"/>
              </w:rPr>
              <w:t>$</w:t>
            </w:r>
            <w:r w:rsidRPr="00A23654">
              <w:rPr>
                <w:rFonts w:ascii="Cambria" w:eastAsia="Times New Roman" w:hAnsi="Cambria" w:cs="Helvetica"/>
                <w:lang w:eastAsia="ko-KR"/>
              </w:rPr>
              <w:t>395,614</w:t>
            </w:r>
          </w:p>
        </w:tc>
        <w:tc>
          <w:tcPr>
            <w:tcW w:w="823" w:type="dxa"/>
            <w:tcBorders>
              <w:top w:val="nil"/>
              <w:left w:val="nil"/>
              <w:bottom w:val="single" w:sz="4" w:space="0" w:color="auto"/>
              <w:right w:val="single" w:sz="4" w:space="0" w:color="auto"/>
            </w:tcBorders>
            <w:shd w:val="clear" w:color="auto" w:fill="auto"/>
            <w:noWrap/>
            <w:vAlign w:val="center"/>
            <w:hideMark/>
          </w:tcPr>
          <w:p w14:paraId="0D7284A5" w14:textId="77777777" w:rsidR="003950EE" w:rsidRPr="00A23654" w:rsidRDefault="003950EE" w:rsidP="003950EE">
            <w:pPr>
              <w:spacing w:after="0" w:line="240" w:lineRule="auto"/>
              <w:jc w:val="center"/>
              <w:rPr>
                <w:rFonts w:ascii="Cambria" w:eastAsia="Times New Roman" w:hAnsi="Cambria" w:cs="Helvetica"/>
                <w:lang w:eastAsia="ko-KR"/>
              </w:rPr>
            </w:pPr>
            <w:r w:rsidRPr="00A23654">
              <w:rPr>
                <w:rFonts w:ascii="Cambria" w:eastAsia="Times New Roman" w:hAnsi="Cambria" w:cs="Helvetica"/>
                <w:lang w:eastAsia="ko-KR"/>
              </w:rPr>
              <w:t>4,786</w:t>
            </w:r>
          </w:p>
        </w:tc>
        <w:tc>
          <w:tcPr>
            <w:tcW w:w="1104" w:type="dxa"/>
            <w:tcBorders>
              <w:top w:val="nil"/>
              <w:left w:val="nil"/>
              <w:bottom w:val="single" w:sz="4" w:space="0" w:color="auto"/>
              <w:right w:val="single" w:sz="4" w:space="0" w:color="auto"/>
            </w:tcBorders>
            <w:shd w:val="clear" w:color="auto" w:fill="auto"/>
            <w:noWrap/>
            <w:vAlign w:val="center"/>
            <w:hideMark/>
          </w:tcPr>
          <w:p w14:paraId="7D575952" w14:textId="77777777" w:rsidR="003950EE" w:rsidRPr="00A23654" w:rsidRDefault="003950EE" w:rsidP="003950EE">
            <w:pPr>
              <w:spacing w:after="0" w:line="240" w:lineRule="auto"/>
              <w:jc w:val="center"/>
              <w:rPr>
                <w:rFonts w:ascii="Cambria" w:eastAsia="Times New Roman" w:hAnsi="Cambria" w:cs="Helvetica"/>
                <w:lang w:eastAsia="ko-KR"/>
              </w:rPr>
            </w:pPr>
            <w:r>
              <w:rPr>
                <w:rFonts w:ascii="Cambria" w:eastAsia="Times New Roman" w:hAnsi="Cambria" w:cs="Helvetica"/>
                <w:lang w:eastAsia="ko-KR"/>
              </w:rPr>
              <w:t>$</w:t>
            </w:r>
            <w:r w:rsidRPr="00A23654">
              <w:rPr>
                <w:rFonts w:ascii="Cambria" w:eastAsia="Times New Roman" w:hAnsi="Cambria" w:cs="Helvetica"/>
                <w:lang w:eastAsia="ko-KR"/>
              </w:rPr>
              <w:t>401,210</w:t>
            </w:r>
          </w:p>
        </w:tc>
        <w:tc>
          <w:tcPr>
            <w:tcW w:w="839" w:type="dxa"/>
            <w:tcBorders>
              <w:top w:val="nil"/>
              <w:left w:val="nil"/>
              <w:bottom w:val="single" w:sz="4" w:space="0" w:color="auto"/>
              <w:right w:val="single" w:sz="4" w:space="0" w:color="auto"/>
            </w:tcBorders>
            <w:shd w:val="clear" w:color="auto" w:fill="auto"/>
            <w:noWrap/>
            <w:vAlign w:val="center"/>
            <w:hideMark/>
          </w:tcPr>
          <w:p w14:paraId="1B0AA583" w14:textId="77777777" w:rsidR="003950EE" w:rsidRPr="00A23654" w:rsidRDefault="003950EE" w:rsidP="003950EE">
            <w:pPr>
              <w:spacing w:after="0" w:line="240" w:lineRule="auto"/>
              <w:jc w:val="center"/>
              <w:rPr>
                <w:rFonts w:ascii="Cambria" w:eastAsia="Times New Roman" w:hAnsi="Cambria" w:cs="Helvetica"/>
                <w:lang w:eastAsia="ko-KR"/>
              </w:rPr>
            </w:pPr>
            <w:r w:rsidRPr="00A23654">
              <w:rPr>
                <w:rFonts w:ascii="Cambria" w:eastAsia="Times New Roman" w:hAnsi="Cambria" w:cs="Helvetica"/>
                <w:lang w:eastAsia="ko-KR"/>
              </w:rPr>
              <w:t>4,611</w:t>
            </w:r>
          </w:p>
        </w:tc>
      </w:tr>
      <w:tr w:rsidR="00F326BA" w:rsidRPr="00A23654" w14:paraId="1DF66D2F" w14:textId="77777777" w:rsidTr="00F326BA">
        <w:trPr>
          <w:trHeight w:val="500"/>
        </w:trPr>
        <w:tc>
          <w:tcPr>
            <w:tcW w:w="1980"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7802A488" w14:textId="77777777" w:rsidR="003950EE" w:rsidRPr="00A23654" w:rsidRDefault="003950EE" w:rsidP="003950EE">
            <w:pPr>
              <w:spacing w:after="0" w:line="240" w:lineRule="auto"/>
              <w:jc w:val="center"/>
              <w:rPr>
                <w:rFonts w:ascii="Cambria" w:eastAsia="Times New Roman" w:hAnsi="Cambria" w:cs="Helvetica"/>
                <w:color w:val="000000"/>
                <w:sz w:val="20"/>
                <w:szCs w:val="20"/>
                <w:lang w:eastAsia="ko-KR"/>
              </w:rPr>
            </w:pPr>
            <w:r w:rsidRPr="00A23654">
              <w:rPr>
                <w:rFonts w:ascii="Cambria" w:eastAsia="Times New Roman" w:hAnsi="Cambria" w:cs="Helvetica"/>
                <w:color w:val="000000"/>
                <w:sz w:val="20"/>
                <w:szCs w:val="20"/>
                <w:lang w:eastAsia="ko-KR"/>
              </w:rPr>
              <w:t xml:space="preserve"> Claimed </w:t>
            </w:r>
            <w:r>
              <w:rPr>
                <w:rFonts w:ascii="Cambria" w:eastAsia="Times New Roman" w:hAnsi="Cambria" w:cs="Helvetica"/>
                <w:color w:val="000000"/>
                <w:sz w:val="20"/>
                <w:szCs w:val="20"/>
                <w:lang w:eastAsia="ko-KR"/>
              </w:rPr>
              <w:t>Credit</w:t>
            </w:r>
          </w:p>
        </w:tc>
        <w:tc>
          <w:tcPr>
            <w:tcW w:w="1104" w:type="dxa"/>
            <w:tcBorders>
              <w:top w:val="single" w:sz="4" w:space="0" w:color="auto"/>
              <w:left w:val="nil"/>
              <w:bottom w:val="single" w:sz="4" w:space="0" w:color="auto"/>
              <w:right w:val="single" w:sz="4" w:space="0" w:color="auto"/>
            </w:tcBorders>
            <w:shd w:val="clear" w:color="000000" w:fill="auto"/>
            <w:noWrap/>
            <w:vAlign w:val="center"/>
            <w:hideMark/>
          </w:tcPr>
          <w:p w14:paraId="186EDBFD" w14:textId="77777777" w:rsidR="003950EE" w:rsidRPr="00A23654" w:rsidRDefault="003950EE" w:rsidP="003950EE">
            <w:pPr>
              <w:spacing w:after="0" w:line="240" w:lineRule="auto"/>
              <w:jc w:val="center"/>
              <w:rPr>
                <w:rFonts w:ascii="Cambria" w:eastAsia="Times New Roman" w:hAnsi="Cambria" w:cs="Helvetica"/>
                <w:lang w:eastAsia="ko-KR"/>
              </w:rPr>
            </w:pPr>
            <w:r>
              <w:rPr>
                <w:rFonts w:ascii="Cambria" w:eastAsia="Times New Roman" w:hAnsi="Cambria" w:cs="Helvetica"/>
                <w:lang w:eastAsia="ko-KR"/>
              </w:rPr>
              <w:t>$</w:t>
            </w:r>
            <w:r w:rsidRPr="00A23654">
              <w:rPr>
                <w:rFonts w:ascii="Cambria" w:eastAsia="Times New Roman" w:hAnsi="Cambria" w:cs="Helvetica"/>
                <w:lang w:eastAsia="ko-KR"/>
              </w:rPr>
              <w:t>4</w:t>
            </w:r>
            <w:r>
              <w:rPr>
                <w:rFonts w:ascii="Cambria" w:eastAsia="Times New Roman" w:hAnsi="Cambria" w:cs="Helvetica"/>
                <w:lang w:eastAsia="ko-KR"/>
              </w:rPr>
              <w:t>6,262</w:t>
            </w:r>
          </w:p>
        </w:tc>
        <w:tc>
          <w:tcPr>
            <w:tcW w:w="823" w:type="dxa"/>
            <w:tcBorders>
              <w:top w:val="single" w:sz="4" w:space="0" w:color="auto"/>
              <w:left w:val="nil"/>
              <w:bottom w:val="single" w:sz="4" w:space="0" w:color="auto"/>
              <w:right w:val="single" w:sz="4" w:space="0" w:color="auto"/>
            </w:tcBorders>
            <w:shd w:val="clear" w:color="000000" w:fill="auto"/>
            <w:noWrap/>
            <w:vAlign w:val="center"/>
            <w:hideMark/>
          </w:tcPr>
          <w:p w14:paraId="6FFA3693" w14:textId="77777777" w:rsidR="003950EE" w:rsidRPr="00A23654" w:rsidRDefault="003950EE" w:rsidP="003950EE">
            <w:pPr>
              <w:spacing w:after="0" w:line="240" w:lineRule="auto"/>
              <w:jc w:val="center"/>
              <w:rPr>
                <w:rFonts w:ascii="Cambria" w:eastAsia="Times New Roman" w:hAnsi="Cambria" w:cs="Helvetica"/>
                <w:lang w:eastAsia="ko-KR"/>
              </w:rPr>
            </w:pPr>
            <w:r w:rsidRPr="00A23654">
              <w:rPr>
                <w:rFonts w:ascii="Cambria" w:eastAsia="Times New Roman" w:hAnsi="Cambria" w:cs="Helvetica"/>
                <w:lang w:eastAsia="ko-KR"/>
              </w:rPr>
              <w:t>2,288</w:t>
            </w:r>
          </w:p>
        </w:tc>
        <w:tc>
          <w:tcPr>
            <w:tcW w:w="1104" w:type="dxa"/>
            <w:tcBorders>
              <w:top w:val="single" w:sz="4" w:space="0" w:color="auto"/>
              <w:left w:val="nil"/>
              <w:bottom w:val="single" w:sz="4" w:space="0" w:color="auto"/>
              <w:right w:val="single" w:sz="4" w:space="0" w:color="auto"/>
            </w:tcBorders>
            <w:shd w:val="clear" w:color="000000" w:fill="auto"/>
            <w:noWrap/>
            <w:vAlign w:val="center"/>
            <w:hideMark/>
          </w:tcPr>
          <w:p w14:paraId="6D0C920C" w14:textId="77777777" w:rsidR="003950EE" w:rsidRPr="00A23654" w:rsidRDefault="003950EE" w:rsidP="003950EE">
            <w:pPr>
              <w:spacing w:after="0" w:line="240" w:lineRule="auto"/>
              <w:jc w:val="center"/>
              <w:rPr>
                <w:rFonts w:ascii="Cambria" w:eastAsia="Times New Roman" w:hAnsi="Cambria" w:cs="Helvetica"/>
                <w:lang w:eastAsia="ko-KR"/>
              </w:rPr>
            </w:pPr>
            <w:r>
              <w:rPr>
                <w:rFonts w:ascii="Cambria" w:eastAsia="Times New Roman" w:hAnsi="Cambria" w:cs="Helvetica"/>
                <w:lang w:eastAsia="ko-KR"/>
              </w:rPr>
              <w:t>$</w:t>
            </w:r>
            <w:r w:rsidRPr="00A23654">
              <w:rPr>
                <w:rFonts w:ascii="Cambria" w:eastAsia="Times New Roman" w:hAnsi="Cambria" w:cs="Helvetica"/>
                <w:lang w:eastAsia="ko-KR"/>
              </w:rPr>
              <w:t>4</w:t>
            </w:r>
            <w:r>
              <w:rPr>
                <w:rFonts w:ascii="Cambria" w:eastAsia="Times New Roman" w:hAnsi="Cambria" w:cs="Helvetica"/>
                <w:lang w:eastAsia="ko-KR"/>
              </w:rPr>
              <w:t>4,192</w:t>
            </w:r>
          </w:p>
        </w:tc>
        <w:tc>
          <w:tcPr>
            <w:tcW w:w="839" w:type="dxa"/>
            <w:tcBorders>
              <w:top w:val="single" w:sz="4" w:space="0" w:color="auto"/>
              <w:left w:val="nil"/>
              <w:bottom w:val="single" w:sz="4" w:space="0" w:color="auto"/>
              <w:right w:val="single" w:sz="4" w:space="0" w:color="auto"/>
            </w:tcBorders>
            <w:shd w:val="clear" w:color="000000" w:fill="auto"/>
            <w:noWrap/>
            <w:vAlign w:val="center"/>
            <w:hideMark/>
          </w:tcPr>
          <w:p w14:paraId="164BBEE3" w14:textId="77777777" w:rsidR="003950EE" w:rsidRPr="00A23654" w:rsidRDefault="003950EE" w:rsidP="003950EE">
            <w:pPr>
              <w:spacing w:after="0" w:line="240" w:lineRule="auto"/>
              <w:jc w:val="center"/>
              <w:rPr>
                <w:rFonts w:ascii="Cambria" w:eastAsia="Times New Roman" w:hAnsi="Cambria" w:cs="Helvetica"/>
                <w:lang w:eastAsia="ko-KR"/>
              </w:rPr>
            </w:pPr>
            <w:r w:rsidRPr="00A23654">
              <w:rPr>
                <w:rFonts w:ascii="Cambria" w:eastAsia="Times New Roman" w:hAnsi="Cambria" w:cs="Helvetica"/>
                <w:lang w:eastAsia="ko-KR"/>
              </w:rPr>
              <w:t>2,222</w:t>
            </w:r>
          </w:p>
        </w:tc>
        <w:tc>
          <w:tcPr>
            <w:tcW w:w="1104" w:type="dxa"/>
            <w:tcBorders>
              <w:top w:val="single" w:sz="4" w:space="0" w:color="auto"/>
              <w:left w:val="nil"/>
              <w:bottom w:val="single" w:sz="4" w:space="0" w:color="auto"/>
              <w:right w:val="single" w:sz="4" w:space="0" w:color="auto"/>
            </w:tcBorders>
            <w:shd w:val="clear" w:color="000000" w:fill="auto"/>
            <w:noWrap/>
            <w:vAlign w:val="center"/>
            <w:hideMark/>
          </w:tcPr>
          <w:p w14:paraId="72E6CCEC" w14:textId="77777777" w:rsidR="003950EE" w:rsidRPr="00A23654" w:rsidRDefault="003950EE" w:rsidP="003950EE">
            <w:pPr>
              <w:spacing w:after="0" w:line="240" w:lineRule="auto"/>
              <w:jc w:val="center"/>
              <w:rPr>
                <w:rFonts w:ascii="Cambria" w:eastAsia="Times New Roman" w:hAnsi="Cambria" w:cs="Helvetica"/>
                <w:lang w:eastAsia="ko-KR"/>
              </w:rPr>
            </w:pPr>
            <w:r>
              <w:rPr>
                <w:rFonts w:ascii="Cambria" w:eastAsia="Times New Roman" w:hAnsi="Cambria" w:cs="Helvetica"/>
                <w:lang w:eastAsia="ko-KR"/>
              </w:rPr>
              <w:t>$</w:t>
            </w:r>
            <w:r w:rsidRPr="00A23654">
              <w:rPr>
                <w:rFonts w:ascii="Cambria" w:eastAsia="Times New Roman" w:hAnsi="Cambria" w:cs="Helvetica"/>
                <w:lang w:eastAsia="ko-KR"/>
              </w:rPr>
              <w:t>54,155</w:t>
            </w:r>
          </w:p>
        </w:tc>
        <w:tc>
          <w:tcPr>
            <w:tcW w:w="823" w:type="dxa"/>
            <w:tcBorders>
              <w:top w:val="single" w:sz="4" w:space="0" w:color="auto"/>
              <w:left w:val="nil"/>
              <w:bottom w:val="single" w:sz="4" w:space="0" w:color="auto"/>
              <w:right w:val="single" w:sz="4" w:space="0" w:color="auto"/>
            </w:tcBorders>
            <w:shd w:val="clear" w:color="000000" w:fill="auto"/>
            <w:noWrap/>
            <w:vAlign w:val="center"/>
            <w:hideMark/>
          </w:tcPr>
          <w:p w14:paraId="1B507E5C" w14:textId="77777777" w:rsidR="003950EE" w:rsidRPr="00A23654" w:rsidRDefault="003950EE" w:rsidP="003950EE">
            <w:pPr>
              <w:spacing w:after="0" w:line="240" w:lineRule="auto"/>
              <w:jc w:val="center"/>
              <w:rPr>
                <w:rFonts w:ascii="Cambria" w:eastAsia="Times New Roman" w:hAnsi="Cambria" w:cs="Helvetica"/>
                <w:lang w:eastAsia="ko-KR"/>
              </w:rPr>
            </w:pPr>
            <w:r w:rsidRPr="00A23654">
              <w:rPr>
                <w:rFonts w:ascii="Cambria" w:eastAsia="Times New Roman" w:hAnsi="Cambria" w:cs="Helvetica"/>
                <w:lang w:eastAsia="ko-KR"/>
              </w:rPr>
              <w:t>2,138</w:t>
            </w:r>
          </w:p>
        </w:tc>
        <w:tc>
          <w:tcPr>
            <w:tcW w:w="1104" w:type="dxa"/>
            <w:tcBorders>
              <w:top w:val="single" w:sz="4" w:space="0" w:color="auto"/>
              <w:left w:val="nil"/>
              <w:bottom w:val="single" w:sz="4" w:space="0" w:color="auto"/>
              <w:right w:val="single" w:sz="4" w:space="0" w:color="auto"/>
            </w:tcBorders>
            <w:shd w:val="clear" w:color="000000" w:fill="auto"/>
            <w:noWrap/>
            <w:vAlign w:val="center"/>
            <w:hideMark/>
          </w:tcPr>
          <w:p w14:paraId="7A0C5660" w14:textId="77777777" w:rsidR="003950EE" w:rsidRPr="00A23654" w:rsidRDefault="003950EE" w:rsidP="003950EE">
            <w:pPr>
              <w:spacing w:after="0" w:line="240" w:lineRule="auto"/>
              <w:jc w:val="center"/>
              <w:rPr>
                <w:rFonts w:ascii="Cambria" w:eastAsia="Times New Roman" w:hAnsi="Cambria" w:cs="Helvetica"/>
                <w:lang w:eastAsia="ko-KR"/>
              </w:rPr>
            </w:pPr>
            <w:r>
              <w:rPr>
                <w:rFonts w:ascii="Cambria" w:eastAsia="Times New Roman" w:hAnsi="Cambria" w:cs="Helvetica"/>
                <w:lang w:eastAsia="ko-KR"/>
              </w:rPr>
              <w:t>$</w:t>
            </w:r>
            <w:r w:rsidRPr="00A23654">
              <w:rPr>
                <w:rFonts w:ascii="Cambria" w:eastAsia="Times New Roman" w:hAnsi="Cambria" w:cs="Helvetica"/>
                <w:lang w:eastAsia="ko-KR"/>
              </w:rPr>
              <w:t>61,554</w:t>
            </w:r>
          </w:p>
        </w:tc>
        <w:tc>
          <w:tcPr>
            <w:tcW w:w="839" w:type="dxa"/>
            <w:tcBorders>
              <w:top w:val="single" w:sz="4" w:space="0" w:color="auto"/>
              <w:left w:val="nil"/>
              <w:bottom w:val="single" w:sz="4" w:space="0" w:color="auto"/>
              <w:right w:val="single" w:sz="4" w:space="0" w:color="auto"/>
            </w:tcBorders>
            <w:shd w:val="clear" w:color="000000" w:fill="auto"/>
            <w:noWrap/>
            <w:vAlign w:val="center"/>
            <w:hideMark/>
          </w:tcPr>
          <w:p w14:paraId="465AA19A" w14:textId="77777777" w:rsidR="003950EE" w:rsidRPr="00A23654" w:rsidRDefault="003950EE" w:rsidP="003950EE">
            <w:pPr>
              <w:spacing w:after="0" w:line="240" w:lineRule="auto"/>
              <w:jc w:val="center"/>
              <w:rPr>
                <w:rFonts w:ascii="Cambria" w:eastAsia="Times New Roman" w:hAnsi="Cambria" w:cs="Helvetica"/>
                <w:lang w:eastAsia="ko-KR"/>
              </w:rPr>
            </w:pPr>
            <w:r w:rsidRPr="00A23654">
              <w:rPr>
                <w:rFonts w:ascii="Cambria" w:eastAsia="Times New Roman" w:hAnsi="Cambria" w:cs="Helvetica"/>
                <w:lang w:eastAsia="ko-KR"/>
              </w:rPr>
              <w:t>2,019</w:t>
            </w:r>
          </w:p>
        </w:tc>
      </w:tr>
      <w:tr w:rsidR="00F326BA" w:rsidRPr="00A23654" w14:paraId="0AD5027A" w14:textId="77777777" w:rsidTr="00F326BA">
        <w:trPr>
          <w:trHeight w:val="500"/>
        </w:trPr>
        <w:tc>
          <w:tcPr>
            <w:tcW w:w="1980" w:type="dxa"/>
            <w:tcBorders>
              <w:top w:val="nil"/>
              <w:left w:val="single" w:sz="4" w:space="0" w:color="auto"/>
              <w:bottom w:val="single" w:sz="4" w:space="0" w:color="auto"/>
              <w:right w:val="single" w:sz="4" w:space="0" w:color="auto"/>
            </w:tcBorders>
            <w:shd w:val="clear" w:color="000000" w:fill="auto"/>
            <w:vAlign w:val="center"/>
            <w:hideMark/>
          </w:tcPr>
          <w:p w14:paraId="11C76E8E" w14:textId="77777777" w:rsidR="003950EE" w:rsidRPr="00A23654" w:rsidRDefault="003950EE" w:rsidP="003950EE">
            <w:pPr>
              <w:spacing w:after="0" w:line="240" w:lineRule="auto"/>
              <w:jc w:val="center"/>
              <w:rPr>
                <w:rFonts w:ascii="Cambria" w:eastAsia="Times New Roman" w:hAnsi="Cambria" w:cs="Helvetica"/>
                <w:sz w:val="20"/>
                <w:szCs w:val="20"/>
                <w:lang w:eastAsia="ko-KR"/>
              </w:rPr>
            </w:pPr>
            <w:r w:rsidRPr="00A23654">
              <w:rPr>
                <w:rFonts w:ascii="Cambria" w:eastAsia="Times New Roman" w:hAnsi="Cambria" w:cs="Helvetica"/>
                <w:sz w:val="20"/>
                <w:szCs w:val="20"/>
                <w:lang w:eastAsia="ko-KR"/>
              </w:rPr>
              <w:t xml:space="preserve">Shared </w:t>
            </w:r>
            <w:r>
              <w:rPr>
                <w:rFonts w:ascii="Cambria" w:eastAsia="Times New Roman" w:hAnsi="Cambria" w:cs="Helvetica"/>
                <w:sz w:val="20"/>
                <w:szCs w:val="20"/>
                <w:lang w:eastAsia="ko-KR"/>
              </w:rPr>
              <w:t>Credit</w:t>
            </w:r>
          </w:p>
        </w:tc>
        <w:tc>
          <w:tcPr>
            <w:tcW w:w="1104" w:type="dxa"/>
            <w:tcBorders>
              <w:top w:val="nil"/>
              <w:left w:val="nil"/>
              <w:bottom w:val="single" w:sz="4" w:space="0" w:color="auto"/>
              <w:right w:val="single" w:sz="4" w:space="0" w:color="auto"/>
            </w:tcBorders>
            <w:shd w:val="clear" w:color="000000" w:fill="auto"/>
            <w:noWrap/>
            <w:vAlign w:val="center"/>
            <w:hideMark/>
          </w:tcPr>
          <w:p w14:paraId="2AE90631" w14:textId="77777777" w:rsidR="003950EE" w:rsidRPr="00A23654" w:rsidRDefault="003950EE" w:rsidP="003950EE">
            <w:pPr>
              <w:spacing w:after="0" w:line="240" w:lineRule="auto"/>
              <w:jc w:val="center"/>
              <w:rPr>
                <w:rFonts w:ascii="Cambria" w:eastAsia="Times New Roman" w:hAnsi="Cambria" w:cs="Helvetica"/>
                <w:lang w:eastAsia="ko-KR"/>
              </w:rPr>
            </w:pPr>
            <w:r>
              <w:rPr>
                <w:rFonts w:ascii="Cambria" w:eastAsia="Times New Roman" w:hAnsi="Cambria" w:cs="Helvetica"/>
                <w:lang w:eastAsia="ko-KR"/>
              </w:rPr>
              <w:t>$</w:t>
            </w:r>
            <w:r w:rsidRPr="00A23654">
              <w:rPr>
                <w:rFonts w:ascii="Cambria" w:eastAsia="Times New Roman" w:hAnsi="Cambria" w:cs="Helvetica"/>
                <w:lang w:eastAsia="ko-KR"/>
              </w:rPr>
              <w:t>8,490</w:t>
            </w:r>
          </w:p>
        </w:tc>
        <w:tc>
          <w:tcPr>
            <w:tcW w:w="823" w:type="dxa"/>
            <w:tcBorders>
              <w:top w:val="nil"/>
              <w:left w:val="nil"/>
              <w:bottom w:val="single" w:sz="4" w:space="0" w:color="auto"/>
              <w:right w:val="single" w:sz="4" w:space="0" w:color="auto"/>
            </w:tcBorders>
            <w:shd w:val="clear" w:color="000000" w:fill="auto"/>
            <w:noWrap/>
            <w:vAlign w:val="center"/>
            <w:hideMark/>
          </w:tcPr>
          <w:p w14:paraId="489F6004" w14:textId="77777777" w:rsidR="003950EE" w:rsidRPr="00A23654" w:rsidRDefault="003950EE" w:rsidP="003950EE">
            <w:pPr>
              <w:spacing w:after="0" w:line="240" w:lineRule="auto"/>
              <w:jc w:val="center"/>
              <w:rPr>
                <w:rFonts w:ascii="Cambria" w:eastAsia="Times New Roman" w:hAnsi="Cambria" w:cs="Helvetica"/>
                <w:lang w:eastAsia="ko-KR"/>
              </w:rPr>
            </w:pPr>
            <w:r w:rsidRPr="00A23654">
              <w:rPr>
                <w:rFonts w:ascii="Cambria" w:eastAsia="Times New Roman" w:hAnsi="Cambria" w:cs="Helvetica"/>
                <w:lang w:eastAsia="ko-KR"/>
              </w:rPr>
              <w:t>75</w:t>
            </w:r>
          </w:p>
        </w:tc>
        <w:tc>
          <w:tcPr>
            <w:tcW w:w="1104" w:type="dxa"/>
            <w:tcBorders>
              <w:top w:val="nil"/>
              <w:left w:val="nil"/>
              <w:bottom w:val="single" w:sz="4" w:space="0" w:color="auto"/>
              <w:right w:val="single" w:sz="4" w:space="0" w:color="auto"/>
            </w:tcBorders>
            <w:shd w:val="clear" w:color="000000" w:fill="auto"/>
            <w:noWrap/>
            <w:vAlign w:val="center"/>
            <w:hideMark/>
          </w:tcPr>
          <w:p w14:paraId="2533479B" w14:textId="77777777" w:rsidR="003950EE" w:rsidRPr="00A23654" w:rsidRDefault="003950EE" w:rsidP="003950EE">
            <w:pPr>
              <w:spacing w:after="0" w:line="240" w:lineRule="auto"/>
              <w:jc w:val="center"/>
              <w:rPr>
                <w:rFonts w:ascii="Cambria" w:eastAsia="Times New Roman" w:hAnsi="Cambria" w:cs="Helvetica"/>
                <w:lang w:eastAsia="ko-KR"/>
              </w:rPr>
            </w:pPr>
            <w:r>
              <w:rPr>
                <w:rFonts w:ascii="Cambria" w:eastAsia="Times New Roman" w:hAnsi="Cambria" w:cs="Helvetica"/>
                <w:lang w:eastAsia="ko-KR"/>
              </w:rPr>
              <w:t>$</w:t>
            </w:r>
            <w:r w:rsidRPr="00A23654">
              <w:rPr>
                <w:rFonts w:ascii="Cambria" w:eastAsia="Times New Roman" w:hAnsi="Cambria" w:cs="Helvetica"/>
                <w:lang w:eastAsia="ko-KR"/>
              </w:rPr>
              <w:t>9,040</w:t>
            </w:r>
          </w:p>
        </w:tc>
        <w:tc>
          <w:tcPr>
            <w:tcW w:w="839" w:type="dxa"/>
            <w:tcBorders>
              <w:top w:val="nil"/>
              <w:left w:val="nil"/>
              <w:bottom w:val="single" w:sz="4" w:space="0" w:color="auto"/>
              <w:right w:val="single" w:sz="4" w:space="0" w:color="auto"/>
            </w:tcBorders>
            <w:shd w:val="clear" w:color="000000" w:fill="auto"/>
            <w:noWrap/>
            <w:vAlign w:val="center"/>
            <w:hideMark/>
          </w:tcPr>
          <w:p w14:paraId="3B4ECA18" w14:textId="77777777" w:rsidR="003950EE" w:rsidRPr="00A23654" w:rsidRDefault="003950EE" w:rsidP="003950EE">
            <w:pPr>
              <w:spacing w:after="0" w:line="240" w:lineRule="auto"/>
              <w:jc w:val="center"/>
              <w:rPr>
                <w:rFonts w:ascii="Cambria" w:eastAsia="Times New Roman" w:hAnsi="Cambria" w:cs="Helvetica"/>
                <w:lang w:eastAsia="ko-KR"/>
              </w:rPr>
            </w:pPr>
            <w:r w:rsidRPr="00A23654">
              <w:rPr>
                <w:rFonts w:ascii="Cambria" w:eastAsia="Times New Roman" w:hAnsi="Cambria" w:cs="Helvetica"/>
                <w:lang w:eastAsia="ko-KR"/>
              </w:rPr>
              <w:t>84</w:t>
            </w:r>
          </w:p>
        </w:tc>
        <w:tc>
          <w:tcPr>
            <w:tcW w:w="1104" w:type="dxa"/>
            <w:tcBorders>
              <w:top w:val="nil"/>
              <w:left w:val="nil"/>
              <w:bottom w:val="single" w:sz="4" w:space="0" w:color="auto"/>
              <w:right w:val="single" w:sz="4" w:space="0" w:color="auto"/>
            </w:tcBorders>
            <w:shd w:val="clear" w:color="000000" w:fill="auto"/>
            <w:noWrap/>
            <w:vAlign w:val="center"/>
            <w:hideMark/>
          </w:tcPr>
          <w:p w14:paraId="58ABCAD1" w14:textId="77777777" w:rsidR="003950EE" w:rsidRPr="00A23654" w:rsidRDefault="003950EE" w:rsidP="003950EE">
            <w:pPr>
              <w:spacing w:after="0" w:line="240" w:lineRule="auto"/>
              <w:jc w:val="center"/>
              <w:rPr>
                <w:rFonts w:ascii="Cambria" w:eastAsia="Times New Roman" w:hAnsi="Cambria" w:cs="Helvetica"/>
                <w:lang w:eastAsia="ko-KR"/>
              </w:rPr>
            </w:pPr>
            <w:r>
              <w:rPr>
                <w:rFonts w:ascii="Cambria" w:eastAsia="Times New Roman" w:hAnsi="Cambria" w:cs="Helvetica"/>
                <w:lang w:eastAsia="ko-KR"/>
              </w:rPr>
              <w:t>$</w:t>
            </w:r>
            <w:r w:rsidRPr="00A23654">
              <w:rPr>
                <w:rFonts w:ascii="Cambria" w:eastAsia="Times New Roman" w:hAnsi="Cambria" w:cs="Helvetica"/>
                <w:lang w:eastAsia="ko-KR"/>
              </w:rPr>
              <w:t>9,140</w:t>
            </w:r>
          </w:p>
        </w:tc>
        <w:tc>
          <w:tcPr>
            <w:tcW w:w="823" w:type="dxa"/>
            <w:tcBorders>
              <w:top w:val="nil"/>
              <w:left w:val="nil"/>
              <w:bottom w:val="single" w:sz="4" w:space="0" w:color="auto"/>
              <w:right w:val="single" w:sz="4" w:space="0" w:color="auto"/>
            </w:tcBorders>
            <w:shd w:val="clear" w:color="000000" w:fill="auto"/>
            <w:noWrap/>
            <w:vAlign w:val="center"/>
            <w:hideMark/>
          </w:tcPr>
          <w:p w14:paraId="5190946F" w14:textId="77777777" w:rsidR="003950EE" w:rsidRPr="00A23654" w:rsidRDefault="003950EE" w:rsidP="003950EE">
            <w:pPr>
              <w:spacing w:after="0" w:line="240" w:lineRule="auto"/>
              <w:jc w:val="center"/>
              <w:rPr>
                <w:rFonts w:ascii="Cambria" w:eastAsia="Times New Roman" w:hAnsi="Cambria" w:cs="Helvetica"/>
                <w:lang w:eastAsia="ko-KR"/>
              </w:rPr>
            </w:pPr>
            <w:r w:rsidRPr="00A23654">
              <w:rPr>
                <w:rFonts w:ascii="Cambria" w:eastAsia="Times New Roman" w:hAnsi="Cambria" w:cs="Helvetica"/>
                <w:lang w:eastAsia="ko-KR"/>
              </w:rPr>
              <w:t>105</w:t>
            </w:r>
          </w:p>
        </w:tc>
        <w:tc>
          <w:tcPr>
            <w:tcW w:w="1104" w:type="dxa"/>
            <w:tcBorders>
              <w:top w:val="nil"/>
              <w:left w:val="nil"/>
              <w:bottom w:val="single" w:sz="4" w:space="0" w:color="auto"/>
              <w:right w:val="single" w:sz="4" w:space="0" w:color="auto"/>
            </w:tcBorders>
            <w:shd w:val="clear" w:color="000000" w:fill="auto"/>
            <w:noWrap/>
            <w:vAlign w:val="center"/>
            <w:hideMark/>
          </w:tcPr>
          <w:p w14:paraId="329B3E5E" w14:textId="77777777" w:rsidR="003950EE" w:rsidRPr="00A23654" w:rsidRDefault="003950EE" w:rsidP="003950EE">
            <w:pPr>
              <w:spacing w:after="0" w:line="240" w:lineRule="auto"/>
              <w:jc w:val="center"/>
              <w:rPr>
                <w:rFonts w:ascii="Cambria" w:eastAsia="Times New Roman" w:hAnsi="Cambria" w:cs="Helvetica"/>
                <w:lang w:eastAsia="ko-KR"/>
              </w:rPr>
            </w:pPr>
            <w:r>
              <w:rPr>
                <w:rFonts w:ascii="Cambria" w:eastAsia="Times New Roman" w:hAnsi="Cambria" w:cs="Helvetica"/>
                <w:lang w:eastAsia="ko-KR"/>
              </w:rPr>
              <w:t>$</w:t>
            </w:r>
            <w:r w:rsidRPr="00A23654">
              <w:rPr>
                <w:rFonts w:ascii="Cambria" w:eastAsia="Times New Roman" w:hAnsi="Cambria" w:cs="Helvetica"/>
                <w:lang w:eastAsia="ko-KR"/>
              </w:rPr>
              <w:t>7,936</w:t>
            </w:r>
          </w:p>
        </w:tc>
        <w:tc>
          <w:tcPr>
            <w:tcW w:w="839" w:type="dxa"/>
            <w:tcBorders>
              <w:top w:val="nil"/>
              <w:left w:val="nil"/>
              <w:bottom w:val="single" w:sz="4" w:space="0" w:color="auto"/>
              <w:right w:val="single" w:sz="4" w:space="0" w:color="auto"/>
            </w:tcBorders>
            <w:shd w:val="clear" w:color="000000" w:fill="auto"/>
            <w:noWrap/>
            <w:vAlign w:val="center"/>
            <w:hideMark/>
          </w:tcPr>
          <w:p w14:paraId="08B4600A" w14:textId="77777777" w:rsidR="003950EE" w:rsidRPr="00A23654" w:rsidRDefault="003950EE" w:rsidP="003950EE">
            <w:pPr>
              <w:spacing w:after="0" w:line="240" w:lineRule="auto"/>
              <w:jc w:val="center"/>
              <w:rPr>
                <w:rFonts w:ascii="Cambria" w:eastAsia="Times New Roman" w:hAnsi="Cambria" w:cs="Helvetica"/>
                <w:lang w:eastAsia="ko-KR"/>
              </w:rPr>
            </w:pPr>
            <w:r w:rsidRPr="00A23654">
              <w:rPr>
                <w:rFonts w:ascii="Cambria" w:eastAsia="Times New Roman" w:hAnsi="Cambria" w:cs="Helvetica"/>
                <w:lang w:eastAsia="ko-KR"/>
              </w:rPr>
              <w:t>90</w:t>
            </w:r>
          </w:p>
        </w:tc>
      </w:tr>
      <w:tr w:rsidR="00F326BA" w:rsidRPr="00A23654" w14:paraId="6D4765E7" w14:textId="77777777" w:rsidTr="00F326BA">
        <w:trPr>
          <w:trHeight w:val="750"/>
        </w:trPr>
        <w:tc>
          <w:tcPr>
            <w:tcW w:w="1980" w:type="dxa"/>
            <w:tcBorders>
              <w:top w:val="nil"/>
              <w:left w:val="single" w:sz="4" w:space="0" w:color="auto"/>
              <w:bottom w:val="single" w:sz="4" w:space="0" w:color="auto"/>
              <w:right w:val="single" w:sz="4" w:space="0" w:color="auto"/>
            </w:tcBorders>
            <w:shd w:val="clear" w:color="000000" w:fill="auto"/>
            <w:vAlign w:val="center"/>
            <w:hideMark/>
          </w:tcPr>
          <w:p w14:paraId="28CCC78E" w14:textId="77777777" w:rsidR="003950EE" w:rsidRPr="00A23654" w:rsidRDefault="003950EE" w:rsidP="003950EE">
            <w:pPr>
              <w:spacing w:after="0" w:line="240" w:lineRule="auto"/>
              <w:jc w:val="center"/>
              <w:rPr>
                <w:rFonts w:ascii="Cambria" w:eastAsia="Times New Roman" w:hAnsi="Cambria" w:cs="Helvetica"/>
                <w:sz w:val="20"/>
                <w:szCs w:val="20"/>
                <w:lang w:eastAsia="ko-KR"/>
              </w:rPr>
            </w:pPr>
            <w:r w:rsidRPr="00A23654">
              <w:rPr>
                <w:rFonts w:ascii="Cambria" w:eastAsia="Times New Roman" w:hAnsi="Cambria" w:cs="Helvetica"/>
                <w:sz w:val="20"/>
                <w:szCs w:val="20"/>
                <w:lang w:eastAsia="ko-KR"/>
              </w:rPr>
              <w:t xml:space="preserve">Claimed plus </w:t>
            </w:r>
            <w:r>
              <w:rPr>
                <w:rFonts w:ascii="Cambria" w:eastAsia="Times New Roman" w:hAnsi="Cambria" w:cs="Helvetica"/>
                <w:sz w:val="20"/>
                <w:szCs w:val="20"/>
                <w:lang w:eastAsia="ko-KR"/>
              </w:rPr>
              <w:t>S</w:t>
            </w:r>
            <w:r w:rsidRPr="00A23654">
              <w:rPr>
                <w:rFonts w:ascii="Cambria" w:eastAsia="Times New Roman" w:hAnsi="Cambria" w:cs="Helvetica"/>
                <w:sz w:val="20"/>
                <w:szCs w:val="20"/>
                <w:lang w:eastAsia="ko-KR"/>
              </w:rPr>
              <w:t>hared</w:t>
            </w:r>
            <w:r>
              <w:rPr>
                <w:rFonts w:ascii="Cambria" w:eastAsia="Times New Roman" w:hAnsi="Cambria" w:cs="Helvetica"/>
                <w:sz w:val="20"/>
                <w:szCs w:val="20"/>
                <w:lang w:eastAsia="ko-KR"/>
              </w:rPr>
              <w:t xml:space="preserve"> Credit</w:t>
            </w:r>
            <w:r w:rsidRPr="00A23654">
              <w:rPr>
                <w:rFonts w:ascii="Cambria" w:eastAsia="Times New Roman" w:hAnsi="Cambria" w:cs="Helvetica"/>
                <w:sz w:val="20"/>
                <w:szCs w:val="20"/>
                <w:lang w:eastAsia="ko-KR"/>
              </w:rPr>
              <w:t xml:space="preserve"> - B</w:t>
            </w:r>
          </w:p>
        </w:tc>
        <w:tc>
          <w:tcPr>
            <w:tcW w:w="1104" w:type="dxa"/>
            <w:tcBorders>
              <w:top w:val="nil"/>
              <w:left w:val="nil"/>
              <w:bottom w:val="single" w:sz="4" w:space="0" w:color="auto"/>
              <w:right w:val="single" w:sz="4" w:space="0" w:color="auto"/>
            </w:tcBorders>
            <w:shd w:val="clear" w:color="000000" w:fill="auto"/>
            <w:noWrap/>
            <w:vAlign w:val="center"/>
            <w:hideMark/>
          </w:tcPr>
          <w:p w14:paraId="53106621" w14:textId="77777777" w:rsidR="003950EE" w:rsidRPr="00A23654" w:rsidRDefault="003950EE" w:rsidP="003950EE">
            <w:pPr>
              <w:spacing w:after="0" w:line="240" w:lineRule="auto"/>
              <w:jc w:val="center"/>
              <w:rPr>
                <w:rFonts w:ascii="Cambria" w:eastAsia="Times New Roman" w:hAnsi="Cambria" w:cs="Helvetica"/>
                <w:lang w:eastAsia="ko-KR"/>
              </w:rPr>
            </w:pPr>
            <w:r>
              <w:rPr>
                <w:rFonts w:ascii="Cambria" w:eastAsia="Times New Roman" w:hAnsi="Cambria" w:cs="Helvetica"/>
                <w:lang w:eastAsia="ko-KR"/>
              </w:rPr>
              <w:t>$</w:t>
            </w:r>
            <w:r w:rsidRPr="00A23654">
              <w:rPr>
                <w:rFonts w:ascii="Cambria" w:eastAsia="Times New Roman" w:hAnsi="Cambria" w:cs="Helvetica"/>
                <w:lang w:eastAsia="ko-KR"/>
              </w:rPr>
              <w:t>5</w:t>
            </w:r>
            <w:r>
              <w:rPr>
                <w:rFonts w:ascii="Cambria" w:eastAsia="Times New Roman" w:hAnsi="Cambria" w:cs="Helvetica"/>
                <w:lang w:eastAsia="ko-KR"/>
              </w:rPr>
              <w:t>4,752</w:t>
            </w:r>
          </w:p>
        </w:tc>
        <w:tc>
          <w:tcPr>
            <w:tcW w:w="823" w:type="dxa"/>
            <w:tcBorders>
              <w:top w:val="nil"/>
              <w:left w:val="nil"/>
              <w:bottom w:val="single" w:sz="4" w:space="0" w:color="auto"/>
              <w:right w:val="single" w:sz="4" w:space="0" w:color="auto"/>
            </w:tcBorders>
            <w:shd w:val="clear" w:color="000000" w:fill="auto"/>
            <w:noWrap/>
            <w:vAlign w:val="center"/>
            <w:hideMark/>
          </w:tcPr>
          <w:p w14:paraId="372AEE22" w14:textId="77777777" w:rsidR="003950EE" w:rsidRPr="00A23654" w:rsidRDefault="003950EE" w:rsidP="003950EE">
            <w:pPr>
              <w:spacing w:after="0" w:line="240" w:lineRule="auto"/>
              <w:jc w:val="center"/>
              <w:rPr>
                <w:rFonts w:ascii="Cambria" w:eastAsia="Times New Roman" w:hAnsi="Cambria" w:cs="Helvetica"/>
                <w:lang w:eastAsia="ko-KR"/>
              </w:rPr>
            </w:pPr>
            <w:r w:rsidRPr="00A23654">
              <w:rPr>
                <w:rFonts w:ascii="Cambria" w:eastAsia="Times New Roman" w:hAnsi="Cambria" w:cs="Helvetica"/>
                <w:lang w:eastAsia="ko-KR"/>
              </w:rPr>
              <w:t>2,363</w:t>
            </w:r>
          </w:p>
        </w:tc>
        <w:tc>
          <w:tcPr>
            <w:tcW w:w="1104" w:type="dxa"/>
            <w:tcBorders>
              <w:top w:val="nil"/>
              <w:left w:val="nil"/>
              <w:bottom w:val="single" w:sz="4" w:space="0" w:color="auto"/>
              <w:right w:val="single" w:sz="4" w:space="0" w:color="auto"/>
            </w:tcBorders>
            <w:shd w:val="clear" w:color="000000" w:fill="auto"/>
            <w:noWrap/>
            <w:vAlign w:val="center"/>
            <w:hideMark/>
          </w:tcPr>
          <w:p w14:paraId="04FE68A5" w14:textId="77777777" w:rsidR="003950EE" w:rsidRPr="00A23654" w:rsidRDefault="003950EE" w:rsidP="003950EE">
            <w:pPr>
              <w:spacing w:after="0" w:line="240" w:lineRule="auto"/>
              <w:jc w:val="center"/>
              <w:rPr>
                <w:rFonts w:ascii="Cambria" w:eastAsia="Times New Roman" w:hAnsi="Cambria" w:cs="Helvetica"/>
                <w:lang w:eastAsia="ko-KR"/>
              </w:rPr>
            </w:pPr>
            <w:r>
              <w:rPr>
                <w:rFonts w:ascii="Cambria" w:eastAsia="Times New Roman" w:hAnsi="Cambria" w:cs="Helvetica"/>
                <w:lang w:eastAsia="ko-KR"/>
              </w:rPr>
              <w:t>$</w:t>
            </w:r>
            <w:r w:rsidRPr="00A23654">
              <w:rPr>
                <w:rFonts w:ascii="Cambria" w:eastAsia="Times New Roman" w:hAnsi="Cambria" w:cs="Helvetica"/>
                <w:lang w:eastAsia="ko-KR"/>
              </w:rPr>
              <w:t>5</w:t>
            </w:r>
            <w:r>
              <w:rPr>
                <w:rFonts w:ascii="Cambria" w:eastAsia="Times New Roman" w:hAnsi="Cambria" w:cs="Helvetica"/>
                <w:lang w:eastAsia="ko-KR"/>
              </w:rPr>
              <w:t>2,232</w:t>
            </w:r>
          </w:p>
        </w:tc>
        <w:tc>
          <w:tcPr>
            <w:tcW w:w="839" w:type="dxa"/>
            <w:tcBorders>
              <w:top w:val="nil"/>
              <w:left w:val="nil"/>
              <w:bottom w:val="single" w:sz="4" w:space="0" w:color="auto"/>
              <w:right w:val="single" w:sz="4" w:space="0" w:color="auto"/>
            </w:tcBorders>
            <w:shd w:val="clear" w:color="000000" w:fill="auto"/>
            <w:noWrap/>
            <w:vAlign w:val="center"/>
            <w:hideMark/>
          </w:tcPr>
          <w:p w14:paraId="2F0130B3" w14:textId="77777777" w:rsidR="003950EE" w:rsidRPr="00A23654" w:rsidRDefault="003950EE" w:rsidP="003950EE">
            <w:pPr>
              <w:spacing w:after="0" w:line="240" w:lineRule="auto"/>
              <w:jc w:val="center"/>
              <w:rPr>
                <w:rFonts w:ascii="Cambria" w:eastAsia="Times New Roman" w:hAnsi="Cambria" w:cs="Helvetica"/>
                <w:lang w:eastAsia="ko-KR"/>
              </w:rPr>
            </w:pPr>
            <w:r w:rsidRPr="00A23654">
              <w:rPr>
                <w:rFonts w:ascii="Cambria" w:eastAsia="Times New Roman" w:hAnsi="Cambria" w:cs="Helvetica"/>
                <w:lang w:eastAsia="ko-KR"/>
              </w:rPr>
              <w:t>2,306</w:t>
            </w:r>
          </w:p>
        </w:tc>
        <w:tc>
          <w:tcPr>
            <w:tcW w:w="1104" w:type="dxa"/>
            <w:tcBorders>
              <w:top w:val="nil"/>
              <w:left w:val="nil"/>
              <w:bottom w:val="single" w:sz="4" w:space="0" w:color="auto"/>
              <w:right w:val="single" w:sz="4" w:space="0" w:color="auto"/>
            </w:tcBorders>
            <w:shd w:val="clear" w:color="000000" w:fill="auto"/>
            <w:noWrap/>
            <w:vAlign w:val="center"/>
            <w:hideMark/>
          </w:tcPr>
          <w:p w14:paraId="5BB603B0" w14:textId="77777777" w:rsidR="003950EE" w:rsidRPr="00A23654" w:rsidRDefault="003950EE" w:rsidP="003950EE">
            <w:pPr>
              <w:spacing w:after="0" w:line="240" w:lineRule="auto"/>
              <w:jc w:val="center"/>
              <w:rPr>
                <w:rFonts w:ascii="Cambria" w:eastAsia="Times New Roman" w:hAnsi="Cambria" w:cs="Helvetica"/>
                <w:lang w:eastAsia="ko-KR"/>
              </w:rPr>
            </w:pPr>
            <w:r>
              <w:rPr>
                <w:rFonts w:ascii="Cambria" w:eastAsia="Times New Roman" w:hAnsi="Cambria" w:cs="Helvetica"/>
                <w:lang w:eastAsia="ko-KR"/>
              </w:rPr>
              <w:t>$</w:t>
            </w:r>
            <w:r w:rsidRPr="00A23654">
              <w:rPr>
                <w:rFonts w:ascii="Cambria" w:eastAsia="Times New Roman" w:hAnsi="Cambria" w:cs="Helvetica"/>
                <w:lang w:eastAsia="ko-KR"/>
              </w:rPr>
              <w:t>63,295</w:t>
            </w:r>
          </w:p>
        </w:tc>
        <w:tc>
          <w:tcPr>
            <w:tcW w:w="823" w:type="dxa"/>
            <w:tcBorders>
              <w:top w:val="nil"/>
              <w:left w:val="nil"/>
              <w:bottom w:val="single" w:sz="4" w:space="0" w:color="auto"/>
              <w:right w:val="single" w:sz="4" w:space="0" w:color="auto"/>
            </w:tcBorders>
            <w:shd w:val="clear" w:color="000000" w:fill="auto"/>
            <w:noWrap/>
            <w:vAlign w:val="center"/>
            <w:hideMark/>
          </w:tcPr>
          <w:p w14:paraId="70B86DC5" w14:textId="77777777" w:rsidR="003950EE" w:rsidRPr="00A23654" w:rsidRDefault="003950EE" w:rsidP="003950EE">
            <w:pPr>
              <w:spacing w:after="0" w:line="240" w:lineRule="auto"/>
              <w:jc w:val="center"/>
              <w:rPr>
                <w:rFonts w:ascii="Cambria" w:eastAsia="Times New Roman" w:hAnsi="Cambria" w:cs="Helvetica"/>
                <w:lang w:eastAsia="ko-KR"/>
              </w:rPr>
            </w:pPr>
            <w:r w:rsidRPr="00A23654">
              <w:rPr>
                <w:rFonts w:ascii="Cambria" w:eastAsia="Times New Roman" w:hAnsi="Cambria" w:cs="Helvetica"/>
                <w:lang w:eastAsia="ko-KR"/>
              </w:rPr>
              <w:t>2,243</w:t>
            </w:r>
          </w:p>
        </w:tc>
        <w:tc>
          <w:tcPr>
            <w:tcW w:w="1104" w:type="dxa"/>
            <w:tcBorders>
              <w:top w:val="nil"/>
              <w:left w:val="nil"/>
              <w:bottom w:val="single" w:sz="4" w:space="0" w:color="auto"/>
              <w:right w:val="single" w:sz="4" w:space="0" w:color="auto"/>
            </w:tcBorders>
            <w:shd w:val="clear" w:color="000000" w:fill="auto"/>
            <w:noWrap/>
            <w:vAlign w:val="center"/>
            <w:hideMark/>
          </w:tcPr>
          <w:p w14:paraId="6E5821EA" w14:textId="77777777" w:rsidR="003950EE" w:rsidRPr="00A23654" w:rsidRDefault="003950EE" w:rsidP="003950EE">
            <w:pPr>
              <w:spacing w:after="0" w:line="240" w:lineRule="auto"/>
              <w:jc w:val="center"/>
              <w:rPr>
                <w:rFonts w:ascii="Cambria" w:eastAsia="Times New Roman" w:hAnsi="Cambria" w:cs="Helvetica"/>
                <w:lang w:eastAsia="ko-KR"/>
              </w:rPr>
            </w:pPr>
            <w:r>
              <w:rPr>
                <w:rFonts w:ascii="Cambria" w:eastAsia="Times New Roman" w:hAnsi="Cambria" w:cs="Helvetica"/>
                <w:lang w:eastAsia="ko-KR"/>
              </w:rPr>
              <w:t>$</w:t>
            </w:r>
            <w:r w:rsidRPr="00A23654">
              <w:rPr>
                <w:rFonts w:ascii="Cambria" w:eastAsia="Times New Roman" w:hAnsi="Cambria" w:cs="Helvetica"/>
                <w:lang w:eastAsia="ko-KR"/>
              </w:rPr>
              <w:t>69,491</w:t>
            </w:r>
          </w:p>
        </w:tc>
        <w:tc>
          <w:tcPr>
            <w:tcW w:w="839" w:type="dxa"/>
            <w:tcBorders>
              <w:top w:val="nil"/>
              <w:left w:val="nil"/>
              <w:bottom w:val="single" w:sz="4" w:space="0" w:color="auto"/>
              <w:right w:val="single" w:sz="4" w:space="0" w:color="auto"/>
            </w:tcBorders>
            <w:shd w:val="clear" w:color="000000" w:fill="auto"/>
            <w:noWrap/>
            <w:vAlign w:val="center"/>
            <w:hideMark/>
          </w:tcPr>
          <w:p w14:paraId="4619F7E2" w14:textId="77777777" w:rsidR="003950EE" w:rsidRPr="00A23654" w:rsidRDefault="003950EE" w:rsidP="003950EE">
            <w:pPr>
              <w:spacing w:after="0" w:line="240" w:lineRule="auto"/>
              <w:jc w:val="center"/>
              <w:rPr>
                <w:rFonts w:ascii="Cambria" w:eastAsia="Times New Roman" w:hAnsi="Cambria" w:cs="Helvetica"/>
                <w:lang w:eastAsia="ko-KR"/>
              </w:rPr>
            </w:pPr>
            <w:r w:rsidRPr="00A23654">
              <w:rPr>
                <w:rFonts w:ascii="Cambria" w:eastAsia="Times New Roman" w:hAnsi="Cambria" w:cs="Helvetica"/>
                <w:lang w:eastAsia="ko-KR"/>
              </w:rPr>
              <w:t>2,109</w:t>
            </w:r>
          </w:p>
        </w:tc>
      </w:tr>
      <w:tr w:rsidR="00F326BA" w:rsidRPr="00A23654" w14:paraId="64659AC8" w14:textId="77777777" w:rsidTr="00F326BA">
        <w:trPr>
          <w:trHeight w:val="290"/>
        </w:trPr>
        <w:tc>
          <w:tcPr>
            <w:tcW w:w="1980" w:type="dxa"/>
            <w:tcBorders>
              <w:top w:val="nil"/>
              <w:left w:val="single" w:sz="4" w:space="0" w:color="auto"/>
              <w:bottom w:val="single" w:sz="4" w:space="0" w:color="auto"/>
              <w:right w:val="single" w:sz="4" w:space="0" w:color="auto"/>
            </w:tcBorders>
            <w:shd w:val="clear" w:color="000000" w:fill="auto"/>
            <w:noWrap/>
            <w:vAlign w:val="center"/>
            <w:hideMark/>
          </w:tcPr>
          <w:p w14:paraId="671D2FB9" w14:textId="77777777" w:rsidR="003950EE" w:rsidRPr="00A23654" w:rsidRDefault="003950EE" w:rsidP="003950EE">
            <w:pPr>
              <w:spacing w:after="0" w:line="240" w:lineRule="auto"/>
              <w:jc w:val="center"/>
              <w:rPr>
                <w:rFonts w:ascii="Cambria" w:eastAsia="Times New Roman" w:hAnsi="Cambria" w:cs="Helvetica"/>
                <w:lang w:eastAsia="ko-KR"/>
              </w:rPr>
            </w:pPr>
            <w:r w:rsidRPr="00A23654">
              <w:rPr>
                <w:rFonts w:ascii="Cambria" w:eastAsia="Times New Roman" w:hAnsi="Cambria" w:cs="Helvetica"/>
                <w:lang w:eastAsia="ko-KR"/>
              </w:rPr>
              <w:t>B/A</w:t>
            </w:r>
          </w:p>
        </w:tc>
        <w:tc>
          <w:tcPr>
            <w:tcW w:w="1104" w:type="dxa"/>
            <w:tcBorders>
              <w:top w:val="nil"/>
              <w:left w:val="nil"/>
              <w:bottom w:val="single" w:sz="4" w:space="0" w:color="auto"/>
              <w:right w:val="single" w:sz="4" w:space="0" w:color="auto"/>
            </w:tcBorders>
            <w:shd w:val="clear" w:color="000000" w:fill="auto"/>
            <w:noWrap/>
            <w:vAlign w:val="center"/>
            <w:hideMark/>
          </w:tcPr>
          <w:p w14:paraId="65BCC01E" w14:textId="77777777" w:rsidR="003950EE" w:rsidRPr="00A23654" w:rsidRDefault="003950EE" w:rsidP="003950EE">
            <w:pPr>
              <w:spacing w:after="0" w:line="240" w:lineRule="auto"/>
              <w:jc w:val="center"/>
              <w:rPr>
                <w:rFonts w:ascii="Cambria" w:eastAsia="Times New Roman" w:hAnsi="Cambria" w:cs="Helvetica"/>
                <w:lang w:eastAsia="ko-KR"/>
              </w:rPr>
            </w:pPr>
            <w:r w:rsidRPr="00A23654">
              <w:rPr>
                <w:rFonts w:ascii="Cambria" w:eastAsia="Times New Roman" w:hAnsi="Cambria" w:cs="Helvetica"/>
                <w:lang w:eastAsia="ko-KR"/>
              </w:rPr>
              <w:t>14.</w:t>
            </w:r>
            <w:r>
              <w:rPr>
                <w:rFonts w:ascii="Cambria" w:eastAsia="Times New Roman" w:hAnsi="Cambria" w:cs="Helvetica"/>
                <w:lang w:eastAsia="ko-KR"/>
              </w:rPr>
              <w:t>1</w:t>
            </w:r>
            <w:r w:rsidRPr="00A23654">
              <w:rPr>
                <w:rFonts w:ascii="Cambria" w:eastAsia="Times New Roman" w:hAnsi="Cambria" w:cs="Helvetica"/>
                <w:lang w:eastAsia="ko-KR"/>
              </w:rPr>
              <w:t>%</w:t>
            </w:r>
          </w:p>
        </w:tc>
        <w:tc>
          <w:tcPr>
            <w:tcW w:w="823" w:type="dxa"/>
            <w:tcBorders>
              <w:top w:val="nil"/>
              <w:left w:val="nil"/>
              <w:bottom w:val="single" w:sz="4" w:space="0" w:color="auto"/>
              <w:right w:val="single" w:sz="4" w:space="0" w:color="auto"/>
            </w:tcBorders>
            <w:shd w:val="clear" w:color="000000" w:fill="auto"/>
            <w:noWrap/>
            <w:vAlign w:val="center"/>
            <w:hideMark/>
          </w:tcPr>
          <w:p w14:paraId="15233F07" w14:textId="77777777" w:rsidR="003950EE" w:rsidRPr="00A23654" w:rsidRDefault="003950EE" w:rsidP="003950EE">
            <w:pPr>
              <w:spacing w:after="0" w:line="240" w:lineRule="auto"/>
              <w:jc w:val="center"/>
              <w:rPr>
                <w:rFonts w:ascii="Cambria" w:eastAsia="Times New Roman" w:hAnsi="Cambria" w:cs="Helvetica"/>
                <w:lang w:eastAsia="ko-KR"/>
              </w:rPr>
            </w:pPr>
            <w:r w:rsidRPr="00A23654">
              <w:rPr>
                <w:rFonts w:ascii="Cambria" w:eastAsia="Times New Roman" w:hAnsi="Cambria" w:cs="Helvetica"/>
                <w:lang w:eastAsia="ko-KR"/>
              </w:rPr>
              <w:t>48.9%</w:t>
            </w:r>
          </w:p>
        </w:tc>
        <w:tc>
          <w:tcPr>
            <w:tcW w:w="1104" w:type="dxa"/>
            <w:tcBorders>
              <w:top w:val="nil"/>
              <w:left w:val="nil"/>
              <w:bottom w:val="single" w:sz="4" w:space="0" w:color="auto"/>
              <w:right w:val="single" w:sz="4" w:space="0" w:color="auto"/>
            </w:tcBorders>
            <w:shd w:val="clear" w:color="000000" w:fill="auto"/>
            <w:noWrap/>
            <w:vAlign w:val="center"/>
            <w:hideMark/>
          </w:tcPr>
          <w:p w14:paraId="0435BA40" w14:textId="77777777" w:rsidR="003950EE" w:rsidRPr="00A23654" w:rsidRDefault="003950EE" w:rsidP="003950EE">
            <w:pPr>
              <w:spacing w:after="0" w:line="240" w:lineRule="auto"/>
              <w:jc w:val="center"/>
              <w:rPr>
                <w:rFonts w:ascii="Cambria" w:eastAsia="Times New Roman" w:hAnsi="Cambria" w:cs="Helvetica"/>
                <w:lang w:eastAsia="ko-KR"/>
              </w:rPr>
            </w:pPr>
            <w:r w:rsidRPr="00A23654">
              <w:rPr>
                <w:rFonts w:ascii="Cambria" w:eastAsia="Times New Roman" w:hAnsi="Cambria" w:cs="Helvetica"/>
                <w:lang w:eastAsia="ko-KR"/>
              </w:rPr>
              <w:t>13.</w:t>
            </w:r>
            <w:r>
              <w:rPr>
                <w:rFonts w:ascii="Cambria" w:eastAsia="Times New Roman" w:hAnsi="Cambria" w:cs="Helvetica"/>
                <w:lang w:eastAsia="ko-KR"/>
              </w:rPr>
              <w:t>3</w:t>
            </w:r>
            <w:r w:rsidRPr="00A23654">
              <w:rPr>
                <w:rFonts w:ascii="Cambria" w:eastAsia="Times New Roman" w:hAnsi="Cambria" w:cs="Helvetica"/>
                <w:lang w:eastAsia="ko-KR"/>
              </w:rPr>
              <w:t>%</w:t>
            </w:r>
          </w:p>
        </w:tc>
        <w:tc>
          <w:tcPr>
            <w:tcW w:w="839" w:type="dxa"/>
            <w:tcBorders>
              <w:top w:val="nil"/>
              <w:left w:val="nil"/>
              <w:bottom w:val="single" w:sz="4" w:space="0" w:color="auto"/>
              <w:right w:val="single" w:sz="4" w:space="0" w:color="auto"/>
            </w:tcBorders>
            <w:shd w:val="clear" w:color="000000" w:fill="auto"/>
            <w:noWrap/>
            <w:vAlign w:val="center"/>
            <w:hideMark/>
          </w:tcPr>
          <w:p w14:paraId="1C36E066" w14:textId="77777777" w:rsidR="003950EE" w:rsidRPr="00A23654" w:rsidRDefault="003950EE" w:rsidP="003950EE">
            <w:pPr>
              <w:spacing w:after="0" w:line="240" w:lineRule="auto"/>
              <w:jc w:val="center"/>
              <w:rPr>
                <w:rFonts w:ascii="Cambria" w:eastAsia="Times New Roman" w:hAnsi="Cambria" w:cs="Helvetica"/>
                <w:lang w:eastAsia="ko-KR"/>
              </w:rPr>
            </w:pPr>
            <w:r w:rsidRPr="00A23654">
              <w:rPr>
                <w:rFonts w:ascii="Cambria" w:eastAsia="Times New Roman" w:hAnsi="Cambria" w:cs="Helvetica"/>
                <w:lang w:eastAsia="ko-KR"/>
              </w:rPr>
              <w:t>48.0%</w:t>
            </w:r>
          </w:p>
        </w:tc>
        <w:tc>
          <w:tcPr>
            <w:tcW w:w="1104" w:type="dxa"/>
            <w:tcBorders>
              <w:top w:val="nil"/>
              <w:left w:val="nil"/>
              <w:bottom w:val="single" w:sz="4" w:space="0" w:color="auto"/>
              <w:right w:val="single" w:sz="4" w:space="0" w:color="auto"/>
            </w:tcBorders>
            <w:shd w:val="clear" w:color="000000" w:fill="auto"/>
            <w:noWrap/>
            <w:vAlign w:val="center"/>
            <w:hideMark/>
          </w:tcPr>
          <w:p w14:paraId="004B76E9" w14:textId="77777777" w:rsidR="003950EE" w:rsidRPr="00A23654" w:rsidRDefault="003950EE" w:rsidP="003950EE">
            <w:pPr>
              <w:spacing w:after="0" w:line="240" w:lineRule="auto"/>
              <w:jc w:val="center"/>
              <w:rPr>
                <w:rFonts w:ascii="Cambria" w:eastAsia="Times New Roman" w:hAnsi="Cambria" w:cs="Helvetica"/>
                <w:lang w:eastAsia="ko-KR"/>
              </w:rPr>
            </w:pPr>
            <w:r w:rsidRPr="00A23654">
              <w:rPr>
                <w:rFonts w:ascii="Cambria" w:eastAsia="Times New Roman" w:hAnsi="Cambria" w:cs="Helvetica"/>
                <w:lang w:eastAsia="ko-KR"/>
              </w:rPr>
              <w:t>16.0%</w:t>
            </w:r>
          </w:p>
        </w:tc>
        <w:tc>
          <w:tcPr>
            <w:tcW w:w="823" w:type="dxa"/>
            <w:tcBorders>
              <w:top w:val="nil"/>
              <w:left w:val="nil"/>
              <w:bottom w:val="single" w:sz="4" w:space="0" w:color="auto"/>
              <w:right w:val="single" w:sz="4" w:space="0" w:color="auto"/>
            </w:tcBorders>
            <w:shd w:val="clear" w:color="000000" w:fill="auto"/>
            <w:noWrap/>
            <w:vAlign w:val="center"/>
            <w:hideMark/>
          </w:tcPr>
          <w:p w14:paraId="6A1D718E" w14:textId="77777777" w:rsidR="003950EE" w:rsidRPr="00A23654" w:rsidRDefault="003950EE" w:rsidP="003950EE">
            <w:pPr>
              <w:spacing w:after="0" w:line="240" w:lineRule="auto"/>
              <w:jc w:val="center"/>
              <w:rPr>
                <w:rFonts w:ascii="Cambria" w:eastAsia="Times New Roman" w:hAnsi="Cambria" w:cs="Helvetica"/>
                <w:lang w:eastAsia="ko-KR"/>
              </w:rPr>
            </w:pPr>
            <w:r w:rsidRPr="00A23654">
              <w:rPr>
                <w:rFonts w:ascii="Cambria" w:eastAsia="Times New Roman" w:hAnsi="Cambria" w:cs="Helvetica"/>
                <w:lang w:eastAsia="ko-KR"/>
              </w:rPr>
              <w:t>46.9%</w:t>
            </w:r>
          </w:p>
        </w:tc>
        <w:tc>
          <w:tcPr>
            <w:tcW w:w="1104" w:type="dxa"/>
            <w:tcBorders>
              <w:top w:val="nil"/>
              <w:left w:val="nil"/>
              <w:bottom w:val="single" w:sz="4" w:space="0" w:color="auto"/>
              <w:right w:val="single" w:sz="4" w:space="0" w:color="auto"/>
            </w:tcBorders>
            <w:shd w:val="clear" w:color="000000" w:fill="auto"/>
            <w:noWrap/>
            <w:vAlign w:val="center"/>
            <w:hideMark/>
          </w:tcPr>
          <w:p w14:paraId="069A352C" w14:textId="77777777" w:rsidR="003950EE" w:rsidRPr="00A23654" w:rsidRDefault="003950EE" w:rsidP="003950EE">
            <w:pPr>
              <w:spacing w:after="0" w:line="240" w:lineRule="auto"/>
              <w:jc w:val="center"/>
              <w:rPr>
                <w:rFonts w:ascii="Cambria" w:eastAsia="Times New Roman" w:hAnsi="Cambria" w:cs="Helvetica"/>
                <w:lang w:eastAsia="ko-KR"/>
              </w:rPr>
            </w:pPr>
            <w:r w:rsidRPr="00A23654">
              <w:rPr>
                <w:rFonts w:ascii="Cambria" w:eastAsia="Times New Roman" w:hAnsi="Cambria" w:cs="Helvetica"/>
                <w:lang w:eastAsia="ko-KR"/>
              </w:rPr>
              <w:t>17.3%</w:t>
            </w:r>
          </w:p>
        </w:tc>
        <w:tc>
          <w:tcPr>
            <w:tcW w:w="839" w:type="dxa"/>
            <w:tcBorders>
              <w:top w:val="nil"/>
              <w:left w:val="nil"/>
              <w:bottom w:val="single" w:sz="4" w:space="0" w:color="auto"/>
              <w:right w:val="single" w:sz="4" w:space="0" w:color="auto"/>
            </w:tcBorders>
            <w:shd w:val="clear" w:color="000000" w:fill="auto"/>
            <w:noWrap/>
            <w:vAlign w:val="center"/>
            <w:hideMark/>
          </w:tcPr>
          <w:p w14:paraId="64F6A004" w14:textId="77777777" w:rsidR="003950EE" w:rsidRPr="00A23654" w:rsidRDefault="003950EE" w:rsidP="003950EE">
            <w:pPr>
              <w:spacing w:after="0" w:line="240" w:lineRule="auto"/>
              <w:jc w:val="center"/>
              <w:rPr>
                <w:rFonts w:ascii="Cambria" w:eastAsia="Times New Roman" w:hAnsi="Cambria" w:cs="Helvetica"/>
                <w:lang w:eastAsia="ko-KR"/>
              </w:rPr>
            </w:pPr>
            <w:r w:rsidRPr="00A23654">
              <w:rPr>
                <w:rFonts w:ascii="Cambria" w:eastAsia="Times New Roman" w:hAnsi="Cambria" w:cs="Helvetica"/>
                <w:lang w:eastAsia="ko-KR"/>
              </w:rPr>
              <w:t>45.7%</w:t>
            </w:r>
          </w:p>
        </w:tc>
      </w:tr>
      <w:tr w:rsidR="00F326BA" w:rsidRPr="00A23654" w14:paraId="56B3AA36" w14:textId="77777777" w:rsidTr="00F326BA">
        <w:trPr>
          <w:trHeight w:val="740"/>
        </w:trPr>
        <w:tc>
          <w:tcPr>
            <w:tcW w:w="1980" w:type="dxa"/>
            <w:tcBorders>
              <w:top w:val="nil"/>
              <w:left w:val="single" w:sz="4" w:space="0" w:color="auto"/>
              <w:bottom w:val="single" w:sz="4" w:space="0" w:color="auto"/>
              <w:right w:val="single" w:sz="4" w:space="0" w:color="auto"/>
            </w:tcBorders>
            <w:shd w:val="clear" w:color="000000" w:fill="auto"/>
            <w:vAlign w:val="center"/>
            <w:hideMark/>
          </w:tcPr>
          <w:p w14:paraId="28EFE8FD" w14:textId="77777777" w:rsidR="003950EE" w:rsidRPr="00A23654" w:rsidRDefault="003950EE" w:rsidP="003950EE">
            <w:pPr>
              <w:spacing w:after="0" w:line="240" w:lineRule="auto"/>
              <w:jc w:val="center"/>
              <w:rPr>
                <w:rFonts w:ascii="Cambria" w:eastAsia="Times New Roman" w:hAnsi="Cambria" w:cs="Helvetica"/>
                <w:lang w:eastAsia="ko-KR"/>
              </w:rPr>
            </w:pPr>
            <w:r w:rsidRPr="00304366">
              <w:rPr>
                <w:rFonts w:ascii="Cambria" w:eastAsia="Times New Roman" w:hAnsi="Cambria" w:cs="Helvetica"/>
                <w:sz w:val="20"/>
                <w:szCs w:val="20"/>
                <w:lang w:eastAsia="ko-KR"/>
              </w:rPr>
              <w:t>Average Claimed or Shared Amount</w:t>
            </w:r>
          </w:p>
        </w:tc>
        <w:tc>
          <w:tcPr>
            <w:tcW w:w="1104" w:type="dxa"/>
            <w:tcBorders>
              <w:top w:val="single" w:sz="4" w:space="0" w:color="auto"/>
              <w:left w:val="nil"/>
              <w:bottom w:val="single" w:sz="4" w:space="0" w:color="auto"/>
              <w:right w:val="single" w:sz="4" w:space="0" w:color="000000"/>
            </w:tcBorders>
            <w:shd w:val="clear" w:color="000000" w:fill="auto"/>
            <w:noWrap/>
            <w:vAlign w:val="center"/>
            <w:hideMark/>
          </w:tcPr>
          <w:p w14:paraId="16C9EED4" w14:textId="77777777" w:rsidR="003950EE" w:rsidRPr="00A23654" w:rsidRDefault="003950EE" w:rsidP="003950EE">
            <w:pPr>
              <w:spacing w:after="0" w:line="240" w:lineRule="auto"/>
              <w:jc w:val="center"/>
              <w:rPr>
                <w:rFonts w:ascii="Cambria" w:eastAsia="Times New Roman" w:hAnsi="Cambria" w:cs="Helvetica"/>
                <w:lang w:eastAsia="ko-KR"/>
              </w:rPr>
            </w:pPr>
            <w:r>
              <w:rPr>
                <w:rFonts w:ascii="Cambria" w:eastAsia="Times New Roman" w:hAnsi="Cambria" w:cs="Helvetica"/>
                <w:lang w:eastAsia="ko-KR"/>
              </w:rPr>
              <w:t>$</w:t>
            </w:r>
            <w:r w:rsidRPr="00A23654">
              <w:rPr>
                <w:rFonts w:ascii="Cambria" w:eastAsia="Times New Roman" w:hAnsi="Cambria" w:cs="Helvetica"/>
                <w:lang w:eastAsia="ko-KR"/>
              </w:rPr>
              <w:t>23.</w:t>
            </w:r>
            <w:r>
              <w:rPr>
                <w:rFonts w:ascii="Cambria" w:eastAsia="Times New Roman" w:hAnsi="Cambria" w:cs="Helvetica"/>
                <w:lang w:eastAsia="ko-KR"/>
              </w:rPr>
              <w:t>2</w:t>
            </w:r>
          </w:p>
        </w:tc>
        <w:tc>
          <w:tcPr>
            <w:tcW w:w="823" w:type="dxa"/>
            <w:tcBorders>
              <w:top w:val="single" w:sz="4" w:space="0" w:color="auto"/>
              <w:left w:val="nil"/>
              <w:bottom w:val="single" w:sz="4" w:space="0" w:color="auto"/>
              <w:right w:val="single" w:sz="4" w:space="0" w:color="000000"/>
            </w:tcBorders>
            <w:shd w:val="clear" w:color="000000" w:fill="auto"/>
            <w:vAlign w:val="center"/>
          </w:tcPr>
          <w:p w14:paraId="5BDC0857" w14:textId="77777777" w:rsidR="003950EE" w:rsidRPr="00A23654" w:rsidRDefault="003950EE" w:rsidP="003950EE">
            <w:pPr>
              <w:spacing w:after="0" w:line="240" w:lineRule="auto"/>
              <w:jc w:val="center"/>
              <w:rPr>
                <w:rFonts w:ascii="Cambria" w:eastAsia="Times New Roman" w:hAnsi="Cambria" w:cs="Helvetica"/>
                <w:lang w:eastAsia="ko-KR"/>
              </w:rPr>
            </w:pPr>
            <w:r>
              <w:rPr>
                <w:rFonts w:ascii="Cambria" w:eastAsia="Times New Roman" w:hAnsi="Cambria" w:cs="Helvetica"/>
                <w:lang w:eastAsia="ko-KR"/>
              </w:rPr>
              <w:t>NA</w:t>
            </w:r>
          </w:p>
        </w:tc>
        <w:tc>
          <w:tcPr>
            <w:tcW w:w="1104" w:type="dxa"/>
            <w:tcBorders>
              <w:top w:val="single" w:sz="4" w:space="0" w:color="auto"/>
              <w:left w:val="nil"/>
              <w:bottom w:val="single" w:sz="4" w:space="0" w:color="auto"/>
              <w:right w:val="single" w:sz="4" w:space="0" w:color="000000"/>
            </w:tcBorders>
            <w:shd w:val="clear" w:color="000000" w:fill="auto"/>
            <w:noWrap/>
            <w:vAlign w:val="center"/>
            <w:hideMark/>
          </w:tcPr>
          <w:p w14:paraId="2338DCD4" w14:textId="77777777" w:rsidR="003950EE" w:rsidRPr="00A23654" w:rsidRDefault="003950EE" w:rsidP="003950EE">
            <w:pPr>
              <w:spacing w:after="0" w:line="240" w:lineRule="auto"/>
              <w:jc w:val="center"/>
              <w:rPr>
                <w:rFonts w:ascii="Cambria" w:eastAsia="Times New Roman" w:hAnsi="Cambria" w:cs="Helvetica"/>
                <w:lang w:eastAsia="ko-KR"/>
              </w:rPr>
            </w:pPr>
            <w:r>
              <w:rPr>
                <w:rFonts w:ascii="Cambria" w:eastAsia="Times New Roman" w:hAnsi="Cambria" w:cs="Helvetica"/>
                <w:lang w:eastAsia="ko-KR"/>
              </w:rPr>
              <w:t>$</w:t>
            </w:r>
            <w:r w:rsidRPr="00A23654">
              <w:rPr>
                <w:rFonts w:ascii="Cambria" w:eastAsia="Times New Roman" w:hAnsi="Cambria" w:cs="Helvetica"/>
                <w:lang w:eastAsia="ko-KR"/>
              </w:rPr>
              <w:t>23.</w:t>
            </w:r>
            <w:r>
              <w:rPr>
                <w:rFonts w:ascii="Cambria" w:eastAsia="Times New Roman" w:hAnsi="Cambria" w:cs="Helvetica"/>
                <w:lang w:eastAsia="ko-KR"/>
              </w:rPr>
              <w:t>1</w:t>
            </w:r>
          </w:p>
        </w:tc>
        <w:tc>
          <w:tcPr>
            <w:tcW w:w="839" w:type="dxa"/>
            <w:tcBorders>
              <w:top w:val="single" w:sz="4" w:space="0" w:color="auto"/>
              <w:left w:val="nil"/>
              <w:bottom w:val="single" w:sz="4" w:space="0" w:color="auto"/>
              <w:right w:val="single" w:sz="4" w:space="0" w:color="000000"/>
            </w:tcBorders>
            <w:shd w:val="clear" w:color="000000" w:fill="auto"/>
            <w:vAlign w:val="center"/>
          </w:tcPr>
          <w:p w14:paraId="577C8815" w14:textId="77777777" w:rsidR="003950EE" w:rsidRPr="00A23654" w:rsidRDefault="003950EE" w:rsidP="003950EE">
            <w:pPr>
              <w:spacing w:after="0" w:line="240" w:lineRule="auto"/>
              <w:jc w:val="center"/>
              <w:rPr>
                <w:rFonts w:ascii="Cambria" w:eastAsia="Times New Roman" w:hAnsi="Cambria" w:cs="Helvetica"/>
                <w:lang w:eastAsia="ko-KR"/>
              </w:rPr>
            </w:pPr>
            <w:r>
              <w:rPr>
                <w:rFonts w:ascii="Cambria" w:eastAsia="Times New Roman" w:hAnsi="Cambria" w:cs="Helvetica"/>
                <w:lang w:eastAsia="ko-KR"/>
              </w:rPr>
              <w:t>NA</w:t>
            </w:r>
          </w:p>
        </w:tc>
        <w:tc>
          <w:tcPr>
            <w:tcW w:w="1104" w:type="dxa"/>
            <w:tcBorders>
              <w:top w:val="single" w:sz="4" w:space="0" w:color="auto"/>
              <w:left w:val="nil"/>
              <w:bottom w:val="single" w:sz="4" w:space="0" w:color="auto"/>
              <w:right w:val="single" w:sz="4" w:space="0" w:color="000000"/>
            </w:tcBorders>
            <w:shd w:val="clear" w:color="000000" w:fill="auto"/>
            <w:vAlign w:val="center"/>
            <w:hideMark/>
          </w:tcPr>
          <w:p w14:paraId="5F7D6A04" w14:textId="77777777" w:rsidR="003950EE" w:rsidRPr="00A23654" w:rsidRDefault="003950EE" w:rsidP="003950EE">
            <w:pPr>
              <w:spacing w:after="0" w:line="240" w:lineRule="auto"/>
              <w:jc w:val="center"/>
              <w:rPr>
                <w:rFonts w:ascii="Cambria" w:eastAsia="Times New Roman" w:hAnsi="Cambria" w:cs="Helvetica"/>
                <w:lang w:eastAsia="ko-KR"/>
              </w:rPr>
            </w:pPr>
            <w:r>
              <w:rPr>
                <w:rFonts w:ascii="Cambria" w:eastAsia="Times New Roman" w:hAnsi="Cambria" w:cs="Helvetica"/>
                <w:lang w:eastAsia="ko-KR"/>
              </w:rPr>
              <w:t>$</w:t>
            </w:r>
            <w:r w:rsidRPr="00A23654">
              <w:rPr>
                <w:rFonts w:ascii="Cambria" w:eastAsia="Times New Roman" w:hAnsi="Cambria" w:cs="Helvetica"/>
                <w:lang w:eastAsia="ko-KR"/>
              </w:rPr>
              <w:t>28.2</w:t>
            </w:r>
          </w:p>
        </w:tc>
        <w:tc>
          <w:tcPr>
            <w:tcW w:w="823" w:type="dxa"/>
            <w:tcBorders>
              <w:top w:val="single" w:sz="4" w:space="0" w:color="auto"/>
              <w:left w:val="nil"/>
              <w:bottom w:val="single" w:sz="4" w:space="0" w:color="auto"/>
              <w:right w:val="single" w:sz="4" w:space="0" w:color="000000"/>
            </w:tcBorders>
            <w:shd w:val="clear" w:color="000000" w:fill="auto"/>
            <w:vAlign w:val="center"/>
          </w:tcPr>
          <w:p w14:paraId="6958F3DE" w14:textId="77777777" w:rsidR="003950EE" w:rsidRPr="00A23654" w:rsidRDefault="003950EE" w:rsidP="003950EE">
            <w:pPr>
              <w:spacing w:after="0" w:line="240" w:lineRule="auto"/>
              <w:jc w:val="center"/>
              <w:rPr>
                <w:rFonts w:ascii="Cambria" w:eastAsia="Times New Roman" w:hAnsi="Cambria" w:cs="Helvetica"/>
                <w:lang w:eastAsia="ko-KR"/>
              </w:rPr>
            </w:pPr>
            <w:r>
              <w:rPr>
                <w:rFonts w:ascii="Cambria" w:eastAsia="Times New Roman" w:hAnsi="Cambria" w:cs="Helvetica"/>
                <w:lang w:eastAsia="ko-KR"/>
              </w:rPr>
              <w:t>NA</w:t>
            </w:r>
          </w:p>
        </w:tc>
        <w:tc>
          <w:tcPr>
            <w:tcW w:w="1104" w:type="dxa"/>
            <w:tcBorders>
              <w:top w:val="single" w:sz="4" w:space="0" w:color="auto"/>
              <w:left w:val="nil"/>
              <w:bottom w:val="single" w:sz="4" w:space="0" w:color="auto"/>
              <w:right w:val="single" w:sz="4" w:space="0" w:color="000000"/>
            </w:tcBorders>
            <w:shd w:val="clear" w:color="000000" w:fill="auto"/>
            <w:noWrap/>
            <w:vAlign w:val="center"/>
            <w:hideMark/>
          </w:tcPr>
          <w:p w14:paraId="14907261" w14:textId="77777777" w:rsidR="003950EE" w:rsidRPr="00A23654" w:rsidRDefault="003950EE" w:rsidP="003950EE">
            <w:pPr>
              <w:spacing w:after="0" w:line="240" w:lineRule="auto"/>
              <w:jc w:val="center"/>
              <w:rPr>
                <w:rFonts w:ascii="Cambria" w:eastAsia="Times New Roman" w:hAnsi="Cambria" w:cs="Helvetica"/>
                <w:lang w:eastAsia="ko-KR"/>
              </w:rPr>
            </w:pPr>
            <w:r>
              <w:rPr>
                <w:rFonts w:ascii="Cambria" w:eastAsia="Times New Roman" w:hAnsi="Cambria" w:cs="Helvetica"/>
                <w:lang w:eastAsia="ko-KR"/>
              </w:rPr>
              <w:t>$</w:t>
            </w:r>
            <w:r w:rsidRPr="00A23654">
              <w:rPr>
                <w:rFonts w:ascii="Cambria" w:eastAsia="Times New Roman" w:hAnsi="Cambria" w:cs="Helvetica"/>
                <w:lang w:eastAsia="ko-KR"/>
              </w:rPr>
              <w:t>32.9</w:t>
            </w:r>
          </w:p>
        </w:tc>
        <w:tc>
          <w:tcPr>
            <w:tcW w:w="839" w:type="dxa"/>
            <w:tcBorders>
              <w:top w:val="single" w:sz="4" w:space="0" w:color="auto"/>
              <w:left w:val="nil"/>
              <w:bottom w:val="single" w:sz="4" w:space="0" w:color="auto"/>
              <w:right w:val="single" w:sz="4" w:space="0" w:color="000000"/>
            </w:tcBorders>
            <w:shd w:val="clear" w:color="000000" w:fill="auto"/>
            <w:vAlign w:val="center"/>
          </w:tcPr>
          <w:p w14:paraId="0480A7D8" w14:textId="77777777" w:rsidR="003950EE" w:rsidRPr="00A23654" w:rsidRDefault="003950EE" w:rsidP="003950EE">
            <w:pPr>
              <w:spacing w:after="0" w:line="240" w:lineRule="auto"/>
              <w:jc w:val="center"/>
              <w:rPr>
                <w:rFonts w:ascii="Cambria" w:eastAsia="Times New Roman" w:hAnsi="Cambria" w:cs="Helvetica"/>
                <w:lang w:eastAsia="ko-KR"/>
              </w:rPr>
            </w:pPr>
            <w:r>
              <w:rPr>
                <w:rFonts w:ascii="Cambria" w:eastAsia="Times New Roman" w:hAnsi="Cambria" w:cs="Helvetica"/>
                <w:lang w:eastAsia="ko-KR"/>
              </w:rPr>
              <w:t>NA</w:t>
            </w:r>
          </w:p>
        </w:tc>
      </w:tr>
    </w:tbl>
    <w:p w14:paraId="4595C1EB" w14:textId="77777777" w:rsidR="00B31D5A" w:rsidRDefault="00B31D5A" w:rsidP="00B31D5A">
      <w:pPr>
        <w:spacing w:after="0"/>
        <w:rPr>
          <w:rFonts w:asciiTheme="majorHAnsi" w:hAnsiTheme="majorHAnsi"/>
          <w:bCs/>
        </w:rPr>
      </w:pPr>
      <w:r w:rsidRPr="00DB5207">
        <w:rPr>
          <w:rFonts w:asciiTheme="majorHAnsi" w:hAnsiTheme="majorHAnsi"/>
          <w:bCs/>
        </w:rPr>
        <w:t>Source: Massachusetts Department of Revenue.</w:t>
      </w:r>
      <w:r>
        <w:rPr>
          <w:rFonts w:asciiTheme="majorHAnsi" w:hAnsiTheme="majorHAnsi"/>
          <w:bCs/>
        </w:rPr>
        <w:t xml:space="preserve"> </w:t>
      </w:r>
    </w:p>
    <w:p w14:paraId="1D3D2838" w14:textId="77777777" w:rsidR="00B31D5A" w:rsidRDefault="00B31D5A" w:rsidP="00B31D5A">
      <w:pPr>
        <w:spacing w:after="0"/>
        <w:rPr>
          <w:rFonts w:asciiTheme="majorHAnsi" w:hAnsiTheme="majorHAnsi"/>
          <w:bCs/>
        </w:rPr>
      </w:pPr>
      <w:r>
        <w:rPr>
          <w:rFonts w:asciiTheme="majorHAnsi" w:hAnsiTheme="majorHAnsi"/>
          <w:bCs/>
        </w:rPr>
        <w:t xml:space="preserve">Notes: 1. 2017 and 2018 data are preliminary and subject to change. </w:t>
      </w:r>
    </w:p>
    <w:p w14:paraId="4E3CA9A2" w14:textId="77777777" w:rsidR="00B31D5A" w:rsidRDefault="00B31D5A" w:rsidP="00B31D5A">
      <w:pPr>
        <w:spacing w:after="0"/>
        <w:rPr>
          <w:rFonts w:asciiTheme="majorHAnsi" w:hAnsiTheme="majorHAnsi"/>
          <w:bCs/>
        </w:rPr>
      </w:pPr>
      <w:r>
        <w:rPr>
          <w:rFonts w:asciiTheme="majorHAnsi" w:hAnsiTheme="majorHAnsi"/>
          <w:bCs/>
        </w:rPr>
        <w:t xml:space="preserve">             2. The count is the number of claims, not the number of claimants. The n</w:t>
      </w:r>
      <w:r w:rsidRPr="00F5521C">
        <w:rPr>
          <w:rFonts w:asciiTheme="majorHAnsi" w:hAnsiTheme="majorHAnsi"/>
          <w:bCs/>
        </w:rPr>
        <w:t xml:space="preserve">umber of claims is either </w:t>
      </w:r>
      <w:r>
        <w:rPr>
          <w:rFonts w:asciiTheme="majorHAnsi" w:hAnsiTheme="majorHAnsi"/>
          <w:bCs/>
        </w:rPr>
        <w:t xml:space="preserve">the </w:t>
      </w:r>
      <w:r w:rsidRPr="00F5521C">
        <w:rPr>
          <w:rFonts w:asciiTheme="majorHAnsi" w:hAnsiTheme="majorHAnsi"/>
          <w:bCs/>
        </w:rPr>
        <w:t xml:space="preserve">same as or slightly higher than </w:t>
      </w:r>
      <w:r>
        <w:rPr>
          <w:rFonts w:asciiTheme="majorHAnsi" w:hAnsiTheme="majorHAnsi"/>
          <w:bCs/>
        </w:rPr>
        <w:t xml:space="preserve">the </w:t>
      </w:r>
      <w:r w:rsidRPr="00F5521C">
        <w:rPr>
          <w:rFonts w:asciiTheme="majorHAnsi" w:hAnsiTheme="majorHAnsi"/>
          <w:bCs/>
        </w:rPr>
        <w:t>number of claimants.</w:t>
      </w:r>
    </w:p>
    <w:p w14:paraId="08449C06" w14:textId="77777777" w:rsidR="00B31D5A" w:rsidRPr="00DB5207" w:rsidRDefault="00B31D5A" w:rsidP="00B31D5A">
      <w:pPr>
        <w:spacing w:after="0"/>
        <w:rPr>
          <w:rFonts w:asciiTheme="majorHAnsi" w:hAnsiTheme="majorHAnsi"/>
          <w:bCs/>
        </w:rPr>
      </w:pPr>
      <w:r>
        <w:rPr>
          <w:rFonts w:asciiTheme="majorHAnsi" w:hAnsiTheme="majorHAnsi"/>
          <w:bCs/>
        </w:rPr>
        <w:t xml:space="preserve">             3. “NA”, not applicable.</w:t>
      </w:r>
    </w:p>
    <w:p w14:paraId="7C5B7543" w14:textId="77777777" w:rsidR="00615AC1" w:rsidRDefault="004E082D" w:rsidP="004E082D">
      <w:pPr>
        <w:spacing w:after="0"/>
        <w:rPr>
          <w:rFonts w:asciiTheme="majorHAnsi" w:eastAsiaTheme="majorEastAsia" w:hAnsiTheme="majorHAnsi" w:cstheme="majorBidi"/>
          <w:bCs/>
          <w:color w:val="000000" w:themeColor="text1"/>
          <w:sz w:val="24"/>
          <w:szCs w:val="24"/>
        </w:rPr>
      </w:pPr>
      <w:r w:rsidRPr="00DF1213">
        <w:rPr>
          <w:rFonts w:asciiTheme="majorHAnsi" w:eastAsiaTheme="majorEastAsia" w:hAnsiTheme="majorHAnsi" w:cstheme="majorBidi"/>
          <w:bCs/>
          <w:color w:val="000000" w:themeColor="text1"/>
          <w:sz w:val="24"/>
          <w:szCs w:val="24"/>
        </w:rPr>
        <w:lastRenderedPageBreak/>
        <w:t xml:space="preserve">Regardless of its size, spending </w:t>
      </w:r>
      <w:r w:rsidR="00105390">
        <w:rPr>
          <w:rFonts w:asciiTheme="majorHAnsi" w:eastAsiaTheme="majorEastAsia" w:hAnsiTheme="majorHAnsi" w:cstheme="majorBidi"/>
          <w:bCs/>
          <w:color w:val="000000" w:themeColor="text1"/>
          <w:sz w:val="24"/>
          <w:szCs w:val="24"/>
        </w:rPr>
        <w:t>on</w:t>
      </w:r>
      <w:r w:rsidR="00105390" w:rsidRPr="00DF1213">
        <w:rPr>
          <w:rFonts w:asciiTheme="majorHAnsi" w:eastAsiaTheme="majorEastAsia" w:hAnsiTheme="majorHAnsi" w:cstheme="majorBidi"/>
          <w:bCs/>
          <w:color w:val="000000" w:themeColor="text1"/>
          <w:sz w:val="24"/>
          <w:szCs w:val="24"/>
        </w:rPr>
        <w:t xml:space="preserve"> </w:t>
      </w:r>
      <w:r w:rsidRPr="00DF1213">
        <w:rPr>
          <w:rFonts w:asciiTheme="majorHAnsi" w:eastAsiaTheme="majorEastAsia" w:hAnsiTheme="majorHAnsi" w:cstheme="majorBidi"/>
          <w:bCs/>
          <w:color w:val="000000" w:themeColor="text1"/>
          <w:sz w:val="24"/>
          <w:szCs w:val="24"/>
        </w:rPr>
        <w:t xml:space="preserve">a specific tax incentive means less spending on other expenditure needs for the Commonwealth under balanced budget requirement if there is no increase in state revenues. Reduced spending on other expenditure </w:t>
      </w:r>
      <w:r w:rsidR="00105390">
        <w:rPr>
          <w:rFonts w:asciiTheme="majorHAnsi" w:eastAsiaTheme="majorEastAsia" w:hAnsiTheme="majorHAnsi" w:cstheme="majorBidi"/>
          <w:bCs/>
          <w:color w:val="000000" w:themeColor="text1"/>
          <w:sz w:val="24"/>
          <w:szCs w:val="24"/>
        </w:rPr>
        <w:t>items</w:t>
      </w:r>
      <w:r w:rsidR="00105390" w:rsidRPr="00DF1213">
        <w:rPr>
          <w:rFonts w:asciiTheme="majorHAnsi" w:eastAsiaTheme="majorEastAsia" w:hAnsiTheme="majorHAnsi" w:cstheme="majorBidi"/>
          <w:bCs/>
          <w:color w:val="000000" w:themeColor="text1"/>
          <w:sz w:val="24"/>
          <w:szCs w:val="24"/>
        </w:rPr>
        <w:t xml:space="preserve"> </w:t>
      </w:r>
      <w:r w:rsidRPr="00DF1213">
        <w:rPr>
          <w:rFonts w:asciiTheme="majorHAnsi" w:eastAsiaTheme="majorEastAsia" w:hAnsiTheme="majorHAnsi" w:cstheme="majorBidi"/>
          <w:bCs/>
          <w:color w:val="000000" w:themeColor="text1"/>
          <w:sz w:val="24"/>
          <w:szCs w:val="24"/>
        </w:rPr>
        <w:t xml:space="preserve">means forgone benefits from </w:t>
      </w:r>
      <w:r w:rsidR="00105390">
        <w:rPr>
          <w:rFonts w:asciiTheme="majorHAnsi" w:eastAsiaTheme="majorEastAsia" w:hAnsiTheme="majorHAnsi" w:cstheme="majorBidi"/>
          <w:bCs/>
          <w:color w:val="000000" w:themeColor="text1"/>
          <w:sz w:val="24"/>
          <w:szCs w:val="24"/>
        </w:rPr>
        <w:t>these</w:t>
      </w:r>
      <w:r w:rsidRPr="00DF1213">
        <w:rPr>
          <w:rFonts w:asciiTheme="majorHAnsi" w:eastAsiaTheme="majorEastAsia" w:hAnsiTheme="majorHAnsi" w:cstheme="majorBidi"/>
          <w:bCs/>
          <w:color w:val="000000" w:themeColor="text1"/>
          <w:sz w:val="24"/>
          <w:szCs w:val="24"/>
        </w:rPr>
        <w:t xml:space="preserve"> items. This is an opportunity cost to the Commonwealth. </w:t>
      </w:r>
    </w:p>
    <w:p w14:paraId="5BAE7C7B" w14:textId="77777777" w:rsidR="00615AC1" w:rsidRDefault="00615AC1" w:rsidP="004E082D">
      <w:pPr>
        <w:spacing w:after="0"/>
        <w:rPr>
          <w:rFonts w:asciiTheme="majorHAnsi" w:eastAsiaTheme="majorEastAsia" w:hAnsiTheme="majorHAnsi" w:cstheme="majorBidi"/>
          <w:bCs/>
          <w:color w:val="000000" w:themeColor="text1"/>
          <w:sz w:val="24"/>
          <w:szCs w:val="24"/>
        </w:rPr>
      </w:pPr>
    </w:p>
    <w:p w14:paraId="4FEA5F50" w14:textId="77777777" w:rsidR="00615AC1" w:rsidRDefault="009E356B" w:rsidP="004E082D">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Please note that such forgone benefits include not only the impact on the businesses</w:t>
      </w:r>
      <w:r w:rsidR="00481819">
        <w:rPr>
          <w:rFonts w:asciiTheme="majorHAnsi" w:eastAsiaTheme="majorEastAsia" w:hAnsiTheme="majorHAnsi" w:cstheme="majorBidi"/>
          <w:bCs/>
          <w:color w:val="000000" w:themeColor="text1"/>
          <w:sz w:val="24"/>
          <w:szCs w:val="24"/>
        </w:rPr>
        <w:t xml:space="preserve"> and their employees</w:t>
      </w:r>
      <w:r>
        <w:rPr>
          <w:rFonts w:asciiTheme="majorHAnsi" w:eastAsiaTheme="majorEastAsia" w:hAnsiTheme="majorHAnsi" w:cstheme="majorBidi"/>
          <w:bCs/>
          <w:color w:val="000000" w:themeColor="text1"/>
          <w:sz w:val="24"/>
          <w:szCs w:val="24"/>
        </w:rPr>
        <w:t xml:space="preserve"> that directly benefit from these expenditure items</w:t>
      </w:r>
      <w:r w:rsidR="00481819">
        <w:rPr>
          <w:rFonts w:asciiTheme="majorHAnsi" w:eastAsiaTheme="majorEastAsia" w:hAnsiTheme="majorHAnsi" w:cstheme="majorBidi"/>
          <w:bCs/>
          <w:color w:val="000000" w:themeColor="text1"/>
          <w:sz w:val="24"/>
          <w:szCs w:val="24"/>
        </w:rPr>
        <w:t xml:space="preserve"> (this is called “direct impact”)</w:t>
      </w:r>
      <w:r>
        <w:rPr>
          <w:rFonts w:asciiTheme="majorHAnsi" w:eastAsiaTheme="majorEastAsia" w:hAnsiTheme="majorHAnsi" w:cstheme="majorBidi"/>
          <w:bCs/>
          <w:color w:val="000000" w:themeColor="text1"/>
          <w:sz w:val="24"/>
          <w:szCs w:val="24"/>
        </w:rPr>
        <w:t xml:space="preserve">, but also the </w:t>
      </w:r>
      <w:r w:rsidR="00481819">
        <w:rPr>
          <w:rFonts w:asciiTheme="majorHAnsi" w:eastAsiaTheme="majorEastAsia" w:hAnsiTheme="majorHAnsi" w:cstheme="majorBidi"/>
          <w:bCs/>
          <w:color w:val="000000" w:themeColor="text1"/>
          <w:sz w:val="24"/>
          <w:szCs w:val="24"/>
        </w:rPr>
        <w:t>indirect</w:t>
      </w:r>
      <w:r>
        <w:rPr>
          <w:rFonts w:asciiTheme="majorHAnsi" w:eastAsiaTheme="majorEastAsia" w:hAnsiTheme="majorHAnsi" w:cstheme="majorBidi"/>
          <w:bCs/>
          <w:color w:val="000000" w:themeColor="text1"/>
          <w:sz w:val="24"/>
          <w:szCs w:val="24"/>
        </w:rPr>
        <w:t xml:space="preserve"> impact on </w:t>
      </w:r>
      <w:r w:rsidR="00481819">
        <w:rPr>
          <w:rFonts w:asciiTheme="majorHAnsi" w:eastAsiaTheme="majorEastAsia" w:hAnsiTheme="majorHAnsi" w:cstheme="majorBidi"/>
          <w:bCs/>
          <w:color w:val="000000" w:themeColor="text1"/>
          <w:sz w:val="24"/>
          <w:szCs w:val="24"/>
        </w:rPr>
        <w:t>the chain of businesses that provide intermediate products and services to the directly impacted businesses (this is called “indirect impact”), and the indirect impact on the chain of businesses that benefit when the</w:t>
      </w:r>
      <w:r>
        <w:rPr>
          <w:rFonts w:asciiTheme="majorHAnsi" w:eastAsiaTheme="majorEastAsia" w:hAnsiTheme="majorHAnsi" w:cstheme="majorBidi"/>
          <w:bCs/>
          <w:color w:val="000000" w:themeColor="text1"/>
          <w:sz w:val="24"/>
          <w:szCs w:val="24"/>
        </w:rPr>
        <w:t xml:space="preserve"> employees working for the</w:t>
      </w:r>
      <w:r w:rsidR="00481819">
        <w:rPr>
          <w:rFonts w:asciiTheme="majorHAnsi" w:eastAsiaTheme="majorEastAsia" w:hAnsiTheme="majorHAnsi" w:cstheme="majorBidi"/>
          <w:bCs/>
          <w:color w:val="000000" w:themeColor="text1"/>
          <w:sz w:val="24"/>
          <w:szCs w:val="24"/>
        </w:rPr>
        <w:t xml:space="preserve"> directly impacted </w:t>
      </w:r>
      <w:r>
        <w:rPr>
          <w:rFonts w:asciiTheme="majorHAnsi" w:eastAsiaTheme="majorEastAsia" w:hAnsiTheme="majorHAnsi" w:cstheme="majorBidi"/>
          <w:bCs/>
          <w:color w:val="000000" w:themeColor="text1"/>
          <w:sz w:val="24"/>
          <w:szCs w:val="24"/>
        </w:rPr>
        <w:t xml:space="preserve">businesses </w:t>
      </w:r>
      <w:r w:rsidR="00481819">
        <w:rPr>
          <w:rFonts w:asciiTheme="majorHAnsi" w:eastAsiaTheme="majorEastAsia" w:hAnsiTheme="majorHAnsi" w:cstheme="majorBidi"/>
          <w:bCs/>
          <w:color w:val="000000" w:themeColor="text1"/>
          <w:sz w:val="24"/>
          <w:szCs w:val="24"/>
        </w:rPr>
        <w:t xml:space="preserve">spend their wages and salaries to buy goods and services (this is called “induced impact”). The total </w:t>
      </w:r>
      <w:r w:rsidR="00D543EC">
        <w:rPr>
          <w:rFonts w:asciiTheme="majorHAnsi" w:eastAsiaTheme="majorEastAsia" w:hAnsiTheme="majorHAnsi" w:cstheme="majorBidi"/>
          <w:bCs/>
          <w:color w:val="000000" w:themeColor="text1"/>
          <w:sz w:val="24"/>
          <w:szCs w:val="24"/>
        </w:rPr>
        <w:t xml:space="preserve">forgone benefits to the whole economy are larger than the initial forgone benefits. This phenomenon is called </w:t>
      </w:r>
      <w:r w:rsidR="00782F7E">
        <w:rPr>
          <w:rFonts w:asciiTheme="majorHAnsi" w:eastAsiaTheme="majorEastAsia" w:hAnsiTheme="majorHAnsi" w:cstheme="majorBidi"/>
          <w:bCs/>
          <w:color w:val="000000" w:themeColor="text1"/>
          <w:sz w:val="24"/>
          <w:szCs w:val="24"/>
        </w:rPr>
        <w:t xml:space="preserve">the </w:t>
      </w:r>
      <w:r w:rsidR="00D543EC">
        <w:rPr>
          <w:rFonts w:asciiTheme="majorHAnsi" w:eastAsiaTheme="majorEastAsia" w:hAnsiTheme="majorHAnsi" w:cstheme="majorBidi"/>
          <w:bCs/>
          <w:color w:val="000000" w:themeColor="text1"/>
          <w:sz w:val="24"/>
          <w:szCs w:val="24"/>
        </w:rPr>
        <w:t>“Multiplier Effect”.</w:t>
      </w:r>
      <w:r w:rsidR="00D543EC">
        <w:rPr>
          <w:rStyle w:val="FootnoteReference"/>
          <w:rFonts w:asciiTheme="majorHAnsi" w:eastAsiaTheme="majorEastAsia" w:hAnsiTheme="majorHAnsi"/>
          <w:bCs/>
          <w:color w:val="000000" w:themeColor="text1"/>
          <w:sz w:val="24"/>
          <w:szCs w:val="24"/>
        </w:rPr>
        <w:footnoteReference w:id="2"/>
      </w:r>
      <w:r w:rsidR="00D543EC">
        <w:rPr>
          <w:rFonts w:asciiTheme="majorHAnsi" w:eastAsiaTheme="majorEastAsia" w:hAnsiTheme="majorHAnsi" w:cstheme="majorBidi"/>
          <w:bCs/>
          <w:color w:val="000000" w:themeColor="text1"/>
          <w:sz w:val="24"/>
          <w:szCs w:val="24"/>
        </w:rPr>
        <w:t xml:space="preserve">  </w:t>
      </w:r>
    </w:p>
    <w:p w14:paraId="6D5757BA" w14:textId="77777777" w:rsidR="00615AC1" w:rsidRDefault="00615AC1" w:rsidP="004E082D">
      <w:pPr>
        <w:spacing w:after="0"/>
        <w:rPr>
          <w:rFonts w:asciiTheme="majorHAnsi" w:eastAsiaTheme="majorEastAsia" w:hAnsiTheme="majorHAnsi" w:cstheme="majorBidi"/>
          <w:bCs/>
          <w:color w:val="000000" w:themeColor="text1"/>
          <w:sz w:val="24"/>
          <w:szCs w:val="24"/>
        </w:rPr>
      </w:pPr>
    </w:p>
    <w:p w14:paraId="4ACD6857" w14:textId="77777777" w:rsidR="004E082D" w:rsidRDefault="004E082D" w:rsidP="004E082D">
      <w:pPr>
        <w:spacing w:after="0"/>
        <w:rPr>
          <w:rFonts w:asciiTheme="majorHAnsi" w:eastAsiaTheme="majorEastAsia" w:hAnsiTheme="majorHAnsi" w:cstheme="majorBidi"/>
          <w:bCs/>
          <w:color w:val="000000" w:themeColor="text1"/>
          <w:sz w:val="24"/>
          <w:szCs w:val="24"/>
        </w:rPr>
      </w:pPr>
      <w:r w:rsidRPr="00DF1213">
        <w:rPr>
          <w:rFonts w:asciiTheme="majorHAnsi" w:eastAsiaTheme="majorEastAsia" w:hAnsiTheme="majorHAnsi" w:cstheme="majorBidi"/>
          <w:bCs/>
          <w:color w:val="000000" w:themeColor="text1"/>
          <w:sz w:val="24"/>
          <w:szCs w:val="24"/>
        </w:rPr>
        <w:t xml:space="preserve">To estimate the </w:t>
      </w:r>
      <w:r w:rsidR="00810202">
        <w:rPr>
          <w:rFonts w:asciiTheme="majorHAnsi" w:eastAsiaTheme="majorEastAsia" w:hAnsiTheme="majorHAnsi" w:cstheme="majorBidi"/>
          <w:bCs/>
          <w:color w:val="000000" w:themeColor="text1"/>
          <w:sz w:val="24"/>
          <w:szCs w:val="24"/>
        </w:rPr>
        <w:t xml:space="preserve">total </w:t>
      </w:r>
      <w:r w:rsidRPr="00DF1213">
        <w:rPr>
          <w:rFonts w:asciiTheme="majorHAnsi" w:eastAsiaTheme="majorEastAsia" w:hAnsiTheme="majorHAnsi" w:cstheme="majorBidi"/>
          <w:bCs/>
          <w:color w:val="000000" w:themeColor="text1"/>
          <w:sz w:val="24"/>
          <w:szCs w:val="24"/>
        </w:rPr>
        <w:t xml:space="preserve">forgone </w:t>
      </w:r>
      <w:r w:rsidR="00810202">
        <w:rPr>
          <w:rFonts w:asciiTheme="majorHAnsi" w:eastAsiaTheme="majorEastAsia" w:hAnsiTheme="majorHAnsi" w:cstheme="majorBidi"/>
          <w:bCs/>
          <w:color w:val="000000" w:themeColor="text1"/>
          <w:sz w:val="24"/>
          <w:szCs w:val="24"/>
        </w:rPr>
        <w:t>benefits</w:t>
      </w:r>
      <w:r w:rsidR="00810202" w:rsidRPr="00DF1213">
        <w:rPr>
          <w:rFonts w:asciiTheme="majorHAnsi" w:eastAsiaTheme="majorEastAsia" w:hAnsiTheme="majorHAnsi" w:cstheme="majorBidi"/>
          <w:bCs/>
          <w:color w:val="000000" w:themeColor="text1"/>
          <w:sz w:val="24"/>
          <w:szCs w:val="24"/>
        </w:rPr>
        <w:t xml:space="preserve"> </w:t>
      </w:r>
      <w:r w:rsidRPr="00DF1213">
        <w:rPr>
          <w:rFonts w:asciiTheme="majorHAnsi" w:eastAsiaTheme="majorEastAsia" w:hAnsiTheme="majorHAnsi" w:cstheme="majorBidi"/>
          <w:bCs/>
          <w:color w:val="000000" w:themeColor="text1"/>
          <w:sz w:val="24"/>
          <w:szCs w:val="24"/>
        </w:rPr>
        <w:t>of the reduced spending on other expenditure items, we employed a renowned software</w:t>
      </w:r>
      <w:r w:rsidR="00782F7E">
        <w:rPr>
          <w:rFonts w:asciiTheme="majorHAnsi" w:eastAsiaTheme="majorEastAsia" w:hAnsiTheme="majorHAnsi" w:cstheme="majorBidi"/>
          <w:bCs/>
          <w:color w:val="000000" w:themeColor="text1"/>
          <w:sz w:val="24"/>
          <w:szCs w:val="24"/>
        </w:rPr>
        <w:t xml:space="preserve"> tool</w:t>
      </w:r>
      <w:r w:rsidRPr="00DF1213">
        <w:rPr>
          <w:rFonts w:asciiTheme="majorHAnsi" w:eastAsiaTheme="majorEastAsia" w:hAnsiTheme="majorHAnsi" w:cstheme="majorBidi"/>
          <w:bCs/>
          <w:color w:val="000000" w:themeColor="text1"/>
          <w:sz w:val="24"/>
          <w:szCs w:val="24"/>
        </w:rPr>
        <w:t>, Tax-PI.  Tax-PI is a tool for evaluating the total fiscal and economic effects of tax policy changes. Tax-PI is built on over 30 years of experience in modeling the economic effects of tax policy changes, according to MODELS: TAX-PI in the reference. The popularity of the model has grown substantially since it was introduced.  Note that while the tax incentive is</w:t>
      </w:r>
      <w:r w:rsidR="00810202">
        <w:rPr>
          <w:rFonts w:asciiTheme="majorHAnsi" w:eastAsiaTheme="majorEastAsia" w:hAnsiTheme="majorHAnsi" w:cstheme="majorBidi"/>
          <w:bCs/>
          <w:color w:val="000000" w:themeColor="text1"/>
          <w:sz w:val="24"/>
          <w:szCs w:val="24"/>
        </w:rPr>
        <w:t xml:space="preserve"> for a</w:t>
      </w:r>
      <w:r w:rsidRPr="00DF1213">
        <w:rPr>
          <w:rFonts w:asciiTheme="majorHAnsi" w:eastAsiaTheme="majorEastAsia" w:hAnsiTheme="majorHAnsi" w:cstheme="majorBidi"/>
          <w:bCs/>
          <w:color w:val="000000" w:themeColor="text1"/>
          <w:sz w:val="24"/>
          <w:szCs w:val="24"/>
        </w:rPr>
        <w:t xml:space="preserve"> specific</w:t>
      </w:r>
      <w:r w:rsidR="00810202">
        <w:rPr>
          <w:rFonts w:asciiTheme="majorHAnsi" w:eastAsiaTheme="majorEastAsia" w:hAnsiTheme="majorHAnsi" w:cstheme="majorBidi"/>
          <w:bCs/>
          <w:color w:val="000000" w:themeColor="text1"/>
          <w:sz w:val="24"/>
          <w:szCs w:val="24"/>
        </w:rPr>
        <w:t xml:space="preserve"> purpose</w:t>
      </w:r>
      <w:r w:rsidRPr="00DF1213">
        <w:rPr>
          <w:rFonts w:asciiTheme="majorHAnsi" w:eastAsiaTheme="majorEastAsia" w:hAnsiTheme="majorHAnsi" w:cstheme="majorBidi"/>
          <w:bCs/>
          <w:color w:val="000000" w:themeColor="text1"/>
          <w:sz w:val="24"/>
          <w:szCs w:val="24"/>
        </w:rPr>
        <w:t>, the reduced spending is assumed to be made according to the current composition of the Commonwealth’s expenditure.</w:t>
      </w:r>
    </w:p>
    <w:p w14:paraId="4528AF7E" w14:textId="77777777" w:rsidR="003C4B67" w:rsidRPr="003C4B67" w:rsidRDefault="003C4B67" w:rsidP="003C4B67">
      <w:pPr>
        <w:spacing w:after="0"/>
        <w:rPr>
          <w:rFonts w:asciiTheme="majorHAnsi" w:eastAsiaTheme="majorEastAsia" w:hAnsiTheme="majorHAnsi" w:cstheme="majorBidi"/>
          <w:bCs/>
          <w:color w:val="000000" w:themeColor="text1"/>
          <w:sz w:val="24"/>
          <w:szCs w:val="24"/>
        </w:rPr>
      </w:pPr>
    </w:p>
    <w:p w14:paraId="44E13F1A" w14:textId="73744DE3" w:rsidR="00F07F1E" w:rsidRDefault="003C4B67" w:rsidP="00F07F1E">
      <w:pPr>
        <w:spacing w:after="0"/>
        <w:rPr>
          <w:rFonts w:asciiTheme="majorHAnsi" w:eastAsiaTheme="majorEastAsia" w:hAnsiTheme="majorHAnsi" w:cstheme="majorBidi"/>
          <w:bCs/>
          <w:color w:val="000000" w:themeColor="text1"/>
          <w:sz w:val="24"/>
          <w:szCs w:val="24"/>
        </w:rPr>
      </w:pPr>
      <w:r w:rsidRPr="003C4B67">
        <w:rPr>
          <w:rFonts w:asciiTheme="majorHAnsi" w:eastAsiaTheme="majorEastAsia" w:hAnsiTheme="majorHAnsi" w:cstheme="majorBidi"/>
          <w:bCs/>
          <w:color w:val="000000" w:themeColor="text1"/>
          <w:sz w:val="24"/>
          <w:szCs w:val="24"/>
        </w:rPr>
        <w:t xml:space="preserve">The period of study is limited to </w:t>
      </w:r>
      <w:r w:rsidR="003D2F49">
        <w:rPr>
          <w:rFonts w:asciiTheme="majorHAnsi" w:eastAsiaTheme="majorEastAsia" w:hAnsiTheme="majorHAnsi" w:cstheme="majorBidi"/>
          <w:bCs/>
          <w:color w:val="000000" w:themeColor="text1"/>
          <w:sz w:val="24"/>
          <w:szCs w:val="24"/>
        </w:rPr>
        <w:t xml:space="preserve">the </w:t>
      </w:r>
      <w:r w:rsidRPr="003C4B67">
        <w:rPr>
          <w:rFonts w:asciiTheme="majorHAnsi" w:eastAsiaTheme="majorEastAsia" w:hAnsiTheme="majorHAnsi" w:cstheme="majorBidi"/>
          <w:bCs/>
          <w:color w:val="000000" w:themeColor="text1"/>
          <w:sz w:val="24"/>
          <w:szCs w:val="24"/>
        </w:rPr>
        <w:t xml:space="preserve">five years from 2018 through 2022, for which we prepared input data to run the model. Tables </w:t>
      </w:r>
      <w:r w:rsidR="00303B9E">
        <w:rPr>
          <w:rFonts w:asciiTheme="majorHAnsi" w:eastAsiaTheme="majorEastAsia" w:hAnsiTheme="majorHAnsi" w:cstheme="majorBidi"/>
          <w:bCs/>
          <w:color w:val="000000" w:themeColor="text1"/>
          <w:sz w:val="24"/>
          <w:szCs w:val="24"/>
        </w:rPr>
        <w:t>3</w:t>
      </w:r>
      <w:r w:rsidRPr="003C4B67">
        <w:rPr>
          <w:rFonts w:asciiTheme="majorHAnsi" w:eastAsiaTheme="majorEastAsia" w:hAnsiTheme="majorHAnsi" w:cstheme="majorBidi"/>
          <w:bCs/>
          <w:color w:val="000000" w:themeColor="text1"/>
          <w:sz w:val="24"/>
          <w:szCs w:val="24"/>
        </w:rPr>
        <w:t xml:space="preserve"> and </w:t>
      </w:r>
      <w:r w:rsidR="00303B9E">
        <w:rPr>
          <w:rFonts w:asciiTheme="majorHAnsi" w:eastAsiaTheme="majorEastAsia" w:hAnsiTheme="majorHAnsi" w:cstheme="majorBidi"/>
          <w:bCs/>
          <w:color w:val="000000" w:themeColor="text1"/>
          <w:sz w:val="24"/>
          <w:szCs w:val="24"/>
        </w:rPr>
        <w:t>4</w:t>
      </w:r>
      <w:r w:rsidRPr="003C4B67">
        <w:rPr>
          <w:rFonts w:asciiTheme="majorHAnsi" w:eastAsiaTheme="majorEastAsia" w:hAnsiTheme="majorHAnsi" w:cstheme="majorBidi"/>
          <w:bCs/>
          <w:color w:val="000000" w:themeColor="text1"/>
          <w:sz w:val="24"/>
          <w:szCs w:val="24"/>
        </w:rPr>
        <w:t xml:space="preserve"> report</w:t>
      </w:r>
      <w:r w:rsidR="003D2F49">
        <w:rPr>
          <w:rFonts w:asciiTheme="majorHAnsi" w:eastAsiaTheme="majorEastAsia" w:hAnsiTheme="majorHAnsi" w:cstheme="majorBidi"/>
          <w:bCs/>
          <w:color w:val="000000" w:themeColor="text1"/>
          <w:sz w:val="24"/>
          <w:szCs w:val="24"/>
        </w:rPr>
        <w:t xml:space="preserve"> the model</w:t>
      </w:r>
      <w:r w:rsidRPr="003C4B67">
        <w:rPr>
          <w:rFonts w:asciiTheme="majorHAnsi" w:eastAsiaTheme="majorEastAsia" w:hAnsiTheme="majorHAnsi" w:cstheme="majorBidi"/>
          <w:bCs/>
          <w:color w:val="000000" w:themeColor="text1"/>
          <w:sz w:val="24"/>
          <w:szCs w:val="24"/>
        </w:rPr>
        <w:t xml:space="preserve"> results. </w:t>
      </w:r>
      <w:r w:rsidR="000F71BC" w:rsidRPr="000F71BC">
        <w:rPr>
          <w:rFonts w:asciiTheme="majorHAnsi" w:eastAsiaTheme="majorEastAsia" w:hAnsiTheme="majorHAnsi" w:cstheme="majorBidi"/>
          <w:bCs/>
          <w:color w:val="000000" w:themeColor="text1"/>
          <w:sz w:val="24"/>
          <w:szCs w:val="24"/>
        </w:rPr>
        <w:t>The figures for 2018 and 2019 are estimates of forgone benefits (opportunity costs) that the Massachusetts economy experience</w:t>
      </w:r>
      <w:r w:rsidR="003D2F49">
        <w:rPr>
          <w:rFonts w:asciiTheme="majorHAnsi" w:eastAsiaTheme="majorEastAsia" w:hAnsiTheme="majorHAnsi" w:cstheme="majorBidi"/>
          <w:bCs/>
          <w:color w:val="000000" w:themeColor="text1"/>
          <w:sz w:val="24"/>
          <w:szCs w:val="24"/>
        </w:rPr>
        <w:t>d</w:t>
      </w:r>
      <w:r w:rsidR="00782F7E">
        <w:rPr>
          <w:rFonts w:asciiTheme="majorHAnsi" w:eastAsiaTheme="majorEastAsia" w:hAnsiTheme="majorHAnsi" w:cstheme="majorBidi"/>
          <w:bCs/>
          <w:color w:val="000000" w:themeColor="text1"/>
          <w:sz w:val="24"/>
          <w:szCs w:val="24"/>
        </w:rPr>
        <w:t xml:space="preserve"> due to having the expenditure,</w:t>
      </w:r>
      <w:r w:rsidR="000F71BC" w:rsidRPr="000F71BC">
        <w:rPr>
          <w:rFonts w:asciiTheme="majorHAnsi" w:eastAsiaTheme="majorEastAsia" w:hAnsiTheme="majorHAnsi" w:cstheme="majorBidi"/>
          <w:bCs/>
          <w:color w:val="000000" w:themeColor="text1"/>
          <w:sz w:val="24"/>
          <w:szCs w:val="24"/>
        </w:rPr>
        <w:t xml:space="preserve"> and those for 2020, 2021 and 2022 are </w:t>
      </w:r>
      <w:r w:rsidR="003D2F49">
        <w:rPr>
          <w:rFonts w:asciiTheme="majorHAnsi" w:eastAsiaTheme="majorEastAsia" w:hAnsiTheme="majorHAnsi" w:cstheme="majorBidi"/>
          <w:bCs/>
          <w:color w:val="000000" w:themeColor="text1"/>
          <w:sz w:val="24"/>
          <w:szCs w:val="24"/>
        </w:rPr>
        <w:t>projections of</w:t>
      </w:r>
      <w:r w:rsidR="000F71BC" w:rsidRPr="000F71BC">
        <w:rPr>
          <w:rFonts w:asciiTheme="majorHAnsi" w:eastAsiaTheme="majorEastAsia" w:hAnsiTheme="majorHAnsi" w:cstheme="majorBidi"/>
          <w:bCs/>
          <w:color w:val="000000" w:themeColor="text1"/>
          <w:sz w:val="24"/>
          <w:szCs w:val="24"/>
        </w:rPr>
        <w:t xml:space="preserve"> forgone benefits that the Massachusetts economy </w:t>
      </w:r>
      <w:r w:rsidR="00B6239F">
        <w:rPr>
          <w:rFonts w:asciiTheme="majorHAnsi" w:eastAsiaTheme="majorEastAsia" w:hAnsiTheme="majorHAnsi" w:cstheme="majorBidi"/>
          <w:bCs/>
          <w:color w:val="000000" w:themeColor="text1"/>
          <w:sz w:val="24"/>
          <w:szCs w:val="24"/>
        </w:rPr>
        <w:t>will</w:t>
      </w:r>
      <w:r w:rsidR="00B6239F" w:rsidRPr="000F71BC">
        <w:rPr>
          <w:rFonts w:asciiTheme="majorHAnsi" w:eastAsiaTheme="majorEastAsia" w:hAnsiTheme="majorHAnsi" w:cstheme="majorBidi"/>
          <w:bCs/>
          <w:color w:val="000000" w:themeColor="text1"/>
          <w:sz w:val="24"/>
          <w:szCs w:val="24"/>
        </w:rPr>
        <w:t xml:space="preserve"> </w:t>
      </w:r>
      <w:r w:rsidR="000F71BC" w:rsidRPr="000F71BC">
        <w:rPr>
          <w:rFonts w:asciiTheme="majorHAnsi" w:eastAsiaTheme="majorEastAsia" w:hAnsiTheme="majorHAnsi" w:cstheme="majorBidi"/>
          <w:bCs/>
          <w:color w:val="000000" w:themeColor="text1"/>
          <w:sz w:val="24"/>
          <w:szCs w:val="24"/>
        </w:rPr>
        <w:t xml:space="preserve">experience going forward.  The effects </w:t>
      </w:r>
      <w:r w:rsidR="00782F7E">
        <w:rPr>
          <w:rFonts w:asciiTheme="majorHAnsi" w:eastAsiaTheme="majorEastAsia" w:hAnsiTheme="majorHAnsi" w:cstheme="majorBidi"/>
          <w:bCs/>
          <w:color w:val="000000" w:themeColor="text1"/>
          <w:sz w:val="24"/>
          <w:szCs w:val="24"/>
        </w:rPr>
        <w:t xml:space="preserve">are displayed as </w:t>
      </w:r>
      <w:r w:rsidR="000F71BC" w:rsidRPr="000F71BC">
        <w:rPr>
          <w:rFonts w:asciiTheme="majorHAnsi" w:eastAsiaTheme="majorEastAsia" w:hAnsiTheme="majorHAnsi" w:cstheme="majorBidi"/>
          <w:bCs/>
          <w:color w:val="000000" w:themeColor="text1"/>
          <w:sz w:val="24"/>
          <w:szCs w:val="24"/>
        </w:rPr>
        <w:t xml:space="preserve">negative </w:t>
      </w:r>
      <w:r w:rsidR="00782F7E">
        <w:rPr>
          <w:rFonts w:asciiTheme="majorHAnsi" w:eastAsiaTheme="majorEastAsia" w:hAnsiTheme="majorHAnsi" w:cstheme="majorBidi"/>
          <w:bCs/>
          <w:color w:val="000000" w:themeColor="text1"/>
          <w:sz w:val="24"/>
          <w:szCs w:val="24"/>
        </w:rPr>
        <w:t xml:space="preserve">numbers </w:t>
      </w:r>
      <w:r w:rsidR="000F71BC" w:rsidRPr="000F71BC">
        <w:rPr>
          <w:rFonts w:asciiTheme="majorHAnsi" w:eastAsiaTheme="majorEastAsia" w:hAnsiTheme="majorHAnsi" w:cstheme="majorBidi"/>
          <w:bCs/>
          <w:color w:val="000000" w:themeColor="text1"/>
          <w:sz w:val="24"/>
          <w:szCs w:val="24"/>
        </w:rPr>
        <w:t>as reduced spending has a negative impact on the state economy.</w:t>
      </w:r>
      <w:r w:rsidR="00B87C19">
        <w:rPr>
          <w:rFonts w:asciiTheme="majorHAnsi" w:eastAsiaTheme="majorEastAsia" w:hAnsiTheme="majorHAnsi" w:cstheme="majorBidi"/>
          <w:bCs/>
          <w:color w:val="000000" w:themeColor="text1"/>
          <w:sz w:val="24"/>
          <w:szCs w:val="24"/>
        </w:rPr>
        <w:t xml:space="preserve"> Tables </w:t>
      </w:r>
      <w:r w:rsidR="00303B9E">
        <w:rPr>
          <w:rFonts w:asciiTheme="majorHAnsi" w:eastAsiaTheme="majorEastAsia" w:hAnsiTheme="majorHAnsi" w:cstheme="majorBidi"/>
          <w:bCs/>
          <w:color w:val="000000" w:themeColor="text1"/>
          <w:sz w:val="24"/>
          <w:szCs w:val="24"/>
        </w:rPr>
        <w:t>3</w:t>
      </w:r>
      <w:r w:rsidR="00B87C19">
        <w:rPr>
          <w:rFonts w:asciiTheme="majorHAnsi" w:eastAsiaTheme="majorEastAsia" w:hAnsiTheme="majorHAnsi" w:cstheme="majorBidi"/>
          <w:bCs/>
          <w:color w:val="000000" w:themeColor="text1"/>
          <w:sz w:val="24"/>
          <w:szCs w:val="24"/>
        </w:rPr>
        <w:t xml:space="preserve"> and </w:t>
      </w:r>
      <w:r w:rsidR="00303B9E">
        <w:rPr>
          <w:rFonts w:asciiTheme="majorHAnsi" w:eastAsiaTheme="majorEastAsia" w:hAnsiTheme="majorHAnsi" w:cstheme="majorBidi"/>
          <w:bCs/>
          <w:color w:val="000000" w:themeColor="text1"/>
          <w:sz w:val="24"/>
          <w:szCs w:val="24"/>
        </w:rPr>
        <w:t>4</w:t>
      </w:r>
      <w:r w:rsidR="00B87C19">
        <w:rPr>
          <w:rFonts w:asciiTheme="majorHAnsi" w:eastAsiaTheme="majorEastAsia" w:hAnsiTheme="majorHAnsi" w:cstheme="majorBidi"/>
          <w:bCs/>
          <w:color w:val="000000" w:themeColor="text1"/>
          <w:sz w:val="24"/>
          <w:szCs w:val="24"/>
        </w:rPr>
        <w:t xml:space="preserve"> show that the </w:t>
      </w:r>
      <w:r w:rsidR="00252518">
        <w:rPr>
          <w:rFonts w:asciiTheme="majorHAnsi" w:eastAsiaTheme="majorEastAsia" w:hAnsiTheme="majorHAnsi" w:cstheme="majorBidi"/>
          <w:bCs/>
          <w:color w:val="000000" w:themeColor="text1"/>
          <w:sz w:val="24"/>
          <w:szCs w:val="24"/>
        </w:rPr>
        <w:t>reduction</w:t>
      </w:r>
      <w:r w:rsidR="00B87C19">
        <w:rPr>
          <w:rFonts w:asciiTheme="majorHAnsi" w:eastAsiaTheme="majorEastAsia" w:hAnsiTheme="majorHAnsi" w:cstheme="majorBidi"/>
          <w:bCs/>
          <w:color w:val="000000" w:themeColor="text1"/>
          <w:sz w:val="24"/>
          <w:szCs w:val="24"/>
        </w:rPr>
        <w:t xml:space="preserve"> in state government spending </w:t>
      </w:r>
      <w:r w:rsidR="00252518">
        <w:rPr>
          <w:rFonts w:asciiTheme="majorHAnsi" w:eastAsiaTheme="majorEastAsia" w:hAnsiTheme="majorHAnsi" w:cstheme="majorBidi"/>
          <w:bCs/>
          <w:color w:val="000000" w:themeColor="text1"/>
          <w:sz w:val="24"/>
          <w:szCs w:val="24"/>
        </w:rPr>
        <w:t xml:space="preserve">due to the expenditure </w:t>
      </w:r>
      <w:r w:rsidR="00B87C19">
        <w:rPr>
          <w:rFonts w:asciiTheme="majorHAnsi" w:eastAsiaTheme="majorEastAsia" w:hAnsiTheme="majorHAnsi" w:cstheme="majorBidi"/>
          <w:bCs/>
          <w:color w:val="000000" w:themeColor="text1"/>
          <w:sz w:val="24"/>
          <w:szCs w:val="24"/>
        </w:rPr>
        <w:t xml:space="preserve">results in lost economic </w:t>
      </w:r>
      <w:r w:rsidR="00252518">
        <w:rPr>
          <w:rFonts w:asciiTheme="majorHAnsi" w:eastAsiaTheme="majorEastAsia" w:hAnsiTheme="majorHAnsi" w:cstheme="majorBidi"/>
          <w:bCs/>
          <w:color w:val="000000" w:themeColor="text1"/>
          <w:sz w:val="24"/>
          <w:szCs w:val="24"/>
        </w:rPr>
        <w:t>activity</w:t>
      </w:r>
      <w:r w:rsidR="00B87C19">
        <w:rPr>
          <w:rFonts w:asciiTheme="majorHAnsi" w:eastAsiaTheme="majorEastAsia" w:hAnsiTheme="majorHAnsi" w:cstheme="majorBidi"/>
          <w:bCs/>
          <w:color w:val="000000" w:themeColor="text1"/>
          <w:sz w:val="24"/>
          <w:szCs w:val="24"/>
        </w:rPr>
        <w:t xml:space="preserve">, with real state GDP declining </w:t>
      </w:r>
      <w:r w:rsidR="00955760">
        <w:rPr>
          <w:rFonts w:asciiTheme="majorHAnsi" w:eastAsiaTheme="majorEastAsia" w:hAnsiTheme="majorHAnsi" w:cstheme="majorBidi"/>
          <w:bCs/>
          <w:color w:val="000000" w:themeColor="text1"/>
          <w:sz w:val="24"/>
          <w:szCs w:val="24"/>
        </w:rPr>
        <w:t xml:space="preserve">by </w:t>
      </w:r>
      <w:r w:rsidR="00B87C19">
        <w:rPr>
          <w:rFonts w:asciiTheme="majorHAnsi" w:eastAsiaTheme="majorEastAsia" w:hAnsiTheme="majorHAnsi" w:cstheme="majorBidi"/>
          <w:bCs/>
          <w:color w:val="000000" w:themeColor="text1"/>
          <w:sz w:val="24"/>
          <w:szCs w:val="24"/>
        </w:rPr>
        <w:t>$159-$17</w:t>
      </w:r>
      <w:r w:rsidR="00A90779">
        <w:rPr>
          <w:rFonts w:asciiTheme="majorHAnsi" w:eastAsiaTheme="majorEastAsia" w:hAnsiTheme="majorHAnsi" w:cstheme="majorBidi"/>
          <w:bCs/>
          <w:color w:val="000000" w:themeColor="text1"/>
          <w:sz w:val="24"/>
          <w:szCs w:val="24"/>
        </w:rPr>
        <w:t>4</w:t>
      </w:r>
      <w:r w:rsidR="00B87C19">
        <w:rPr>
          <w:rFonts w:asciiTheme="majorHAnsi" w:eastAsiaTheme="majorEastAsia" w:hAnsiTheme="majorHAnsi" w:cstheme="majorBidi"/>
          <w:bCs/>
          <w:color w:val="000000" w:themeColor="text1"/>
          <w:sz w:val="24"/>
          <w:szCs w:val="24"/>
        </w:rPr>
        <w:t xml:space="preserve"> million and total employment declining</w:t>
      </w:r>
      <w:r w:rsidR="00955760">
        <w:rPr>
          <w:rFonts w:asciiTheme="majorHAnsi" w:eastAsiaTheme="majorEastAsia" w:hAnsiTheme="majorHAnsi" w:cstheme="majorBidi"/>
          <w:bCs/>
          <w:color w:val="000000" w:themeColor="text1"/>
          <w:sz w:val="24"/>
          <w:szCs w:val="24"/>
        </w:rPr>
        <w:t xml:space="preserve"> by</w:t>
      </w:r>
      <w:r w:rsidR="00B87C19">
        <w:rPr>
          <w:rFonts w:asciiTheme="majorHAnsi" w:eastAsiaTheme="majorEastAsia" w:hAnsiTheme="majorHAnsi" w:cstheme="majorBidi"/>
          <w:bCs/>
          <w:color w:val="000000" w:themeColor="text1"/>
          <w:sz w:val="24"/>
          <w:szCs w:val="24"/>
        </w:rPr>
        <w:t xml:space="preserve"> 1,8</w:t>
      </w:r>
      <w:r w:rsidR="00A90779">
        <w:rPr>
          <w:rFonts w:asciiTheme="majorHAnsi" w:eastAsiaTheme="majorEastAsia" w:hAnsiTheme="majorHAnsi" w:cstheme="majorBidi"/>
          <w:bCs/>
          <w:color w:val="000000" w:themeColor="text1"/>
          <w:sz w:val="24"/>
          <w:szCs w:val="24"/>
        </w:rPr>
        <w:t>37</w:t>
      </w:r>
      <w:r w:rsidR="00B87C19">
        <w:rPr>
          <w:rFonts w:asciiTheme="majorHAnsi" w:eastAsiaTheme="majorEastAsia" w:hAnsiTheme="majorHAnsi" w:cstheme="majorBidi"/>
          <w:bCs/>
          <w:color w:val="000000" w:themeColor="text1"/>
          <w:sz w:val="24"/>
          <w:szCs w:val="24"/>
        </w:rPr>
        <w:t>-1,9</w:t>
      </w:r>
      <w:r w:rsidR="00A90779">
        <w:rPr>
          <w:rFonts w:asciiTheme="majorHAnsi" w:eastAsiaTheme="majorEastAsia" w:hAnsiTheme="majorHAnsi" w:cstheme="majorBidi"/>
          <w:bCs/>
          <w:color w:val="000000" w:themeColor="text1"/>
          <w:sz w:val="24"/>
          <w:szCs w:val="24"/>
        </w:rPr>
        <w:t>23</w:t>
      </w:r>
      <w:r w:rsidR="00B87C19">
        <w:rPr>
          <w:rFonts w:asciiTheme="majorHAnsi" w:eastAsiaTheme="majorEastAsia" w:hAnsiTheme="majorHAnsi" w:cstheme="majorBidi"/>
          <w:bCs/>
          <w:color w:val="000000" w:themeColor="text1"/>
          <w:sz w:val="24"/>
          <w:szCs w:val="24"/>
        </w:rPr>
        <w:t xml:space="preserve"> </w:t>
      </w:r>
      <w:r w:rsidR="00955760">
        <w:rPr>
          <w:rFonts w:asciiTheme="majorHAnsi" w:eastAsiaTheme="majorEastAsia" w:hAnsiTheme="majorHAnsi" w:cstheme="majorBidi"/>
          <w:bCs/>
          <w:color w:val="000000" w:themeColor="text1"/>
          <w:sz w:val="24"/>
          <w:szCs w:val="24"/>
        </w:rPr>
        <w:t xml:space="preserve">jobs </w:t>
      </w:r>
      <w:r w:rsidR="00B87C19">
        <w:rPr>
          <w:rFonts w:asciiTheme="majorHAnsi" w:eastAsiaTheme="majorEastAsia" w:hAnsiTheme="majorHAnsi" w:cstheme="majorBidi"/>
          <w:bCs/>
          <w:color w:val="000000" w:themeColor="text1"/>
          <w:sz w:val="24"/>
          <w:szCs w:val="24"/>
        </w:rPr>
        <w:t xml:space="preserve">annually. Lost economic </w:t>
      </w:r>
      <w:r w:rsidR="00252518">
        <w:rPr>
          <w:rFonts w:asciiTheme="majorHAnsi" w:eastAsiaTheme="majorEastAsia" w:hAnsiTheme="majorHAnsi" w:cstheme="majorBidi"/>
          <w:bCs/>
          <w:color w:val="000000" w:themeColor="text1"/>
          <w:sz w:val="24"/>
          <w:szCs w:val="24"/>
        </w:rPr>
        <w:t xml:space="preserve">activity </w:t>
      </w:r>
      <w:r w:rsidR="00B87C19">
        <w:rPr>
          <w:rFonts w:asciiTheme="majorHAnsi" w:eastAsiaTheme="majorEastAsia" w:hAnsiTheme="majorHAnsi" w:cstheme="majorBidi"/>
          <w:bCs/>
          <w:color w:val="000000" w:themeColor="text1"/>
          <w:sz w:val="24"/>
          <w:szCs w:val="24"/>
        </w:rPr>
        <w:t>result</w:t>
      </w:r>
      <w:r w:rsidR="00252518">
        <w:rPr>
          <w:rFonts w:asciiTheme="majorHAnsi" w:eastAsiaTheme="majorEastAsia" w:hAnsiTheme="majorHAnsi" w:cstheme="majorBidi"/>
          <w:bCs/>
          <w:color w:val="000000" w:themeColor="text1"/>
          <w:sz w:val="24"/>
          <w:szCs w:val="24"/>
        </w:rPr>
        <w:t>s</w:t>
      </w:r>
      <w:r w:rsidR="00B87C19">
        <w:rPr>
          <w:rFonts w:asciiTheme="majorHAnsi" w:eastAsiaTheme="majorEastAsia" w:hAnsiTheme="majorHAnsi" w:cstheme="majorBidi"/>
          <w:bCs/>
          <w:color w:val="000000" w:themeColor="text1"/>
          <w:sz w:val="24"/>
          <w:szCs w:val="24"/>
        </w:rPr>
        <w:t xml:space="preserve"> in further loss in </w:t>
      </w:r>
      <w:r w:rsidR="00955760">
        <w:rPr>
          <w:rFonts w:asciiTheme="majorHAnsi" w:eastAsiaTheme="majorEastAsia" w:hAnsiTheme="majorHAnsi" w:cstheme="majorBidi"/>
          <w:bCs/>
          <w:color w:val="000000" w:themeColor="text1"/>
          <w:sz w:val="24"/>
          <w:szCs w:val="24"/>
        </w:rPr>
        <w:t>state</w:t>
      </w:r>
      <w:r w:rsidR="00B87C19">
        <w:rPr>
          <w:rFonts w:asciiTheme="majorHAnsi" w:eastAsiaTheme="majorEastAsia" w:hAnsiTheme="majorHAnsi" w:cstheme="majorBidi"/>
          <w:bCs/>
          <w:color w:val="000000" w:themeColor="text1"/>
          <w:sz w:val="24"/>
          <w:szCs w:val="24"/>
        </w:rPr>
        <w:t xml:space="preserve"> revenues</w:t>
      </w:r>
      <w:r w:rsidR="00252518">
        <w:rPr>
          <w:rFonts w:asciiTheme="majorHAnsi" w:eastAsiaTheme="majorEastAsia" w:hAnsiTheme="majorHAnsi" w:cstheme="majorBidi"/>
          <w:bCs/>
          <w:color w:val="000000" w:themeColor="text1"/>
          <w:sz w:val="24"/>
          <w:szCs w:val="24"/>
        </w:rPr>
        <w:t>,</w:t>
      </w:r>
      <w:r w:rsidR="00955760">
        <w:rPr>
          <w:rStyle w:val="FootnoteReference"/>
          <w:rFonts w:asciiTheme="majorHAnsi" w:eastAsiaTheme="majorEastAsia" w:hAnsiTheme="majorHAnsi"/>
          <w:bCs/>
          <w:color w:val="000000" w:themeColor="text1"/>
          <w:sz w:val="24"/>
          <w:szCs w:val="24"/>
        </w:rPr>
        <w:footnoteReference w:id="3"/>
      </w:r>
      <w:r w:rsidR="00B87C19">
        <w:rPr>
          <w:rFonts w:asciiTheme="majorHAnsi" w:eastAsiaTheme="majorEastAsia" w:hAnsiTheme="majorHAnsi" w:cstheme="majorBidi"/>
          <w:bCs/>
          <w:color w:val="000000" w:themeColor="text1"/>
          <w:sz w:val="24"/>
          <w:szCs w:val="24"/>
        </w:rPr>
        <w:t xml:space="preserve"> ranging from $3.3 to $9.5 million annually.</w:t>
      </w:r>
      <w:r w:rsidR="00ED7BC7">
        <w:rPr>
          <w:rFonts w:asciiTheme="majorHAnsi" w:eastAsiaTheme="majorEastAsia" w:hAnsiTheme="majorHAnsi" w:cstheme="majorBidi"/>
          <w:bCs/>
          <w:color w:val="000000" w:themeColor="text1"/>
          <w:sz w:val="24"/>
          <w:szCs w:val="24"/>
        </w:rPr>
        <w:t xml:space="preserve"> </w:t>
      </w:r>
      <w:r w:rsidR="00955760" w:rsidRPr="00D86973">
        <w:rPr>
          <w:rFonts w:asciiTheme="majorHAnsi" w:eastAsiaTheme="majorEastAsia" w:hAnsiTheme="majorHAnsi" w:cstheme="majorBidi"/>
          <w:bCs/>
          <w:color w:val="000000" w:themeColor="text1"/>
          <w:sz w:val="24"/>
          <w:szCs w:val="24"/>
        </w:rPr>
        <w:t>Note that the revenue impact</w:t>
      </w:r>
      <w:r w:rsidR="00955760">
        <w:rPr>
          <w:rFonts w:asciiTheme="majorHAnsi" w:eastAsiaTheme="majorEastAsia" w:hAnsiTheme="majorHAnsi" w:cstheme="majorBidi"/>
          <w:bCs/>
          <w:color w:val="000000" w:themeColor="text1"/>
          <w:sz w:val="24"/>
          <w:szCs w:val="24"/>
        </w:rPr>
        <w:t xml:space="preserve"> reported </w:t>
      </w:r>
      <w:r w:rsidR="00252518">
        <w:rPr>
          <w:rFonts w:asciiTheme="majorHAnsi" w:eastAsiaTheme="majorEastAsia" w:hAnsiTheme="majorHAnsi" w:cstheme="majorBidi"/>
          <w:bCs/>
          <w:color w:val="000000" w:themeColor="text1"/>
          <w:sz w:val="24"/>
          <w:szCs w:val="24"/>
        </w:rPr>
        <w:t>in Table 3</w:t>
      </w:r>
      <w:r w:rsidR="00955760" w:rsidRPr="00D86973">
        <w:rPr>
          <w:rFonts w:asciiTheme="majorHAnsi" w:eastAsiaTheme="majorEastAsia" w:hAnsiTheme="majorHAnsi" w:cstheme="majorBidi"/>
          <w:bCs/>
          <w:color w:val="000000" w:themeColor="text1"/>
          <w:sz w:val="24"/>
          <w:szCs w:val="24"/>
        </w:rPr>
        <w:t xml:space="preserve"> does not include the </w:t>
      </w:r>
      <w:r w:rsidR="00955760">
        <w:rPr>
          <w:rFonts w:asciiTheme="majorHAnsi" w:eastAsiaTheme="majorEastAsia" w:hAnsiTheme="majorHAnsi" w:cstheme="majorBidi"/>
          <w:bCs/>
          <w:color w:val="000000" w:themeColor="text1"/>
          <w:sz w:val="24"/>
          <w:szCs w:val="24"/>
        </w:rPr>
        <w:t xml:space="preserve">estimated </w:t>
      </w:r>
      <w:r w:rsidR="00252518">
        <w:rPr>
          <w:rFonts w:asciiTheme="majorHAnsi" w:eastAsiaTheme="majorEastAsia" w:hAnsiTheme="majorHAnsi" w:cstheme="majorBidi"/>
          <w:bCs/>
          <w:color w:val="000000" w:themeColor="text1"/>
          <w:sz w:val="24"/>
          <w:szCs w:val="24"/>
        </w:rPr>
        <w:t>direct impact</w:t>
      </w:r>
      <w:r w:rsidR="00252518" w:rsidRPr="00D86973">
        <w:rPr>
          <w:rFonts w:asciiTheme="majorHAnsi" w:eastAsiaTheme="majorEastAsia" w:hAnsiTheme="majorHAnsi" w:cstheme="majorBidi"/>
          <w:bCs/>
          <w:color w:val="000000" w:themeColor="text1"/>
          <w:sz w:val="24"/>
          <w:szCs w:val="24"/>
        </w:rPr>
        <w:t xml:space="preserve"> </w:t>
      </w:r>
      <w:r w:rsidR="00955760" w:rsidRPr="00D86973">
        <w:rPr>
          <w:rFonts w:asciiTheme="majorHAnsi" w:eastAsiaTheme="majorEastAsia" w:hAnsiTheme="majorHAnsi" w:cstheme="majorBidi"/>
          <w:bCs/>
          <w:color w:val="000000" w:themeColor="text1"/>
          <w:sz w:val="24"/>
          <w:szCs w:val="24"/>
        </w:rPr>
        <w:t>of the tax expenditure</w:t>
      </w:r>
      <w:r w:rsidR="00252518">
        <w:rPr>
          <w:rFonts w:asciiTheme="majorHAnsi" w:eastAsiaTheme="majorEastAsia" w:hAnsiTheme="majorHAnsi" w:cstheme="majorBidi"/>
          <w:bCs/>
          <w:color w:val="000000" w:themeColor="text1"/>
          <w:sz w:val="24"/>
          <w:szCs w:val="24"/>
        </w:rPr>
        <w:t xml:space="preserve"> itself from Table 1</w:t>
      </w:r>
      <w:r w:rsidR="00955760">
        <w:rPr>
          <w:rFonts w:asciiTheme="majorHAnsi" w:eastAsiaTheme="majorEastAsia" w:hAnsiTheme="majorHAnsi" w:cstheme="majorBidi"/>
          <w:bCs/>
          <w:color w:val="000000" w:themeColor="text1"/>
          <w:sz w:val="24"/>
          <w:szCs w:val="24"/>
        </w:rPr>
        <w:t xml:space="preserve">, </w:t>
      </w:r>
      <w:r w:rsidR="00252518">
        <w:rPr>
          <w:rFonts w:asciiTheme="majorHAnsi" w:eastAsiaTheme="majorEastAsia" w:hAnsiTheme="majorHAnsi" w:cstheme="majorBidi"/>
          <w:bCs/>
          <w:color w:val="000000" w:themeColor="text1"/>
          <w:sz w:val="24"/>
          <w:szCs w:val="24"/>
        </w:rPr>
        <w:t>but only the additional indirect impact</w:t>
      </w:r>
      <w:r w:rsidR="00955760" w:rsidRPr="00D86973">
        <w:rPr>
          <w:rFonts w:asciiTheme="majorHAnsi" w:eastAsiaTheme="majorEastAsia" w:hAnsiTheme="majorHAnsi" w:cstheme="majorBidi"/>
          <w:bCs/>
          <w:color w:val="000000" w:themeColor="text1"/>
          <w:sz w:val="24"/>
          <w:szCs w:val="24"/>
        </w:rPr>
        <w:t>.</w:t>
      </w:r>
    </w:p>
    <w:p w14:paraId="103EA97B" w14:textId="77777777" w:rsidR="00B87C19" w:rsidRDefault="00B87C19" w:rsidP="00F07F1E">
      <w:pPr>
        <w:spacing w:after="0"/>
        <w:rPr>
          <w:rFonts w:asciiTheme="majorHAnsi" w:hAnsiTheme="majorHAnsi"/>
          <w:bCs/>
          <w:sz w:val="24"/>
          <w:szCs w:val="24"/>
        </w:rPr>
      </w:pPr>
    </w:p>
    <w:p w14:paraId="4EF88FC7" w14:textId="77777777" w:rsidR="00B87C19" w:rsidRDefault="00B87C19" w:rsidP="00B87C19">
      <w:pPr>
        <w:spacing w:after="0"/>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sidR="00303B9E">
        <w:rPr>
          <w:rFonts w:asciiTheme="majorHAnsi" w:eastAsiaTheme="majorEastAsia" w:hAnsiTheme="majorHAnsi" w:cstheme="majorBidi"/>
          <w:b/>
          <w:color w:val="000000" w:themeColor="text1"/>
          <w:sz w:val="24"/>
          <w:szCs w:val="24"/>
        </w:rPr>
        <w:t>3</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Additional Revenue Impact due to Decreased Government Spending* </w:t>
      </w:r>
    </w:p>
    <w:tbl>
      <w:tblPr>
        <w:tblW w:w="8930" w:type="dxa"/>
        <w:tblInd w:w="108" w:type="dxa"/>
        <w:tblLook w:val="04A0" w:firstRow="1" w:lastRow="0" w:firstColumn="1" w:lastColumn="0" w:noHBand="0" w:noVBand="1"/>
      </w:tblPr>
      <w:tblGrid>
        <w:gridCol w:w="3505"/>
        <w:gridCol w:w="1085"/>
        <w:gridCol w:w="1085"/>
        <w:gridCol w:w="1085"/>
        <w:gridCol w:w="1085"/>
        <w:gridCol w:w="1085"/>
      </w:tblGrid>
      <w:tr w:rsidR="00B87C19" w:rsidRPr="008B33E0" w14:paraId="4BA8E232" w14:textId="77777777" w:rsidTr="00C237EE">
        <w:trPr>
          <w:trHeight w:val="500"/>
        </w:trPr>
        <w:tc>
          <w:tcPr>
            <w:tcW w:w="350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30B092B2" w14:textId="77777777" w:rsidR="00B87C19" w:rsidRPr="008B33E0" w:rsidRDefault="00B87C19" w:rsidP="00A90779">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Fiscal Year</w:t>
            </w:r>
          </w:p>
        </w:tc>
        <w:tc>
          <w:tcPr>
            <w:tcW w:w="1085" w:type="dxa"/>
            <w:tcBorders>
              <w:top w:val="single" w:sz="4" w:space="0" w:color="auto"/>
              <w:left w:val="nil"/>
              <w:bottom w:val="single" w:sz="4" w:space="0" w:color="auto"/>
              <w:right w:val="single" w:sz="4" w:space="0" w:color="auto"/>
            </w:tcBorders>
            <w:shd w:val="clear" w:color="000000" w:fill="B7DEE8"/>
            <w:noWrap/>
            <w:vAlign w:val="center"/>
            <w:hideMark/>
          </w:tcPr>
          <w:p w14:paraId="00F8827F" w14:textId="77777777" w:rsidR="00B87C19" w:rsidRPr="008B33E0" w:rsidRDefault="00B87C19" w:rsidP="00A90779">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2018</w:t>
            </w:r>
          </w:p>
        </w:tc>
        <w:tc>
          <w:tcPr>
            <w:tcW w:w="1085" w:type="dxa"/>
            <w:tcBorders>
              <w:top w:val="single" w:sz="4" w:space="0" w:color="auto"/>
              <w:left w:val="nil"/>
              <w:bottom w:val="single" w:sz="4" w:space="0" w:color="auto"/>
              <w:right w:val="single" w:sz="4" w:space="0" w:color="auto"/>
            </w:tcBorders>
            <w:shd w:val="clear" w:color="000000" w:fill="B7DEE8"/>
            <w:noWrap/>
            <w:vAlign w:val="center"/>
            <w:hideMark/>
          </w:tcPr>
          <w:p w14:paraId="58B2EEB8" w14:textId="77777777" w:rsidR="00B87C19" w:rsidRPr="008B33E0" w:rsidRDefault="00B87C19" w:rsidP="00A90779">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2019</w:t>
            </w:r>
          </w:p>
        </w:tc>
        <w:tc>
          <w:tcPr>
            <w:tcW w:w="1085" w:type="dxa"/>
            <w:tcBorders>
              <w:top w:val="single" w:sz="4" w:space="0" w:color="auto"/>
              <w:left w:val="nil"/>
              <w:bottom w:val="single" w:sz="4" w:space="0" w:color="auto"/>
              <w:right w:val="single" w:sz="4" w:space="0" w:color="auto"/>
            </w:tcBorders>
            <w:shd w:val="clear" w:color="000000" w:fill="B7DEE8"/>
            <w:noWrap/>
            <w:vAlign w:val="center"/>
            <w:hideMark/>
          </w:tcPr>
          <w:p w14:paraId="637CE59B" w14:textId="77777777" w:rsidR="00B87C19" w:rsidRPr="008B33E0" w:rsidRDefault="00B87C19" w:rsidP="00A90779">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2020</w:t>
            </w:r>
          </w:p>
        </w:tc>
        <w:tc>
          <w:tcPr>
            <w:tcW w:w="1085" w:type="dxa"/>
            <w:tcBorders>
              <w:top w:val="single" w:sz="4" w:space="0" w:color="auto"/>
              <w:left w:val="nil"/>
              <w:bottom w:val="single" w:sz="4" w:space="0" w:color="auto"/>
              <w:right w:val="single" w:sz="4" w:space="0" w:color="auto"/>
            </w:tcBorders>
            <w:shd w:val="clear" w:color="000000" w:fill="B7DEE8"/>
            <w:noWrap/>
            <w:vAlign w:val="center"/>
            <w:hideMark/>
          </w:tcPr>
          <w:p w14:paraId="49814BAB" w14:textId="77777777" w:rsidR="00B87C19" w:rsidRPr="008B33E0" w:rsidRDefault="00B87C19" w:rsidP="00A90779">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2021</w:t>
            </w:r>
          </w:p>
        </w:tc>
        <w:tc>
          <w:tcPr>
            <w:tcW w:w="1085" w:type="dxa"/>
            <w:tcBorders>
              <w:top w:val="single" w:sz="4" w:space="0" w:color="auto"/>
              <w:left w:val="nil"/>
              <w:bottom w:val="single" w:sz="4" w:space="0" w:color="auto"/>
              <w:right w:val="single" w:sz="4" w:space="0" w:color="auto"/>
            </w:tcBorders>
            <w:shd w:val="clear" w:color="000000" w:fill="B7DEE8"/>
            <w:noWrap/>
            <w:vAlign w:val="center"/>
            <w:hideMark/>
          </w:tcPr>
          <w:p w14:paraId="0040A93B" w14:textId="77777777" w:rsidR="00B87C19" w:rsidRPr="008B33E0" w:rsidRDefault="00B87C19" w:rsidP="00A90779">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2022</w:t>
            </w:r>
          </w:p>
        </w:tc>
      </w:tr>
      <w:tr w:rsidR="00B87C19" w:rsidRPr="008B33E0" w14:paraId="1AD253A1" w14:textId="77777777" w:rsidTr="00C237EE">
        <w:trPr>
          <w:trHeight w:val="5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28FA86FC" w14:textId="77777777" w:rsidR="00B87C19" w:rsidRPr="008B33E0" w:rsidRDefault="00B87C19" w:rsidP="00A90779">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Additional r</w:t>
            </w:r>
            <w:r w:rsidRPr="008B33E0">
              <w:rPr>
                <w:rFonts w:ascii="Cambria" w:eastAsia="Times New Roman" w:hAnsi="Cambria" w:cs="Helvetica"/>
                <w:sz w:val="20"/>
                <w:szCs w:val="20"/>
                <w:lang w:eastAsia="ko-KR"/>
              </w:rPr>
              <w:t xml:space="preserve">evenue </w:t>
            </w:r>
            <w:r>
              <w:rPr>
                <w:rFonts w:ascii="Cambria" w:eastAsia="Times New Roman" w:hAnsi="Cambria" w:cs="Helvetica"/>
                <w:sz w:val="20"/>
                <w:szCs w:val="20"/>
                <w:lang w:eastAsia="ko-KR"/>
              </w:rPr>
              <w:t xml:space="preserve">impact </w:t>
            </w:r>
            <w:r w:rsidRPr="008B33E0">
              <w:rPr>
                <w:rFonts w:ascii="Cambria" w:eastAsia="Times New Roman" w:hAnsi="Cambria" w:cs="Helvetica"/>
                <w:sz w:val="20"/>
                <w:szCs w:val="20"/>
                <w:lang w:eastAsia="ko-KR"/>
              </w:rPr>
              <w:t>($000)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94C36" w14:textId="77777777" w:rsidR="00B87C19" w:rsidRPr="008B33E0" w:rsidRDefault="00B87C19"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($3,384)</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1B8D8537" w14:textId="77777777" w:rsidR="00B87C19" w:rsidRPr="008B33E0" w:rsidRDefault="00B87C19"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($7,444)</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1F3C6167" w14:textId="77777777" w:rsidR="00B87C19" w:rsidRPr="008B33E0" w:rsidRDefault="00B87C19"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($8,422)</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6A717EC3" w14:textId="77777777" w:rsidR="00B87C19" w:rsidRPr="008B33E0" w:rsidRDefault="00B87C19"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($9,136)</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1F18F095" w14:textId="77777777" w:rsidR="00B87C19" w:rsidRPr="008B33E0" w:rsidRDefault="00B87C19"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($9,472)</w:t>
            </w:r>
          </w:p>
        </w:tc>
      </w:tr>
    </w:tbl>
    <w:p w14:paraId="11DF169E" w14:textId="6C4FB70A" w:rsidR="00B87C19" w:rsidRPr="00304366" w:rsidRDefault="00B87C19" w:rsidP="00B87C19">
      <w:pPr>
        <w:spacing w:after="0"/>
        <w:rPr>
          <w:rFonts w:asciiTheme="majorHAnsi" w:eastAsiaTheme="majorEastAsia" w:hAnsiTheme="majorHAnsi" w:cstheme="majorBidi"/>
          <w:bCs/>
          <w:color w:val="000000" w:themeColor="text1"/>
          <w:sz w:val="20"/>
          <w:szCs w:val="20"/>
        </w:rPr>
      </w:pPr>
      <w:r w:rsidRPr="00304366">
        <w:rPr>
          <w:rFonts w:asciiTheme="majorHAnsi" w:eastAsiaTheme="majorEastAsia" w:hAnsiTheme="majorHAnsi" w:cstheme="majorBidi"/>
          <w:bCs/>
          <w:color w:val="000000" w:themeColor="text1"/>
          <w:sz w:val="20"/>
          <w:szCs w:val="20"/>
        </w:rPr>
        <w:t>*This table report</w:t>
      </w:r>
      <w:r>
        <w:rPr>
          <w:rFonts w:asciiTheme="majorHAnsi" w:eastAsiaTheme="majorEastAsia" w:hAnsiTheme="majorHAnsi" w:cstheme="majorBidi"/>
          <w:bCs/>
          <w:color w:val="000000" w:themeColor="text1"/>
          <w:sz w:val="20"/>
          <w:szCs w:val="20"/>
        </w:rPr>
        <w:t>s</w:t>
      </w:r>
      <w:r w:rsidRPr="00304366">
        <w:rPr>
          <w:rFonts w:asciiTheme="majorHAnsi" w:eastAsiaTheme="majorEastAsia" w:hAnsiTheme="majorHAnsi" w:cstheme="majorBidi"/>
          <w:bCs/>
          <w:color w:val="000000" w:themeColor="text1"/>
          <w:sz w:val="20"/>
          <w:szCs w:val="20"/>
        </w:rPr>
        <w:t xml:space="preserve"> the lost revenues from the foregone economic </w:t>
      </w:r>
      <w:r w:rsidR="00D44B74">
        <w:rPr>
          <w:rFonts w:asciiTheme="majorHAnsi" w:eastAsiaTheme="majorEastAsia" w:hAnsiTheme="majorHAnsi" w:cstheme="majorBidi"/>
          <w:bCs/>
          <w:color w:val="000000" w:themeColor="text1"/>
          <w:sz w:val="20"/>
          <w:szCs w:val="20"/>
        </w:rPr>
        <w:t>activity</w:t>
      </w:r>
      <w:r w:rsidR="00D44B74" w:rsidRPr="00304366">
        <w:rPr>
          <w:rFonts w:asciiTheme="majorHAnsi" w:eastAsiaTheme="majorEastAsia" w:hAnsiTheme="majorHAnsi" w:cstheme="majorBidi"/>
          <w:bCs/>
          <w:color w:val="000000" w:themeColor="text1"/>
          <w:sz w:val="20"/>
          <w:szCs w:val="20"/>
        </w:rPr>
        <w:t xml:space="preserve"> </w:t>
      </w:r>
      <w:r w:rsidRPr="00304366">
        <w:rPr>
          <w:rFonts w:asciiTheme="majorHAnsi" w:eastAsiaTheme="majorEastAsia" w:hAnsiTheme="majorHAnsi" w:cstheme="majorBidi"/>
          <w:bCs/>
          <w:color w:val="000000" w:themeColor="text1"/>
          <w:sz w:val="20"/>
          <w:szCs w:val="20"/>
        </w:rPr>
        <w:t xml:space="preserve">as the state </w:t>
      </w:r>
      <w:r w:rsidR="00D44B74">
        <w:rPr>
          <w:rFonts w:asciiTheme="majorHAnsi" w:eastAsiaTheme="majorEastAsia" w:hAnsiTheme="majorHAnsi" w:cstheme="majorBidi"/>
          <w:bCs/>
          <w:color w:val="000000" w:themeColor="text1"/>
          <w:sz w:val="20"/>
          <w:szCs w:val="20"/>
        </w:rPr>
        <w:t>reduced</w:t>
      </w:r>
      <w:r w:rsidRPr="00304366">
        <w:rPr>
          <w:rFonts w:asciiTheme="majorHAnsi" w:eastAsiaTheme="majorEastAsia" w:hAnsiTheme="majorHAnsi" w:cstheme="majorBidi"/>
          <w:bCs/>
          <w:color w:val="000000" w:themeColor="text1"/>
          <w:sz w:val="20"/>
          <w:szCs w:val="20"/>
        </w:rPr>
        <w:t xml:space="preserve"> government spending to finance the investment tax credit.</w:t>
      </w:r>
    </w:p>
    <w:p w14:paraId="367357AF" w14:textId="77777777" w:rsidR="00B87C19" w:rsidRDefault="00B87C19" w:rsidP="00F07F1E">
      <w:pPr>
        <w:spacing w:after="0"/>
        <w:rPr>
          <w:rFonts w:asciiTheme="majorHAnsi" w:eastAsiaTheme="majorEastAsia" w:hAnsiTheme="majorHAnsi" w:cstheme="majorBidi"/>
          <w:bCs/>
          <w:color w:val="000000" w:themeColor="text1"/>
          <w:sz w:val="24"/>
          <w:szCs w:val="24"/>
        </w:rPr>
      </w:pPr>
    </w:p>
    <w:p w14:paraId="01F79577" w14:textId="492DF5F7" w:rsidR="00F07F1E" w:rsidRDefault="00F07F1E" w:rsidP="00F07F1E">
      <w:pPr>
        <w:spacing w:after="0"/>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sidR="00303B9E">
        <w:rPr>
          <w:rFonts w:asciiTheme="majorHAnsi" w:eastAsiaTheme="majorEastAsia" w:hAnsiTheme="majorHAnsi" w:cstheme="majorBidi"/>
          <w:b/>
          <w:color w:val="000000" w:themeColor="text1"/>
          <w:sz w:val="24"/>
          <w:szCs w:val="24"/>
        </w:rPr>
        <w:t>4</w:t>
      </w:r>
      <w:r w:rsidR="00D13A50">
        <w:rPr>
          <w:rFonts w:asciiTheme="majorHAnsi" w:eastAsiaTheme="majorEastAsia" w:hAnsiTheme="majorHAnsi" w:cstheme="majorBidi"/>
          <w:b/>
          <w:color w:val="000000" w:themeColor="text1"/>
          <w:sz w:val="24"/>
          <w:szCs w:val="24"/>
        </w:rPr>
        <w:t>.</w:t>
      </w:r>
      <w:r w:rsidRPr="00366FFC">
        <w:rPr>
          <w:rFonts w:asciiTheme="majorHAnsi" w:eastAsiaTheme="majorEastAsia" w:hAnsiTheme="majorHAnsi" w:cstheme="majorBidi"/>
          <w:b/>
          <w:color w:val="000000" w:themeColor="text1"/>
          <w:sz w:val="24"/>
          <w:szCs w:val="24"/>
        </w:rPr>
        <w:t xml:space="preserve"> </w:t>
      </w:r>
      <w:r w:rsidR="002A4E90">
        <w:rPr>
          <w:rFonts w:asciiTheme="majorHAnsi" w:eastAsiaTheme="majorEastAsia" w:hAnsiTheme="majorHAnsi" w:cstheme="majorBidi"/>
          <w:b/>
          <w:color w:val="000000" w:themeColor="text1"/>
          <w:sz w:val="24"/>
          <w:szCs w:val="24"/>
        </w:rPr>
        <w:t>Selected</w:t>
      </w:r>
      <w:r>
        <w:rPr>
          <w:rFonts w:asciiTheme="majorHAnsi" w:eastAsiaTheme="majorEastAsia" w:hAnsiTheme="majorHAnsi" w:cstheme="majorBidi"/>
          <w:b/>
          <w:color w:val="000000" w:themeColor="text1"/>
          <w:sz w:val="24"/>
          <w:szCs w:val="24"/>
        </w:rPr>
        <w:t xml:space="preserve"> Economic </w:t>
      </w:r>
      <w:r w:rsidR="00437760">
        <w:rPr>
          <w:rFonts w:asciiTheme="majorHAnsi" w:eastAsiaTheme="majorEastAsia" w:hAnsiTheme="majorHAnsi" w:cstheme="majorBidi"/>
          <w:b/>
          <w:color w:val="000000" w:themeColor="text1"/>
          <w:sz w:val="24"/>
          <w:szCs w:val="24"/>
        </w:rPr>
        <w:t xml:space="preserve">Impacts </w:t>
      </w:r>
      <w:r>
        <w:rPr>
          <w:rFonts w:asciiTheme="majorHAnsi" w:eastAsiaTheme="majorEastAsia" w:hAnsiTheme="majorHAnsi" w:cstheme="majorBidi"/>
          <w:b/>
          <w:color w:val="000000" w:themeColor="text1"/>
          <w:sz w:val="24"/>
          <w:szCs w:val="24"/>
        </w:rPr>
        <w:t>due to Decreased Government Spending</w:t>
      </w:r>
      <w:r w:rsidR="002A4E90">
        <w:rPr>
          <w:rFonts w:asciiTheme="majorHAnsi" w:eastAsiaTheme="majorEastAsia" w:hAnsiTheme="majorHAnsi" w:cstheme="majorBidi"/>
          <w:b/>
          <w:color w:val="000000" w:themeColor="text1"/>
          <w:sz w:val="24"/>
          <w:szCs w:val="24"/>
        </w:rPr>
        <w:t>*</w:t>
      </w:r>
      <w:r>
        <w:rPr>
          <w:rFonts w:asciiTheme="majorHAnsi" w:eastAsiaTheme="majorEastAsia" w:hAnsiTheme="majorHAnsi" w:cstheme="majorBidi"/>
          <w:b/>
          <w:color w:val="000000" w:themeColor="text1"/>
          <w:sz w:val="24"/>
          <w:szCs w:val="24"/>
        </w:rPr>
        <w:t xml:space="preserve"> </w:t>
      </w:r>
    </w:p>
    <w:tbl>
      <w:tblPr>
        <w:tblW w:w="9468" w:type="dxa"/>
        <w:tblInd w:w="108" w:type="dxa"/>
        <w:tblLook w:val="04A0" w:firstRow="1" w:lastRow="0" w:firstColumn="1" w:lastColumn="0" w:noHBand="0" w:noVBand="1"/>
      </w:tblPr>
      <w:tblGrid>
        <w:gridCol w:w="2898"/>
        <w:gridCol w:w="1314"/>
        <w:gridCol w:w="1314"/>
        <w:gridCol w:w="1314"/>
        <w:gridCol w:w="1314"/>
        <w:gridCol w:w="1314"/>
      </w:tblGrid>
      <w:tr w:rsidR="00B87C19" w:rsidRPr="00DC336F" w14:paraId="772B2964" w14:textId="77777777" w:rsidTr="00C237EE">
        <w:trPr>
          <w:trHeight w:val="380"/>
        </w:trPr>
        <w:tc>
          <w:tcPr>
            <w:tcW w:w="2898"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122DB540" w14:textId="77777777" w:rsidR="00B87C19" w:rsidRPr="00DC336F" w:rsidRDefault="00B87C19" w:rsidP="00A90779">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Calendar Year</w:t>
            </w:r>
          </w:p>
        </w:tc>
        <w:tc>
          <w:tcPr>
            <w:tcW w:w="1314" w:type="dxa"/>
            <w:tcBorders>
              <w:top w:val="single" w:sz="4" w:space="0" w:color="auto"/>
              <w:left w:val="nil"/>
              <w:bottom w:val="single" w:sz="4" w:space="0" w:color="auto"/>
              <w:right w:val="single" w:sz="4" w:space="0" w:color="auto"/>
            </w:tcBorders>
            <w:shd w:val="clear" w:color="000000" w:fill="B7DEE8"/>
            <w:noWrap/>
            <w:vAlign w:val="center"/>
            <w:hideMark/>
          </w:tcPr>
          <w:p w14:paraId="7E8F0282" w14:textId="77777777" w:rsidR="00B87C19" w:rsidRPr="00DC336F" w:rsidRDefault="00B87C19" w:rsidP="00A90779">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2018</w:t>
            </w:r>
          </w:p>
        </w:tc>
        <w:tc>
          <w:tcPr>
            <w:tcW w:w="1314" w:type="dxa"/>
            <w:tcBorders>
              <w:top w:val="single" w:sz="4" w:space="0" w:color="auto"/>
              <w:left w:val="nil"/>
              <w:bottom w:val="single" w:sz="4" w:space="0" w:color="auto"/>
              <w:right w:val="single" w:sz="4" w:space="0" w:color="auto"/>
            </w:tcBorders>
            <w:shd w:val="clear" w:color="000000" w:fill="B7DEE8"/>
            <w:noWrap/>
            <w:vAlign w:val="center"/>
            <w:hideMark/>
          </w:tcPr>
          <w:p w14:paraId="4F603727" w14:textId="77777777" w:rsidR="00B87C19" w:rsidRPr="00DC336F" w:rsidRDefault="00B87C19" w:rsidP="00A90779">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2019</w:t>
            </w:r>
          </w:p>
        </w:tc>
        <w:tc>
          <w:tcPr>
            <w:tcW w:w="1314" w:type="dxa"/>
            <w:tcBorders>
              <w:top w:val="single" w:sz="4" w:space="0" w:color="auto"/>
              <w:left w:val="nil"/>
              <w:bottom w:val="single" w:sz="4" w:space="0" w:color="auto"/>
              <w:right w:val="single" w:sz="4" w:space="0" w:color="auto"/>
            </w:tcBorders>
            <w:shd w:val="clear" w:color="000000" w:fill="B7DEE8"/>
            <w:noWrap/>
            <w:vAlign w:val="center"/>
            <w:hideMark/>
          </w:tcPr>
          <w:p w14:paraId="3930ABCF" w14:textId="77777777" w:rsidR="00B87C19" w:rsidRPr="00DC336F" w:rsidRDefault="00B87C19" w:rsidP="00A90779">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2020</w:t>
            </w:r>
          </w:p>
        </w:tc>
        <w:tc>
          <w:tcPr>
            <w:tcW w:w="1314" w:type="dxa"/>
            <w:tcBorders>
              <w:top w:val="single" w:sz="4" w:space="0" w:color="auto"/>
              <w:left w:val="nil"/>
              <w:bottom w:val="single" w:sz="4" w:space="0" w:color="auto"/>
              <w:right w:val="single" w:sz="4" w:space="0" w:color="auto"/>
            </w:tcBorders>
            <w:shd w:val="clear" w:color="000000" w:fill="B7DEE8"/>
            <w:noWrap/>
            <w:vAlign w:val="center"/>
            <w:hideMark/>
          </w:tcPr>
          <w:p w14:paraId="1B3BF978" w14:textId="77777777" w:rsidR="00B87C19" w:rsidRPr="00DC336F" w:rsidRDefault="00B87C19" w:rsidP="00A90779">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2021</w:t>
            </w:r>
          </w:p>
        </w:tc>
        <w:tc>
          <w:tcPr>
            <w:tcW w:w="1314" w:type="dxa"/>
            <w:tcBorders>
              <w:top w:val="single" w:sz="4" w:space="0" w:color="auto"/>
              <w:left w:val="nil"/>
              <w:bottom w:val="single" w:sz="4" w:space="0" w:color="auto"/>
              <w:right w:val="single" w:sz="4" w:space="0" w:color="auto"/>
            </w:tcBorders>
            <w:shd w:val="clear" w:color="000000" w:fill="B7DEE8"/>
            <w:noWrap/>
            <w:vAlign w:val="center"/>
            <w:hideMark/>
          </w:tcPr>
          <w:p w14:paraId="66DE3F31" w14:textId="77777777" w:rsidR="00B87C19" w:rsidRPr="00DC336F" w:rsidRDefault="00B87C19" w:rsidP="00A90779">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2022</w:t>
            </w:r>
          </w:p>
        </w:tc>
      </w:tr>
      <w:tr w:rsidR="00B87C19" w:rsidRPr="00DC336F" w14:paraId="0233D978" w14:textId="77777777" w:rsidTr="00C237EE">
        <w:trPr>
          <w:trHeight w:val="540"/>
        </w:trPr>
        <w:tc>
          <w:tcPr>
            <w:tcW w:w="2898" w:type="dxa"/>
            <w:tcBorders>
              <w:top w:val="nil"/>
              <w:left w:val="single" w:sz="4" w:space="0" w:color="auto"/>
              <w:bottom w:val="single" w:sz="4" w:space="0" w:color="auto"/>
              <w:right w:val="single" w:sz="4" w:space="0" w:color="auto"/>
            </w:tcBorders>
            <w:shd w:val="clear" w:color="auto" w:fill="auto"/>
            <w:vAlign w:val="center"/>
            <w:hideMark/>
          </w:tcPr>
          <w:p w14:paraId="4DDFE56D" w14:textId="77777777" w:rsidR="00B87C19" w:rsidRPr="00DC336F" w:rsidRDefault="00B87C19" w:rsidP="00A90779">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total employment</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1696E" w14:textId="77777777" w:rsidR="00B87C19" w:rsidRPr="00DC336F" w:rsidRDefault="00B87C19"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(1,837)</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16E66AD8" w14:textId="77777777" w:rsidR="00B87C19" w:rsidRPr="00DC336F" w:rsidRDefault="00B87C19"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(1,905)</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209D97B1" w14:textId="77777777" w:rsidR="00B87C19" w:rsidRPr="00DC336F" w:rsidRDefault="00B87C19"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(1,981)</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58D1361E" w14:textId="77777777" w:rsidR="00B87C19" w:rsidRPr="00DC336F" w:rsidRDefault="00B87C19"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(1,923)</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6D160E6A" w14:textId="77777777" w:rsidR="00B87C19" w:rsidRPr="00DC336F" w:rsidRDefault="00B87C19"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(1,844)</w:t>
            </w:r>
          </w:p>
        </w:tc>
      </w:tr>
      <w:tr w:rsidR="00B87C19" w:rsidRPr="00DC336F" w14:paraId="25BD41E2" w14:textId="77777777" w:rsidTr="00C237EE">
        <w:trPr>
          <w:trHeight w:val="500"/>
        </w:trPr>
        <w:tc>
          <w:tcPr>
            <w:tcW w:w="2898" w:type="dxa"/>
            <w:tcBorders>
              <w:top w:val="nil"/>
              <w:left w:val="single" w:sz="4" w:space="0" w:color="auto"/>
              <w:bottom w:val="single" w:sz="4" w:space="0" w:color="auto"/>
              <w:right w:val="single" w:sz="4" w:space="0" w:color="auto"/>
            </w:tcBorders>
            <w:shd w:val="clear" w:color="auto" w:fill="auto"/>
            <w:vAlign w:val="center"/>
            <w:hideMark/>
          </w:tcPr>
          <w:p w14:paraId="1A2A85DF" w14:textId="77777777" w:rsidR="00B87C19" w:rsidRPr="00DC336F" w:rsidRDefault="00B87C19" w:rsidP="00A90779">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private non-farm employment</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14:paraId="6C5E751B" w14:textId="77777777" w:rsidR="00B87C19" w:rsidRPr="00DC336F" w:rsidRDefault="00B87C19"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(1,013)</w:t>
            </w:r>
          </w:p>
        </w:tc>
        <w:tc>
          <w:tcPr>
            <w:tcW w:w="1314" w:type="dxa"/>
            <w:tcBorders>
              <w:top w:val="nil"/>
              <w:left w:val="nil"/>
              <w:bottom w:val="single" w:sz="4" w:space="0" w:color="auto"/>
              <w:right w:val="single" w:sz="4" w:space="0" w:color="auto"/>
            </w:tcBorders>
            <w:shd w:val="clear" w:color="auto" w:fill="auto"/>
            <w:noWrap/>
            <w:vAlign w:val="center"/>
            <w:hideMark/>
          </w:tcPr>
          <w:p w14:paraId="7EBF8D62" w14:textId="77777777" w:rsidR="00B87C19" w:rsidRPr="00DC336F" w:rsidRDefault="00B87C19"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(1,050)</w:t>
            </w:r>
          </w:p>
        </w:tc>
        <w:tc>
          <w:tcPr>
            <w:tcW w:w="1314" w:type="dxa"/>
            <w:tcBorders>
              <w:top w:val="nil"/>
              <w:left w:val="nil"/>
              <w:bottom w:val="single" w:sz="4" w:space="0" w:color="auto"/>
              <w:right w:val="single" w:sz="4" w:space="0" w:color="auto"/>
            </w:tcBorders>
            <w:shd w:val="clear" w:color="auto" w:fill="auto"/>
            <w:noWrap/>
            <w:vAlign w:val="center"/>
            <w:hideMark/>
          </w:tcPr>
          <w:p w14:paraId="159FDD1E" w14:textId="77777777" w:rsidR="00B87C19" w:rsidRPr="00DC336F" w:rsidRDefault="00B87C19"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(1,097)</w:t>
            </w:r>
          </w:p>
        </w:tc>
        <w:tc>
          <w:tcPr>
            <w:tcW w:w="1314" w:type="dxa"/>
            <w:tcBorders>
              <w:top w:val="nil"/>
              <w:left w:val="nil"/>
              <w:bottom w:val="single" w:sz="4" w:space="0" w:color="auto"/>
              <w:right w:val="single" w:sz="4" w:space="0" w:color="auto"/>
            </w:tcBorders>
            <w:shd w:val="clear" w:color="auto" w:fill="auto"/>
            <w:noWrap/>
            <w:vAlign w:val="center"/>
            <w:hideMark/>
          </w:tcPr>
          <w:p w14:paraId="30F28CC2" w14:textId="77777777" w:rsidR="00B87C19" w:rsidRPr="00DC336F" w:rsidRDefault="00B87C19"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(1,048)</w:t>
            </w:r>
          </w:p>
        </w:tc>
        <w:tc>
          <w:tcPr>
            <w:tcW w:w="1314" w:type="dxa"/>
            <w:tcBorders>
              <w:top w:val="nil"/>
              <w:left w:val="nil"/>
              <w:bottom w:val="single" w:sz="4" w:space="0" w:color="auto"/>
              <w:right w:val="single" w:sz="4" w:space="0" w:color="auto"/>
            </w:tcBorders>
            <w:shd w:val="clear" w:color="auto" w:fill="auto"/>
            <w:noWrap/>
            <w:vAlign w:val="center"/>
            <w:hideMark/>
          </w:tcPr>
          <w:p w14:paraId="640EC58B" w14:textId="77777777" w:rsidR="00B87C19" w:rsidRPr="00DC336F" w:rsidRDefault="00B87C19"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(981)</w:t>
            </w:r>
          </w:p>
        </w:tc>
      </w:tr>
      <w:tr w:rsidR="00B87C19" w:rsidRPr="00DC336F" w14:paraId="4216E0D9" w14:textId="77777777" w:rsidTr="00C237EE">
        <w:trPr>
          <w:trHeight w:val="500"/>
        </w:trPr>
        <w:tc>
          <w:tcPr>
            <w:tcW w:w="2898" w:type="dxa"/>
            <w:tcBorders>
              <w:top w:val="nil"/>
              <w:left w:val="single" w:sz="4" w:space="0" w:color="auto"/>
              <w:bottom w:val="single" w:sz="4" w:space="0" w:color="auto"/>
              <w:right w:val="single" w:sz="4" w:space="0" w:color="auto"/>
            </w:tcBorders>
            <w:shd w:val="clear" w:color="auto" w:fill="auto"/>
            <w:vAlign w:val="center"/>
            <w:hideMark/>
          </w:tcPr>
          <w:p w14:paraId="68955384" w14:textId="77777777" w:rsidR="00B87C19" w:rsidRPr="00DC336F" w:rsidRDefault="00B87C19" w:rsidP="00A90779">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GDP ($000), real dollars (2012)</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14:paraId="43B1D5AE" w14:textId="77777777" w:rsidR="00B87C19" w:rsidRPr="00DC336F" w:rsidRDefault="00B87C19"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($159,000)</w:t>
            </w:r>
          </w:p>
        </w:tc>
        <w:tc>
          <w:tcPr>
            <w:tcW w:w="1314" w:type="dxa"/>
            <w:tcBorders>
              <w:top w:val="nil"/>
              <w:left w:val="nil"/>
              <w:bottom w:val="single" w:sz="4" w:space="0" w:color="auto"/>
              <w:right w:val="single" w:sz="4" w:space="0" w:color="auto"/>
            </w:tcBorders>
            <w:shd w:val="clear" w:color="auto" w:fill="auto"/>
            <w:noWrap/>
            <w:vAlign w:val="center"/>
            <w:hideMark/>
          </w:tcPr>
          <w:p w14:paraId="185F4F2D" w14:textId="77777777" w:rsidR="00B87C19" w:rsidRPr="00DC336F" w:rsidRDefault="00B87C19"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($166,000)</w:t>
            </w:r>
          </w:p>
        </w:tc>
        <w:tc>
          <w:tcPr>
            <w:tcW w:w="1314" w:type="dxa"/>
            <w:tcBorders>
              <w:top w:val="nil"/>
              <w:left w:val="nil"/>
              <w:bottom w:val="single" w:sz="4" w:space="0" w:color="auto"/>
              <w:right w:val="single" w:sz="4" w:space="0" w:color="auto"/>
            </w:tcBorders>
            <w:shd w:val="clear" w:color="auto" w:fill="auto"/>
            <w:noWrap/>
            <w:vAlign w:val="center"/>
            <w:hideMark/>
          </w:tcPr>
          <w:p w14:paraId="1B6D3875" w14:textId="77777777" w:rsidR="00B87C19" w:rsidRPr="00DC336F" w:rsidRDefault="00B87C19"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($174,000)</w:t>
            </w:r>
          </w:p>
        </w:tc>
        <w:tc>
          <w:tcPr>
            <w:tcW w:w="1314" w:type="dxa"/>
            <w:tcBorders>
              <w:top w:val="nil"/>
              <w:left w:val="nil"/>
              <w:bottom w:val="single" w:sz="4" w:space="0" w:color="auto"/>
              <w:right w:val="single" w:sz="4" w:space="0" w:color="auto"/>
            </w:tcBorders>
            <w:shd w:val="clear" w:color="auto" w:fill="auto"/>
            <w:noWrap/>
            <w:vAlign w:val="center"/>
            <w:hideMark/>
          </w:tcPr>
          <w:p w14:paraId="481BA271" w14:textId="77777777" w:rsidR="00B87C19" w:rsidRPr="00DC336F" w:rsidRDefault="00B87C19"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($172,000)</w:t>
            </w:r>
          </w:p>
        </w:tc>
        <w:tc>
          <w:tcPr>
            <w:tcW w:w="1314" w:type="dxa"/>
            <w:tcBorders>
              <w:top w:val="nil"/>
              <w:left w:val="nil"/>
              <w:bottom w:val="single" w:sz="4" w:space="0" w:color="auto"/>
              <w:right w:val="single" w:sz="4" w:space="0" w:color="auto"/>
            </w:tcBorders>
            <w:shd w:val="clear" w:color="auto" w:fill="auto"/>
            <w:noWrap/>
            <w:vAlign w:val="center"/>
            <w:hideMark/>
          </w:tcPr>
          <w:p w14:paraId="67339CE5" w14:textId="77777777" w:rsidR="00B87C19" w:rsidRPr="00DC336F" w:rsidRDefault="00B87C19"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($167,000)</w:t>
            </w:r>
          </w:p>
        </w:tc>
      </w:tr>
      <w:tr w:rsidR="00B87C19" w:rsidRPr="00DC336F" w14:paraId="7BB4F43C" w14:textId="77777777" w:rsidTr="00C237EE">
        <w:trPr>
          <w:trHeight w:val="500"/>
        </w:trPr>
        <w:tc>
          <w:tcPr>
            <w:tcW w:w="2898" w:type="dxa"/>
            <w:tcBorders>
              <w:top w:val="nil"/>
              <w:left w:val="single" w:sz="4" w:space="0" w:color="auto"/>
              <w:bottom w:val="single" w:sz="4" w:space="0" w:color="auto"/>
              <w:right w:val="single" w:sz="4" w:space="0" w:color="auto"/>
            </w:tcBorders>
            <w:shd w:val="clear" w:color="auto" w:fill="auto"/>
            <w:vAlign w:val="center"/>
            <w:hideMark/>
          </w:tcPr>
          <w:p w14:paraId="02BCAEA4" w14:textId="77777777" w:rsidR="00B87C19" w:rsidRPr="00DC336F" w:rsidRDefault="00B87C19" w:rsidP="00A90779">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personal income ($000)</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14:paraId="1B8479D6" w14:textId="77777777" w:rsidR="00B87C19" w:rsidRPr="00DC336F" w:rsidRDefault="00B87C19"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($132,000)</w:t>
            </w:r>
          </w:p>
        </w:tc>
        <w:tc>
          <w:tcPr>
            <w:tcW w:w="1314" w:type="dxa"/>
            <w:tcBorders>
              <w:top w:val="nil"/>
              <w:left w:val="nil"/>
              <w:bottom w:val="single" w:sz="4" w:space="0" w:color="auto"/>
              <w:right w:val="single" w:sz="4" w:space="0" w:color="auto"/>
            </w:tcBorders>
            <w:shd w:val="clear" w:color="auto" w:fill="auto"/>
            <w:noWrap/>
            <w:vAlign w:val="center"/>
            <w:hideMark/>
          </w:tcPr>
          <w:p w14:paraId="4442B952" w14:textId="77777777" w:rsidR="00B87C19" w:rsidRPr="00DC336F" w:rsidRDefault="00B87C19"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($152,000)</w:t>
            </w:r>
          </w:p>
        </w:tc>
        <w:tc>
          <w:tcPr>
            <w:tcW w:w="1314" w:type="dxa"/>
            <w:tcBorders>
              <w:top w:val="nil"/>
              <w:left w:val="nil"/>
              <w:bottom w:val="single" w:sz="4" w:space="0" w:color="auto"/>
              <w:right w:val="single" w:sz="4" w:space="0" w:color="auto"/>
            </w:tcBorders>
            <w:shd w:val="clear" w:color="auto" w:fill="auto"/>
            <w:noWrap/>
            <w:vAlign w:val="center"/>
            <w:hideMark/>
          </w:tcPr>
          <w:p w14:paraId="4ECC6092" w14:textId="77777777" w:rsidR="00B87C19" w:rsidRPr="00DC336F" w:rsidRDefault="00B87C19"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($172,000)</w:t>
            </w:r>
          </w:p>
        </w:tc>
        <w:tc>
          <w:tcPr>
            <w:tcW w:w="1314" w:type="dxa"/>
            <w:tcBorders>
              <w:top w:val="nil"/>
              <w:left w:val="nil"/>
              <w:bottom w:val="single" w:sz="4" w:space="0" w:color="auto"/>
              <w:right w:val="single" w:sz="4" w:space="0" w:color="auto"/>
            </w:tcBorders>
            <w:shd w:val="clear" w:color="auto" w:fill="auto"/>
            <w:noWrap/>
            <w:vAlign w:val="center"/>
            <w:hideMark/>
          </w:tcPr>
          <w:p w14:paraId="11A19C74" w14:textId="77777777" w:rsidR="00B87C19" w:rsidRPr="00DC336F" w:rsidRDefault="00B87C19"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($180,000)</w:t>
            </w:r>
          </w:p>
        </w:tc>
        <w:tc>
          <w:tcPr>
            <w:tcW w:w="1314" w:type="dxa"/>
            <w:tcBorders>
              <w:top w:val="nil"/>
              <w:left w:val="nil"/>
              <w:bottom w:val="single" w:sz="4" w:space="0" w:color="auto"/>
              <w:right w:val="single" w:sz="4" w:space="0" w:color="auto"/>
            </w:tcBorders>
            <w:shd w:val="clear" w:color="auto" w:fill="auto"/>
            <w:noWrap/>
            <w:vAlign w:val="center"/>
            <w:hideMark/>
          </w:tcPr>
          <w:p w14:paraId="7FFBD8B1" w14:textId="77777777" w:rsidR="00B87C19" w:rsidRPr="00DC336F" w:rsidRDefault="00B87C19"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($185,000)</w:t>
            </w:r>
          </w:p>
        </w:tc>
      </w:tr>
    </w:tbl>
    <w:p w14:paraId="680A9E67" w14:textId="10ED59C0" w:rsidR="002A4E90" w:rsidRPr="008A3AB7" w:rsidRDefault="002A4E90" w:rsidP="002A4E90">
      <w:pPr>
        <w:spacing w:after="0"/>
        <w:rPr>
          <w:rFonts w:asciiTheme="majorHAnsi" w:eastAsiaTheme="majorEastAsia" w:hAnsiTheme="majorHAnsi" w:cstheme="majorBidi"/>
          <w:bCs/>
          <w:color w:val="000000" w:themeColor="text1"/>
          <w:sz w:val="20"/>
          <w:szCs w:val="20"/>
        </w:rPr>
      </w:pPr>
      <w:r w:rsidRPr="008A3AB7">
        <w:rPr>
          <w:rFonts w:asciiTheme="majorHAnsi" w:eastAsiaTheme="majorEastAsia" w:hAnsiTheme="majorHAnsi" w:cstheme="majorBidi"/>
          <w:bCs/>
          <w:color w:val="000000" w:themeColor="text1"/>
          <w:sz w:val="20"/>
          <w:szCs w:val="20"/>
        </w:rPr>
        <w:t>*This table report</w:t>
      </w:r>
      <w:r>
        <w:rPr>
          <w:rFonts w:asciiTheme="majorHAnsi" w:eastAsiaTheme="majorEastAsia" w:hAnsiTheme="majorHAnsi" w:cstheme="majorBidi"/>
          <w:bCs/>
          <w:color w:val="000000" w:themeColor="text1"/>
          <w:sz w:val="20"/>
          <w:szCs w:val="20"/>
        </w:rPr>
        <w:t>s</w:t>
      </w:r>
      <w:r w:rsidRPr="008A3AB7">
        <w:rPr>
          <w:rFonts w:asciiTheme="majorHAnsi" w:eastAsiaTheme="majorEastAsia" w:hAnsiTheme="majorHAnsi" w:cstheme="majorBidi"/>
          <w:bCs/>
          <w:color w:val="000000" w:themeColor="text1"/>
          <w:sz w:val="20"/>
          <w:szCs w:val="20"/>
        </w:rPr>
        <w:t xml:space="preserve"> the </w:t>
      </w:r>
      <w:r>
        <w:rPr>
          <w:rFonts w:asciiTheme="majorHAnsi" w:eastAsiaTheme="majorEastAsia" w:hAnsiTheme="majorHAnsi" w:cstheme="majorBidi"/>
          <w:bCs/>
          <w:color w:val="000000" w:themeColor="text1"/>
          <w:sz w:val="20"/>
          <w:szCs w:val="20"/>
        </w:rPr>
        <w:t>lost</w:t>
      </w:r>
      <w:r w:rsidRPr="008A3AB7">
        <w:rPr>
          <w:rFonts w:asciiTheme="majorHAnsi" w:eastAsiaTheme="majorEastAsia" w:hAnsiTheme="majorHAnsi" w:cstheme="majorBidi"/>
          <w:bCs/>
          <w:color w:val="000000" w:themeColor="text1"/>
          <w:sz w:val="20"/>
          <w:szCs w:val="20"/>
        </w:rPr>
        <w:t xml:space="preserve"> economic </w:t>
      </w:r>
      <w:r w:rsidR="00D44B74">
        <w:rPr>
          <w:rFonts w:asciiTheme="majorHAnsi" w:eastAsiaTheme="majorEastAsia" w:hAnsiTheme="majorHAnsi" w:cstheme="majorBidi"/>
          <w:bCs/>
          <w:color w:val="000000" w:themeColor="text1"/>
          <w:sz w:val="20"/>
          <w:szCs w:val="20"/>
        </w:rPr>
        <w:t>activity</w:t>
      </w:r>
      <w:r w:rsidR="00D44B74" w:rsidRPr="008A3AB7">
        <w:rPr>
          <w:rFonts w:asciiTheme="majorHAnsi" w:eastAsiaTheme="majorEastAsia" w:hAnsiTheme="majorHAnsi" w:cstheme="majorBidi"/>
          <w:bCs/>
          <w:color w:val="000000" w:themeColor="text1"/>
          <w:sz w:val="20"/>
          <w:szCs w:val="20"/>
        </w:rPr>
        <w:t xml:space="preserve"> </w:t>
      </w:r>
      <w:r w:rsidRPr="008A3AB7">
        <w:rPr>
          <w:rFonts w:asciiTheme="majorHAnsi" w:eastAsiaTheme="majorEastAsia" w:hAnsiTheme="majorHAnsi" w:cstheme="majorBidi"/>
          <w:bCs/>
          <w:color w:val="000000" w:themeColor="text1"/>
          <w:sz w:val="20"/>
          <w:szCs w:val="20"/>
        </w:rPr>
        <w:t xml:space="preserve">as the state </w:t>
      </w:r>
      <w:r w:rsidR="00D44B74">
        <w:rPr>
          <w:rFonts w:asciiTheme="majorHAnsi" w:eastAsiaTheme="majorEastAsia" w:hAnsiTheme="majorHAnsi" w:cstheme="majorBidi"/>
          <w:bCs/>
          <w:color w:val="000000" w:themeColor="text1"/>
          <w:sz w:val="20"/>
          <w:szCs w:val="20"/>
        </w:rPr>
        <w:t>reduced</w:t>
      </w:r>
      <w:r w:rsidRPr="008A3AB7">
        <w:rPr>
          <w:rFonts w:asciiTheme="majorHAnsi" w:eastAsiaTheme="majorEastAsia" w:hAnsiTheme="majorHAnsi" w:cstheme="majorBidi"/>
          <w:bCs/>
          <w:color w:val="000000" w:themeColor="text1"/>
          <w:sz w:val="20"/>
          <w:szCs w:val="20"/>
        </w:rPr>
        <w:t xml:space="preserve"> government spending to finance the investment tax credit.</w:t>
      </w:r>
    </w:p>
    <w:p w14:paraId="7A6BB1F3" w14:textId="77777777" w:rsidR="00F07F1E" w:rsidRDefault="00F07F1E" w:rsidP="00030EED">
      <w:pPr>
        <w:spacing w:after="0"/>
        <w:rPr>
          <w:rFonts w:asciiTheme="majorHAnsi" w:hAnsiTheme="majorHAnsi"/>
          <w:bCs/>
          <w:sz w:val="24"/>
          <w:szCs w:val="24"/>
        </w:rPr>
      </w:pPr>
    </w:p>
    <w:p w14:paraId="1096C3FF" w14:textId="0C4C39D6" w:rsidR="008F432D" w:rsidRPr="00616EEB" w:rsidRDefault="008F432D" w:rsidP="008F432D">
      <w:pPr>
        <w:spacing w:after="0"/>
        <w:rPr>
          <w:rFonts w:asciiTheme="majorHAnsi" w:eastAsiaTheme="majorEastAsia" w:hAnsiTheme="majorHAnsi" w:cstheme="majorBidi"/>
          <w:bCs/>
          <w:i/>
          <w:iCs/>
          <w:color w:val="000000" w:themeColor="text1"/>
          <w:sz w:val="24"/>
          <w:szCs w:val="24"/>
        </w:rPr>
      </w:pPr>
      <w:r>
        <w:rPr>
          <w:rFonts w:asciiTheme="majorHAnsi" w:eastAsiaTheme="majorEastAsia" w:hAnsiTheme="majorHAnsi" w:cstheme="majorBidi"/>
          <w:bCs/>
          <w:color w:val="000000" w:themeColor="text1"/>
          <w:sz w:val="24"/>
          <w:szCs w:val="24"/>
        </w:rPr>
        <w:t>There are always some administrative costs for each tax incentive</w:t>
      </w:r>
      <w:r w:rsidR="002A4E90">
        <w:rPr>
          <w:rFonts w:asciiTheme="majorHAnsi" w:eastAsiaTheme="majorEastAsia" w:hAnsiTheme="majorHAnsi" w:cstheme="majorBidi"/>
          <w:bCs/>
          <w:color w:val="000000" w:themeColor="text1"/>
          <w:sz w:val="24"/>
          <w:szCs w:val="24"/>
        </w:rPr>
        <w:t xml:space="preserve"> program</w:t>
      </w:r>
      <w:r>
        <w:rPr>
          <w:rFonts w:asciiTheme="majorHAnsi" w:eastAsiaTheme="majorEastAsia" w:hAnsiTheme="majorHAnsi" w:cstheme="majorBidi"/>
          <w:bCs/>
          <w:color w:val="000000" w:themeColor="text1"/>
          <w:sz w:val="24"/>
          <w:szCs w:val="24"/>
        </w:rPr>
        <w:t xml:space="preserve">. However, the administrative costs </w:t>
      </w:r>
      <w:r w:rsidR="00544C3B">
        <w:rPr>
          <w:rFonts w:asciiTheme="majorHAnsi" w:eastAsiaTheme="majorEastAsia" w:hAnsiTheme="majorHAnsi" w:cstheme="majorBidi"/>
          <w:bCs/>
          <w:color w:val="000000" w:themeColor="text1"/>
          <w:sz w:val="24"/>
          <w:szCs w:val="24"/>
        </w:rPr>
        <w:t xml:space="preserve">attributable to this </w:t>
      </w:r>
      <w:r>
        <w:rPr>
          <w:rFonts w:asciiTheme="majorHAnsi" w:eastAsiaTheme="majorEastAsia" w:hAnsiTheme="majorHAnsi" w:cstheme="majorBidi"/>
          <w:bCs/>
          <w:color w:val="000000" w:themeColor="text1"/>
          <w:sz w:val="24"/>
          <w:szCs w:val="24"/>
        </w:rPr>
        <w:t xml:space="preserve">credit </w:t>
      </w:r>
      <w:r w:rsidR="00544C3B">
        <w:rPr>
          <w:rFonts w:asciiTheme="majorHAnsi" w:eastAsiaTheme="majorEastAsia" w:hAnsiTheme="majorHAnsi" w:cstheme="majorBidi"/>
          <w:bCs/>
          <w:color w:val="000000" w:themeColor="text1"/>
          <w:sz w:val="24"/>
          <w:szCs w:val="24"/>
        </w:rPr>
        <w:t xml:space="preserve">should </w:t>
      </w:r>
      <w:r>
        <w:rPr>
          <w:rFonts w:asciiTheme="majorHAnsi" w:eastAsiaTheme="majorEastAsia" w:hAnsiTheme="majorHAnsi" w:cstheme="majorBidi"/>
          <w:bCs/>
          <w:color w:val="000000" w:themeColor="text1"/>
          <w:sz w:val="24"/>
          <w:szCs w:val="24"/>
        </w:rPr>
        <w:t xml:space="preserve">be relatively </w:t>
      </w:r>
      <w:r w:rsidR="00D44B74">
        <w:rPr>
          <w:rFonts w:asciiTheme="majorHAnsi" w:eastAsiaTheme="majorEastAsia" w:hAnsiTheme="majorHAnsi" w:cstheme="majorBidi"/>
          <w:bCs/>
          <w:color w:val="000000" w:themeColor="text1"/>
          <w:sz w:val="24"/>
          <w:szCs w:val="24"/>
        </w:rPr>
        <w:t>small</w:t>
      </w:r>
      <w:r>
        <w:rPr>
          <w:rFonts w:asciiTheme="majorHAnsi" w:eastAsiaTheme="majorEastAsia" w:hAnsiTheme="majorHAnsi" w:cstheme="majorBidi"/>
          <w:bCs/>
          <w:color w:val="000000" w:themeColor="text1"/>
          <w:sz w:val="24"/>
          <w:szCs w:val="24"/>
        </w:rPr>
        <w:t xml:space="preserve">, because </w:t>
      </w:r>
      <w:r w:rsidR="00D44B74">
        <w:rPr>
          <w:rFonts w:asciiTheme="majorHAnsi" w:eastAsiaTheme="majorEastAsia" w:hAnsiTheme="majorHAnsi" w:cstheme="majorBidi"/>
          <w:bCs/>
          <w:color w:val="000000" w:themeColor="text1"/>
          <w:sz w:val="24"/>
          <w:szCs w:val="24"/>
        </w:rPr>
        <w:t xml:space="preserve">the </w:t>
      </w:r>
      <w:r>
        <w:rPr>
          <w:rFonts w:asciiTheme="majorHAnsi" w:eastAsiaTheme="majorEastAsia" w:hAnsiTheme="majorHAnsi" w:cstheme="majorBidi"/>
          <w:bCs/>
          <w:color w:val="000000" w:themeColor="text1"/>
          <w:sz w:val="24"/>
          <w:szCs w:val="24"/>
        </w:rPr>
        <w:t xml:space="preserve">Department of Revenue administers the credit </w:t>
      </w:r>
      <w:r w:rsidR="00D44B74">
        <w:rPr>
          <w:rFonts w:asciiTheme="majorHAnsi" w:eastAsiaTheme="majorEastAsia" w:hAnsiTheme="majorHAnsi" w:cstheme="majorBidi"/>
          <w:bCs/>
          <w:color w:val="000000" w:themeColor="text1"/>
          <w:sz w:val="24"/>
          <w:szCs w:val="24"/>
        </w:rPr>
        <w:t xml:space="preserve">with existing staff </w:t>
      </w:r>
      <w:r>
        <w:rPr>
          <w:rFonts w:asciiTheme="majorHAnsi" w:eastAsiaTheme="majorEastAsia" w:hAnsiTheme="majorHAnsi" w:cstheme="majorBidi"/>
          <w:bCs/>
          <w:color w:val="000000" w:themeColor="text1"/>
          <w:sz w:val="24"/>
          <w:szCs w:val="24"/>
        </w:rPr>
        <w:t xml:space="preserve">as part of </w:t>
      </w:r>
      <w:r w:rsidR="0025473D">
        <w:rPr>
          <w:rFonts w:asciiTheme="majorHAnsi" w:eastAsiaTheme="majorEastAsia" w:hAnsiTheme="majorHAnsi" w:cstheme="majorBidi"/>
          <w:bCs/>
          <w:color w:val="000000" w:themeColor="text1"/>
          <w:sz w:val="24"/>
          <w:szCs w:val="24"/>
        </w:rPr>
        <w:t xml:space="preserve">its </w:t>
      </w:r>
      <w:r>
        <w:rPr>
          <w:rFonts w:asciiTheme="majorHAnsi" w:eastAsiaTheme="majorEastAsia" w:hAnsiTheme="majorHAnsi" w:cstheme="majorBidi"/>
          <w:bCs/>
          <w:color w:val="000000" w:themeColor="text1"/>
          <w:sz w:val="24"/>
          <w:szCs w:val="24"/>
        </w:rPr>
        <w:t xml:space="preserve">overall mission. </w:t>
      </w:r>
    </w:p>
    <w:p w14:paraId="02E9C5E9" w14:textId="77777777" w:rsidR="00F51224" w:rsidRDefault="00F51224" w:rsidP="004B14D0">
      <w:pPr>
        <w:spacing w:after="0"/>
        <w:rPr>
          <w:rFonts w:asciiTheme="majorHAnsi" w:hAnsiTheme="majorHAnsi"/>
          <w:sz w:val="24"/>
          <w:szCs w:val="24"/>
          <w:highlight w:val="cyan"/>
        </w:rPr>
      </w:pPr>
    </w:p>
    <w:p w14:paraId="5D5A3EEE" w14:textId="77777777" w:rsidR="00291074" w:rsidRPr="00F51592" w:rsidRDefault="00291074" w:rsidP="00291074">
      <w:pPr>
        <w:spacing w:after="0"/>
        <w:rPr>
          <w:rFonts w:asciiTheme="majorHAnsi" w:hAnsiTheme="majorHAnsi"/>
          <w:bCs/>
          <w:sz w:val="24"/>
          <w:szCs w:val="24"/>
        </w:rPr>
      </w:pPr>
    </w:p>
    <w:p w14:paraId="6A2D0EA5" w14:textId="77777777" w:rsidR="005529C5" w:rsidRPr="005529C5" w:rsidRDefault="005529C5" w:rsidP="004B18FB">
      <w:pPr>
        <w:tabs>
          <w:tab w:val="left" w:pos="7050"/>
        </w:tabs>
        <w:spacing w:after="0"/>
        <w:rPr>
          <w:rFonts w:asciiTheme="majorHAnsi" w:hAnsiTheme="majorHAnsi"/>
          <w:b/>
          <w:color w:val="E36C0A" w:themeColor="accent6" w:themeShade="BF"/>
          <w:sz w:val="28"/>
          <w:szCs w:val="28"/>
        </w:rPr>
      </w:pPr>
      <w:r w:rsidRPr="005529C5">
        <w:rPr>
          <w:rFonts w:asciiTheme="majorHAnsi" w:hAnsiTheme="majorHAnsi"/>
          <w:b/>
          <w:color w:val="E36C0A" w:themeColor="accent6" w:themeShade="BF"/>
          <w:sz w:val="28"/>
          <w:szCs w:val="28"/>
        </w:rPr>
        <w:t>BENEFITS</w:t>
      </w:r>
    </w:p>
    <w:p w14:paraId="5D97CD25" w14:textId="77777777" w:rsidR="00D22570" w:rsidRDefault="004B18FB" w:rsidP="00A50858">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The incentive </w:t>
      </w:r>
      <w:r w:rsidR="00782F7E">
        <w:rPr>
          <w:rFonts w:asciiTheme="majorHAnsi" w:eastAsiaTheme="majorEastAsia" w:hAnsiTheme="majorHAnsi" w:cstheme="majorBidi"/>
          <w:bCs/>
          <w:color w:val="000000" w:themeColor="text1"/>
          <w:sz w:val="24"/>
          <w:szCs w:val="24"/>
        </w:rPr>
        <w:t xml:space="preserve">aims to </w:t>
      </w:r>
      <w:r>
        <w:rPr>
          <w:rFonts w:asciiTheme="majorHAnsi" w:eastAsiaTheme="majorEastAsia" w:hAnsiTheme="majorHAnsi" w:cstheme="majorBidi"/>
          <w:bCs/>
          <w:color w:val="000000" w:themeColor="text1"/>
          <w:sz w:val="24"/>
          <w:szCs w:val="24"/>
        </w:rPr>
        <w:t xml:space="preserve">reduce the costs of operating businesses, </w:t>
      </w:r>
      <w:r w:rsidR="00D22570">
        <w:rPr>
          <w:rFonts w:asciiTheme="majorHAnsi" w:eastAsiaTheme="majorEastAsia" w:hAnsiTheme="majorHAnsi" w:cstheme="majorBidi"/>
          <w:bCs/>
          <w:color w:val="000000" w:themeColor="text1"/>
          <w:sz w:val="24"/>
          <w:szCs w:val="24"/>
        </w:rPr>
        <w:t>which in turn encourages the directly affected businesses to invest, expand, lower product prices, hire additional worker</w:t>
      </w:r>
      <w:r w:rsidR="00C87445">
        <w:rPr>
          <w:rFonts w:asciiTheme="majorHAnsi" w:eastAsiaTheme="majorEastAsia" w:hAnsiTheme="majorHAnsi" w:cstheme="majorBidi"/>
          <w:bCs/>
          <w:color w:val="000000" w:themeColor="text1"/>
          <w:sz w:val="24"/>
          <w:szCs w:val="24"/>
        </w:rPr>
        <w:t xml:space="preserve">s, etc. Such decisions would increase demand for goods and services provided by other individuals and businesses in the economy, or </w:t>
      </w:r>
      <w:r w:rsidR="00C9744F">
        <w:rPr>
          <w:rFonts w:asciiTheme="majorHAnsi" w:eastAsiaTheme="majorEastAsia" w:hAnsiTheme="majorHAnsi" w:cstheme="majorBidi"/>
          <w:bCs/>
          <w:color w:val="000000" w:themeColor="text1"/>
          <w:sz w:val="24"/>
          <w:szCs w:val="24"/>
        </w:rPr>
        <w:t xml:space="preserve">put </w:t>
      </w:r>
      <w:r w:rsidR="00C87445">
        <w:rPr>
          <w:rFonts w:asciiTheme="majorHAnsi" w:eastAsiaTheme="majorEastAsia" w:hAnsiTheme="majorHAnsi" w:cstheme="majorBidi"/>
          <w:bCs/>
          <w:color w:val="000000" w:themeColor="text1"/>
          <w:sz w:val="24"/>
          <w:szCs w:val="24"/>
        </w:rPr>
        <w:t xml:space="preserve">another </w:t>
      </w:r>
      <w:r w:rsidR="00C9744F">
        <w:rPr>
          <w:rFonts w:asciiTheme="majorHAnsi" w:eastAsiaTheme="majorEastAsia" w:hAnsiTheme="majorHAnsi" w:cstheme="majorBidi"/>
          <w:bCs/>
          <w:color w:val="000000" w:themeColor="text1"/>
          <w:sz w:val="24"/>
          <w:szCs w:val="24"/>
        </w:rPr>
        <w:t>way</w:t>
      </w:r>
      <w:r w:rsidR="00C87445">
        <w:rPr>
          <w:rFonts w:asciiTheme="majorHAnsi" w:eastAsiaTheme="majorEastAsia" w:hAnsiTheme="majorHAnsi" w:cstheme="majorBidi"/>
          <w:bCs/>
          <w:color w:val="000000" w:themeColor="text1"/>
          <w:sz w:val="24"/>
          <w:szCs w:val="24"/>
        </w:rPr>
        <w:t xml:space="preserve">, generate </w:t>
      </w:r>
      <w:r w:rsidR="00C9744F">
        <w:rPr>
          <w:rFonts w:asciiTheme="majorHAnsi" w:eastAsiaTheme="majorEastAsia" w:hAnsiTheme="majorHAnsi" w:cstheme="majorBidi"/>
          <w:bCs/>
          <w:color w:val="000000" w:themeColor="text1"/>
          <w:sz w:val="24"/>
          <w:szCs w:val="24"/>
        </w:rPr>
        <w:t xml:space="preserve">a </w:t>
      </w:r>
      <w:r w:rsidR="00C87445">
        <w:rPr>
          <w:rFonts w:asciiTheme="majorHAnsi" w:eastAsiaTheme="majorEastAsia" w:hAnsiTheme="majorHAnsi" w:cstheme="majorBidi"/>
          <w:bCs/>
          <w:color w:val="000000" w:themeColor="text1"/>
          <w:sz w:val="24"/>
          <w:szCs w:val="24"/>
        </w:rPr>
        <w:t>“Multiplier Effect”</w:t>
      </w:r>
      <w:r w:rsidR="0004179B">
        <w:rPr>
          <w:rFonts w:asciiTheme="majorHAnsi" w:eastAsiaTheme="majorEastAsia" w:hAnsiTheme="majorHAnsi" w:cstheme="majorBidi"/>
          <w:bCs/>
          <w:color w:val="000000" w:themeColor="text1"/>
          <w:sz w:val="24"/>
          <w:szCs w:val="24"/>
        </w:rPr>
        <w:t xml:space="preserve"> (see discussion in </w:t>
      </w:r>
      <w:r w:rsidR="0082323C">
        <w:rPr>
          <w:rFonts w:asciiTheme="majorHAnsi" w:eastAsiaTheme="majorEastAsia" w:hAnsiTheme="majorHAnsi" w:cstheme="majorBidi"/>
          <w:bCs/>
          <w:color w:val="000000" w:themeColor="text1"/>
          <w:sz w:val="24"/>
          <w:szCs w:val="24"/>
        </w:rPr>
        <w:t xml:space="preserve">the </w:t>
      </w:r>
      <w:r w:rsidR="0004179B">
        <w:rPr>
          <w:rFonts w:asciiTheme="majorHAnsi" w:eastAsiaTheme="majorEastAsia" w:hAnsiTheme="majorHAnsi" w:cstheme="majorBidi"/>
          <w:bCs/>
          <w:color w:val="000000" w:themeColor="text1"/>
          <w:sz w:val="24"/>
          <w:szCs w:val="24"/>
        </w:rPr>
        <w:t>previous section)</w:t>
      </w:r>
      <w:r w:rsidR="00C87445">
        <w:rPr>
          <w:rFonts w:asciiTheme="majorHAnsi" w:eastAsiaTheme="majorEastAsia" w:hAnsiTheme="majorHAnsi" w:cstheme="majorBidi"/>
          <w:bCs/>
          <w:color w:val="000000" w:themeColor="text1"/>
          <w:sz w:val="24"/>
          <w:szCs w:val="24"/>
        </w:rPr>
        <w:t xml:space="preserve"> from the initial benefits. As a result, the total benefits of the tax credit would be larger than the initial</w:t>
      </w:r>
      <w:r w:rsidR="001B6468">
        <w:rPr>
          <w:rFonts w:asciiTheme="majorHAnsi" w:eastAsiaTheme="majorEastAsia" w:hAnsiTheme="majorHAnsi" w:cstheme="majorBidi"/>
          <w:bCs/>
          <w:color w:val="000000" w:themeColor="text1"/>
          <w:sz w:val="24"/>
          <w:szCs w:val="24"/>
        </w:rPr>
        <w:t xml:space="preserve"> or direct</w:t>
      </w:r>
      <w:r w:rsidR="00C87445">
        <w:rPr>
          <w:rFonts w:asciiTheme="majorHAnsi" w:eastAsiaTheme="majorEastAsia" w:hAnsiTheme="majorHAnsi" w:cstheme="majorBidi"/>
          <w:bCs/>
          <w:color w:val="000000" w:themeColor="text1"/>
          <w:sz w:val="24"/>
          <w:szCs w:val="24"/>
        </w:rPr>
        <w:t xml:space="preserve"> benefits. In this section, we will measure </w:t>
      </w:r>
      <w:r w:rsidR="001B6468">
        <w:rPr>
          <w:rFonts w:asciiTheme="majorHAnsi" w:eastAsiaTheme="majorEastAsia" w:hAnsiTheme="majorHAnsi" w:cstheme="majorBidi"/>
          <w:bCs/>
          <w:color w:val="000000" w:themeColor="text1"/>
          <w:sz w:val="24"/>
          <w:szCs w:val="24"/>
        </w:rPr>
        <w:t>these benefits.</w:t>
      </w:r>
      <w:r>
        <w:rPr>
          <w:rFonts w:asciiTheme="majorHAnsi" w:eastAsiaTheme="majorEastAsia" w:hAnsiTheme="majorHAnsi" w:cstheme="majorBidi"/>
          <w:bCs/>
          <w:color w:val="000000" w:themeColor="text1"/>
          <w:sz w:val="24"/>
          <w:szCs w:val="24"/>
        </w:rPr>
        <w:t xml:space="preserve"> </w:t>
      </w:r>
    </w:p>
    <w:p w14:paraId="23A5F24A" w14:textId="77777777" w:rsidR="00D22570" w:rsidRDefault="00D22570" w:rsidP="00A50858">
      <w:pPr>
        <w:spacing w:after="0"/>
        <w:rPr>
          <w:rFonts w:asciiTheme="majorHAnsi" w:eastAsiaTheme="majorEastAsia" w:hAnsiTheme="majorHAnsi" w:cstheme="majorBidi"/>
          <w:bCs/>
          <w:color w:val="000000" w:themeColor="text1"/>
          <w:sz w:val="24"/>
          <w:szCs w:val="24"/>
        </w:rPr>
      </w:pPr>
    </w:p>
    <w:p w14:paraId="304CBF4D" w14:textId="77777777" w:rsidR="003B2569" w:rsidRDefault="00A50858" w:rsidP="003B2569">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The credit is </w:t>
      </w:r>
      <w:r w:rsidRPr="00346043">
        <w:rPr>
          <w:rFonts w:asciiTheme="majorHAnsi" w:eastAsiaTheme="majorEastAsia" w:hAnsiTheme="majorHAnsi" w:cstheme="majorBidi"/>
          <w:bCs/>
          <w:color w:val="000000" w:themeColor="text1"/>
          <w:sz w:val="24"/>
          <w:szCs w:val="24"/>
        </w:rPr>
        <w:t>applied to qualifying tangible property acquired, constructed, reconstructed, or erected after December 31, 1969.</w:t>
      </w:r>
      <w:r>
        <w:rPr>
          <w:rFonts w:asciiTheme="majorHAnsi" w:eastAsiaTheme="majorEastAsia" w:hAnsiTheme="majorHAnsi" w:cstheme="majorBidi"/>
          <w:bCs/>
          <w:color w:val="000000" w:themeColor="text1"/>
          <w:sz w:val="24"/>
          <w:szCs w:val="24"/>
        </w:rPr>
        <w:t xml:space="preserve"> </w:t>
      </w:r>
      <w:r w:rsidRPr="00346043">
        <w:rPr>
          <w:rFonts w:asciiTheme="majorHAnsi" w:eastAsiaTheme="majorEastAsia" w:hAnsiTheme="majorHAnsi" w:cstheme="majorBidi"/>
          <w:bCs/>
          <w:color w:val="000000" w:themeColor="text1"/>
          <w:sz w:val="24"/>
          <w:szCs w:val="24"/>
        </w:rPr>
        <w:t xml:space="preserve">Historically, the amount of the credit has fluctuated between 3% and 1% of the eligible costs incurred. </w:t>
      </w:r>
      <w:r w:rsidR="00C9744F">
        <w:rPr>
          <w:rFonts w:asciiTheme="majorHAnsi" w:eastAsiaTheme="majorEastAsia" w:hAnsiTheme="majorHAnsi" w:cstheme="majorBidi"/>
          <w:bCs/>
          <w:color w:val="000000" w:themeColor="text1"/>
          <w:sz w:val="24"/>
          <w:szCs w:val="24"/>
        </w:rPr>
        <w:t>P</w:t>
      </w:r>
      <w:r w:rsidRPr="00346043">
        <w:rPr>
          <w:rFonts w:asciiTheme="majorHAnsi" w:eastAsiaTheme="majorEastAsia" w:hAnsiTheme="majorHAnsi" w:cstheme="majorBidi"/>
          <w:bCs/>
          <w:color w:val="000000" w:themeColor="text1"/>
          <w:sz w:val="24"/>
          <w:szCs w:val="24"/>
        </w:rPr>
        <w:t xml:space="preserve">ursuant to </w:t>
      </w:r>
      <w:r w:rsidR="00C9744F">
        <w:rPr>
          <w:rFonts w:asciiTheme="majorHAnsi" w:eastAsiaTheme="majorEastAsia" w:hAnsiTheme="majorHAnsi" w:cstheme="majorBidi"/>
          <w:bCs/>
          <w:color w:val="000000" w:themeColor="text1"/>
          <w:sz w:val="24"/>
          <w:szCs w:val="24"/>
        </w:rPr>
        <w:t xml:space="preserve">Section 25 of </w:t>
      </w:r>
      <w:r w:rsidR="000D5E50" w:rsidRPr="000D5E50">
        <w:rPr>
          <w:rFonts w:asciiTheme="majorHAnsi" w:eastAsiaTheme="majorEastAsia" w:hAnsiTheme="majorHAnsi" w:cstheme="majorBidi"/>
          <w:bCs/>
          <w:color w:val="000000" w:themeColor="text1"/>
          <w:sz w:val="24"/>
          <w:szCs w:val="24"/>
        </w:rPr>
        <w:t>Chapter 141 of the Acts of 2003</w:t>
      </w:r>
      <w:r w:rsidRPr="00346043">
        <w:rPr>
          <w:rFonts w:asciiTheme="majorHAnsi" w:eastAsiaTheme="majorEastAsia" w:hAnsiTheme="majorHAnsi" w:cstheme="majorBidi"/>
          <w:bCs/>
          <w:color w:val="000000" w:themeColor="text1"/>
          <w:sz w:val="24"/>
          <w:szCs w:val="24"/>
        </w:rPr>
        <w:t>, the credit</w:t>
      </w:r>
      <w:r w:rsidR="001B6468">
        <w:rPr>
          <w:rFonts w:asciiTheme="majorHAnsi" w:eastAsiaTheme="majorEastAsia" w:hAnsiTheme="majorHAnsi" w:cstheme="majorBidi"/>
          <w:bCs/>
          <w:color w:val="000000" w:themeColor="text1"/>
          <w:sz w:val="24"/>
          <w:szCs w:val="24"/>
        </w:rPr>
        <w:t xml:space="preserve"> </w:t>
      </w:r>
      <w:r w:rsidR="00C9744F">
        <w:rPr>
          <w:rFonts w:asciiTheme="majorHAnsi" w:eastAsiaTheme="majorEastAsia" w:hAnsiTheme="majorHAnsi" w:cstheme="majorBidi"/>
          <w:bCs/>
          <w:color w:val="000000" w:themeColor="text1"/>
          <w:sz w:val="24"/>
          <w:szCs w:val="24"/>
        </w:rPr>
        <w:t>amount</w:t>
      </w:r>
      <w:r w:rsidRPr="00346043">
        <w:rPr>
          <w:rFonts w:asciiTheme="majorHAnsi" w:eastAsiaTheme="majorEastAsia" w:hAnsiTheme="majorHAnsi" w:cstheme="majorBidi"/>
          <w:bCs/>
          <w:color w:val="000000" w:themeColor="text1"/>
          <w:sz w:val="24"/>
          <w:szCs w:val="24"/>
        </w:rPr>
        <w:t xml:space="preserve"> was </w:t>
      </w:r>
      <w:r w:rsidR="00C9744F">
        <w:rPr>
          <w:rFonts w:asciiTheme="majorHAnsi" w:eastAsiaTheme="majorEastAsia" w:hAnsiTheme="majorHAnsi" w:cstheme="majorBidi"/>
          <w:bCs/>
          <w:color w:val="000000" w:themeColor="text1"/>
          <w:sz w:val="24"/>
          <w:szCs w:val="24"/>
        </w:rPr>
        <w:t>fixed</w:t>
      </w:r>
      <w:r w:rsidR="001B6468">
        <w:rPr>
          <w:rFonts w:asciiTheme="majorHAnsi" w:eastAsiaTheme="majorEastAsia" w:hAnsiTheme="majorHAnsi" w:cstheme="majorBidi"/>
          <w:bCs/>
          <w:color w:val="000000" w:themeColor="text1"/>
          <w:sz w:val="24"/>
          <w:szCs w:val="24"/>
        </w:rPr>
        <w:t xml:space="preserve"> at 3% of the eligible costs</w:t>
      </w:r>
      <w:r w:rsidRPr="00346043">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 xml:space="preserve"> </w:t>
      </w:r>
      <w:r w:rsidRPr="007D6742">
        <w:rPr>
          <w:rFonts w:asciiTheme="majorHAnsi" w:eastAsiaTheme="majorEastAsia" w:hAnsiTheme="majorHAnsi" w:cstheme="majorBidi"/>
          <w:bCs/>
          <w:color w:val="000000" w:themeColor="text1"/>
          <w:sz w:val="24"/>
          <w:szCs w:val="24"/>
        </w:rPr>
        <w:t>To qualify, a corporation must be defined under Massachusetts law as a</w:t>
      </w:r>
      <w:r>
        <w:rPr>
          <w:rFonts w:asciiTheme="majorHAnsi" w:eastAsiaTheme="majorEastAsia" w:hAnsiTheme="majorHAnsi" w:cstheme="majorBidi"/>
          <w:bCs/>
          <w:color w:val="000000" w:themeColor="text1"/>
          <w:sz w:val="24"/>
          <w:szCs w:val="24"/>
        </w:rPr>
        <w:t xml:space="preserve"> m</w:t>
      </w:r>
      <w:r w:rsidRPr="007D6742">
        <w:rPr>
          <w:rFonts w:asciiTheme="majorHAnsi" w:eastAsiaTheme="majorEastAsia" w:hAnsiTheme="majorHAnsi" w:cstheme="majorBidi"/>
          <w:bCs/>
          <w:color w:val="000000" w:themeColor="text1"/>
          <w:sz w:val="24"/>
          <w:szCs w:val="24"/>
        </w:rPr>
        <w:t>anufacturing corporation</w:t>
      </w:r>
      <w:r>
        <w:rPr>
          <w:rFonts w:asciiTheme="majorHAnsi" w:eastAsiaTheme="majorEastAsia" w:hAnsiTheme="majorHAnsi" w:cstheme="majorBidi"/>
          <w:bCs/>
          <w:color w:val="000000" w:themeColor="text1"/>
          <w:sz w:val="24"/>
          <w:szCs w:val="24"/>
        </w:rPr>
        <w:t xml:space="preserve">, </w:t>
      </w:r>
      <w:r w:rsidR="0082323C">
        <w:rPr>
          <w:rFonts w:asciiTheme="majorHAnsi" w:eastAsiaTheme="majorEastAsia" w:hAnsiTheme="majorHAnsi" w:cstheme="majorBidi"/>
          <w:bCs/>
          <w:color w:val="000000" w:themeColor="text1"/>
          <w:sz w:val="24"/>
          <w:szCs w:val="24"/>
        </w:rPr>
        <w:t xml:space="preserve">a </w:t>
      </w:r>
      <w:r>
        <w:rPr>
          <w:rFonts w:asciiTheme="majorHAnsi" w:eastAsiaTheme="majorEastAsia" w:hAnsiTheme="majorHAnsi" w:cstheme="majorBidi"/>
          <w:bCs/>
          <w:color w:val="000000" w:themeColor="text1"/>
          <w:sz w:val="24"/>
          <w:szCs w:val="24"/>
        </w:rPr>
        <w:lastRenderedPageBreak/>
        <w:t>r</w:t>
      </w:r>
      <w:r w:rsidRPr="007D6742">
        <w:rPr>
          <w:rFonts w:asciiTheme="majorHAnsi" w:eastAsiaTheme="majorEastAsia" w:hAnsiTheme="majorHAnsi" w:cstheme="majorBidi"/>
          <w:bCs/>
          <w:color w:val="000000" w:themeColor="text1"/>
          <w:sz w:val="24"/>
          <w:szCs w:val="24"/>
        </w:rPr>
        <w:t>esearch and development corporation</w:t>
      </w:r>
      <w:r>
        <w:rPr>
          <w:rFonts w:asciiTheme="majorHAnsi" w:eastAsiaTheme="majorEastAsia" w:hAnsiTheme="majorHAnsi" w:cstheme="majorBidi"/>
          <w:bCs/>
          <w:color w:val="000000" w:themeColor="text1"/>
          <w:sz w:val="24"/>
          <w:szCs w:val="24"/>
        </w:rPr>
        <w:t xml:space="preserve">, </w:t>
      </w:r>
      <w:r w:rsidR="0082323C">
        <w:rPr>
          <w:rFonts w:asciiTheme="majorHAnsi" w:eastAsiaTheme="majorEastAsia" w:hAnsiTheme="majorHAnsi" w:cstheme="majorBidi"/>
          <w:bCs/>
          <w:color w:val="000000" w:themeColor="text1"/>
          <w:sz w:val="24"/>
          <w:szCs w:val="24"/>
        </w:rPr>
        <w:t xml:space="preserve">a </w:t>
      </w:r>
      <w:r>
        <w:rPr>
          <w:rFonts w:asciiTheme="majorHAnsi" w:eastAsiaTheme="majorEastAsia" w:hAnsiTheme="majorHAnsi" w:cstheme="majorBidi"/>
          <w:bCs/>
          <w:color w:val="000000" w:themeColor="text1"/>
          <w:sz w:val="24"/>
          <w:szCs w:val="24"/>
        </w:rPr>
        <w:t>c</w:t>
      </w:r>
      <w:r w:rsidRPr="007D6742">
        <w:rPr>
          <w:rFonts w:asciiTheme="majorHAnsi" w:eastAsiaTheme="majorEastAsia" w:hAnsiTheme="majorHAnsi" w:cstheme="majorBidi"/>
          <w:bCs/>
          <w:color w:val="000000" w:themeColor="text1"/>
          <w:sz w:val="24"/>
          <w:szCs w:val="24"/>
        </w:rPr>
        <w:t>orporation primarily engaged in agriculture, or</w:t>
      </w:r>
      <w:r>
        <w:rPr>
          <w:rFonts w:asciiTheme="majorHAnsi" w:eastAsiaTheme="majorEastAsia" w:hAnsiTheme="majorHAnsi" w:cstheme="majorBidi"/>
          <w:bCs/>
          <w:color w:val="000000" w:themeColor="text1"/>
          <w:sz w:val="24"/>
          <w:szCs w:val="24"/>
        </w:rPr>
        <w:t xml:space="preserve"> </w:t>
      </w:r>
      <w:r w:rsidR="0082323C">
        <w:rPr>
          <w:rFonts w:asciiTheme="majorHAnsi" w:eastAsiaTheme="majorEastAsia" w:hAnsiTheme="majorHAnsi" w:cstheme="majorBidi"/>
          <w:bCs/>
          <w:color w:val="000000" w:themeColor="text1"/>
          <w:sz w:val="24"/>
          <w:szCs w:val="24"/>
        </w:rPr>
        <w:t xml:space="preserve">a </w:t>
      </w:r>
      <w:r>
        <w:rPr>
          <w:rFonts w:asciiTheme="majorHAnsi" w:eastAsiaTheme="majorEastAsia" w:hAnsiTheme="majorHAnsi" w:cstheme="majorBidi"/>
          <w:bCs/>
          <w:color w:val="000000" w:themeColor="text1"/>
          <w:sz w:val="24"/>
          <w:szCs w:val="24"/>
        </w:rPr>
        <w:t>c</w:t>
      </w:r>
      <w:r w:rsidRPr="007D6742">
        <w:rPr>
          <w:rFonts w:asciiTheme="majorHAnsi" w:eastAsiaTheme="majorEastAsia" w:hAnsiTheme="majorHAnsi" w:cstheme="majorBidi"/>
          <w:bCs/>
          <w:color w:val="000000" w:themeColor="text1"/>
          <w:sz w:val="24"/>
          <w:szCs w:val="24"/>
        </w:rPr>
        <w:t>orporation primarily engaged in commercial fishing.</w:t>
      </w:r>
      <w:r>
        <w:rPr>
          <w:rFonts w:asciiTheme="majorHAnsi" w:eastAsiaTheme="majorEastAsia" w:hAnsiTheme="majorHAnsi" w:cstheme="majorBidi"/>
          <w:bCs/>
          <w:color w:val="000000" w:themeColor="text1"/>
          <w:sz w:val="24"/>
          <w:szCs w:val="24"/>
        </w:rPr>
        <w:t xml:space="preserve"> </w:t>
      </w:r>
    </w:p>
    <w:p w14:paraId="0B53AC37" w14:textId="77777777" w:rsidR="0031506A" w:rsidRDefault="0031506A" w:rsidP="0031506A">
      <w:pPr>
        <w:spacing w:after="0"/>
        <w:rPr>
          <w:rFonts w:asciiTheme="majorHAnsi" w:eastAsiaTheme="majorEastAsia" w:hAnsiTheme="majorHAnsi" w:cstheme="majorBidi"/>
          <w:bCs/>
          <w:color w:val="000000" w:themeColor="text1"/>
          <w:sz w:val="24"/>
          <w:szCs w:val="24"/>
        </w:rPr>
      </w:pPr>
    </w:p>
    <w:p w14:paraId="24027926" w14:textId="77777777" w:rsidR="000F7B86" w:rsidRDefault="006C5EDA" w:rsidP="000F7B86">
      <w:pPr>
        <w:spacing w:after="0"/>
        <w:rPr>
          <w:rFonts w:asciiTheme="majorHAnsi" w:hAnsiTheme="majorHAnsi"/>
          <w:sz w:val="24"/>
          <w:szCs w:val="24"/>
        </w:rPr>
      </w:pPr>
      <w:r>
        <w:rPr>
          <w:rFonts w:asciiTheme="majorHAnsi" w:hAnsiTheme="majorHAnsi"/>
          <w:sz w:val="24"/>
          <w:szCs w:val="24"/>
        </w:rPr>
        <w:t>Table</w:t>
      </w:r>
      <w:r w:rsidR="007B2294">
        <w:rPr>
          <w:rFonts w:asciiTheme="majorHAnsi" w:hAnsiTheme="majorHAnsi"/>
          <w:sz w:val="24"/>
          <w:szCs w:val="24"/>
        </w:rPr>
        <w:t>s</w:t>
      </w:r>
      <w:r>
        <w:rPr>
          <w:rFonts w:asciiTheme="majorHAnsi" w:hAnsiTheme="majorHAnsi"/>
          <w:sz w:val="24"/>
          <w:szCs w:val="24"/>
        </w:rPr>
        <w:t xml:space="preserve"> </w:t>
      </w:r>
      <w:r w:rsidR="00303B9E">
        <w:rPr>
          <w:rFonts w:asciiTheme="majorHAnsi" w:hAnsiTheme="majorHAnsi"/>
          <w:sz w:val="24"/>
          <w:szCs w:val="24"/>
        </w:rPr>
        <w:t>5</w:t>
      </w:r>
      <w:r w:rsidR="00C25B36">
        <w:rPr>
          <w:rFonts w:asciiTheme="majorHAnsi" w:hAnsiTheme="majorHAnsi"/>
          <w:sz w:val="24"/>
          <w:szCs w:val="24"/>
        </w:rPr>
        <w:t>-</w:t>
      </w:r>
      <w:r w:rsidR="00303B9E">
        <w:rPr>
          <w:rFonts w:asciiTheme="majorHAnsi" w:hAnsiTheme="majorHAnsi"/>
          <w:sz w:val="24"/>
          <w:szCs w:val="24"/>
        </w:rPr>
        <w:t>7</w:t>
      </w:r>
      <w:r w:rsidR="0039468F">
        <w:rPr>
          <w:rFonts w:asciiTheme="majorHAnsi" w:hAnsiTheme="majorHAnsi"/>
          <w:sz w:val="24"/>
          <w:szCs w:val="24"/>
        </w:rPr>
        <w:t xml:space="preserve"> show the number of claimants and claim amounts by income level, </w:t>
      </w:r>
      <w:r w:rsidR="009B4613">
        <w:rPr>
          <w:rFonts w:asciiTheme="majorHAnsi" w:hAnsiTheme="majorHAnsi"/>
          <w:sz w:val="24"/>
          <w:szCs w:val="24"/>
        </w:rPr>
        <w:t xml:space="preserve">size of </w:t>
      </w:r>
      <w:r w:rsidR="003A6C72">
        <w:rPr>
          <w:rFonts w:asciiTheme="majorHAnsi" w:hAnsiTheme="majorHAnsi"/>
          <w:sz w:val="24"/>
          <w:szCs w:val="24"/>
        </w:rPr>
        <w:t>taxpayer</w:t>
      </w:r>
      <w:r w:rsidR="009B4613">
        <w:rPr>
          <w:rFonts w:asciiTheme="majorHAnsi" w:hAnsiTheme="majorHAnsi"/>
          <w:sz w:val="24"/>
          <w:szCs w:val="24"/>
        </w:rPr>
        <w:t xml:space="preserve"> in terms of </w:t>
      </w:r>
      <w:r w:rsidR="0039468F">
        <w:rPr>
          <w:rFonts w:asciiTheme="majorHAnsi" w:hAnsiTheme="majorHAnsi"/>
          <w:sz w:val="24"/>
          <w:szCs w:val="24"/>
        </w:rPr>
        <w:t>number of employees, and industry, respectively</w:t>
      </w:r>
      <w:r w:rsidR="006E592F">
        <w:rPr>
          <w:rFonts w:asciiTheme="majorHAnsi" w:hAnsiTheme="majorHAnsi"/>
          <w:sz w:val="24"/>
          <w:szCs w:val="24"/>
        </w:rPr>
        <w:t>, for the 2017 tax year</w:t>
      </w:r>
      <w:r w:rsidR="0039468F">
        <w:rPr>
          <w:rFonts w:asciiTheme="majorHAnsi" w:hAnsiTheme="majorHAnsi"/>
          <w:sz w:val="24"/>
          <w:szCs w:val="24"/>
        </w:rPr>
        <w:t>.</w:t>
      </w:r>
      <w:r w:rsidR="0039468F">
        <w:rPr>
          <w:rStyle w:val="FootnoteReference"/>
          <w:rFonts w:asciiTheme="majorHAnsi" w:hAnsiTheme="majorHAnsi"/>
          <w:sz w:val="24"/>
          <w:szCs w:val="24"/>
        </w:rPr>
        <w:footnoteReference w:id="4"/>
      </w:r>
      <w:r>
        <w:rPr>
          <w:rFonts w:asciiTheme="majorHAnsi" w:hAnsiTheme="majorHAnsi"/>
          <w:sz w:val="24"/>
          <w:szCs w:val="24"/>
        </w:rPr>
        <w:t xml:space="preserve"> </w:t>
      </w:r>
      <w:r w:rsidR="00D010CE">
        <w:rPr>
          <w:rFonts w:asciiTheme="majorHAnsi" w:hAnsiTheme="majorHAnsi"/>
          <w:sz w:val="24"/>
          <w:szCs w:val="24"/>
        </w:rPr>
        <w:t>56.4</w:t>
      </w:r>
      <w:r w:rsidR="000F7B86">
        <w:rPr>
          <w:rFonts w:asciiTheme="majorHAnsi" w:hAnsiTheme="majorHAnsi"/>
          <w:sz w:val="24"/>
          <w:szCs w:val="24"/>
        </w:rPr>
        <w:t xml:space="preserve">% of </w:t>
      </w:r>
      <w:r w:rsidR="00C25B36">
        <w:rPr>
          <w:rFonts w:asciiTheme="majorHAnsi" w:hAnsiTheme="majorHAnsi"/>
          <w:sz w:val="24"/>
          <w:szCs w:val="24"/>
        </w:rPr>
        <w:t>claimants</w:t>
      </w:r>
      <w:r w:rsidR="009C7D4B">
        <w:rPr>
          <w:rFonts w:asciiTheme="majorHAnsi" w:hAnsiTheme="majorHAnsi"/>
          <w:sz w:val="24"/>
          <w:szCs w:val="24"/>
        </w:rPr>
        <w:t xml:space="preserve"> were </w:t>
      </w:r>
      <w:r w:rsidR="00D010CE">
        <w:rPr>
          <w:rFonts w:asciiTheme="majorHAnsi" w:hAnsiTheme="majorHAnsi"/>
          <w:sz w:val="24"/>
          <w:szCs w:val="24"/>
        </w:rPr>
        <w:t xml:space="preserve">corporations </w:t>
      </w:r>
      <w:r w:rsidR="009C7D4B">
        <w:rPr>
          <w:rFonts w:asciiTheme="majorHAnsi" w:hAnsiTheme="majorHAnsi"/>
          <w:sz w:val="24"/>
          <w:szCs w:val="24"/>
        </w:rPr>
        <w:t xml:space="preserve">with </w:t>
      </w:r>
      <w:r w:rsidR="000F7B86">
        <w:rPr>
          <w:rFonts w:asciiTheme="majorHAnsi" w:hAnsiTheme="majorHAnsi"/>
          <w:sz w:val="24"/>
          <w:szCs w:val="24"/>
        </w:rPr>
        <w:t xml:space="preserve">taxable income less than $10,000 or negative taxable income, </w:t>
      </w:r>
      <w:r w:rsidR="00B9779D">
        <w:rPr>
          <w:rFonts w:asciiTheme="majorHAnsi" w:hAnsiTheme="majorHAnsi"/>
          <w:sz w:val="24"/>
          <w:szCs w:val="24"/>
        </w:rPr>
        <w:t>67.</w:t>
      </w:r>
      <w:r w:rsidR="009C7D4B">
        <w:rPr>
          <w:rFonts w:asciiTheme="majorHAnsi" w:hAnsiTheme="majorHAnsi"/>
          <w:sz w:val="24"/>
          <w:szCs w:val="24"/>
        </w:rPr>
        <w:t xml:space="preserve">8% of </w:t>
      </w:r>
      <w:r w:rsidR="009D72C8">
        <w:rPr>
          <w:rFonts w:asciiTheme="majorHAnsi" w:hAnsiTheme="majorHAnsi"/>
          <w:sz w:val="24"/>
          <w:szCs w:val="24"/>
        </w:rPr>
        <w:t>claimants</w:t>
      </w:r>
      <w:r w:rsidR="009C7D4B">
        <w:rPr>
          <w:rFonts w:asciiTheme="majorHAnsi" w:hAnsiTheme="majorHAnsi"/>
          <w:sz w:val="24"/>
          <w:szCs w:val="24"/>
        </w:rPr>
        <w:t xml:space="preserve"> were </w:t>
      </w:r>
      <w:r w:rsidR="000F7B86">
        <w:rPr>
          <w:rFonts w:asciiTheme="majorHAnsi" w:hAnsiTheme="majorHAnsi"/>
          <w:sz w:val="24"/>
          <w:szCs w:val="24"/>
        </w:rPr>
        <w:t xml:space="preserve">corporations with employees less than </w:t>
      </w:r>
      <w:r w:rsidR="00D010CE">
        <w:rPr>
          <w:rFonts w:asciiTheme="majorHAnsi" w:hAnsiTheme="majorHAnsi"/>
          <w:sz w:val="24"/>
          <w:szCs w:val="24"/>
        </w:rPr>
        <w:t>100</w:t>
      </w:r>
      <w:r w:rsidR="009C7D4B">
        <w:rPr>
          <w:rFonts w:asciiTheme="majorHAnsi" w:hAnsiTheme="majorHAnsi"/>
          <w:sz w:val="24"/>
          <w:szCs w:val="24"/>
        </w:rPr>
        <w:t xml:space="preserve">, and </w:t>
      </w:r>
      <w:r w:rsidR="009C7D4B">
        <w:rPr>
          <w:rFonts w:asciiTheme="majorHAnsi" w:eastAsiaTheme="majorEastAsia" w:hAnsiTheme="majorHAnsi" w:cstheme="majorBidi"/>
          <w:bCs/>
          <w:color w:val="000000" w:themeColor="text1"/>
          <w:sz w:val="24"/>
          <w:szCs w:val="24"/>
        </w:rPr>
        <w:t xml:space="preserve">75.8% of </w:t>
      </w:r>
      <w:r w:rsidR="009D72C8">
        <w:rPr>
          <w:rFonts w:asciiTheme="majorHAnsi" w:hAnsiTheme="majorHAnsi"/>
          <w:sz w:val="24"/>
          <w:szCs w:val="24"/>
        </w:rPr>
        <w:t>claimants</w:t>
      </w:r>
      <w:r w:rsidR="009C7D4B">
        <w:rPr>
          <w:rFonts w:asciiTheme="majorHAnsi" w:eastAsiaTheme="majorEastAsia" w:hAnsiTheme="majorHAnsi" w:cstheme="majorBidi"/>
          <w:bCs/>
          <w:color w:val="000000" w:themeColor="text1"/>
          <w:sz w:val="24"/>
          <w:szCs w:val="24"/>
        </w:rPr>
        <w:t xml:space="preserve"> were in the </w:t>
      </w:r>
      <w:r w:rsidR="0039468F">
        <w:rPr>
          <w:rFonts w:asciiTheme="majorHAnsi" w:eastAsiaTheme="majorEastAsia" w:hAnsiTheme="majorHAnsi" w:cstheme="majorBidi"/>
          <w:bCs/>
          <w:color w:val="000000" w:themeColor="text1"/>
          <w:sz w:val="24"/>
          <w:szCs w:val="24"/>
        </w:rPr>
        <w:t xml:space="preserve">industries </w:t>
      </w:r>
      <w:r w:rsidR="009C7D4B">
        <w:rPr>
          <w:rFonts w:asciiTheme="majorHAnsi" w:eastAsiaTheme="majorEastAsia" w:hAnsiTheme="majorHAnsi" w:cstheme="majorBidi"/>
          <w:bCs/>
          <w:color w:val="000000" w:themeColor="text1"/>
          <w:sz w:val="24"/>
          <w:szCs w:val="24"/>
        </w:rPr>
        <w:t xml:space="preserve">of manufacturing </w:t>
      </w:r>
      <w:r w:rsidR="006E592F">
        <w:rPr>
          <w:rFonts w:asciiTheme="majorHAnsi" w:eastAsiaTheme="majorEastAsia" w:hAnsiTheme="majorHAnsi" w:cstheme="majorBidi"/>
          <w:bCs/>
          <w:color w:val="000000" w:themeColor="text1"/>
          <w:sz w:val="24"/>
          <w:szCs w:val="24"/>
        </w:rPr>
        <w:t>and</w:t>
      </w:r>
      <w:r w:rsidR="009D72C8">
        <w:rPr>
          <w:rFonts w:asciiTheme="majorHAnsi" w:eastAsiaTheme="majorEastAsia" w:hAnsiTheme="majorHAnsi" w:cstheme="majorBidi"/>
          <w:bCs/>
          <w:color w:val="000000" w:themeColor="text1"/>
          <w:sz w:val="24"/>
          <w:szCs w:val="24"/>
        </w:rPr>
        <w:t xml:space="preserve"> </w:t>
      </w:r>
      <w:r w:rsidR="009C7D4B">
        <w:rPr>
          <w:rFonts w:asciiTheme="majorHAnsi" w:eastAsiaTheme="majorEastAsia" w:hAnsiTheme="majorHAnsi" w:cstheme="majorBidi"/>
          <w:bCs/>
          <w:color w:val="000000" w:themeColor="text1"/>
          <w:sz w:val="24"/>
          <w:szCs w:val="24"/>
        </w:rPr>
        <w:t>p</w:t>
      </w:r>
      <w:r w:rsidR="009C7D4B" w:rsidRPr="00933249">
        <w:rPr>
          <w:rFonts w:asciiTheme="majorHAnsi" w:eastAsiaTheme="majorEastAsia" w:hAnsiTheme="majorHAnsi" w:cstheme="majorBidi"/>
          <w:bCs/>
          <w:color w:val="000000" w:themeColor="text1"/>
          <w:sz w:val="24"/>
          <w:szCs w:val="24"/>
        </w:rPr>
        <w:t xml:space="preserve">rofessional, </w:t>
      </w:r>
      <w:r w:rsidR="009C7D4B">
        <w:rPr>
          <w:rFonts w:asciiTheme="majorHAnsi" w:eastAsiaTheme="majorEastAsia" w:hAnsiTheme="majorHAnsi" w:cstheme="majorBidi"/>
          <w:bCs/>
          <w:color w:val="000000" w:themeColor="text1"/>
          <w:sz w:val="24"/>
          <w:szCs w:val="24"/>
        </w:rPr>
        <w:t>s</w:t>
      </w:r>
      <w:r w:rsidR="009C7D4B" w:rsidRPr="00933249">
        <w:rPr>
          <w:rFonts w:asciiTheme="majorHAnsi" w:eastAsiaTheme="majorEastAsia" w:hAnsiTheme="majorHAnsi" w:cstheme="majorBidi"/>
          <w:bCs/>
          <w:color w:val="000000" w:themeColor="text1"/>
          <w:sz w:val="24"/>
          <w:szCs w:val="24"/>
        </w:rPr>
        <w:t xml:space="preserve">cientific, </w:t>
      </w:r>
      <w:r w:rsidR="009C7D4B">
        <w:rPr>
          <w:rFonts w:asciiTheme="majorHAnsi" w:eastAsiaTheme="majorEastAsia" w:hAnsiTheme="majorHAnsi" w:cstheme="majorBidi"/>
          <w:bCs/>
          <w:color w:val="000000" w:themeColor="text1"/>
          <w:sz w:val="24"/>
          <w:szCs w:val="24"/>
        </w:rPr>
        <w:t>&amp;</w:t>
      </w:r>
      <w:r w:rsidR="009C7D4B" w:rsidRPr="00933249">
        <w:rPr>
          <w:rFonts w:asciiTheme="majorHAnsi" w:eastAsiaTheme="majorEastAsia" w:hAnsiTheme="majorHAnsi" w:cstheme="majorBidi"/>
          <w:bCs/>
          <w:color w:val="000000" w:themeColor="text1"/>
          <w:sz w:val="24"/>
          <w:szCs w:val="24"/>
        </w:rPr>
        <w:t xml:space="preserve"> </w:t>
      </w:r>
      <w:r w:rsidR="009C7D4B">
        <w:rPr>
          <w:rFonts w:asciiTheme="majorHAnsi" w:eastAsiaTheme="majorEastAsia" w:hAnsiTheme="majorHAnsi" w:cstheme="majorBidi"/>
          <w:bCs/>
          <w:color w:val="000000" w:themeColor="text1"/>
          <w:sz w:val="24"/>
          <w:szCs w:val="24"/>
        </w:rPr>
        <w:t>t</w:t>
      </w:r>
      <w:r w:rsidR="009C7D4B" w:rsidRPr="00933249">
        <w:rPr>
          <w:rFonts w:asciiTheme="majorHAnsi" w:eastAsiaTheme="majorEastAsia" w:hAnsiTheme="majorHAnsi" w:cstheme="majorBidi"/>
          <w:bCs/>
          <w:color w:val="000000" w:themeColor="text1"/>
          <w:sz w:val="24"/>
          <w:szCs w:val="24"/>
        </w:rPr>
        <w:t xml:space="preserve">echnical </w:t>
      </w:r>
      <w:r w:rsidR="009C7D4B">
        <w:rPr>
          <w:rFonts w:asciiTheme="majorHAnsi" w:eastAsiaTheme="majorEastAsia" w:hAnsiTheme="majorHAnsi" w:cstheme="majorBidi"/>
          <w:bCs/>
          <w:color w:val="000000" w:themeColor="text1"/>
          <w:sz w:val="24"/>
          <w:szCs w:val="24"/>
        </w:rPr>
        <w:t>s</w:t>
      </w:r>
      <w:r w:rsidR="009C7D4B" w:rsidRPr="00933249">
        <w:rPr>
          <w:rFonts w:asciiTheme="majorHAnsi" w:eastAsiaTheme="majorEastAsia" w:hAnsiTheme="majorHAnsi" w:cstheme="majorBidi"/>
          <w:bCs/>
          <w:color w:val="000000" w:themeColor="text1"/>
          <w:sz w:val="24"/>
          <w:szCs w:val="24"/>
        </w:rPr>
        <w:t>ervices</w:t>
      </w:r>
      <w:r w:rsidR="009C7D4B">
        <w:rPr>
          <w:rFonts w:asciiTheme="majorHAnsi" w:eastAsiaTheme="majorEastAsia" w:hAnsiTheme="majorHAnsi" w:cstheme="majorBidi"/>
          <w:bCs/>
          <w:color w:val="000000" w:themeColor="text1"/>
          <w:sz w:val="24"/>
          <w:szCs w:val="24"/>
        </w:rPr>
        <w:t>.</w:t>
      </w:r>
      <w:r w:rsidR="00D010CE">
        <w:rPr>
          <w:rFonts w:asciiTheme="majorHAnsi" w:hAnsiTheme="majorHAnsi"/>
          <w:sz w:val="24"/>
          <w:szCs w:val="24"/>
        </w:rPr>
        <w:t xml:space="preserve"> </w:t>
      </w:r>
    </w:p>
    <w:p w14:paraId="0DEE5F01" w14:textId="77777777" w:rsidR="000F7B86" w:rsidRDefault="000F7B86" w:rsidP="000F7B86">
      <w:pPr>
        <w:spacing w:after="0"/>
        <w:rPr>
          <w:rFonts w:asciiTheme="majorHAnsi" w:hAnsiTheme="majorHAnsi"/>
          <w:sz w:val="24"/>
          <w:szCs w:val="24"/>
        </w:rPr>
      </w:pPr>
    </w:p>
    <w:p w14:paraId="0CBF65AF" w14:textId="60BB8768" w:rsidR="000F7B86" w:rsidRDefault="000F7B86" w:rsidP="000F7B86">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T</w:t>
      </w:r>
      <w:r w:rsidRPr="000F7B86">
        <w:rPr>
          <w:rFonts w:asciiTheme="majorHAnsi" w:eastAsiaTheme="majorEastAsia" w:hAnsiTheme="majorHAnsi" w:cstheme="majorBidi"/>
          <w:bCs/>
          <w:color w:val="000000" w:themeColor="text1"/>
          <w:sz w:val="24"/>
          <w:szCs w:val="24"/>
        </w:rPr>
        <w:t xml:space="preserve">he tax benefit per claimant </w:t>
      </w:r>
      <w:r w:rsidR="002958F7">
        <w:rPr>
          <w:rFonts w:asciiTheme="majorHAnsi" w:eastAsiaTheme="majorEastAsia" w:hAnsiTheme="majorHAnsi" w:cstheme="majorBidi"/>
          <w:bCs/>
          <w:color w:val="000000" w:themeColor="text1"/>
          <w:sz w:val="24"/>
          <w:szCs w:val="24"/>
        </w:rPr>
        <w:t>averaged</w:t>
      </w:r>
      <w:r w:rsidR="002958F7" w:rsidRPr="000F7B86">
        <w:rPr>
          <w:rFonts w:asciiTheme="majorHAnsi" w:eastAsiaTheme="majorEastAsia" w:hAnsiTheme="majorHAnsi" w:cstheme="majorBidi"/>
          <w:bCs/>
          <w:color w:val="000000" w:themeColor="text1"/>
          <w:sz w:val="24"/>
          <w:szCs w:val="24"/>
        </w:rPr>
        <w:t xml:space="preserve"> </w:t>
      </w:r>
      <w:r w:rsidRPr="000F7B86">
        <w:rPr>
          <w:rFonts w:asciiTheme="majorHAnsi" w:eastAsiaTheme="majorEastAsia" w:hAnsiTheme="majorHAnsi" w:cstheme="majorBidi"/>
          <w:bCs/>
          <w:color w:val="000000" w:themeColor="text1"/>
          <w:sz w:val="24"/>
          <w:szCs w:val="24"/>
        </w:rPr>
        <w:t>$29,021</w:t>
      </w:r>
      <w:r>
        <w:rPr>
          <w:rFonts w:asciiTheme="majorHAnsi" w:eastAsiaTheme="majorEastAsia" w:hAnsiTheme="majorHAnsi" w:cstheme="majorBidi"/>
          <w:bCs/>
          <w:color w:val="000000" w:themeColor="text1"/>
          <w:sz w:val="24"/>
          <w:szCs w:val="24"/>
        </w:rPr>
        <w:t xml:space="preserve">, </w:t>
      </w:r>
      <w:r w:rsidR="002958F7">
        <w:rPr>
          <w:rFonts w:asciiTheme="majorHAnsi" w:eastAsiaTheme="majorEastAsia" w:hAnsiTheme="majorHAnsi" w:cstheme="majorBidi"/>
          <w:bCs/>
          <w:color w:val="000000" w:themeColor="text1"/>
          <w:sz w:val="24"/>
          <w:szCs w:val="24"/>
        </w:rPr>
        <w:t xml:space="preserve">varying from $11,556 for unmatched filers </w:t>
      </w:r>
      <w:r w:rsidR="002958F7">
        <w:rPr>
          <w:rFonts w:asciiTheme="majorHAnsi" w:hAnsiTheme="majorHAnsi"/>
          <w:sz w:val="24"/>
          <w:szCs w:val="24"/>
        </w:rPr>
        <w:t>to</w:t>
      </w:r>
      <w:r>
        <w:rPr>
          <w:rFonts w:asciiTheme="majorHAnsi" w:hAnsiTheme="majorHAnsi"/>
          <w:sz w:val="24"/>
          <w:szCs w:val="24"/>
        </w:rPr>
        <w:t xml:space="preserve"> $456,234 for the corporations of $10 million or higher</w:t>
      </w:r>
      <w:r w:rsidR="00690F77">
        <w:rPr>
          <w:rFonts w:asciiTheme="majorHAnsi" w:hAnsiTheme="majorHAnsi"/>
          <w:sz w:val="24"/>
          <w:szCs w:val="24"/>
        </w:rPr>
        <w:t xml:space="preserve"> taxable income</w:t>
      </w:r>
      <w:r>
        <w:rPr>
          <w:rFonts w:asciiTheme="majorHAnsi" w:hAnsiTheme="majorHAnsi"/>
          <w:sz w:val="24"/>
          <w:szCs w:val="24"/>
        </w:rPr>
        <w:t xml:space="preserve">, </w:t>
      </w:r>
      <w:r w:rsidR="002958F7">
        <w:rPr>
          <w:rFonts w:asciiTheme="majorHAnsi" w:hAnsiTheme="majorHAnsi"/>
          <w:sz w:val="24"/>
          <w:szCs w:val="24"/>
        </w:rPr>
        <w:t xml:space="preserve">from $5,630 for the corporations of 5-49 employees to </w:t>
      </w:r>
      <w:r>
        <w:rPr>
          <w:rFonts w:asciiTheme="majorHAnsi" w:hAnsiTheme="majorHAnsi"/>
          <w:sz w:val="24"/>
          <w:szCs w:val="24"/>
        </w:rPr>
        <w:t>$</w:t>
      </w:r>
      <w:r w:rsidR="006E6289">
        <w:rPr>
          <w:rFonts w:asciiTheme="majorHAnsi" w:hAnsiTheme="majorHAnsi"/>
          <w:sz w:val="24"/>
          <w:szCs w:val="24"/>
        </w:rPr>
        <w:t>13</w:t>
      </w:r>
      <w:r>
        <w:rPr>
          <w:rFonts w:asciiTheme="majorHAnsi" w:hAnsiTheme="majorHAnsi"/>
          <w:sz w:val="24"/>
          <w:szCs w:val="24"/>
        </w:rPr>
        <w:t>4,</w:t>
      </w:r>
      <w:r w:rsidR="006E6289">
        <w:rPr>
          <w:rFonts w:asciiTheme="majorHAnsi" w:hAnsiTheme="majorHAnsi"/>
          <w:sz w:val="24"/>
          <w:szCs w:val="24"/>
        </w:rPr>
        <w:t>00</w:t>
      </w:r>
      <w:r>
        <w:rPr>
          <w:rFonts w:asciiTheme="majorHAnsi" w:hAnsiTheme="majorHAnsi"/>
          <w:sz w:val="24"/>
          <w:szCs w:val="24"/>
        </w:rPr>
        <w:t xml:space="preserve">9 for the corporations of 500 or more employees, and </w:t>
      </w:r>
      <w:r w:rsidR="002958F7">
        <w:rPr>
          <w:rFonts w:asciiTheme="majorHAnsi" w:hAnsiTheme="majorHAnsi"/>
          <w:sz w:val="24"/>
          <w:szCs w:val="24"/>
        </w:rPr>
        <w:t>from</w:t>
      </w:r>
      <w:r w:rsidR="007B7F0A">
        <w:rPr>
          <w:rFonts w:asciiTheme="majorHAnsi" w:hAnsiTheme="majorHAnsi"/>
          <w:sz w:val="24"/>
          <w:szCs w:val="24"/>
        </w:rPr>
        <w:t xml:space="preserve"> $3,093 for corporations in the </w:t>
      </w:r>
      <w:r w:rsidR="007B7F0A" w:rsidRPr="007B7F0A">
        <w:rPr>
          <w:rFonts w:asciiTheme="majorHAnsi" w:hAnsiTheme="majorHAnsi"/>
          <w:sz w:val="24"/>
          <w:szCs w:val="24"/>
        </w:rPr>
        <w:t>“</w:t>
      </w:r>
      <w:r w:rsidR="007B7F0A" w:rsidRPr="00304366">
        <w:rPr>
          <w:rFonts w:ascii="Cambria" w:eastAsia="Times New Roman" w:hAnsi="Cambria" w:cs="Helvetica"/>
          <w:color w:val="000000"/>
          <w:sz w:val="24"/>
          <w:szCs w:val="24"/>
          <w:lang w:eastAsia="ko-KR"/>
        </w:rPr>
        <w:t>Accommodation and Food Services” industry</w:t>
      </w:r>
      <w:r w:rsidR="002958F7">
        <w:rPr>
          <w:rFonts w:asciiTheme="majorHAnsi" w:hAnsiTheme="majorHAnsi"/>
          <w:sz w:val="24"/>
          <w:szCs w:val="24"/>
        </w:rPr>
        <w:t xml:space="preserve"> </w:t>
      </w:r>
      <w:r w:rsidR="007B7F0A">
        <w:rPr>
          <w:rFonts w:asciiTheme="majorHAnsi" w:hAnsiTheme="majorHAnsi"/>
          <w:sz w:val="24"/>
          <w:szCs w:val="24"/>
        </w:rPr>
        <w:t xml:space="preserve">to </w:t>
      </w:r>
      <w:r>
        <w:rPr>
          <w:rFonts w:asciiTheme="majorHAnsi" w:hAnsiTheme="majorHAnsi"/>
          <w:sz w:val="24"/>
          <w:szCs w:val="24"/>
        </w:rPr>
        <w:t xml:space="preserve">$130,096 for corporations in the “utilities” industry. </w:t>
      </w:r>
      <w:r w:rsidR="00D65841">
        <w:rPr>
          <w:rFonts w:asciiTheme="majorHAnsi" w:hAnsiTheme="majorHAnsi"/>
          <w:sz w:val="24"/>
          <w:szCs w:val="24"/>
        </w:rPr>
        <w:t>In total, claimed credit ($</w:t>
      </w:r>
      <w:r w:rsidR="009B4613">
        <w:rPr>
          <w:rFonts w:asciiTheme="majorHAnsi" w:hAnsiTheme="majorHAnsi"/>
          <w:sz w:val="24"/>
          <w:szCs w:val="24"/>
        </w:rPr>
        <w:t xml:space="preserve">54 </w:t>
      </w:r>
      <w:r w:rsidR="00D65841">
        <w:rPr>
          <w:rFonts w:asciiTheme="majorHAnsi" w:hAnsiTheme="majorHAnsi"/>
          <w:sz w:val="24"/>
          <w:szCs w:val="24"/>
        </w:rPr>
        <w:t>million) and shared credit ($9 million) are 77% of tax liabilities after credit ($82 million).</w:t>
      </w:r>
      <w:r>
        <w:rPr>
          <w:rFonts w:asciiTheme="majorHAnsi" w:hAnsiTheme="majorHAnsi"/>
          <w:sz w:val="24"/>
          <w:szCs w:val="24"/>
        </w:rPr>
        <w:t xml:space="preserve"> </w:t>
      </w:r>
    </w:p>
    <w:p w14:paraId="6B7CFBC7" w14:textId="77777777" w:rsidR="00E77ACF" w:rsidRDefault="00E77ACF" w:rsidP="00A50858">
      <w:pPr>
        <w:spacing w:after="0"/>
        <w:rPr>
          <w:rFonts w:asciiTheme="majorHAnsi" w:eastAsiaTheme="majorEastAsia" w:hAnsiTheme="majorHAnsi" w:cstheme="majorBidi"/>
          <w:bCs/>
          <w:color w:val="000000" w:themeColor="text1"/>
          <w:sz w:val="24"/>
          <w:szCs w:val="24"/>
        </w:rPr>
      </w:pPr>
    </w:p>
    <w:p w14:paraId="34D3FBBA" w14:textId="77777777" w:rsidR="00CE59EB" w:rsidRDefault="00223B10" w:rsidP="00FD407A">
      <w:pPr>
        <w:spacing w:after="0"/>
        <w:jc w:val="center"/>
        <w:rPr>
          <w:rFonts w:asciiTheme="majorHAnsi" w:hAnsiTheme="majorHAnsi"/>
          <w:b/>
          <w:sz w:val="24"/>
          <w:szCs w:val="24"/>
        </w:rPr>
      </w:pPr>
      <w:r w:rsidRPr="00CA0391">
        <w:rPr>
          <w:rFonts w:asciiTheme="majorHAnsi" w:hAnsiTheme="majorHAnsi"/>
          <w:b/>
          <w:sz w:val="24"/>
          <w:szCs w:val="24"/>
        </w:rPr>
        <w:t xml:space="preserve">Table </w:t>
      </w:r>
      <w:r w:rsidR="00303B9E">
        <w:rPr>
          <w:rFonts w:asciiTheme="majorHAnsi" w:hAnsiTheme="majorHAnsi"/>
          <w:b/>
          <w:sz w:val="24"/>
          <w:szCs w:val="24"/>
        </w:rPr>
        <w:t>5</w:t>
      </w:r>
      <w:r w:rsidRPr="00CA0391">
        <w:rPr>
          <w:rFonts w:asciiTheme="majorHAnsi" w:hAnsiTheme="majorHAnsi"/>
          <w:b/>
          <w:sz w:val="24"/>
          <w:szCs w:val="24"/>
        </w:rPr>
        <w:t xml:space="preserve">. </w:t>
      </w:r>
      <w:r w:rsidR="006E592F">
        <w:rPr>
          <w:rFonts w:asciiTheme="majorHAnsi" w:hAnsiTheme="majorHAnsi"/>
          <w:b/>
          <w:sz w:val="24"/>
          <w:szCs w:val="24"/>
        </w:rPr>
        <w:t>2017 ITC Claims</w:t>
      </w:r>
      <w:r w:rsidR="00CE59EB">
        <w:rPr>
          <w:rFonts w:asciiTheme="majorHAnsi" w:hAnsiTheme="majorHAnsi"/>
          <w:b/>
          <w:sz w:val="24"/>
          <w:szCs w:val="24"/>
        </w:rPr>
        <w:t xml:space="preserve"> by Taxable Income</w:t>
      </w:r>
      <w:r w:rsidR="006E592F">
        <w:rPr>
          <w:rFonts w:asciiTheme="majorHAnsi" w:hAnsiTheme="majorHAnsi"/>
          <w:b/>
          <w:sz w:val="24"/>
          <w:szCs w:val="24"/>
        </w:rPr>
        <w:t xml:space="preserve"> Level</w:t>
      </w:r>
    </w:p>
    <w:tbl>
      <w:tblPr>
        <w:tblW w:w="9517" w:type="dxa"/>
        <w:tblInd w:w="108" w:type="dxa"/>
        <w:tblLook w:val="04A0" w:firstRow="1" w:lastRow="0" w:firstColumn="1" w:lastColumn="0" w:noHBand="0" w:noVBand="1"/>
      </w:tblPr>
      <w:tblGrid>
        <w:gridCol w:w="2317"/>
        <w:gridCol w:w="1440"/>
        <w:gridCol w:w="1170"/>
        <w:gridCol w:w="1080"/>
        <w:gridCol w:w="990"/>
        <w:gridCol w:w="1260"/>
        <w:gridCol w:w="1260"/>
      </w:tblGrid>
      <w:tr w:rsidR="00FD407A" w:rsidRPr="001E6CEC" w14:paraId="1F3E8E1A" w14:textId="77777777" w:rsidTr="00892692">
        <w:trPr>
          <w:trHeight w:val="1150"/>
        </w:trPr>
        <w:tc>
          <w:tcPr>
            <w:tcW w:w="231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436CE0EB"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Taxable Income Range </w:t>
            </w:r>
          </w:p>
        </w:tc>
        <w:tc>
          <w:tcPr>
            <w:tcW w:w="144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42FD62C0"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Tax </w:t>
            </w:r>
            <w:r>
              <w:rPr>
                <w:rFonts w:ascii="Cambria" w:eastAsia="Times New Roman" w:hAnsi="Cambria" w:cs="Helvetica"/>
                <w:color w:val="000000"/>
                <w:sz w:val="18"/>
                <w:szCs w:val="18"/>
                <w:lang w:eastAsia="ko-KR"/>
              </w:rPr>
              <w:t>Liability</w:t>
            </w:r>
            <w:r w:rsidRPr="001E6CEC">
              <w:rPr>
                <w:rFonts w:ascii="Cambria" w:eastAsia="Times New Roman" w:hAnsi="Cambria" w:cs="Helvetica"/>
                <w:color w:val="000000"/>
                <w:sz w:val="18"/>
                <w:szCs w:val="18"/>
                <w:lang w:eastAsia="ko-KR"/>
              </w:rPr>
              <w:t xml:space="preserve"> </w:t>
            </w:r>
            <w:r>
              <w:rPr>
                <w:rFonts w:ascii="Cambria" w:eastAsia="Times New Roman" w:hAnsi="Cambria" w:cs="Helvetica"/>
                <w:color w:val="000000"/>
                <w:sz w:val="18"/>
                <w:szCs w:val="18"/>
                <w:lang w:eastAsia="ko-KR"/>
              </w:rPr>
              <w:t xml:space="preserve">after Credit </w:t>
            </w:r>
            <w:r w:rsidRPr="001E6CEC">
              <w:rPr>
                <w:rFonts w:ascii="Cambria" w:eastAsia="Times New Roman" w:hAnsi="Cambria" w:cs="Helvetica"/>
                <w:color w:val="000000"/>
                <w:sz w:val="18"/>
                <w:szCs w:val="18"/>
                <w:lang w:eastAsia="ko-KR"/>
              </w:rPr>
              <w:t xml:space="preserve">($000) </w:t>
            </w:r>
          </w:p>
        </w:tc>
        <w:tc>
          <w:tcPr>
            <w:tcW w:w="117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0DC22F41"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Claimed Credit ($000) </w:t>
            </w:r>
          </w:p>
        </w:tc>
        <w:tc>
          <w:tcPr>
            <w:tcW w:w="108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6D9B795F"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Shared Credit ($000) </w:t>
            </w:r>
          </w:p>
        </w:tc>
        <w:tc>
          <w:tcPr>
            <w:tcW w:w="99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008C2A86"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Number of Claimants</w:t>
            </w:r>
          </w:p>
        </w:tc>
        <w:tc>
          <w:tcPr>
            <w:tcW w:w="126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1C4817A5"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Percent </w:t>
            </w:r>
            <w:r>
              <w:rPr>
                <w:rFonts w:ascii="Cambria" w:eastAsia="Times New Roman" w:hAnsi="Cambria" w:cs="Helvetica"/>
                <w:color w:val="000000"/>
                <w:sz w:val="18"/>
                <w:szCs w:val="18"/>
                <w:lang w:eastAsia="ko-KR"/>
              </w:rPr>
              <w:t>of Total Number of Claimants</w:t>
            </w:r>
          </w:p>
        </w:tc>
        <w:tc>
          <w:tcPr>
            <w:tcW w:w="126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14BFDAEE"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Tax Saving Per Claimant ($)</w:t>
            </w:r>
          </w:p>
        </w:tc>
      </w:tr>
      <w:tr w:rsidR="00FD407A" w:rsidRPr="001E6CEC" w14:paraId="4794EDC5" w14:textId="77777777" w:rsidTr="00892692">
        <w:trPr>
          <w:trHeight w:val="460"/>
        </w:trPr>
        <w:tc>
          <w:tcPr>
            <w:tcW w:w="2317" w:type="dxa"/>
            <w:tcBorders>
              <w:top w:val="nil"/>
              <w:left w:val="single" w:sz="4" w:space="0" w:color="auto"/>
              <w:bottom w:val="single" w:sz="4" w:space="0" w:color="auto"/>
              <w:right w:val="single" w:sz="4" w:space="0" w:color="auto"/>
            </w:tcBorders>
            <w:shd w:val="clear" w:color="auto" w:fill="auto"/>
            <w:vAlign w:val="center"/>
            <w:hideMark/>
          </w:tcPr>
          <w:p w14:paraId="3DDE4F07" w14:textId="77777777" w:rsidR="00FD407A" w:rsidRPr="001E6CEC" w:rsidRDefault="00FD407A" w:rsidP="00A90779">
            <w:pPr>
              <w:spacing w:after="0" w:line="240" w:lineRule="auto"/>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w:t>
            </w:r>
            <w:r>
              <w:rPr>
                <w:rFonts w:ascii="Cambria" w:eastAsia="Times New Roman" w:hAnsi="Cambria" w:cs="Helvetica"/>
                <w:color w:val="000000"/>
                <w:sz w:val="18"/>
                <w:szCs w:val="18"/>
                <w:lang w:eastAsia="ko-KR"/>
              </w:rPr>
              <w:t>Less than $0</w:t>
            </w:r>
            <w:r w:rsidRPr="001E6CEC">
              <w:rPr>
                <w:rFonts w:ascii="Cambria" w:eastAsia="Times New Roman" w:hAnsi="Cambria" w:cs="Helvetica"/>
                <w:color w:val="000000"/>
                <w:sz w:val="18"/>
                <w:szCs w:val="18"/>
                <w:lang w:eastAsia="ko-KR"/>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148A9DFE"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3,041</w:t>
            </w:r>
          </w:p>
        </w:tc>
        <w:tc>
          <w:tcPr>
            <w:tcW w:w="1170" w:type="dxa"/>
            <w:tcBorders>
              <w:top w:val="nil"/>
              <w:left w:val="nil"/>
              <w:bottom w:val="single" w:sz="4" w:space="0" w:color="auto"/>
              <w:right w:val="single" w:sz="4" w:space="0" w:color="auto"/>
            </w:tcBorders>
            <w:shd w:val="clear" w:color="auto" w:fill="auto"/>
            <w:vAlign w:val="center"/>
            <w:hideMark/>
          </w:tcPr>
          <w:p w14:paraId="24DBDE5C"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4,820</w:t>
            </w:r>
          </w:p>
        </w:tc>
        <w:tc>
          <w:tcPr>
            <w:tcW w:w="1080" w:type="dxa"/>
            <w:tcBorders>
              <w:top w:val="nil"/>
              <w:left w:val="nil"/>
              <w:bottom w:val="single" w:sz="4" w:space="0" w:color="auto"/>
              <w:right w:val="single" w:sz="4" w:space="0" w:color="auto"/>
            </w:tcBorders>
            <w:shd w:val="clear" w:color="auto" w:fill="auto"/>
            <w:vAlign w:val="center"/>
            <w:hideMark/>
          </w:tcPr>
          <w:p w14:paraId="21EE3508"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1,314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4A7543EE" w14:textId="77777777" w:rsidR="00FD407A" w:rsidRPr="001E6CEC" w:rsidRDefault="00FD407A" w:rsidP="00DC5EA1">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480</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0FBBDB01"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22.0%</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34CD6B2A"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12,778</w:t>
            </w:r>
          </w:p>
        </w:tc>
      </w:tr>
      <w:tr w:rsidR="00FD407A" w:rsidRPr="001E6CEC" w14:paraId="45C7D044" w14:textId="77777777" w:rsidTr="00892692">
        <w:trPr>
          <w:trHeight w:val="230"/>
        </w:trPr>
        <w:tc>
          <w:tcPr>
            <w:tcW w:w="2317" w:type="dxa"/>
            <w:tcBorders>
              <w:top w:val="nil"/>
              <w:left w:val="single" w:sz="4" w:space="0" w:color="auto"/>
              <w:bottom w:val="single" w:sz="4" w:space="0" w:color="auto"/>
              <w:right w:val="single" w:sz="4" w:space="0" w:color="auto"/>
            </w:tcBorders>
            <w:shd w:val="clear" w:color="auto" w:fill="auto"/>
            <w:vAlign w:val="center"/>
            <w:hideMark/>
          </w:tcPr>
          <w:p w14:paraId="37726B4B" w14:textId="77777777" w:rsidR="00FD407A" w:rsidRPr="001E6CEC" w:rsidRDefault="00FD407A" w:rsidP="00A90779">
            <w:pPr>
              <w:spacing w:after="0" w:line="240" w:lineRule="auto"/>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w:t>
            </w: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 xml:space="preserve">0 to $9,999 </w:t>
            </w:r>
          </w:p>
        </w:tc>
        <w:tc>
          <w:tcPr>
            <w:tcW w:w="1440" w:type="dxa"/>
            <w:tcBorders>
              <w:top w:val="nil"/>
              <w:left w:val="nil"/>
              <w:bottom w:val="single" w:sz="4" w:space="0" w:color="auto"/>
              <w:right w:val="single" w:sz="4" w:space="0" w:color="auto"/>
            </w:tcBorders>
            <w:shd w:val="clear" w:color="auto" w:fill="auto"/>
            <w:vAlign w:val="center"/>
            <w:hideMark/>
          </w:tcPr>
          <w:p w14:paraId="3B8AF616"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1,541</w:t>
            </w:r>
          </w:p>
        </w:tc>
        <w:tc>
          <w:tcPr>
            <w:tcW w:w="1170" w:type="dxa"/>
            <w:tcBorders>
              <w:top w:val="nil"/>
              <w:left w:val="nil"/>
              <w:bottom w:val="single" w:sz="4" w:space="0" w:color="auto"/>
              <w:right w:val="single" w:sz="4" w:space="0" w:color="auto"/>
            </w:tcBorders>
            <w:shd w:val="clear" w:color="auto" w:fill="auto"/>
            <w:vAlign w:val="center"/>
            <w:hideMark/>
          </w:tcPr>
          <w:p w14:paraId="5D0F7BAA"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12,442</w:t>
            </w:r>
          </w:p>
        </w:tc>
        <w:tc>
          <w:tcPr>
            <w:tcW w:w="1080" w:type="dxa"/>
            <w:tcBorders>
              <w:top w:val="nil"/>
              <w:left w:val="nil"/>
              <w:bottom w:val="single" w:sz="4" w:space="0" w:color="auto"/>
              <w:right w:val="single" w:sz="4" w:space="0" w:color="auto"/>
            </w:tcBorders>
            <w:shd w:val="clear" w:color="auto" w:fill="auto"/>
            <w:vAlign w:val="center"/>
            <w:hideMark/>
          </w:tcPr>
          <w:p w14:paraId="36080226"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5,748</w:t>
            </w:r>
          </w:p>
        </w:tc>
        <w:tc>
          <w:tcPr>
            <w:tcW w:w="990" w:type="dxa"/>
            <w:tcBorders>
              <w:top w:val="nil"/>
              <w:left w:val="nil"/>
              <w:bottom w:val="single" w:sz="4" w:space="0" w:color="auto"/>
              <w:right w:val="single" w:sz="4" w:space="0" w:color="auto"/>
            </w:tcBorders>
            <w:shd w:val="clear" w:color="auto" w:fill="auto"/>
            <w:vAlign w:val="center"/>
            <w:hideMark/>
          </w:tcPr>
          <w:p w14:paraId="6C473A07" w14:textId="77777777" w:rsidR="00FD407A" w:rsidRPr="001E6CEC" w:rsidRDefault="00FD407A" w:rsidP="00DC5EA1">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751</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038A10AA"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34.4%</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62ADEF72"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24,221</w:t>
            </w:r>
          </w:p>
        </w:tc>
      </w:tr>
      <w:tr w:rsidR="00FD407A" w:rsidRPr="001E6CEC" w14:paraId="1007A380" w14:textId="77777777" w:rsidTr="00892692">
        <w:trPr>
          <w:trHeight w:val="460"/>
        </w:trPr>
        <w:tc>
          <w:tcPr>
            <w:tcW w:w="2317" w:type="dxa"/>
            <w:tcBorders>
              <w:top w:val="nil"/>
              <w:left w:val="single" w:sz="4" w:space="0" w:color="auto"/>
              <w:bottom w:val="single" w:sz="4" w:space="0" w:color="auto"/>
              <w:right w:val="single" w:sz="4" w:space="0" w:color="auto"/>
            </w:tcBorders>
            <w:shd w:val="clear" w:color="auto" w:fill="auto"/>
            <w:vAlign w:val="center"/>
            <w:hideMark/>
          </w:tcPr>
          <w:p w14:paraId="1D8D911B" w14:textId="77777777" w:rsidR="00FD407A" w:rsidRPr="001E6CEC" w:rsidRDefault="00FD407A" w:rsidP="00A90779">
            <w:pPr>
              <w:spacing w:after="0" w:line="240" w:lineRule="auto"/>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$10,000 to $99,999 </w:t>
            </w:r>
          </w:p>
        </w:tc>
        <w:tc>
          <w:tcPr>
            <w:tcW w:w="1440" w:type="dxa"/>
            <w:tcBorders>
              <w:top w:val="nil"/>
              <w:left w:val="nil"/>
              <w:bottom w:val="single" w:sz="4" w:space="0" w:color="auto"/>
              <w:right w:val="single" w:sz="4" w:space="0" w:color="auto"/>
            </w:tcBorders>
            <w:shd w:val="clear" w:color="auto" w:fill="auto"/>
            <w:vAlign w:val="center"/>
            <w:hideMark/>
          </w:tcPr>
          <w:p w14:paraId="5B046876"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515</w:t>
            </w:r>
          </w:p>
        </w:tc>
        <w:tc>
          <w:tcPr>
            <w:tcW w:w="1170" w:type="dxa"/>
            <w:tcBorders>
              <w:top w:val="nil"/>
              <w:left w:val="nil"/>
              <w:bottom w:val="single" w:sz="4" w:space="0" w:color="auto"/>
              <w:right w:val="single" w:sz="4" w:space="0" w:color="auto"/>
            </w:tcBorders>
            <w:shd w:val="clear" w:color="auto" w:fill="auto"/>
            <w:vAlign w:val="center"/>
            <w:hideMark/>
          </w:tcPr>
          <w:p w14:paraId="532864C9"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4,226</w:t>
            </w:r>
          </w:p>
        </w:tc>
        <w:tc>
          <w:tcPr>
            <w:tcW w:w="1080" w:type="dxa"/>
            <w:tcBorders>
              <w:top w:val="nil"/>
              <w:left w:val="nil"/>
              <w:bottom w:val="single" w:sz="4" w:space="0" w:color="auto"/>
              <w:right w:val="single" w:sz="4" w:space="0" w:color="auto"/>
            </w:tcBorders>
            <w:shd w:val="clear" w:color="auto" w:fill="auto"/>
            <w:vAlign w:val="center"/>
            <w:hideMark/>
          </w:tcPr>
          <w:p w14:paraId="4FAF5EC4"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330</w:t>
            </w:r>
          </w:p>
        </w:tc>
        <w:tc>
          <w:tcPr>
            <w:tcW w:w="990" w:type="dxa"/>
            <w:tcBorders>
              <w:top w:val="nil"/>
              <w:left w:val="nil"/>
              <w:bottom w:val="single" w:sz="4" w:space="0" w:color="auto"/>
              <w:right w:val="single" w:sz="4" w:space="0" w:color="auto"/>
            </w:tcBorders>
            <w:shd w:val="clear" w:color="auto" w:fill="auto"/>
            <w:vAlign w:val="center"/>
            <w:hideMark/>
          </w:tcPr>
          <w:p w14:paraId="15D366B0" w14:textId="77777777" w:rsidR="00FD407A" w:rsidRPr="001E6CEC" w:rsidRDefault="00FD407A" w:rsidP="00DC5EA1">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152</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6A172D79"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7.0%</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16387C5C"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29,970</w:t>
            </w:r>
          </w:p>
        </w:tc>
      </w:tr>
      <w:tr w:rsidR="00FD407A" w:rsidRPr="001E6CEC" w14:paraId="19129761" w14:textId="77777777" w:rsidTr="00892692">
        <w:trPr>
          <w:trHeight w:val="460"/>
        </w:trPr>
        <w:tc>
          <w:tcPr>
            <w:tcW w:w="2317" w:type="dxa"/>
            <w:tcBorders>
              <w:top w:val="nil"/>
              <w:left w:val="single" w:sz="4" w:space="0" w:color="auto"/>
              <w:bottom w:val="single" w:sz="4" w:space="0" w:color="auto"/>
              <w:right w:val="single" w:sz="4" w:space="0" w:color="auto"/>
            </w:tcBorders>
            <w:shd w:val="clear" w:color="auto" w:fill="auto"/>
            <w:vAlign w:val="center"/>
            <w:hideMark/>
          </w:tcPr>
          <w:p w14:paraId="10182352" w14:textId="77777777" w:rsidR="00FD407A" w:rsidRPr="001E6CEC" w:rsidRDefault="00FD407A" w:rsidP="00A90779">
            <w:pPr>
              <w:spacing w:after="0" w:line="240" w:lineRule="auto"/>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$100,000 to $999,999 </w:t>
            </w:r>
          </w:p>
        </w:tc>
        <w:tc>
          <w:tcPr>
            <w:tcW w:w="1440" w:type="dxa"/>
            <w:tcBorders>
              <w:top w:val="nil"/>
              <w:left w:val="nil"/>
              <w:bottom w:val="single" w:sz="4" w:space="0" w:color="auto"/>
              <w:right w:val="single" w:sz="4" w:space="0" w:color="auto"/>
            </w:tcBorders>
            <w:shd w:val="clear" w:color="auto" w:fill="auto"/>
            <w:vAlign w:val="center"/>
            <w:hideMark/>
          </w:tcPr>
          <w:p w14:paraId="090FAEA6"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7,804</w:t>
            </w:r>
          </w:p>
        </w:tc>
        <w:tc>
          <w:tcPr>
            <w:tcW w:w="1170" w:type="dxa"/>
            <w:tcBorders>
              <w:top w:val="nil"/>
              <w:left w:val="nil"/>
              <w:bottom w:val="single" w:sz="4" w:space="0" w:color="auto"/>
              <w:right w:val="single" w:sz="4" w:space="0" w:color="auto"/>
            </w:tcBorders>
            <w:shd w:val="clear" w:color="auto" w:fill="auto"/>
            <w:vAlign w:val="center"/>
            <w:hideMark/>
          </w:tcPr>
          <w:p w14:paraId="39ABD013"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4,892</w:t>
            </w:r>
          </w:p>
        </w:tc>
        <w:tc>
          <w:tcPr>
            <w:tcW w:w="1080" w:type="dxa"/>
            <w:tcBorders>
              <w:top w:val="nil"/>
              <w:left w:val="nil"/>
              <w:bottom w:val="single" w:sz="4" w:space="0" w:color="auto"/>
              <w:right w:val="single" w:sz="4" w:space="0" w:color="auto"/>
            </w:tcBorders>
            <w:shd w:val="clear" w:color="auto" w:fill="auto"/>
            <w:vAlign w:val="center"/>
            <w:hideMark/>
          </w:tcPr>
          <w:p w14:paraId="0F5A4478"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829</w:t>
            </w:r>
          </w:p>
        </w:tc>
        <w:tc>
          <w:tcPr>
            <w:tcW w:w="990" w:type="dxa"/>
            <w:tcBorders>
              <w:top w:val="nil"/>
              <w:left w:val="nil"/>
              <w:bottom w:val="single" w:sz="4" w:space="0" w:color="auto"/>
              <w:right w:val="single" w:sz="4" w:space="0" w:color="auto"/>
            </w:tcBorders>
            <w:shd w:val="clear" w:color="auto" w:fill="auto"/>
            <w:vAlign w:val="center"/>
            <w:hideMark/>
          </w:tcPr>
          <w:p w14:paraId="150161B9" w14:textId="77777777" w:rsidR="00FD407A" w:rsidRPr="001E6CEC" w:rsidRDefault="00FD407A" w:rsidP="00DC5EA1">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417</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710EBD89"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19.1%</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5D8A2DF9"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13,718</w:t>
            </w:r>
          </w:p>
        </w:tc>
      </w:tr>
      <w:tr w:rsidR="00FD407A" w:rsidRPr="001E6CEC" w14:paraId="74900BAF" w14:textId="77777777" w:rsidTr="00892692">
        <w:trPr>
          <w:trHeight w:val="460"/>
        </w:trPr>
        <w:tc>
          <w:tcPr>
            <w:tcW w:w="2317" w:type="dxa"/>
            <w:tcBorders>
              <w:top w:val="nil"/>
              <w:left w:val="single" w:sz="4" w:space="0" w:color="auto"/>
              <w:bottom w:val="single" w:sz="4" w:space="0" w:color="auto"/>
              <w:right w:val="single" w:sz="4" w:space="0" w:color="auto"/>
            </w:tcBorders>
            <w:shd w:val="clear" w:color="auto" w:fill="auto"/>
            <w:vAlign w:val="center"/>
            <w:hideMark/>
          </w:tcPr>
          <w:p w14:paraId="7946299E" w14:textId="77777777" w:rsidR="00FD407A" w:rsidRPr="001E6CEC" w:rsidRDefault="00FD407A" w:rsidP="00A90779">
            <w:pPr>
              <w:spacing w:after="0" w:line="240" w:lineRule="auto"/>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$1,000,000 to $9,999,999 </w:t>
            </w:r>
          </w:p>
        </w:tc>
        <w:tc>
          <w:tcPr>
            <w:tcW w:w="1440" w:type="dxa"/>
            <w:tcBorders>
              <w:top w:val="nil"/>
              <w:left w:val="nil"/>
              <w:bottom w:val="single" w:sz="4" w:space="0" w:color="auto"/>
              <w:right w:val="single" w:sz="4" w:space="0" w:color="auto"/>
            </w:tcBorders>
            <w:shd w:val="clear" w:color="auto" w:fill="auto"/>
            <w:vAlign w:val="center"/>
            <w:hideMark/>
          </w:tcPr>
          <w:p w14:paraId="13B79A3F"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38,012</w:t>
            </w:r>
          </w:p>
        </w:tc>
        <w:tc>
          <w:tcPr>
            <w:tcW w:w="1170" w:type="dxa"/>
            <w:tcBorders>
              <w:top w:val="nil"/>
              <w:left w:val="nil"/>
              <w:bottom w:val="single" w:sz="4" w:space="0" w:color="auto"/>
              <w:right w:val="single" w:sz="4" w:space="0" w:color="auto"/>
            </w:tcBorders>
            <w:shd w:val="clear" w:color="auto" w:fill="auto"/>
            <w:vAlign w:val="center"/>
            <w:hideMark/>
          </w:tcPr>
          <w:p w14:paraId="05A52281"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15,298</w:t>
            </w:r>
          </w:p>
        </w:tc>
        <w:tc>
          <w:tcPr>
            <w:tcW w:w="1080" w:type="dxa"/>
            <w:tcBorders>
              <w:top w:val="nil"/>
              <w:left w:val="nil"/>
              <w:bottom w:val="single" w:sz="4" w:space="0" w:color="auto"/>
              <w:right w:val="single" w:sz="4" w:space="0" w:color="auto"/>
            </w:tcBorders>
            <w:shd w:val="clear" w:color="auto" w:fill="auto"/>
            <w:vAlign w:val="center"/>
            <w:hideMark/>
          </w:tcPr>
          <w:p w14:paraId="2B296A82"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427</w:t>
            </w:r>
          </w:p>
        </w:tc>
        <w:tc>
          <w:tcPr>
            <w:tcW w:w="990" w:type="dxa"/>
            <w:tcBorders>
              <w:top w:val="nil"/>
              <w:left w:val="nil"/>
              <w:bottom w:val="single" w:sz="4" w:space="0" w:color="auto"/>
              <w:right w:val="single" w:sz="4" w:space="0" w:color="auto"/>
            </w:tcBorders>
            <w:shd w:val="clear" w:color="auto" w:fill="auto"/>
            <w:vAlign w:val="center"/>
            <w:hideMark/>
          </w:tcPr>
          <w:p w14:paraId="6EE7C72E" w14:textId="77777777" w:rsidR="00FD407A" w:rsidRPr="001E6CEC" w:rsidRDefault="00FD407A" w:rsidP="00DC5EA1">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336</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4CD11444"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15.4%</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0C03458E"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46,799</w:t>
            </w:r>
          </w:p>
        </w:tc>
      </w:tr>
      <w:tr w:rsidR="00FD407A" w:rsidRPr="001E6CEC" w14:paraId="69A6FD85" w14:textId="77777777" w:rsidTr="00892692">
        <w:trPr>
          <w:trHeight w:val="460"/>
        </w:trPr>
        <w:tc>
          <w:tcPr>
            <w:tcW w:w="2317" w:type="dxa"/>
            <w:tcBorders>
              <w:top w:val="nil"/>
              <w:left w:val="single" w:sz="4" w:space="0" w:color="auto"/>
              <w:bottom w:val="single" w:sz="4" w:space="0" w:color="auto"/>
              <w:right w:val="single" w:sz="4" w:space="0" w:color="auto"/>
            </w:tcBorders>
            <w:shd w:val="clear" w:color="auto" w:fill="auto"/>
            <w:vAlign w:val="center"/>
            <w:hideMark/>
          </w:tcPr>
          <w:p w14:paraId="551D3421" w14:textId="77777777" w:rsidR="00FD407A" w:rsidRPr="001E6CEC" w:rsidRDefault="00FD407A" w:rsidP="00A90779">
            <w:pPr>
              <w:spacing w:after="0" w:line="240" w:lineRule="auto"/>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$10,000,000 or more </w:t>
            </w:r>
          </w:p>
        </w:tc>
        <w:tc>
          <w:tcPr>
            <w:tcW w:w="1440" w:type="dxa"/>
            <w:tcBorders>
              <w:top w:val="nil"/>
              <w:left w:val="nil"/>
              <w:bottom w:val="single" w:sz="4" w:space="0" w:color="auto"/>
              <w:right w:val="single" w:sz="4" w:space="0" w:color="auto"/>
            </w:tcBorders>
            <w:shd w:val="clear" w:color="auto" w:fill="auto"/>
            <w:vAlign w:val="center"/>
            <w:hideMark/>
          </w:tcPr>
          <w:p w14:paraId="5C65C40E"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31,079</w:t>
            </w:r>
          </w:p>
        </w:tc>
        <w:tc>
          <w:tcPr>
            <w:tcW w:w="1170" w:type="dxa"/>
            <w:tcBorders>
              <w:top w:val="nil"/>
              <w:left w:val="nil"/>
              <w:bottom w:val="single" w:sz="4" w:space="0" w:color="auto"/>
              <w:right w:val="single" w:sz="4" w:space="0" w:color="auto"/>
            </w:tcBorders>
            <w:shd w:val="clear" w:color="auto" w:fill="auto"/>
            <w:vAlign w:val="center"/>
            <w:hideMark/>
          </w:tcPr>
          <w:p w14:paraId="471F46C5"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12,282</w:t>
            </w:r>
          </w:p>
        </w:tc>
        <w:tc>
          <w:tcPr>
            <w:tcW w:w="1080" w:type="dxa"/>
            <w:tcBorders>
              <w:top w:val="nil"/>
              <w:left w:val="nil"/>
              <w:bottom w:val="single" w:sz="4" w:space="0" w:color="auto"/>
              <w:right w:val="single" w:sz="4" w:space="0" w:color="auto"/>
            </w:tcBorders>
            <w:shd w:val="clear" w:color="auto" w:fill="auto"/>
            <w:vAlign w:val="center"/>
            <w:hideMark/>
          </w:tcPr>
          <w:p w14:paraId="15EACCCF"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493</w:t>
            </w:r>
          </w:p>
        </w:tc>
        <w:tc>
          <w:tcPr>
            <w:tcW w:w="990" w:type="dxa"/>
            <w:tcBorders>
              <w:top w:val="nil"/>
              <w:left w:val="nil"/>
              <w:bottom w:val="single" w:sz="4" w:space="0" w:color="auto"/>
              <w:right w:val="single" w:sz="4" w:space="0" w:color="auto"/>
            </w:tcBorders>
            <w:shd w:val="clear" w:color="auto" w:fill="auto"/>
            <w:vAlign w:val="center"/>
            <w:hideMark/>
          </w:tcPr>
          <w:p w14:paraId="6BBFE17C" w14:textId="77777777" w:rsidR="00FD407A" w:rsidRPr="001E6CEC" w:rsidRDefault="00FD407A" w:rsidP="00DC5EA1">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28</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3B3A4C68"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1.3%</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4691FD16"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456,234</w:t>
            </w:r>
          </w:p>
        </w:tc>
      </w:tr>
      <w:tr w:rsidR="00FD407A" w:rsidRPr="001E6CEC" w14:paraId="4BD87515" w14:textId="77777777" w:rsidTr="00892692">
        <w:trPr>
          <w:trHeight w:val="230"/>
        </w:trPr>
        <w:tc>
          <w:tcPr>
            <w:tcW w:w="2317" w:type="dxa"/>
            <w:tcBorders>
              <w:top w:val="nil"/>
              <w:left w:val="single" w:sz="4" w:space="0" w:color="auto"/>
              <w:bottom w:val="single" w:sz="4" w:space="0" w:color="auto"/>
              <w:right w:val="single" w:sz="4" w:space="0" w:color="auto"/>
            </w:tcBorders>
            <w:shd w:val="clear" w:color="auto" w:fill="auto"/>
            <w:vAlign w:val="center"/>
            <w:hideMark/>
          </w:tcPr>
          <w:p w14:paraId="4658D0ED" w14:textId="77777777" w:rsidR="00FD407A" w:rsidRPr="001E6CEC" w:rsidRDefault="00FD407A" w:rsidP="00A90779">
            <w:pPr>
              <w:spacing w:after="0" w:line="240" w:lineRule="auto"/>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Unmatched</w:t>
            </w: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5853E65E"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N.A.</w:t>
            </w:r>
          </w:p>
        </w:tc>
        <w:tc>
          <w:tcPr>
            <w:tcW w:w="1170" w:type="dxa"/>
            <w:tcBorders>
              <w:top w:val="nil"/>
              <w:left w:val="nil"/>
              <w:bottom w:val="single" w:sz="4" w:space="0" w:color="auto"/>
              <w:right w:val="single" w:sz="4" w:space="0" w:color="auto"/>
            </w:tcBorders>
            <w:shd w:val="clear" w:color="auto" w:fill="auto"/>
            <w:vAlign w:val="center"/>
            <w:hideMark/>
          </w:tcPr>
          <w:p w14:paraId="25B98EEC"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196</w:t>
            </w:r>
          </w:p>
        </w:tc>
        <w:tc>
          <w:tcPr>
            <w:tcW w:w="1080" w:type="dxa"/>
            <w:tcBorders>
              <w:top w:val="nil"/>
              <w:left w:val="nil"/>
              <w:bottom w:val="single" w:sz="4" w:space="0" w:color="auto"/>
              <w:right w:val="single" w:sz="4" w:space="0" w:color="auto"/>
            </w:tcBorders>
            <w:shd w:val="clear" w:color="auto" w:fill="auto"/>
            <w:vAlign w:val="center"/>
            <w:hideMark/>
          </w:tcPr>
          <w:p w14:paraId="5AACC75A"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w:t>
            </w:r>
          </w:p>
        </w:tc>
        <w:tc>
          <w:tcPr>
            <w:tcW w:w="990" w:type="dxa"/>
            <w:tcBorders>
              <w:top w:val="nil"/>
              <w:left w:val="nil"/>
              <w:bottom w:val="single" w:sz="4" w:space="0" w:color="auto"/>
              <w:right w:val="single" w:sz="4" w:space="0" w:color="auto"/>
            </w:tcBorders>
            <w:shd w:val="clear" w:color="auto" w:fill="auto"/>
            <w:vAlign w:val="center"/>
            <w:hideMark/>
          </w:tcPr>
          <w:p w14:paraId="3168BCCF" w14:textId="77777777" w:rsidR="00FD407A" w:rsidRPr="001E6CEC" w:rsidRDefault="00FD407A" w:rsidP="00DC5EA1">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17</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1A20275F"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0.8%</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5E9316A4"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11,556</w:t>
            </w:r>
          </w:p>
        </w:tc>
      </w:tr>
      <w:tr w:rsidR="00FD407A" w:rsidRPr="001E6CEC" w14:paraId="566C3E28" w14:textId="77777777" w:rsidTr="00892692">
        <w:trPr>
          <w:trHeight w:val="460"/>
        </w:trPr>
        <w:tc>
          <w:tcPr>
            <w:tcW w:w="2317" w:type="dxa"/>
            <w:tcBorders>
              <w:top w:val="nil"/>
              <w:left w:val="single" w:sz="4" w:space="0" w:color="auto"/>
              <w:bottom w:val="single" w:sz="4" w:space="0" w:color="auto"/>
              <w:right w:val="single" w:sz="4" w:space="0" w:color="auto"/>
            </w:tcBorders>
            <w:shd w:val="clear" w:color="auto" w:fill="auto"/>
            <w:vAlign w:val="center"/>
            <w:hideMark/>
          </w:tcPr>
          <w:p w14:paraId="4A1088DC" w14:textId="77777777" w:rsidR="00FD407A" w:rsidRPr="001E6CEC" w:rsidRDefault="00FD407A" w:rsidP="00A90779">
            <w:pPr>
              <w:spacing w:after="0" w:line="240" w:lineRule="auto"/>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Total or average </w:t>
            </w:r>
          </w:p>
        </w:tc>
        <w:tc>
          <w:tcPr>
            <w:tcW w:w="1440" w:type="dxa"/>
            <w:tcBorders>
              <w:top w:val="nil"/>
              <w:left w:val="nil"/>
              <w:bottom w:val="single" w:sz="4" w:space="0" w:color="auto"/>
              <w:right w:val="single" w:sz="4" w:space="0" w:color="auto"/>
            </w:tcBorders>
            <w:shd w:val="clear" w:color="auto" w:fill="auto"/>
            <w:vAlign w:val="center"/>
            <w:hideMark/>
          </w:tcPr>
          <w:p w14:paraId="775F3EC7"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81,992</w:t>
            </w:r>
          </w:p>
        </w:tc>
        <w:tc>
          <w:tcPr>
            <w:tcW w:w="1170" w:type="dxa"/>
            <w:tcBorders>
              <w:top w:val="nil"/>
              <w:left w:val="nil"/>
              <w:bottom w:val="single" w:sz="4" w:space="0" w:color="auto"/>
              <w:right w:val="single" w:sz="4" w:space="0" w:color="auto"/>
            </w:tcBorders>
            <w:shd w:val="clear" w:color="auto" w:fill="auto"/>
            <w:vAlign w:val="center"/>
            <w:hideMark/>
          </w:tcPr>
          <w:p w14:paraId="1BF856D9"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54,155</w:t>
            </w:r>
          </w:p>
        </w:tc>
        <w:tc>
          <w:tcPr>
            <w:tcW w:w="1080" w:type="dxa"/>
            <w:tcBorders>
              <w:top w:val="nil"/>
              <w:left w:val="nil"/>
              <w:bottom w:val="single" w:sz="4" w:space="0" w:color="auto"/>
              <w:right w:val="single" w:sz="4" w:space="0" w:color="auto"/>
            </w:tcBorders>
            <w:shd w:val="clear" w:color="auto" w:fill="auto"/>
            <w:vAlign w:val="center"/>
            <w:hideMark/>
          </w:tcPr>
          <w:p w14:paraId="212894BB"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9,140</w:t>
            </w:r>
          </w:p>
        </w:tc>
        <w:tc>
          <w:tcPr>
            <w:tcW w:w="990" w:type="dxa"/>
            <w:tcBorders>
              <w:top w:val="nil"/>
              <w:left w:val="nil"/>
              <w:bottom w:val="single" w:sz="4" w:space="0" w:color="auto"/>
              <w:right w:val="single" w:sz="4" w:space="0" w:color="auto"/>
            </w:tcBorders>
            <w:shd w:val="clear" w:color="auto" w:fill="auto"/>
            <w:vAlign w:val="center"/>
            <w:hideMark/>
          </w:tcPr>
          <w:p w14:paraId="2CDE91DE"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2,181</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718EB382"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100.0%</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0A897578" w14:textId="77777777" w:rsidR="00FD407A" w:rsidRPr="001E6CEC" w:rsidRDefault="00FD407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29,021</w:t>
            </w:r>
          </w:p>
        </w:tc>
      </w:tr>
    </w:tbl>
    <w:p w14:paraId="11995BE7" w14:textId="77777777" w:rsidR="00FD407A" w:rsidRPr="00A46860" w:rsidRDefault="00FD407A" w:rsidP="00FD407A">
      <w:pPr>
        <w:tabs>
          <w:tab w:val="left" w:pos="7050"/>
        </w:tabs>
        <w:spacing w:after="0"/>
        <w:rPr>
          <w:rFonts w:asciiTheme="majorHAnsi" w:hAnsiTheme="majorHAnsi"/>
          <w:b/>
          <w:sz w:val="20"/>
          <w:szCs w:val="20"/>
        </w:rPr>
      </w:pPr>
      <w:r w:rsidRPr="00A46860">
        <w:rPr>
          <w:rFonts w:asciiTheme="majorHAnsi" w:eastAsiaTheme="majorEastAsia" w:hAnsiTheme="majorHAnsi" w:cstheme="majorBidi"/>
          <w:bCs/>
          <w:color w:val="000000" w:themeColor="text1"/>
          <w:sz w:val="20"/>
          <w:szCs w:val="20"/>
        </w:rPr>
        <w:t>Source: Department of Revenue (2017</w:t>
      </w:r>
      <w:r>
        <w:rPr>
          <w:rFonts w:asciiTheme="majorHAnsi" w:eastAsiaTheme="majorEastAsia" w:hAnsiTheme="majorHAnsi" w:cstheme="majorBidi"/>
          <w:bCs/>
          <w:color w:val="000000" w:themeColor="text1"/>
          <w:sz w:val="20"/>
          <w:szCs w:val="20"/>
        </w:rPr>
        <w:t xml:space="preserve"> tax return</w:t>
      </w:r>
      <w:r w:rsidRPr="00A46860">
        <w:rPr>
          <w:rFonts w:asciiTheme="majorHAnsi" w:eastAsiaTheme="majorEastAsia" w:hAnsiTheme="majorHAnsi" w:cstheme="majorBidi"/>
          <w:bCs/>
          <w:color w:val="000000" w:themeColor="text1"/>
          <w:sz w:val="20"/>
          <w:szCs w:val="20"/>
        </w:rPr>
        <w:t>)</w:t>
      </w:r>
    </w:p>
    <w:p w14:paraId="43675874" w14:textId="77777777" w:rsidR="00FD407A" w:rsidRDefault="00FD407A" w:rsidP="00FD407A">
      <w:pPr>
        <w:tabs>
          <w:tab w:val="left" w:pos="7050"/>
        </w:tabs>
        <w:spacing w:after="0"/>
        <w:rPr>
          <w:rFonts w:asciiTheme="majorHAnsi" w:eastAsiaTheme="majorEastAsia" w:hAnsiTheme="majorHAnsi" w:cstheme="majorBidi"/>
          <w:bCs/>
          <w:color w:val="000000" w:themeColor="text1"/>
          <w:sz w:val="20"/>
          <w:szCs w:val="20"/>
        </w:rPr>
      </w:pPr>
      <w:r>
        <w:rPr>
          <w:rFonts w:asciiTheme="majorHAnsi" w:eastAsiaTheme="majorEastAsia" w:hAnsiTheme="majorHAnsi" w:cstheme="majorBidi"/>
          <w:bCs/>
          <w:color w:val="000000" w:themeColor="text1"/>
          <w:sz w:val="20"/>
          <w:szCs w:val="20"/>
        </w:rPr>
        <w:lastRenderedPageBreak/>
        <w:t xml:space="preserve">Notes: 1. *Unmatched means that we could not find some taxpayers in one or more of data sets to match. </w:t>
      </w:r>
    </w:p>
    <w:p w14:paraId="6EB92212" w14:textId="77777777" w:rsidR="00FD407A" w:rsidRPr="001A4FD6" w:rsidRDefault="00FD407A" w:rsidP="00FD407A">
      <w:pPr>
        <w:tabs>
          <w:tab w:val="left" w:pos="7050"/>
        </w:tabs>
        <w:spacing w:after="0"/>
        <w:rPr>
          <w:rFonts w:asciiTheme="majorHAnsi" w:eastAsiaTheme="majorEastAsia" w:hAnsiTheme="majorHAnsi" w:cstheme="majorBidi"/>
          <w:bCs/>
          <w:color w:val="000000" w:themeColor="text1"/>
          <w:sz w:val="20"/>
          <w:szCs w:val="20"/>
        </w:rPr>
      </w:pPr>
      <w:r>
        <w:rPr>
          <w:rFonts w:asciiTheme="majorHAnsi" w:eastAsiaTheme="majorEastAsia" w:hAnsiTheme="majorHAnsi" w:cstheme="majorBidi"/>
          <w:bCs/>
          <w:color w:val="000000" w:themeColor="text1"/>
          <w:sz w:val="20"/>
          <w:szCs w:val="20"/>
        </w:rPr>
        <w:t xml:space="preserve">             2. </w:t>
      </w:r>
      <w:r w:rsidRPr="00B84E97">
        <w:rPr>
          <w:rFonts w:asciiTheme="majorHAnsi" w:eastAsiaTheme="majorEastAsia" w:hAnsiTheme="majorHAnsi" w:cstheme="majorBidi"/>
          <w:bCs/>
          <w:color w:val="000000" w:themeColor="text1"/>
          <w:sz w:val="20"/>
          <w:szCs w:val="20"/>
        </w:rPr>
        <w:t xml:space="preserve">The data are preliminary and subject to </w:t>
      </w:r>
      <w:r>
        <w:rPr>
          <w:rFonts w:asciiTheme="majorHAnsi" w:eastAsiaTheme="majorEastAsia" w:hAnsiTheme="majorHAnsi" w:cstheme="majorBidi"/>
          <w:bCs/>
          <w:color w:val="000000" w:themeColor="text1"/>
          <w:sz w:val="20"/>
          <w:szCs w:val="20"/>
        </w:rPr>
        <w:t>change</w:t>
      </w:r>
    </w:p>
    <w:p w14:paraId="3C26D028" w14:textId="77777777" w:rsidR="00291074" w:rsidRDefault="00291074" w:rsidP="00291074">
      <w:pPr>
        <w:tabs>
          <w:tab w:val="left" w:pos="7050"/>
        </w:tabs>
        <w:spacing w:after="0"/>
        <w:rPr>
          <w:rFonts w:asciiTheme="majorHAnsi" w:hAnsiTheme="majorHAnsi"/>
          <w:b/>
          <w:sz w:val="24"/>
          <w:szCs w:val="24"/>
        </w:rPr>
      </w:pPr>
    </w:p>
    <w:p w14:paraId="380C56EA" w14:textId="63537F50" w:rsidR="00223B10" w:rsidRDefault="00223B10" w:rsidP="00B31D5A">
      <w:pPr>
        <w:spacing w:after="0"/>
        <w:jc w:val="center"/>
        <w:rPr>
          <w:rFonts w:asciiTheme="majorHAnsi" w:hAnsiTheme="majorHAnsi"/>
          <w:b/>
          <w:sz w:val="24"/>
          <w:szCs w:val="24"/>
        </w:rPr>
      </w:pPr>
      <w:r w:rsidRPr="00CA0391">
        <w:rPr>
          <w:rFonts w:asciiTheme="majorHAnsi" w:hAnsiTheme="majorHAnsi"/>
          <w:b/>
          <w:sz w:val="24"/>
          <w:szCs w:val="24"/>
        </w:rPr>
        <w:t xml:space="preserve">Table </w:t>
      </w:r>
      <w:r w:rsidR="00303B9E">
        <w:rPr>
          <w:rFonts w:asciiTheme="majorHAnsi" w:hAnsiTheme="majorHAnsi"/>
          <w:b/>
          <w:sz w:val="24"/>
          <w:szCs w:val="24"/>
        </w:rPr>
        <w:t>6</w:t>
      </w:r>
      <w:r w:rsidRPr="00CA0391">
        <w:rPr>
          <w:rFonts w:asciiTheme="majorHAnsi" w:hAnsiTheme="majorHAnsi"/>
          <w:b/>
          <w:sz w:val="24"/>
          <w:szCs w:val="24"/>
        </w:rPr>
        <w:t xml:space="preserve">. </w:t>
      </w:r>
      <w:r w:rsidR="006E592F">
        <w:rPr>
          <w:rFonts w:asciiTheme="majorHAnsi" w:hAnsiTheme="majorHAnsi"/>
          <w:b/>
          <w:sz w:val="24"/>
          <w:szCs w:val="24"/>
        </w:rPr>
        <w:t>2017 ITC Claims</w:t>
      </w:r>
      <w:r w:rsidR="00CE59EB">
        <w:rPr>
          <w:rFonts w:asciiTheme="majorHAnsi" w:hAnsiTheme="majorHAnsi"/>
          <w:b/>
          <w:sz w:val="24"/>
          <w:szCs w:val="24"/>
        </w:rPr>
        <w:t xml:space="preserve"> by </w:t>
      </w:r>
      <w:r w:rsidR="003A6C72">
        <w:rPr>
          <w:rFonts w:asciiTheme="majorHAnsi" w:hAnsiTheme="majorHAnsi"/>
          <w:b/>
          <w:sz w:val="24"/>
          <w:szCs w:val="24"/>
        </w:rPr>
        <w:t xml:space="preserve">Taxpayer Size </w:t>
      </w:r>
      <w:r w:rsidR="00D44B74">
        <w:rPr>
          <w:rFonts w:asciiTheme="majorHAnsi" w:hAnsiTheme="majorHAnsi"/>
          <w:b/>
          <w:sz w:val="24"/>
          <w:szCs w:val="24"/>
        </w:rPr>
        <w:t>(</w:t>
      </w:r>
      <w:r w:rsidR="006E592F">
        <w:rPr>
          <w:rFonts w:asciiTheme="majorHAnsi" w:hAnsiTheme="majorHAnsi"/>
          <w:b/>
          <w:sz w:val="24"/>
          <w:szCs w:val="24"/>
        </w:rPr>
        <w:t>Number</w:t>
      </w:r>
      <w:r w:rsidR="00CE59EB">
        <w:rPr>
          <w:rFonts w:asciiTheme="majorHAnsi" w:hAnsiTheme="majorHAnsi"/>
          <w:b/>
          <w:sz w:val="24"/>
          <w:szCs w:val="24"/>
        </w:rPr>
        <w:t xml:space="preserve"> of Employees</w:t>
      </w:r>
      <w:r w:rsidR="00D44B74">
        <w:rPr>
          <w:rFonts w:asciiTheme="majorHAnsi" w:hAnsiTheme="majorHAnsi"/>
          <w:b/>
          <w:sz w:val="24"/>
          <w:szCs w:val="24"/>
        </w:rPr>
        <w:t>)</w:t>
      </w:r>
    </w:p>
    <w:tbl>
      <w:tblPr>
        <w:tblW w:w="9517" w:type="dxa"/>
        <w:tblInd w:w="108" w:type="dxa"/>
        <w:tblLayout w:type="fixed"/>
        <w:tblLook w:val="04A0" w:firstRow="1" w:lastRow="0" w:firstColumn="1" w:lastColumn="0" w:noHBand="0" w:noVBand="1"/>
      </w:tblPr>
      <w:tblGrid>
        <w:gridCol w:w="2317"/>
        <w:gridCol w:w="1440"/>
        <w:gridCol w:w="1170"/>
        <w:gridCol w:w="1080"/>
        <w:gridCol w:w="990"/>
        <w:gridCol w:w="1260"/>
        <w:gridCol w:w="1260"/>
      </w:tblGrid>
      <w:tr w:rsidR="00B31D5A" w:rsidRPr="001E6CEC" w14:paraId="31A8D32B" w14:textId="77777777" w:rsidTr="00892692">
        <w:trPr>
          <w:trHeight w:val="1150"/>
        </w:trPr>
        <w:tc>
          <w:tcPr>
            <w:tcW w:w="231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4C6F1451"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Employees Range </w:t>
            </w:r>
          </w:p>
        </w:tc>
        <w:tc>
          <w:tcPr>
            <w:tcW w:w="144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5C6B41F0"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Tax </w:t>
            </w:r>
            <w:r>
              <w:rPr>
                <w:rFonts w:ascii="Cambria" w:eastAsia="Times New Roman" w:hAnsi="Cambria" w:cs="Helvetica"/>
                <w:color w:val="000000"/>
                <w:sz w:val="18"/>
                <w:szCs w:val="18"/>
                <w:lang w:eastAsia="ko-KR"/>
              </w:rPr>
              <w:t xml:space="preserve">Liability after Credit </w:t>
            </w:r>
            <w:r w:rsidRPr="001E6CEC">
              <w:rPr>
                <w:rFonts w:ascii="Cambria" w:eastAsia="Times New Roman" w:hAnsi="Cambria" w:cs="Helvetica"/>
                <w:color w:val="000000"/>
                <w:sz w:val="18"/>
                <w:szCs w:val="18"/>
                <w:lang w:eastAsia="ko-KR"/>
              </w:rPr>
              <w:t xml:space="preserve">($000) </w:t>
            </w:r>
          </w:p>
        </w:tc>
        <w:tc>
          <w:tcPr>
            <w:tcW w:w="117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19CD7E37"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Claimed Credit ($000) </w:t>
            </w:r>
          </w:p>
        </w:tc>
        <w:tc>
          <w:tcPr>
            <w:tcW w:w="108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7B6FB847"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Shared Credit ($000) </w:t>
            </w:r>
          </w:p>
        </w:tc>
        <w:tc>
          <w:tcPr>
            <w:tcW w:w="99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07FD73C2"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Number of Claimants </w:t>
            </w:r>
          </w:p>
        </w:tc>
        <w:tc>
          <w:tcPr>
            <w:tcW w:w="126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214E859D"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Percent </w:t>
            </w:r>
            <w:r>
              <w:rPr>
                <w:rFonts w:ascii="Cambria" w:eastAsia="Times New Roman" w:hAnsi="Cambria" w:cs="Helvetica"/>
                <w:color w:val="000000"/>
                <w:sz w:val="18"/>
                <w:szCs w:val="18"/>
                <w:lang w:eastAsia="ko-KR"/>
              </w:rPr>
              <w:t>of Total Number of Claimants</w:t>
            </w:r>
          </w:p>
        </w:tc>
        <w:tc>
          <w:tcPr>
            <w:tcW w:w="126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5C688AFC"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Tax Saving Per Claimant ($) </w:t>
            </w:r>
          </w:p>
        </w:tc>
      </w:tr>
      <w:tr w:rsidR="00B31D5A" w:rsidRPr="001E6CEC" w14:paraId="342AF484" w14:textId="77777777" w:rsidTr="00892692">
        <w:trPr>
          <w:trHeight w:val="230"/>
        </w:trPr>
        <w:tc>
          <w:tcPr>
            <w:tcW w:w="2317" w:type="dxa"/>
            <w:tcBorders>
              <w:top w:val="nil"/>
              <w:left w:val="single" w:sz="4" w:space="0" w:color="auto"/>
              <w:bottom w:val="single" w:sz="4" w:space="0" w:color="auto"/>
              <w:right w:val="single" w:sz="4" w:space="0" w:color="auto"/>
            </w:tcBorders>
            <w:shd w:val="clear" w:color="auto" w:fill="auto"/>
            <w:vAlign w:val="center"/>
            <w:hideMark/>
          </w:tcPr>
          <w:p w14:paraId="34B9E87F" w14:textId="77777777" w:rsidR="00B31D5A" w:rsidRPr="001E6CEC" w:rsidRDefault="00B31D5A" w:rsidP="00A90779">
            <w:pPr>
              <w:spacing w:after="0" w:line="240" w:lineRule="auto"/>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Less than 5</w:t>
            </w: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91BBD"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$11,533</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D4A0610"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$11,644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BD77CF0"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$2,324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24E0D709"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262</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60A6318F"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12.0%</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62C82B1D"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$53,311</w:t>
            </w:r>
          </w:p>
        </w:tc>
      </w:tr>
      <w:tr w:rsidR="00B31D5A" w:rsidRPr="001E6CEC" w14:paraId="6FDE0116" w14:textId="77777777" w:rsidTr="00892692">
        <w:trPr>
          <w:trHeight w:val="230"/>
        </w:trPr>
        <w:tc>
          <w:tcPr>
            <w:tcW w:w="2317" w:type="dxa"/>
            <w:tcBorders>
              <w:top w:val="nil"/>
              <w:left w:val="single" w:sz="4" w:space="0" w:color="auto"/>
              <w:bottom w:val="single" w:sz="4" w:space="0" w:color="auto"/>
              <w:right w:val="single" w:sz="4" w:space="0" w:color="auto"/>
            </w:tcBorders>
            <w:shd w:val="clear" w:color="auto" w:fill="auto"/>
            <w:vAlign w:val="center"/>
            <w:hideMark/>
          </w:tcPr>
          <w:p w14:paraId="6EF344E4" w14:textId="77777777" w:rsidR="00B31D5A" w:rsidRPr="001E6CEC" w:rsidRDefault="00B31D5A" w:rsidP="00A90779">
            <w:pPr>
              <w:spacing w:after="0" w:line="240" w:lineRule="auto"/>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5 to 49 </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05A6CFF9"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$9,752</w:t>
            </w:r>
          </w:p>
        </w:tc>
        <w:tc>
          <w:tcPr>
            <w:tcW w:w="1170" w:type="dxa"/>
            <w:tcBorders>
              <w:top w:val="nil"/>
              <w:left w:val="nil"/>
              <w:bottom w:val="single" w:sz="4" w:space="0" w:color="auto"/>
              <w:right w:val="single" w:sz="4" w:space="0" w:color="auto"/>
            </w:tcBorders>
            <w:shd w:val="clear" w:color="auto" w:fill="auto"/>
            <w:vAlign w:val="center"/>
            <w:hideMark/>
          </w:tcPr>
          <w:p w14:paraId="6B8541B8"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$4,640</w:t>
            </w:r>
          </w:p>
        </w:tc>
        <w:tc>
          <w:tcPr>
            <w:tcW w:w="1080" w:type="dxa"/>
            <w:tcBorders>
              <w:top w:val="nil"/>
              <w:left w:val="nil"/>
              <w:bottom w:val="single" w:sz="4" w:space="0" w:color="auto"/>
              <w:right w:val="single" w:sz="4" w:space="0" w:color="auto"/>
            </w:tcBorders>
            <w:shd w:val="clear" w:color="auto" w:fill="auto"/>
            <w:vAlign w:val="center"/>
            <w:hideMark/>
          </w:tcPr>
          <w:p w14:paraId="72372DDF"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$167</w:t>
            </w:r>
          </w:p>
        </w:tc>
        <w:tc>
          <w:tcPr>
            <w:tcW w:w="990" w:type="dxa"/>
            <w:tcBorders>
              <w:top w:val="nil"/>
              <w:left w:val="nil"/>
              <w:bottom w:val="single" w:sz="4" w:space="0" w:color="auto"/>
              <w:right w:val="single" w:sz="4" w:space="0" w:color="auto"/>
            </w:tcBorders>
            <w:shd w:val="clear" w:color="auto" w:fill="auto"/>
            <w:vAlign w:val="center"/>
            <w:hideMark/>
          </w:tcPr>
          <w:p w14:paraId="49E7B1EE"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854</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58A1E348"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39.2%</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5599299B"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$5,630</w:t>
            </w:r>
          </w:p>
        </w:tc>
      </w:tr>
      <w:tr w:rsidR="00B31D5A" w:rsidRPr="001E6CEC" w14:paraId="64D5FC18" w14:textId="77777777" w:rsidTr="00892692">
        <w:trPr>
          <w:trHeight w:val="230"/>
        </w:trPr>
        <w:tc>
          <w:tcPr>
            <w:tcW w:w="2317" w:type="dxa"/>
            <w:tcBorders>
              <w:top w:val="nil"/>
              <w:left w:val="single" w:sz="4" w:space="0" w:color="auto"/>
              <w:bottom w:val="single" w:sz="4" w:space="0" w:color="auto"/>
              <w:right w:val="single" w:sz="4" w:space="0" w:color="auto"/>
            </w:tcBorders>
            <w:shd w:val="clear" w:color="auto" w:fill="auto"/>
            <w:vAlign w:val="center"/>
            <w:hideMark/>
          </w:tcPr>
          <w:p w14:paraId="32DCAAC5" w14:textId="77777777" w:rsidR="00B31D5A" w:rsidRPr="001E6CEC" w:rsidRDefault="00B31D5A" w:rsidP="00A90779">
            <w:pPr>
              <w:spacing w:after="0" w:line="240" w:lineRule="auto"/>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50 to 99 </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5690121E"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$6,018</w:t>
            </w:r>
          </w:p>
        </w:tc>
        <w:tc>
          <w:tcPr>
            <w:tcW w:w="1170" w:type="dxa"/>
            <w:tcBorders>
              <w:top w:val="nil"/>
              <w:left w:val="nil"/>
              <w:bottom w:val="single" w:sz="4" w:space="0" w:color="auto"/>
              <w:right w:val="single" w:sz="4" w:space="0" w:color="auto"/>
            </w:tcBorders>
            <w:shd w:val="clear" w:color="auto" w:fill="auto"/>
            <w:vAlign w:val="center"/>
            <w:hideMark/>
          </w:tcPr>
          <w:p w14:paraId="7013FED5"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$2,271</w:t>
            </w:r>
          </w:p>
        </w:tc>
        <w:tc>
          <w:tcPr>
            <w:tcW w:w="1080" w:type="dxa"/>
            <w:tcBorders>
              <w:top w:val="nil"/>
              <w:left w:val="nil"/>
              <w:bottom w:val="single" w:sz="4" w:space="0" w:color="auto"/>
              <w:right w:val="single" w:sz="4" w:space="0" w:color="auto"/>
            </w:tcBorders>
            <w:shd w:val="clear" w:color="auto" w:fill="auto"/>
            <w:vAlign w:val="center"/>
            <w:hideMark/>
          </w:tcPr>
          <w:p w14:paraId="4A242DD6"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$86</w:t>
            </w:r>
          </w:p>
        </w:tc>
        <w:tc>
          <w:tcPr>
            <w:tcW w:w="990" w:type="dxa"/>
            <w:tcBorders>
              <w:top w:val="nil"/>
              <w:left w:val="nil"/>
              <w:bottom w:val="single" w:sz="4" w:space="0" w:color="auto"/>
              <w:right w:val="single" w:sz="4" w:space="0" w:color="auto"/>
            </w:tcBorders>
            <w:shd w:val="clear" w:color="auto" w:fill="auto"/>
            <w:vAlign w:val="center"/>
            <w:hideMark/>
          </w:tcPr>
          <w:p w14:paraId="68FF3957"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361</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2247AD34"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16.6%</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32CC5B44"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$6,530</w:t>
            </w:r>
          </w:p>
        </w:tc>
      </w:tr>
      <w:tr w:rsidR="00B31D5A" w:rsidRPr="001E6CEC" w14:paraId="20850184" w14:textId="77777777" w:rsidTr="00892692">
        <w:trPr>
          <w:trHeight w:val="230"/>
        </w:trPr>
        <w:tc>
          <w:tcPr>
            <w:tcW w:w="2317" w:type="dxa"/>
            <w:tcBorders>
              <w:top w:val="nil"/>
              <w:left w:val="single" w:sz="4" w:space="0" w:color="auto"/>
              <w:bottom w:val="single" w:sz="4" w:space="0" w:color="auto"/>
              <w:right w:val="single" w:sz="4" w:space="0" w:color="auto"/>
            </w:tcBorders>
            <w:shd w:val="clear" w:color="auto" w:fill="auto"/>
            <w:vAlign w:val="center"/>
            <w:hideMark/>
          </w:tcPr>
          <w:p w14:paraId="00350DFF" w14:textId="77777777" w:rsidR="00B31D5A" w:rsidRPr="001E6CEC" w:rsidRDefault="00B31D5A" w:rsidP="00A90779">
            <w:pPr>
              <w:spacing w:after="0" w:line="240" w:lineRule="auto"/>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100 to 199 </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0E66AAFC"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$14,012</w:t>
            </w:r>
          </w:p>
        </w:tc>
        <w:tc>
          <w:tcPr>
            <w:tcW w:w="1170" w:type="dxa"/>
            <w:tcBorders>
              <w:top w:val="nil"/>
              <w:left w:val="nil"/>
              <w:bottom w:val="single" w:sz="4" w:space="0" w:color="auto"/>
              <w:right w:val="single" w:sz="4" w:space="0" w:color="auto"/>
            </w:tcBorders>
            <w:shd w:val="clear" w:color="auto" w:fill="auto"/>
            <w:vAlign w:val="center"/>
            <w:hideMark/>
          </w:tcPr>
          <w:p w14:paraId="13BA33A2"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$5,323</w:t>
            </w:r>
          </w:p>
        </w:tc>
        <w:tc>
          <w:tcPr>
            <w:tcW w:w="1080" w:type="dxa"/>
            <w:tcBorders>
              <w:top w:val="nil"/>
              <w:left w:val="nil"/>
              <w:bottom w:val="single" w:sz="4" w:space="0" w:color="auto"/>
              <w:right w:val="single" w:sz="4" w:space="0" w:color="auto"/>
            </w:tcBorders>
            <w:shd w:val="clear" w:color="auto" w:fill="auto"/>
            <w:vAlign w:val="center"/>
            <w:hideMark/>
          </w:tcPr>
          <w:p w14:paraId="695B8487"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$1,971</w:t>
            </w:r>
          </w:p>
        </w:tc>
        <w:tc>
          <w:tcPr>
            <w:tcW w:w="990" w:type="dxa"/>
            <w:tcBorders>
              <w:top w:val="nil"/>
              <w:left w:val="nil"/>
              <w:bottom w:val="single" w:sz="4" w:space="0" w:color="auto"/>
              <w:right w:val="single" w:sz="4" w:space="0" w:color="auto"/>
            </w:tcBorders>
            <w:shd w:val="clear" w:color="auto" w:fill="auto"/>
            <w:vAlign w:val="center"/>
            <w:hideMark/>
          </w:tcPr>
          <w:p w14:paraId="76F827A8"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286</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29164AAC"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13.1%</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573B7F07"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$25,502</w:t>
            </w:r>
          </w:p>
        </w:tc>
      </w:tr>
      <w:tr w:rsidR="00B31D5A" w:rsidRPr="001E6CEC" w14:paraId="44981A5C" w14:textId="77777777" w:rsidTr="00892692">
        <w:trPr>
          <w:trHeight w:val="230"/>
        </w:trPr>
        <w:tc>
          <w:tcPr>
            <w:tcW w:w="2317" w:type="dxa"/>
            <w:tcBorders>
              <w:top w:val="nil"/>
              <w:left w:val="single" w:sz="4" w:space="0" w:color="auto"/>
              <w:bottom w:val="single" w:sz="4" w:space="0" w:color="auto"/>
              <w:right w:val="single" w:sz="4" w:space="0" w:color="auto"/>
            </w:tcBorders>
            <w:shd w:val="clear" w:color="auto" w:fill="auto"/>
            <w:vAlign w:val="center"/>
            <w:hideMark/>
          </w:tcPr>
          <w:p w14:paraId="2997F3DB" w14:textId="77777777" w:rsidR="00B31D5A" w:rsidRPr="001E6CEC" w:rsidRDefault="00B31D5A" w:rsidP="00A90779">
            <w:pPr>
              <w:spacing w:after="0" w:line="240" w:lineRule="auto"/>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200 to 499 </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4572D64D"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$19,254</w:t>
            </w:r>
          </w:p>
        </w:tc>
        <w:tc>
          <w:tcPr>
            <w:tcW w:w="1170" w:type="dxa"/>
            <w:tcBorders>
              <w:top w:val="nil"/>
              <w:left w:val="nil"/>
              <w:bottom w:val="single" w:sz="4" w:space="0" w:color="auto"/>
              <w:right w:val="single" w:sz="4" w:space="0" w:color="auto"/>
            </w:tcBorders>
            <w:shd w:val="clear" w:color="auto" w:fill="auto"/>
            <w:vAlign w:val="center"/>
            <w:hideMark/>
          </w:tcPr>
          <w:p w14:paraId="61941539"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$8,853</w:t>
            </w:r>
          </w:p>
        </w:tc>
        <w:tc>
          <w:tcPr>
            <w:tcW w:w="1080" w:type="dxa"/>
            <w:tcBorders>
              <w:top w:val="nil"/>
              <w:left w:val="nil"/>
              <w:bottom w:val="single" w:sz="4" w:space="0" w:color="auto"/>
              <w:right w:val="single" w:sz="4" w:space="0" w:color="auto"/>
            </w:tcBorders>
            <w:shd w:val="clear" w:color="auto" w:fill="auto"/>
            <w:vAlign w:val="center"/>
            <w:hideMark/>
          </w:tcPr>
          <w:p w14:paraId="08FF0FF7"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$492</w:t>
            </w:r>
          </w:p>
        </w:tc>
        <w:tc>
          <w:tcPr>
            <w:tcW w:w="990" w:type="dxa"/>
            <w:tcBorders>
              <w:top w:val="nil"/>
              <w:left w:val="nil"/>
              <w:bottom w:val="single" w:sz="4" w:space="0" w:color="auto"/>
              <w:right w:val="single" w:sz="4" w:space="0" w:color="auto"/>
            </w:tcBorders>
            <w:shd w:val="clear" w:color="auto" w:fill="auto"/>
            <w:vAlign w:val="center"/>
            <w:hideMark/>
          </w:tcPr>
          <w:p w14:paraId="3C142B8E"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212</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6CD7C298"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9.7%</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2C514385"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$44,078</w:t>
            </w:r>
          </w:p>
        </w:tc>
      </w:tr>
      <w:tr w:rsidR="00B31D5A" w:rsidRPr="001E6CEC" w14:paraId="01AEA986" w14:textId="77777777" w:rsidTr="00892692">
        <w:trPr>
          <w:trHeight w:val="230"/>
        </w:trPr>
        <w:tc>
          <w:tcPr>
            <w:tcW w:w="2317" w:type="dxa"/>
            <w:tcBorders>
              <w:top w:val="nil"/>
              <w:left w:val="single" w:sz="4" w:space="0" w:color="auto"/>
              <w:bottom w:val="single" w:sz="4" w:space="0" w:color="auto"/>
              <w:right w:val="single" w:sz="4" w:space="0" w:color="auto"/>
            </w:tcBorders>
            <w:shd w:val="clear" w:color="auto" w:fill="auto"/>
            <w:vAlign w:val="center"/>
            <w:hideMark/>
          </w:tcPr>
          <w:p w14:paraId="1A381B7C" w14:textId="77777777" w:rsidR="00B31D5A" w:rsidRPr="001E6CEC" w:rsidRDefault="00B31D5A" w:rsidP="00A90779">
            <w:pPr>
              <w:spacing w:after="0" w:line="240" w:lineRule="auto"/>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500 or more </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75831246"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$21,423</w:t>
            </w:r>
          </w:p>
        </w:tc>
        <w:tc>
          <w:tcPr>
            <w:tcW w:w="1170" w:type="dxa"/>
            <w:tcBorders>
              <w:top w:val="nil"/>
              <w:left w:val="nil"/>
              <w:bottom w:val="single" w:sz="4" w:space="0" w:color="auto"/>
              <w:right w:val="single" w:sz="4" w:space="0" w:color="auto"/>
            </w:tcBorders>
            <w:shd w:val="clear" w:color="auto" w:fill="auto"/>
            <w:vAlign w:val="center"/>
            <w:hideMark/>
          </w:tcPr>
          <w:p w14:paraId="40610A68"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$21,227</w:t>
            </w:r>
          </w:p>
        </w:tc>
        <w:tc>
          <w:tcPr>
            <w:tcW w:w="1080" w:type="dxa"/>
            <w:tcBorders>
              <w:top w:val="nil"/>
              <w:left w:val="nil"/>
              <w:bottom w:val="single" w:sz="4" w:space="0" w:color="auto"/>
              <w:right w:val="single" w:sz="4" w:space="0" w:color="auto"/>
            </w:tcBorders>
            <w:shd w:val="clear" w:color="auto" w:fill="auto"/>
            <w:vAlign w:val="center"/>
            <w:hideMark/>
          </w:tcPr>
          <w:p w14:paraId="65D8FEBD"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$4,100</w:t>
            </w:r>
          </w:p>
        </w:tc>
        <w:tc>
          <w:tcPr>
            <w:tcW w:w="990" w:type="dxa"/>
            <w:tcBorders>
              <w:top w:val="nil"/>
              <w:left w:val="nil"/>
              <w:bottom w:val="single" w:sz="4" w:space="0" w:color="auto"/>
              <w:right w:val="single" w:sz="4" w:space="0" w:color="auto"/>
            </w:tcBorders>
            <w:shd w:val="clear" w:color="auto" w:fill="auto"/>
            <w:vAlign w:val="center"/>
            <w:hideMark/>
          </w:tcPr>
          <w:p w14:paraId="50B17306"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189</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42968944"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8.7%</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241CD89C"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$134,009</w:t>
            </w:r>
          </w:p>
        </w:tc>
      </w:tr>
      <w:tr w:rsidR="00B31D5A" w:rsidRPr="001E6CEC" w14:paraId="3729155A" w14:textId="77777777" w:rsidTr="00892692">
        <w:trPr>
          <w:trHeight w:val="230"/>
        </w:trPr>
        <w:tc>
          <w:tcPr>
            <w:tcW w:w="2317" w:type="dxa"/>
            <w:tcBorders>
              <w:top w:val="nil"/>
              <w:left w:val="single" w:sz="4" w:space="0" w:color="auto"/>
              <w:bottom w:val="single" w:sz="4" w:space="0" w:color="auto"/>
              <w:right w:val="single" w:sz="4" w:space="0" w:color="auto"/>
            </w:tcBorders>
            <w:shd w:val="clear" w:color="auto" w:fill="auto"/>
            <w:vAlign w:val="center"/>
            <w:hideMark/>
          </w:tcPr>
          <w:p w14:paraId="24AA2CC8" w14:textId="77777777" w:rsidR="00B31D5A" w:rsidRPr="001E6CEC" w:rsidRDefault="00B31D5A" w:rsidP="00A90779">
            <w:pPr>
              <w:spacing w:after="0" w:line="240" w:lineRule="auto"/>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Unmatched</w:t>
            </w: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 xml:space="preserve"> </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2F84C9DA"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N.A.</w:t>
            </w:r>
          </w:p>
        </w:tc>
        <w:tc>
          <w:tcPr>
            <w:tcW w:w="1170" w:type="dxa"/>
            <w:tcBorders>
              <w:top w:val="nil"/>
              <w:left w:val="nil"/>
              <w:bottom w:val="single" w:sz="4" w:space="0" w:color="auto"/>
              <w:right w:val="single" w:sz="4" w:space="0" w:color="auto"/>
            </w:tcBorders>
            <w:shd w:val="clear" w:color="auto" w:fill="auto"/>
            <w:vAlign w:val="center"/>
            <w:hideMark/>
          </w:tcPr>
          <w:p w14:paraId="14408ED5"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$196</w:t>
            </w:r>
          </w:p>
        </w:tc>
        <w:tc>
          <w:tcPr>
            <w:tcW w:w="1080" w:type="dxa"/>
            <w:tcBorders>
              <w:top w:val="nil"/>
              <w:left w:val="nil"/>
              <w:bottom w:val="single" w:sz="4" w:space="0" w:color="auto"/>
              <w:right w:val="single" w:sz="4" w:space="0" w:color="auto"/>
            </w:tcBorders>
            <w:shd w:val="clear" w:color="auto" w:fill="auto"/>
            <w:vAlign w:val="center"/>
            <w:hideMark/>
          </w:tcPr>
          <w:p w14:paraId="0BB444AB"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w:t>
            </w:r>
          </w:p>
        </w:tc>
        <w:tc>
          <w:tcPr>
            <w:tcW w:w="990" w:type="dxa"/>
            <w:tcBorders>
              <w:top w:val="nil"/>
              <w:left w:val="nil"/>
              <w:bottom w:val="single" w:sz="4" w:space="0" w:color="auto"/>
              <w:right w:val="single" w:sz="4" w:space="0" w:color="auto"/>
            </w:tcBorders>
            <w:shd w:val="clear" w:color="auto" w:fill="auto"/>
            <w:vAlign w:val="center"/>
            <w:hideMark/>
          </w:tcPr>
          <w:p w14:paraId="1DBB0BF2"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17</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2BC602C1"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0.8%</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666476A9"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$11,556</w:t>
            </w:r>
          </w:p>
        </w:tc>
      </w:tr>
      <w:tr w:rsidR="00B31D5A" w:rsidRPr="001E6CEC" w14:paraId="452EA3F1" w14:textId="77777777" w:rsidTr="00892692">
        <w:trPr>
          <w:trHeight w:val="460"/>
        </w:trPr>
        <w:tc>
          <w:tcPr>
            <w:tcW w:w="2317" w:type="dxa"/>
            <w:tcBorders>
              <w:top w:val="nil"/>
              <w:left w:val="single" w:sz="4" w:space="0" w:color="auto"/>
              <w:bottom w:val="single" w:sz="4" w:space="0" w:color="auto"/>
              <w:right w:val="single" w:sz="4" w:space="0" w:color="auto"/>
            </w:tcBorders>
            <w:shd w:val="clear" w:color="auto" w:fill="auto"/>
            <w:vAlign w:val="center"/>
            <w:hideMark/>
          </w:tcPr>
          <w:p w14:paraId="3E24DD03" w14:textId="77777777" w:rsidR="00B31D5A" w:rsidRPr="001E6CEC" w:rsidRDefault="00B31D5A" w:rsidP="00A90779">
            <w:pPr>
              <w:spacing w:after="0" w:line="240" w:lineRule="auto"/>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Total or average </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273F8239"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$81,992</w:t>
            </w:r>
          </w:p>
        </w:tc>
        <w:tc>
          <w:tcPr>
            <w:tcW w:w="1170" w:type="dxa"/>
            <w:tcBorders>
              <w:top w:val="nil"/>
              <w:left w:val="nil"/>
              <w:bottom w:val="single" w:sz="4" w:space="0" w:color="auto"/>
              <w:right w:val="single" w:sz="4" w:space="0" w:color="auto"/>
            </w:tcBorders>
            <w:shd w:val="clear" w:color="auto" w:fill="auto"/>
            <w:vAlign w:val="center"/>
            <w:hideMark/>
          </w:tcPr>
          <w:p w14:paraId="4A739F25"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$54,155</w:t>
            </w:r>
          </w:p>
        </w:tc>
        <w:tc>
          <w:tcPr>
            <w:tcW w:w="1080" w:type="dxa"/>
            <w:tcBorders>
              <w:top w:val="nil"/>
              <w:left w:val="nil"/>
              <w:bottom w:val="single" w:sz="4" w:space="0" w:color="auto"/>
              <w:right w:val="single" w:sz="4" w:space="0" w:color="auto"/>
            </w:tcBorders>
            <w:shd w:val="clear" w:color="auto" w:fill="auto"/>
            <w:vAlign w:val="center"/>
            <w:hideMark/>
          </w:tcPr>
          <w:p w14:paraId="50AD317F"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$9,140</w:t>
            </w:r>
          </w:p>
        </w:tc>
        <w:tc>
          <w:tcPr>
            <w:tcW w:w="990" w:type="dxa"/>
            <w:tcBorders>
              <w:top w:val="nil"/>
              <w:left w:val="nil"/>
              <w:bottom w:val="single" w:sz="4" w:space="0" w:color="auto"/>
              <w:right w:val="single" w:sz="4" w:space="0" w:color="auto"/>
            </w:tcBorders>
            <w:shd w:val="clear" w:color="auto" w:fill="auto"/>
            <w:vAlign w:val="center"/>
            <w:hideMark/>
          </w:tcPr>
          <w:p w14:paraId="1F50B3EC"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2,181</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761335F4"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100.0%</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5A09CDF2"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$29,021</w:t>
            </w:r>
          </w:p>
        </w:tc>
      </w:tr>
    </w:tbl>
    <w:p w14:paraId="29542507" w14:textId="77777777" w:rsidR="00B31D5A" w:rsidRPr="00E00515" w:rsidRDefault="00B31D5A" w:rsidP="00B31D5A">
      <w:pPr>
        <w:tabs>
          <w:tab w:val="left" w:pos="7050"/>
        </w:tabs>
        <w:spacing w:after="0"/>
        <w:rPr>
          <w:rFonts w:asciiTheme="majorHAnsi" w:eastAsiaTheme="majorEastAsia" w:hAnsiTheme="majorHAnsi" w:cstheme="majorBidi"/>
          <w:bCs/>
          <w:color w:val="000000" w:themeColor="text1"/>
          <w:sz w:val="20"/>
          <w:szCs w:val="20"/>
        </w:rPr>
      </w:pPr>
      <w:r w:rsidRPr="00E00515">
        <w:rPr>
          <w:rFonts w:asciiTheme="majorHAnsi" w:eastAsiaTheme="majorEastAsia" w:hAnsiTheme="majorHAnsi" w:cstheme="majorBidi"/>
          <w:bCs/>
          <w:color w:val="000000" w:themeColor="text1"/>
          <w:sz w:val="20"/>
          <w:szCs w:val="20"/>
        </w:rPr>
        <w:t>Source: Department of Revenue (2017</w:t>
      </w:r>
      <w:r>
        <w:rPr>
          <w:rFonts w:asciiTheme="majorHAnsi" w:eastAsiaTheme="majorEastAsia" w:hAnsiTheme="majorHAnsi" w:cstheme="majorBidi"/>
          <w:bCs/>
          <w:color w:val="000000" w:themeColor="text1"/>
          <w:sz w:val="20"/>
          <w:szCs w:val="20"/>
        </w:rPr>
        <w:t xml:space="preserve"> tax return</w:t>
      </w:r>
      <w:r w:rsidRPr="00E00515">
        <w:rPr>
          <w:rFonts w:asciiTheme="majorHAnsi" w:eastAsiaTheme="majorEastAsia" w:hAnsiTheme="majorHAnsi" w:cstheme="majorBidi"/>
          <w:bCs/>
          <w:color w:val="000000" w:themeColor="text1"/>
          <w:sz w:val="20"/>
          <w:szCs w:val="20"/>
        </w:rPr>
        <w:t>)</w:t>
      </w:r>
    </w:p>
    <w:p w14:paraId="1C1D342B" w14:textId="77777777" w:rsidR="00B31D5A" w:rsidRPr="00E00515" w:rsidRDefault="00B31D5A" w:rsidP="00B31D5A">
      <w:pPr>
        <w:tabs>
          <w:tab w:val="left" w:pos="7050"/>
        </w:tabs>
        <w:spacing w:after="0"/>
        <w:rPr>
          <w:rFonts w:asciiTheme="majorHAnsi" w:hAnsiTheme="majorHAnsi"/>
          <w:sz w:val="20"/>
          <w:szCs w:val="20"/>
        </w:rPr>
      </w:pPr>
      <w:bookmarkStart w:id="1" w:name="_Hlk48212267"/>
      <w:r w:rsidRPr="00E00515">
        <w:rPr>
          <w:rFonts w:asciiTheme="majorHAnsi" w:hAnsiTheme="majorHAnsi"/>
          <w:sz w:val="20"/>
          <w:szCs w:val="20"/>
        </w:rPr>
        <w:t>Note</w:t>
      </w:r>
      <w:r>
        <w:rPr>
          <w:rFonts w:asciiTheme="majorHAnsi" w:hAnsiTheme="majorHAnsi"/>
          <w:sz w:val="20"/>
          <w:szCs w:val="20"/>
        </w:rPr>
        <w:t>s</w:t>
      </w:r>
      <w:r w:rsidRPr="00E00515">
        <w:rPr>
          <w:rFonts w:asciiTheme="majorHAnsi" w:hAnsiTheme="majorHAnsi"/>
          <w:sz w:val="20"/>
          <w:szCs w:val="20"/>
        </w:rPr>
        <w:t xml:space="preserve">: </w:t>
      </w:r>
      <w:r>
        <w:rPr>
          <w:rFonts w:asciiTheme="majorHAnsi" w:hAnsiTheme="majorHAnsi"/>
          <w:sz w:val="20"/>
          <w:szCs w:val="20"/>
        </w:rPr>
        <w:t xml:space="preserve">1. </w:t>
      </w:r>
      <w:r w:rsidRPr="00E00515">
        <w:rPr>
          <w:rFonts w:asciiTheme="majorHAnsi" w:hAnsiTheme="majorHAnsi"/>
          <w:sz w:val="20"/>
          <w:szCs w:val="20"/>
        </w:rPr>
        <w:t xml:space="preserve">* We relied on information taxpayers reported, but it is likely that </w:t>
      </w:r>
      <w:r>
        <w:rPr>
          <w:rFonts w:asciiTheme="majorHAnsi" w:hAnsiTheme="majorHAnsi"/>
          <w:sz w:val="20"/>
          <w:szCs w:val="20"/>
        </w:rPr>
        <w:t>some</w:t>
      </w:r>
      <w:r w:rsidRPr="00E00515">
        <w:rPr>
          <w:rFonts w:asciiTheme="majorHAnsi" w:hAnsiTheme="majorHAnsi"/>
          <w:sz w:val="20"/>
          <w:szCs w:val="20"/>
        </w:rPr>
        <w:t xml:space="preserve"> of them put zero for their employees though actually not zero.</w:t>
      </w:r>
    </w:p>
    <w:bookmarkEnd w:id="1"/>
    <w:p w14:paraId="2767190F" w14:textId="77777777" w:rsidR="00B31D5A" w:rsidRPr="001A4FD6" w:rsidRDefault="00B31D5A" w:rsidP="00B31D5A">
      <w:pPr>
        <w:tabs>
          <w:tab w:val="left" w:pos="7050"/>
        </w:tabs>
        <w:spacing w:after="0"/>
        <w:rPr>
          <w:rFonts w:asciiTheme="majorHAnsi" w:eastAsiaTheme="majorEastAsia" w:hAnsiTheme="majorHAnsi" w:cstheme="majorBidi"/>
          <w:bCs/>
          <w:color w:val="000000" w:themeColor="text1"/>
          <w:sz w:val="20"/>
          <w:szCs w:val="20"/>
        </w:rPr>
      </w:pPr>
      <w:r>
        <w:rPr>
          <w:rFonts w:asciiTheme="majorHAnsi" w:eastAsiaTheme="majorEastAsia" w:hAnsiTheme="majorHAnsi" w:cstheme="majorBidi"/>
          <w:bCs/>
          <w:color w:val="000000" w:themeColor="text1"/>
          <w:sz w:val="20"/>
          <w:szCs w:val="20"/>
        </w:rPr>
        <w:t xml:space="preserve">             2. **Unmatched means that we could not find some taxpayers in one or more of data sets to match. </w:t>
      </w:r>
    </w:p>
    <w:p w14:paraId="39391A35" w14:textId="17856CC5" w:rsidR="00B31D5A" w:rsidRPr="00B84E97" w:rsidRDefault="00B31D5A" w:rsidP="00B31D5A">
      <w:pPr>
        <w:tabs>
          <w:tab w:val="left" w:pos="7050"/>
        </w:tabs>
        <w:spacing w:after="0"/>
        <w:rPr>
          <w:rFonts w:asciiTheme="majorHAnsi" w:eastAsiaTheme="majorEastAsia" w:hAnsiTheme="majorHAnsi" w:cstheme="majorBidi"/>
          <w:bCs/>
          <w:color w:val="000000" w:themeColor="text1"/>
          <w:sz w:val="20"/>
          <w:szCs w:val="20"/>
        </w:rPr>
      </w:pPr>
      <w:r w:rsidRPr="00B84E97">
        <w:rPr>
          <w:rFonts w:asciiTheme="majorHAnsi" w:eastAsiaTheme="majorEastAsia" w:hAnsiTheme="majorHAnsi" w:cstheme="majorBidi"/>
          <w:bCs/>
          <w:color w:val="000000" w:themeColor="text1"/>
          <w:sz w:val="20"/>
          <w:szCs w:val="20"/>
        </w:rPr>
        <w:t xml:space="preserve">      </w:t>
      </w:r>
      <w:r>
        <w:rPr>
          <w:rFonts w:asciiTheme="majorHAnsi" w:eastAsiaTheme="majorEastAsia" w:hAnsiTheme="majorHAnsi" w:cstheme="majorBidi"/>
          <w:bCs/>
          <w:color w:val="000000" w:themeColor="text1"/>
          <w:sz w:val="20"/>
          <w:szCs w:val="20"/>
        </w:rPr>
        <w:t xml:space="preserve"> </w:t>
      </w:r>
      <w:r w:rsidRPr="00B84E97">
        <w:rPr>
          <w:rFonts w:asciiTheme="majorHAnsi" w:eastAsiaTheme="majorEastAsia" w:hAnsiTheme="majorHAnsi" w:cstheme="majorBidi"/>
          <w:bCs/>
          <w:color w:val="000000" w:themeColor="text1"/>
          <w:sz w:val="20"/>
          <w:szCs w:val="20"/>
        </w:rPr>
        <w:t xml:space="preserve">  </w:t>
      </w:r>
      <w:r w:rsidR="00892692">
        <w:rPr>
          <w:rFonts w:asciiTheme="majorHAnsi" w:eastAsiaTheme="majorEastAsia" w:hAnsiTheme="majorHAnsi" w:cstheme="majorBidi"/>
          <w:bCs/>
          <w:color w:val="000000" w:themeColor="text1"/>
          <w:sz w:val="20"/>
          <w:szCs w:val="20"/>
        </w:rPr>
        <w:t xml:space="preserve"> </w:t>
      </w:r>
      <w:r w:rsidRPr="00B84E97">
        <w:rPr>
          <w:rFonts w:asciiTheme="majorHAnsi" w:eastAsiaTheme="majorEastAsia" w:hAnsiTheme="majorHAnsi" w:cstheme="majorBidi"/>
          <w:bCs/>
          <w:color w:val="000000" w:themeColor="text1"/>
          <w:sz w:val="20"/>
          <w:szCs w:val="20"/>
        </w:rPr>
        <w:t xml:space="preserve">   3. The data are preliminary and subject to </w:t>
      </w:r>
      <w:r>
        <w:rPr>
          <w:rFonts w:asciiTheme="majorHAnsi" w:eastAsiaTheme="majorEastAsia" w:hAnsiTheme="majorHAnsi" w:cstheme="majorBidi"/>
          <w:bCs/>
          <w:color w:val="000000" w:themeColor="text1"/>
          <w:sz w:val="20"/>
          <w:szCs w:val="20"/>
        </w:rPr>
        <w:t>change.</w:t>
      </w:r>
    </w:p>
    <w:p w14:paraId="0465AC48" w14:textId="77777777" w:rsidR="008B3DDE" w:rsidRDefault="008B3DDE" w:rsidP="00291074">
      <w:pPr>
        <w:tabs>
          <w:tab w:val="left" w:pos="7050"/>
        </w:tabs>
        <w:spacing w:after="0"/>
        <w:rPr>
          <w:rFonts w:asciiTheme="majorHAnsi" w:hAnsiTheme="majorHAnsi"/>
          <w:b/>
          <w:sz w:val="24"/>
          <w:szCs w:val="24"/>
        </w:rPr>
      </w:pPr>
    </w:p>
    <w:p w14:paraId="4B8EFCB4" w14:textId="77777777" w:rsidR="00223B10" w:rsidRDefault="00223B10" w:rsidP="00B31D5A">
      <w:pPr>
        <w:spacing w:after="0"/>
        <w:jc w:val="center"/>
        <w:rPr>
          <w:rFonts w:asciiTheme="majorHAnsi" w:hAnsiTheme="majorHAnsi"/>
          <w:b/>
          <w:sz w:val="24"/>
          <w:szCs w:val="24"/>
        </w:rPr>
      </w:pPr>
      <w:r w:rsidRPr="00CA0391">
        <w:rPr>
          <w:rFonts w:asciiTheme="majorHAnsi" w:hAnsiTheme="majorHAnsi"/>
          <w:b/>
          <w:sz w:val="24"/>
          <w:szCs w:val="24"/>
        </w:rPr>
        <w:t xml:space="preserve">Table </w:t>
      </w:r>
      <w:r w:rsidR="00303B9E">
        <w:rPr>
          <w:rFonts w:asciiTheme="majorHAnsi" w:hAnsiTheme="majorHAnsi"/>
          <w:b/>
          <w:sz w:val="24"/>
          <w:szCs w:val="24"/>
        </w:rPr>
        <w:t>7</w:t>
      </w:r>
      <w:r w:rsidRPr="00CA0391">
        <w:rPr>
          <w:rFonts w:asciiTheme="majorHAnsi" w:hAnsiTheme="majorHAnsi"/>
          <w:b/>
          <w:sz w:val="24"/>
          <w:szCs w:val="24"/>
        </w:rPr>
        <w:t xml:space="preserve">. </w:t>
      </w:r>
      <w:r w:rsidR="006E592F">
        <w:rPr>
          <w:rFonts w:asciiTheme="majorHAnsi" w:hAnsiTheme="majorHAnsi"/>
          <w:b/>
          <w:sz w:val="24"/>
          <w:szCs w:val="24"/>
        </w:rPr>
        <w:t>2017 ITC Claims</w:t>
      </w:r>
      <w:r w:rsidR="00CE59EB">
        <w:rPr>
          <w:rFonts w:asciiTheme="majorHAnsi" w:hAnsiTheme="majorHAnsi"/>
          <w:b/>
          <w:sz w:val="24"/>
          <w:szCs w:val="24"/>
        </w:rPr>
        <w:t xml:space="preserve"> by Industry</w:t>
      </w:r>
    </w:p>
    <w:tbl>
      <w:tblPr>
        <w:tblW w:w="9517" w:type="dxa"/>
        <w:tblInd w:w="108" w:type="dxa"/>
        <w:tblLook w:val="04A0" w:firstRow="1" w:lastRow="0" w:firstColumn="1" w:lastColumn="0" w:noHBand="0" w:noVBand="1"/>
      </w:tblPr>
      <w:tblGrid>
        <w:gridCol w:w="2767"/>
        <w:gridCol w:w="1170"/>
        <w:gridCol w:w="1080"/>
        <w:gridCol w:w="990"/>
        <w:gridCol w:w="990"/>
        <w:gridCol w:w="1260"/>
        <w:gridCol w:w="1260"/>
      </w:tblGrid>
      <w:tr w:rsidR="00B31D5A" w:rsidRPr="001E6CEC" w14:paraId="63C94104" w14:textId="77777777" w:rsidTr="00892692">
        <w:trPr>
          <w:trHeight w:val="1150"/>
        </w:trPr>
        <w:tc>
          <w:tcPr>
            <w:tcW w:w="276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47816839"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Industry </w:t>
            </w:r>
          </w:p>
        </w:tc>
        <w:tc>
          <w:tcPr>
            <w:tcW w:w="117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4A881C96"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Tax </w:t>
            </w:r>
            <w:r>
              <w:rPr>
                <w:rFonts w:ascii="Cambria" w:eastAsia="Times New Roman" w:hAnsi="Cambria" w:cs="Helvetica"/>
                <w:color w:val="000000"/>
                <w:sz w:val="18"/>
                <w:szCs w:val="18"/>
                <w:lang w:eastAsia="ko-KR"/>
              </w:rPr>
              <w:t>Liability after Credit</w:t>
            </w:r>
            <w:r w:rsidRPr="001E6CEC">
              <w:rPr>
                <w:rFonts w:ascii="Cambria" w:eastAsia="Times New Roman" w:hAnsi="Cambria" w:cs="Helvetica"/>
                <w:color w:val="000000"/>
                <w:sz w:val="18"/>
                <w:szCs w:val="18"/>
                <w:lang w:eastAsia="ko-KR"/>
              </w:rPr>
              <w:t xml:space="preserve"> ($000) </w:t>
            </w:r>
          </w:p>
        </w:tc>
        <w:tc>
          <w:tcPr>
            <w:tcW w:w="108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62BD8413"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Claimed Credit ($000) </w:t>
            </w:r>
          </w:p>
        </w:tc>
        <w:tc>
          <w:tcPr>
            <w:tcW w:w="99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1B80C816"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Shared Credit ($000) </w:t>
            </w:r>
          </w:p>
        </w:tc>
        <w:tc>
          <w:tcPr>
            <w:tcW w:w="99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3688BF25"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Number of Claimants </w:t>
            </w:r>
          </w:p>
        </w:tc>
        <w:tc>
          <w:tcPr>
            <w:tcW w:w="126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3719CF66"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Percent </w:t>
            </w:r>
            <w:r>
              <w:rPr>
                <w:rFonts w:ascii="Cambria" w:eastAsia="Times New Roman" w:hAnsi="Cambria" w:cs="Helvetica"/>
                <w:color w:val="000000"/>
                <w:sz w:val="18"/>
                <w:szCs w:val="18"/>
                <w:lang w:eastAsia="ko-KR"/>
              </w:rPr>
              <w:t>of Total Number of Claimants</w:t>
            </w:r>
          </w:p>
        </w:tc>
        <w:tc>
          <w:tcPr>
            <w:tcW w:w="126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7436578A"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Tax Saving Per Claimant ($) </w:t>
            </w:r>
          </w:p>
        </w:tc>
      </w:tr>
      <w:tr w:rsidR="00B31D5A" w:rsidRPr="001E6CEC" w14:paraId="5E20CFF3" w14:textId="77777777" w:rsidTr="00892692">
        <w:trPr>
          <w:trHeight w:val="432"/>
        </w:trPr>
        <w:tc>
          <w:tcPr>
            <w:tcW w:w="2767" w:type="dxa"/>
            <w:tcBorders>
              <w:top w:val="nil"/>
              <w:left w:val="single" w:sz="4" w:space="0" w:color="auto"/>
              <w:bottom w:val="single" w:sz="4" w:space="0" w:color="auto"/>
              <w:right w:val="single" w:sz="4" w:space="0" w:color="auto"/>
            </w:tcBorders>
            <w:shd w:val="clear" w:color="auto" w:fill="auto"/>
            <w:vAlign w:val="center"/>
            <w:hideMark/>
          </w:tcPr>
          <w:p w14:paraId="3AD02845" w14:textId="77777777" w:rsidR="00B31D5A" w:rsidRPr="001E6CEC" w:rsidRDefault="00B31D5A" w:rsidP="00A90779">
            <w:pPr>
              <w:spacing w:after="0" w:line="240" w:lineRule="auto"/>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11 Agriculture, Forestry, Fishing and Hunting </w:t>
            </w:r>
          </w:p>
        </w:tc>
        <w:tc>
          <w:tcPr>
            <w:tcW w:w="1170" w:type="dxa"/>
            <w:tcBorders>
              <w:top w:val="nil"/>
              <w:left w:val="nil"/>
              <w:bottom w:val="single" w:sz="4" w:space="0" w:color="auto"/>
              <w:right w:val="single" w:sz="4" w:space="0" w:color="auto"/>
            </w:tcBorders>
            <w:shd w:val="clear" w:color="auto" w:fill="auto"/>
            <w:vAlign w:val="center"/>
            <w:hideMark/>
          </w:tcPr>
          <w:p w14:paraId="5EA5B588"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451</w:t>
            </w:r>
          </w:p>
        </w:tc>
        <w:tc>
          <w:tcPr>
            <w:tcW w:w="1080" w:type="dxa"/>
            <w:tcBorders>
              <w:top w:val="nil"/>
              <w:left w:val="nil"/>
              <w:bottom w:val="single" w:sz="4" w:space="0" w:color="auto"/>
              <w:right w:val="single" w:sz="4" w:space="0" w:color="auto"/>
            </w:tcBorders>
            <w:shd w:val="clear" w:color="auto" w:fill="auto"/>
            <w:vAlign w:val="center"/>
            <w:hideMark/>
          </w:tcPr>
          <w:p w14:paraId="163213C7"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153</w:t>
            </w:r>
          </w:p>
        </w:tc>
        <w:tc>
          <w:tcPr>
            <w:tcW w:w="990" w:type="dxa"/>
            <w:tcBorders>
              <w:top w:val="nil"/>
              <w:left w:val="nil"/>
              <w:bottom w:val="single" w:sz="4" w:space="0" w:color="auto"/>
              <w:right w:val="single" w:sz="4" w:space="0" w:color="auto"/>
            </w:tcBorders>
            <w:shd w:val="clear" w:color="auto" w:fill="auto"/>
            <w:vAlign w:val="center"/>
            <w:hideMark/>
          </w:tcPr>
          <w:p w14:paraId="1A2D65F4"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5AACFF01" w14:textId="77777777" w:rsidR="00B31D5A" w:rsidRPr="001E6CEC" w:rsidRDefault="00B31D5A" w:rsidP="00DC5EA1">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36</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39BFC080"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1.7%</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0C48C100"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4,255</w:t>
            </w:r>
          </w:p>
        </w:tc>
      </w:tr>
      <w:tr w:rsidR="00B31D5A" w:rsidRPr="001E6CEC" w14:paraId="66748890" w14:textId="77777777" w:rsidTr="00892692">
        <w:trPr>
          <w:trHeight w:val="432"/>
        </w:trPr>
        <w:tc>
          <w:tcPr>
            <w:tcW w:w="2767" w:type="dxa"/>
            <w:tcBorders>
              <w:top w:val="nil"/>
              <w:left w:val="single" w:sz="4" w:space="0" w:color="auto"/>
              <w:bottom w:val="single" w:sz="4" w:space="0" w:color="auto"/>
              <w:right w:val="single" w:sz="4" w:space="0" w:color="auto"/>
            </w:tcBorders>
            <w:shd w:val="clear" w:color="auto" w:fill="auto"/>
            <w:vAlign w:val="center"/>
            <w:hideMark/>
          </w:tcPr>
          <w:p w14:paraId="2BD68AE6" w14:textId="77777777" w:rsidR="00B31D5A" w:rsidRPr="001E6CEC" w:rsidRDefault="00B31D5A" w:rsidP="00A90779">
            <w:pPr>
              <w:spacing w:after="0" w:line="240" w:lineRule="auto"/>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21 Mining, Quarrying, and Oil and Gas Extraction </w:t>
            </w:r>
          </w:p>
        </w:tc>
        <w:tc>
          <w:tcPr>
            <w:tcW w:w="1170" w:type="dxa"/>
            <w:tcBorders>
              <w:top w:val="nil"/>
              <w:left w:val="nil"/>
              <w:bottom w:val="single" w:sz="4" w:space="0" w:color="auto"/>
              <w:right w:val="single" w:sz="4" w:space="0" w:color="auto"/>
            </w:tcBorders>
            <w:shd w:val="clear" w:color="auto" w:fill="auto"/>
            <w:vAlign w:val="center"/>
            <w:hideMark/>
          </w:tcPr>
          <w:p w14:paraId="609B696D"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176</w:t>
            </w:r>
          </w:p>
        </w:tc>
        <w:tc>
          <w:tcPr>
            <w:tcW w:w="1080" w:type="dxa"/>
            <w:tcBorders>
              <w:top w:val="nil"/>
              <w:left w:val="nil"/>
              <w:bottom w:val="single" w:sz="4" w:space="0" w:color="auto"/>
              <w:right w:val="single" w:sz="4" w:space="0" w:color="auto"/>
            </w:tcBorders>
            <w:shd w:val="clear" w:color="auto" w:fill="auto"/>
            <w:vAlign w:val="center"/>
            <w:hideMark/>
          </w:tcPr>
          <w:p w14:paraId="45286C90"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92</w:t>
            </w:r>
          </w:p>
        </w:tc>
        <w:tc>
          <w:tcPr>
            <w:tcW w:w="990" w:type="dxa"/>
            <w:tcBorders>
              <w:top w:val="nil"/>
              <w:left w:val="nil"/>
              <w:bottom w:val="single" w:sz="4" w:space="0" w:color="auto"/>
              <w:right w:val="single" w:sz="4" w:space="0" w:color="auto"/>
            </w:tcBorders>
            <w:shd w:val="clear" w:color="auto" w:fill="auto"/>
            <w:vAlign w:val="center"/>
            <w:hideMark/>
          </w:tcPr>
          <w:p w14:paraId="3AD9B4B8"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w:t>
            </w:r>
          </w:p>
        </w:tc>
        <w:tc>
          <w:tcPr>
            <w:tcW w:w="990" w:type="dxa"/>
            <w:tcBorders>
              <w:top w:val="nil"/>
              <w:left w:val="nil"/>
              <w:bottom w:val="single" w:sz="4" w:space="0" w:color="auto"/>
              <w:right w:val="single" w:sz="4" w:space="0" w:color="auto"/>
            </w:tcBorders>
            <w:shd w:val="clear" w:color="auto" w:fill="auto"/>
            <w:vAlign w:val="center"/>
            <w:hideMark/>
          </w:tcPr>
          <w:p w14:paraId="4CF6B99B" w14:textId="77777777" w:rsidR="00B31D5A" w:rsidRPr="001E6CEC" w:rsidRDefault="00B31D5A" w:rsidP="00DC5EA1">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6</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303B4314"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0.3%</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6C8932F3"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15,403</w:t>
            </w:r>
          </w:p>
        </w:tc>
      </w:tr>
      <w:tr w:rsidR="00B31D5A" w:rsidRPr="001E6CEC" w14:paraId="1CB433ED" w14:textId="77777777" w:rsidTr="00892692">
        <w:trPr>
          <w:trHeight w:val="432"/>
        </w:trPr>
        <w:tc>
          <w:tcPr>
            <w:tcW w:w="2767" w:type="dxa"/>
            <w:tcBorders>
              <w:top w:val="nil"/>
              <w:left w:val="single" w:sz="4" w:space="0" w:color="auto"/>
              <w:bottom w:val="single" w:sz="4" w:space="0" w:color="auto"/>
              <w:right w:val="single" w:sz="4" w:space="0" w:color="auto"/>
            </w:tcBorders>
            <w:shd w:val="clear" w:color="auto" w:fill="auto"/>
            <w:vAlign w:val="center"/>
            <w:hideMark/>
          </w:tcPr>
          <w:p w14:paraId="1FA7F8EC" w14:textId="77777777" w:rsidR="00B31D5A" w:rsidRPr="001E6CEC" w:rsidRDefault="00B31D5A" w:rsidP="00A90779">
            <w:pPr>
              <w:spacing w:after="0" w:line="240" w:lineRule="auto"/>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22 Utilities </w:t>
            </w:r>
          </w:p>
        </w:tc>
        <w:tc>
          <w:tcPr>
            <w:tcW w:w="1170" w:type="dxa"/>
            <w:tcBorders>
              <w:top w:val="nil"/>
              <w:left w:val="nil"/>
              <w:bottom w:val="single" w:sz="4" w:space="0" w:color="auto"/>
              <w:right w:val="single" w:sz="4" w:space="0" w:color="auto"/>
            </w:tcBorders>
            <w:shd w:val="clear" w:color="auto" w:fill="auto"/>
            <w:vAlign w:val="center"/>
            <w:hideMark/>
          </w:tcPr>
          <w:p w14:paraId="0A052BD6"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1,681</w:t>
            </w:r>
          </w:p>
        </w:tc>
        <w:tc>
          <w:tcPr>
            <w:tcW w:w="1080" w:type="dxa"/>
            <w:tcBorders>
              <w:top w:val="nil"/>
              <w:left w:val="nil"/>
              <w:bottom w:val="single" w:sz="4" w:space="0" w:color="auto"/>
              <w:right w:val="single" w:sz="4" w:space="0" w:color="auto"/>
            </w:tcBorders>
            <w:shd w:val="clear" w:color="auto" w:fill="auto"/>
            <w:vAlign w:val="center"/>
            <w:hideMark/>
          </w:tcPr>
          <w:p w14:paraId="036F69C4"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650</w:t>
            </w:r>
          </w:p>
        </w:tc>
        <w:tc>
          <w:tcPr>
            <w:tcW w:w="990" w:type="dxa"/>
            <w:tcBorders>
              <w:top w:val="nil"/>
              <w:left w:val="nil"/>
              <w:bottom w:val="single" w:sz="4" w:space="0" w:color="auto"/>
              <w:right w:val="single" w:sz="4" w:space="0" w:color="auto"/>
            </w:tcBorders>
            <w:shd w:val="clear" w:color="auto" w:fill="auto"/>
            <w:vAlign w:val="center"/>
            <w:hideMark/>
          </w:tcPr>
          <w:p w14:paraId="64394072"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w:t>
            </w:r>
          </w:p>
        </w:tc>
        <w:tc>
          <w:tcPr>
            <w:tcW w:w="990" w:type="dxa"/>
            <w:tcBorders>
              <w:top w:val="nil"/>
              <w:left w:val="nil"/>
              <w:bottom w:val="single" w:sz="4" w:space="0" w:color="auto"/>
              <w:right w:val="single" w:sz="4" w:space="0" w:color="auto"/>
            </w:tcBorders>
            <w:shd w:val="clear" w:color="auto" w:fill="auto"/>
            <w:vAlign w:val="center"/>
            <w:hideMark/>
          </w:tcPr>
          <w:p w14:paraId="036A30C1" w14:textId="77777777" w:rsidR="00B31D5A" w:rsidRPr="001E6CEC" w:rsidRDefault="00B31D5A" w:rsidP="00DC5EA1">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5</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1BDD1FB3"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0.2%</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0D15E9BA"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130,096</w:t>
            </w:r>
          </w:p>
        </w:tc>
      </w:tr>
      <w:tr w:rsidR="00B31D5A" w:rsidRPr="001E6CEC" w14:paraId="3EE2C517" w14:textId="77777777" w:rsidTr="00892692">
        <w:trPr>
          <w:trHeight w:val="432"/>
        </w:trPr>
        <w:tc>
          <w:tcPr>
            <w:tcW w:w="2767" w:type="dxa"/>
            <w:tcBorders>
              <w:top w:val="nil"/>
              <w:left w:val="single" w:sz="4" w:space="0" w:color="auto"/>
              <w:bottom w:val="single" w:sz="4" w:space="0" w:color="auto"/>
              <w:right w:val="single" w:sz="4" w:space="0" w:color="auto"/>
            </w:tcBorders>
            <w:shd w:val="clear" w:color="auto" w:fill="auto"/>
            <w:vAlign w:val="center"/>
            <w:hideMark/>
          </w:tcPr>
          <w:p w14:paraId="4838DD25" w14:textId="77777777" w:rsidR="00B31D5A" w:rsidRPr="001E6CEC" w:rsidRDefault="00B31D5A" w:rsidP="00A90779">
            <w:pPr>
              <w:spacing w:after="0" w:line="240" w:lineRule="auto"/>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23 Construction </w:t>
            </w:r>
          </w:p>
        </w:tc>
        <w:tc>
          <w:tcPr>
            <w:tcW w:w="1170" w:type="dxa"/>
            <w:tcBorders>
              <w:top w:val="nil"/>
              <w:left w:val="nil"/>
              <w:bottom w:val="single" w:sz="4" w:space="0" w:color="auto"/>
              <w:right w:val="single" w:sz="4" w:space="0" w:color="auto"/>
            </w:tcBorders>
            <w:shd w:val="clear" w:color="auto" w:fill="auto"/>
            <w:vAlign w:val="center"/>
            <w:hideMark/>
          </w:tcPr>
          <w:p w14:paraId="4888AA4F"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1,728</w:t>
            </w:r>
          </w:p>
        </w:tc>
        <w:tc>
          <w:tcPr>
            <w:tcW w:w="1080" w:type="dxa"/>
            <w:tcBorders>
              <w:top w:val="nil"/>
              <w:left w:val="nil"/>
              <w:bottom w:val="single" w:sz="4" w:space="0" w:color="auto"/>
              <w:right w:val="single" w:sz="4" w:space="0" w:color="auto"/>
            </w:tcBorders>
            <w:shd w:val="clear" w:color="auto" w:fill="auto"/>
            <w:vAlign w:val="center"/>
            <w:hideMark/>
          </w:tcPr>
          <w:p w14:paraId="3DFA78AF"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273</w:t>
            </w:r>
          </w:p>
        </w:tc>
        <w:tc>
          <w:tcPr>
            <w:tcW w:w="990" w:type="dxa"/>
            <w:tcBorders>
              <w:top w:val="nil"/>
              <w:left w:val="nil"/>
              <w:bottom w:val="single" w:sz="4" w:space="0" w:color="auto"/>
              <w:right w:val="single" w:sz="4" w:space="0" w:color="auto"/>
            </w:tcBorders>
            <w:shd w:val="clear" w:color="auto" w:fill="auto"/>
            <w:vAlign w:val="center"/>
            <w:hideMark/>
          </w:tcPr>
          <w:p w14:paraId="4CF49F33"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w:t>
            </w:r>
          </w:p>
        </w:tc>
        <w:tc>
          <w:tcPr>
            <w:tcW w:w="990" w:type="dxa"/>
            <w:tcBorders>
              <w:top w:val="nil"/>
              <w:left w:val="nil"/>
              <w:bottom w:val="single" w:sz="4" w:space="0" w:color="auto"/>
              <w:right w:val="single" w:sz="4" w:space="0" w:color="auto"/>
            </w:tcBorders>
            <w:shd w:val="clear" w:color="auto" w:fill="auto"/>
            <w:vAlign w:val="center"/>
            <w:hideMark/>
          </w:tcPr>
          <w:p w14:paraId="5F8C4842" w14:textId="77777777" w:rsidR="00B31D5A" w:rsidRPr="001E6CEC" w:rsidRDefault="00B31D5A" w:rsidP="00DC5EA1">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29</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23BCF8ED"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1.3%</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23A6539F"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9,423</w:t>
            </w:r>
          </w:p>
        </w:tc>
      </w:tr>
      <w:tr w:rsidR="00B31D5A" w:rsidRPr="001E6CEC" w14:paraId="3A809920" w14:textId="77777777" w:rsidTr="00892692">
        <w:trPr>
          <w:trHeight w:val="432"/>
        </w:trPr>
        <w:tc>
          <w:tcPr>
            <w:tcW w:w="2767" w:type="dxa"/>
            <w:tcBorders>
              <w:top w:val="nil"/>
              <w:left w:val="single" w:sz="4" w:space="0" w:color="auto"/>
              <w:bottom w:val="single" w:sz="4" w:space="0" w:color="auto"/>
              <w:right w:val="single" w:sz="4" w:space="0" w:color="auto"/>
            </w:tcBorders>
            <w:shd w:val="clear" w:color="auto" w:fill="auto"/>
            <w:vAlign w:val="center"/>
            <w:hideMark/>
          </w:tcPr>
          <w:p w14:paraId="1CAFE464" w14:textId="77777777" w:rsidR="00B31D5A" w:rsidRPr="001E6CEC" w:rsidRDefault="00B31D5A" w:rsidP="00A90779">
            <w:pPr>
              <w:spacing w:after="0" w:line="240" w:lineRule="auto"/>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31-33 Manufacturing </w:t>
            </w:r>
          </w:p>
        </w:tc>
        <w:tc>
          <w:tcPr>
            <w:tcW w:w="1170" w:type="dxa"/>
            <w:tcBorders>
              <w:top w:val="nil"/>
              <w:left w:val="nil"/>
              <w:bottom w:val="single" w:sz="4" w:space="0" w:color="auto"/>
              <w:right w:val="single" w:sz="4" w:space="0" w:color="auto"/>
            </w:tcBorders>
            <w:shd w:val="clear" w:color="auto" w:fill="auto"/>
            <w:vAlign w:val="center"/>
            <w:hideMark/>
          </w:tcPr>
          <w:p w14:paraId="22D98C6C"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49,796</w:t>
            </w:r>
          </w:p>
        </w:tc>
        <w:tc>
          <w:tcPr>
            <w:tcW w:w="1080" w:type="dxa"/>
            <w:tcBorders>
              <w:top w:val="nil"/>
              <w:left w:val="nil"/>
              <w:bottom w:val="single" w:sz="4" w:space="0" w:color="auto"/>
              <w:right w:val="single" w:sz="4" w:space="0" w:color="auto"/>
            </w:tcBorders>
            <w:shd w:val="clear" w:color="auto" w:fill="auto"/>
            <w:vAlign w:val="center"/>
            <w:hideMark/>
          </w:tcPr>
          <w:p w14:paraId="0EECD8A3"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33,034</w:t>
            </w:r>
          </w:p>
        </w:tc>
        <w:tc>
          <w:tcPr>
            <w:tcW w:w="990" w:type="dxa"/>
            <w:tcBorders>
              <w:top w:val="nil"/>
              <w:left w:val="nil"/>
              <w:bottom w:val="single" w:sz="4" w:space="0" w:color="auto"/>
              <w:right w:val="single" w:sz="4" w:space="0" w:color="auto"/>
            </w:tcBorders>
            <w:shd w:val="clear" w:color="auto" w:fill="auto"/>
            <w:vAlign w:val="center"/>
            <w:hideMark/>
          </w:tcPr>
          <w:p w14:paraId="2F3FB10B"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3,730</w:t>
            </w:r>
          </w:p>
        </w:tc>
        <w:tc>
          <w:tcPr>
            <w:tcW w:w="990" w:type="dxa"/>
            <w:tcBorders>
              <w:top w:val="nil"/>
              <w:left w:val="nil"/>
              <w:bottom w:val="single" w:sz="4" w:space="0" w:color="auto"/>
              <w:right w:val="single" w:sz="4" w:space="0" w:color="auto"/>
            </w:tcBorders>
            <w:shd w:val="clear" w:color="auto" w:fill="auto"/>
            <w:vAlign w:val="center"/>
            <w:hideMark/>
          </w:tcPr>
          <w:p w14:paraId="3977C5F1" w14:textId="77777777" w:rsidR="00B31D5A" w:rsidRPr="001E6CEC" w:rsidRDefault="00B31D5A" w:rsidP="00DC5EA1">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1,399</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42F18B50"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64.1%</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477A50F5"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26,279</w:t>
            </w:r>
          </w:p>
        </w:tc>
      </w:tr>
      <w:tr w:rsidR="00B31D5A" w:rsidRPr="001E6CEC" w14:paraId="172A3CE8" w14:textId="77777777" w:rsidTr="00892692">
        <w:trPr>
          <w:trHeight w:val="432"/>
        </w:trPr>
        <w:tc>
          <w:tcPr>
            <w:tcW w:w="2767" w:type="dxa"/>
            <w:tcBorders>
              <w:top w:val="nil"/>
              <w:left w:val="single" w:sz="4" w:space="0" w:color="auto"/>
              <w:bottom w:val="single" w:sz="4" w:space="0" w:color="auto"/>
              <w:right w:val="single" w:sz="4" w:space="0" w:color="auto"/>
            </w:tcBorders>
            <w:shd w:val="clear" w:color="auto" w:fill="auto"/>
            <w:vAlign w:val="center"/>
            <w:hideMark/>
          </w:tcPr>
          <w:p w14:paraId="727F3D75" w14:textId="77777777" w:rsidR="00B31D5A" w:rsidRPr="001E6CEC" w:rsidRDefault="00B31D5A" w:rsidP="00A90779">
            <w:pPr>
              <w:spacing w:after="0" w:line="240" w:lineRule="auto"/>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42 Wholesale Trade </w:t>
            </w:r>
          </w:p>
        </w:tc>
        <w:tc>
          <w:tcPr>
            <w:tcW w:w="1170" w:type="dxa"/>
            <w:tcBorders>
              <w:top w:val="nil"/>
              <w:left w:val="nil"/>
              <w:bottom w:val="single" w:sz="4" w:space="0" w:color="auto"/>
              <w:right w:val="single" w:sz="4" w:space="0" w:color="auto"/>
            </w:tcBorders>
            <w:shd w:val="clear" w:color="auto" w:fill="auto"/>
            <w:vAlign w:val="center"/>
            <w:hideMark/>
          </w:tcPr>
          <w:p w14:paraId="1665B3BB"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9,864</w:t>
            </w:r>
          </w:p>
        </w:tc>
        <w:tc>
          <w:tcPr>
            <w:tcW w:w="1080" w:type="dxa"/>
            <w:tcBorders>
              <w:top w:val="nil"/>
              <w:left w:val="nil"/>
              <w:bottom w:val="single" w:sz="4" w:space="0" w:color="auto"/>
              <w:right w:val="single" w:sz="4" w:space="0" w:color="auto"/>
            </w:tcBorders>
            <w:shd w:val="clear" w:color="auto" w:fill="auto"/>
            <w:vAlign w:val="center"/>
            <w:hideMark/>
          </w:tcPr>
          <w:p w14:paraId="56ACDB15"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3,735</w:t>
            </w:r>
          </w:p>
        </w:tc>
        <w:tc>
          <w:tcPr>
            <w:tcW w:w="990" w:type="dxa"/>
            <w:tcBorders>
              <w:top w:val="nil"/>
              <w:left w:val="nil"/>
              <w:bottom w:val="single" w:sz="4" w:space="0" w:color="auto"/>
              <w:right w:val="single" w:sz="4" w:space="0" w:color="auto"/>
            </w:tcBorders>
            <w:shd w:val="clear" w:color="auto" w:fill="auto"/>
            <w:vAlign w:val="center"/>
            <w:hideMark/>
          </w:tcPr>
          <w:p w14:paraId="405D9FC7"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63</w:t>
            </w:r>
          </w:p>
        </w:tc>
        <w:tc>
          <w:tcPr>
            <w:tcW w:w="990" w:type="dxa"/>
            <w:tcBorders>
              <w:top w:val="nil"/>
              <w:left w:val="nil"/>
              <w:bottom w:val="single" w:sz="4" w:space="0" w:color="auto"/>
              <w:right w:val="single" w:sz="4" w:space="0" w:color="auto"/>
            </w:tcBorders>
            <w:shd w:val="clear" w:color="auto" w:fill="auto"/>
            <w:vAlign w:val="center"/>
            <w:hideMark/>
          </w:tcPr>
          <w:p w14:paraId="62C76564" w14:textId="77777777" w:rsidR="00B31D5A" w:rsidRPr="001E6CEC" w:rsidRDefault="00B31D5A" w:rsidP="00DC5EA1">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98</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16898DD7"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4.5%</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361322C9"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38,759</w:t>
            </w:r>
          </w:p>
        </w:tc>
      </w:tr>
      <w:tr w:rsidR="00B31D5A" w:rsidRPr="001E6CEC" w14:paraId="45BB7E05" w14:textId="77777777" w:rsidTr="00892692">
        <w:trPr>
          <w:trHeight w:val="432"/>
        </w:trPr>
        <w:tc>
          <w:tcPr>
            <w:tcW w:w="2767" w:type="dxa"/>
            <w:tcBorders>
              <w:top w:val="nil"/>
              <w:left w:val="single" w:sz="4" w:space="0" w:color="auto"/>
              <w:bottom w:val="single" w:sz="4" w:space="0" w:color="auto"/>
              <w:right w:val="single" w:sz="4" w:space="0" w:color="auto"/>
            </w:tcBorders>
            <w:shd w:val="clear" w:color="auto" w:fill="auto"/>
            <w:vAlign w:val="center"/>
            <w:hideMark/>
          </w:tcPr>
          <w:p w14:paraId="4A6F597C" w14:textId="77777777" w:rsidR="00B31D5A" w:rsidRPr="001E6CEC" w:rsidRDefault="00B31D5A" w:rsidP="00A90779">
            <w:pPr>
              <w:spacing w:after="0" w:line="240" w:lineRule="auto"/>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44-45 Retail Trade </w:t>
            </w:r>
          </w:p>
        </w:tc>
        <w:tc>
          <w:tcPr>
            <w:tcW w:w="1170" w:type="dxa"/>
            <w:tcBorders>
              <w:top w:val="nil"/>
              <w:left w:val="nil"/>
              <w:bottom w:val="single" w:sz="4" w:space="0" w:color="auto"/>
              <w:right w:val="single" w:sz="4" w:space="0" w:color="auto"/>
            </w:tcBorders>
            <w:shd w:val="clear" w:color="auto" w:fill="auto"/>
            <w:vAlign w:val="center"/>
            <w:hideMark/>
          </w:tcPr>
          <w:p w14:paraId="2CC8D5A5"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693</w:t>
            </w:r>
          </w:p>
        </w:tc>
        <w:tc>
          <w:tcPr>
            <w:tcW w:w="1080" w:type="dxa"/>
            <w:tcBorders>
              <w:top w:val="nil"/>
              <w:left w:val="nil"/>
              <w:bottom w:val="single" w:sz="4" w:space="0" w:color="auto"/>
              <w:right w:val="single" w:sz="4" w:space="0" w:color="auto"/>
            </w:tcBorders>
            <w:shd w:val="clear" w:color="auto" w:fill="auto"/>
            <w:vAlign w:val="center"/>
            <w:hideMark/>
          </w:tcPr>
          <w:p w14:paraId="2FB8EE7D"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178</w:t>
            </w:r>
          </w:p>
        </w:tc>
        <w:tc>
          <w:tcPr>
            <w:tcW w:w="990" w:type="dxa"/>
            <w:tcBorders>
              <w:top w:val="nil"/>
              <w:left w:val="nil"/>
              <w:bottom w:val="single" w:sz="4" w:space="0" w:color="auto"/>
              <w:right w:val="single" w:sz="4" w:space="0" w:color="auto"/>
            </w:tcBorders>
            <w:shd w:val="clear" w:color="auto" w:fill="auto"/>
            <w:vAlign w:val="center"/>
            <w:hideMark/>
          </w:tcPr>
          <w:p w14:paraId="64A1F931"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6</w:t>
            </w:r>
          </w:p>
        </w:tc>
        <w:tc>
          <w:tcPr>
            <w:tcW w:w="990" w:type="dxa"/>
            <w:tcBorders>
              <w:top w:val="nil"/>
              <w:left w:val="nil"/>
              <w:bottom w:val="single" w:sz="4" w:space="0" w:color="auto"/>
              <w:right w:val="single" w:sz="4" w:space="0" w:color="auto"/>
            </w:tcBorders>
            <w:shd w:val="clear" w:color="auto" w:fill="auto"/>
            <w:vAlign w:val="center"/>
            <w:hideMark/>
          </w:tcPr>
          <w:p w14:paraId="34E1A717" w14:textId="77777777" w:rsidR="00B31D5A" w:rsidRPr="001E6CEC" w:rsidRDefault="00B31D5A" w:rsidP="00DC5EA1">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19</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4FD3F279"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0.9%</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1109F2FD"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9,693</w:t>
            </w:r>
          </w:p>
        </w:tc>
      </w:tr>
      <w:tr w:rsidR="00B31D5A" w:rsidRPr="001E6CEC" w14:paraId="2C453D09" w14:textId="77777777" w:rsidTr="00892692">
        <w:trPr>
          <w:trHeight w:val="432"/>
        </w:trPr>
        <w:tc>
          <w:tcPr>
            <w:tcW w:w="2767" w:type="dxa"/>
            <w:tcBorders>
              <w:top w:val="nil"/>
              <w:left w:val="single" w:sz="4" w:space="0" w:color="auto"/>
              <w:bottom w:val="single" w:sz="4" w:space="0" w:color="auto"/>
              <w:right w:val="single" w:sz="4" w:space="0" w:color="auto"/>
            </w:tcBorders>
            <w:shd w:val="clear" w:color="auto" w:fill="auto"/>
            <w:vAlign w:val="center"/>
            <w:hideMark/>
          </w:tcPr>
          <w:p w14:paraId="44DE62CD" w14:textId="77777777" w:rsidR="00B31D5A" w:rsidRPr="001E6CEC" w:rsidRDefault="00B31D5A" w:rsidP="00A90779">
            <w:pPr>
              <w:spacing w:after="0" w:line="240" w:lineRule="auto"/>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48-49 Transportation and Warehousing </w:t>
            </w:r>
          </w:p>
        </w:tc>
        <w:tc>
          <w:tcPr>
            <w:tcW w:w="1170" w:type="dxa"/>
            <w:tcBorders>
              <w:top w:val="nil"/>
              <w:left w:val="nil"/>
              <w:bottom w:val="single" w:sz="4" w:space="0" w:color="auto"/>
              <w:right w:val="single" w:sz="4" w:space="0" w:color="auto"/>
            </w:tcBorders>
            <w:shd w:val="clear" w:color="auto" w:fill="auto"/>
            <w:vAlign w:val="center"/>
            <w:hideMark/>
          </w:tcPr>
          <w:p w14:paraId="22813C46"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18</w:t>
            </w:r>
          </w:p>
        </w:tc>
        <w:tc>
          <w:tcPr>
            <w:tcW w:w="1080" w:type="dxa"/>
            <w:tcBorders>
              <w:top w:val="nil"/>
              <w:left w:val="nil"/>
              <w:bottom w:val="single" w:sz="4" w:space="0" w:color="auto"/>
              <w:right w:val="single" w:sz="4" w:space="0" w:color="auto"/>
            </w:tcBorders>
            <w:shd w:val="clear" w:color="auto" w:fill="auto"/>
            <w:vAlign w:val="center"/>
            <w:hideMark/>
          </w:tcPr>
          <w:p w14:paraId="52F20F30"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115</w:t>
            </w:r>
          </w:p>
        </w:tc>
        <w:tc>
          <w:tcPr>
            <w:tcW w:w="990" w:type="dxa"/>
            <w:tcBorders>
              <w:top w:val="nil"/>
              <w:left w:val="nil"/>
              <w:bottom w:val="single" w:sz="4" w:space="0" w:color="auto"/>
              <w:right w:val="single" w:sz="4" w:space="0" w:color="auto"/>
            </w:tcBorders>
            <w:shd w:val="clear" w:color="auto" w:fill="auto"/>
            <w:vAlign w:val="center"/>
            <w:hideMark/>
          </w:tcPr>
          <w:p w14:paraId="2B3D8266"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195</w:t>
            </w:r>
          </w:p>
        </w:tc>
        <w:tc>
          <w:tcPr>
            <w:tcW w:w="990" w:type="dxa"/>
            <w:tcBorders>
              <w:top w:val="nil"/>
              <w:left w:val="nil"/>
              <w:bottom w:val="single" w:sz="4" w:space="0" w:color="auto"/>
              <w:right w:val="single" w:sz="4" w:space="0" w:color="auto"/>
            </w:tcBorders>
            <w:shd w:val="clear" w:color="auto" w:fill="auto"/>
            <w:vAlign w:val="center"/>
            <w:hideMark/>
          </w:tcPr>
          <w:p w14:paraId="71C05459" w14:textId="77777777" w:rsidR="00B31D5A" w:rsidRPr="001E6CEC" w:rsidRDefault="00B31D5A" w:rsidP="00DC5EA1">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9</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7A70DD9A"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0.4%</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56F26623"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34,463</w:t>
            </w:r>
          </w:p>
        </w:tc>
      </w:tr>
      <w:tr w:rsidR="00B31D5A" w:rsidRPr="001E6CEC" w14:paraId="0CB161FD" w14:textId="77777777" w:rsidTr="00892692">
        <w:trPr>
          <w:trHeight w:val="432"/>
        </w:trPr>
        <w:tc>
          <w:tcPr>
            <w:tcW w:w="2767" w:type="dxa"/>
            <w:tcBorders>
              <w:top w:val="nil"/>
              <w:left w:val="single" w:sz="4" w:space="0" w:color="auto"/>
              <w:bottom w:val="single" w:sz="4" w:space="0" w:color="auto"/>
              <w:right w:val="single" w:sz="4" w:space="0" w:color="auto"/>
            </w:tcBorders>
            <w:shd w:val="clear" w:color="auto" w:fill="auto"/>
            <w:vAlign w:val="center"/>
            <w:hideMark/>
          </w:tcPr>
          <w:p w14:paraId="77434075" w14:textId="77777777" w:rsidR="00B31D5A" w:rsidRPr="001E6CEC" w:rsidRDefault="00B31D5A" w:rsidP="00A90779">
            <w:pPr>
              <w:spacing w:after="0" w:line="240" w:lineRule="auto"/>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51 Information </w:t>
            </w:r>
          </w:p>
        </w:tc>
        <w:tc>
          <w:tcPr>
            <w:tcW w:w="1170" w:type="dxa"/>
            <w:tcBorders>
              <w:top w:val="nil"/>
              <w:left w:val="nil"/>
              <w:bottom w:val="single" w:sz="4" w:space="0" w:color="auto"/>
              <w:right w:val="single" w:sz="4" w:space="0" w:color="auto"/>
            </w:tcBorders>
            <w:shd w:val="clear" w:color="auto" w:fill="auto"/>
            <w:vAlign w:val="center"/>
            <w:hideMark/>
          </w:tcPr>
          <w:p w14:paraId="6A0CBF90"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676</w:t>
            </w:r>
          </w:p>
        </w:tc>
        <w:tc>
          <w:tcPr>
            <w:tcW w:w="1080" w:type="dxa"/>
            <w:tcBorders>
              <w:top w:val="nil"/>
              <w:left w:val="nil"/>
              <w:bottom w:val="single" w:sz="4" w:space="0" w:color="auto"/>
              <w:right w:val="single" w:sz="4" w:space="0" w:color="auto"/>
            </w:tcBorders>
            <w:shd w:val="clear" w:color="auto" w:fill="auto"/>
            <w:vAlign w:val="center"/>
            <w:hideMark/>
          </w:tcPr>
          <w:p w14:paraId="061DE948"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423</w:t>
            </w:r>
          </w:p>
        </w:tc>
        <w:tc>
          <w:tcPr>
            <w:tcW w:w="990" w:type="dxa"/>
            <w:tcBorders>
              <w:top w:val="nil"/>
              <w:left w:val="nil"/>
              <w:bottom w:val="single" w:sz="4" w:space="0" w:color="auto"/>
              <w:right w:val="single" w:sz="4" w:space="0" w:color="auto"/>
            </w:tcBorders>
            <w:shd w:val="clear" w:color="auto" w:fill="auto"/>
            <w:vAlign w:val="center"/>
            <w:hideMark/>
          </w:tcPr>
          <w:p w14:paraId="448B2D32"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1,115</w:t>
            </w:r>
          </w:p>
        </w:tc>
        <w:tc>
          <w:tcPr>
            <w:tcW w:w="990" w:type="dxa"/>
            <w:tcBorders>
              <w:top w:val="nil"/>
              <w:left w:val="nil"/>
              <w:bottom w:val="single" w:sz="4" w:space="0" w:color="auto"/>
              <w:right w:val="single" w:sz="4" w:space="0" w:color="auto"/>
            </w:tcBorders>
            <w:shd w:val="clear" w:color="auto" w:fill="auto"/>
            <w:vAlign w:val="center"/>
            <w:hideMark/>
          </w:tcPr>
          <w:p w14:paraId="2A51C04A" w14:textId="77777777" w:rsidR="00B31D5A" w:rsidRPr="001E6CEC" w:rsidRDefault="00B31D5A" w:rsidP="00DC5EA1">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53</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1D4AAAA8"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2.4%</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5481A55A"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29,005</w:t>
            </w:r>
          </w:p>
        </w:tc>
      </w:tr>
      <w:tr w:rsidR="00B31D5A" w:rsidRPr="001E6CEC" w14:paraId="0F105489" w14:textId="77777777" w:rsidTr="00892692">
        <w:trPr>
          <w:trHeight w:val="432"/>
        </w:trPr>
        <w:tc>
          <w:tcPr>
            <w:tcW w:w="2767" w:type="dxa"/>
            <w:tcBorders>
              <w:top w:val="nil"/>
              <w:left w:val="single" w:sz="4" w:space="0" w:color="auto"/>
              <w:bottom w:val="single" w:sz="4" w:space="0" w:color="auto"/>
              <w:right w:val="single" w:sz="4" w:space="0" w:color="auto"/>
            </w:tcBorders>
            <w:shd w:val="clear" w:color="auto" w:fill="auto"/>
            <w:vAlign w:val="center"/>
            <w:hideMark/>
          </w:tcPr>
          <w:p w14:paraId="0C08D6CB" w14:textId="77777777" w:rsidR="00B31D5A" w:rsidRPr="001E6CEC" w:rsidRDefault="00B31D5A" w:rsidP="00A90779">
            <w:pPr>
              <w:spacing w:after="0" w:line="240" w:lineRule="auto"/>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52 Finance </w:t>
            </w:r>
          </w:p>
        </w:tc>
        <w:tc>
          <w:tcPr>
            <w:tcW w:w="1170" w:type="dxa"/>
            <w:tcBorders>
              <w:top w:val="nil"/>
              <w:left w:val="nil"/>
              <w:bottom w:val="single" w:sz="4" w:space="0" w:color="auto"/>
              <w:right w:val="single" w:sz="4" w:space="0" w:color="auto"/>
            </w:tcBorders>
            <w:shd w:val="clear" w:color="auto" w:fill="auto"/>
            <w:vAlign w:val="center"/>
            <w:hideMark/>
          </w:tcPr>
          <w:p w14:paraId="4A24DFD8"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311</w:t>
            </w:r>
          </w:p>
        </w:tc>
        <w:tc>
          <w:tcPr>
            <w:tcW w:w="1080" w:type="dxa"/>
            <w:tcBorders>
              <w:top w:val="nil"/>
              <w:left w:val="nil"/>
              <w:bottom w:val="single" w:sz="4" w:space="0" w:color="auto"/>
              <w:right w:val="single" w:sz="4" w:space="0" w:color="auto"/>
            </w:tcBorders>
            <w:shd w:val="clear" w:color="auto" w:fill="auto"/>
            <w:vAlign w:val="center"/>
            <w:hideMark/>
          </w:tcPr>
          <w:p w14:paraId="03AC40DB"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104</w:t>
            </w:r>
          </w:p>
        </w:tc>
        <w:tc>
          <w:tcPr>
            <w:tcW w:w="990" w:type="dxa"/>
            <w:tcBorders>
              <w:top w:val="nil"/>
              <w:left w:val="nil"/>
              <w:bottom w:val="single" w:sz="4" w:space="0" w:color="auto"/>
              <w:right w:val="single" w:sz="4" w:space="0" w:color="auto"/>
            </w:tcBorders>
            <w:shd w:val="clear" w:color="auto" w:fill="auto"/>
            <w:vAlign w:val="center"/>
            <w:hideMark/>
          </w:tcPr>
          <w:p w14:paraId="0240CDCE"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w:t>
            </w:r>
          </w:p>
        </w:tc>
        <w:tc>
          <w:tcPr>
            <w:tcW w:w="990" w:type="dxa"/>
            <w:tcBorders>
              <w:top w:val="nil"/>
              <w:left w:val="nil"/>
              <w:bottom w:val="single" w:sz="4" w:space="0" w:color="auto"/>
              <w:right w:val="single" w:sz="4" w:space="0" w:color="auto"/>
            </w:tcBorders>
            <w:shd w:val="clear" w:color="auto" w:fill="auto"/>
            <w:vAlign w:val="center"/>
            <w:hideMark/>
          </w:tcPr>
          <w:p w14:paraId="0B240CD0" w14:textId="77777777" w:rsidR="00B31D5A" w:rsidRPr="001E6CEC" w:rsidRDefault="00B31D5A" w:rsidP="00DC5EA1">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10</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010C4B28"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0.5%</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4FABDB7E"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10,401</w:t>
            </w:r>
          </w:p>
        </w:tc>
      </w:tr>
      <w:tr w:rsidR="00B31D5A" w:rsidRPr="001E6CEC" w14:paraId="655E7154" w14:textId="77777777" w:rsidTr="00892692">
        <w:trPr>
          <w:trHeight w:val="432"/>
        </w:trPr>
        <w:tc>
          <w:tcPr>
            <w:tcW w:w="2767" w:type="dxa"/>
            <w:tcBorders>
              <w:top w:val="nil"/>
              <w:left w:val="single" w:sz="4" w:space="0" w:color="auto"/>
              <w:bottom w:val="single" w:sz="4" w:space="0" w:color="auto"/>
              <w:right w:val="single" w:sz="4" w:space="0" w:color="auto"/>
            </w:tcBorders>
            <w:shd w:val="clear" w:color="auto" w:fill="auto"/>
            <w:vAlign w:val="center"/>
            <w:hideMark/>
          </w:tcPr>
          <w:p w14:paraId="0087C911" w14:textId="77777777" w:rsidR="00B31D5A" w:rsidRPr="001E6CEC" w:rsidRDefault="00B31D5A" w:rsidP="00A90779">
            <w:pPr>
              <w:spacing w:after="0" w:line="240" w:lineRule="auto"/>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53 Real Estate and Rental and Leasing </w:t>
            </w:r>
          </w:p>
        </w:tc>
        <w:tc>
          <w:tcPr>
            <w:tcW w:w="1170" w:type="dxa"/>
            <w:tcBorders>
              <w:top w:val="nil"/>
              <w:left w:val="nil"/>
              <w:bottom w:val="single" w:sz="4" w:space="0" w:color="auto"/>
              <w:right w:val="single" w:sz="4" w:space="0" w:color="auto"/>
            </w:tcBorders>
            <w:shd w:val="clear" w:color="auto" w:fill="auto"/>
            <w:vAlign w:val="center"/>
            <w:hideMark/>
          </w:tcPr>
          <w:p w14:paraId="7439349D"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53</w:t>
            </w:r>
          </w:p>
        </w:tc>
        <w:tc>
          <w:tcPr>
            <w:tcW w:w="1080" w:type="dxa"/>
            <w:tcBorders>
              <w:top w:val="nil"/>
              <w:left w:val="nil"/>
              <w:bottom w:val="single" w:sz="4" w:space="0" w:color="auto"/>
              <w:right w:val="single" w:sz="4" w:space="0" w:color="auto"/>
            </w:tcBorders>
            <w:shd w:val="clear" w:color="auto" w:fill="auto"/>
            <w:vAlign w:val="center"/>
            <w:hideMark/>
          </w:tcPr>
          <w:p w14:paraId="51A46804"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207</w:t>
            </w:r>
          </w:p>
        </w:tc>
        <w:tc>
          <w:tcPr>
            <w:tcW w:w="990" w:type="dxa"/>
            <w:tcBorders>
              <w:top w:val="nil"/>
              <w:left w:val="nil"/>
              <w:bottom w:val="single" w:sz="4" w:space="0" w:color="auto"/>
              <w:right w:val="single" w:sz="4" w:space="0" w:color="auto"/>
            </w:tcBorders>
            <w:shd w:val="clear" w:color="auto" w:fill="auto"/>
            <w:vAlign w:val="center"/>
            <w:hideMark/>
          </w:tcPr>
          <w:p w14:paraId="2B3745EF"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w:t>
            </w:r>
          </w:p>
        </w:tc>
        <w:tc>
          <w:tcPr>
            <w:tcW w:w="990" w:type="dxa"/>
            <w:tcBorders>
              <w:top w:val="nil"/>
              <w:left w:val="nil"/>
              <w:bottom w:val="single" w:sz="4" w:space="0" w:color="auto"/>
              <w:right w:val="single" w:sz="4" w:space="0" w:color="auto"/>
            </w:tcBorders>
            <w:shd w:val="clear" w:color="auto" w:fill="auto"/>
            <w:vAlign w:val="center"/>
            <w:hideMark/>
          </w:tcPr>
          <w:p w14:paraId="0282AB8F" w14:textId="77777777" w:rsidR="00B31D5A" w:rsidRPr="001E6CEC" w:rsidRDefault="00B31D5A" w:rsidP="00DC5EA1">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13</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69FC363C"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0.6%</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0BB978DD"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15,911</w:t>
            </w:r>
          </w:p>
        </w:tc>
      </w:tr>
      <w:tr w:rsidR="00B31D5A" w:rsidRPr="001E6CEC" w14:paraId="66E5FF74" w14:textId="77777777" w:rsidTr="00892692">
        <w:trPr>
          <w:trHeight w:val="432"/>
        </w:trPr>
        <w:tc>
          <w:tcPr>
            <w:tcW w:w="2767" w:type="dxa"/>
            <w:tcBorders>
              <w:top w:val="nil"/>
              <w:left w:val="single" w:sz="4" w:space="0" w:color="auto"/>
              <w:bottom w:val="single" w:sz="4" w:space="0" w:color="auto"/>
              <w:right w:val="single" w:sz="4" w:space="0" w:color="auto"/>
            </w:tcBorders>
            <w:shd w:val="clear" w:color="auto" w:fill="auto"/>
            <w:vAlign w:val="center"/>
            <w:hideMark/>
          </w:tcPr>
          <w:p w14:paraId="732E8272" w14:textId="77777777" w:rsidR="00B31D5A" w:rsidRPr="001E6CEC" w:rsidRDefault="00B31D5A" w:rsidP="00A90779">
            <w:pPr>
              <w:spacing w:after="0" w:line="240" w:lineRule="auto"/>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lastRenderedPageBreak/>
              <w:t xml:space="preserve"> 54 Professional, Scientific, and Technical Services </w:t>
            </w:r>
          </w:p>
        </w:tc>
        <w:tc>
          <w:tcPr>
            <w:tcW w:w="1170" w:type="dxa"/>
            <w:tcBorders>
              <w:top w:val="nil"/>
              <w:left w:val="nil"/>
              <w:bottom w:val="single" w:sz="4" w:space="0" w:color="auto"/>
              <w:right w:val="single" w:sz="4" w:space="0" w:color="auto"/>
            </w:tcBorders>
            <w:shd w:val="clear" w:color="auto" w:fill="auto"/>
            <w:vAlign w:val="center"/>
            <w:hideMark/>
          </w:tcPr>
          <w:p w14:paraId="5A4F54EF"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5,544</w:t>
            </w:r>
          </w:p>
        </w:tc>
        <w:tc>
          <w:tcPr>
            <w:tcW w:w="1080" w:type="dxa"/>
            <w:tcBorders>
              <w:top w:val="nil"/>
              <w:left w:val="nil"/>
              <w:bottom w:val="single" w:sz="4" w:space="0" w:color="auto"/>
              <w:right w:val="single" w:sz="4" w:space="0" w:color="auto"/>
            </w:tcBorders>
            <w:shd w:val="clear" w:color="auto" w:fill="auto"/>
            <w:vAlign w:val="center"/>
            <w:hideMark/>
          </w:tcPr>
          <w:p w14:paraId="307A490A"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5,098</w:t>
            </w:r>
          </w:p>
        </w:tc>
        <w:tc>
          <w:tcPr>
            <w:tcW w:w="990" w:type="dxa"/>
            <w:tcBorders>
              <w:top w:val="nil"/>
              <w:left w:val="nil"/>
              <w:bottom w:val="single" w:sz="4" w:space="0" w:color="auto"/>
              <w:right w:val="single" w:sz="4" w:space="0" w:color="auto"/>
            </w:tcBorders>
            <w:shd w:val="clear" w:color="auto" w:fill="auto"/>
            <w:vAlign w:val="center"/>
            <w:hideMark/>
          </w:tcPr>
          <w:p w14:paraId="5E50D3E8"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735</w:t>
            </w:r>
          </w:p>
        </w:tc>
        <w:tc>
          <w:tcPr>
            <w:tcW w:w="990" w:type="dxa"/>
            <w:tcBorders>
              <w:top w:val="nil"/>
              <w:left w:val="nil"/>
              <w:bottom w:val="single" w:sz="4" w:space="0" w:color="auto"/>
              <w:right w:val="single" w:sz="4" w:space="0" w:color="auto"/>
            </w:tcBorders>
            <w:shd w:val="clear" w:color="auto" w:fill="auto"/>
            <w:vAlign w:val="center"/>
            <w:hideMark/>
          </w:tcPr>
          <w:p w14:paraId="5DDE4BDD" w14:textId="77777777" w:rsidR="00B31D5A" w:rsidRPr="001E6CEC" w:rsidRDefault="00B31D5A" w:rsidP="00DC5EA1">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254</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34113C4C"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11.7%</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1442EF60"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22,961</w:t>
            </w:r>
          </w:p>
        </w:tc>
      </w:tr>
      <w:tr w:rsidR="00B31D5A" w:rsidRPr="001E6CEC" w14:paraId="3ADD4463" w14:textId="77777777" w:rsidTr="00892692">
        <w:trPr>
          <w:trHeight w:val="432"/>
        </w:trPr>
        <w:tc>
          <w:tcPr>
            <w:tcW w:w="2767" w:type="dxa"/>
            <w:tcBorders>
              <w:top w:val="nil"/>
              <w:left w:val="single" w:sz="4" w:space="0" w:color="auto"/>
              <w:bottom w:val="single" w:sz="4" w:space="0" w:color="auto"/>
              <w:right w:val="single" w:sz="4" w:space="0" w:color="auto"/>
            </w:tcBorders>
            <w:shd w:val="clear" w:color="auto" w:fill="auto"/>
            <w:vAlign w:val="center"/>
            <w:hideMark/>
          </w:tcPr>
          <w:p w14:paraId="2085ED38" w14:textId="77777777" w:rsidR="00B31D5A" w:rsidRPr="001E6CEC" w:rsidRDefault="00B31D5A" w:rsidP="00A90779">
            <w:pPr>
              <w:spacing w:after="0" w:line="240" w:lineRule="auto"/>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55 Management of Companies and Enterprises </w:t>
            </w:r>
          </w:p>
        </w:tc>
        <w:tc>
          <w:tcPr>
            <w:tcW w:w="1170" w:type="dxa"/>
            <w:tcBorders>
              <w:top w:val="nil"/>
              <w:left w:val="nil"/>
              <w:bottom w:val="single" w:sz="4" w:space="0" w:color="auto"/>
              <w:right w:val="single" w:sz="4" w:space="0" w:color="auto"/>
            </w:tcBorders>
            <w:shd w:val="clear" w:color="auto" w:fill="auto"/>
            <w:vAlign w:val="center"/>
            <w:hideMark/>
          </w:tcPr>
          <w:p w14:paraId="4CEA3C48"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650</w:t>
            </w:r>
          </w:p>
        </w:tc>
        <w:tc>
          <w:tcPr>
            <w:tcW w:w="1080" w:type="dxa"/>
            <w:tcBorders>
              <w:top w:val="nil"/>
              <w:left w:val="nil"/>
              <w:bottom w:val="single" w:sz="4" w:space="0" w:color="auto"/>
              <w:right w:val="single" w:sz="4" w:space="0" w:color="auto"/>
            </w:tcBorders>
            <w:shd w:val="clear" w:color="auto" w:fill="auto"/>
            <w:vAlign w:val="center"/>
            <w:hideMark/>
          </w:tcPr>
          <w:p w14:paraId="5117862C"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3,457</w:t>
            </w:r>
          </w:p>
        </w:tc>
        <w:tc>
          <w:tcPr>
            <w:tcW w:w="990" w:type="dxa"/>
            <w:tcBorders>
              <w:top w:val="nil"/>
              <w:left w:val="nil"/>
              <w:bottom w:val="single" w:sz="4" w:space="0" w:color="auto"/>
              <w:right w:val="single" w:sz="4" w:space="0" w:color="auto"/>
            </w:tcBorders>
            <w:shd w:val="clear" w:color="auto" w:fill="auto"/>
            <w:vAlign w:val="center"/>
            <w:hideMark/>
          </w:tcPr>
          <w:p w14:paraId="0E833508"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245</w:t>
            </w:r>
          </w:p>
        </w:tc>
        <w:tc>
          <w:tcPr>
            <w:tcW w:w="990" w:type="dxa"/>
            <w:tcBorders>
              <w:top w:val="nil"/>
              <w:left w:val="nil"/>
              <w:bottom w:val="single" w:sz="4" w:space="0" w:color="auto"/>
              <w:right w:val="single" w:sz="4" w:space="0" w:color="auto"/>
            </w:tcBorders>
            <w:shd w:val="clear" w:color="auto" w:fill="auto"/>
            <w:vAlign w:val="center"/>
            <w:hideMark/>
          </w:tcPr>
          <w:p w14:paraId="5A962EB9" w14:textId="77777777" w:rsidR="00B31D5A" w:rsidRPr="001E6CEC" w:rsidRDefault="00B31D5A" w:rsidP="00DC5EA1">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94</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4E8B5F99"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4.3%</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53DF5C1A"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39,376</w:t>
            </w:r>
          </w:p>
        </w:tc>
      </w:tr>
      <w:tr w:rsidR="00B31D5A" w:rsidRPr="001E6CEC" w14:paraId="549A4B9B" w14:textId="77777777" w:rsidTr="00892692">
        <w:trPr>
          <w:trHeight w:val="432"/>
        </w:trPr>
        <w:tc>
          <w:tcPr>
            <w:tcW w:w="2767" w:type="dxa"/>
            <w:tcBorders>
              <w:top w:val="nil"/>
              <w:left w:val="single" w:sz="4" w:space="0" w:color="auto"/>
              <w:bottom w:val="single" w:sz="4" w:space="0" w:color="auto"/>
              <w:right w:val="single" w:sz="4" w:space="0" w:color="auto"/>
            </w:tcBorders>
            <w:shd w:val="clear" w:color="auto" w:fill="auto"/>
            <w:vAlign w:val="center"/>
            <w:hideMark/>
          </w:tcPr>
          <w:p w14:paraId="559555DE" w14:textId="77777777" w:rsidR="00B31D5A" w:rsidRPr="001E6CEC" w:rsidRDefault="00B31D5A" w:rsidP="00A90779">
            <w:pPr>
              <w:spacing w:after="0" w:line="240" w:lineRule="auto"/>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56 Administrative and Support and Waste Management and Remediation Services </w:t>
            </w:r>
          </w:p>
        </w:tc>
        <w:tc>
          <w:tcPr>
            <w:tcW w:w="1170" w:type="dxa"/>
            <w:tcBorders>
              <w:top w:val="nil"/>
              <w:left w:val="nil"/>
              <w:bottom w:val="single" w:sz="4" w:space="0" w:color="auto"/>
              <w:right w:val="single" w:sz="4" w:space="0" w:color="auto"/>
            </w:tcBorders>
            <w:shd w:val="clear" w:color="auto" w:fill="auto"/>
            <w:vAlign w:val="center"/>
            <w:hideMark/>
          </w:tcPr>
          <w:p w14:paraId="5D0BFF90"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145</w:t>
            </w:r>
          </w:p>
        </w:tc>
        <w:tc>
          <w:tcPr>
            <w:tcW w:w="1080" w:type="dxa"/>
            <w:tcBorders>
              <w:top w:val="nil"/>
              <w:left w:val="nil"/>
              <w:bottom w:val="single" w:sz="4" w:space="0" w:color="auto"/>
              <w:right w:val="single" w:sz="4" w:space="0" w:color="auto"/>
            </w:tcBorders>
            <w:shd w:val="clear" w:color="auto" w:fill="auto"/>
            <w:vAlign w:val="center"/>
            <w:hideMark/>
          </w:tcPr>
          <w:p w14:paraId="30580FF4"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162</w:t>
            </w:r>
          </w:p>
        </w:tc>
        <w:tc>
          <w:tcPr>
            <w:tcW w:w="990" w:type="dxa"/>
            <w:tcBorders>
              <w:top w:val="nil"/>
              <w:left w:val="nil"/>
              <w:bottom w:val="single" w:sz="4" w:space="0" w:color="auto"/>
              <w:right w:val="single" w:sz="4" w:space="0" w:color="auto"/>
            </w:tcBorders>
            <w:shd w:val="clear" w:color="auto" w:fill="auto"/>
            <w:vAlign w:val="center"/>
            <w:hideMark/>
          </w:tcPr>
          <w:p w14:paraId="3D68D8E9"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w:t>
            </w:r>
          </w:p>
        </w:tc>
        <w:tc>
          <w:tcPr>
            <w:tcW w:w="990" w:type="dxa"/>
            <w:tcBorders>
              <w:top w:val="nil"/>
              <w:left w:val="nil"/>
              <w:bottom w:val="single" w:sz="4" w:space="0" w:color="auto"/>
              <w:right w:val="single" w:sz="4" w:space="0" w:color="auto"/>
            </w:tcBorders>
            <w:shd w:val="clear" w:color="auto" w:fill="auto"/>
            <w:vAlign w:val="center"/>
            <w:hideMark/>
          </w:tcPr>
          <w:p w14:paraId="7A56313E" w14:textId="77777777" w:rsidR="00B31D5A" w:rsidRPr="001E6CEC" w:rsidRDefault="00B31D5A" w:rsidP="00DC5EA1">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13</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57AC061E"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0.6%</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7D738AA1"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12,455</w:t>
            </w:r>
          </w:p>
        </w:tc>
      </w:tr>
      <w:tr w:rsidR="00B31D5A" w:rsidRPr="001E6CEC" w14:paraId="5330F945" w14:textId="77777777" w:rsidTr="00892692">
        <w:trPr>
          <w:trHeight w:val="432"/>
        </w:trPr>
        <w:tc>
          <w:tcPr>
            <w:tcW w:w="2767" w:type="dxa"/>
            <w:tcBorders>
              <w:top w:val="nil"/>
              <w:left w:val="single" w:sz="4" w:space="0" w:color="auto"/>
              <w:bottom w:val="single" w:sz="4" w:space="0" w:color="auto"/>
              <w:right w:val="single" w:sz="4" w:space="0" w:color="auto"/>
            </w:tcBorders>
            <w:shd w:val="clear" w:color="auto" w:fill="auto"/>
            <w:vAlign w:val="center"/>
            <w:hideMark/>
          </w:tcPr>
          <w:p w14:paraId="3E5362BC" w14:textId="77777777" w:rsidR="00B31D5A" w:rsidRPr="001E6CEC" w:rsidRDefault="00B31D5A" w:rsidP="00A90779">
            <w:pPr>
              <w:spacing w:after="0" w:line="240" w:lineRule="auto"/>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62 Health Care and Social Assistance </w:t>
            </w:r>
          </w:p>
        </w:tc>
        <w:tc>
          <w:tcPr>
            <w:tcW w:w="1170" w:type="dxa"/>
            <w:tcBorders>
              <w:top w:val="nil"/>
              <w:left w:val="nil"/>
              <w:bottom w:val="single" w:sz="4" w:space="0" w:color="auto"/>
              <w:right w:val="single" w:sz="4" w:space="0" w:color="auto"/>
            </w:tcBorders>
            <w:shd w:val="clear" w:color="auto" w:fill="auto"/>
            <w:vAlign w:val="center"/>
            <w:hideMark/>
          </w:tcPr>
          <w:p w14:paraId="1FFF8F94"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2</w:t>
            </w:r>
          </w:p>
        </w:tc>
        <w:tc>
          <w:tcPr>
            <w:tcW w:w="1080" w:type="dxa"/>
            <w:tcBorders>
              <w:top w:val="nil"/>
              <w:left w:val="nil"/>
              <w:bottom w:val="single" w:sz="4" w:space="0" w:color="auto"/>
              <w:right w:val="single" w:sz="4" w:space="0" w:color="auto"/>
            </w:tcBorders>
            <w:shd w:val="clear" w:color="auto" w:fill="auto"/>
            <w:vAlign w:val="center"/>
            <w:hideMark/>
          </w:tcPr>
          <w:p w14:paraId="2A33ECF8"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53</w:t>
            </w:r>
          </w:p>
        </w:tc>
        <w:tc>
          <w:tcPr>
            <w:tcW w:w="990" w:type="dxa"/>
            <w:tcBorders>
              <w:top w:val="nil"/>
              <w:left w:val="nil"/>
              <w:bottom w:val="single" w:sz="4" w:space="0" w:color="auto"/>
              <w:right w:val="single" w:sz="4" w:space="0" w:color="auto"/>
            </w:tcBorders>
            <w:shd w:val="clear" w:color="auto" w:fill="auto"/>
            <w:vAlign w:val="center"/>
            <w:hideMark/>
          </w:tcPr>
          <w:p w14:paraId="2516B585"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w:t>
            </w:r>
          </w:p>
        </w:tc>
        <w:tc>
          <w:tcPr>
            <w:tcW w:w="990" w:type="dxa"/>
            <w:tcBorders>
              <w:top w:val="nil"/>
              <w:left w:val="nil"/>
              <w:bottom w:val="single" w:sz="4" w:space="0" w:color="auto"/>
              <w:right w:val="single" w:sz="4" w:space="0" w:color="auto"/>
            </w:tcBorders>
            <w:shd w:val="clear" w:color="auto" w:fill="auto"/>
            <w:vAlign w:val="center"/>
            <w:hideMark/>
          </w:tcPr>
          <w:p w14:paraId="733E7778" w14:textId="77777777" w:rsidR="00B31D5A" w:rsidRPr="001E6CEC" w:rsidRDefault="00B31D5A" w:rsidP="00DC5EA1">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4</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3E7A33B9"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0.2%</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711F273B"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13,306</w:t>
            </w:r>
          </w:p>
        </w:tc>
      </w:tr>
      <w:tr w:rsidR="00B31D5A" w:rsidRPr="001E6CEC" w14:paraId="60CB83F1" w14:textId="77777777" w:rsidTr="00892692">
        <w:trPr>
          <w:trHeight w:val="432"/>
        </w:trPr>
        <w:tc>
          <w:tcPr>
            <w:tcW w:w="2767" w:type="dxa"/>
            <w:tcBorders>
              <w:top w:val="nil"/>
              <w:left w:val="single" w:sz="4" w:space="0" w:color="auto"/>
              <w:bottom w:val="single" w:sz="4" w:space="0" w:color="auto"/>
              <w:right w:val="single" w:sz="4" w:space="0" w:color="auto"/>
            </w:tcBorders>
            <w:shd w:val="clear" w:color="auto" w:fill="auto"/>
            <w:vAlign w:val="center"/>
            <w:hideMark/>
          </w:tcPr>
          <w:p w14:paraId="18D7A934" w14:textId="77777777" w:rsidR="00B31D5A" w:rsidRPr="001E6CEC" w:rsidRDefault="00B31D5A" w:rsidP="00A90779">
            <w:pPr>
              <w:spacing w:after="0" w:line="240" w:lineRule="auto"/>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72 Accommodation and Food Services </w:t>
            </w:r>
          </w:p>
        </w:tc>
        <w:tc>
          <w:tcPr>
            <w:tcW w:w="1170" w:type="dxa"/>
            <w:tcBorders>
              <w:top w:val="nil"/>
              <w:left w:val="nil"/>
              <w:bottom w:val="single" w:sz="4" w:space="0" w:color="auto"/>
              <w:right w:val="single" w:sz="4" w:space="0" w:color="auto"/>
            </w:tcBorders>
            <w:shd w:val="clear" w:color="auto" w:fill="auto"/>
            <w:vAlign w:val="center"/>
            <w:hideMark/>
          </w:tcPr>
          <w:p w14:paraId="24830144"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90</w:t>
            </w:r>
          </w:p>
        </w:tc>
        <w:tc>
          <w:tcPr>
            <w:tcW w:w="1080" w:type="dxa"/>
            <w:tcBorders>
              <w:top w:val="nil"/>
              <w:left w:val="nil"/>
              <w:bottom w:val="single" w:sz="4" w:space="0" w:color="auto"/>
              <w:right w:val="single" w:sz="4" w:space="0" w:color="auto"/>
            </w:tcBorders>
            <w:shd w:val="clear" w:color="auto" w:fill="auto"/>
            <w:vAlign w:val="center"/>
            <w:hideMark/>
          </w:tcPr>
          <w:p w14:paraId="50D44B38"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12</w:t>
            </w:r>
          </w:p>
        </w:tc>
        <w:tc>
          <w:tcPr>
            <w:tcW w:w="990" w:type="dxa"/>
            <w:tcBorders>
              <w:top w:val="nil"/>
              <w:left w:val="nil"/>
              <w:bottom w:val="single" w:sz="4" w:space="0" w:color="auto"/>
              <w:right w:val="single" w:sz="4" w:space="0" w:color="auto"/>
            </w:tcBorders>
            <w:shd w:val="clear" w:color="auto" w:fill="auto"/>
            <w:vAlign w:val="center"/>
            <w:hideMark/>
          </w:tcPr>
          <w:p w14:paraId="7B56820D"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w:t>
            </w:r>
          </w:p>
        </w:tc>
        <w:tc>
          <w:tcPr>
            <w:tcW w:w="990" w:type="dxa"/>
            <w:tcBorders>
              <w:top w:val="nil"/>
              <w:left w:val="nil"/>
              <w:bottom w:val="single" w:sz="4" w:space="0" w:color="auto"/>
              <w:right w:val="single" w:sz="4" w:space="0" w:color="auto"/>
            </w:tcBorders>
            <w:shd w:val="clear" w:color="auto" w:fill="auto"/>
            <w:vAlign w:val="center"/>
            <w:hideMark/>
          </w:tcPr>
          <w:p w14:paraId="40C81D57" w14:textId="77777777" w:rsidR="00B31D5A" w:rsidRPr="001E6CEC" w:rsidRDefault="00B31D5A" w:rsidP="00DC5EA1">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4</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581A6CBE"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0.2%</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08CAA293"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3,093</w:t>
            </w:r>
          </w:p>
        </w:tc>
      </w:tr>
      <w:tr w:rsidR="00B31D5A" w:rsidRPr="001E6CEC" w14:paraId="5B4DA286" w14:textId="77777777" w:rsidTr="00892692">
        <w:trPr>
          <w:trHeight w:val="432"/>
        </w:trPr>
        <w:tc>
          <w:tcPr>
            <w:tcW w:w="2767" w:type="dxa"/>
            <w:tcBorders>
              <w:top w:val="nil"/>
              <w:left w:val="single" w:sz="4" w:space="0" w:color="auto"/>
              <w:bottom w:val="single" w:sz="4" w:space="0" w:color="auto"/>
              <w:right w:val="single" w:sz="4" w:space="0" w:color="auto"/>
            </w:tcBorders>
            <w:shd w:val="clear" w:color="auto" w:fill="auto"/>
            <w:vAlign w:val="center"/>
            <w:hideMark/>
          </w:tcPr>
          <w:p w14:paraId="7A91AAA2" w14:textId="77777777" w:rsidR="00B31D5A" w:rsidRPr="001E6CEC" w:rsidRDefault="00B31D5A" w:rsidP="00A90779">
            <w:pPr>
              <w:spacing w:after="0" w:line="240" w:lineRule="auto"/>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81 Other Services (except Public Administration) </w:t>
            </w:r>
          </w:p>
        </w:tc>
        <w:tc>
          <w:tcPr>
            <w:tcW w:w="1170" w:type="dxa"/>
            <w:tcBorders>
              <w:top w:val="nil"/>
              <w:left w:val="nil"/>
              <w:bottom w:val="single" w:sz="4" w:space="0" w:color="auto"/>
              <w:right w:val="single" w:sz="4" w:space="0" w:color="auto"/>
            </w:tcBorders>
            <w:shd w:val="clear" w:color="auto" w:fill="auto"/>
            <w:vAlign w:val="center"/>
            <w:hideMark/>
          </w:tcPr>
          <w:p w14:paraId="414C133F"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56</w:t>
            </w:r>
          </w:p>
        </w:tc>
        <w:tc>
          <w:tcPr>
            <w:tcW w:w="1080" w:type="dxa"/>
            <w:tcBorders>
              <w:top w:val="nil"/>
              <w:left w:val="nil"/>
              <w:bottom w:val="single" w:sz="4" w:space="0" w:color="auto"/>
              <w:right w:val="single" w:sz="4" w:space="0" w:color="auto"/>
            </w:tcBorders>
            <w:shd w:val="clear" w:color="auto" w:fill="auto"/>
            <w:vAlign w:val="center"/>
            <w:hideMark/>
          </w:tcPr>
          <w:p w14:paraId="1E8B1E3F"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48</w:t>
            </w:r>
          </w:p>
        </w:tc>
        <w:tc>
          <w:tcPr>
            <w:tcW w:w="990" w:type="dxa"/>
            <w:tcBorders>
              <w:top w:val="nil"/>
              <w:left w:val="nil"/>
              <w:bottom w:val="single" w:sz="4" w:space="0" w:color="auto"/>
              <w:right w:val="single" w:sz="4" w:space="0" w:color="auto"/>
            </w:tcBorders>
            <w:shd w:val="clear" w:color="auto" w:fill="auto"/>
            <w:vAlign w:val="center"/>
            <w:hideMark/>
          </w:tcPr>
          <w:p w14:paraId="5A141FDE"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w:t>
            </w:r>
          </w:p>
        </w:tc>
        <w:tc>
          <w:tcPr>
            <w:tcW w:w="990" w:type="dxa"/>
            <w:tcBorders>
              <w:top w:val="nil"/>
              <w:left w:val="nil"/>
              <w:bottom w:val="single" w:sz="4" w:space="0" w:color="auto"/>
              <w:right w:val="single" w:sz="4" w:space="0" w:color="auto"/>
            </w:tcBorders>
            <w:shd w:val="clear" w:color="auto" w:fill="auto"/>
            <w:vAlign w:val="center"/>
            <w:hideMark/>
          </w:tcPr>
          <w:p w14:paraId="51175E57" w14:textId="77777777" w:rsidR="00B31D5A" w:rsidRPr="001E6CEC" w:rsidRDefault="00B31D5A" w:rsidP="00DC5EA1">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6</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088B0F84"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0.3%</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59DF019C"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8,066</w:t>
            </w:r>
          </w:p>
        </w:tc>
      </w:tr>
      <w:tr w:rsidR="00B31D5A" w:rsidRPr="001E6CEC" w14:paraId="58908A17" w14:textId="77777777" w:rsidTr="00892692">
        <w:trPr>
          <w:trHeight w:val="432"/>
        </w:trPr>
        <w:tc>
          <w:tcPr>
            <w:tcW w:w="2767" w:type="dxa"/>
            <w:tcBorders>
              <w:top w:val="nil"/>
              <w:left w:val="single" w:sz="4" w:space="0" w:color="auto"/>
              <w:bottom w:val="single" w:sz="4" w:space="0" w:color="auto"/>
              <w:right w:val="single" w:sz="4" w:space="0" w:color="auto"/>
            </w:tcBorders>
            <w:shd w:val="clear" w:color="auto" w:fill="auto"/>
            <w:vAlign w:val="center"/>
            <w:hideMark/>
          </w:tcPr>
          <w:p w14:paraId="4C60DB40" w14:textId="77777777" w:rsidR="00B31D5A" w:rsidRPr="001E6CEC" w:rsidRDefault="00B31D5A" w:rsidP="00A90779">
            <w:pPr>
              <w:spacing w:after="0" w:line="240" w:lineRule="auto"/>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Unmatched</w:t>
            </w: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 xml:space="preserve"> or others </w:t>
            </w:r>
          </w:p>
        </w:tc>
        <w:tc>
          <w:tcPr>
            <w:tcW w:w="1170" w:type="dxa"/>
            <w:tcBorders>
              <w:top w:val="nil"/>
              <w:left w:val="nil"/>
              <w:bottom w:val="single" w:sz="4" w:space="0" w:color="auto"/>
              <w:right w:val="single" w:sz="4" w:space="0" w:color="auto"/>
            </w:tcBorders>
            <w:shd w:val="clear" w:color="auto" w:fill="auto"/>
            <w:vAlign w:val="center"/>
            <w:hideMark/>
          </w:tcPr>
          <w:p w14:paraId="3AC807A8"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10,058</w:t>
            </w:r>
          </w:p>
        </w:tc>
        <w:tc>
          <w:tcPr>
            <w:tcW w:w="1080" w:type="dxa"/>
            <w:tcBorders>
              <w:top w:val="nil"/>
              <w:left w:val="nil"/>
              <w:bottom w:val="single" w:sz="4" w:space="0" w:color="auto"/>
              <w:right w:val="single" w:sz="4" w:space="0" w:color="auto"/>
            </w:tcBorders>
            <w:shd w:val="clear" w:color="auto" w:fill="auto"/>
            <w:vAlign w:val="center"/>
            <w:hideMark/>
          </w:tcPr>
          <w:p w14:paraId="26DA96F8"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6,359</w:t>
            </w:r>
          </w:p>
        </w:tc>
        <w:tc>
          <w:tcPr>
            <w:tcW w:w="990" w:type="dxa"/>
            <w:tcBorders>
              <w:top w:val="nil"/>
              <w:left w:val="nil"/>
              <w:bottom w:val="single" w:sz="4" w:space="0" w:color="auto"/>
              <w:right w:val="single" w:sz="4" w:space="0" w:color="auto"/>
            </w:tcBorders>
            <w:shd w:val="clear" w:color="auto" w:fill="auto"/>
            <w:vAlign w:val="center"/>
            <w:hideMark/>
          </w:tcPr>
          <w:p w14:paraId="2ADE60E4"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3,052</w:t>
            </w:r>
          </w:p>
        </w:tc>
        <w:tc>
          <w:tcPr>
            <w:tcW w:w="990" w:type="dxa"/>
            <w:tcBorders>
              <w:top w:val="nil"/>
              <w:left w:val="nil"/>
              <w:bottom w:val="single" w:sz="4" w:space="0" w:color="auto"/>
              <w:right w:val="single" w:sz="4" w:space="0" w:color="auto"/>
            </w:tcBorders>
            <w:shd w:val="clear" w:color="auto" w:fill="auto"/>
            <w:vAlign w:val="center"/>
            <w:hideMark/>
          </w:tcPr>
          <w:p w14:paraId="3037D888" w14:textId="77777777" w:rsidR="00B31D5A" w:rsidRPr="001E6CEC" w:rsidRDefault="00B31D5A" w:rsidP="00DC5EA1">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129</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697A9ABE"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5.9%</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1F8F53DA"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72,957</w:t>
            </w:r>
          </w:p>
        </w:tc>
      </w:tr>
      <w:tr w:rsidR="00B31D5A" w:rsidRPr="001E6CEC" w14:paraId="02858C14" w14:textId="77777777" w:rsidTr="00892692">
        <w:trPr>
          <w:trHeight w:val="432"/>
        </w:trPr>
        <w:tc>
          <w:tcPr>
            <w:tcW w:w="2767" w:type="dxa"/>
            <w:tcBorders>
              <w:top w:val="nil"/>
              <w:left w:val="single" w:sz="4" w:space="0" w:color="auto"/>
              <w:bottom w:val="single" w:sz="4" w:space="0" w:color="auto"/>
              <w:right w:val="single" w:sz="4" w:space="0" w:color="auto"/>
            </w:tcBorders>
            <w:shd w:val="clear" w:color="auto" w:fill="auto"/>
            <w:vAlign w:val="center"/>
            <w:hideMark/>
          </w:tcPr>
          <w:p w14:paraId="3C0E8187" w14:textId="77777777" w:rsidR="00B31D5A" w:rsidRPr="001E6CEC" w:rsidRDefault="00B31D5A" w:rsidP="00A90779">
            <w:pPr>
              <w:spacing w:after="0" w:line="240" w:lineRule="auto"/>
              <w:rPr>
                <w:rFonts w:ascii="Cambria" w:eastAsia="Times New Roman" w:hAnsi="Cambria" w:cs="Helvetica"/>
                <w:color w:val="000000"/>
                <w:sz w:val="18"/>
                <w:szCs w:val="18"/>
                <w:lang w:eastAsia="ko-KR"/>
              </w:rPr>
            </w:pPr>
            <w:r w:rsidRPr="001E6CEC">
              <w:rPr>
                <w:rFonts w:ascii="Cambria" w:eastAsia="Times New Roman" w:hAnsi="Cambria" w:cs="Helvetica"/>
                <w:color w:val="000000"/>
                <w:sz w:val="18"/>
                <w:szCs w:val="18"/>
                <w:lang w:eastAsia="ko-KR"/>
              </w:rPr>
              <w:t xml:space="preserve"> Total </w:t>
            </w:r>
          </w:p>
        </w:tc>
        <w:tc>
          <w:tcPr>
            <w:tcW w:w="1170" w:type="dxa"/>
            <w:tcBorders>
              <w:top w:val="nil"/>
              <w:left w:val="nil"/>
              <w:bottom w:val="single" w:sz="4" w:space="0" w:color="auto"/>
              <w:right w:val="single" w:sz="4" w:space="0" w:color="auto"/>
            </w:tcBorders>
            <w:shd w:val="clear" w:color="auto" w:fill="auto"/>
            <w:vAlign w:val="center"/>
            <w:hideMark/>
          </w:tcPr>
          <w:p w14:paraId="138BE479"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81,992</w:t>
            </w:r>
          </w:p>
        </w:tc>
        <w:tc>
          <w:tcPr>
            <w:tcW w:w="1080" w:type="dxa"/>
            <w:tcBorders>
              <w:top w:val="nil"/>
              <w:left w:val="nil"/>
              <w:bottom w:val="single" w:sz="4" w:space="0" w:color="auto"/>
              <w:right w:val="single" w:sz="4" w:space="0" w:color="auto"/>
            </w:tcBorders>
            <w:shd w:val="clear" w:color="auto" w:fill="auto"/>
            <w:vAlign w:val="center"/>
            <w:hideMark/>
          </w:tcPr>
          <w:p w14:paraId="78C8B3EB"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54,155</w:t>
            </w:r>
          </w:p>
        </w:tc>
        <w:tc>
          <w:tcPr>
            <w:tcW w:w="990" w:type="dxa"/>
            <w:tcBorders>
              <w:top w:val="nil"/>
              <w:left w:val="nil"/>
              <w:bottom w:val="single" w:sz="4" w:space="0" w:color="auto"/>
              <w:right w:val="single" w:sz="4" w:space="0" w:color="auto"/>
            </w:tcBorders>
            <w:shd w:val="clear" w:color="auto" w:fill="auto"/>
            <w:vAlign w:val="center"/>
            <w:hideMark/>
          </w:tcPr>
          <w:p w14:paraId="46AB46E4"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9,140</w:t>
            </w:r>
          </w:p>
        </w:tc>
        <w:tc>
          <w:tcPr>
            <w:tcW w:w="990" w:type="dxa"/>
            <w:tcBorders>
              <w:top w:val="nil"/>
              <w:left w:val="nil"/>
              <w:bottom w:val="single" w:sz="4" w:space="0" w:color="auto"/>
              <w:right w:val="single" w:sz="4" w:space="0" w:color="auto"/>
            </w:tcBorders>
            <w:shd w:val="clear" w:color="auto" w:fill="auto"/>
            <w:vAlign w:val="center"/>
            <w:hideMark/>
          </w:tcPr>
          <w:p w14:paraId="33CB70DF" w14:textId="77777777" w:rsidR="00B31D5A" w:rsidRPr="001E6CEC" w:rsidRDefault="00B31D5A" w:rsidP="00DC5EA1">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2,181</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1EB5DEE6"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hAnsi="Cambria" w:cs="Helvetica"/>
                <w:color w:val="000000"/>
                <w:sz w:val="18"/>
                <w:szCs w:val="18"/>
              </w:rPr>
              <w:t>100.0%</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14:paraId="4234E6C3" w14:textId="77777777" w:rsidR="00B31D5A" w:rsidRPr="001E6CEC" w:rsidRDefault="00B31D5A" w:rsidP="00A90779">
            <w:pPr>
              <w:spacing w:after="0" w:line="240" w:lineRule="auto"/>
              <w:jc w:val="center"/>
              <w:rPr>
                <w:rFonts w:ascii="Cambria" w:eastAsia="Times New Roman" w:hAnsi="Cambria" w:cs="Helvetica"/>
                <w:color w:val="000000"/>
                <w:sz w:val="18"/>
                <w:szCs w:val="18"/>
                <w:lang w:eastAsia="ko-KR"/>
              </w:rPr>
            </w:pPr>
            <w:r>
              <w:rPr>
                <w:rFonts w:ascii="Cambria" w:eastAsia="Times New Roman" w:hAnsi="Cambria" w:cs="Helvetica"/>
                <w:color w:val="000000"/>
                <w:sz w:val="18"/>
                <w:szCs w:val="18"/>
                <w:lang w:eastAsia="ko-KR"/>
              </w:rPr>
              <w:t>$</w:t>
            </w:r>
            <w:r w:rsidRPr="001E6CEC">
              <w:rPr>
                <w:rFonts w:ascii="Cambria" w:eastAsia="Times New Roman" w:hAnsi="Cambria" w:cs="Helvetica"/>
                <w:color w:val="000000"/>
                <w:sz w:val="18"/>
                <w:szCs w:val="18"/>
                <w:lang w:eastAsia="ko-KR"/>
              </w:rPr>
              <w:t>29,021</w:t>
            </w:r>
          </w:p>
        </w:tc>
      </w:tr>
    </w:tbl>
    <w:p w14:paraId="585B8872" w14:textId="77777777" w:rsidR="00B31D5A" w:rsidRPr="00A46860" w:rsidRDefault="00B31D5A" w:rsidP="00B31D5A">
      <w:pPr>
        <w:tabs>
          <w:tab w:val="left" w:pos="7050"/>
        </w:tabs>
        <w:spacing w:after="0"/>
        <w:rPr>
          <w:rFonts w:asciiTheme="majorHAnsi" w:hAnsiTheme="majorHAnsi"/>
          <w:b/>
          <w:sz w:val="20"/>
          <w:szCs w:val="20"/>
        </w:rPr>
      </w:pPr>
      <w:r w:rsidRPr="00A46860">
        <w:rPr>
          <w:rFonts w:asciiTheme="majorHAnsi" w:eastAsiaTheme="majorEastAsia" w:hAnsiTheme="majorHAnsi" w:cstheme="majorBidi"/>
          <w:bCs/>
          <w:color w:val="000000" w:themeColor="text1"/>
          <w:sz w:val="20"/>
          <w:szCs w:val="20"/>
        </w:rPr>
        <w:t>Source: Department of Revenue (2017</w:t>
      </w:r>
      <w:r>
        <w:rPr>
          <w:rFonts w:asciiTheme="majorHAnsi" w:eastAsiaTheme="majorEastAsia" w:hAnsiTheme="majorHAnsi" w:cstheme="majorBidi"/>
          <w:bCs/>
          <w:color w:val="000000" w:themeColor="text1"/>
          <w:sz w:val="20"/>
          <w:szCs w:val="20"/>
        </w:rPr>
        <w:t xml:space="preserve"> tax return</w:t>
      </w:r>
      <w:r w:rsidRPr="00A46860">
        <w:rPr>
          <w:rFonts w:asciiTheme="majorHAnsi" w:eastAsiaTheme="majorEastAsia" w:hAnsiTheme="majorHAnsi" w:cstheme="majorBidi"/>
          <w:bCs/>
          <w:color w:val="000000" w:themeColor="text1"/>
          <w:sz w:val="20"/>
          <w:szCs w:val="20"/>
        </w:rPr>
        <w:t>)</w:t>
      </w:r>
    </w:p>
    <w:p w14:paraId="4A8E6B90" w14:textId="77777777" w:rsidR="00B31D5A" w:rsidRDefault="00B31D5A" w:rsidP="00B31D5A">
      <w:pPr>
        <w:tabs>
          <w:tab w:val="left" w:pos="7050"/>
        </w:tabs>
        <w:spacing w:after="0"/>
        <w:rPr>
          <w:rFonts w:asciiTheme="majorHAnsi" w:eastAsiaTheme="majorEastAsia" w:hAnsiTheme="majorHAnsi" w:cstheme="majorBidi"/>
          <w:bCs/>
          <w:color w:val="000000" w:themeColor="text1"/>
          <w:sz w:val="20"/>
          <w:szCs w:val="20"/>
        </w:rPr>
      </w:pPr>
      <w:r>
        <w:rPr>
          <w:rFonts w:asciiTheme="majorHAnsi" w:eastAsiaTheme="majorEastAsia" w:hAnsiTheme="majorHAnsi" w:cstheme="majorBidi"/>
          <w:bCs/>
          <w:color w:val="000000" w:themeColor="text1"/>
          <w:sz w:val="20"/>
          <w:szCs w:val="20"/>
        </w:rPr>
        <w:t xml:space="preserve">Notes: 1. *Unmatched means that we could not find some taxpayers in one or more of data sets to match. </w:t>
      </w:r>
    </w:p>
    <w:p w14:paraId="54C13E3D" w14:textId="77777777" w:rsidR="00B31D5A" w:rsidRPr="001A4FD6" w:rsidRDefault="00B31D5A" w:rsidP="00B31D5A">
      <w:pPr>
        <w:tabs>
          <w:tab w:val="left" w:pos="7050"/>
        </w:tabs>
        <w:spacing w:after="0"/>
        <w:rPr>
          <w:rFonts w:asciiTheme="majorHAnsi" w:eastAsiaTheme="majorEastAsia" w:hAnsiTheme="majorHAnsi" w:cstheme="majorBidi"/>
          <w:bCs/>
          <w:color w:val="000000" w:themeColor="text1"/>
          <w:sz w:val="20"/>
          <w:szCs w:val="20"/>
        </w:rPr>
      </w:pPr>
      <w:r>
        <w:rPr>
          <w:rFonts w:asciiTheme="majorHAnsi" w:eastAsiaTheme="majorEastAsia" w:hAnsiTheme="majorHAnsi" w:cstheme="majorBidi"/>
          <w:bCs/>
          <w:color w:val="000000" w:themeColor="text1"/>
          <w:sz w:val="20"/>
          <w:szCs w:val="20"/>
        </w:rPr>
        <w:t xml:space="preserve">              2. </w:t>
      </w:r>
      <w:r w:rsidRPr="00B84E97">
        <w:rPr>
          <w:rFonts w:asciiTheme="majorHAnsi" w:eastAsiaTheme="majorEastAsia" w:hAnsiTheme="majorHAnsi" w:cstheme="majorBidi"/>
          <w:bCs/>
          <w:color w:val="000000" w:themeColor="text1"/>
          <w:sz w:val="20"/>
          <w:szCs w:val="20"/>
        </w:rPr>
        <w:t xml:space="preserve">The data are preliminary and subject to </w:t>
      </w:r>
      <w:r>
        <w:rPr>
          <w:rFonts w:asciiTheme="majorHAnsi" w:eastAsiaTheme="majorEastAsia" w:hAnsiTheme="majorHAnsi" w:cstheme="majorBidi"/>
          <w:bCs/>
          <w:color w:val="000000" w:themeColor="text1"/>
          <w:sz w:val="20"/>
          <w:szCs w:val="20"/>
        </w:rPr>
        <w:t>change.</w:t>
      </w:r>
    </w:p>
    <w:p w14:paraId="147D9C94" w14:textId="77777777" w:rsidR="001E6CEC" w:rsidRDefault="001E6CEC" w:rsidP="00223B10">
      <w:pPr>
        <w:spacing w:after="0"/>
        <w:rPr>
          <w:rFonts w:asciiTheme="majorHAnsi" w:hAnsiTheme="majorHAnsi"/>
          <w:b/>
          <w:sz w:val="24"/>
          <w:szCs w:val="24"/>
        </w:rPr>
      </w:pPr>
    </w:p>
    <w:p w14:paraId="31EC9B41" w14:textId="46AA6AC5" w:rsidR="007D0AA7" w:rsidRDefault="00DD1325" w:rsidP="007D0AA7">
      <w:pPr>
        <w:spacing w:after="0"/>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Cs/>
          <w:color w:val="000000" w:themeColor="text1"/>
          <w:sz w:val="24"/>
          <w:szCs w:val="24"/>
        </w:rPr>
        <w:t xml:space="preserve">As mentioned </w:t>
      </w:r>
      <w:r w:rsidR="006E592F">
        <w:rPr>
          <w:rFonts w:asciiTheme="majorHAnsi" w:eastAsiaTheme="majorEastAsia" w:hAnsiTheme="majorHAnsi" w:cstheme="majorBidi"/>
          <w:bCs/>
          <w:color w:val="000000" w:themeColor="text1"/>
          <w:sz w:val="24"/>
          <w:szCs w:val="24"/>
        </w:rPr>
        <w:t>previously</w:t>
      </w:r>
      <w:r>
        <w:rPr>
          <w:rFonts w:asciiTheme="majorHAnsi" w:eastAsiaTheme="majorEastAsia" w:hAnsiTheme="majorHAnsi" w:cstheme="majorBidi"/>
          <w:bCs/>
          <w:color w:val="000000" w:themeColor="text1"/>
          <w:sz w:val="24"/>
          <w:szCs w:val="24"/>
        </w:rPr>
        <w:t xml:space="preserve">, </w:t>
      </w:r>
      <w:r w:rsidR="006E592F">
        <w:rPr>
          <w:rFonts w:asciiTheme="majorHAnsi" w:eastAsiaTheme="majorEastAsia" w:hAnsiTheme="majorHAnsi" w:cstheme="majorBidi"/>
          <w:bCs/>
          <w:color w:val="000000" w:themeColor="text1"/>
          <w:sz w:val="24"/>
          <w:szCs w:val="24"/>
        </w:rPr>
        <w:t xml:space="preserve">the </w:t>
      </w:r>
      <w:r>
        <w:rPr>
          <w:rFonts w:asciiTheme="majorHAnsi" w:eastAsiaTheme="majorEastAsia" w:hAnsiTheme="majorHAnsi" w:cstheme="majorBidi"/>
          <w:bCs/>
          <w:color w:val="000000" w:themeColor="text1"/>
          <w:sz w:val="24"/>
          <w:szCs w:val="24"/>
        </w:rPr>
        <w:t>cost saving</w:t>
      </w:r>
      <w:r w:rsidR="006E592F">
        <w:rPr>
          <w:rFonts w:asciiTheme="majorHAnsi" w:eastAsiaTheme="majorEastAsia" w:hAnsiTheme="majorHAnsi" w:cstheme="majorBidi"/>
          <w:bCs/>
          <w:color w:val="000000" w:themeColor="text1"/>
          <w:sz w:val="24"/>
          <w:szCs w:val="24"/>
        </w:rPr>
        <w:t>s</w:t>
      </w:r>
      <w:r>
        <w:rPr>
          <w:rFonts w:asciiTheme="majorHAnsi" w:eastAsiaTheme="majorEastAsia" w:hAnsiTheme="majorHAnsi" w:cstheme="majorBidi"/>
          <w:bCs/>
          <w:color w:val="000000" w:themeColor="text1"/>
          <w:sz w:val="24"/>
          <w:szCs w:val="24"/>
        </w:rPr>
        <w:t xml:space="preserve"> due to the </w:t>
      </w:r>
      <w:r w:rsidR="006E592F">
        <w:rPr>
          <w:rFonts w:asciiTheme="majorHAnsi" w:eastAsiaTheme="majorEastAsia" w:hAnsiTheme="majorHAnsi" w:cstheme="majorBidi"/>
          <w:bCs/>
          <w:color w:val="000000" w:themeColor="text1"/>
          <w:sz w:val="24"/>
          <w:szCs w:val="24"/>
        </w:rPr>
        <w:t>ITC</w:t>
      </w:r>
      <w:r>
        <w:rPr>
          <w:rFonts w:asciiTheme="majorHAnsi" w:eastAsiaTheme="majorEastAsia" w:hAnsiTheme="majorHAnsi" w:cstheme="majorBidi"/>
          <w:bCs/>
          <w:color w:val="000000" w:themeColor="text1"/>
          <w:sz w:val="24"/>
          <w:szCs w:val="24"/>
        </w:rPr>
        <w:t xml:space="preserve"> encourages the directly affected businesses to invest, expand, lower product prices, hire additional workers, etc., which in turn stimulate</w:t>
      </w:r>
      <w:r w:rsidR="006E592F">
        <w:rPr>
          <w:rFonts w:asciiTheme="majorHAnsi" w:eastAsiaTheme="majorEastAsia" w:hAnsiTheme="majorHAnsi" w:cstheme="majorBidi"/>
          <w:bCs/>
          <w:color w:val="000000" w:themeColor="text1"/>
          <w:sz w:val="24"/>
          <w:szCs w:val="24"/>
        </w:rPr>
        <w:t>s</w:t>
      </w:r>
      <w:r>
        <w:rPr>
          <w:rFonts w:asciiTheme="majorHAnsi" w:eastAsiaTheme="majorEastAsia" w:hAnsiTheme="majorHAnsi" w:cstheme="majorBidi"/>
          <w:bCs/>
          <w:color w:val="000000" w:themeColor="text1"/>
          <w:sz w:val="24"/>
          <w:szCs w:val="24"/>
        </w:rPr>
        <w:t xml:space="preserve"> </w:t>
      </w:r>
      <w:r w:rsidR="006E592F">
        <w:rPr>
          <w:rFonts w:asciiTheme="majorHAnsi" w:eastAsiaTheme="majorEastAsia" w:hAnsiTheme="majorHAnsi" w:cstheme="majorBidi"/>
          <w:bCs/>
          <w:color w:val="000000" w:themeColor="text1"/>
          <w:sz w:val="24"/>
          <w:szCs w:val="24"/>
        </w:rPr>
        <w:t>benefits in addition to</w:t>
      </w:r>
      <w:r>
        <w:rPr>
          <w:rFonts w:asciiTheme="majorHAnsi" w:eastAsiaTheme="majorEastAsia" w:hAnsiTheme="majorHAnsi" w:cstheme="majorBidi"/>
          <w:bCs/>
          <w:color w:val="000000" w:themeColor="text1"/>
          <w:sz w:val="24"/>
          <w:szCs w:val="24"/>
        </w:rPr>
        <w:t xml:space="preserve"> the initial or direct benefits. </w:t>
      </w:r>
      <w:r w:rsidR="000E3178" w:rsidRPr="000E3178">
        <w:rPr>
          <w:rFonts w:asciiTheme="majorHAnsi" w:eastAsiaTheme="majorEastAsia" w:hAnsiTheme="majorHAnsi" w:cstheme="majorBidi"/>
          <w:bCs/>
          <w:color w:val="000000" w:themeColor="text1"/>
          <w:sz w:val="24"/>
          <w:szCs w:val="24"/>
        </w:rPr>
        <w:t xml:space="preserve">To quantify the </w:t>
      </w:r>
      <w:r>
        <w:rPr>
          <w:rFonts w:asciiTheme="majorHAnsi" w:eastAsiaTheme="majorEastAsia" w:hAnsiTheme="majorHAnsi" w:cstheme="majorBidi"/>
          <w:bCs/>
          <w:color w:val="000000" w:themeColor="text1"/>
          <w:sz w:val="24"/>
          <w:szCs w:val="24"/>
        </w:rPr>
        <w:t xml:space="preserve">total </w:t>
      </w:r>
      <w:r w:rsidR="00B6239F">
        <w:rPr>
          <w:rFonts w:asciiTheme="majorHAnsi" w:eastAsiaTheme="majorEastAsia" w:hAnsiTheme="majorHAnsi" w:cstheme="majorBidi"/>
          <w:bCs/>
          <w:color w:val="000000" w:themeColor="text1"/>
          <w:sz w:val="24"/>
          <w:szCs w:val="24"/>
        </w:rPr>
        <w:t>impacts</w:t>
      </w:r>
      <w:r>
        <w:rPr>
          <w:rFonts w:asciiTheme="majorHAnsi" w:eastAsiaTheme="majorEastAsia" w:hAnsiTheme="majorHAnsi" w:cstheme="majorBidi"/>
          <w:bCs/>
          <w:color w:val="000000" w:themeColor="text1"/>
          <w:sz w:val="24"/>
          <w:szCs w:val="24"/>
        </w:rPr>
        <w:t>, including ind</w:t>
      </w:r>
      <w:r w:rsidR="00B6239F">
        <w:rPr>
          <w:rFonts w:asciiTheme="majorHAnsi" w:eastAsiaTheme="majorEastAsia" w:hAnsiTheme="majorHAnsi" w:cstheme="majorBidi"/>
          <w:bCs/>
          <w:color w:val="000000" w:themeColor="text1"/>
          <w:sz w:val="24"/>
          <w:szCs w:val="24"/>
        </w:rPr>
        <w:t>irect/induced impacts</w:t>
      </w:r>
      <w:r w:rsidR="000E3178" w:rsidRPr="000E3178">
        <w:rPr>
          <w:rFonts w:asciiTheme="majorHAnsi" w:eastAsiaTheme="majorEastAsia" w:hAnsiTheme="majorHAnsi" w:cstheme="majorBidi"/>
          <w:bCs/>
          <w:color w:val="000000" w:themeColor="text1"/>
          <w:sz w:val="24"/>
          <w:szCs w:val="24"/>
        </w:rPr>
        <w:t xml:space="preserve">, we employed Tax-PI.  </w:t>
      </w:r>
      <w:r w:rsidR="00EE28C1">
        <w:rPr>
          <w:rFonts w:asciiTheme="majorHAnsi" w:eastAsiaTheme="majorEastAsia" w:hAnsiTheme="majorHAnsi" w:cstheme="majorBidi"/>
          <w:bCs/>
          <w:color w:val="000000" w:themeColor="text1"/>
          <w:sz w:val="24"/>
          <w:szCs w:val="24"/>
        </w:rPr>
        <w:t>A s</w:t>
      </w:r>
      <w:r w:rsidR="000E3178" w:rsidRPr="000E3178">
        <w:rPr>
          <w:rFonts w:asciiTheme="majorHAnsi" w:eastAsiaTheme="majorEastAsia" w:hAnsiTheme="majorHAnsi" w:cstheme="majorBidi"/>
          <w:bCs/>
          <w:color w:val="000000" w:themeColor="text1"/>
          <w:sz w:val="24"/>
          <w:szCs w:val="24"/>
        </w:rPr>
        <w:t xml:space="preserve">ummary of the </w:t>
      </w:r>
      <w:r w:rsidR="00EE28C1">
        <w:rPr>
          <w:rFonts w:asciiTheme="majorHAnsi" w:eastAsiaTheme="majorEastAsia" w:hAnsiTheme="majorHAnsi" w:cstheme="majorBidi"/>
          <w:bCs/>
          <w:color w:val="000000" w:themeColor="text1"/>
          <w:sz w:val="24"/>
          <w:szCs w:val="24"/>
        </w:rPr>
        <w:t xml:space="preserve">revenue </w:t>
      </w:r>
      <w:r w:rsidR="00B6239F">
        <w:rPr>
          <w:rFonts w:asciiTheme="majorHAnsi" w:eastAsiaTheme="majorEastAsia" w:hAnsiTheme="majorHAnsi" w:cstheme="majorBidi"/>
          <w:bCs/>
          <w:color w:val="000000" w:themeColor="text1"/>
          <w:sz w:val="24"/>
          <w:szCs w:val="24"/>
        </w:rPr>
        <w:t>impact</w:t>
      </w:r>
      <w:r w:rsidR="00EE28C1">
        <w:rPr>
          <w:rFonts w:asciiTheme="majorHAnsi" w:eastAsiaTheme="majorEastAsia" w:hAnsiTheme="majorHAnsi" w:cstheme="majorBidi"/>
          <w:bCs/>
          <w:color w:val="000000" w:themeColor="text1"/>
          <w:sz w:val="24"/>
          <w:szCs w:val="24"/>
        </w:rPr>
        <w:t xml:space="preserve"> of the ITC</w:t>
      </w:r>
      <w:r w:rsidR="00B6239F" w:rsidRPr="000E3178">
        <w:rPr>
          <w:rFonts w:asciiTheme="majorHAnsi" w:eastAsiaTheme="majorEastAsia" w:hAnsiTheme="majorHAnsi" w:cstheme="majorBidi"/>
          <w:bCs/>
          <w:color w:val="000000" w:themeColor="text1"/>
          <w:sz w:val="24"/>
          <w:szCs w:val="24"/>
        </w:rPr>
        <w:t xml:space="preserve"> </w:t>
      </w:r>
      <w:r w:rsidR="007D0AA7">
        <w:rPr>
          <w:rFonts w:asciiTheme="majorHAnsi" w:eastAsiaTheme="majorEastAsia" w:hAnsiTheme="majorHAnsi" w:cstheme="majorBidi"/>
          <w:noProof/>
          <w:color w:val="000000" w:themeColor="text1"/>
          <w:sz w:val="24"/>
          <w:szCs w:val="24"/>
        </w:rPr>
        <w:t>is repor</w:t>
      </w:r>
      <w:r w:rsidR="00E94EC9">
        <w:rPr>
          <w:rFonts w:asciiTheme="majorHAnsi" w:eastAsiaTheme="majorEastAsia" w:hAnsiTheme="majorHAnsi" w:cstheme="majorBidi"/>
          <w:noProof/>
          <w:color w:val="000000" w:themeColor="text1"/>
          <w:sz w:val="24"/>
          <w:szCs w:val="24"/>
        </w:rPr>
        <w:t>t</w:t>
      </w:r>
      <w:r w:rsidR="007D0AA7">
        <w:rPr>
          <w:rFonts w:asciiTheme="majorHAnsi" w:eastAsiaTheme="majorEastAsia" w:hAnsiTheme="majorHAnsi" w:cstheme="majorBidi"/>
          <w:noProof/>
          <w:color w:val="000000" w:themeColor="text1"/>
          <w:sz w:val="24"/>
          <w:szCs w:val="24"/>
        </w:rPr>
        <w:t xml:space="preserve">ed in </w:t>
      </w:r>
      <w:r w:rsidR="0047703C">
        <w:rPr>
          <w:rFonts w:asciiTheme="majorHAnsi" w:eastAsiaTheme="majorEastAsia" w:hAnsiTheme="majorHAnsi" w:cstheme="majorBidi"/>
          <w:noProof/>
          <w:color w:val="000000" w:themeColor="text1"/>
          <w:sz w:val="24"/>
          <w:szCs w:val="24"/>
        </w:rPr>
        <w:t>T</w:t>
      </w:r>
      <w:r w:rsidR="007D0AA7">
        <w:rPr>
          <w:rFonts w:asciiTheme="majorHAnsi" w:eastAsiaTheme="majorEastAsia" w:hAnsiTheme="majorHAnsi" w:cstheme="majorBidi"/>
          <w:noProof/>
          <w:color w:val="000000" w:themeColor="text1"/>
          <w:sz w:val="24"/>
          <w:szCs w:val="24"/>
        </w:rPr>
        <w:t xml:space="preserve">able </w:t>
      </w:r>
      <w:r w:rsidR="00303B9E">
        <w:rPr>
          <w:rFonts w:asciiTheme="majorHAnsi" w:eastAsiaTheme="majorEastAsia" w:hAnsiTheme="majorHAnsi" w:cstheme="majorBidi"/>
          <w:noProof/>
          <w:color w:val="000000" w:themeColor="text1"/>
          <w:sz w:val="24"/>
          <w:szCs w:val="24"/>
        </w:rPr>
        <w:t>8</w:t>
      </w:r>
      <w:r w:rsidR="00EE28C1">
        <w:rPr>
          <w:rFonts w:asciiTheme="majorHAnsi" w:eastAsiaTheme="majorEastAsia" w:hAnsiTheme="majorHAnsi" w:cstheme="majorBidi"/>
          <w:noProof/>
          <w:color w:val="000000" w:themeColor="text1"/>
          <w:sz w:val="24"/>
          <w:szCs w:val="24"/>
        </w:rPr>
        <w:t>,</w:t>
      </w:r>
      <w:r w:rsidR="007D0AA7">
        <w:rPr>
          <w:rFonts w:asciiTheme="majorHAnsi" w:eastAsiaTheme="majorEastAsia" w:hAnsiTheme="majorHAnsi" w:cstheme="majorBidi"/>
          <w:noProof/>
          <w:color w:val="000000" w:themeColor="text1"/>
          <w:sz w:val="24"/>
          <w:szCs w:val="24"/>
        </w:rPr>
        <w:t xml:space="preserve"> and </w:t>
      </w:r>
      <w:r w:rsidR="00EE28C1">
        <w:rPr>
          <w:rFonts w:asciiTheme="majorHAnsi" w:eastAsiaTheme="majorEastAsia" w:hAnsiTheme="majorHAnsi" w:cstheme="majorBidi"/>
          <w:noProof/>
          <w:color w:val="000000" w:themeColor="text1"/>
          <w:sz w:val="24"/>
          <w:szCs w:val="24"/>
        </w:rPr>
        <w:t xml:space="preserve">the additional economic benefit from the credit is reflected in Table </w:t>
      </w:r>
      <w:r w:rsidR="00303B9E">
        <w:rPr>
          <w:rFonts w:asciiTheme="majorHAnsi" w:eastAsiaTheme="majorEastAsia" w:hAnsiTheme="majorHAnsi" w:cstheme="majorBidi"/>
          <w:noProof/>
          <w:color w:val="000000" w:themeColor="text1"/>
          <w:sz w:val="24"/>
          <w:szCs w:val="24"/>
        </w:rPr>
        <w:t>9</w:t>
      </w:r>
      <w:r w:rsidR="007D0AA7">
        <w:rPr>
          <w:rFonts w:asciiTheme="majorHAnsi" w:eastAsiaTheme="majorEastAsia" w:hAnsiTheme="majorHAnsi" w:cstheme="majorBidi"/>
          <w:noProof/>
          <w:color w:val="000000" w:themeColor="text1"/>
          <w:sz w:val="24"/>
          <w:szCs w:val="24"/>
        </w:rPr>
        <w:t xml:space="preserve"> below. The figures for 2018 and 2019 are estimates of benefits that the Massachusetts economy experience</w:t>
      </w:r>
      <w:r w:rsidR="00B6239F">
        <w:rPr>
          <w:rFonts w:asciiTheme="majorHAnsi" w:eastAsiaTheme="majorEastAsia" w:hAnsiTheme="majorHAnsi" w:cstheme="majorBidi"/>
          <w:noProof/>
          <w:color w:val="000000" w:themeColor="text1"/>
          <w:sz w:val="24"/>
          <w:szCs w:val="24"/>
        </w:rPr>
        <w:t>d</w:t>
      </w:r>
      <w:r w:rsidR="007D0AA7">
        <w:rPr>
          <w:rFonts w:asciiTheme="majorHAnsi" w:eastAsiaTheme="majorEastAsia" w:hAnsiTheme="majorHAnsi" w:cstheme="majorBidi"/>
          <w:noProof/>
          <w:color w:val="000000" w:themeColor="text1"/>
          <w:sz w:val="24"/>
          <w:szCs w:val="24"/>
        </w:rPr>
        <w:t xml:space="preserve"> and those for 2020, 2021 and 2022 are </w:t>
      </w:r>
      <w:r w:rsidR="00B6239F">
        <w:rPr>
          <w:rFonts w:asciiTheme="majorHAnsi" w:eastAsiaTheme="majorEastAsia" w:hAnsiTheme="majorHAnsi" w:cstheme="majorBidi"/>
          <w:noProof/>
          <w:color w:val="000000" w:themeColor="text1"/>
          <w:sz w:val="24"/>
          <w:szCs w:val="24"/>
        </w:rPr>
        <w:t>projection</w:t>
      </w:r>
      <w:r w:rsidR="00EE28C1">
        <w:rPr>
          <w:rFonts w:asciiTheme="majorHAnsi" w:eastAsiaTheme="majorEastAsia" w:hAnsiTheme="majorHAnsi" w:cstheme="majorBidi"/>
          <w:noProof/>
          <w:color w:val="000000" w:themeColor="text1"/>
          <w:sz w:val="24"/>
          <w:szCs w:val="24"/>
        </w:rPr>
        <w:t>s</w:t>
      </w:r>
      <w:r w:rsidR="00B6239F">
        <w:rPr>
          <w:rFonts w:asciiTheme="majorHAnsi" w:eastAsiaTheme="majorEastAsia" w:hAnsiTheme="majorHAnsi" w:cstheme="majorBidi"/>
          <w:noProof/>
          <w:color w:val="000000" w:themeColor="text1"/>
          <w:sz w:val="24"/>
          <w:szCs w:val="24"/>
        </w:rPr>
        <w:t xml:space="preserve"> </w:t>
      </w:r>
      <w:r w:rsidR="007D0AA7">
        <w:rPr>
          <w:rFonts w:asciiTheme="majorHAnsi" w:eastAsiaTheme="majorEastAsia" w:hAnsiTheme="majorHAnsi" w:cstheme="majorBidi"/>
          <w:noProof/>
          <w:color w:val="000000" w:themeColor="text1"/>
          <w:sz w:val="24"/>
          <w:szCs w:val="24"/>
        </w:rPr>
        <w:t xml:space="preserve">of </w:t>
      </w:r>
      <w:r w:rsidR="00EE28C1">
        <w:rPr>
          <w:rFonts w:asciiTheme="majorHAnsi" w:eastAsiaTheme="majorEastAsia" w:hAnsiTheme="majorHAnsi" w:cstheme="majorBidi"/>
          <w:noProof/>
          <w:color w:val="000000" w:themeColor="text1"/>
          <w:sz w:val="24"/>
          <w:szCs w:val="24"/>
        </w:rPr>
        <w:t xml:space="preserve">the </w:t>
      </w:r>
      <w:r w:rsidR="007D0AA7">
        <w:rPr>
          <w:rFonts w:asciiTheme="majorHAnsi" w:eastAsiaTheme="majorEastAsia" w:hAnsiTheme="majorHAnsi" w:cstheme="majorBidi"/>
          <w:noProof/>
          <w:color w:val="000000" w:themeColor="text1"/>
          <w:sz w:val="24"/>
          <w:szCs w:val="24"/>
        </w:rPr>
        <w:t xml:space="preserve">benefits that the Massachusetts economy </w:t>
      </w:r>
      <w:r w:rsidR="00B6239F">
        <w:rPr>
          <w:rFonts w:asciiTheme="majorHAnsi" w:eastAsiaTheme="majorEastAsia" w:hAnsiTheme="majorHAnsi" w:cstheme="majorBidi"/>
          <w:noProof/>
          <w:color w:val="000000" w:themeColor="text1"/>
          <w:sz w:val="24"/>
          <w:szCs w:val="24"/>
        </w:rPr>
        <w:t xml:space="preserve">will </w:t>
      </w:r>
      <w:r w:rsidR="007D0AA7">
        <w:rPr>
          <w:rFonts w:asciiTheme="majorHAnsi" w:eastAsiaTheme="majorEastAsia" w:hAnsiTheme="majorHAnsi" w:cstheme="majorBidi"/>
          <w:noProof/>
          <w:color w:val="000000" w:themeColor="text1"/>
          <w:sz w:val="24"/>
          <w:szCs w:val="24"/>
        </w:rPr>
        <w:t xml:space="preserve">experience going forward.  </w:t>
      </w:r>
      <w:r w:rsidR="00B31D5A">
        <w:rPr>
          <w:rFonts w:asciiTheme="majorHAnsi" w:eastAsiaTheme="majorEastAsia" w:hAnsiTheme="majorHAnsi" w:cstheme="majorBidi"/>
          <w:bCs/>
          <w:color w:val="000000" w:themeColor="text1"/>
          <w:sz w:val="24"/>
          <w:szCs w:val="24"/>
        </w:rPr>
        <w:t xml:space="preserve">Tables </w:t>
      </w:r>
      <w:r w:rsidR="00303B9E">
        <w:rPr>
          <w:rFonts w:asciiTheme="majorHAnsi" w:eastAsiaTheme="majorEastAsia" w:hAnsiTheme="majorHAnsi" w:cstheme="majorBidi"/>
          <w:bCs/>
          <w:color w:val="000000" w:themeColor="text1"/>
          <w:sz w:val="24"/>
          <w:szCs w:val="24"/>
        </w:rPr>
        <w:t>8</w:t>
      </w:r>
      <w:r w:rsidR="00B31D5A">
        <w:rPr>
          <w:rFonts w:asciiTheme="majorHAnsi" w:eastAsiaTheme="majorEastAsia" w:hAnsiTheme="majorHAnsi" w:cstheme="majorBidi"/>
          <w:bCs/>
          <w:color w:val="000000" w:themeColor="text1"/>
          <w:sz w:val="24"/>
          <w:szCs w:val="24"/>
        </w:rPr>
        <w:t xml:space="preserve"> and </w:t>
      </w:r>
      <w:r w:rsidR="00303B9E">
        <w:rPr>
          <w:rFonts w:asciiTheme="majorHAnsi" w:eastAsiaTheme="majorEastAsia" w:hAnsiTheme="majorHAnsi" w:cstheme="majorBidi"/>
          <w:bCs/>
          <w:color w:val="000000" w:themeColor="text1"/>
          <w:sz w:val="24"/>
          <w:szCs w:val="24"/>
        </w:rPr>
        <w:t>9</w:t>
      </w:r>
      <w:r w:rsidR="00B31D5A">
        <w:rPr>
          <w:rFonts w:asciiTheme="majorHAnsi" w:eastAsiaTheme="majorEastAsia" w:hAnsiTheme="majorHAnsi" w:cstheme="majorBidi"/>
          <w:bCs/>
          <w:color w:val="000000" w:themeColor="text1"/>
          <w:sz w:val="24"/>
          <w:szCs w:val="24"/>
        </w:rPr>
        <w:t xml:space="preserve"> show that the investment tax credit results in more economic </w:t>
      </w:r>
      <w:r w:rsidR="00D44B74">
        <w:rPr>
          <w:rFonts w:asciiTheme="majorHAnsi" w:eastAsiaTheme="majorEastAsia" w:hAnsiTheme="majorHAnsi" w:cstheme="majorBidi"/>
          <w:bCs/>
          <w:color w:val="000000" w:themeColor="text1"/>
          <w:sz w:val="24"/>
          <w:szCs w:val="24"/>
        </w:rPr>
        <w:t>activity</w:t>
      </w:r>
      <w:r w:rsidR="00B31D5A">
        <w:rPr>
          <w:rFonts w:asciiTheme="majorHAnsi" w:eastAsiaTheme="majorEastAsia" w:hAnsiTheme="majorHAnsi" w:cstheme="majorBidi"/>
          <w:bCs/>
          <w:color w:val="000000" w:themeColor="text1"/>
          <w:sz w:val="24"/>
          <w:szCs w:val="24"/>
        </w:rPr>
        <w:t xml:space="preserve">, with real state GDP increasing </w:t>
      </w:r>
      <w:r w:rsidR="00426548">
        <w:rPr>
          <w:rFonts w:asciiTheme="majorHAnsi" w:eastAsiaTheme="majorEastAsia" w:hAnsiTheme="majorHAnsi" w:cstheme="majorBidi"/>
          <w:bCs/>
          <w:color w:val="000000" w:themeColor="text1"/>
          <w:sz w:val="24"/>
          <w:szCs w:val="24"/>
        </w:rPr>
        <w:t xml:space="preserve">by </w:t>
      </w:r>
      <w:r w:rsidR="00B31D5A">
        <w:rPr>
          <w:rFonts w:asciiTheme="majorHAnsi" w:eastAsiaTheme="majorEastAsia" w:hAnsiTheme="majorHAnsi" w:cstheme="majorBidi"/>
          <w:bCs/>
          <w:color w:val="000000" w:themeColor="text1"/>
          <w:sz w:val="24"/>
          <w:szCs w:val="24"/>
        </w:rPr>
        <w:t xml:space="preserve">$81-$187 million and total employment increasing </w:t>
      </w:r>
      <w:r w:rsidR="00426548">
        <w:rPr>
          <w:rFonts w:asciiTheme="majorHAnsi" w:eastAsiaTheme="majorEastAsia" w:hAnsiTheme="majorHAnsi" w:cstheme="majorBidi"/>
          <w:bCs/>
          <w:color w:val="000000" w:themeColor="text1"/>
          <w:sz w:val="24"/>
          <w:szCs w:val="24"/>
        </w:rPr>
        <w:t xml:space="preserve">by </w:t>
      </w:r>
      <w:r w:rsidR="00B31D5A">
        <w:rPr>
          <w:rFonts w:asciiTheme="majorHAnsi" w:eastAsiaTheme="majorEastAsia" w:hAnsiTheme="majorHAnsi" w:cstheme="majorBidi"/>
          <w:bCs/>
          <w:color w:val="000000" w:themeColor="text1"/>
          <w:sz w:val="24"/>
          <w:szCs w:val="24"/>
        </w:rPr>
        <w:t xml:space="preserve">826-1,574 </w:t>
      </w:r>
      <w:r w:rsidR="00426548">
        <w:rPr>
          <w:rFonts w:asciiTheme="majorHAnsi" w:eastAsiaTheme="majorEastAsia" w:hAnsiTheme="majorHAnsi" w:cstheme="majorBidi"/>
          <w:bCs/>
          <w:color w:val="000000" w:themeColor="text1"/>
          <w:sz w:val="24"/>
          <w:szCs w:val="24"/>
        </w:rPr>
        <w:t xml:space="preserve">jobs </w:t>
      </w:r>
      <w:r w:rsidR="00B31D5A">
        <w:rPr>
          <w:rFonts w:asciiTheme="majorHAnsi" w:eastAsiaTheme="majorEastAsia" w:hAnsiTheme="majorHAnsi" w:cstheme="majorBidi"/>
          <w:bCs/>
          <w:color w:val="000000" w:themeColor="text1"/>
          <w:sz w:val="24"/>
          <w:szCs w:val="24"/>
        </w:rPr>
        <w:t xml:space="preserve">annually. More economic </w:t>
      </w:r>
      <w:r w:rsidR="00D44B74">
        <w:rPr>
          <w:rFonts w:asciiTheme="majorHAnsi" w:eastAsiaTheme="majorEastAsia" w:hAnsiTheme="majorHAnsi" w:cstheme="majorBidi"/>
          <w:bCs/>
          <w:color w:val="000000" w:themeColor="text1"/>
          <w:sz w:val="24"/>
          <w:szCs w:val="24"/>
        </w:rPr>
        <w:t xml:space="preserve">activity </w:t>
      </w:r>
      <w:r w:rsidR="00B31D5A">
        <w:rPr>
          <w:rFonts w:asciiTheme="majorHAnsi" w:eastAsiaTheme="majorEastAsia" w:hAnsiTheme="majorHAnsi" w:cstheme="majorBidi"/>
          <w:bCs/>
          <w:color w:val="000000" w:themeColor="text1"/>
          <w:sz w:val="24"/>
          <w:szCs w:val="24"/>
        </w:rPr>
        <w:t>result</w:t>
      </w:r>
      <w:r w:rsidR="00D44B74">
        <w:rPr>
          <w:rFonts w:asciiTheme="majorHAnsi" w:eastAsiaTheme="majorEastAsia" w:hAnsiTheme="majorHAnsi" w:cstheme="majorBidi"/>
          <w:bCs/>
          <w:color w:val="000000" w:themeColor="text1"/>
          <w:sz w:val="24"/>
          <w:szCs w:val="24"/>
        </w:rPr>
        <w:t>s</w:t>
      </w:r>
      <w:r w:rsidR="00B31D5A">
        <w:rPr>
          <w:rFonts w:asciiTheme="majorHAnsi" w:eastAsiaTheme="majorEastAsia" w:hAnsiTheme="majorHAnsi" w:cstheme="majorBidi"/>
          <w:bCs/>
          <w:color w:val="000000" w:themeColor="text1"/>
          <w:sz w:val="24"/>
          <w:szCs w:val="24"/>
        </w:rPr>
        <w:t xml:space="preserve"> in more </w:t>
      </w:r>
      <w:r w:rsidR="00426548">
        <w:rPr>
          <w:rFonts w:asciiTheme="majorHAnsi" w:eastAsiaTheme="majorEastAsia" w:hAnsiTheme="majorHAnsi" w:cstheme="majorBidi"/>
          <w:bCs/>
          <w:color w:val="000000" w:themeColor="text1"/>
          <w:sz w:val="24"/>
          <w:szCs w:val="24"/>
        </w:rPr>
        <w:t>state</w:t>
      </w:r>
      <w:r w:rsidR="00B31D5A">
        <w:rPr>
          <w:rFonts w:asciiTheme="majorHAnsi" w:eastAsiaTheme="majorEastAsia" w:hAnsiTheme="majorHAnsi" w:cstheme="majorBidi"/>
          <w:bCs/>
          <w:color w:val="000000" w:themeColor="text1"/>
          <w:sz w:val="24"/>
          <w:szCs w:val="24"/>
        </w:rPr>
        <w:t xml:space="preserve"> revenues, ranging from $1.8 to $9.0 million annually, which partially offset</w:t>
      </w:r>
      <w:r w:rsidR="00D44B74">
        <w:rPr>
          <w:rFonts w:asciiTheme="majorHAnsi" w:eastAsiaTheme="majorEastAsia" w:hAnsiTheme="majorHAnsi" w:cstheme="majorBidi"/>
          <w:bCs/>
          <w:color w:val="000000" w:themeColor="text1"/>
          <w:sz w:val="24"/>
          <w:szCs w:val="24"/>
        </w:rPr>
        <w:t>s</w:t>
      </w:r>
      <w:r w:rsidR="00B31D5A">
        <w:rPr>
          <w:rFonts w:asciiTheme="majorHAnsi" w:eastAsiaTheme="majorEastAsia" w:hAnsiTheme="majorHAnsi" w:cstheme="majorBidi"/>
          <w:bCs/>
          <w:color w:val="000000" w:themeColor="text1"/>
          <w:sz w:val="24"/>
          <w:szCs w:val="24"/>
        </w:rPr>
        <w:t xml:space="preserve"> the </w:t>
      </w:r>
      <w:r w:rsidR="00D44B74">
        <w:rPr>
          <w:rFonts w:asciiTheme="majorHAnsi" w:eastAsiaTheme="majorEastAsia" w:hAnsiTheme="majorHAnsi" w:cstheme="majorBidi"/>
          <w:bCs/>
          <w:color w:val="000000" w:themeColor="text1"/>
          <w:sz w:val="24"/>
          <w:szCs w:val="24"/>
        </w:rPr>
        <w:t>cost of</w:t>
      </w:r>
      <w:r w:rsidR="00B31D5A">
        <w:rPr>
          <w:rFonts w:asciiTheme="majorHAnsi" w:eastAsiaTheme="majorEastAsia" w:hAnsiTheme="majorHAnsi" w:cstheme="majorBidi"/>
          <w:bCs/>
          <w:color w:val="000000" w:themeColor="text1"/>
          <w:sz w:val="24"/>
          <w:szCs w:val="24"/>
        </w:rPr>
        <w:t xml:space="preserve"> this tax incentive.</w:t>
      </w:r>
      <w:r w:rsidR="00ED27E6">
        <w:rPr>
          <w:rFonts w:asciiTheme="majorHAnsi" w:eastAsiaTheme="majorEastAsia" w:hAnsiTheme="majorHAnsi" w:cstheme="majorBidi"/>
          <w:bCs/>
          <w:color w:val="000000" w:themeColor="text1"/>
          <w:sz w:val="24"/>
          <w:szCs w:val="24"/>
        </w:rPr>
        <w:t xml:space="preserve"> </w:t>
      </w:r>
    </w:p>
    <w:p w14:paraId="5187921B" w14:textId="77777777" w:rsidR="008F432D" w:rsidRDefault="008F432D" w:rsidP="00291074">
      <w:pPr>
        <w:tabs>
          <w:tab w:val="left" w:pos="7050"/>
        </w:tabs>
        <w:spacing w:after="0"/>
        <w:rPr>
          <w:rFonts w:asciiTheme="majorHAnsi" w:hAnsiTheme="majorHAnsi"/>
          <w:b/>
          <w:sz w:val="24"/>
          <w:szCs w:val="24"/>
        </w:rPr>
      </w:pPr>
    </w:p>
    <w:p w14:paraId="58FD03BA" w14:textId="77777777" w:rsidR="00251113" w:rsidRDefault="00251113" w:rsidP="00B31D5A">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sidR="00303B9E">
        <w:rPr>
          <w:rFonts w:asciiTheme="majorHAnsi" w:eastAsiaTheme="majorEastAsia" w:hAnsiTheme="majorHAnsi" w:cstheme="majorBidi"/>
          <w:b/>
          <w:color w:val="000000" w:themeColor="text1"/>
          <w:sz w:val="24"/>
          <w:szCs w:val="24"/>
        </w:rPr>
        <w:t>8</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 Additional Revenue Impact of Investment Tax Credit</w:t>
      </w:r>
    </w:p>
    <w:tbl>
      <w:tblPr>
        <w:tblW w:w="9157" w:type="dxa"/>
        <w:tblInd w:w="108" w:type="dxa"/>
        <w:tblLayout w:type="fixed"/>
        <w:tblLook w:val="04A0" w:firstRow="1" w:lastRow="0" w:firstColumn="1" w:lastColumn="0" w:noHBand="0" w:noVBand="1"/>
      </w:tblPr>
      <w:tblGrid>
        <w:gridCol w:w="3452"/>
        <w:gridCol w:w="1141"/>
        <w:gridCol w:w="1141"/>
        <w:gridCol w:w="1141"/>
        <w:gridCol w:w="1141"/>
        <w:gridCol w:w="1141"/>
      </w:tblGrid>
      <w:tr w:rsidR="00B31D5A" w:rsidRPr="00DD78A7" w14:paraId="2A40A8E1" w14:textId="77777777" w:rsidTr="00B31D5A">
        <w:trPr>
          <w:trHeight w:val="500"/>
        </w:trPr>
        <w:tc>
          <w:tcPr>
            <w:tcW w:w="3452"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7D84E250" w14:textId="77777777" w:rsidR="00B31D5A" w:rsidRPr="00DD78A7" w:rsidRDefault="00B31D5A" w:rsidP="00A90779">
            <w:pPr>
              <w:spacing w:after="0" w:line="240" w:lineRule="auto"/>
              <w:jc w:val="center"/>
              <w:rPr>
                <w:rFonts w:ascii="Cambria" w:eastAsia="Times New Roman" w:hAnsi="Cambria" w:cs="Helvetica"/>
                <w:sz w:val="20"/>
                <w:szCs w:val="20"/>
                <w:lang w:eastAsia="ko-KR"/>
              </w:rPr>
            </w:pPr>
            <w:r w:rsidRPr="00DD78A7">
              <w:rPr>
                <w:rFonts w:ascii="Cambria" w:eastAsia="Times New Roman" w:hAnsi="Cambria" w:cs="Helvetica"/>
                <w:sz w:val="20"/>
                <w:szCs w:val="20"/>
                <w:lang w:eastAsia="ko-KR"/>
              </w:rPr>
              <w:t>Fiscal Year</w:t>
            </w:r>
          </w:p>
        </w:tc>
        <w:tc>
          <w:tcPr>
            <w:tcW w:w="1141" w:type="dxa"/>
            <w:tcBorders>
              <w:top w:val="single" w:sz="4" w:space="0" w:color="auto"/>
              <w:left w:val="nil"/>
              <w:bottom w:val="single" w:sz="4" w:space="0" w:color="auto"/>
              <w:right w:val="single" w:sz="4" w:space="0" w:color="auto"/>
            </w:tcBorders>
            <w:shd w:val="clear" w:color="000000" w:fill="B7DEE8"/>
            <w:noWrap/>
            <w:vAlign w:val="center"/>
            <w:hideMark/>
          </w:tcPr>
          <w:p w14:paraId="6DEB1EE8" w14:textId="77777777" w:rsidR="00B31D5A" w:rsidRPr="00DD78A7" w:rsidRDefault="00B31D5A" w:rsidP="00A90779">
            <w:pPr>
              <w:spacing w:after="0" w:line="240" w:lineRule="auto"/>
              <w:jc w:val="center"/>
              <w:rPr>
                <w:rFonts w:ascii="Cambria" w:eastAsia="Times New Roman" w:hAnsi="Cambria" w:cs="Helvetica"/>
                <w:sz w:val="20"/>
                <w:szCs w:val="20"/>
                <w:lang w:eastAsia="ko-KR"/>
              </w:rPr>
            </w:pPr>
            <w:r w:rsidRPr="00DD78A7">
              <w:rPr>
                <w:rFonts w:ascii="Cambria" w:eastAsia="Times New Roman" w:hAnsi="Cambria" w:cs="Helvetica"/>
                <w:sz w:val="20"/>
                <w:szCs w:val="20"/>
                <w:lang w:eastAsia="ko-KR"/>
              </w:rPr>
              <w:t>2018</w:t>
            </w:r>
          </w:p>
        </w:tc>
        <w:tc>
          <w:tcPr>
            <w:tcW w:w="1141" w:type="dxa"/>
            <w:tcBorders>
              <w:top w:val="single" w:sz="4" w:space="0" w:color="auto"/>
              <w:left w:val="nil"/>
              <w:bottom w:val="single" w:sz="4" w:space="0" w:color="auto"/>
              <w:right w:val="single" w:sz="4" w:space="0" w:color="auto"/>
            </w:tcBorders>
            <w:shd w:val="clear" w:color="000000" w:fill="B7DEE8"/>
            <w:noWrap/>
            <w:vAlign w:val="center"/>
            <w:hideMark/>
          </w:tcPr>
          <w:p w14:paraId="700D9042" w14:textId="77777777" w:rsidR="00B31D5A" w:rsidRPr="00DD78A7" w:rsidRDefault="00B31D5A" w:rsidP="00A90779">
            <w:pPr>
              <w:spacing w:after="0" w:line="240" w:lineRule="auto"/>
              <w:jc w:val="center"/>
              <w:rPr>
                <w:rFonts w:ascii="Cambria" w:eastAsia="Times New Roman" w:hAnsi="Cambria" w:cs="Helvetica"/>
                <w:sz w:val="20"/>
                <w:szCs w:val="20"/>
                <w:lang w:eastAsia="ko-KR"/>
              </w:rPr>
            </w:pPr>
            <w:r w:rsidRPr="00DD78A7">
              <w:rPr>
                <w:rFonts w:ascii="Cambria" w:eastAsia="Times New Roman" w:hAnsi="Cambria" w:cs="Helvetica"/>
                <w:sz w:val="20"/>
                <w:szCs w:val="20"/>
                <w:lang w:eastAsia="ko-KR"/>
              </w:rPr>
              <w:t>2019</w:t>
            </w:r>
          </w:p>
        </w:tc>
        <w:tc>
          <w:tcPr>
            <w:tcW w:w="1141" w:type="dxa"/>
            <w:tcBorders>
              <w:top w:val="single" w:sz="4" w:space="0" w:color="auto"/>
              <w:left w:val="nil"/>
              <w:bottom w:val="single" w:sz="4" w:space="0" w:color="auto"/>
              <w:right w:val="single" w:sz="4" w:space="0" w:color="auto"/>
            </w:tcBorders>
            <w:shd w:val="clear" w:color="000000" w:fill="B7DEE8"/>
            <w:noWrap/>
            <w:vAlign w:val="center"/>
            <w:hideMark/>
          </w:tcPr>
          <w:p w14:paraId="5364160F" w14:textId="77777777" w:rsidR="00B31D5A" w:rsidRPr="00DD78A7" w:rsidRDefault="00B31D5A" w:rsidP="00A90779">
            <w:pPr>
              <w:spacing w:after="0" w:line="240" w:lineRule="auto"/>
              <w:jc w:val="center"/>
              <w:rPr>
                <w:rFonts w:ascii="Cambria" w:eastAsia="Times New Roman" w:hAnsi="Cambria" w:cs="Helvetica"/>
                <w:sz w:val="20"/>
                <w:szCs w:val="20"/>
                <w:lang w:eastAsia="ko-KR"/>
              </w:rPr>
            </w:pPr>
            <w:r w:rsidRPr="00DD78A7">
              <w:rPr>
                <w:rFonts w:ascii="Cambria" w:eastAsia="Times New Roman" w:hAnsi="Cambria" w:cs="Helvetica"/>
                <w:sz w:val="20"/>
                <w:szCs w:val="20"/>
                <w:lang w:eastAsia="ko-KR"/>
              </w:rPr>
              <w:t>2020</w:t>
            </w:r>
          </w:p>
        </w:tc>
        <w:tc>
          <w:tcPr>
            <w:tcW w:w="1141" w:type="dxa"/>
            <w:tcBorders>
              <w:top w:val="single" w:sz="4" w:space="0" w:color="auto"/>
              <w:left w:val="nil"/>
              <w:bottom w:val="single" w:sz="4" w:space="0" w:color="auto"/>
              <w:right w:val="single" w:sz="4" w:space="0" w:color="auto"/>
            </w:tcBorders>
            <w:shd w:val="clear" w:color="000000" w:fill="B7DEE8"/>
            <w:noWrap/>
            <w:vAlign w:val="center"/>
            <w:hideMark/>
          </w:tcPr>
          <w:p w14:paraId="41AF0E72" w14:textId="77777777" w:rsidR="00B31D5A" w:rsidRPr="00DD78A7" w:rsidRDefault="00B31D5A" w:rsidP="00A90779">
            <w:pPr>
              <w:spacing w:after="0" w:line="240" w:lineRule="auto"/>
              <w:jc w:val="center"/>
              <w:rPr>
                <w:rFonts w:ascii="Cambria" w:eastAsia="Times New Roman" w:hAnsi="Cambria" w:cs="Helvetica"/>
                <w:sz w:val="20"/>
                <w:szCs w:val="20"/>
                <w:lang w:eastAsia="ko-KR"/>
              </w:rPr>
            </w:pPr>
            <w:r w:rsidRPr="00DD78A7">
              <w:rPr>
                <w:rFonts w:ascii="Cambria" w:eastAsia="Times New Roman" w:hAnsi="Cambria" w:cs="Helvetica"/>
                <w:sz w:val="20"/>
                <w:szCs w:val="20"/>
                <w:lang w:eastAsia="ko-KR"/>
              </w:rPr>
              <w:t>2021</w:t>
            </w:r>
          </w:p>
        </w:tc>
        <w:tc>
          <w:tcPr>
            <w:tcW w:w="1141" w:type="dxa"/>
            <w:tcBorders>
              <w:top w:val="single" w:sz="4" w:space="0" w:color="auto"/>
              <w:left w:val="nil"/>
              <w:bottom w:val="single" w:sz="4" w:space="0" w:color="auto"/>
              <w:right w:val="single" w:sz="4" w:space="0" w:color="auto"/>
            </w:tcBorders>
            <w:shd w:val="clear" w:color="000000" w:fill="B7DEE8"/>
            <w:noWrap/>
            <w:vAlign w:val="center"/>
            <w:hideMark/>
          </w:tcPr>
          <w:p w14:paraId="73CA12D0" w14:textId="77777777" w:rsidR="00B31D5A" w:rsidRPr="00DD78A7" w:rsidRDefault="00B31D5A" w:rsidP="00A90779">
            <w:pPr>
              <w:spacing w:after="0" w:line="240" w:lineRule="auto"/>
              <w:jc w:val="center"/>
              <w:rPr>
                <w:rFonts w:ascii="Cambria" w:eastAsia="Times New Roman" w:hAnsi="Cambria" w:cs="Helvetica"/>
                <w:sz w:val="20"/>
                <w:szCs w:val="20"/>
                <w:lang w:eastAsia="ko-KR"/>
              </w:rPr>
            </w:pPr>
            <w:r w:rsidRPr="00DD78A7">
              <w:rPr>
                <w:rFonts w:ascii="Cambria" w:eastAsia="Times New Roman" w:hAnsi="Cambria" w:cs="Helvetica"/>
                <w:sz w:val="20"/>
                <w:szCs w:val="20"/>
                <w:lang w:eastAsia="ko-KR"/>
              </w:rPr>
              <w:t>2022</w:t>
            </w:r>
          </w:p>
        </w:tc>
      </w:tr>
      <w:tr w:rsidR="00B31D5A" w:rsidRPr="00DD78A7" w14:paraId="1BE323DE" w14:textId="77777777" w:rsidTr="00B31D5A">
        <w:trPr>
          <w:trHeight w:val="500"/>
        </w:trPr>
        <w:tc>
          <w:tcPr>
            <w:tcW w:w="3452" w:type="dxa"/>
            <w:tcBorders>
              <w:top w:val="nil"/>
              <w:left w:val="single" w:sz="4" w:space="0" w:color="auto"/>
              <w:bottom w:val="single" w:sz="4" w:space="0" w:color="auto"/>
              <w:right w:val="single" w:sz="4" w:space="0" w:color="auto"/>
            </w:tcBorders>
            <w:shd w:val="clear" w:color="auto" w:fill="auto"/>
            <w:vAlign w:val="center"/>
            <w:hideMark/>
          </w:tcPr>
          <w:p w14:paraId="0D9B8833" w14:textId="77777777" w:rsidR="00B31D5A" w:rsidRPr="00DD78A7" w:rsidRDefault="00B31D5A" w:rsidP="00A90779">
            <w:pPr>
              <w:spacing w:after="0" w:line="240" w:lineRule="auto"/>
              <w:rPr>
                <w:rFonts w:ascii="Cambria" w:eastAsia="Times New Roman" w:hAnsi="Cambria" w:cs="Helvetica"/>
                <w:sz w:val="20"/>
                <w:szCs w:val="20"/>
                <w:lang w:eastAsia="ko-KR"/>
              </w:rPr>
            </w:pPr>
            <w:r>
              <w:rPr>
                <w:rFonts w:ascii="Cambria" w:eastAsia="Times New Roman" w:hAnsi="Cambria" w:cs="Helvetica"/>
                <w:sz w:val="20"/>
                <w:szCs w:val="20"/>
                <w:lang w:eastAsia="ko-KR"/>
              </w:rPr>
              <w:t>A</w:t>
            </w:r>
            <w:r w:rsidRPr="00DD78A7">
              <w:rPr>
                <w:rFonts w:ascii="Cambria" w:eastAsia="Times New Roman" w:hAnsi="Cambria" w:cs="Helvetica"/>
                <w:sz w:val="20"/>
                <w:szCs w:val="20"/>
                <w:lang w:eastAsia="ko-KR"/>
              </w:rPr>
              <w:t>dditional revenue impact ($000)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4B271" w14:textId="77777777" w:rsidR="00B31D5A" w:rsidRPr="00DD78A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$1,814</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14:paraId="6EFE6F71" w14:textId="77777777" w:rsidR="00B31D5A" w:rsidRPr="00DD78A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$4,663</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14:paraId="32062C73" w14:textId="77777777" w:rsidR="00B31D5A" w:rsidRPr="00DD78A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$6,481</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14:paraId="31E40EEC" w14:textId="77777777" w:rsidR="00B31D5A" w:rsidRPr="00DD78A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$7,956</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14:paraId="151D30BB" w14:textId="77777777" w:rsidR="00B31D5A" w:rsidRPr="00DD78A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$8,989</w:t>
            </w:r>
          </w:p>
        </w:tc>
      </w:tr>
    </w:tbl>
    <w:p w14:paraId="02BEF969" w14:textId="77777777" w:rsidR="00DD78A7" w:rsidRDefault="00DD78A7" w:rsidP="00291074">
      <w:pPr>
        <w:tabs>
          <w:tab w:val="left" w:pos="7050"/>
        </w:tabs>
        <w:spacing w:after="0"/>
        <w:rPr>
          <w:rFonts w:asciiTheme="majorHAnsi" w:hAnsiTheme="majorHAnsi"/>
          <w:b/>
          <w:sz w:val="24"/>
          <w:szCs w:val="24"/>
        </w:rPr>
      </w:pPr>
    </w:p>
    <w:p w14:paraId="7372E3B8" w14:textId="77777777" w:rsidR="00251113" w:rsidRDefault="00251113" w:rsidP="00B31D5A">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sidR="00303B9E">
        <w:rPr>
          <w:rFonts w:asciiTheme="majorHAnsi" w:eastAsiaTheme="majorEastAsia" w:hAnsiTheme="majorHAnsi" w:cstheme="majorBidi"/>
          <w:b/>
          <w:color w:val="000000" w:themeColor="text1"/>
          <w:sz w:val="24"/>
          <w:szCs w:val="24"/>
        </w:rPr>
        <w:t>9</w:t>
      </w:r>
      <w:r w:rsidRPr="00366FFC">
        <w:rPr>
          <w:rFonts w:asciiTheme="majorHAnsi" w:eastAsiaTheme="majorEastAsia" w:hAnsiTheme="majorHAnsi" w:cstheme="majorBidi"/>
          <w:b/>
          <w:color w:val="000000" w:themeColor="text1"/>
          <w:sz w:val="24"/>
          <w:szCs w:val="24"/>
        </w:rPr>
        <w:t xml:space="preserve">. </w:t>
      </w:r>
      <w:r w:rsidR="00B6239F">
        <w:rPr>
          <w:rFonts w:asciiTheme="majorHAnsi" w:eastAsiaTheme="majorEastAsia" w:hAnsiTheme="majorHAnsi" w:cstheme="majorBidi"/>
          <w:b/>
          <w:color w:val="000000" w:themeColor="text1"/>
          <w:sz w:val="24"/>
          <w:szCs w:val="24"/>
        </w:rPr>
        <w:t xml:space="preserve">Selected </w:t>
      </w:r>
      <w:r>
        <w:rPr>
          <w:rFonts w:asciiTheme="majorHAnsi" w:eastAsiaTheme="majorEastAsia" w:hAnsiTheme="majorHAnsi" w:cstheme="majorBidi"/>
          <w:b/>
          <w:color w:val="000000" w:themeColor="text1"/>
          <w:sz w:val="24"/>
          <w:szCs w:val="24"/>
        </w:rPr>
        <w:t xml:space="preserve">Economic </w:t>
      </w:r>
      <w:r w:rsidR="00B6239F">
        <w:rPr>
          <w:rFonts w:asciiTheme="majorHAnsi" w:eastAsiaTheme="majorEastAsia" w:hAnsiTheme="majorHAnsi" w:cstheme="majorBidi"/>
          <w:b/>
          <w:color w:val="000000" w:themeColor="text1"/>
          <w:sz w:val="24"/>
          <w:szCs w:val="24"/>
        </w:rPr>
        <w:t xml:space="preserve">Impacts </w:t>
      </w:r>
      <w:r>
        <w:rPr>
          <w:rFonts w:asciiTheme="majorHAnsi" w:eastAsiaTheme="majorEastAsia" w:hAnsiTheme="majorHAnsi" w:cstheme="majorBidi"/>
          <w:b/>
          <w:color w:val="000000" w:themeColor="text1"/>
          <w:sz w:val="24"/>
          <w:szCs w:val="24"/>
        </w:rPr>
        <w:t>of Investment Tax Credit</w:t>
      </w:r>
    </w:p>
    <w:tbl>
      <w:tblPr>
        <w:tblW w:w="9157" w:type="dxa"/>
        <w:tblInd w:w="108" w:type="dxa"/>
        <w:tblLayout w:type="fixed"/>
        <w:tblLook w:val="04A0" w:firstRow="1" w:lastRow="0" w:firstColumn="1" w:lastColumn="0" w:noHBand="0" w:noVBand="1"/>
      </w:tblPr>
      <w:tblGrid>
        <w:gridCol w:w="3093"/>
        <w:gridCol w:w="1212"/>
        <w:gridCol w:w="1213"/>
        <w:gridCol w:w="1213"/>
        <w:gridCol w:w="1213"/>
        <w:gridCol w:w="1213"/>
      </w:tblGrid>
      <w:tr w:rsidR="00B31D5A" w:rsidRPr="00E21207" w14:paraId="23B663A2" w14:textId="77777777" w:rsidTr="00B31D5A">
        <w:trPr>
          <w:trHeight w:val="380"/>
        </w:trPr>
        <w:tc>
          <w:tcPr>
            <w:tcW w:w="3093"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1996FAFE"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sidRPr="00E21207">
              <w:rPr>
                <w:rFonts w:ascii="Cambria" w:eastAsia="Times New Roman" w:hAnsi="Cambria" w:cs="Helvetica"/>
                <w:sz w:val="20"/>
                <w:szCs w:val="20"/>
                <w:lang w:eastAsia="ko-KR"/>
              </w:rPr>
              <w:t>Calendar Year</w:t>
            </w:r>
          </w:p>
        </w:tc>
        <w:tc>
          <w:tcPr>
            <w:tcW w:w="1212" w:type="dxa"/>
            <w:tcBorders>
              <w:top w:val="single" w:sz="4" w:space="0" w:color="auto"/>
              <w:left w:val="nil"/>
              <w:bottom w:val="single" w:sz="4" w:space="0" w:color="auto"/>
              <w:right w:val="single" w:sz="4" w:space="0" w:color="auto"/>
            </w:tcBorders>
            <w:shd w:val="clear" w:color="000000" w:fill="B7DEE8"/>
            <w:noWrap/>
            <w:vAlign w:val="center"/>
            <w:hideMark/>
          </w:tcPr>
          <w:p w14:paraId="5027911A"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sidRPr="00E21207">
              <w:rPr>
                <w:rFonts w:ascii="Cambria" w:eastAsia="Times New Roman" w:hAnsi="Cambria" w:cs="Helvetica"/>
                <w:sz w:val="20"/>
                <w:szCs w:val="20"/>
                <w:lang w:eastAsia="ko-KR"/>
              </w:rPr>
              <w:t>2018</w:t>
            </w:r>
          </w:p>
        </w:tc>
        <w:tc>
          <w:tcPr>
            <w:tcW w:w="1213" w:type="dxa"/>
            <w:tcBorders>
              <w:top w:val="single" w:sz="4" w:space="0" w:color="auto"/>
              <w:left w:val="nil"/>
              <w:bottom w:val="single" w:sz="4" w:space="0" w:color="auto"/>
              <w:right w:val="single" w:sz="4" w:space="0" w:color="auto"/>
            </w:tcBorders>
            <w:shd w:val="clear" w:color="000000" w:fill="B7DEE8"/>
            <w:noWrap/>
            <w:vAlign w:val="center"/>
            <w:hideMark/>
          </w:tcPr>
          <w:p w14:paraId="18F68071"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sidRPr="00E21207">
              <w:rPr>
                <w:rFonts w:ascii="Cambria" w:eastAsia="Times New Roman" w:hAnsi="Cambria" w:cs="Helvetica"/>
                <w:sz w:val="20"/>
                <w:szCs w:val="20"/>
                <w:lang w:eastAsia="ko-KR"/>
              </w:rPr>
              <w:t>2019</w:t>
            </w:r>
          </w:p>
        </w:tc>
        <w:tc>
          <w:tcPr>
            <w:tcW w:w="1213" w:type="dxa"/>
            <w:tcBorders>
              <w:top w:val="single" w:sz="4" w:space="0" w:color="auto"/>
              <w:left w:val="nil"/>
              <w:bottom w:val="single" w:sz="4" w:space="0" w:color="auto"/>
              <w:right w:val="single" w:sz="4" w:space="0" w:color="auto"/>
            </w:tcBorders>
            <w:shd w:val="clear" w:color="000000" w:fill="B7DEE8"/>
            <w:noWrap/>
            <w:vAlign w:val="center"/>
            <w:hideMark/>
          </w:tcPr>
          <w:p w14:paraId="43AA3B67"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sidRPr="00E21207">
              <w:rPr>
                <w:rFonts w:ascii="Cambria" w:eastAsia="Times New Roman" w:hAnsi="Cambria" w:cs="Helvetica"/>
                <w:sz w:val="20"/>
                <w:szCs w:val="20"/>
                <w:lang w:eastAsia="ko-KR"/>
              </w:rPr>
              <w:t>2020</w:t>
            </w:r>
          </w:p>
        </w:tc>
        <w:tc>
          <w:tcPr>
            <w:tcW w:w="1213" w:type="dxa"/>
            <w:tcBorders>
              <w:top w:val="single" w:sz="4" w:space="0" w:color="auto"/>
              <w:left w:val="nil"/>
              <w:bottom w:val="single" w:sz="4" w:space="0" w:color="auto"/>
              <w:right w:val="single" w:sz="4" w:space="0" w:color="auto"/>
            </w:tcBorders>
            <w:shd w:val="clear" w:color="000000" w:fill="B7DEE8"/>
            <w:noWrap/>
            <w:vAlign w:val="center"/>
            <w:hideMark/>
          </w:tcPr>
          <w:p w14:paraId="74B5BBC7"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sidRPr="00E21207">
              <w:rPr>
                <w:rFonts w:ascii="Cambria" w:eastAsia="Times New Roman" w:hAnsi="Cambria" w:cs="Helvetica"/>
                <w:sz w:val="20"/>
                <w:szCs w:val="20"/>
                <w:lang w:eastAsia="ko-KR"/>
              </w:rPr>
              <w:t>2021</w:t>
            </w:r>
          </w:p>
        </w:tc>
        <w:tc>
          <w:tcPr>
            <w:tcW w:w="1213" w:type="dxa"/>
            <w:tcBorders>
              <w:top w:val="single" w:sz="4" w:space="0" w:color="auto"/>
              <w:left w:val="nil"/>
              <w:bottom w:val="single" w:sz="4" w:space="0" w:color="auto"/>
              <w:right w:val="single" w:sz="4" w:space="0" w:color="auto"/>
            </w:tcBorders>
            <w:shd w:val="clear" w:color="000000" w:fill="B7DEE8"/>
            <w:noWrap/>
            <w:vAlign w:val="center"/>
            <w:hideMark/>
          </w:tcPr>
          <w:p w14:paraId="7AF1A791"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sidRPr="00E21207">
              <w:rPr>
                <w:rFonts w:ascii="Cambria" w:eastAsia="Times New Roman" w:hAnsi="Cambria" w:cs="Helvetica"/>
                <w:sz w:val="20"/>
                <w:szCs w:val="20"/>
                <w:lang w:eastAsia="ko-KR"/>
              </w:rPr>
              <w:t>2022</w:t>
            </w:r>
          </w:p>
        </w:tc>
      </w:tr>
      <w:tr w:rsidR="00B31D5A" w:rsidRPr="00E21207" w14:paraId="3A157453" w14:textId="77777777" w:rsidTr="00B31D5A">
        <w:trPr>
          <w:trHeight w:val="410"/>
        </w:trPr>
        <w:tc>
          <w:tcPr>
            <w:tcW w:w="3093" w:type="dxa"/>
            <w:tcBorders>
              <w:top w:val="nil"/>
              <w:left w:val="single" w:sz="4" w:space="0" w:color="auto"/>
              <w:bottom w:val="single" w:sz="4" w:space="0" w:color="auto"/>
              <w:right w:val="single" w:sz="4" w:space="0" w:color="auto"/>
            </w:tcBorders>
            <w:shd w:val="clear" w:color="auto" w:fill="auto"/>
            <w:noWrap/>
            <w:vAlign w:val="center"/>
            <w:hideMark/>
          </w:tcPr>
          <w:p w14:paraId="2718FE5E" w14:textId="77777777" w:rsidR="00B31D5A" w:rsidRPr="00E21207" w:rsidRDefault="00B31D5A" w:rsidP="00A90779">
            <w:pPr>
              <w:spacing w:after="0" w:line="240" w:lineRule="auto"/>
              <w:rPr>
                <w:rFonts w:ascii="Cambria" w:eastAsia="Times New Roman" w:hAnsi="Cambria" w:cs="Helvetica"/>
                <w:sz w:val="20"/>
                <w:szCs w:val="20"/>
                <w:lang w:eastAsia="ko-KR"/>
              </w:rPr>
            </w:pPr>
            <w:r w:rsidRPr="00E21207">
              <w:rPr>
                <w:rFonts w:ascii="Cambria" w:eastAsia="Times New Roman" w:hAnsi="Cambria" w:cs="Helvetica"/>
                <w:sz w:val="20"/>
                <w:szCs w:val="20"/>
                <w:lang w:eastAsia="ko-KR"/>
              </w:rPr>
              <w:t>Impact on</w:t>
            </w:r>
            <w:r>
              <w:rPr>
                <w:rFonts w:ascii="Cambria" w:eastAsia="Times New Roman" w:hAnsi="Cambria" w:cs="Helvetica"/>
                <w:sz w:val="20"/>
                <w:szCs w:val="20"/>
                <w:lang w:eastAsia="ko-KR"/>
              </w:rPr>
              <w:t xml:space="preserve"> total</w:t>
            </w:r>
            <w:r w:rsidRPr="00E21207">
              <w:rPr>
                <w:rFonts w:ascii="Cambria" w:eastAsia="Times New Roman" w:hAnsi="Cambria" w:cs="Helvetica"/>
                <w:sz w:val="20"/>
                <w:szCs w:val="20"/>
                <w:lang w:eastAsia="ko-KR"/>
              </w:rPr>
              <w:t xml:space="preserve"> employment</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31EB0"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826</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14:paraId="181D04CE"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1,162</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14:paraId="2C4E1586"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1,433</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14:paraId="4A9C827B"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1,539</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14:paraId="7146897D"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1,574</w:t>
            </w:r>
          </w:p>
        </w:tc>
      </w:tr>
      <w:tr w:rsidR="00B31D5A" w:rsidRPr="00E21207" w14:paraId="18EE260E" w14:textId="77777777" w:rsidTr="00B31D5A">
        <w:trPr>
          <w:trHeight w:val="500"/>
        </w:trPr>
        <w:tc>
          <w:tcPr>
            <w:tcW w:w="3093" w:type="dxa"/>
            <w:tcBorders>
              <w:top w:val="nil"/>
              <w:left w:val="single" w:sz="4" w:space="0" w:color="auto"/>
              <w:bottom w:val="single" w:sz="4" w:space="0" w:color="auto"/>
              <w:right w:val="single" w:sz="4" w:space="0" w:color="auto"/>
            </w:tcBorders>
            <w:shd w:val="clear" w:color="auto" w:fill="auto"/>
            <w:vAlign w:val="center"/>
            <w:hideMark/>
          </w:tcPr>
          <w:p w14:paraId="641C6DFD" w14:textId="77777777" w:rsidR="00B31D5A" w:rsidRPr="00E21207" w:rsidRDefault="00B31D5A" w:rsidP="00A90779">
            <w:pPr>
              <w:spacing w:after="0" w:line="240" w:lineRule="auto"/>
              <w:rPr>
                <w:rFonts w:ascii="Cambria" w:eastAsia="Times New Roman" w:hAnsi="Cambria" w:cs="Helvetica"/>
                <w:sz w:val="20"/>
                <w:szCs w:val="20"/>
                <w:lang w:eastAsia="ko-KR"/>
              </w:rPr>
            </w:pPr>
            <w:r w:rsidRPr="00E21207">
              <w:rPr>
                <w:rFonts w:ascii="Cambria" w:eastAsia="Times New Roman" w:hAnsi="Cambria" w:cs="Helvetica"/>
                <w:sz w:val="20"/>
                <w:szCs w:val="20"/>
                <w:lang w:eastAsia="ko-KR"/>
              </w:rPr>
              <w:t>Impact on private non-farm employment</w:t>
            </w:r>
          </w:p>
        </w:tc>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31B47AF2"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794</w:t>
            </w:r>
          </w:p>
        </w:tc>
        <w:tc>
          <w:tcPr>
            <w:tcW w:w="1213" w:type="dxa"/>
            <w:tcBorders>
              <w:top w:val="nil"/>
              <w:left w:val="nil"/>
              <w:bottom w:val="single" w:sz="4" w:space="0" w:color="auto"/>
              <w:right w:val="single" w:sz="4" w:space="0" w:color="auto"/>
            </w:tcBorders>
            <w:shd w:val="clear" w:color="auto" w:fill="auto"/>
            <w:noWrap/>
            <w:vAlign w:val="center"/>
            <w:hideMark/>
          </w:tcPr>
          <w:p w14:paraId="73DD6F4D"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1,102</w:t>
            </w:r>
          </w:p>
        </w:tc>
        <w:tc>
          <w:tcPr>
            <w:tcW w:w="1213" w:type="dxa"/>
            <w:tcBorders>
              <w:top w:val="nil"/>
              <w:left w:val="nil"/>
              <w:bottom w:val="single" w:sz="4" w:space="0" w:color="auto"/>
              <w:right w:val="single" w:sz="4" w:space="0" w:color="auto"/>
            </w:tcBorders>
            <w:shd w:val="clear" w:color="auto" w:fill="auto"/>
            <w:noWrap/>
            <w:vAlign w:val="center"/>
            <w:hideMark/>
          </w:tcPr>
          <w:p w14:paraId="1103D190"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1,326</w:t>
            </w:r>
          </w:p>
        </w:tc>
        <w:tc>
          <w:tcPr>
            <w:tcW w:w="1213" w:type="dxa"/>
            <w:tcBorders>
              <w:top w:val="nil"/>
              <w:left w:val="nil"/>
              <w:bottom w:val="single" w:sz="4" w:space="0" w:color="auto"/>
              <w:right w:val="single" w:sz="4" w:space="0" w:color="auto"/>
            </w:tcBorders>
            <w:shd w:val="clear" w:color="auto" w:fill="auto"/>
            <w:noWrap/>
            <w:vAlign w:val="center"/>
            <w:hideMark/>
          </w:tcPr>
          <w:p w14:paraId="5A8B4D10"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1,419</w:t>
            </w:r>
          </w:p>
        </w:tc>
        <w:tc>
          <w:tcPr>
            <w:tcW w:w="1213" w:type="dxa"/>
            <w:tcBorders>
              <w:top w:val="nil"/>
              <w:left w:val="nil"/>
              <w:bottom w:val="single" w:sz="4" w:space="0" w:color="auto"/>
              <w:right w:val="single" w:sz="4" w:space="0" w:color="auto"/>
            </w:tcBorders>
            <w:shd w:val="clear" w:color="auto" w:fill="auto"/>
            <w:noWrap/>
            <w:vAlign w:val="center"/>
            <w:hideMark/>
          </w:tcPr>
          <w:p w14:paraId="2D185128"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1,447</w:t>
            </w:r>
          </w:p>
        </w:tc>
      </w:tr>
      <w:tr w:rsidR="00B31D5A" w:rsidRPr="00E21207" w14:paraId="385003BE" w14:textId="77777777" w:rsidTr="00B31D5A">
        <w:trPr>
          <w:trHeight w:val="500"/>
        </w:trPr>
        <w:tc>
          <w:tcPr>
            <w:tcW w:w="3093" w:type="dxa"/>
            <w:tcBorders>
              <w:top w:val="nil"/>
              <w:left w:val="single" w:sz="4" w:space="0" w:color="auto"/>
              <w:bottom w:val="single" w:sz="4" w:space="0" w:color="auto"/>
              <w:right w:val="single" w:sz="4" w:space="0" w:color="auto"/>
            </w:tcBorders>
            <w:shd w:val="clear" w:color="auto" w:fill="auto"/>
            <w:vAlign w:val="center"/>
            <w:hideMark/>
          </w:tcPr>
          <w:p w14:paraId="0336953F" w14:textId="77777777" w:rsidR="00B31D5A" w:rsidRPr="00E21207" w:rsidRDefault="00B31D5A" w:rsidP="00A90779">
            <w:pPr>
              <w:spacing w:after="0" w:line="240" w:lineRule="auto"/>
              <w:rPr>
                <w:rFonts w:ascii="Cambria" w:eastAsia="Times New Roman" w:hAnsi="Cambria" w:cs="Helvetica"/>
                <w:sz w:val="20"/>
                <w:szCs w:val="20"/>
                <w:lang w:eastAsia="ko-KR"/>
              </w:rPr>
            </w:pPr>
            <w:r w:rsidRPr="00E21207">
              <w:rPr>
                <w:rFonts w:ascii="Cambria" w:eastAsia="Times New Roman" w:hAnsi="Cambria" w:cs="Helvetica"/>
                <w:sz w:val="20"/>
                <w:szCs w:val="20"/>
                <w:lang w:eastAsia="ko-KR"/>
              </w:rPr>
              <w:lastRenderedPageBreak/>
              <w:t>Impact on GDP ($000), real dollars</w:t>
            </w:r>
            <w:r>
              <w:rPr>
                <w:rFonts w:ascii="Cambria" w:eastAsia="Times New Roman" w:hAnsi="Cambria" w:cs="Helvetica"/>
                <w:sz w:val="20"/>
                <w:szCs w:val="20"/>
                <w:lang w:eastAsia="ko-KR"/>
              </w:rPr>
              <w:t xml:space="preserve"> </w:t>
            </w:r>
            <w:r w:rsidRPr="00E21207">
              <w:rPr>
                <w:rFonts w:ascii="Cambria" w:eastAsia="Times New Roman" w:hAnsi="Cambria" w:cs="Helvetica"/>
                <w:sz w:val="20"/>
                <w:szCs w:val="20"/>
                <w:lang w:eastAsia="ko-KR"/>
              </w:rPr>
              <w:t>(2012)</w:t>
            </w:r>
          </w:p>
        </w:tc>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008412A"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$81,000</w:t>
            </w:r>
          </w:p>
        </w:tc>
        <w:tc>
          <w:tcPr>
            <w:tcW w:w="1213" w:type="dxa"/>
            <w:tcBorders>
              <w:top w:val="nil"/>
              <w:left w:val="nil"/>
              <w:bottom w:val="single" w:sz="4" w:space="0" w:color="auto"/>
              <w:right w:val="single" w:sz="4" w:space="0" w:color="auto"/>
            </w:tcBorders>
            <w:shd w:val="clear" w:color="auto" w:fill="auto"/>
            <w:noWrap/>
            <w:vAlign w:val="center"/>
            <w:hideMark/>
          </w:tcPr>
          <w:p w14:paraId="37B8D9B4"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$121,000</w:t>
            </w:r>
          </w:p>
        </w:tc>
        <w:tc>
          <w:tcPr>
            <w:tcW w:w="1213" w:type="dxa"/>
            <w:tcBorders>
              <w:top w:val="nil"/>
              <w:left w:val="nil"/>
              <w:bottom w:val="single" w:sz="4" w:space="0" w:color="auto"/>
              <w:right w:val="single" w:sz="4" w:space="0" w:color="auto"/>
            </w:tcBorders>
            <w:shd w:val="clear" w:color="auto" w:fill="auto"/>
            <w:noWrap/>
            <w:vAlign w:val="center"/>
            <w:hideMark/>
          </w:tcPr>
          <w:p w14:paraId="49849905"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$155,000</w:t>
            </w:r>
          </w:p>
        </w:tc>
        <w:tc>
          <w:tcPr>
            <w:tcW w:w="1213" w:type="dxa"/>
            <w:tcBorders>
              <w:top w:val="nil"/>
              <w:left w:val="nil"/>
              <w:bottom w:val="single" w:sz="4" w:space="0" w:color="auto"/>
              <w:right w:val="single" w:sz="4" w:space="0" w:color="auto"/>
            </w:tcBorders>
            <w:shd w:val="clear" w:color="auto" w:fill="auto"/>
            <w:noWrap/>
            <w:vAlign w:val="center"/>
            <w:hideMark/>
          </w:tcPr>
          <w:p w14:paraId="7EEF2B5B"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$174,000</w:t>
            </w:r>
          </w:p>
        </w:tc>
        <w:tc>
          <w:tcPr>
            <w:tcW w:w="1213" w:type="dxa"/>
            <w:tcBorders>
              <w:top w:val="nil"/>
              <w:left w:val="nil"/>
              <w:bottom w:val="single" w:sz="4" w:space="0" w:color="auto"/>
              <w:right w:val="single" w:sz="4" w:space="0" w:color="auto"/>
            </w:tcBorders>
            <w:shd w:val="clear" w:color="auto" w:fill="auto"/>
            <w:noWrap/>
            <w:vAlign w:val="center"/>
            <w:hideMark/>
          </w:tcPr>
          <w:p w14:paraId="385F3A65"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$187,000</w:t>
            </w:r>
          </w:p>
        </w:tc>
      </w:tr>
      <w:tr w:rsidR="00B31D5A" w:rsidRPr="00E21207" w14:paraId="06CCE902" w14:textId="77777777" w:rsidTr="00B31D5A">
        <w:trPr>
          <w:trHeight w:val="500"/>
        </w:trPr>
        <w:tc>
          <w:tcPr>
            <w:tcW w:w="3093" w:type="dxa"/>
            <w:tcBorders>
              <w:top w:val="nil"/>
              <w:left w:val="single" w:sz="4" w:space="0" w:color="auto"/>
              <w:bottom w:val="single" w:sz="4" w:space="0" w:color="auto"/>
              <w:right w:val="single" w:sz="4" w:space="0" w:color="auto"/>
            </w:tcBorders>
            <w:shd w:val="clear" w:color="auto" w:fill="auto"/>
            <w:vAlign w:val="center"/>
            <w:hideMark/>
          </w:tcPr>
          <w:p w14:paraId="70AC5BB3" w14:textId="77777777" w:rsidR="00B31D5A" w:rsidRPr="00E21207" w:rsidRDefault="00B31D5A" w:rsidP="00A90779">
            <w:pPr>
              <w:spacing w:after="0" w:line="240" w:lineRule="auto"/>
              <w:rPr>
                <w:rFonts w:ascii="Cambria" w:eastAsia="Times New Roman" w:hAnsi="Cambria" w:cs="Helvetica"/>
                <w:sz w:val="20"/>
                <w:szCs w:val="20"/>
                <w:lang w:eastAsia="ko-KR"/>
              </w:rPr>
            </w:pPr>
            <w:r w:rsidRPr="00E21207">
              <w:rPr>
                <w:rFonts w:ascii="Cambria" w:eastAsia="Times New Roman" w:hAnsi="Cambria" w:cs="Helvetica"/>
                <w:sz w:val="20"/>
                <w:szCs w:val="20"/>
                <w:lang w:eastAsia="ko-KR"/>
              </w:rPr>
              <w:t>Impact on personal income ($000)</w:t>
            </w:r>
          </w:p>
        </w:tc>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1F46CD67"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$62,000</w:t>
            </w:r>
          </w:p>
        </w:tc>
        <w:tc>
          <w:tcPr>
            <w:tcW w:w="1213" w:type="dxa"/>
            <w:tcBorders>
              <w:top w:val="nil"/>
              <w:left w:val="nil"/>
              <w:bottom w:val="single" w:sz="4" w:space="0" w:color="auto"/>
              <w:right w:val="single" w:sz="4" w:space="0" w:color="auto"/>
            </w:tcBorders>
            <w:shd w:val="clear" w:color="auto" w:fill="auto"/>
            <w:noWrap/>
            <w:vAlign w:val="center"/>
            <w:hideMark/>
          </w:tcPr>
          <w:p w14:paraId="7A42A721"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$96,000</w:t>
            </w:r>
          </w:p>
        </w:tc>
        <w:tc>
          <w:tcPr>
            <w:tcW w:w="1213" w:type="dxa"/>
            <w:tcBorders>
              <w:top w:val="nil"/>
              <w:left w:val="nil"/>
              <w:bottom w:val="single" w:sz="4" w:space="0" w:color="auto"/>
              <w:right w:val="single" w:sz="4" w:space="0" w:color="auto"/>
            </w:tcBorders>
            <w:shd w:val="clear" w:color="auto" w:fill="auto"/>
            <w:noWrap/>
            <w:vAlign w:val="center"/>
            <w:hideMark/>
          </w:tcPr>
          <w:p w14:paraId="6A129E76"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$128,000</w:t>
            </w:r>
          </w:p>
        </w:tc>
        <w:tc>
          <w:tcPr>
            <w:tcW w:w="1213" w:type="dxa"/>
            <w:tcBorders>
              <w:top w:val="nil"/>
              <w:left w:val="nil"/>
              <w:bottom w:val="single" w:sz="4" w:space="0" w:color="auto"/>
              <w:right w:val="single" w:sz="4" w:space="0" w:color="auto"/>
            </w:tcBorders>
            <w:shd w:val="clear" w:color="auto" w:fill="auto"/>
            <w:noWrap/>
            <w:vAlign w:val="center"/>
            <w:hideMark/>
          </w:tcPr>
          <w:p w14:paraId="67561046"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$149,000</w:t>
            </w:r>
          </w:p>
        </w:tc>
        <w:tc>
          <w:tcPr>
            <w:tcW w:w="1213" w:type="dxa"/>
            <w:tcBorders>
              <w:top w:val="nil"/>
              <w:left w:val="nil"/>
              <w:bottom w:val="single" w:sz="4" w:space="0" w:color="auto"/>
              <w:right w:val="single" w:sz="4" w:space="0" w:color="auto"/>
            </w:tcBorders>
            <w:shd w:val="clear" w:color="auto" w:fill="auto"/>
            <w:noWrap/>
            <w:vAlign w:val="center"/>
            <w:hideMark/>
          </w:tcPr>
          <w:p w14:paraId="6BBB2D7C"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$164,000</w:t>
            </w:r>
          </w:p>
        </w:tc>
      </w:tr>
    </w:tbl>
    <w:p w14:paraId="7E13A80C" w14:textId="77777777" w:rsidR="00E21207" w:rsidRDefault="00E21207" w:rsidP="00251113">
      <w:pPr>
        <w:spacing w:after="0"/>
        <w:rPr>
          <w:rFonts w:asciiTheme="majorHAnsi" w:eastAsiaTheme="majorEastAsia" w:hAnsiTheme="majorHAnsi" w:cstheme="majorBidi"/>
          <w:b/>
          <w:color w:val="000000" w:themeColor="text1"/>
          <w:sz w:val="24"/>
          <w:szCs w:val="24"/>
        </w:rPr>
      </w:pPr>
    </w:p>
    <w:p w14:paraId="78785E8B" w14:textId="77777777" w:rsidR="00454C27" w:rsidRDefault="003173AE" w:rsidP="00D86111">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T</w:t>
      </w:r>
      <w:r w:rsidRPr="00D52091">
        <w:rPr>
          <w:rFonts w:asciiTheme="majorHAnsi" w:eastAsiaTheme="majorEastAsia" w:hAnsiTheme="majorHAnsi" w:cstheme="majorBidi"/>
          <w:bCs/>
          <w:color w:val="000000" w:themeColor="text1"/>
          <w:sz w:val="24"/>
          <w:szCs w:val="24"/>
        </w:rPr>
        <w:t xml:space="preserve">he </w:t>
      </w:r>
      <w:r>
        <w:rPr>
          <w:rFonts w:asciiTheme="majorHAnsi" w:eastAsiaTheme="majorEastAsia" w:hAnsiTheme="majorHAnsi" w:cstheme="majorBidi"/>
          <w:bCs/>
          <w:color w:val="000000" w:themeColor="text1"/>
          <w:sz w:val="24"/>
          <w:szCs w:val="24"/>
        </w:rPr>
        <w:t xml:space="preserve">burden </w:t>
      </w:r>
      <w:r w:rsidRPr="00D52091">
        <w:rPr>
          <w:rFonts w:asciiTheme="majorHAnsi" w:eastAsiaTheme="majorEastAsia" w:hAnsiTheme="majorHAnsi" w:cstheme="majorBidi"/>
          <w:bCs/>
          <w:color w:val="000000" w:themeColor="text1"/>
          <w:sz w:val="24"/>
          <w:szCs w:val="24"/>
        </w:rPr>
        <w:t xml:space="preserve">of a tax does not </w:t>
      </w:r>
      <w:r>
        <w:rPr>
          <w:rFonts w:asciiTheme="majorHAnsi" w:eastAsiaTheme="majorEastAsia" w:hAnsiTheme="majorHAnsi" w:cstheme="majorBidi"/>
          <w:bCs/>
          <w:color w:val="000000" w:themeColor="text1"/>
          <w:sz w:val="24"/>
          <w:szCs w:val="24"/>
        </w:rPr>
        <w:t xml:space="preserve">necessarily </w:t>
      </w:r>
      <w:r w:rsidRPr="00D52091">
        <w:rPr>
          <w:rFonts w:asciiTheme="majorHAnsi" w:eastAsiaTheme="majorEastAsia" w:hAnsiTheme="majorHAnsi" w:cstheme="majorBidi"/>
          <w:bCs/>
          <w:color w:val="000000" w:themeColor="text1"/>
          <w:sz w:val="24"/>
          <w:szCs w:val="24"/>
        </w:rPr>
        <w:t xml:space="preserve">fall on those responsible for remitting the tax. </w:t>
      </w:r>
      <w:r w:rsidR="00A81EF2">
        <w:rPr>
          <w:rFonts w:asciiTheme="majorHAnsi" w:eastAsiaTheme="majorEastAsia" w:hAnsiTheme="majorHAnsi" w:cstheme="majorBidi"/>
          <w:bCs/>
          <w:color w:val="000000" w:themeColor="text1"/>
          <w:sz w:val="24"/>
          <w:szCs w:val="24"/>
        </w:rPr>
        <w:t xml:space="preserve">It is known through economic theories that </w:t>
      </w:r>
      <w:r w:rsidR="00A81EF2" w:rsidRPr="003808A5">
        <w:rPr>
          <w:rFonts w:asciiTheme="majorHAnsi" w:eastAsiaTheme="majorEastAsia" w:hAnsiTheme="majorHAnsi" w:cstheme="majorBidi"/>
          <w:bCs/>
          <w:color w:val="000000" w:themeColor="text1"/>
          <w:sz w:val="24"/>
          <w:szCs w:val="24"/>
        </w:rPr>
        <w:t>corporate tax</w:t>
      </w:r>
      <w:r w:rsidR="00A81EF2">
        <w:rPr>
          <w:rFonts w:asciiTheme="majorHAnsi" w:eastAsiaTheme="majorEastAsia" w:hAnsiTheme="majorHAnsi" w:cstheme="majorBidi"/>
          <w:bCs/>
          <w:color w:val="000000" w:themeColor="text1"/>
          <w:sz w:val="24"/>
          <w:szCs w:val="24"/>
        </w:rPr>
        <w:t>es</w:t>
      </w:r>
      <w:r w:rsidR="00A81EF2" w:rsidRPr="003808A5">
        <w:rPr>
          <w:rFonts w:asciiTheme="majorHAnsi" w:eastAsiaTheme="majorEastAsia" w:hAnsiTheme="majorHAnsi" w:cstheme="majorBidi"/>
          <w:bCs/>
          <w:color w:val="000000" w:themeColor="text1"/>
          <w:sz w:val="24"/>
          <w:szCs w:val="24"/>
        </w:rPr>
        <w:t xml:space="preserve"> </w:t>
      </w:r>
      <w:r w:rsidR="00A81EF2">
        <w:rPr>
          <w:rFonts w:asciiTheme="majorHAnsi" w:eastAsiaTheme="majorEastAsia" w:hAnsiTheme="majorHAnsi" w:cstheme="majorBidi"/>
          <w:bCs/>
          <w:color w:val="000000" w:themeColor="text1"/>
          <w:sz w:val="24"/>
          <w:szCs w:val="24"/>
        </w:rPr>
        <w:t xml:space="preserve">change </w:t>
      </w:r>
      <w:r w:rsidR="00484F13">
        <w:rPr>
          <w:rFonts w:asciiTheme="majorHAnsi" w:eastAsiaTheme="majorEastAsia" w:hAnsiTheme="majorHAnsi" w:cstheme="majorBidi"/>
          <w:bCs/>
          <w:color w:val="000000" w:themeColor="text1"/>
          <w:sz w:val="24"/>
          <w:szCs w:val="24"/>
        </w:rPr>
        <w:t xml:space="preserve">the </w:t>
      </w:r>
      <w:r w:rsidR="00A81EF2" w:rsidRPr="003808A5">
        <w:rPr>
          <w:rFonts w:asciiTheme="majorHAnsi" w:eastAsiaTheme="majorEastAsia" w:hAnsiTheme="majorHAnsi" w:cstheme="majorBidi"/>
          <w:bCs/>
          <w:color w:val="000000" w:themeColor="text1"/>
          <w:sz w:val="24"/>
          <w:szCs w:val="24"/>
        </w:rPr>
        <w:t>allocation of capital between corporat</w:t>
      </w:r>
      <w:r w:rsidR="00A81EF2">
        <w:rPr>
          <w:rFonts w:asciiTheme="majorHAnsi" w:eastAsiaTheme="majorEastAsia" w:hAnsiTheme="majorHAnsi" w:cstheme="majorBidi"/>
          <w:bCs/>
          <w:color w:val="000000" w:themeColor="text1"/>
          <w:sz w:val="24"/>
          <w:szCs w:val="24"/>
        </w:rPr>
        <w:t xml:space="preserve">ions and </w:t>
      </w:r>
      <w:r w:rsidR="00A81EF2" w:rsidRPr="003808A5">
        <w:rPr>
          <w:rFonts w:asciiTheme="majorHAnsi" w:eastAsiaTheme="majorEastAsia" w:hAnsiTheme="majorHAnsi" w:cstheme="majorBidi"/>
          <w:bCs/>
          <w:color w:val="000000" w:themeColor="text1"/>
          <w:sz w:val="24"/>
          <w:szCs w:val="24"/>
        </w:rPr>
        <w:t>non</w:t>
      </w:r>
      <w:r w:rsidR="003D36FB">
        <w:rPr>
          <w:rFonts w:asciiTheme="majorHAnsi" w:eastAsiaTheme="majorEastAsia" w:hAnsiTheme="majorHAnsi" w:cstheme="majorBidi"/>
          <w:bCs/>
          <w:color w:val="000000" w:themeColor="text1"/>
          <w:sz w:val="24"/>
          <w:szCs w:val="24"/>
        </w:rPr>
        <w:t>-</w:t>
      </w:r>
      <w:r w:rsidR="00A81EF2" w:rsidRPr="003808A5">
        <w:rPr>
          <w:rFonts w:asciiTheme="majorHAnsi" w:eastAsiaTheme="majorEastAsia" w:hAnsiTheme="majorHAnsi" w:cstheme="majorBidi"/>
          <w:bCs/>
          <w:color w:val="000000" w:themeColor="text1"/>
          <w:sz w:val="24"/>
          <w:szCs w:val="24"/>
        </w:rPr>
        <w:t xml:space="preserve">corporate </w:t>
      </w:r>
      <w:r w:rsidR="00A81EF2">
        <w:rPr>
          <w:rFonts w:asciiTheme="majorHAnsi" w:eastAsiaTheme="majorEastAsia" w:hAnsiTheme="majorHAnsi" w:cstheme="majorBidi"/>
          <w:bCs/>
          <w:color w:val="000000" w:themeColor="text1"/>
          <w:sz w:val="24"/>
          <w:szCs w:val="24"/>
        </w:rPr>
        <w:t>businesses</w:t>
      </w:r>
      <w:r w:rsidR="00A81EF2" w:rsidRPr="003808A5">
        <w:rPr>
          <w:rFonts w:asciiTheme="majorHAnsi" w:eastAsiaTheme="majorEastAsia" w:hAnsiTheme="majorHAnsi" w:cstheme="majorBidi"/>
          <w:bCs/>
          <w:color w:val="000000" w:themeColor="text1"/>
          <w:sz w:val="24"/>
          <w:szCs w:val="24"/>
        </w:rPr>
        <w:t xml:space="preserve"> </w:t>
      </w:r>
      <w:r w:rsidR="00A81EF2">
        <w:rPr>
          <w:rFonts w:asciiTheme="majorHAnsi" w:eastAsiaTheme="majorEastAsia" w:hAnsiTheme="majorHAnsi" w:cstheme="majorBidi"/>
          <w:bCs/>
          <w:color w:val="000000" w:themeColor="text1"/>
          <w:sz w:val="24"/>
          <w:szCs w:val="24"/>
        </w:rPr>
        <w:t xml:space="preserve">and </w:t>
      </w:r>
      <w:r w:rsidR="00A81EF2" w:rsidRPr="003808A5">
        <w:rPr>
          <w:rFonts w:asciiTheme="majorHAnsi" w:eastAsiaTheme="majorEastAsia" w:hAnsiTheme="majorHAnsi" w:cstheme="majorBidi"/>
          <w:bCs/>
          <w:color w:val="000000" w:themeColor="text1"/>
          <w:sz w:val="24"/>
          <w:szCs w:val="24"/>
        </w:rPr>
        <w:t>among states</w:t>
      </w:r>
      <w:r w:rsidR="00A81EF2">
        <w:rPr>
          <w:rFonts w:asciiTheme="majorHAnsi" w:eastAsiaTheme="majorEastAsia" w:hAnsiTheme="majorHAnsi" w:cstheme="majorBidi"/>
          <w:bCs/>
          <w:color w:val="000000" w:themeColor="text1"/>
          <w:sz w:val="24"/>
          <w:szCs w:val="24"/>
        </w:rPr>
        <w:t xml:space="preserve"> because </w:t>
      </w:r>
      <w:r w:rsidR="00A81EF2" w:rsidRPr="003808A5">
        <w:rPr>
          <w:rFonts w:asciiTheme="majorHAnsi" w:eastAsiaTheme="majorEastAsia" w:hAnsiTheme="majorHAnsi" w:cstheme="majorBidi"/>
          <w:bCs/>
          <w:color w:val="000000" w:themeColor="text1"/>
          <w:sz w:val="24"/>
          <w:szCs w:val="24"/>
        </w:rPr>
        <w:t xml:space="preserve">capital </w:t>
      </w:r>
      <w:r w:rsidR="00F629CD">
        <w:rPr>
          <w:rFonts w:asciiTheme="majorHAnsi" w:eastAsiaTheme="majorEastAsia" w:hAnsiTheme="majorHAnsi" w:cstheme="majorBidi"/>
          <w:bCs/>
          <w:color w:val="000000" w:themeColor="text1"/>
          <w:sz w:val="24"/>
          <w:szCs w:val="24"/>
        </w:rPr>
        <w:t xml:space="preserve">would </w:t>
      </w:r>
      <w:r w:rsidR="00A81EF2" w:rsidRPr="003808A5">
        <w:rPr>
          <w:rFonts w:asciiTheme="majorHAnsi" w:eastAsiaTheme="majorEastAsia" w:hAnsiTheme="majorHAnsi" w:cstheme="majorBidi"/>
          <w:bCs/>
          <w:color w:val="000000" w:themeColor="text1"/>
          <w:sz w:val="24"/>
          <w:szCs w:val="24"/>
        </w:rPr>
        <w:t xml:space="preserve">flee </w:t>
      </w:r>
      <w:r w:rsidR="00A81EF2">
        <w:rPr>
          <w:rFonts w:asciiTheme="majorHAnsi" w:eastAsiaTheme="majorEastAsia" w:hAnsiTheme="majorHAnsi" w:cstheme="majorBidi"/>
          <w:bCs/>
          <w:color w:val="000000" w:themeColor="text1"/>
          <w:sz w:val="24"/>
          <w:szCs w:val="24"/>
        </w:rPr>
        <w:t xml:space="preserve">from </w:t>
      </w:r>
      <w:r w:rsidR="00A81EF2" w:rsidRPr="003808A5">
        <w:rPr>
          <w:rFonts w:asciiTheme="majorHAnsi" w:eastAsiaTheme="majorEastAsia" w:hAnsiTheme="majorHAnsi" w:cstheme="majorBidi"/>
          <w:bCs/>
          <w:color w:val="000000" w:themeColor="text1"/>
          <w:sz w:val="24"/>
          <w:szCs w:val="24"/>
        </w:rPr>
        <w:t xml:space="preserve">states </w:t>
      </w:r>
      <w:r w:rsidR="00A81EF2">
        <w:rPr>
          <w:rFonts w:asciiTheme="majorHAnsi" w:eastAsiaTheme="majorEastAsia" w:hAnsiTheme="majorHAnsi" w:cstheme="majorBidi"/>
          <w:bCs/>
          <w:color w:val="000000" w:themeColor="text1"/>
          <w:sz w:val="24"/>
          <w:szCs w:val="24"/>
        </w:rPr>
        <w:t xml:space="preserve">of </w:t>
      </w:r>
      <w:r w:rsidR="00A81EF2" w:rsidRPr="003808A5">
        <w:rPr>
          <w:rFonts w:asciiTheme="majorHAnsi" w:eastAsiaTheme="majorEastAsia" w:hAnsiTheme="majorHAnsi" w:cstheme="majorBidi"/>
          <w:bCs/>
          <w:color w:val="000000" w:themeColor="text1"/>
          <w:sz w:val="24"/>
          <w:szCs w:val="24"/>
        </w:rPr>
        <w:t>higher corporate taxes</w:t>
      </w:r>
      <w:r w:rsidR="006A75D6">
        <w:rPr>
          <w:rFonts w:asciiTheme="majorHAnsi" w:eastAsiaTheme="majorEastAsia" w:hAnsiTheme="majorHAnsi" w:cstheme="majorBidi"/>
          <w:bCs/>
          <w:color w:val="000000" w:themeColor="text1"/>
          <w:sz w:val="24"/>
          <w:szCs w:val="24"/>
        </w:rPr>
        <w:t xml:space="preserve"> if all other considerable factors are </w:t>
      </w:r>
      <w:r w:rsidR="00E8312A">
        <w:rPr>
          <w:rFonts w:asciiTheme="majorHAnsi" w:eastAsiaTheme="majorEastAsia" w:hAnsiTheme="majorHAnsi" w:cstheme="majorBidi"/>
          <w:bCs/>
          <w:color w:val="000000" w:themeColor="text1"/>
          <w:sz w:val="24"/>
          <w:szCs w:val="24"/>
        </w:rPr>
        <w:t>not significantly different</w:t>
      </w:r>
      <w:r w:rsidR="00A81EF2" w:rsidRPr="003808A5">
        <w:rPr>
          <w:rFonts w:asciiTheme="majorHAnsi" w:eastAsiaTheme="majorEastAsia" w:hAnsiTheme="majorHAnsi" w:cstheme="majorBidi"/>
          <w:bCs/>
          <w:color w:val="000000" w:themeColor="text1"/>
          <w:sz w:val="24"/>
          <w:szCs w:val="24"/>
        </w:rPr>
        <w:t xml:space="preserve">. </w:t>
      </w:r>
      <w:r w:rsidR="00A81EF2">
        <w:rPr>
          <w:rFonts w:asciiTheme="majorHAnsi" w:eastAsiaTheme="majorEastAsia" w:hAnsiTheme="majorHAnsi" w:cstheme="majorBidi"/>
          <w:bCs/>
          <w:color w:val="000000" w:themeColor="text1"/>
          <w:sz w:val="24"/>
          <w:szCs w:val="24"/>
        </w:rPr>
        <w:t xml:space="preserve"> </w:t>
      </w:r>
    </w:p>
    <w:p w14:paraId="3CCFFD52" w14:textId="77777777" w:rsidR="00454C27" w:rsidRDefault="00454C27" w:rsidP="00D86111">
      <w:pPr>
        <w:spacing w:after="0"/>
        <w:rPr>
          <w:rFonts w:asciiTheme="majorHAnsi" w:eastAsiaTheme="majorEastAsia" w:hAnsiTheme="majorHAnsi" w:cstheme="majorBidi"/>
          <w:bCs/>
          <w:color w:val="000000" w:themeColor="text1"/>
          <w:sz w:val="24"/>
          <w:szCs w:val="24"/>
        </w:rPr>
      </w:pPr>
    </w:p>
    <w:p w14:paraId="12361253" w14:textId="4D6D6554" w:rsidR="00B8543E" w:rsidRDefault="003173AE" w:rsidP="00D86111">
      <w:pPr>
        <w:spacing w:after="0"/>
        <w:rPr>
          <w:rFonts w:asciiTheme="majorHAnsi" w:eastAsiaTheme="majorEastAsia" w:hAnsiTheme="majorHAnsi" w:cstheme="majorBidi"/>
          <w:bCs/>
          <w:color w:val="000000" w:themeColor="text1"/>
          <w:sz w:val="24"/>
          <w:szCs w:val="24"/>
        </w:rPr>
      </w:pPr>
      <w:r w:rsidRPr="00C546F4">
        <w:rPr>
          <w:rFonts w:asciiTheme="majorHAnsi" w:eastAsiaTheme="majorEastAsia" w:hAnsiTheme="majorHAnsi" w:cstheme="majorBidi"/>
          <w:noProof/>
          <w:color w:val="000000" w:themeColor="text1"/>
          <w:sz w:val="24"/>
          <w:szCs w:val="24"/>
        </w:rPr>
        <w:t>Felix</w:t>
      </w:r>
      <w:r w:rsidR="00484F13">
        <w:rPr>
          <w:rFonts w:asciiTheme="majorHAnsi" w:eastAsiaTheme="majorEastAsia" w:hAnsiTheme="majorHAnsi" w:cstheme="majorBidi"/>
          <w:noProof/>
          <w:color w:val="000000" w:themeColor="text1"/>
          <w:sz w:val="24"/>
          <w:szCs w:val="24"/>
        </w:rPr>
        <w:t xml:space="preserve"> </w:t>
      </w:r>
      <w:r>
        <w:rPr>
          <w:rFonts w:asciiTheme="majorHAnsi" w:eastAsiaTheme="majorEastAsia" w:hAnsiTheme="majorHAnsi" w:cstheme="majorBidi"/>
          <w:noProof/>
          <w:color w:val="000000" w:themeColor="text1"/>
          <w:sz w:val="24"/>
          <w:szCs w:val="24"/>
        </w:rPr>
        <w:t>(</w:t>
      </w:r>
      <w:r w:rsidRPr="00C546F4">
        <w:rPr>
          <w:rFonts w:asciiTheme="majorHAnsi" w:eastAsiaTheme="majorEastAsia" w:hAnsiTheme="majorHAnsi" w:cstheme="majorBidi"/>
          <w:noProof/>
          <w:color w:val="000000" w:themeColor="text1"/>
          <w:sz w:val="24"/>
          <w:szCs w:val="24"/>
        </w:rPr>
        <w:t>2009)</w:t>
      </w:r>
      <w:r w:rsidRPr="00D52091">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finds that </w:t>
      </w:r>
      <w:r w:rsidR="00C546F4" w:rsidRPr="00D52091">
        <w:rPr>
          <w:rFonts w:asciiTheme="majorHAnsi" w:eastAsiaTheme="majorEastAsia" w:hAnsiTheme="majorHAnsi" w:cstheme="majorBidi"/>
          <w:bCs/>
          <w:color w:val="000000" w:themeColor="text1"/>
          <w:sz w:val="24"/>
          <w:szCs w:val="24"/>
        </w:rPr>
        <w:t xml:space="preserve">labor bears a significant burden from the </w:t>
      </w:r>
      <w:r w:rsidR="00AE753E" w:rsidRPr="00D52091">
        <w:rPr>
          <w:rFonts w:asciiTheme="majorHAnsi" w:eastAsiaTheme="majorEastAsia" w:hAnsiTheme="majorHAnsi" w:cstheme="majorBidi"/>
          <w:bCs/>
          <w:color w:val="000000" w:themeColor="text1"/>
          <w:sz w:val="24"/>
          <w:szCs w:val="24"/>
        </w:rPr>
        <w:t xml:space="preserve">state corporate </w:t>
      </w:r>
      <w:r w:rsidR="00C546F4" w:rsidRPr="00D52091">
        <w:rPr>
          <w:rFonts w:asciiTheme="majorHAnsi" w:eastAsiaTheme="majorEastAsia" w:hAnsiTheme="majorHAnsi" w:cstheme="majorBidi"/>
          <w:bCs/>
          <w:color w:val="000000" w:themeColor="text1"/>
          <w:sz w:val="24"/>
          <w:szCs w:val="24"/>
        </w:rPr>
        <w:t xml:space="preserve">tax in the form of lower wages. </w:t>
      </w:r>
      <w:r w:rsidR="00673DD0">
        <w:rPr>
          <w:rFonts w:asciiTheme="majorHAnsi" w:eastAsiaTheme="majorEastAsia" w:hAnsiTheme="majorHAnsi" w:cstheme="majorBidi"/>
          <w:bCs/>
          <w:color w:val="000000" w:themeColor="text1"/>
          <w:sz w:val="24"/>
          <w:szCs w:val="24"/>
        </w:rPr>
        <w:t xml:space="preserve">Her </w:t>
      </w:r>
      <w:r>
        <w:rPr>
          <w:rFonts w:asciiTheme="majorHAnsi" w:eastAsiaTheme="majorEastAsia" w:hAnsiTheme="majorHAnsi" w:cstheme="majorBidi"/>
          <w:bCs/>
          <w:color w:val="000000" w:themeColor="text1"/>
          <w:sz w:val="24"/>
          <w:szCs w:val="24"/>
        </w:rPr>
        <w:t xml:space="preserve">study </w:t>
      </w:r>
      <w:r w:rsidR="00F06A1C">
        <w:rPr>
          <w:rFonts w:asciiTheme="majorHAnsi" w:eastAsiaTheme="majorEastAsia" w:hAnsiTheme="majorHAnsi" w:cstheme="majorBidi"/>
          <w:bCs/>
          <w:color w:val="000000" w:themeColor="text1"/>
          <w:sz w:val="24"/>
          <w:szCs w:val="24"/>
        </w:rPr>
        <w:t xml:space="preserve">further </w:t>
      </w:r>
      <w:r>
        <w:rPr>
          <w:rFonts w:asciiTheme="majorHAnsi" w:eastAsiaTheme="majorEastAsia" w:hAnsiTheme="majorHAnsi" w:cstheme="majorBidi"/>
          <w:bCs/>
          <w:color w:val="000000" w:themeColor="text1"/>
          <w:sz w:val="24"/>
          <w:szCs w:val="24"/>
        </w:rPr>
        <w:t xml:space="preserve">suggests that </w:t>
      </w:r>
      <w:r w:rsidR="00C546F4" w:rsidRPr="00D52091">
        <w:rPr>
          <w:rFonts w:asciiTheme="majorHAnsi" w:eastAsiaTheme="majorEastAsia" w:hAnsiTheme="majorHAnsi" w:cstheme="majorBidi"/>
          <w:bCs/>
          <w:color w:val="000000" w:themeColor="text1"/>
          <w:sz w:val="24"/>
          <w:szCs w:val="24"/>
        </w:rPr>
        <w:t xml:space="preserve">a one-percentage-point increase in the marginal state corporate tax rate reduces wages </w:t>
      </w:r>
      <w:r w:rsidR="00AE1839">
        <w:rPr>
          <w:rFonts w:asciiTheme="majorHAnsi" w:eastAsiaTheme="majorEastAsia" w:hAnsiTheme="majorHAnsi" w:cstheme="majorBidi"/>
          <w:bCs/>
          <w:color w:val="000000" w:themeColor="text1"/>
          <w:sz w:val="24"/>
          <w:szCs w:val="24"/>
        </w:rPr>
        <w:t xml:space="preserve">by </w:t>
      </w:r>
      <w:r w:rsidR="00C546F4" w:rsidRPr="00D52091">
        <w:rPr>
          <w:rFonts w:asciiTheme="majorHAnsi" w:eastAsiaTheme="majorEastAsia" w:hAnsiTheme="majorHAnsi" w:cstheme="majorBidi"/>
          <w:bCs/>
          <w:color w:val="000000" w:themeColor="text1"/>
          <w:sz w:val="24"/>
          <w:szCs w:val="24"/>
        </w:rPr>
        <w:t>0.14 to 0.36</w:t>
      </w:r>
      <w:r w:rsidR="007444A7">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 that l</w:t>
      </w:r>
      <w:r w:rsidR="00C546F4" w:rsidRPr="00D52091">
        <w:rPr>
          <w:rFonts w:asciiTheme="majorHAnsi" w:eastAsiaTheme="majorEastAsia" w:hAnsiTheme="majorHAnsi" w:cstheme="majorBidi"/>
          <w:bCs/>
          <w:color w:val="000000" w:themeColor="text1"/>
          <w:sz w:val="24"/>
          <w:szCs w:val="24"/>
        </w:rPr>
        <w:t>abor’s burden from the state corporate tax has trended upward over time</w:t>
      </w:r>
      <w:r w:rsidR="00D86111">
        <w:rPr>
          <w:rFonts w:asciiTheme="majorHAnsi" w:eastAsiaTheme="majorEastAsia" w:hAnsiTheme="majorHAnsi" w:cstheme="majorBidi"/>
          <w:bCs/>
          <w:color w:val="000000" w:themeColor="text1"/>
          <w:sz w:val="24"/>
          <w:szCs w:val="24"/>
        </w:rPr>
        <w:t xml:space="preserve"> due to </w:t>
      </w:r>
      <w:r w:rsidR="00C546F4" w:rsidRPr="00D52091">
        <w:rPr>
          <w:rFonts w:asciiTheme="majorHAnsi" w:eastAsiaTheme="majorEastAsia" w:hAnsiTheme="majorHAnsi" w:cstheme="majorBidi"/>
          <w:bCs/>
          <w:color w:val="000000" w:themeColor="text1"/>
          <w:sz w:val="24"/>
          <w:szCs w:val="24"/>
        </w:rPr>
        <w:t>increased global competition and increased competition among states to attract businesses</w:t>
      </w:r>
      <w:r w:rsidR="00D86111">
        <w:rPr>
          <w:rFonts w:asciiTheme="majorHAnsi" w:eastAsiaTheme="majorEastAsia" w:hAnsiTheme="majorHAnsi" w:cstheme="majorBidi"/>
          <w:bCs/>
          <w:color w:val="000000" w:themeColor="text1"/>
          <w:sz w:val="24"/>
          <w:szCs w:val="24"/>
        </w:rPr>
        <w:t>, and that s</w:t>
      </w:r>
      <w:r w:rsidR="00C546F4" w:rsidRPr="00D52091">
        <w:rPr>
          <w:rFonts w:asciiTheme="majorHAnsi" w:eastAsiaTheme="majorEastAsia" w:hAnsiTheme="majorHAnsi" w:cstheme="majorBidi"/>
          <w:bCs/>
          <w:color w:val="000000" w:themeColor="text1"/>
          <w:sz w:val="24"/>
          <w:szCs w:val="24"/>
        </w:rPr>
        <w:t xml:space="preserve">tate corporate taxes reduce the wages of highly educated workers </w:t>
      </w:r>
      <w:r w:rsidR="00381B41">
        <w:rPr>
          <w:rFonts w:asciiTheme="majorHAnsi" w:eastAsiaTheme="majorEastAsia" w:hAnsiTheme="majorHAnsi" w:cstheme="majorBidi"/>
          <w:bCs/>
          <w:color w:val="000000" w:themeColor="text1"/>
          <w:sz w:val="24"/>
          <w:szCs w:val="24"/>
        </w:rPr>
        <w:t>more</w:t>
      </w:r>
      <w:r w:rsidR="00C546F4" w:rsidRPr="00D52091">
        <w:rPr>
          <w:rFonts w:asciiTheme="majorHAnsi" w:eastAsiaTheme="majorEastAsia" w:hAnsiTheme="majorHAnsi" w:cstheme="majorBidi"/>
          <w:bCs/>
          <w:color w:val="000000" w:themeColor="text1"/>
          <w:sz w:val="24"/>
          <w:szCs w:val="24"/>
        </w:rPr>
        <w:t xml:space="preserve"> than</w:t>
      </w:r>
      <w:r w:rsidR="00AE753E">
        <w:rPr>
          <w:rFonts w:asciiTheme="majorHAnsi" w:eastAsiaTheme="majorEastAsia" w:hAnsiTheme="majorHAnsi" w:cstheme="majorBidi"/>
          <w:bCs/>
          <w:color w:val="000000" w:themeColor="text1"/>
          <w:sz w:val="24"/>
          <w:szCs w:val="24"/>
        </w:rPr>
        <w:t xml:space="preserve"> that of</w:t>
      </w:r>
      <w:r w:rsidR="00C546F4" w:rsidRPr="00D52091">
        <w:rPr>
          <w:rFonts w:asciiTheme="majorHAnsi" w:eastAsiaTheme="majorEastAsia" w:hAnsiTheme="majorHAnsi" w:cstheme="majorBidi"/>
          <w:bCs/>
          <w:color w:val="000000" w:themeColor="text1"/>
          <w:sz w:val="24"/>
          <w:szCs w:val="24"/>
        </w:rPr>
        <w:t xml:space="preserve"> less-educated workers. </w:t>
      </w:r>
      <w:r w:rsidR="00CA7149">
        <w:rPr>
          <w:rFonts w:asciiTheme="majorHAnsi" w:eastAsiaTheme="majorEastAsia" w:hAnsiTheme="majorHAnsi" w:cstheme="majorBidi"/>
          <w:bCs/>
          <w:color w:val="000000" w:themeColor="text1"/>
          <w:sz w:val="24"/>
          <w:szCs w:val="24"/>
        </w:rPr>
        <w:t xml:space="preserve">Even though the exact amount of effect on wages may vary by researchers, the logic of the effect is broadly shared.  </w:t>
      </w:r>
      <w:r w:rsidR="0085655B">
        <w:rPr>
          <w:rFonts w:asciiTheme="majorHAnsi" w:eastAsiaTheme="majorEastAsia" w:hAnsiTheme="majorHAnsi" w:cstheme="majorBidi"/>
          <w:bCs/>
          <w:color w:val="000000" w:themeColor="text1"/>
          <w:sz w:val="24"/>
          <w:szCs w:val="24"/>
        </w:rPr>
        <w:t xml:space="preserve">The investment tax credit is an important incentive that contributes to lower effective corporate and business tax rates. </w:t>
      </w:r>
      <w:r w:rsidR="00D86111">
        <w:rPr>
          <w:rFonts w:asciiTheme="majorHAnsi" w:eastAsiaTheme="majorEastAsia" w:hAnsiTheme="majorHAnsi" w:cstheme="majorBidi"/>
          <w:bCs/>
          <w:color w:val="000000" w:themeColor="text1"/>
          <w:sz w:val="24"/>
          <w:szCs w:val="24"/>
        </w:rPr>
        <w:t xml:space="preserve"> </w:t>
      </w:r>
      <w:r w:rsidR="00E36E87">
        <w:rPr>
          <w:rFonts w:asciiTheme="majorHAnsi" w:eastAsiaTheme="majorEastAsia" w:hAnsiTheme="majorHAnsi" w:cstheme="majorBidi"/>
          <w:bCs/>
          <w:color w:val="000000" w:themeColor="text1"/>
          <w:sz w:val="24"/>
          <w:szCs w:val="24"/>
        </w:rPr>
        <w:t xml:space="preserve">Hence, </w:t>
      </w:r>
      <w:r w:rsidR="00574416">
        <w:rPr>
          <w:rFonts w:asciiTheme="majorHAnsi" w:eastAsiaTheme="majorEastAsia" w:hAnsiTheme="majorHAnsi" w:cstheme="majorBidi"/>
          <w:bCs/>
          <w:color w:val="000000" w:themeColor="text1"/>
          <w:sz w:val="24"/>
          <w:szCs w:val="24"/>
        </w:rPr>
        <w:t>the findings imply</w:t>
      </w:r>
      <w:r w:rsidR="00E36E87">
        <w:rPr>
          <w:rFonts w:asciiTheme="majorHAnsi" w:eastAsiaTheme="majorEastAsia" w:hAnsiTheme="majorHAnsi" w:cstheme="majorBidi"/>
          <w:bCs/>
          <w:color w:val="000000" w:themeColor="text1"/>
          <w:sz w:val="24"/>
          <w:szCs w:val="24"/>
        </w:rPr>
        <w:t xml:space="preserve"> that the investment tax credit</w:t>
      </w:r>
      <w:r w:rsidR="00892692">
        <w:rPr>
          <w:rFonts w:asciiTheme="majorHAnsi" w:eastAsiaTheme="majorEastAsia" w:hAnsiTheme="majorHAnsi" w:cstheme="majorBidi"/>
          <w:bCs/>
          <w:color w:val="000000" w:themeColor="text1"/>
          <w:sz w:val="24"/>
          <w:szCs w:val="24"/>
        </w:rPr>
        <w:t xml:space="preserve"> </w:t>
      </w:r>
      <w:r w:rsidR="00E36E87">
        <w:rPr>
          <w:rFonts w:asciiTheme="majorHAnsi" w:eastAsiaTheme="majorEastAsia" w:hAnsiTheme="majorHAnsi" w:cstheme="majorBidi"/>
          <w:bCs/>
          <w:color w:val="000000" w:themeColor="text1"/>
          <w:sz w:val="24"/>
          <w:szCs w:val="24"/>
        </w:rPr>
        <w:t>may have benefit</w:t>
      </w:r>
      <w:r w:rsidR="008937DE">
        <w:rPr>
          <w:rFonts w:asciiTheme="majorHAnsi" w:eastAsiaTheme="majorEastAsia" w:hAnsiTheme="majorHAnsi" w:cstheme="majorBidi"/>
          <w:bCs/>
          <w:color w:val="000000" w:themeColor="text1"/>
          <w:sz w:val="24"/>
          <w:szCs w:val="24"/>
        </w:rPr>
        <w:t>ed</w:t>
      </w:r>
      <w:r w:rsidR="00E36E87">
        <w:rPr>
          <w:rFonts w:asciiTheme="majorHAnsi" w:eastAsiaTheme="majorEastAsia" w:hAnsiTheme="majorHAnsi" w:cstheme="majorBidi"/>
          <w:bCs/>
          <w:color w:val="000000" w:themeColor="text1"/>
          <w:sz w:val="24"/>
          <w:szCs w:val="24"/>
        </w:rPr>
        <w:t xml:space="preserve"> workers </w:t>
      </w:r>
      <w:r w:rsidR="00F55279">
        <w:rPr>
          <w:rFonts w:asciiTheme="majorHAnsi" w:eastAsiaTheme="majorEastAsia" w:hAnsiTheme="majorHAnsi" w:cstheme="majorBidi"/>
          <w:bCs/>
          <w:color w:val="000000" w:themeColor="text1"/>
          <w:sz w:val="24"/>
          <w:szCs w:val="24"/>
        </w:rPr>
        <w:t xml:space="preserve">who were employed by the corporations </w:t>
      </w:r>
      <w:r w:rsidR="00E36E87">
        <w:rPr>
          <w:rFonts w:asciiTheme="majorHAnsi" w:eastAsiaTheme="majorEastAsia" w:hAnsiTheme="majorHAnsi" w:cstheme="majorBidi"/>
          <w:bCs/>
          <w:color w:val="000000" w:themeColor="text1"/>
          <w:sz w:val="24"/>
          <w:szCs w:val="24"/>
        </w:rPr>
        <w:t xml:space="preserve">in the form of higher wages </w:t>
      </w:r>
      <w:r w:rsidR="0085655B">
        <w:rPr>
          <w:rFonts w:asciiTheme="majorHAnsi" w:eastAsiaTheme="majorEastAsia" w:hAnsiTheme="majorHAnsi" w:cstheme="majorBidi"/>
          <w:bCs/>
          <w:color w:val="000000" w:themeColor="text1"/>
          <w:sz w:val="24"/>
          <w:szCs w:val="24"/>
        </w:rPr>
        <w:t>and benefited</w:t>
      </w:r>
      <w:r w:rsidR="00E36E87">
        <w:rPr>
          <w:rFonts w:asciiTheme="majorHAnsi" w:eastAsiaTheme="majorEastAsia" w:hAnsiTheme="majorHAnsi" w:cstheme="majorBidi"/>
          <w:bCs/>
          <w:color w:val="000000" w:themeColor="text1"/>
          <w:sz w:val="24"/>
          <w:szCs w:val="24"/>
        </w:rPr>
        <w:t xml:space="preserve"> the shareholders</w:t>
      </w:r>
      <w:r w:rsidR="00F55279">
        <w:rPr>
          <w:rFonts w:asciiTheme="majorHAnsi" w:eastAsiaTheme="majorEastAsia" w:hAnsiTheme="majorHAnsi" w:cstheme="majorBidi"/>
          <w:bCs/>
          <w:color w:val="000000" w:themeColor="text1"/>
          <w:sz w:val="24"/>
          <w:szCs w:val="24"/>
        </w:rPr>
        <w:t xml:space="preserve"> of the corporations</w:t>
      </w:r>
      <w:r w:rsidR="00E36E87">
        <w:rPr>
          <w:rFonts w:asciiTheme="majorHAnsi" w:eastAsiaTheme="majorEastAsia" w:hAnsiTheme="majorHAnsi" w:cstheme="majorBidi"/>
          <w:bCs/>
          <w:color w:val="000000" w:themeColor="text1"/>
          <w:sz w:val="24"/>
          <w:szCs w:val="24"/>
        </w:rPr>
        <w:t xml:space="preserve">.  </w:t>
      </w:r>
      <w:r w:rsidR="00841240">
        <w:rPr>
          <w:rFonts w:asciiTheme="majorHAnsi" w:eastAsiaTheme="majorEastAsia" w:hAnsiTheme="majorHAnsi" w:cstheme="majorBidi"/>
          <w:bCs/>
          <w:color w:val="000000" w:themeColor="text1"/>
          <w:sz w:val="24"/>
          <w:szCs w:val="24"/>
        </w:rPr>
        <w:t>T</w:t>
      </w:r>
      <w:r w:rsidR="00BC3CB2">
        <w:rPr>
          <w:rFonts w:asciiTheme="majorHAnsi" w:eastAsiaTheme="majorEastAsia" w:hAnsiTheme="majorHAnsi" w:cstheme="majorBidi"/>
          <w:bCs/>
          <w:color w:val="000000" w:themeColor="text1"/>
          <w:sz w:val="24"/>
          <w:szCs w:val="24"/>
        </w:rPr>
        <w:t xml:space="preserve">he incentive </w:t>
      </w:r>
      <w:r w:rsidR="008A691C">
        <w:rPr>
          <w:rFonts w:asciiTheme="majorHAnsi" w:eastAsiaTheme="majorEastAsia" w:hAnsiTheme="majorHAnsi" w:cstheme="majorBidi"/>
          <w:bCs/>
          <w:color w:val="000000" w:themeColor="text1"/>
          <w:sz w:val="24"/>
          <w:szCs w:val="24"/>
        </w:rPr>
        <w:t xml:space="preserve">may have </w:t>
      </w:r>
      <w:r w:rsidR="00841240">
        <w:rPr>
          <w:rFonts w:asciiTheme="majorHAnsi" w:eastAsiaTheme="majorEastAsia" w:hAnsiTheme="majorHAnsi" w:cstheme="majorBidi"/>
          <w:bCs/>
          <w:color w:val="000000" w:themeColor="text1"/>
          <w:sz w:val="24"/>
          <w:szCs w:val="24"/>
        </w:rPr>
        <w:t xml:space="preserve">further </w:t>
      </w:r>
      <w:r w:rsidR="00BC3CB2">
        <w:rPr>
          <w:rFonts w:asciiTheme="majorHAnsi" w:eastAsiaTheme="majorEastAsia" w:hAnsiTheme="majorHAnsi" w:cstheme="majorBidi"/>
          <w:bCs/>
          <w:color w:val="000000" w:themeColor="text1"/>
          <w:sz w:val="24"/>
          <w:szCs w:val="24"/>
        </w:rPr>
        <w:t xml:space="preserve">benefited </w:t>
      </w:r>
      <w:r w:rsidR="00841240">
        <w:rPr>
          <w:rFonts w:asciiTheme="majorHAnsi" w:eastAsiaTheme="majorEastAsia" w:hAnsiTheme="majorHAnsi" w:cstheme="majorBidi"/>
          <w:bCs/>
          <w:color w:val="000000" w:themeColor="text1"/>
          <w:sz w:val="24"/>
          <w:szCs w:val="24"/>
        </w:rPr>
        <w:t xml:space="preserve">the shareholders and </w:t>
      </w:r>
      <w:r w:rsidR="00371FC5">
        <w:rPr>
          <w:rFonts w:asciiTheme="majorHAnsi" w:eastAsiaTheme="majorEastAsia" w:hAnsiTheme="majorHAnsi" w:cstheme="majorBidi"/>
          <w:bCs/>
          <w:color w:val="000000" w:themeColor="text1"/>
          <w:sz w:val="24"/>
          <w:szCs w:val="24"/>
        </w:rPr>
        <w:t>employe</w:t>
      </w:r>
      <w:r w:rsidR="0085655B">
        <w:rPr>
          <w:rFonts w:asciiTheme="majorHAnsi" w:eastAsiaTheme="majorEastAsia" w:hAnsiTheme="majorHAnsi" w:cstheme="majorBidi"/>
          <w:bCs/>
          <w:color w:val="000000" w:themeColor="text1"/>
          <w:sz w:val="24"/>
          <w:szCs w:val="24"/>
        </w:rPr>
        <w:t>es</w:t>
      </w:r>
      <w:r w:rsidR="00371FC5">
        <w:rPr>
          <w:rFonts w:asciiTheme="majorHAnsi" w:eastAsiaTheme="majorEastAsia" w:hAnsiTheme="majorHAnsi" w:cstheme="majorBidi"/>
          <w:bCs/>
          <w:color w:val="000000" w:themeColor="text1"/>
          <w:sz w:val="24"/>
          <w:szCs w:val="24"/>
        </w:rPr>
        <w:t xml:space="preserve"> </w:t>
      </w:r>
      <w:r w:rsidR="00BC3CB2">
        <w:rPr>
          <w:rFonts w:asciiTheme="majorHAnsi" w:eastAsiaTheme="majorEastAsia" w:hAnsiTheme="majorHAnsi" w:cstheme="majorBidi"/>
          <w:bCs/>
          <w:color w:val="000000" w:themeColor="text1"/>
          <w:sz w:val="24"/>
          <w:szCs w:val="24"/>
        </w:rPr>
        <w:t xml:space="preserve">due to the growth of businesses. </w:t>
      </w:r>
      <w:r w:rsidR="00841240">
        <w:rPr>
          <w:rFonts w:asciiTheme="majorHAnsi" w:eastAsiaTheme="majorEastAsia" w:hAnsiTheme="majorHAnsi" w:cstheme="majorBidi"/>
          <w:bCs/>
          <w:color w:val="000000" w:themeColor="text1"/>
          <w:sz w:val="24"/>
          <w:szCs w:val="24"/>
        </w:rPr>
        <w:t xml:space="preserve"> </w:t>
      </w:r>
    </w:p>
    <w:p w14:paraId="3F69C455" w14:textId="77777777" w:rsidR="008F432D" w:rsidRDefault="008F432D" w:rsidP="00D86111">
      <w:pPr>
        <w:spacing w:after="0"/>
        <w:rPr>
          <w:rFonts w:asciiTheme="majorHAnsi" w:eastAsiaTheme="majorEastAsia" w:hAnsiTheme="majorHAnsi" w:cstheme="majorBidi"/>
          <w:bCs/>
          <w:color w:val="000000" w:themeColor="text1"/>
          <w:sz w:val="24"/>
          <w:szCs w:val="24"/>
        </w:rPr>
      </w:pPr>
    </w:p>
    <w:p w14:paraId="579DC3F9" w14:textId="77777777" w:rsidR="00D86111" w:rsidRPr="00003FFA" w:rsidRDefault="00D86111" w:rsidP="00D86111">
      <w:pPr>
        <w:spacing w:after="0"/>
        <w:rPr>
          <w:rFonts w:asciiTheme="majorHAnsi" w:hAnsiTheme="majorHAnsi"/>
          <w:b/>
          <w:sz w:val="24"/>
          <w:szCs w:val="24"/>
        </w:rPr>
      </w:pPr>
    </w:p>
    <w:p w14:paraId="5A741227" w14:textId="77777777" w:rsidR="00291074" w:rsidRPr="00A07439" w:rsidRDefault="00291074" w:rsidP="00291074">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t>EVALUATION:  COMPARING COSTS AND BENEFITS</w:t>
      </w:r>
    </w:p>
    <w:p w14:paraId="31E9552F" w14:textId="5D39B085" w:rsidR="00B31D5A" w:rsidRDefault="005F6D3F" w:rsidP="00B31D5A">
      <w:pPr>
        <w:tabs>
          <w:tab w:val="left" w:pos="7050"/>
        </w:tabs>
        <w:spacing w:after="0"/>
        <w:rPr>
          <w:rFonts w:asciiTheme="majorHAnsi" w:hAnsiTheme="majorHAnsi"/>
          <w:bCs/>
          <w:sz w:val="24"/>
          <w:szCs w:val="23"/>
        </w:rPr>
      </w:pPr>
      <w:r>
        <w:rPr>
          <w:rFonts w:asciiTheme="majorHAnsi" w:hAnsiTheme="majorHAnsi"/>
          <w:bCs/>
          <w:sz w:val="24"/>
          <w:szCs w:val="23"/>
        </w:rPr>
        <w:t xml:space="preserve">If we don’t consider the opportunity cost of the tax incentive, </w:t>
      </w:r>
      <w:r w:rsidR="00AE753E">
        <w:rPr>
          <w:rFonts w:asciiTheme="majorHAnsi" w:hAnsiTheme="majorHAnsi"/>
          <w:bCs/>
          <w:sz w:val="24"/>
          <w:szCs w:val="23"/>
        </w:rPr>
        <w:t xml:space="preserve">total </w:t>
      </w:r>
      <w:r>
        <w:rPr>
          <w:rFonts w:asciiTheme="majorHAnsi" w:hAnsiTheme="majorHAnsi"/>
          <w:bCs/>
          <w:sz w:val="24"/>
          <w:szCs w:val="23"/>
        </w:rPr>
        <w:t>benefits are greater than costs as long as the administrative costs are not large enough</w:t>
      </w:r>
      <w:r w:rsidR="000C3C23">
        <w:rPr>
          <w:rFonts w:asciiTheme="majorHAnsi" w:hAnsiTheme="majorHAnsi"/>
          <w:bCs/>
          <w:sz w:val="24"/>
          <w:szCs w:val="23"/>
        </w:rPr>
        <w:t xml:space="preserve"> to offset the benefits</w:t>
      </w:r>
      <w:r>
        <w:rPr>
          <w:rFonts w:asciiTheme="majorHAnsi" w:hAnsiTheme="majorHAnsi"/>
          <w:bCs/>
          <w:sz w:val="24"/>
          <w:szCs w:val="23"/>
        </w:rPr>
        <w:t xml:space="preserve">. Considering the opportunity cost means asking what benefits would occur if the Commonwealth used the tax incentive for other purposes. There can be numerous other purposes and examining them is beyond the scope of the current evaluation report.  Nonetheless, we report net additional impacts of the tax incentive in Tables </w:t>
      </w:r>
      <w:r w:rsidR="00284C8E">
        <w:rPr>
          <w:rFonts w:asciiTheme="majorHAnsi" w:hAnsiTheme="majorHAnsi"/>
          <w:bCs/>
          <w:sz w:val="24"/>
          <w:szCs w:val="23"/>
        </w:rPr>
        <w:t>10</w:t>
      </w:r>
      <w:r>
        <w:rPr>
          <w:rFonts w:asciiTheme="majorHAnsi" w:hAnsiTheme="majorHAnsi"/>
          <w:bCs/>
          <w:sz w:val="24"/>
          <w:szCs w:val="23"/>
        </w:rPr>
        <w:t xml:space="preserve"> and 1</w:t>
      </w:r>
      <w:r w:rsidR="00284C8E">
        <w:rPr>
          <w:rFonts w:asciiTheme="majorHAnsi" w:hAnsiTheme="majorHAnsi"/>
          <w:bCs/>
          <w:sz w:val="24"/>
          <w:szCs w:val="23"/>
        </w:rPr>
        <w:t>1</w:t>
      </w:r>
      <w:r>
        <w:rPr>
          <w:rFonts w:asciiTheme="majorHAnsi" w:hAnsiTheme="majorHAnsi"/>
          <w:bCs/>
          <w:sz w:val="24"/>
          <w:szCs w:val="23"/>
        </w:rPr>
        <w:t xml:space="preserve"> below under the balanced budget requirement, which are </w:t>
      </w:r>
      <w:r w:rsidR="00A97E41">
        <w:rPr>
          <w:rFonts w:asciiTheme="majorHAnsi" w:hAnsiTheme="majorHAnsi"/>
          <w:bCs/>
          <w:sz w:val="24"/>
          <w:szCs w:val="23"/>
        </w:rPr>
        <w:t>the combined effects</w:t>
      </w:r>
      <w:r>
        <w:rPr>
          <w:rFonts w:asciiTheme="majorHAnsi" w:hAnsiTheme="majorHAnsi"/>
          <w:bCs/>
          <w:sz w:val="24"/>
          <w:szCs w:val="23"/>
        </w:rPr>
        <w:t xml:space="preserve"> in Tables </w:t>
      </w:r>
      <w:r w:rsidR="00284C8E">
        <w:rPr>
          <w:rFonts w:asciiTheme="majorHAnsi" w:hAnsiTheme="majorHAnsi"/>
          <w:bCs/>
          <w:sz w:val="24"/>
          <w:szCs w:val="23"/>
        </w:rPr>
        <w:t>3</w:t>
      </w:r>
      <w:r>
        <w:rPr>
          <w:rFonts w:asciiTheme="majorHAnsi" w:hAnsiTheme="majorHAnsi"/>
          <w:bCs/>
          <w:sz w:val="24"/>
          <w:szCs w:val="23"/>
        </w:rPr>
        <w:t xml:space="preserve">, </w:t>
      </w:r>
      <w:r w:rsidR="00284C8E">
        <w:rPr>
          <w:rFonts w:asciiTheme="majorHAnsi" w:hAnsiTheme="majorHAnsi"/>
          <w:bCs/>
          <w:sz w:val="24"/>
          <w:szCs w:val="23"/>
        </w:rPr>
        <w:t>4</w:t>
      </w:r>
      <w:r>
        <w:rPr>
          <w:rFonts w:asciiTheme="majorHAnsi" w:hAnsiTheme="majorHAnsi"/>
          <w:bCs/>
          <w:sz w:val="24"/>
          <w:szCs w:val="23"/>
        </w:rPr>
        <w:t xml:space="preserve">, </w:t>
      </w:r>
      <w:r w:rsidR="00284C8E">
        <w:rPr>
          <w:rFonts w:asciiTheme="majorHAnsi" w:hAnsiTheme="majorHAnsi"/>
          <w:bCs/>
          <w:sz w:val="24"/>
          <w:szCs w:val="23"/>
        </w:rPr>
        <w:t>8</w:t>
      </w:r>
      <w:r>
        <w:rPr>
          <w:rFonts w:asciiTheme="majorHAnsi" w:hAnsiTheme="majorHAnsi"/>
          <w:bCs/>
          <w:sz w:val="24"/>
          <w:szCs w:val="23"/>
        </w:rPr>
        <w:t xml:space="preserve">, and </w:t>
      </w:r>
      <w:r w:rsidR="00284C8E">
        <w:rPr>
          <w:rFonts w:asciiTheme="majorHAnsi" w:hAnsiTheme="majorHAnsi"/>
          <w:bCs/>
          <w:sz w:val="24"/>
          <w:szCs w:val="23"/>
        </w:rPr>
        <w:t>9</w:t>
      </w:r>
      <w:r>
        <w:rPr>
          <w:rFonts w:asciiTheme="majorHAnsi" w:hAnsiTheme="majorHAnsi"/>
          <w:bCs/>
          <w:sz w:val="24"/>
          <w:szCs w:val="23"/>
        </w:rPr>
        <w:t xml:space="preserve">. </w:t>
      </w:r>
      <w:r w:rsidR="00B31D5A">
        <w:rPr>
          <w:rFonts w:asciiTheme="majorHAnsi" w:eastAsiaTheme="majorEastAsia" w:hAnsiTheme="majorHAnsi" w:cstheme="majorBidi"/>
          <w:bCs/>
          <w:color w:val="000000" w:themeColor="text1"/>
          <w:sz w:val="24"/>
          <w:szCs w:val="24"/>
        </w:rPr>
        <w:t xml:space="preserve">Tables </w:t>
      </w:r>
      <w:r w:rsidR="00284C8E">
        <w:rPr>
          <w:rFonts w:asciiTheme="majorHAnsi" w:eastAsiaTheme="majorEastAsia" w:hAnsiTheme="majorHAnsi" w:cstheme="majorBidi"/>
          <w:bCs/>
          <w:color w:val="000000" w:themeColor="text1"/>
          <w:sz w:val="24"/>
          <w:szCs w:val="24"/>
        </w:rPr>
        <w:t>10</w:t>
      </w:r>
      <w:r w:rsidR="00B31D5A">
        <w:rPr>
          <w:rFonts w:asciiTheme="majorHAnsi" w:eastAsiaTheme="majorEastAsia" w:hAnsiTheme="majorHAnsi" w:cstheme="majorBidi"/>
          <w:bCs/>
          <w:color w:val="000000" w:themeColor="text1"/>
          <w:sz w:val="24"/>
          <w:szCs w:val="24"/>
        </w:rPr>
        <w:t xml:space="preserve"> and </w:t>
      </w:r>
      <w:r w:rsidR="00284C8E">
        <w:rPr>
          <w:rFonts w:asciiTheme="majorHAnsi" w:eastAsiaTheme="majorEastAsia" w:hAnsiTheme="majorHAnsi" w:cstheme="majorBidi"/>
          <w:bCs/>
          <w:color w:val="000000" w:themeColor="text1"/>
          <w:sz w:val="24"/>
          <w:szCs w:val="24"/>
        </w:rPr>
        <w:t>11</w:t>
      </w:r>
      <w:r w:rsidR="00B31D5A">
        <w:rPr>
          <w:rFonts w:asciiTheme="majorHAnsi" w:eastAsiaTheme="majorEastAsia" w:hAnsiTheme="majorHAnsi" w:cstheme="majorBidi"/>
          <w:bCs/>
          <w:color w:val="000000" w:themeColor="text1"/>
          <w:sz w:val="24"/>
          <w:szCs w:val="24"/>
        </w:rPr>
        <w:t xml:space="preserve"> show that the investment tax credit combined with a cut in state government spending of the same amount results in less </w:t>
      </w:r>
      <w:r w:rsidR="00D44B74">
        <w:rPr>
          <w:rFonts w:asciiTheme="majorHAnsi" w:eastAsiaTheme="majorEastAsia" w:hAnsiTheme="majorHAnsi" w:cstheme="majorBidi"/>
          <w:bCs/>
          <w:color w:val="000000" w:themeColor="text1"/>
          <w:sz w:val="24"/>
          <w:szCs w:val="24"/>
        </w:rPr>
        <w:t xml:space="preserve">net </w:t>
      </w:r>
      <w:r w:rsidR="00B31D5A">
        <w:rPr>
          <w:rFonts w:asciiTheme="majorHAnsi" w:eastAsiaTheme="majorEastAsia" w:hAnsiTheme="majorHAnsi" w:cstheme="majorBidi"/>
          <w:bCs/>
          <w:color w:val="000000" w:themeColor="text1"/>
          <w:sz w:val="24"/>
          <w:szCs w:val="24"/>
        </w:rPr>
        <w:t xml:space="preserve">economic </w:t>
      </w:r>
      <w:r w:rsidR="00D44B74">
        <w:rPr>
          <w:rFonts w:asciiTheme="majorHAnsi" w:eastAsiaTheme="majorEastAsia" w:hAnsiTheme="majorHAnsi" w:cstheme="majorBidi"/>
          <w:bCs/>
          <w:color w:val="000000" w:themeColor="text1"/>
          <w:sz w:val="24"/>
          <w:szCs w:val="24"/>
        </w:rPr>
        <w:t xml:space="preserve">activity </w:t>
      </w:r>
      <w:r w:rsidR="00B31D5A">
        <w:rPr>
          <w:rFonts w:asciiTheme="majorHAnsi" w:eastAsiaTheme="majorEastAsia" w:hAnsiTheme="majorHAnsi" w:cstheme="majorBidi"/>
          <w:bCs/>
          <w:color w:val="000000" w:themeColor="text1"/>
          <w:sz w:val="24"/>
          <w:szCs w:val="24"/>
        </w:rPr>
        <w:t>in earlier year</w:t>
      </w:r>
      <w:r w:rsidR="00D44B74">
        <w:rPr>
          <w:rFonts w:asciiTheme="majorHAnsi" w:eastAsiaTheme="majorEastAsia" w:hAnsiTheme="majorHAnsi" w:cstheme="majorBidi"/>
          <w:bCs/>
          <w:color w:val="000000" w:themeColor="text1"/>
          <w:sz w:val="24"/>
          <w:szCs w:val="24"/>
        </w:rPr>
        <w:t>s</w:t>
      </w:r>
      <w:r w:rsidR="00B31D5A">
        <w:rPr>
          <w:rFonts w:asciiTheme="majorHAnsi" w:eastAsiaTheme="majorEastAsia" w:hAnsiTheme="majorHAnsi" w:cstheme="majorBidi"/>
          <w:bCs/>
          <w:color w:val="000000" w:themeColor="text1"/>
          <w:sz w:val="24"/>
          <w:szCs w:val="24"/>
        </w:rPr>
        <w:t xml:space="preserve"> but more in later years, with real state GDP decreasing</w:t>
      </w:r>
      <w:r w:rsidR="008C76FF">
        <w:rPr>
          <w:rFonts w:asciiTheme="majorHAnsi" w:eastAsiaTheme="majorEastAsia" w:hAnsiTheme="majorHAnsi" w:cstheme="majorBidi"/>
          <w:bCs/>
          <w:color w:val="000000" w:themeColor="text1"/>
          <w:sz w:val="24"/>
          <w:szCs w:val="24"/>
        </w:rPr>
        <w:t xml:space="preserve"> by</w:t>
      </w:r>
      <w:r w:rsidR="00B31D5A">
        <w:rPr>
          <w:rFonts w:asciiTheme="majorHAnsi" w:eastAsiaTheme="majorEastAsia" w:hAnsiTheme="majorHAnsi" w:cstheme="majorBidi"/>
          <w:bCs/>
          <w:color w:val="000000" w:themeColor="text1"/>
          <w:sz w:val="24"/>
          <w:szCs w:val="24"/>
        </w:rPr>
        <w:t xml:space="preserve"> $78 million in 2018 but increasing </w:t>
      </w:r>
      <w:r w:rsidR="008C76FF">
        <w:rPr>
          <w:rFonts w:asciiTheme="majorHAnsi" w:eastAsiaTheme="majorEastAsia" w:hAnsiTheme="majorHAnsi" w:cstheme="majorBidi"/>
          <w:bCs/>
          <w:color w:val="000000" w:themeColor="text1"/>
          <w:sz w:val="24"/>
          <w:szCs w:val="24"/>
        </w:rPr>
        <w:t xml:space="preserve">by </w:t>
      </w:r>
      <w:r w:rsidR="00B31D5A">
        <w:rPr>
          <w:rFonts w:asciiTheme="majorHAnsi" w:eastAsiaTheme="majorEastAsia" w:hAnsiTheme="majorHAnsi" w:cstheme="majorBidi"/>
          <w:bCs/>
          <w:color w:val="000000" w:themeColor="text1"/>
          <w:sz w:val="24"/>
          <w:szCs w:val="24"/>
        </w:rPr>
        <w:t xml:space="preserve">$20 million in 2022. The net impact on total employment is negative with total employment decreasing </w:t>
      </w:r>
      <w:r w:rsidR="008C76FF">
        <w:rPr>
          <w:rFonts w:asciiTheme="majorHAnsi" w:eastAsiaTheme="majorEastAsia" w:hAnsiTheme="majorHAnsi" w:cstheme="majorBidi"/>
          <w:bCs/>
          <w:color w:val="000000" w:themeColor="text1"/>
          <w:sz w:val="24"/>
          <w:szCs w:val="24"/>
        </w:rPr>
        <w:t xml:space="preserve">by </w:t>
      </w:r>
      <w:r w:rsidR="00B31D5A">
        <w:rPr>
          <w:rFonts w:asciiTheme="majorHAnsi" w:eastAsiaTheme="majorEastAsia" w:hAnsiTheme="majorHAnsi" w:cstheme="majorBidi"/>
          <w:bCs/>
          <w:color w:val="000000" w:themeColor="text1"/>
          <w:sz w:val="24"/>
          <w:szCs w:val="24"/>
        </w:rPr>
        <w:t xml:space="preserve">270-1,011 </w:t>
      </w:r>
      <w:r w:rsidR="008C76FF">
        <w:rPr>
          <w:rFonts w:asciiTheme="majorHAnsi" w:eastAsiaTheme="majorEastAsia" w:hAnsiTheme="majorHAnsi" w:cstheme="majorBidi"/>
          <w:bCs/>
          <w:color w:val="000000" w:themeColor="text1"/>
          <w:sz w:val="24"/>
          <w:szCs w:val="24"/>
        </w:rPr>
        <w:t xml:space="preserve">jobs </w:t>
      </w:r>
      <w:r w:rsidR="00B31D5A">
        <w:rPr>
          <w:rFonts w:asciiTheme="majorHAnsi" w:eastAsiaTheme="majorEastAsia" w:hAnsiTheme="majorHAnsi" w:cstheme="majorBidi"/>
          <w:bCs/>
          <w:color w:val="000000" w:themeColor="text1"/>
          <w:sz w:val="24"/>
          <w:szCs w:val="24"/>
        </w:rPr>
        <w:t xml:space="preserve">annually. The impact on </w:t>
      </w:r>
      <w:r w:rsidR="008C76FF">
        <w:rPr>
          <w:rFonts w:asciiTheme="majorHAnsi" w:eastAsiaTheme="majorEastAsia" w:hAnsiTheme="majorHAnsi" w:cstheme="majorBidi"/>
          <w:bCs/>
          <w:color w:val="000000" w:themeColor="text1"/>
          <w:sz w:val="24"/>
          <w:szCs w:val="24"/>
        </w:rPr>
        <w:t>state</w:t>
      </w:r>
      <w:r w:rsidR="00B31D5A">
        <w:rPr>
          <w:rFonts w:asciiTheme="majorHAnsi" w:eastAsiaTheme="majorEastAsia" w:hAnsiTheme="majorHAnsi" w:cstheme="majorBidi"/>
          <w:bCs/>
          <w:color w:val="000000" w:themeColor="text1"/>
          <w:sz w:val="24"/>
          <w:szCs w:val="24"/>
        </w:rPr>
        <w:t xml:space="preserve"> revenues is </w:t>
      </w:r>
      <w:r w:rsidR="00B31D5A">
        <w:rPr>
          <w:rFonts w:asciiTheme="majorHAnsi" w:eastAsiaTheme="majorEastAsia" w:hAnsiTheme="majorHAnsi" w:cstheme="majorBidi"/>
          <w:bCs/>
          <w:color w:val="000000" w:themeColor="text1"/>
          <w:sz w:val="24"/>
          <w:szCs w:val="24"/>
        </w:rPr>
        <w:lastRenderedPageBreak/>
        <w:t>also negative, ranging from decreasing</w:t>
      </w:r>
      <w:r w:rsidR="008C76FF">
        <w:rPr>
          <w:rFonts w:asciiTheme="majorHAnsi" w:eastAsiaTheme="majorEastAsia" w:hAnsiTheme="majorHAnsi" w:cstheme="majorBidi"/>
          <w:bCs/>
          <w:color w:val="000000" w:themeColor="text1"/>
          <w:sz w:val="24"/>
          <w:szCs w:val="24"/>
        </w:rPr>
        <w:t xml:space="preserve"> by</w:t>
      </w:r>
      <w:r w:rsidR="00B31D5A">
        <w:rPr>
          <w:rFonts w:asciiTheme="majorHAnsi" w:eastAsiaTheme="majorEastAsia" w:hAnsiTheme="majorHAnsi" w:cstheme="majorBidi"/>
          <w:bCs/>
          <w:color w:val="000000" w:themeColor="text1"/>
          <w:sz w:val="24"/>
          <w:szCs w:val="24"/>
        </w:rPr>
        <w:t xml:space="preserve"> $0.5 million to decreasing </w:t>
      </w:r>
      <w:r w:rsidR="008C76FF">
        <w:rPr>
          <w:rFonts w:asciiTheme="majorHAnsi" w:eastAsiaTheme="majorEastAsia" w:hAnsiTheme="majorHAnsi" w:cstheme="majorBidi"/>
          <w:bCs/>
          <w:color w:val="000000" w:themeColor="text1"/>
          <w:sz w:val="24"/>
          <w:szCs w:val="24"/>
        </w:rPr>
        <w:t xml:space="preserve">by </w:t>
      </w:r>
      <w:r w:rsidR="00B31D5A">
        <w:rPr>
          <w:rFonts w:asciiTheme="majorHAnsi" w:eastAsiaTheme="majorEastAsia" w:hAnsiTheme="majorHAnsi" w:cstheme="majorBidi"/>
          <w:bCs/>
          <w:color w:val="000000" w:themeColor="text1"/>
          <w:sz w:val="24"/>
          <w:szCs w:val="24"/>
        </w:rPr>
        <w:t>$</w:t>
      </w:r>
      <w:r w:rsidR="008C76FF">
        <w:rPr>
          <w:rFonts w:asciiTheme="majorHAnsi" w:eastAsiaTheme="majorEastAsia" w:hAnsiTheme="majorHAnsi" w:cstheme="majorBidi"/>
          <w:bCs/>
          <w:color w:val="000000" w:themeColor="text1"/>
          <w:sz w:val="24"/>
          <w:szCs w:val="24"/>
        </w:rPr>
        <w:t>2.8</w:t>
      </w:r>
      <w:r w:rsidR="00B31D5A">
        <w:rPr>
          <w:rFonts w:asciiTheme="majorHAnsi" w:eastAsiaTheme="majorEastAsia" w:hAnsiTheme="majorHAnsi" w:cstheme="majorBidi"/>
          <w:bCs/>
          <w:color w:val="000000" w:themeColor="text1"/>
          <w:sz w:val="24"/>
          <w:szCs w:val="24"/>
        </w:rPr>
        <w:t xml:space="preserve"> million annually.</w:t>
      </w:r>
    </w:p>
    <w:p w14:paraId="5F75BEF1" w14:textId="77777777" w:rsidR="00B31D5A" w:rsidRDefault="00B31D5A" w:rsidP="005F6D3F">
      <w:pPr>
        <w:tabs>
          <w:tab w:val="left" w:pos="7050"/>
        </w:tabs>
        <w:spacing w:after="0"/>
        <w:rPr>
          <w:rFonts w:asciiTheme="majorHAnsi" w:hAnsiTheme="majorHAnsi"/>
          <w:bCs/>
          <w:sz w:val="24"/>
          <w:szCs w:val="23"/>
        </w:rPr>
      </w:pPr>
    </w:p>
    <w:p w14:paraId="432B1FB5" w14:textId="77777777" w:rsidR="005F6D3F" w:rsidRDefault="005F6D3F" w:rsidP="005F6D3F">
      <w:pPr>
        <w:tabs>
          <w:tab w:val="left" w:pos="7050"/>
        </w:tabs>
        <w:spacing w:after="0"/>
        <w:rPr>
          <w:rFonts w:asciiTheme="majorHAnsi" w:hAnsiTheme="majorHAnsi"/>
          <w:bCs/>
          <w:sz w:val="24"/>
          <w:szCs w:val="23"/>
        </w:rPr>
      </w:pPr>
      <w:r>
        <w:rPr>
          <w:rFonts w:asciiTheme="majorHAnsi" w:hAnsiTheme="majorHAnsi"/>
          <w:bCs/>
          <w:sz w:val="24"/>
          <w:szCs w:val="23"/>
        </w:rPr>
        <w:t>Because the current tax incentive has its own specific purpose, the net negative impacts do not necessarily imply that the tax incentive is not desirable.</w:t>
      </w:r>
    </w:p>
    <w:p w14:paraId="1B3DC651" w14:textId="77777777" w:rsidR="00E17BA0" w:rsidRDefault="00E17BA0" w:rsidP="00CA2BBF">
      <w:pPr>
        <w:tabs>
          <w:tab w:val="left" w:pos="7050"/>
        </w:tabs>
        <w:spacing w:after="0"/>
        <w:rPr>
          <w:rFonts w:asciiTheme="majorHAnsi" w:hAnsiTheme="majorHAnsi"/>
          <w:bCs/>
          <w:sz w:val="24"/>
          <w:szCs w:val="23"/>
        </w:rPr>
      </w:pPr>
    </w:p>
    <w:p w14:paraId="2BEDCB6C" w14:textId="77777777" w:rsidR="00E17BA0" w:rsidRDefault="00E17BA0" w:rsidP="00B31D5A">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sidR="00284C8E">
        <w:rPr>
          <w:rFonts w:asciiTheme="majorHAnsi" w:eastAsiaTheme="majorEastAsia" w:hAnsiTheme="majorHAnsi" w:cstheme="majorBidi"/>
          <w:b/>
          <w:color w:val="000000" w:themeColor="text1"/>
          <w:sz w:val="24"/>
          <w:szCs w:val="24"/>
        </w:rPr>
        <w:t>10</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 Net Additional Revenue Impact of Investment Tax Credit</w:t>
      </w:r>
      <w:r w:rsidR="00737252">
        <w:rPr>
          <w:rFonts w:asciiTheme="majorHAnsi" w:eastAsiaTheme="majorEastAsia" w:hAnsiTheme="majorHAnsi" w:cstheme="majorBidi"/>
          <w:b/>
          <w:color w:val="000000" w:themeColor="text1"/>
          <w:sz w:val="24"/>
          <w:szCs w:val="24"/>
        </w:rPr>
        <w:t>*</w:t>
      </w:r>
    </w:p>
    <w:tbl>
      <w:tblPr>
        <w:tblW w:w="9408" w:type="dxa"/>
        <w:tblInd w:w="108" w:type="dxa"/>
        <w:tblLook w:val="04A0" w:firstRow="1" w:lastRow="0" w:firstColumn="1" w:lastColumn="0" w:noHBand="0" w:noVBand="1"/>
      </w:tblPr>
      <w:tblGrid>
        <w:gridCol w:w="3460"/>
        <w:gridCol w:w="1189"/>
        <w:gridCol w:w="1189"/>
        <w:gridCol w:w="1190"/>
        <w:gridCol w:w="1190"/>
        <w:gridCol w:w="1190"/>
      </w:tblGrid>
      <w:tr w:rsidR="00B31D5A" w:rsidRPr="00F461DB" w14:paraId="490861AA" w14:textId="77777777" w:rsidTr="006501E0">
        <w:trPr>
          <w:trHeight w:val="500"/>
        </w:trPr>
        <w:tc>
          <w:tcPr>
            <w:tcW w:w="3460"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5CA1B856" w14:textId="77777777" w:rsidR="00B31D5A" w:rsidRPr="00F461DB" w:rsidRDefault="00B31D5A" w:rsidP="00A90779">
            <w:pPr>
              <w:spacing w:after="0" w:line="240" w:lineRule="auto"/>
              <w:jc w:val="center"/>
              <w:rPr>
                <w:rFonts w:ascii="Cambria" w:eastAsia="Times New Roman" w:hAnsi="Cambria" w:cs="Helvetica"/>
                <w:sz w:val="20"/>
                <w:szCs w:val="20"/>
                <w:lang w:eastAsia="ko-KR"/>
              </w:rPr>
            </w:pPr>
            <w:r w:rsidRPr="00F461DB">
              <w:rPr>
                <w:rFonts w:ascii="Cambria" w:eastAsia="Times New Roman" w:hAnsi="Cambria" w:cs="Helvetica"/>
                <w:sz w:val="20"/>
                <w:szCs w:val="20"/>
                <w:lang w:eastAsia="ko-KR"/>
              </w:rPr>
              <w:t>Fiscal Year</w:t>
            </w:r>
          </w:p>
        </w:tc>
        <w:tc>
          <w:tcPr>
            <w:tcW w:w="1189" w:type="dxa"/>
            <w:tcBorders>
              <w:top w:val="single" w:sz="4" w:space="0" w:color="auto"/>
              <w:left w:val="nil"/>
              <w:bottom w:val="single" w:sz="4" w:space="0" w:color="auto"/>
              <w:right w:val="single" w:sz="4" w:space="0" w:color="auto"/>
            </w:tcBorders>
            <w:shd w:val="clear" w:color="000000" w:fill="B7DEE8"/>
            <w:noWrap/>
            <w:vAlign w:val="center"/>
            <w:hideMark/>
          </w:tcPr>
          <w:p w14:paraId="4329ADBC" w14:textId="77777777" w:rsidR="00B31D5A" w:rsidRPr="00F461DB" w:rsidRDefault="00B31D5A" w:rsidP="00A90779">
            <w:pPr>
              <w:spacing w:after="0" w:line="240" w:lineRule="auto"/>
              <w:jc w:val="center"/>
              <w:rPr>
                <w:rFonts w:ascii="Cambria" w:eastAsia="Times New Roman" w:hAnsi="Cambria" w:cs="Helvetica"/>
                <w:sz w:val="20"/>
                <w:szCs w:val="20"/>
                <w:lang w:eastAsia="ko-KR"/>
              </w:rPr>
            </w:pPr>
            <w:r w:rsidRPr="00F461DB">
              <w:rPr>
                <w:rFonts w:ascii="Cambria" w:eastAsia="Times New Roman" w:hAnsi="Cambria" w:cs="Helvetica"/>
                <w:sz w:val="20"/>
                <w:szCs w:val="20"/>
                <w:lang w:eastAsia="ko-KR"/>
              </w:rPr>
              <w:t>2018</w:t>
            </w:r>
          </w:p>
        </w:tc>
        <w:tc>
          <w:tcPr>
            <w:tcW w:w="1189" w:type="dxa"/>
            <w:tcBorders>
              <w:top w:val="single" w:sz="4" w:space="0" w:color="auto"/>
              <w:left w:val="nil"/>
              <w:bottom w:val="single" w:sz="4" w:space="0" w:color="auto"/>
              <w:right w:val="single" w:sz="4" w:space="0" w:color="auto"/>
            </w:tcBorders>
            <w:shd w:val="clear" w:color="000000" w:fill="B7DEE8"/>
            <w:noWrap/>
            <w:vAlign w:val="center"/>
            <w:hideMark/>
          </w:tcPr>
          <w:p w14:paraId="30FACDC1" w14:textId="77777777" w:rsidR="00B31D5A" w:rsidRPr="00F461DB" w:rsidRDefault="00B31D5A" w:rsidP="00A90779">
            <w:pPr>
              <w:spacing w:after="0" w:line="240" w:lineRule="auto"/>
              <w:jc w:val="center"/>
              <w:rPr>
                <w:rFonts w:ascii="Cambria" w:eastAsia="Times New Roman" w:hAnsi="Cambria" w:cs="Helvetica"/>
                <w:sz w:val="20"/>
                <w:szCs w:val="20"/>
                <w:lang w:eastAsia="ko-KR"/>
              </w:rPr>
            </w:pPr>
            <w:r w:rsidRPr="00F461DB">
              <w:rPr>
                <w:rFonts w:ascii="Cambria" w:eastAsia="Times New Roman" w:hAnsi="Cambria" w:cs="Helvetica"/>
                <w:sz w:val="20"/>
                <w:szCs w:val="20"/>
                <w:lang w:eastAsia="ko-KR"/>
              </w:rPr>
              <w:t>2019</w:t>
            </w:r>
          </w:p>
        </w:tc>
        <w:tc>
          <w:tcPr>
            <w:tcW w:w="1190" w:type="dxa"/>
            <w:tcBorders>
              <w:top w:val="single" w:sz="4" w:space="0" w:color="auto"/>
              <w:left w:val="nil"/>
              <w:bottom w:val="single" w:sz="4" w:space="0" w:color="auto"/>
              <w:right w:val="single" w:sz="4" w:space="0" w:color="auto"/>
            </w:tcBorders>
            <w:shd w:val="clear" w:color="000000" w:fill="B7DEE8"/>
            <w:noWrap/>
            <w:vAlign w:val="center"/>
            <w:hideMark/>
          </w:tcPr>
          <w:p w14:paraId="20B43164" w14:textId="77777777" w:rsidR="00B31D5A" w:rsidRPr="00F461DB" w:rsidRDefault="00B31D5A" w:rsidP="00A90779">
            <w:pPr>
              <w:spacing w:after="0" w:line="240" w:lineRule="auto"/>
              <w:jc w:val="center"/>
              <w:rPr>
                <w:rFonts w:ascii="Cambria" w:eastAsia="Times New Roman" w:hAnsi="Cambria" w:cs="Helvetica"/>
                <w:sz w:val="20"/>
                <w:szCs w:val="20"/>
                <w:lang w:eastAsia="ko-KR"/>
              </w:rPr>
            </w:pPr>
            <w:r w:rsidRPr="00F461DB">
              <w:rPr>
                <w:rFonts w:ascii="Cambria" w:eastAsia="Times New Roman" w:hAnsi="Cambria" w:cs="Helvetica"/>
                <w:sz w:val="20"/>
                <w:szCs w:val="20"/>
                <w:lang w:eastAsia="ko-KR"/>
              </w:rPr>
              <w:t>2020</w:t>
            </w:r>
          </w:p>
        </w:tc>
        <w:tc>
          <w:tcPr>
            <w:tcW w:w="1190" w:type="dxa"/>
            <w:tcBorders>
              <w:top w:val="single" w:sz="4" w:space="0" w:color="auto"/>
              <w:left w:val="nil"/>
              <w:bottom w:val="single" w:sz="4" w:space="0" w:color="auto"/>
              <w:right w:val="single" w:sz="4" w:space="0" w:color="auto"/>
            </w:tcBorders>
            <w:shd w:val="clear" w:color="000000" w:fill="B7DEE8"/>
            <w:noWrap/>
            <w:vAlign w:val="center"/>
            <w:hideMark/>
          </w:tcPr>
          <w:p w14:paraId="3BD79FB9" w14:textId="77777777" w:rsidR="00B31D5A" w:rsidRPr="00F461DB" w:rsidRDefault="00B31D5A" w:rsidP="00A90779">
            <w:pPr>
              <w:spacing w:after="0" w:line="240" w:lineRule="auto"/>
              <w:jc w:val="center"/>
              <w:rPr>
                <w:rFonts w:ascii="Cambria" w:eastAsia="Times New Roman" w:hAnsi="Cambria" w:cs="Helvetica"/>
                <w:sz w:val="20"/>
                <w:szCs w:val="20"/>
                <w:lang w:eastAsia="ko-KR"/>
              </w:rPr>
            </w:pPr>
            <w:r w:rsidRPr="00F461DB">
              <w:rPr>
                <w:rFonts w:ascii="Cambria" w:eastAsia="Times New Roman" w:hAnsi="Cambria" w:cs="Helvetica"/>
                <w:sz w:val="20"/>
                <w:szCs w:val="20"/>
                <w:lang w:eastAsia="ko-KR"/>
              </w:rPr>
              <w:t>2021</w:t>
            </w:r>
          </w:p>
        </w:tc>
        <w:tc>
          <w:tcPr>
            <w:tcW w:w="1190" w:type="dxa"/>
            <w:tcBorders>
              <w:top w:val="single" w:sz="4" w:space="0" w:color="auto"/>
              <w:left w:val="nil"/>
              <w:bottom w:val="single" w:sz="4" w:space="0" w:color="auto"/>
              <w:right w:val="single" w:sz="4" w:space="0" w:color="auto"/>
            </w:tcBorders>
            <w:shd w:val="clear" w:color="000000" w:fill="B7DEE8"/>
            <w:noWrap/>
            <w:vAlign w:val="center"/>
            <w:hideMark/>
          </w:tcPr>
          <w:p w14:paraId="5A17403E" w14:textId="77777777" w:rsidR="00B31D5A" w:rsidRPr="00F461DB" w:rsidRDefault="00B31D5A" w:rsidP="00A90779">
            <w:pPr>
              <w:spacing w:after="0" w:line="240" w:lineRule="auto"/>
              <w:jc w:val="center"/>
              <w:rPr>
                <w:rFonts w:ascii="Cambria" w:eastAsia="Times New Roman" w:hAnsi="Cambria" w:cs="Helvetica"/>
                <w:sz w:val="20"/>
                <w:szCs w:val="20"/>
                <w:lang w:eastAsia="ko-KR"/>
              </w:rPr>
            </w:pPr>
            <w:r w:rsidRPr="00F461DB">
              <w:rPr>
                <w:rFonts w:ascii="Cambria" w:eastAsia="Times New Roman" w:hAnsi="Cambria" w:cs="Helvetica"/>
                <w:sz w:val="20"/>
                <w:szCs w:val="20"/>
                <w:lang w:eastAsia="ko-KR"/>
              </w:rPr>
              <w:t>2022</w:t>
            </w:r>
          </w:p>
        </w:tc>
      </w:tr>
      <w:tr w:rsidR="00B31D5A" w:rsidRPr="00F461DB" w14:paraId="622B34B1" w14:textId="77777777" w:rsidTr="006501E0">
        <w:trPr>
          <w:trHeight w:val="50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61979A1C" w14:textId="77777777" w:rsidR="00B31D5A" w:rsidRPr="00F461DB" w:rsidRDefault="00B31D5A" w:rsidP="00A90779">
            <w:pPr>
              <w:spacing w:after="0" w:line="240" w:lineRule="auto"/>
              <w:jc w:val="center"/>
              <w:rPr>
                <w:rFonts w:ascii="Cambria" w:eastAsia="Times New Roman" w:hAnsi="Cambria" w:cs="Helvetica"/>
                <w:sz w:val="20"/>
                <w:szCs w:val="20"/>
                <w:lang w:eastAsia="ko-KR"/>
              </w:rPr>
            </w:pPr>
            <w:r w:rsidRPr="00F461DB">
              <w:rPr>
                <w:rFonts w:ascii="Cambria" w:eastAsia="Times New Roman" w:hAnsi="Cambria" w:cs="Helvetica"/>
                <w:sz w:val="20"/>
                <w:szCs w:val="20"/>
                <w:lang w:eastAsia="ko-KR"/>
              </w:rPr>
              <w:t>Net additional revenue impact ($000)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01ED5" w14:textId="77777777" w:rsidR="00B31D5A" w:rsidRPr="00F461DB"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($1,570)</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14:paraId="6FAB921D" w14:textId="77777777" w:rsidR="00B31D5A" w:rsidRPr="00F461DB"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($2,781)</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14:paraId="24116057" w14:textId="77777777" w:rsidR="00B31D5A" w:rsidRPr="00F461DB"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($1,941)</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14:paraId="49A9C28C" w14:textId="77777777" w:rsidR="00B31D5A" w:rsidRPr="00F461DB"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($1,180)</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14:paraId="10993FA4" w14:textId="77777777" w:rsidR="00B31D5A" w:rsidRPr="00F461DB"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($483)</w:t>
            </w:r>
          </w:p>
        </w:tc>
      </w:tr>
    </w:tbl>
    <w:p w14:paraId="2E915A65" w14:textId="77777777" w:rsidR="00E17BA0" w:rsidRPr="00304366" w:rsidRDefault="00737252" w:rsidP="00E17BA0">
      <w:pPr>
        <w:tabs>
          <w:tab w:val="left" w:pos="7050"/>
        </w:tabs>
        <w:spacing w:after="0"/>
        <w:rPr>
          <w:rFonts w:asciiTheme="majorHAnsi" w:hAnsiTheme="majorHAnsi"/>
          <w:bCs/>
          <w:sz w:val="20"/>
          <w:szCs w:val="20"/>
        </w:rPr>
      </w:pPr>
      <w:r w:rsidRPr="00304366">
        <w:rPr>
          <w:rFonts w:asciiTheme="majorHAnsi" w:hAnsiTheme="majorHAnsi"/>
          <w:bCs/>
          <w:sz w:val="20"/>
          <w:szCs w:val="20"/>
        </w:rPr>
        <w:t>* assuming the state government spending is cut by the same amount as the investment tax credit</w:t>
      </w:r>
      <w:r>
        <w:rPr>
          <w:rFonts w:asciiTheme="majorHAnsi" w:hAnsiTheme="majorHAnsi"/>
          <w:bCs/>
          <w:sz w:val="20"/>
          <w:szCs w:val="20"/>
        </w:rPr>
        <w:t xml:space="preserve"> to balance budget</w:t>
      </w:r>
      <w:r w:rsidRPr="00304366">
        <w:rPr>
          <w:rFonts w:asciiTheme="majorHAnsi" w:hAnsiTheme="majorHAnsi"/>
          <w:bCs/>
          <w:sz w:val="20"/>
          <w:szCs w:val="20"/>
        </w:rPr>
        <w:t>.</w:t>
      </w:r>
    </w:p>
    <w:p w14:paraId="1945A458" w14:textId="77777777" w:rsidR="00E17BA0" w:rsidRDefault="00E17BA0" w:rsidP="00E17BA0">
      <w:pPr>
        <w:tabs>
          <w:tab w:val="left" w:pos="7050"/>
        </w:tabs>
        <w:spacing w:after="0"/>
        <w:rPr>
          <w:rFonts w:asciiTheme="majorHAnsi" w:hAnsiTheme="majorHAnsi"/>
          <w:b/>
          <w:sz w:val="24"/>
          <w:szCs w:val="24"/>
        </w:rPr>
      </w:pPr>
    </w:p>
    <w:p w14:paraId="1FBE7AAB" w14:textId="77777777" w:rsidR="00E17BA0" w:rsidRDefault="00E17BA0" w:rsidP="00B31D5A">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sidR="00C719C2">
        <w:rPr>
          <w:rFonts w:asciiTheme="majorHAnsi" w:eastAsiaTheme="majorEastAsia" w:hAnsiTheme="majorHAnsi" w:cstheme="majorBidi"/>
          <w:b/>
          <w:color w:val="000000" w:themeColor="text1"/>
          <w:sz w:val="24"/>
          <w:szCs w:val="24"/>
        </w:rPr>
        <w:t>1</w:t>
      </w:r>
      <w:r w:rsidR="00284C8E">
        <w:rPr>
          <w:rFonts w:asciiTheme="majorHAnsi" w:eastAsiaTheme="majorEastAsia" w:hAnsiTheme="majorHAnsi" w:cstheme="majorBidi"/>
          <w:b/>
          <w:color w:val="000000" w:themeColor="text1"/>
          <w:sz w:val="24"/>
          <w:szCs w:val="24"/>
        </w:rPr>
        <w:t>1</w:t>
      </w:r>
      <w:r w:rsidRPr="00366FFC">
        <w:rPr>
          <w:rFonts w:asciiTheme="majorHAnsi" w:eastAsiaTheme="majorEastAsia" w:hAnsiTheme="majorHAnsi" w:cstheme="majorBidi"/>
          <w:b/>
          <w:color w:val="000000" w:themeColor="text1"/>
          <w:sz w:val="24"/>
          <w:szCs w:val="24"/>
        </w:rPr>
        <w:t xml:space="preserve">. </w:t>
      </w:r>
      <w:r w:rsidR="00737252">
        <w:rPr>
          <w:rFonts w:asciiTheme="majorHAnsi" w:eastAsiaTheme="majorEastAsia" w:hAnsiTheme="majorHAnsi" w:cstheme="majorBidi"/>
          <w:b/>
          <w:color w:val="000000" w:themeColor="text1"/>
          <w:sz w:val="24"/>
          <w:szCs w:val="24"/>
        </w:rPr>
        <w:t xml:space="preserve">Selected </w:t>
      </w:r>
      <w:r w:rsidR="00DE1471">
        <w:rPr>
          <w:rFonts w:asciiTheme="majorHAnsi" w:eastAsiaTheme="majorEastAsia" w:hAnsiTheme="majorHAnsi" w:cstheme="majorBidi"/>
          <w:b/>
          <w:color w:val="000000" w:themeColor="text1"/>
          <w:sz w:val="24"/>
          <w:szCs w:val="24"/>
        </w:rPr>
        <w:t xml:space="preserve">Net </w:t>
      </w:r>
      <w:r>
        <w:rPr>
          <w:rFonts w:asciiTheme="majorHAnsi" w:eastAsiaTheme="majorEastAsia" w:hAnsiTheme="majorHAnsi" w:cstheme="majorBidi"/>
          <w:b/>
          <w:color w:val="000000" w:themeColor="text1"/>
          <w:sz w:val="24"/>
          <w:szCs w:val="24"/>
        </w:rPr>
        <w:t xml:space="preserve">Economic </w:t>
      </w:r>
      <w:r w:rsidR="00737252">
        <w:rPr>
          <w:rFonts w:asciiTheme="majorHAnsi" w:eastAsiaTheme="majorEastAsia" w:hAnsiTheme="majorHAnsi" w:cstheme="majorBidi"/>
          <w:b/>
          <w:color w:val="000000" w:themeColor="text1"/>
          <w:sz w:val="24"/>
          <w:szCs w:val="24"/>
        </w:rPr>
        <w:t xml:space="preserve">Impacts </w:t>
      </w:r>
      <w:r>
        <w:rPr>
          <w:rFonts w:asciiTheme="majorHAnsi" w:eastAsiaTheme="majorEastAsia" w:hAnsiTheme="majorHAnsi" w:cstheme="majorBidi"/>
          <w:b/>
          <w:color w:val="000000" w:themeColor="text1"/>
          <w:sz w:val="24"/>
          <w:szCs w:val="24"/>
        </w:rPr>
        <w:t>of Investment Tax Credit</w:t>
      </w:r>
      <w:r w:rsidR="00737252">
        <w:rPr>
          <w:rFonts w:asciiTheme="majorHAnsi" w:eastAsiaTheme="majorEastAsia" w:hAnsiTheme="majorHAnsi" w:cstheme="majorBidi"/>
          <w:b/>
          <w:color w:val="000000" w:themeColor="text1"/>
          <w:sz w:val="24"/>
          <w:szCs w:val="24"/>
        </w:rPr>
        <w:t>*</w:t>
      </w:r>
    </w:p>
    <w:tbl>
      <w:tblPr>
        <w:tblW w:w="9457" w:type="dxa"/>
        <w:tblInd w:w="108" w:type="dxa"/>
        <w:tblLook w:val="04A0" w:firstRow="1" w:lastRow="0" w:firstColumn="1" w:lastColumn="0" w:noHBand="0" w:noVBand="1"/>
      </w:tblPr>
      <w:tblGrid>
        <w:gridCol w:w="3478"/>
        <w:gridCol w:w="1195"/>
        <w:gridCol w:w="1196"/>
        <w:gridCol w:w="1196"/>
        <w:gridCol w:w="1196"/>
        <w:gridCol w:w="1196"/>
      </w:tblGrid>
      <w:tr w:rsidR="00B31D5A" w:rsidRPr="00E21207" w14:paraId="520E3373" w14:textId="77777777" w:rsidTr="006501E0">
        <w:trPr>
          <w:trHeight w:val="380"/>
        </w:trPr>
        <w:tc>
          <w:tcPr>
            <w:tcW w:w="3478"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6974BC86"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sidRPr="00E21207">
              <w:rPr>
                <w:rFonts w:ascii="Cambria" w:eastAsia="Times New Roman" w:hAnsi="Cambria" w:cs="Helvetica"/>
                <w:sz w:val="20"/>
                <w:szCs w:val="20"/>
                <w:lang w:eastAsia="ko-KR"/>
              </w:rPr>
              <w:t>Calendar Year</w:t>
            </w:r>
          </w:p>
        </w:tc>
        <w:tc>
          <w:tcPr>
            <w:tcW w:w="1195" w:type="dxa"/>
            <w:tcBorders>
              <w:top w:val="single" w:sz="4" w:space="0" w:color="auto"/>
              <w:left w:val="nil"/>
              <w:bottom w:val="single" w:sz="4" w:space="0" w:color="auto"/>
              <w:right w:val="single" w:sz="4" w:space="0" w:color="auto"/>
            </w:tcBorders>
            <w:shd w:val="clear" w:color="000000" w:fill="B7DEE8"/>
            <w:noWrap/>
            <w:vAlign w:val="center"/>
            <w:hideMark/>
          </w:tcPr>
          <w:p w14:paraId="3E7148AE"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sidRPr="00E21207">
              <w:rPr>
                <w:rFonts w:ascii="Cambria" w:eastAsia="Times New Roman" w:hAnsi="Cambria" w:cs="Helvetica"/>
                <w:sz w:val="20"/>
                <w:szCs w:val="20"/>
                <w:lang w:eastAsia="ko-KR"/>
              </w:rPr>
              <w:t>2018</w:t>
            </w:r>
          </w:p>
        </w:tc>
        <w:tc>
          <w:tcPr>
            <w:tcW w:w="1196" w:type="dxa"/>
            <w:tcBorders>
              <w:top w:val="single" w:sz="4" w:space="0" w:color="auto"/>
              <w:left w:val="nil"/>
              <w:bottom w:val="single" w:sz="4" w:space="0" w:color="auto"/>
              <w:right w:val="single" w:sz="4" w:space="0" w:color="auto"/>
            </w:tcBorders>
            <w:shd w:val="clear" w:color="000000" w:fill="B7DEE8"/>
            <w:noWrap/>
            <w:vAlign w:val="center"/>
            <w:hideMark/>
          </w:tcPr>
          <w:p w14:paraId="1AFE198C"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sidRPr="00E21207">
              <w:rPr>
                <w:rFonts w:ascii="Cambria" w:eastAsia="Times New Roman" w:hAnsi="Cambria" w:cs="Helvetica"/>
                <w:sz w:val="20"/>
                <w:szCs w:val="20"/>
                <w:lang w:eastAsia="ko-KR"/>
              </w:rPr>
              <w:t>2019</w:t>
            </w:r>
          </w:p>
        </w:tc>
        <w:tc>
          <w:tcPr>
            <w:tcW w:w="1196" w:type="dxa"/>
            <w:tcBorders>
              <w:top w:val="single" w:sz="4" w:space="0" w:color="auto"/>
              <w:left w:val="nil"/>
              <w:bottom w:val="single" w:sz="4" w:space="0" w:color="auto"/>
              <w:right w:val="single" w:sz="4" w:space="0" w:color="auto"/>
            </w:tcBorders>
            <w:shd w:val="clear" w:color="000000" w:fill="B7DEE8"/>
            <w:noWrap/>
            <w:vAlign w:val="center"/>
            <w:hideMark/>
          </w:tcPr>
          <w:p w14:paraId="2126DDA3"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sidRPr="00E21207">
              <w:rPr>
                <w:rFonts w:ascii="Cambria" w:eastAsia="Times New Roman" w:hAnsi="Cambria" w:cs="Helvetica"/>
                <w:sz w:val="20"/>
                <w:szCs w:val="20"/>
                <w:lang w:eastAsia="ko-KR"/>
              </w:rPr>
              <w:t>2020</w:t>
            </w:r>
          </w:p>
        </w:tc>
        <w:tc>
          <w:tcPr>
            <w:tcW w:w="1196" w:type="dxa"/>
            <w:tcBorders>
              <w:top w:val="single" w:sz="4" w:space="0" w:color="auto"/>
              <w:left w:val="nil"/>
              <w:bottom w:val="single" w:sz="4" w:space="0" w:color="auto"/>
              <w:right w:val="single" w:sz="4" w:space="0" w:color="auto"/>
            </w:tcBorders>
            <w:shd w:val="clear" w:color="000000" w:fill="B7DEE8"/>
            <w:noWrap/>
            <w:vAlign w:val="center"/>
            <w:hideMark/>
          </w:tcPr>
          <w:p w14:paraId="6B117E85"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sidRPr="00E21207">
              <w:rPr>
                <w:rFonts w:ascii="Cambria" w:eastAsia="Times New Roman" w:hAnsi="Cambria" w:cs="Helvetica"/>
                <w:sz w:val="20"/>
                <w:szCs w:val="20"/>
                <w:lang w:eastAsia="ko-KR"/>
              </w:rPr>
              <w:t>2021</w:t>
            </w:r>
          </w:p>
        </w:tc>
        <w:tc>
          <w:tcPr>
            <w:tcW w:w="1196" w:type="dxa"/>
            <w:tcBorders>
              <w:top w:val="single" w:sz="4" w:space="0" w:color="auto"/>
              <w:left w:val="nil"/>
              <w:bottom w:val="single" w:sz="4" w:space="0" w:color="auto"/>
              <w:right w:val="single" w:sz="4" w:space="0" w:color="auto"/>
            </w:tcBorders>
            <w:shd w:val="clear" w:color="000000" w:fill="B7DEE8"/>
            <w:noWrap/>
            <w:vAlign w:val="center"/>
            <w:hideMark/>
          </w:tcPr>
          <w:p w14:paraId="192F9906"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sidRPr="00E21207">
              <w:rPr>
                <w:rFonts w:ascii="Cambria" w:eastAsia="Times New Roman" w:hAnsi="Cambria" w:cs="Helvetica"/>
                <w:sz w:val="20"/>
                <w:szCs w:val="20"/>
                <w:lang w:eastAsia="ko-KR"/>
              </w:rPr>
              <w:t>2022</w:t>
            </w:r>
          </w:p>
        </w:tc>
      </w:tr>
      <w:tr w:rsidR="00B31D5A" w:rsidRPr="00E21207" w14:paraId="756B1443" w14:textId="77777777" w:rsidTr="006501E0">
        <w:trPr>
          <w:trHeight w:val="500"/>
        </w:trPr>
        <w:tc>
          <w:tcPr>
            <w:tcW w:w="3478" w:type="dxa"/>
            <w:tcBorders>
              <w:top w:val="nil"/>
              <w:left w:val="single" w:sz="4" w:space="0" w:color="auto"/>
              <w:bottom w:val="single" w:sz="4" w:space="0" w:color="auto"/>
              <w:right w:val="single" w:sz="4" w:space="0" w:color="auto"/>
            </w:tcBorders>
            <w:shd w:val="clear" w:color="auto" w:fill="auto"/>
            <w:vAlign w:val="center"/>
            <w:hideMark/>
          </w:tcPr>
          <w:p w14:paraId="05D8AC6E" w14:textId="77777777" w:rsidR="00B31D5A" w:rsidRPr="00E21207" w:rsidRDefault="00B31D5A" w:rsidP="00A90779">
            <w:pPr>
              <w:spacing w:after="0" w:line="240" w:lineRule="auto"/>
              <w:rPr>
                <w:rFonts w:ascii="Cambria" w:eastAsia="Times New Roman" w:hAnsi="Cambria" w:cs="Helvetica"/>
                <w:sz w:val="20"/>
                <w:szCs w:val="20"/>
                <w:lang w:eastAsia="ko-KR"/>
              </w:rPr>
            </w:pPr>
            <w:r w:rsidRPr="00E21207">
              <w:rPr>
                <w:rFonts w:ascii="Cambria" w:eastAsia="Times New Roman" w:hAnsi="Cambria" w:cs="Helvetica"/>
                <w:sz w:val="20"/>
                <w:szCs w:val="20"/>
                <w:lang w:eastAsia="ko-KR"/>
              </w:rPr>
              <w:t>Impact on total employment</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BAFC8"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(1,011)</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2C7371DC"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(743)</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63E3D578"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(548)</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3681408D"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(384)</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1796208A"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(270)</w:t>
            </w:r>
          </w:p>
        </w:tc>
      </w:tr>
      <w:tr w:rsidR="00B31D5A" w:rsidRPr="00E21207" w14:paraId="15DBE7F7" w14:textId="77777777" w:rsidTr="006501E0">
        <w:trPr>
          <w:trHeight w:val="500"/>
        </w:trPr>
        <w:tc>
          <w:tcPr>
            <w:tcW w:w="3478" w:type="dxa"/>
            <w:tcBorders>
              <w:top w:val="nil"/>
              <w:left w:val="single" w:sz="4" w:space="0" w:color="auto"/>
              <w:bottom w:val="single" w:sz="4" w:space="0" w:color="auto"/>
              <w:right w:val="single" w:sz="4" w:space="0" w:color="auto"/>
            </w:tcBorders>
            <w:shd w:val="clear" w:color="auto" w:fill="auto"/>
            <w:vAlign w:val="center"/>
            <w:hideMark/>
          </w:tcPr>
          <w:p w14:paraId="27F54F25" w14:textId="77777777" w:rsidR="00B31D5A" w:rsidRPr="00E21207" w:rsidRDefault="00B31D5A" w:rsidP="00A90779">
            <w:pPr>
              <w:spacing w:after="0" w:line="240" w:lineRule="auto"/>
              <w:rPr>
                <w:rFonts w:ascii="Cambria" w:eastAsia="Times New Roman" w:hAnsi="Cambria" w:cs="Helvetica"/>
                <w:sz w:val="20"/>
                <w:szCs w:val="20"/>
                <w:lang w:eastAsia="ko-KR"/>
              </w:rPr>
            </w:pPr>
            <w:r w:rsidRPr="00E21207">
              <w:rPr>
                <w:rFonts w:ascii="Cambria" w:eastAsia="Times New Roman" w:hAnsi="Cambria" w:cs="Helvetica"/>
                <w:sz w:val="20"/>
                <w:szCs w:val="20"/>
                <w:lang w:eastAsia="ko-KR"/>
              </w:rPr>
              <w:t>Impact on private non-farm employment</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08E9FB36"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(219)</w:t>
            </w:r>
          </w:p>
        </w:tc>
        <w:tc>
          <w:tcPr>
            <w:tcW w:w="1196" w:type="dxa"/>
            <w:tcBorders>
              <w:top w:val="nil"/>
              <w:left w:val="nil"/>
              <w:bottom w:val="single" w:sz="4" w:space="0" w:color="auto"/>
              <w:right w:val="single" w:sz="4" w:space="0" w:color="auto"/>
            </w:tcBorders>
            <w:shd w:val="clear" w:color="auto" w:fill="auto"/>
            <w:noWrap/>
            <w:vAlign w:val="center"/>
            <w:hideMark/>
          </w:tcPr>
          <w:p w14:paraId="13570602"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52</w:t>
            </w:r>
          </w:p>
        </w:tc>
        <w:tc>
          <w:tcPr>
            <w:tcW w:w="1196" w:type="dxa"/>
            <w:tcBorders>
              <w:top w:val="nil"/>
              <w:left w:val="nil"/>
              <w:bottom w:val="single" w:sz="4" w:space="0" w:color="auto"/>
              <w:right w:val="single" w:sz="4" w:space="0" w:color="auto"/>
            </w:tcBorders>
            <w:shd w:val="clear" w:color="auto" w:fill="auto"/>
            <w:noWrap/>
            <w:vAlign w:val="center"/>
            <w:hideMark/>
          </w:tcPr>
          <w:p w14:paraId="0C8E47D5"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229</w:t>
            </w:r>
          </w:p>
        </w:tc>
        <w:tc>
          <w:tcPr>
            <w:tcW w:w="1196" w:type="dxa"/>
            <w:tcBorders>
              <w:top w:val="nil"/>
              <w:left w:val="nil"/>
              <w:bottom w:val="single" w:sz="4" w:space="0" w:color="auto"/>
              <w:right w:val="single" w:sz="4" w:space="0" w:color="auto"/>
            </w:tcBorders>
            <w:shd w:val="clear" w:color="auto" w:fill="auto"/>
            <w:noWrap/>
            <w:vAlign w:val="center"/>
            <w:hideMark/>
          </w:tcPr>
          <w:p w14:paraId="49666655"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371</w:t>
            </w:r>
          </w:p>
        </w:tc>
        <w:tc>
          <w:tcPr>
            <w:tcW w:w="1196" w:type="dxa"/>
            <w:tcBorders>
              <w:top w:val="nil"/>
              <w:left w:val="nil"/>
              <w:bottom w:val="single" w:sz="4" w:space="0" w:color="auto"/>
              <w:right w:val="single" w:sz="4" w:space="0" w:color="auto"/>
            </w:tcBorders>
            <w:shd w:val="clear" w:color="auto" w:fill="auto"/>
            <w:noWrap/>
            <w:vAlign w:val="center"/>
            <w:hideMark/>
          </w:tcPr>
          <w:p w14:paraId="7870AE4E"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466</w:t>
            </w:r>
          </w:p>
        </w:tc>
      </w:tr>
      <w:tr w:rsidR="00B31D5A" w:rsidRPr="00E21207" w14:paraId="6874E271" w14:textId="77777777" w:rsidTr="006501E0">
        <w:trPr>
          <w:trHeight w:val="500"/>
        </w:trPr>
        <w:tc>
          <w:tcPr>
            <w:tcW w:w="3478" w:type="dxa"/>
            <w:tcBorders>
              <w:top w:val="nil"/>
              <w:left w:val="single" w:sz="4" w:space="0" w:color="auto"/>
              <w:bottom w:val="single" w:sz="4" w:space="0" w:color="auto"/>
              <w:right w:val="single" w:sz="4" w:space="0" w:color="auto"/>
            </w:tcBorders>
            <w:shd w:val="clear" w:color="auto" w:fill="auto"/>
            <w:vAlign w:val="center"/>
            <w:hideMark/>
          </w:tcPr>
          <w:p w14:paraId="305EAB80" w14:textId="77777777" w:rsidR="00B31D5A" w:rsidRPr="00E21207" w:rsidRDefault="00B31D5A" w:rsidP="00A90779">
            <w:pPr>
              <w:spacing w:after="0" w:line="240" w:lineRule="auto"/>
              <w:rPr>
                <w:rFonts w:ascii="Cambria" w:eastAsia="Times New Roman" w:hAnsi="Cambria" w:cs="Helvetica"/>
                <w:sz w:val="20"/>
                <w:szCs w:val="20"/>
                <w:lang w:eastAsia="ko-KR"/>
              </w:rPr>
            </w:pPr>
            <w:r w:rsidRPr="00E21207">
              <w:rPr>
                <w:rFonts w:ascii="Cambria" w:eastAsia="Times New Roman" w:hAnsi="Cambria" w:cs="Helvetica"/>
                <w:sz w:val="20"/>
                <w:szCs w:val="20"/>
                <w:lang w:eastAsia="ko-KR"/>
              </w:rPr>
              <w:t>Impact on GDP ($000), real dollars</w:t>
            </w:r>
            <w:r>
              <w:rPr>
                <w:rFonts w:ascii="Cambria" w:eastAsia="Times New Roman" w:hAnsi="Cambria" w:cs="Helvetica"/>
                <w:sz w:val="20"/>
                <w:szCs w:val="20"/>
                <w:lang w:eastAsia="ko-KR"/>
              </w:rPr>
              <w:t xml:space="preserve"> </w:t>
            </w:r>
            <w:r w:rsidRPr="00E21207">
              <w:rPr>
                <w:rFonts w:ascii="Cambria" w:eastAsia="Times New Roman" w:hAnsi="Cambria" w:cs="Helvetica"/>
                <w:sz w:val="20"/>
                <w:szCs w:val="20"/>
                <w:lang w:eastAsia="ko-KR"/>
              </w:rPr>
              <w:t>(2012)</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3AE60CE4"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($78,000)</w:t>
            </w:r>
          </w:p>
        </w:tc>
        <w:tc>
          <w:tcPr>
            <w:tcW w:w="1196" w:type="dxa"/>
            <w:tcBorders>
              <w:top w:val="nil"/>
              <w:left w:val="nil"/>
              <w:bottom w:val="single" w:sz="4" w:space="0" w:color="auto"/>
              <w:right w:val="single" w:sz="4" w:space="0" w:color="auto"/>
            </w:tcBorders>
            <w:shd w:val="clear" w:color="auto" w:fill="auto"/>
            <w:noWrap/>
            <w:vAlign w:val="center"/>
            <w:hideMark/>
          </w:tcPr>
          <w:p w14:paraId="268953EE"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($45,000)</w:t>
            </w:r>
          </w:p>
        </w:tc>
        <w:tc>
          <w:tcPr>
            <w:tcW w:w="1196" w:type="dxa"/>
            <w:tcBorders>
              <w:top w:val="nil"/>
              <w:left w:val="nil"/>
              <w:bottom w:val="single" w:sz="4" w:space="0" w:color="auto"/>
              <w:right w:val="single" w:sz="4" w:space="0" w:color="auto"/>
            </w:tcBorders>
            <w:shd w:val="clear" w:color="auto" w:fill="auto"/>
            <w:noWrap/>
            <w:vAlign w:val="center"/>
            <w:hideMark/>
          </w:tcPr>
          <w:p w14:paraId="7D65A7C6"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($19,000)</w:t>
            </w:r>
          </w:p>
        </w:tc>
        <w:tc>
          <w:tcPr>
            <w:tcW w:w="1196" w:type="dxa"/>
            <w:tcBorders>
              <w:top w:val="nil"/>
              <w:left w:val="nil"/>
              <w:bottom w:val="single" w:sz="4" w:space="0" w:color="auto"/>
              <w:right w:val="single" w:sz="4" w:space="0" w:color="auto"/>
            </w:tcBorders>
            <w:shd w:val="clear" w:color="auto" w:fill="auto"/>
            <w:noWrap/>
            <w:vAlign w:val="center"/>
            <w:hideMark/>
          </w:tcPr>
          <w:p w14:paraId="3FE260B9"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$2,000</w:t>
            </w:r>
          </w:p>
        </w:tc>
        <w:tc>
          <w:tcPr>
            <w:tcW w:w="1196" w:type="dxa"/>
            <w:tcBorders>
              <w:top w:val="nil"/>
              <w:left w:val="nil"/>
              <w:bottom w:val="single" w:sz="4" w:space="0" w:color="auto"/>
              <w:right w:val="single" w:sz="4" w:space="0" w:color="auto"/>
            </w:tcBorders>
            <w:shd w:val="clear" w:color="auto" w:fill="auto"/>
            <w:noWrap/>
            <w:vAlign w:val="center"/>
            <w:hideMark/>
          </w:tcPr>
          <w:p w14:paraId="6AA5748B"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$20,000</w:t>
            </w:r>
          </w:p>
        </w:tc>
      </w:tr>
      <w:tr w:rsidR="00B31D5A" w:rsidRPr="00E21207" w14:paraId="739B12DF" w14:textId="77777777" w:rsidTr="006501E0">
        <w:trPr>
          <w:trHeight w:val="500"/>
        </w:trPr>
        <w:tc>
          <w:tcPr>
            <w:tcW w:w="3478" w:type="dxa"/>
            <w:tcBorders>
              <w:top w:val="nil"/>
              <w:left w:val="single" w:sz="4" w:space="0" w:color="auto"/>
              <w:bottom w:val="single" w:sz="4" w:space="0" w:color="auto"/>
              <w:right w:val="single" w:sz="4" w:space="0" w:color="auto"/>
            </w:tcBorders>
            <w:shd w:val="clear" w:color="auto" w:fill="auto"/>
            <w:vAlign w:val="center"/>
            <w:hideMark/>
          </w:tcPr>
          <w:p w14:paraId="6720031B" w14:textId="77777777" w:rsidR="00B31D5A" w:rsidRPr="00E21207" w:rsidRDefault="00B31D5A" w:rsidP="00A90779">
            <w:pPr>
              <w:spacing w:after="0" w:line="240" w:lineRule="auto"/>
              <w:rPr>
                <w:rFonts w:ascii="Cambria" w:eastAsia="Times New Roman" w:hAnsi="Cambria" w:cs="Helvetica"/>
                <w:sz w:val="20"/>
                <w:szCs w:val="20"/>
                <w:lang w:eastAsia="ko-KR"/>
              </w:rPr>
            </w:pPr>
            <w:r w:rsidRPr="00E21207">
              <w:rPr>
                <w:rFonts w:ascii="Cambria" w:eastAsia="Times New Roman" w:hAnsi="Cambria" w:cs="Helvetica"/>
                <w:sz w:val="20"/>
                <w:szCs w:val="20"/>
                <w:lang w:eastAsia="ko-KR"/>
              </w:rPr>
              <w:t>Impact on personal income ($000)</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52241EE4"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($70,000)</w:t>
            </w:r>
          </w:p>
        </w:tc>
        <w:tc>
          <w:tcPr>
            <w:tcW w:w="1196" w:type="dxa"/>
            <w:tcBorders>
              <w:top w:val="nil"/>
              <w:left w:val="nil"/>
              <w:bottom w:val="single" w:sz="4" w:space="0" w:color="auto"/>
              <w:right w:val="single" w:sz="4" w:space="0" w:color="auto"/>
            </w:tcBorders>
            <w:shd w:val="clear" w:color="auto" w:fill="auto"/>
            <w:noWrap/>
            <w:vAlign w:val="center"/>
            <w:hideMark/>
          </w:tcPr>
          <w:p w14:paraId="4EC1E2E0"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($56,000)</w:t>
            </w:r>
          </w:p>
        </w:tc>
        <w:tc>
          <w:tcPr>
            <w:tcW w:w="1196" w:type="dxa"/>
            <w:tcBorders>
              <w:top w:val="nil"/>
              <w:left w:val="nil"/>
              <w:bottom w:val="single" w:sz="4" w:space="0" w:color="auto"/>
              <w:right w:val="single" w:sz="4" w:space="0" w:color="auto"/>
            </w:tcBorders>
            <w:shd w:val="clear" w:color="auto" w:fill="auto"/>
            <w:noWrap/>
            <w:vAlign w:val="center"/>
            <w:hideMark/>
          </w:tcPr>
          <w:p w14:paraId="7F29813D"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($44,000)</w:t>
            </w:r>
          </w:p>
        </w:tc>
        <w:tc>
          <w:tcPr>
            <w:tcW w:w="1196" w:type="dxa"/>
            <w:tcBorders>
              <w:top w:val="nil"/>
              <w:left w:val="nil"/>
              <w:bottom w:val="single" w:sz="4" w:space="0" w:color="auto"/>
              <w:right w:val="single" w:sz="4" w:space="0" w:color="auto"/>
            </w:tcBorders>
            <w:shd w:val="clear" w:color="auto" w:fill="auto"/>
            <w:noWrap/>
            <w:vAlign w:val="center"/>
            <w:hideMark/>
          </w:tcPr>
          <w:p w14:paraId="76500781"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($31,000)</w:t>
            </w:r>
          </w:p>
        </w:tc>
        <w:tc>
          <w:tcPr>
            <w:tcW w:w="1196" w:type="dxa"/>
            <w:tcBorders>
              <w:top w:val="nil"/>
              <w:left w:val="nil"/>
              <w:bottom w:val="single" w:sz="4" w:space="0" w:color="auto"/>
              <w:right w:val="single" w:sz="4" w:space="0" w:color="auto"/>
            </w:tcBorders>
            <w:shd w:val="clear" w:color="auto" w:fill="auto"/>
            <w:noWrap/>
            <w:vAlign w:val="center"/>
            <w:hideMark/>
          </w:tcPr>
          <w:p w14:paraId="773CD3ED" w14:textId="77777777" w:rsidR="00B31D5A" w:rsidRPr="00E21207" w:rsidRDefault="00B31D5A" w:rsidP="00A90779">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($21,000)</w:t>
            </w:r>
          </w:p>
        </w:tc>
      </w:tr>
    </w:tbl>
    <w:p w14:paraId="1F2FE4E2" w14:textId="77777777" w:rsidR="00737252" w:rsidRPr="008A3AB7" w:rsidRDefault="00737252" w:rsidP="00737252">
      <w:pPr>
        <w:tabs>
          <w:tab w:val="left" w:pos="7050"/>
        </w:tabs>
        <w:spacing w:after="0"/>
        <w:rPr>
          <w:rFonts w:asciiTheme="majorHAnsi" w:hAnsiTheme="majorHAnsi"/>
          <w:bCs/>
          <w:sz w:val="20"/>
          <w:szCs w:val="20"/>
        </w:rPr>
      </w:pPr>
      <w:r w:rsidRPr="008A3AB7">
        <w:rPr>
          <w:rFonts w:asciiTheme="majorHAnsi" w:hAnsiTheme="majorHAnsi"/>
          <w:bCs/>
          <w:sz w:val="20"/>
          <w:szCs w:val="20"/>
        </w:rPr>
        <w:t>* assuming the state government spending is cut by the same amount as the investment tax credit</w:t>
      </w:r>
      <w:r>
        <w:rPr>
          <w:rFonts w:asciiTheme="majorHAnsi" w:hAnsiTheme="majorHAnsi"/>
          <w:bCs/>
          <w:sz w:val="20"/>
          <w:szCs w:val="20"/>
        </w:rPr>
        <w:t xml:space="preserve"> to balance budget</w:t>
      </w:r>
      <w:r w:rsidRPr="008A3AB7">
        <w:rPr>
          <w:rFonts w:asciiTheme="majorHAnsi" w:hAnsiTheme="majorHAnsi"/>
          <w:bCs/>
          <w:sz w:val="20"/>
          <w:szCs w:val="20"/>
        </w:rPr>
        <w:t>.</w:t>
      </w:r>
    </w:p>
    <w:p w14:paraId="599B63C3" w14:textId="77777777" w:rsidR="00E17BA0" w:rsidRPr="00A05217" w:rsidRDefault="00E17BA0" w:rsidP="00CA2BBF">
      <w:pPr>
        <w:tabs>
          <w:tab w:val="left" w:pos="7050"/>
        </w:tabs>
        <w:spacing w:after="0"/>
        <w:rPr>
          <w:rFonts w:asciiTheme="majorHAnsi" w:hAnsiTheme="majorHAnsi"/>
          <w:bCs/>
          <w:sz w:val="24"/>
          <w:szCs w:val="23"/>
        </w:rPr>
      </w:pPr>
    </w:p>
    <w:p w14:paraId="394F1B5D" w14:textId="3D22B304" w:rsidR="00D44B74" w:rsidRDefault="00CA2BBF" w:rsidP="00CA2BBF">
      <w:pPr>
        <w:tabs>
          <w:tab w:val="left" w:pos="7050"/>
        </w:tabs>
        <w:spacing w:after="0"/>
        <w:rPr>
          <w:rFonts w:asciiTheme="majorHAnsi" w:hAnsiTheme="majorHAnsi"/>
          <w:bCs/>
          <w:sz w:val="24"/>
          <w:szCs w:val="23"/>
        </w:rPr>
      </w:pPr>
      <w:r w:rsidRPr="00A05217">
        <w:rPr>
          <w:rFonts w:asciiTheme="majorHAnsi" w:hAnsiTheme="majorHAnsi"/>
          <w:bCs/>
          <w:sz w:val="24"/>
          <w:szCs w:val="23"/>
        </w:rPr>
        <w:t xml:space="preserve">There are other costs and benefits that are hard to quantify because of data and time limitations. </w:t>
      </w:r>
      <w:r w:rsidRPr="00A05217">
        <w:rPr>
          <w:rFonts w:asciiTheme="majorHAnsi" w:hAnsiTheme="majorHAnsi"/>
          <w:noProof/>
          <w:sz w:val="24"/>
          <w:szCs w:val="23"/>
        </w:rPr>
        <w:t>Ihlanfeldt and Sjoquist</w:t>
      </w:r>
      <w:r w:rsidR="00C13EC2">
        <w:rPr>
          <w:rFonts w:asciiTheme="majorHAnsi" w:hAnsiTheme="majorHAnsi"/>
          <w:noProof/>
          <w:sz w:val="24"/>
          <w:szCs w:val="23"/>
        </w:rPr>
        <w:t xml:space="preserve"> </w:t>
      </w:r>
      <w:r w:rsidRPr="00A05217">
        <w:rPr>
          <w:rFonts w:asciiTheme="majorHAnsi" w:hAnsiTheme="majorHAnsi"/>
          <w:noProof/>
          <w:sz w:val="24"/>
          <w:szCs w:val="23"/>
        </w:rPr>
        <w:t>(2001)</w:t>
      </w:r>
      <w:r w:rsidRPr="00A05217">
        <w:rPr>
          <w:rFonts w:asciiTheme="majorHAnsi" w:hAnsiTheme="majorHAnsi"/>
          <w:bCs/>
          <w:sz w:val="24"/>
          <w:szCs w:val="23"/>
        </w:rPr>
        <w:t>, a published study for the state of Georgia</w:t>
      </w:r>
      <w:r w:rsidR="006501E0">
        <w:rPr>
          <w:rFonts w:asciiTheme="majorHAnsi" w:hAnsiTheme="majorHAnsi"/>
          <w:bCs/>
          <w:sz w:val="24"/>
          <w:szCs w:val="23"/>
        </w:rPr>
        <w:t>,</w:t>
      </w:r>
      <w:r w:rsidRPr="00A05217">
        <w:rPr>
          <w:rFonts w:asciiTheme="majorHAnsi" w:hAnsiTheme="majorHAnsi"/>
          <w:bCs/>
          <w:sz w:val="24"/>
          <w:szCs w:val="23"/>
        </w:rPr>
        <w:t xml:space="preserve"> summarizes </w:t>
      </w:r>
      <w:r w:rsidR="008C76FF">
        <w:rPr>
          <w:rFonts w:asciiTheme="majorHAnsi" w:hAnsiTheme="majorHAnsi"/>
          <w:bCs/>
          <w:sz w:val="24"/>
          <w:szCs w:val="23"/>
        </w:rPr>
        <w:t>some of these costs and benefits</w:t>
      </w:r>
      <w:r w:rsidRPr="00A05217">
        <w:rPr>
          <w:rFonts w:asciiTheme="majorHAnsi" w:hAnsiTheme="majorHAnsi"/>
          <w:bCs/>
          <w:sz w:val="24"/>
          <w:szCs w:val="23"/>
        </w:rPr>
        <w:t xml:space="preserve"> as follows</w:t>
      </w:r>
      <w:r w:rsidR="00C13EC2">
        <w:rPr>
          <w:rFonts w:asciiTheme="majorHAnsi" w:hAnsiTheme="majorHAnsi"/>
          <w:bCs/>
          <w:sz w:val="24"/>
          <w:szCs w:val="23"/>
        </w:rPr>
        <w:t>:</w:t>
      </w:r>
      <w:r w:rsidR="00C13EC2" w:rsidRPr="00A05217">
        <w:rPr>
          <w:rFonts w:asciiTheme="majorHAnsi" w:hAnsiTheme="majorHAnsi"/>
          <w:bCs/>
          <w:sz w:val="24"/>
          <w:szCs w:val="23"/>
        </w:rPr>
        <w:t xml:space="preserve">  </w:t>
      </w:r>
    </w:p>
    <w:p w14:paraId="2AD98B5D" w14:textId="77777777" w:rsidR="00D44B74" w:rsidRDefault="00D44B74" w:rsidP="00CA2BBF">
      <w:pPr>
        <w:tabs>
          <w:tab w:val="left" w:pos="7050"/>
        </w:tabs>
        <w:spacing w:after="0"/>
        <w:rPr>
          <w:rFonts w:asciiTheme="majorHAnsi" w:hAnsiTheme="majorHAnsi"/>
          <w:bCs/>
          <w:sz w:val="24"/>
          <w:szCs w:val="23"/>
        </w:rPr>
      </w:pPr>
    </w:p>
    <w:p w14:paraId="76C43AAF" w14:textId="77777777" w:rsidR="00D44B74" w:rsidRDefault="00CA2BBF" w:rsidP="00CA2BBF">
      <w:pPr>
        <w:tabs>
          <w:tab w:val="left" w:pos="7050"/>
        </w:tabs>
        <w:spacing w:after="0"/>
        <w:rPr>
          <w:rFonts w:asciiTheme="majorHAnsi" w:hAnsiTheme="majorHAnsi"/>
          <w:bCs/>
          <w:sz w:val="24"/>
          <w:szCs w:val="23"/>
        </w:rPr>
      </w:pPr>
      <w:r w:rsidRPr="00304366">
        <w:rPr>
          <w:rFonts w:asciiTheme="majorHAnsi" w:hAnsiTheme="majorHAnsi"/>
          <w:bCs/>
          <w:i/>
          <w:iCs/>
          <w:sz w:val="24"/>
          <w:szCs w:val="23"/>
          <w:u w:val="single"/>
        </w:rPr>
        <w:t>Loss of competitiveness.</w:t>
      </w:r>
      <w:r w:rsidRPr="00A05217">
        <w:rPr>
          <w:rFonts w:asciiTheme="majorHAnsi" w:hAnsiTheme="majorHAnsi"/>
          <w:bCs/>
          <w:sz w:val="24"/>
          <w:szCs w:val="23"/>
        </w:rPr>
        <w:t xml:space="preserve"> Providing tax credits to selected firms may diminish the competitiveness for existing similar firms.  </w:t>
      </w:r>
    </w:p>
    <w:p w14:paraId="610C4BDA" w14:textId="77777777" w:rsidR="00D44B74" w:rsidRDefault="00D44B74" w:rsidP="00CA2BBF">
      <w:pPr>
        <w:tabs>
          <w:tab w:val="left" w:pos="7050"/>
        </w:tabs>
        <w:spacing w:after="0"/>
        <w:rPr>
          <w:rFonts w:asciiTheme="majorHAnsi" w:hAnsiTheme="majorHAnsi"/>
          <w:bCs/>
          <w:sz w:val="24"/>
          <w:szCs w:val="23"/>
        </w:rPr>
      </w:pPr>
    </w:p>
    <w:p w14:paraId="2FC6C2D6" w14:textId="77777777" w:rsidR="00D44B74" w:rsidRDefault="00CA2BBF" w:rsidP="00CA2BBF">
      <w:pPr>
        <w:tabs>
          <w:tab w:val="left" w:pos="7050"/>
        </w:tabs>
        <w:spacing w:after="0"/>
        <w:rPr>
          <w:rFonts w:asciiTheme="majorHAnsi" w:hAnsiTheme="majorHAnsi"/>
          <w:bCs/>
          <w:sz w:val="24"/>
          <w:szCs w:val="23"/>
        </w:rPr>
      </w:pPr>
      <w:r w:rsidRPr="00304366">
        <w:rPr>
          <w:rFonts w:asciiTheme="majorHAnsi" w:hAnsiTheme="majorHAnsi"/>
          <w:bCs/>
          <w:i/>
          <w:iCs/>
          <w:sz w:val="24"/>
          <w:szCs w:val="23"/>
          <w:u w:val="single"/>
        </w:rPr>
        <w:t>Compliance costs.</w:t>
      </w:r>
      <w:r w:rsidRPr="00A05217">
        <w:rPr>
          <w:rFonts w:asciiTheme="majorHAnsi" w:hAnsiTheme="majorHAnsi"/>
          <w:bCs/>
          <w:sz w:val="24"/>
          <w:szCs w:val="23"/>
        </w:rPr>
        <w:t xml:space="preserve">  They think that the costs to the firm may be substantial. </w:t>
      </w:r>
    </w:p>
    <w:p w14:paraId="772D6102" w14:textId="77777777" w:rsidR="00D44B74" w:rsidRDefault="00D44B74" w:rsidP="00CA2BBF">
      <w:pPr>
        <w:tabs>
          <w:tab w:val="left" w:pos="7050"/>
        </w:tabs>
        <w:spacing w:after="0"/>
        <w:rPr>
          <w:rFonts w:asciiTheme="majorHAnsi" w:hAnsiTheme="majorHAnsi"/>
          <w:bCs/>
          <w:sz w:val="24"/>
          <w:szCs w:val="23"/>
        </w:rPr>
      </w:pPr>
    </w:p>
    <w:p w14:paraId="22EF7EB1" w14:textId="77777777" w:rsidR="00D44B74" w:rsidRDefault="00CA2BBF" w:rsidP="00CA2BBF">
      <w:pPr>
        <w:tabs>
          <w:tab w:val="left" w:pos="7050"/>
        </w:tabs>
        <w:spacing w:after="0"/>
        <w:rPr>
          <w:rFonts w:asciiTheme="majorHAnsi" w:hAnsiTheme="majorHAnsi"/>
          <w:bCs/>
          <w:sz w:val="24"/>
          <w:szCs w:val="23"/>
        </w:rPr>
      </w:pPr>
      <w:r w:rsidRPr="00304366">
        <w:rPr>
          <w:rFonts w:asciiTheme="majorHAnsi" w:hAnsiTheme="majorHAnsi"/>
          <w:bCs/>
          <w:i/>
          <w:iCs/>
          <w:sz w:val="24"/>
          <w:szCs w:val="23"/>
          <w:u w:val="single"/>
        </w:rPr>
        <w:t>Improved business climate.</w:t>
      </w:r>
      <w:r w:rsidRPr="00A05217">
        <w:rPr>
          <w:rFonts w:asciiTheme="majorHAnsi" w:hAnsiTheme="majorHAnsi"/>
          <w:bCs/>
          <w:sz w:val="24"/>
          <w:szCs w:val="23"/>
        </w:rPr>
        <w:t xml:space="preserve"> Tax incentive </w:t>
      </w:r>
      <w:r w:rsidR="001C66AE">
        <w:rPr>
          <w:rFonts w:asciiTheme="majorHAnsi" w:hAnsiTheme="majorHAnsi"/>
          <w:bCs/>
          <w:sz w:val="24"/>
          <w:szCs w:val="23"/>
        </w:rPr>
        <w:t xml:space="preserve">may </w:t>
      </w:r>
      <w:r w:rsidRPr="00A05217">
        <w:rPr>
          <w:rFonts w:asciiTheme="majorHAnsi" w:hAnsiTheme="majorHAnsi"/>
          <w:bCs/>
          <w:sz w:val="24"/>
          <w:szCs w:val="23"/>
        </w:rPr>
        <w:t xml:space="preserve">improve the perception of the business climate in the state and is used by site location specialists in screening alternative sites. </w:t>
      </w:r>
    </w:p>
    <w:p w14:paraId="58DC149B" w14:textId="77777777" w:rsidR="00D44B74" w:rsidRDefault="00D44B74" w:rsidP="00CA2BBF">
      <w:pPr>
        <w:tabs>
          <w:tab w:val="left" w:pos="7050"/>
        </w:tabs>
        <w:spacing w:after="0"/>
        <w:rPr>
          <w:rFonts w:asciiTheme="majorHAnsi" w:hAnsiTheme="majorHAnsi"/>
          <w:bCs/>
          <w:sz w:val="24"/>
          <w:szCs w:val="23"/>
        </w:rPr>
      </w:pPr>
    </w:p>
    <w:p w14:paraId="0E0F6304" w14:textId="77777777" w:rsidR="008C76FF" w:rsidRDefault="00CA2BBF" w:rsidP="00CA2BBF">
      <w:pPr>
        <w:tabs>
          <w:tab w:val="left" w:pos="7050"/>
        </w:tabs>
        <w:spacing w:after="0"/>
        <w:rPr>
          <w:rFonts w:asciiTheme="majorHAnsi" w:hAnsiTheme="majorHAnsi"/>
          <w:bCs/>
          <w:sz w:val="24"/>
          <w:szCs w:val="23"/>
        </w:rPr>
      </w:pPr>
      <w:r w:rsidRPr="00304366">
        <w:rPr>
          <w:rFonts w:asciiTheme="majorHAnsi" w:hAnsiTheme="majorHAnsi"/>
          <w:bCs/>
          <w:i/>
          <w:iCs/>
          <w:sz w:val="24"/>
          <w:szCs w:val="23"/>
          <w:u w:val="single"/>
        </w:rPr>
        <w:t>Synergistic or clustering effects.</w:t>
      </w:r>
      <w:r w:rsidRPr="00A05217">
        <w:rPr>
          <w:rFonts w:asciiTheme="majorHAnsi" w:hAnsiTheme="majorHAnsi"/>
          <w:bCs/>
          <w:sz w:val="24"/>
          <w:szCs w:val="23"/>
        </w:rPr>
        <w:t xml:space="preserve"> Tax incentive may attract a firm in an industry new to the state, which then serves as a magnet for attracting additional firms in the industry.  </w:t>
      </w:r>
    </w:p>
    <w:p w14:paraId="7F5648B9" w14:textId="77777777" w:rsidR="008C76FF" w:rsidRDefault="008C76FF" w:rsidP="00CA2BBF">
      <w:pPr>
        <w:tabs>
          <w:tab w:val="left" w:pos="7050"/>
        </w:tabs>
        <w:spacing w:after="0"/>
        <w:rPr>
          <w:rFonts w:asciiTheme="majorHAnsi" w:hAnsiTheme="majorHAnsi"/>
          <w:bCs/>
          <w:sz w:val="24"/>
          <w:szCs w:val="23"/>
        </w:rPr>
      </w:pPr>
    </w:p>
    <w:p w14:paraId="2C30CADC" w14:textId="77777777" w:rsidR="00CA2BBF" w:rsidRPr="00A05217" w:rsidRDefault="00287303" w:rsidP="00CA2BBF">
      <w:pPr>
        <w:tabs>
          <w:tab w:val="left" w:pos="7050"/>
        </w:tabs>
        <w:spacing w:after="0"/>
        <w:rPr>
          <w:rFonts w:asciiTheme="majorHAnsi" w:hAnsiTheme="majorHAnsi"/>
          <w:bCs/>
          <w:sz w:val="24"/>
          <w:szCs w:val="23"/>
        </w:rPr>
      </w:pPr>
      <w:r>
        <w:rPr>
          <w:rFonts w:asciiTheme="majorHAnsi" w:hAnsiTheme="majorHAnsi"/>
          <w:bCs/>
          <w:sz w:val="24"/>
          <w:szCs w:val="23"/>
        </w:rPr>
        <w:lastRenderedPageBreak/>
        <w:t>The i</w:t>
      </w:r>
      <w:r w:rsidR="00B278D8">
        <w:rPr>
          <w:rFonts w:asciiTheme="majorHAnsi" w:hAnsiTheme="majorHAnsi"/>
          <w:bCs/>
          <w:sz w:val="24"/>
          <w:szCs w:val="23"/>
        </w:rPr>
        <w:t>nvestment tax credit</w:t>
      </w:r>
      <w:r w:rsidR="00B278D8">
        <w:rPr>
          <w:rFonts w:asciiTheme="majorHAnsi" w:eastAsiaTheme="majorEastAsia" w:hAnsiTheme="majorHAnsi" w:cstheme="majorBidi"/>
          <w:noProof/>
          <w:color w:val="000000" w:themeColor="text1"/>
          <w:sz w:val="24"/>
          <w:szCs w:val="24"/>
        </w:rPr>
        <w:t xml:space="preserve"> </w:t>
      </w:r>
      <w:r w:rsidR="00B278D8">
        <w:rPr>
          <w:rFonts w:asciiTheme="majorHAnsi" w:hAnsiTheme="majorHAnsi"/>
          <w:bCs/>
          <w:sz w:val="24"/>
          <w:szCs w:val="23"/>
        </w:rPr>
        <w:t xml:space="preserve">is </w:t>
      </w:r>
      <w:r w:rsidR="008C76FF">
        <w:rPr>
          <w:rFonts w:asciiTheme="majorHAnsi" w:hAnsiTheme="majorHAnsi"/>
          <w:bCs/>
          <w:sz w:val="24"/>
          <w:szCs w:val="23"/>
        </w:rPr>
        <w:t>a popular</w:t>
      </w:r>
      <w:r w:rsidR="00B278D8">
        <w:rPr>
          <w:rFonts w:asciiTheme="majorHAnsi" w:hAnsiTheme="majorHAnsi"/>
          <w:bCs/>
          <w:sz w:val="24"/>
          <w:szCs w:val="23"/>
        </w:rPr>
        <w:t xml:space="preserve"> tax incentive for these and other social benefits</w:t>
      </w:r>
      <w:r w:rsidR="00C128E6">
        <w:rPr>
          <w:rFonts w:asciiTheme="majorHAnsi" w:hAnsiTheme="majorHAnsi"/>
          <w:bCs/>
          <w:sz w:val="24"/>
          <w:szCs w:val="23"/>
        </w:rPr>
        <w:t xml:space="preserve">, similar to </w:t>
      </w:r>
      <w:r>
        <w:rPr>
          <w:rFonts w:asciiTheme="majorHAnsi" w:hAnsiTheme="majorHAnsi"/>
          <w:bCs/>
          <w:sz w:val="24"/>
          <w:szCs w:val="23"/>
        </w:rPr>
        <w:t xml:space="preserve">the </w:t>
      </w:r>
      <w:r w:rsidR="00C128E6">
        <w:rPr>
          <w:rFonts w:asciiTheme="majorHAnsi" w:hAnsiTheme="majorHAnsi"/>
          <w:bCs/>
          <w:sz w:val="24"/>
          <w:szCs w:val="23"/>
        </w:rPr>
        <w:t xml:space="preserve">Economic Development Incentive Program (EDIP) and </w:t>
      </w:r>
      <w:r>
        <w:rPr>
          <w:rFonts w:asciiTheme="majorHAnsi" w:hAnsiTheme="majorHAnsi"/>
          <w:bCs/>
          <w:sz w:val="24"/>
          <w:szCs w:val="23"/>
        </w:rPr>
        <w:t xml:space="preserve">the </w:t>
      </w:r>
      <w:r w:rsidR="00C128E6">
        <w:rPr>
          <w:rFonts w:asciiTheme="majorHAnsi" w:hAnsiTheme="majorHAnsi"/>
          <w:bCs/>
          <w:sz w:val="24"/>
          <w:szCs w:val="23"/>
        </w:rPr>
        <w:t>research credit</w:t>
      </w:r>
      <w:r w:rsidR="00B278D8">
        <w:rPr>
          <w:rFonts w:asciiTheme="majorHAnsi" w:hAnsiTheme="majorHAnsi"/>
          <w:bCs/>
          <w:sz w:val="24"/>
          <w:szCs w:val="23"/>
        </w:rPr>
        <w:t>.</w:t>
      </w:r>
      <w:r w:rsidR="00C128E6" w:rsidRPr="00C128E6">
        <w:rPr>
          <w:rFonts w:asciiTheme="majorHAnsi" w:hAnsiTheme="majorHAnsi"/>
          <w:bCs/>
          <w:sz w:val="24"/>
          <w:szCs w:val="23"/>
        </w:rPr>
        <w:t xml:space="preserve"> </w:t>
      </w:r>
      <w:r w:rsidR="00C128E6">
        <w:rPr>
          <w:rFonts w:asciiTheme="majorHAnsi" w:hAnsiTheme="majorHAnsi"/>
          <w:bCs/>
          <w:sz w:val="24"/>
          <w:szCs w:val="23"/>
        </w:rPr>
        <w:t xml:space="preserve">It also </w:t>
      </w:r>
      <w:r w:rsidR="00C128E6" w:rsidRPr="00DD3969">
        <w:rPr>
          <w:rFonts w:asciiTheme="majorHAnsi" w:hAnsiTheme="majorHAnsi"/>
          <w:bCs/>
          <w:sz w:val="24"/>
          <w:szCs w:val="23"/>
        </w:rPr>
        <w:t xml:space="preserve">contributes to the technological change and innovation. Technological change is an important factor of long-run productivity growth and increases in living standards. Advances in technology come from innovation, </w:t>
      </w:r>
      <w:r w:rsidR="006641A5">
        <w:rPr>
          <w:rFonts w:asciiTheme="majorHAnsi" w:hAnsiTheme="majorHAnsi"/>
          <w:bCs/>
          <w:sz w:val="24"/>
          <w:szCs w:val="23"/>
        </w:rPr>
        <w:t>which</w:t>
      </w:r>
      <w:r w:rsidR="00C128E6" w:rsidRPr="00DD3969">
        <w:rPr>
          <w:rFonts w:asciiTheme="majorHAnsi" w:hAnsiTheme="majorHAnsi"/>
          <w:bCs/>
          <w:sz w:val="24"/>
          <w:szCs w:val="23"/>
        </w:rPr>
        <w:t xml:space="preserve"> is the process of inventing new products, improving existing products, and reducing production costs.</w:t>
      </w:r>
    </w:p>
    <w:p w14:paraId="66E311E4" w14:textId="77777777" w:rsidR="00CA2BBF" w:rsidRDefault="00CA2BBF" w:rsidP="00CA2BBF">
      <w:pPr>
        <w:tabs>
          <w:tab w:val="left" w:pos="7050"/>
        </w:tabs>
        <w:spacing w:after="0"/>
        <w:rPr>
          <w:rFonts w:asciiTheme="majorHAnsi" w:hAnsiTheme="majorHAnsi"/>
          <w:bCs/>
          <w:sz w:val="24"/>
          <w:szCs w:val="23"/>
        </w:rPr>
      </w:pPr>
    </w:p>
    <w:p w14:paraId="30324BF8" w14:textId="77777777" w:rsidR="00E81D0C" w:rsidRPr="00A05217" w:rsidRDefault="00E81D0C" w:rsidP="00CA2BBF">
      <w:pPr>
        <w:tabs>
          <w:tab w:val="left" w:pos="7050"/>
        </w:tabs>
        <w:spacing w:after="0"/>
        <w:rPr>
          <w:rFonts w:asciiTheme="majorHAnsi" w:hAnsiTheme="majorHAnsi"/>
          <w:bCs/>
          <w:sz w:val="24"/>
          <w:szCs w:val="23"/>
        </w:rPr>
      </w:pPr>
    </w:p>
    <w:p w14:paraId="14993167" w14:textId="77777777" w:rsidR="00CA2BBF" w:rsidRPr="00A05217" w:rsidRDefault="00CA2BBF" w:rsidP="00D31892">
      <w:pPr>
        <w:spacing w:after="0"/>
        <w:rPr>
          <w:rFonts w:asciiTheme="majorHAnsi" w:eastAsiaTheme="majorEastAsia" w:hAnsiTheme="majorHAnsi" w:cstheme="majorBidi"/>
          <w:b/>
          <w:bCs/>
          <w:color w:val="E36C0A" w:themeColor="accent6" w:themeShade="BF"/>
          <w:sz w:val="28"/>
          <w:szCs w:val="28"/>
        </w:rPr>
      </w:pPr>
      <w:r w:rsidRPr="00A05217">
        <w:rPr>
          <w:rFonts w:asciiTheme="majorHAnsi" w:eastAsiaTheme="majorEastAsia" w:hAnsiTheme="majorHAnsi" w:cstheme="majorBidi"/>
          <w:b/>
          <w:bCs/>
          <w:color w:val="E36C0A" w:themeColor="accent6" w:themeShade="BF"/>
          <w:sz w:val="28"/>
          <w:szCs w:val="28"/>
        </w:rPr>
        <w:t>Similar Tax Expenditures Offered by Other States</w:t>
      </w:r>
    </w:p>
    <w:p w14:paraId="5408FAC2" w14:textId="77777777" w:rsidR="00D76F2E" w:rsidRPr="00DD3969" w:rsidRDefault="00156AAE" w:rsidP="00D76F2E">
      <w:pPr>
        <w:tabs>
          <w:tab w:val="left" w:pos="7050"/>
        </w:tabs>
        <w:spacing w:after="0" w:line="240" w:lineRule="auto"/>
        <w:rPr>
          <w:rFonts w:asciiTheme="majorHAnsi" w:hAnsiTheme="majorHAnsi"/>
          <w:bCs/>
          <w:sz w:val="24"/>
          <w:szCs w:val="23"/>
        </w:rPr>
      </w:pPr>
      <w:r w:rsidRPr="00DD3969">
        <w:rPr>
          <w:rFonts w:asciiTheme="majorHAnsi" w:hAnsiTheme="majorHAnsi"/>
          <w:bCs/>
          <w:sz w:val="24"/>
          <w:szCs w:val="23"/>
        </w:rPr>
        <w:t xml:space="preserve">DOR estimates that over 20 states have </w:t>
      </w:r>
      <w:r w:rsidR="00287303">
        <w:rPr>
          <w:rFonts w:asciiTheme="majorHAnsi" w:hAnsiTheme="majorHAnsi"/>
          <w:bCs/>
          <w:sz w:val="24"/>
          <w:szCs w:val="23"/>
        </w:rPr>
        <w:t xml:space="preserve">some form of </w:t>
      </w:r>
      <w:r w:rsidRPr="00DD3969">
        <w:rPr>
          <w:rFonts w:asciiTheme="majorHAnsi" w:hAnsiTheme="majorHAnsi"/>
          <w:bCs/>
          <w:sz w:val="24"/>
          <w:szCs w:val="23"/>
        </w:rPr>
        <w:t>ITC.</w:t>
      </w:r>
      <w:r w:rsidR="00D76F2E" w:rsidRPr="00DD3969">
        <w:rPr>
          <w:rFonts w:asciiTheme="majorHAnsi" w:hAnsiTheme="majorHAnsi"/>
          <w:bCs/>
          <w:sz w:val="24"/>
          <w:szCs w:val="23"/>
        </w:rPr>
        <w:t xml:space="preserve"> A couple of examples are </w:t>
      </w:r>
      <w:r w:rsidR="00287303">
        <w:rPr>
          <w:rFonts w:asciiTheme="majorHAnsi" w:hAnsiTheme="majorHAnsi"/>
          <w:bCs/>
          <w:sz w:val="24"/>
          <w:szCs w:val="23"/>
        </w:rPr>
        <w:t>below:</w:t>
      </w:r>
    </w:p>
    <w:p w14:paraId="7788C31C" w14:textId="77777777" w:rsidR="00D76F2E" w:rsidRDefault="00D76F2E" w:rsidP="00D76F2E">
      <w:pPr>
        <w:tabs>
          <w:tab w:val="left" w:pos="7050"/>
        </w:tabs>
        <w:spacing w:after="0" w:line="240" w:lineRule="auto"/>
        <w:rPr>
          <w:rFonts w:asciiTheme="majorHAnsi" w:hAnsiTheme="majorHAnsi"/>
          <w:bCs/>
          <w:sz w:val="24"/>
          <w:szCs w:val="23"/>
        </w:rPr>
      </w:pPr>
    </w:p>
    <w:p w14:paraId="54B1F2D2" w14:textId="058A2B2B" w:rsidR="00453E31" w:rsidRDefault="00453E31" w:rsidP="008727BB">
      <w:pPr>
        <w:tabs>
          <w:tab w:val="left" w:pos="7050"/>
        </w:tabs>
        <w:spacing w:after="0"/>
        <w:rPr>
          <w:rFonts w:asciiTheme="majorHAnsi" w:hAnsiTheme="majorHAnsi"/>
          <w:bCs/>
          <w:sz w:val="24"/>
          <w:szCs w:val="23"/>
        </w:rPr>
      </w:pPr>
      <w:r w:rsidRPr="00453E31">
        <w:rPr>
          <w:rFonts w:asciiTheme="majorHAnsi" w:hAnsiTheme="majorHAnsi"/>
          <w:bCs/>
          <w:sz w:val="24"/>
          <w:szCs w:val="23"/>
        </w:rPr>
        <w:t>Under section 210-B.1 of the New York Consolidated Laws, general business corporations may claim an investment tax credit (ITC) against the franchise tax imposed for the tax year during which they placed qualified tangible property in service.  Qualified property includes buildings, machinery and equipment. The New York ITC is computed on the cost, or other basis of qualified tangible property. The standard rate is 5% on the first $350 million, and 4% for anything above that amount. The credit may not reduce the excise below the New York minimum excise.  Any credit that is not used may be carried over for 15 years.</w:t>
      </w:r>
    </w:p>
    <w:p w14:paraId="49BD40A0" w14:textId="77777777" w:rsidR="00453E31" w:rsidRPr="00DD3969" w:rsidRDefault="00453E31" w:rsidP="00D76F2E">
      <w:pPr>
        <w:tabs>
          <w:tab w:val="left" w:pos="7050"/>
        </w:tabs>
        <w:spacing w:after="0" w:line="240" w:lineRule="auto"/>
        <w:rPr>
          <w:rFonts w:asciiTheme="majorHAnsi" w:hAnsiTheme="majorHAnsi"/>
          <w:bCs/>
          <w:sz w:val="24"/>
          <w:szCs w:val="23"/>
        </w:rPr>
      </w:pPr>
    </w:p>
    <w:p w14:paraId="7C6507E6" w14:textId="0935BB75" w:rsidR="00D76F2E" w:rsidRPr="00D76F2E" w:rsidRDefault="00D76F2E" w:rsidP="008727BB">
      <w:pPr>
        <w:tabs>
          <w:tab w:val="left" w:pos="7050"/>
        </w:tabs>
        <w:spacing w:after="0"/>
        <w:rPr>
          <w:rFonts w:asciiTheme="majorHAnsi" w:hAnsiTheme="majorHAnsi"/>
          <w:bCs/>
          <w:sz w:val="24"/>
          <w:szCs w:val="23"/>
        </w:rPr>
      </w:pPr>
      <w:r w:rsidRPr="00D76F2E">
        <w:rPr>
          <w:rFonts w:asciiTheme="majorHAnsi" w:hAnsiTheme="majorHAnsi"/>
          <w:bCs/>
          <w:sz w:val="24"/>
          <w:szCs w:val="23"/>
        </w:rPr>
        <w:t xml:space="preserve">Vermont offers </w:t>
      </w:r>
      <w:r w:rsidR="00287303">
        <w:rPr>
          <w:rFonts w:asciiTheme="majorHAnsi" w:hAnsiTheme="majorHAnsi"/>
          <w:bCs/>
          <w:sz w:val="24"/>
          <w:szCs w:val="23"/>
        </w:rPr>
        <w:t>a non-refundable</w:t>
      </w:r>
      <w:r w:rsidRPr="00D76F2E">
        <w:rPr>
          <w:rFonts w:asciiTheme="majorHAnsi" w:hAnsiTheme="majorHAnsi"/>
          <w:bCs/>
          <w:sz w:val="24"/>
          <w:szCs w:val="23"/>
        </w:rPr>
        <w:t xml:space="preserve"> investment tax credit equal to 24% of the federal investment tax credit for Vermont-property investment in the following activities: rehabilitation (IRC § 47), energy (IRC § 48(a)), advanced coal products (IRC § 48(a)), and gasification products (IRC § 48B(e)). (Feldman, et al., 2019)</w:t>
      </w:r>
    </w:p>
    <w:p w14:paraId="7EEEFC7B" w14:textId="77777777" w:rsidR="00D76F2E" w:rsidRPr="00D76F2E" w:rsidRDefault="00D76F2E" w:rsidP="00D76F2E">
      <w:pPr>
        <w:tabs>
          <w:tab w:val="left" w:pos="7050"/>
        </w:tabs>
        <w:spacing w:after="0" w:line="240" w:lineRule="auto"/>
        <w:rPr>
          <w:rFonts w:asciiTheme="majorHAnsi" w:hAnsiTheme="majorHAnsi"/>
          <w:bCs/>
          <w:sz w:val="24"/>
          <w:szCs w:val="23"/>
        </w:rPr>
      </w:pPr>
    </w:p>
    <w:p w14:paraId="315906A7" w14:textId="77777777" w:rsidR="00CA2BBF" w:rsidRPr="00A05217" w:rsidRDefault="00CA2BBF" w:rsidP="00CA2BBF">
      <w:pPr>
        <w:tabs>
          <w:tab w:val="left" w:pos="7050"/>
        </w:tabs>
        <w:spacing w:after="0" w:line="240" w:lineRule="auto"/>
        <w:rPr>
          <w:rFonts w:asciiTheme="majorHAnsi" w:hAnsiTheme="majorHAnsi"/>
          <w:b/>
          <w:sz w:val="23"/>
          <w:szCs w:val="23"/>
        </w:rPr>
      </w:pPr>
    </w:p>
    <w:p w14:paraId="3F60F3D5" w14:textId="77777777" w:rsidR="00CA2BBF" w:rsidRPr="00A05217" w:rsidRDefault="00CA2BBF" w:rsidP="00CA2BBF">
      <w:pPr>
        <w:tabs>
          <w:tab w:val="left" w:pos="7050"/>
        </w:tabs>
        <w:spacing w:after="0" w:line="240" w:lineRule="auto"/>
        <w:rPr>
          <w:rFonts w:asciiTheme="majorHAnsi" w:eastAsiaTheme="majorEastAsia" w:hAnsiTheme="majorHAnsi" w:cstheme="majorBidi"/>
          <w:b/>
          <w:bCs/>
          <w:color w:val="E36C0A" w:themeColor="accent6" w:themeShade="BF"/>
          <w:sz w:val="28"/>
          <w:szCs w:val="28"/>
        </w:rPr>
      </w:pPr>
      <w:r w:rsidRPr="00A05217">
        <w:rPr>
          <w:rFonts w:asciiTheme="majorHAnsi" w:eastAsiaTheme="majorEastAsia" w:hAnsiTheme="majorHAnsi" w:cstheme="majorBidi"/>
          <w:b/>
          <w:bCs/>
          <w:color w:val="E36C0A" w:themeColor="accent6" w:themeShade="BF"/>
          <w:sz w:val="28"/>
          <w:szCs w:val="28"/>
        </w:rPr>
        <w:t xml:space="preserve">IS THE INCENTIVE AS DESIGNED ACCOMPLISHING ITS PURPOSE?  </w:t>
      </w:r>
    </w:p>
    <w:p w14:paraId="057710F1" w14:textId="77777777" w:rsidR="00CA2BBF" w:rsidRDefault="00CA2BBF" w:rsidP="00CA2BBF">
      <w:pPr>
        <w:tabs>
          <w:tab w:val="left" w:pos="7050"/>
        </w:tabs>
        <w:spacing w:after="0" w:line="240" w:lineRule="auto"/>
        <w:rPr>
          <w:rFonts w:asciiTheme="majorHAnsi" w:eastAsiaTheme="majorEastAsia" w:hAnsiTheme="majorHAnsi" w:cstheme="majorBidi"/>
          <w:bCs/>
          <w:color w:val="000000" w:themeColor="text1"/>
          <w:sz w:val="24"/>
          <w:szCs w:val="24"/>
        </w:rPr>
      </w:pPr>
    </w:p>
    <w:p w14:paraId="43D1A9DE" w14:textId="77777777" w:rsidR="00D76F2E" w:rsidRDefault="00EE28C1" w:rsidP="00CA2BBF">
      <w:pPr>
        <w:tabs>
          <w:tab w:val="left" w:pos="7050"/>
        </w:tabs>
        <w:spacing w:after="0" w:line="240" w:lineRule="auto"/>
        <w:rPr>
          <w:rFonts w:asciiTheme="majorHAnsi" w:eastAsiaTheme="majorEastAsia" w:hAnsiTheme="majorHAnsi" w:cstheme="majorBidi"/>
          <w:bCs/>
          <w:color w:val="000000" w:themeColor="text1"/>
          <w:sz w:val="24"/>
          <w:szCs w:val="24"/>
        </w:rPr>
      </w:pPr>
      <w:bookmarkStart w:id="2" w:name="_Hlk51155631"/>
      <w:r>
        <w:rPr>
          <w:rFonts w:asciiTheme="majorHAnsi" w:eastAsiaTheme="majorEastAsia" w:hAnsiTheme="majorHAnsi" w:cstheme="majorBidi"/>
          <w:bCs/>
          <w:color w:val="000000" w:themeColor="text1"/>
          <w:sz w:val="24"/>
          <w:szCs w:val="24"/>
        </w:rPr>
        <w:t>[FOR TERC TO COMPLETE]</w:t>
      </w:r>
    </w:p>
    <w:bookmarkEnd w:id="2"/>
    <w:p w14:paraId="5D6E8BF4" w14:textId="77777777" w:rsidR="00CA2BBF" w:rsidRPr="00A05217" w:rsidRDefault="00CA2BBF" w:rsidP="00CA2BBF">
      <w:pPr>
        <w:tabs>
          <w:tab w:val="left" w:pos="7050"/>
        </w:tabs>
        <w:rPr>
          <w:rFonts w:asciiTheme="majorHAnsi" w:eastAsiaTheme="majorEastAsia" w:hAnsiTheme="majorHAnsi" w:cstheme="majorBidi"/>
          <w:bCs/>
          <w:color w:val="000000" w:themeColor="text1"/>
          <w:sz w:val="24"/>
          <w:szCs w:val="28"/>
        </w:rPr>
      </w:pPr>
    </w:p>
    <w:sdt>
      <w:sdtPr>
        <w:rPr>
          <w:rFonts w:asciiTheme="majorHAnsi" w:eastAsiaTheme="majorEastAsia" w:hAnsiTheme="majorHAnsi" w:cstheme="majorBidi"/>
          <w:color w:val="365F91" w:themeColor="accent1" w:themeShade="BF"/>
          <w:sz w:val="32"/>
          <w:szCs w:val="32"/>
        </w:rPr>
        <w:id w:val="1570537072"/>
        <w:docPartObj>
          <w:docPartGallery w:val="Bibliographies"/>
          <w:docPartUnique/>
        </w:docPartObj>
      </w:sdtPr>
      <w:sdtEndPr>
        <w:rPr>
          <w:rFonts w:asciiTheme="minorHAnsi" w:eastAsiaTheme="minorHAnsi" w:hAnsiTheme="minorHAnsi" w:cstheme="minorBidi"/>
          <w:color w:val="auto"/>
          <w:sz w:val="22"/>
          <w:szCs w:val="22"/>
        </w:rPr>
      </w:sdtEndPr>
      <w:sdtContent>
        <w:p w14:paraId="74FBF577" w14:textId="77777777" w:rsidR="00CA2BBF" w:rsidRPr="00A05217" w:rsidRDefault="00CA2BBF" w:rsidP="00CA2BBF">
          <w:pPr>
            <w:keepNext/>
            <w:keepLines/>
            <w:spacing w:before="240" w:after="0" w:line="259" w:lineRule="auto"/>
            <w:outlineLvl w:val="0"/>
            <w:rPr>
              <w:rFonts w:asciiTheme="majorHAnsi" w:eastAsiaTheme="majorEastAsia" w:hAnsiTheme="majorHAnsi" w:cstheme="majorBidi"/>
              <w:color w:val="365F91" w:themeColor="accent1" w:themeShade="BF"/>
              <w:sz w:val="32"/>
              <w:szCs w:val="32"/>
            </w:rPr>
          </w:pPr>
          <w:r w:rsidRPr="00A05217">
            <w:rPr>
              <w:rFonts w:asciiTheme="majorHAnsi" w:eastAsiaTheme="majorEastAsia" w:hAnsiTheme="majorHAnsi" w:cstheme="majorBidi"/>
              <w:color w:val="365F91" w:themeColor="accent1" w:themeShade="BF"/>
              <w:sz w:val="32"/>
              <w:szCs w:val="32"/>
            </w:rPr>
            <w:t>References</w:t>
          </w:r>
        </w:p>
        <w:sdt>
          <w:sdtPr>
            <w:id w:val="1792173601"/>
            <w:bibliography/>
          </w:sdtPr>
          <w:sdtEndPr/>
          <w:sdtContent>
            <w:bookmarkStart w:id="3" w:name="_Hlk51761722" w:displacedByCustomXml="next"/>
            <w:sdt>
              <w:sdtPr>
                <w:rPr>
                  <w:rFonts w:asciiTheme="majorHAnsi" w:hAnsiTheme="majorHAnsi"/>
                </w:rPr>
                <w:id w:val="-619375087"/>
                <w:bibliography/>
              </w:sdtPr>
              <w:sdtEndPr>
                <w:rPr>
                  <w:rFonts w:asciiTheme="minorHAnsi" w:hAnsiTheme="minorHAnsi"/>
                </w:rPr>
              </w:sdtEndPr>
              <w:sdtContent>
                <w:bookmarkEnd w:id="3" w:displacedByCustomXml="prev"/>
                <w:p w14:paraId="0104D0AB" w14:textId="77777777" w:rsidR="00880398" w:rsidRPr="0077491A" w:rsidRDefault="00880398" w:rsidP="00880398">
                  <w:pPr>
                    <w:pStyle w:val="Bibliography"/>
                    <w:ind w:left="720" w:hanging="720"/>
                    <w:rPr>
                      <w:rFonts w:ascii="Cambria" w:hAnsi="Cambria"/>
                      <w:noProof/>
                    </w:rPr>
                  </w:pPr>
                  <w:r w:rsidRPr="0077491A">
                    <w:rPr>
                      <w:rFonts w:ascii="Cambria" w:hAnsi="Cambria"/>
                      <w:noProof/>
                    </w:rPr>
                    <w:t xml:space="preserve">Division of the Budget. (2019). </w:t>
                  </w:r>
                  <w:r w:rsidRPr="0077491A">
                    <w:rPr>
                      <w:rFonts w:ascii="Cambria" w:hAnsi="Cambria"/>
                      <w:i/>
                      <w:iCs/>
                      <w:noProof/>
                    </w:rPr>
                    <w:t>New York State Tax Expenditures.</w:t>
                  </w:r>
                  <w:r w:rsidRPr="0077491A">
                    <w:rPr>
                      <w:rFonts w:ascii="Cambria" w:hAnsi="Cambria"/>
                      <w:noProof/>
                    </w:rPr>
                    <w:t xml:space="preserve"> New York: Department of Taxation and Finance.</w:t>
                  </w:r>
                </w:p>
                <w:p w14:paraId="30C5DC1B" w14:textId="77777777" w:rsidR="00880398" w:rsidRPr="0077491A" w:rsidRDefault="00880398" w:rsidP="00880398">
                  <w:pPr>
                    <w:pStyle w:val="Bibliography"/>
                    <w:ind w:left="720" w:hanging="720"/>
                    <w:rPr>
                      <w:rFonts w:ascii="Cambria" w:hAnsi="Cambria"/>
                      <w:noProof/>
                    </w:rPr>
                  </w:pPr>
                  <w:r w:rsidRPr="0077491A">
                    <w:rPr>
                      <w:rFonts w:ascii="Cambria" w:hAnsi="Cambria"/>
                      <w:noProof/>
                    </w:rPr>
                    <w:t xml:space="preserve">Feldman, J., Schickner, N., Stein, A., Campbell, G., &amp; Dickerson, D. (2019, January 15). </w:t>
                  </w:r>
                  <w:r w:rsidRPr="0077491A">
                    <w:rPr>
                      <w:rFonts w:ascii="Cambria" w:hAnsi="Cambria"/>
                      <w:i/>
                      <w:iCs/>
                      <w:noProof/>
                    </w:rPr>
                    <w:t>Vermont Tax Expenditures.</w:t>
                  </w:r>
                  <w:r w:rsidRPr="0077491A">
                    <w:rPr>
                      <w:rFonts w:ascii="Cambria" w:hAnsi="Cambria"/>
                      <w:noProof/>
                    </w:rPr>
                    <w:t xml:space="preserve"> Vermont: Legislative Joint Fiscal Office Vermont Department of Taxes. Retrieved from Vermont Legislative Joint Fiscal Office: https://ljfo.vermont.gov/assets/Subjects/Tax-Expenditure-Reports/2d43d0564c/2019-Tax-Expenditure-Report-FINAL-v3.pdf</w:t>
                  </w:r>
                </w:p>
                <w:p w14:paraId="3199C330" w14:textId="77777777" w:rsidR="00011C7F" w:rsidRPr="00C546F4" w:rsidRDefault="00011C7F" w:rsidP="00011C7F">
                  <w:pPr>
                    <w:pStyle w:val="Bibliography"/>
                    <w:ind w:left="720" w:hanging="720"/>
                    <w:rPr>
                      <w:rFonts w:asciiTheme="majorHAnsi" w:hAnsiTheme="majorHAnsi"/>
                      <w:noProof/>
                      <w:sz w:val="24"/>
                      <w:szCs w:val="24"/>
                    </w:rPr>
                  </w:pPr>
                  <w:r w:rsidRPr="00C546F4">
                    <w:rPr>
                      <w:rFonts w:asciiTheme="majorHAnsi" w:hAnsiTheme="majorHAnsi"/>
                      <w:noProof/>
                    </w:rPr>
                    <w:lastRenderedPageBreak/>
                    <w:t xml:space="preserve">Felix, </w:t>
                  </w:r>
                  <w:r>
                    <w:rPr>
                      <w:rFonts w:asciiTheme="majorHAnsi" w:hAnsiTheme="majorHAnsi"/>
                      <w:noProof/>
                    </w:rPr>
                    <w:t>R.</w:t>
                  </w:r>
                  <w:r w:rsidRPr="00C546F4">
                    <w:rPr>
                      <w:rFonts w:asciiTheme="majorHAnsi" w:hAnsiTheme="majorHAnsi"/>
                      <w:noProof/>
                    </w:rPr>
                    <w:t xml:space="preserve"> </w:t>
                  </w:r>
                  <w:r>
                    <w:rPr>
                      <w:rFonts w:asciiTheme="majorHAnsi" w:hAnsiTheme="majorHAnsi"/>
                      <w:noProof/>
                    </w:rPr>
                    <w:t xml:space="preserve">A. </w:t>
                  </w:r>
                  <w:r w:rsidRPr="00C546F4">
                    <w:rPr>
                      <w:rFonts w:asciiTheme="majorHAnsi" w:hAnsiTheme="majorHAnsi"/>
                      <w:noProof/>
                    </w:rPr>
                    <w:t>(2009</w:t>
                  </w:r>
                  <w:r>
                    <w:rPr>
                      <w:rFonts w:asciiTheme="majorHAnsi" w:hAnsiTheme="majorHAnsi"/>
                      <w:noProof/>
                    </w:rPr>
                    <w:t>, Second Quarter</w:t>
                  </w:r>
                  <w:r w:rsidRPr="00C546F4">
                    <w:rPr>
                      <w:rFonts w:asciiTheme="majorHAnsi" w:hAnsiTheme="majorHAnsi"/>
                      <w:noProof/>
                    </w:rPr>
                    <w:t xml:space="preserve">). </w:t>
                  </w:r>
                  <w:r w:rsidRPr="00C546F4">
                    <w:rPr>
                      <w:rFonts w:asciiTheme="majorHAnsi" w:hAnsiTheme="majorHAnsi"/>
                      <w:i/>
                      <w:iCs/>
                      <w:noProof/>
                    </w:rPr>
                    <w:t>Do State Corporate Income Taxes Reduce Wages?</w:t>
                  </w:r>
                  <w:r>
                    <w:rPr>
                      <w:rFonts w:asciiTheme="majorHAnsi" w:hAnsiTheme="majorHAnsi"/>
                      <w:i/>
                      <w:iCs/>
                      <w:noProof/>
                    </w:rPr>
                    <w:t>,</w:t>
                  </w:r>
                  <w:r w:rsidRPr="00C546F4">
                    <w:rPr>
                      <w:rFonts w:asciiTheme="majorHAnsi" w:hAnsiTheme="majorHAnsi"/>
                      <w:noProof/>
                    </w:rPr>
                    <w:t xml:space="preserve"> Economic Review, FEDERAL RESERVE BANK OF KANSAS CITY.</w:t>
                  </w:r>
                </w:p>
                <w:p w14:paraId="72E1E36F" w14:textId="77777777" w:rsidR="00CA2BBF" w:rsidRPr="00A05217" w:rsidRDefault="005B5E8A" w:rsidP="00011C7F">
                  <w:pPr>
                    <w:pStyle w:val="Bibliography"/>
                    <w:ind w:left="720" w:hanging="720"/>
                    <w:rPr>
                      <w:rFonts w:asciiTheme="majorHAnsi" w:hAnsiTheme="majorHAnsi"/>
                      <w:noProof/>
                      <w:sz w:val="24"/>
                      <w:szCs w:val="24"/>
                    </w:rPr>
                  </w:pPr>
                  <w:r w:rsidRPr="00A05217">
                    <w:rPr>
                      <w:rFonts w:asciiTheme="majorHAnsi" w:hAnsiTheme="majorHAnsi"/>
                      <w:noProof/>
                    </w:rPr>
                    <w:t>Ihlanfeldt</w:t>
                  </w:r>
                  <w:r>
                    <w:rPr>
                      <w:rFonts w:asciiTheme="majorHAnsi" w:hAnsiTheme="majorHAnsi"/>
                      <w:noProof/>
                    </w:rPr>
                    <w:t>,</w:t>
                  </w:r>
                  <w:r w:rsidRPr="00A05217">
                    <w:rPr>
                      <w:rFonts w:asciiTheme="majorHAnsi" w:hAnsiTheme="majorHAnsi"/>
                    </w:rPr>
                    <w:t xml:space="preserve"> </w:t>
                  </w:r>
                  <w:r w:rsidR="00CA2BBF" w:rsidRPr="00A05217">
                    <w:rPr>
                      <w:rFonts w:asciiTheme="majorHAnsi" w:hAnsiTheme="majorHAnsi"/>
                    </w:rPr>
                    <w:fldChar w:fldCharType="begin"/>
                  </w:r>
                  <w:r w:rsidR="00CA2BBF" w:rsidRPr="00A05217">
                    <w:rPr>
                      <w:rFonts w:asciiTheme="majorHAnsi" w:hAnsiTheme="majorHAnsi"/>
                    </w:rPr>
                    <w:instrText xml:space="preserve"> BIBLIOGRAPHY </w:instrText>
                  </w:r>
                  <w:r w:rsidR="00CA2BBF" w:rsidRPr="00A05217">
                    <w:rPr>
                      <w:rFonts w:asciiTheme="majorHAnsi" w:hAnsiTheme="majorHAnsi"/>
                    </w:rPr>
                    <w:fldChar w:fldCharType="separate"/>
                  </w:r>
                  <w:r w:rsidR="00CA2BBF" w:rsidRPr="00A05217">
                    <w:rPr>
                      <w:rFonts w:asciiTheme="majorHAnsi" w:hAnsiTheme="majorHAnsi"/>
                      <w:noProof/>
                    </w:rPr>
                    <w:t>Keith R.</w:t>
                  </w:r>
                  <w:r w:rsidR="00837692">
                    <w:rPr>
                      <w:rFonts w:asciiTheme="majorHAnsi" w:hAnsiTheme="majorHAnsi"/>
                      <w:noProof/>
                    </w:rPr>
                    <w:t xml:space="preserve"> and</w:t>
                  </w:r>
                  <w:r w:rsidR="00CA2BBF" w:rsidRPr="00A05217">
                    <w:rPr>
                      <w:rFonts w:asciiTheme="majorHAnsi" w:hAnsiTheme="majorHAnsi"/>
                      <w:noProof/>
                    </w:rPr>
                    <w:t xml:space="preserve"> </w:t>
                  </w:r>
                  <w:r w:rsidRPr="00A05217">
                    <w:rPr>
                      <w:rFonts w:asciiTheme="majorHAnsi" w:hAnsiTheme="majorHAnsi"/>
                      <w:noProof/>
                    </w:rPr>
                    <w:t>Sjoquist</w:t>
                  </w:r>
                  <w:r>
                    <w:rPr>
                      <w:rFonts w:asciiTheme="majorHAnsi" w:hAnsiTheme="majorHAnsi"/>
                      <w:noProof/>
                    </w:rPr>
                    <w:t>,</w:t>
                  </w:r>
                  <w:r w:rsidR="00837692">
                    <w:rPr>
                      <w:rFonts w:asciiTheme="majorHAnsi" w:hAnsiTheme="majorHAnsi"/>
                      <w:noProof/>
                    </w:rPr>
                    <w:t xml:space="preserve"> </w:t>
                  </w:r>
                  <w:r w:rsidR="00CA2BBF" w:rsidRPr="00A05217">
                    <w:rPr>
                      <w:rFonts w:asciiTheme="majorHAnsi" w:hAnsiTheme="majorHAnsi"/>
                      <w:noProof/>
                    </w:rPr>
                    <w:t>David L. 2001, August</w:t>
                  </w:r>
                  <w:r w:rsidR="00837692">
                    <w:rPr>
                      <w:rFonts w:asciiTheme="majorHAnsi" w:hAnsiTheme="majorHAnsi"/>
                      <w:noProof/>
                    </w:rPr>
                    <w:t>,</w:t>
                  </w:r>
                  <w:r w:rsidR="00CA2BBF" w:rsidRPr="00A05217">
                    <w:rPr>
                      <w:rFonts w:asciiTheme="majorHAnsi" w:hAnsiTheme="majorHAnsi"/>
                      <w:noProof/>
                    </w:rPr>
                    <w:t xml:space="preserve"> </w:t>
                  </w:r>
                  <w:r w:rsidR="00837692">
                    <w:rPr>
                      <w:rFonts w:asciiTheme="majorHAnsi" w:hAnsiTheme="majorHAnsi"/>
                      <w:noProof/>
                    </w:rPr>
                    <w:t>'</w:t>
                  </w:r>
                  <w:r w:rsidR="00CA2BBF" w:rsidRPr="00837692">
                    <w:rPr>
                      <w:rFonts w:asciiTheme="majorHAnsi" w:hAnsiTheme="majorHAnsi"/>
                      <w:noProof/>
                    </w:rPr>
                    <w:t>Conducting an Analysis of Georgia’s Economic Development Tax Incentive Program</w:t>
                  </w:r>
                  <w:r w:rsidR="00837692">
                    <w:rPr>
                      <w:rFonts w:asciiTheme="majorHAnsi" w:hAnsiTheme="majorHAnsi"/>
                      <w:noProof/>
                    </w:rPr>
                    <w:t>',</w:t>
                  </w:r>
                  <w:r w:rsidR="00837692" w:rsidRPr="00A05217">
                    <w:rPr>
                      <w:rFonts w:asciiTheme="majorHAnsi" w:hAnsiTheme="majorHAnsi"/>
                      <w:noProof/>
                    </w:rPr>
                    <w:t xml:space="preserve"> </w:t>
                  </w:r>
                  <w:r w:rsidR="00837692" w:rsidRPr="00A05217">
                    <w:rPr>
                      <w:rFonts w:asciiTheme="majorHAnsi" w:hAnsiTheme="majorHAnsi"/>
                      <w:i/>
                      <w:iCs/>
                      <w:noProof/>
                    </w:rPr>
                    <w:t>E</w:t>
                  </w:r>
                  <w:r w:rsidR="00837692">
                    <w:rPr>
                      <w:rFonts w:asciiTheme="majorHAnsi" w:hAnsiTheme="majorHAnsi"/>
                      <w:i/>
                      <w:iCs/>
                      <w:noProof/>
                    </w:rPr>
                    <w:t>conomic Develoment</w:t>
                  </w:r>
                  <w:r w:rsidR="00CA2BBF" w:rsidRPr="00A05217">
                    <w:rPr>
                      <w:rFonts w:asciiTheme="majorHAnsi" w:hAnsiTheme="majorHAnsi"/>
                      <w:i/>
                      <w:iCs/>
                      <w:noProof/>
                    </w:rPr>
                    <w:t xml:space="preserve"> </w:t>
                  </w:r>
                  <w:r w:rsidR="00837692" w:rsidRPr="00837692">
                    <w:rPr>
                      <w:rFonts w:asciiTheme="majorHAnsi" w:hAnsiTheme="majorHAnsi"/>
                      <w:i/>
                      <w:iCs/>
                      <w:noProof/>
                    </w:rPr>
                    <w:t>Quarterly</w:t>
                  </w:r>
                  <w:r w:rsidR="00CA2BBF" w:rsidRPr="00A05217">
                    <w:rPr>
                      <w:rFonts w:asciiTheme="majorHAnsi" w:hAnsiTheme="majorHAnsi"/>
                      <w:i/>
                      <w:iCs/>
                      <w:noProof/>
                    </w:rPr>
                    <w:t xml:space="preserve">, </w:t>
                  </w:r>
                  <w:r w:rsidR="00837692" w:rsidRPr="00CB5581">
                    <w:rPr>
                      <w:rFonts w:asciiTheme="majorHAnsi" w:hAnsiTheme="majorHAnsi"/>
                      <w:iCs/>
                      <w:noProof/>
                    </w:rPr>
                    <w:t>vol</w:t>
                  </w:r>
                  <w:r w:rsidR="00837692">
                    <w:rPr>
                      <w:rFonts w:asciiTheme="majorHAnsi" w:hAnsiTheme="majorHAnsi"/>
                      <w:i/>
                      <w:iCs/>
                      <w:noProof/>
                    </w:rPr>
                    <w:t xml:space="preserve">. </w:t>
                  </w:r>
                  <w:r w:rsidR="00CA2BBF" w:rsidRPr="00CB5581">
                    <w:rPr>
                      <w:rFonts w:asciiTheme="majorHAnsi" w:hAnsiTheme="majorHAnsi"/>
                      <w:iCs/>
                      <w:noProof/>
                    </w:rPr>
                    <w:t>15</w:t>
                  </w:r>
                  <w:r w:rsidR="00837692">
                    <w:rPr>
                      <w:rFonts w:asciiTheme="majorHAnsi" w:hAnsiTheme="majorHAnsi"/>
                      <w:iCs/>
                      <w:noProof/>
                    </w:rPr>
                    <w:t xml:space="preserve">, </w:t>
                  </w:r>
                  <w:r w:rsidR="00837692">
                    <w:rPr>
                      <w:rFonts w:asciiTheme="majorHAnsi" w:hAnsiTheme="majorHAnsi"/>
                      <w:noProof/>
                    </w:rPr>
                    <w:t xml:space="preserve">no. </w:t>
                  </w:r>
                  <w:r w:rsidR="00CA2BBF" w:rsidRPr="00A05217">
                    <w:rPr>
                      <w:rFonts w:asciiTheme="majorHAnsi" w:hAnsiTheme="majorHAnsi"/>
                      <w:noProof/>
                    </w:rPr>
                    <w:t xml:space="preserve">3, </w:t>
                  </w:r>
                  <w:r w:rsidR="00837692">
                    <w:rPr>
                      <w:rFonts w:asciiTheme="majorHAnsi" w:hAnsiTheme="majorHAnsi"/>
                      <w:noProof/>
                    </w:rPr>
                    <w:t xml:space="preserve"> pp. </w:t>
                  </w:r>
                  <w:r w:rsidR="00CA2BBF" w:rsidRPr="00A05217">
                    <w:rPr>
                      <w:rFonts w:asciiTheme="majorHAnsi" w:hAnsiTheme="majorHAnsi"/>
                      <w:noProof/>
                    </w:rPr>
                    <w:t>217-228.</w:t>
                  </w:r>
                </w:p>
                <w:p w14:paraId="5EDF1D75" w14:textId="77777777" w:rsidR="00CA2BBF" w:rsidRPr="00A05217" w:rsidRDefault="00CA2BBF" w:rsidP="0041133E">
                  <w:pPr>
                    <w:ind w:left="720" w:hanging="720"/>
                    <w:rPr>
                      <w:rFonts w:asciiTheme="majorHAnsi" w:hAnsiTheme="majorHAnsi"/>
                      <w:noProof/>
                    </w:rPr>
                  </w:pPr>
                  <w:r w:rsidRPr="00A05217">
                    <w:rPr>
                      <w:rFonts w:asciiTheme="majorHAnsi" w:hAnsiTheme="majorHAnsi"/>
                      <w:i/>
                      <w:iCs/>
                      <w:noProof/>
                    </w:rPr>
                    <w:t>MODELS: TAX-PI</w:t>
                  </w:r>
                  <w:r w:rsidRPr="00A05217">
                    <w:rPr>
                      <w:rFonts w:asciiTheme="majorHAnsi" w:hAnsiTheme="majorHAnsi"/>
                      <w:noProof/>
                    </w:rPr>
                    <w:t>. (n.d.). Retrieved from Regional Economic Models, Inc.: https://www.remi.com/model/tax-pi/</w:t>
                  </w:r>
                  <w:r w:rsidRPr="00A05217">
                    <w:rPr>
                      <w:rFonts w:asciiTheme="majorHAnsi" w:hAnsiTheme="majorHAnsi"/>
                      <w:b/>
                      <w:bCs/>
                      <w:noProof/>
                    </w:rPr>
                    <w:fldChar w:fldCharType="end"/>
                  </w:r>
                </w:p>
              </w:sdtContent>
            </w:sdt>
            <w:p w14:paraId="307A0AF7" w14:textId="77777777" w:rsidR="00CA2BBF" w:rsidRPr="00881147" w:rsidRDefault="00EE0267" w:rsidP="00CA2BBF">
              <w:pPr>
                <w:rPr>
                  <w:rFonts w:asciiTheme="majorHAnsi" w:hAnsiTheme="majorHAnsi"/>
                  <w:b/>
                  <w:sz w:val="24"/>
                  <w:szCs w:val="24"/>
                </w:rPr>
              </w:pPr>
            </w:p>
          </w:sdtContent>
        </w:sdt>
      </w:sdtContent>
    </w:sdt>
    <w:p w14:paraId="55036A10" w14:textId="77777777" w:rsidR="00E4532C" w:rsidRDefault="00E4532C" w:rsidP="00CA2BBF"/>
    <w:p w14:paraId="7F08DAD3" w14:textId="77777777" w:rsidR="00245D07" w:rsidRPr="00881147" w:rsidRDefault="00245D07" w:rsidP="00CF41DD">
      <w:pPr>
        <w:tabs>
          <w:tab w:val="left" w:pos="7050"/>
        </w:tabs>
        <w:rPr>
          <w:rFonts w:asciiTheme="majorHAnsi" w:hAnsiTheme="majorHAnsi"/>
          <w:b/>
          <w:sz w:val="24"/>
          <w:szCs w:val="24"/>
        </w:rPr>
      </w:pPr>
    </w:p>
    <w:sectPr w:rsidR="00245D07" w:rsidRPr="00881147" w:rsidSect="00810202">
      <w:headerReference w:type="even" r:id="rId14"/>
      <w:headerReference w:type="default" r:id="rId15"/>
      <w:footerReference w:type="default" r:id="rId16"/>
      <w:headerReference w:type="firs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3E31C" w14:textId="77777777" w:rsidR="00E63995" w:rsidRDefault="00E63995" w:rsidP="00110E98">
      <w:pPr>
        <w:spacing w:after="0" w:line="240" w:lineRule="auto"/>
      </w:pPr>
      <w:r>
        <w:separator/>
      </w:r>
    </w:p>
  </w:endnote>
  <w:endnote w:type="continuationSeparator" w:id="0">
    <w:p w14:paraId="7DFF87C9" w14:textId="77777777" w:rsidR="00E63995" w:rsidRDefault="00E63995" w:rsidP="0011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abon LT Std">
    <w:altName w:val="Sabon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A5741" w14:textId="77777777" w:rsidR="00EE0267" w:rsidRDefault="00EE0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1002447"/>
      <w:docPartObj>
        <w:docPartGallery w:val="Page Numbers (Bottom of Page)"/>
        <w:docPartUnique/>
      </w:docPartObj>
    </w:sdtPr>
    <w:sdtEndPr>
      <w:rPr>
        <w:noProof/>
      </w:rPr>
    </w:sdtEndPr>
    <w:sdtContent>
      <w:p w14:paraId="5F0B247B" w14:textId="77777777" w:rsidR="00E63995" w:rsidRDefault="00E6399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983752C" w14:textId="77777777" w:rsidR="00E63995" w:rsidRDefault="00E63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D109B" w14:textId="77777777" w:rsidR="00EE0267" w:rsidRDefault="00EE02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793664"/>
      <w:docPartObj>
        <w:docPartGallery w:val="Page Numbers (Bottom of Page)"/>
        <w:docPartUnique/>
      </w:docPartObj>
    </w:sdtPr>
    <w:sdtEndPr>
      <w:rPr>
        <w:rFonts w:asciiTheme="majorHAnsi" w:hAnsiTheme="majorHAnsi"/>
        <w:noProof/>
        <w:sz w:val="24"/>
      </w:rPr>
    </w:sdtEndPr>
    <w:sdtContent>
      <w:p w14:paraId="67BF361C" w14:textId="77777777" w:rsidR="00E63995" w:rsidRPr="00B204AF" w:rsidRDefault="00E63995">
        <w:pPr>
          <w:pStyle w:val="Footer"/>
          <w:jc w:val="center"/>
          <w:rPr>
            <w:rFonts w:asciiTheme="majorHAnsi" w:hAnsiTheme="majorHAnsi"/>
            <w:sz w:val="24"/>
          </w:rPr>
        </w:pPr>
        <w:r w:rsidRPr="00B204AF">
          <w:rPr>
            <w:rFonts w:asciiTheme="majorHAnsi" w:hAnsiTheme="majorHAnsi"/>
            <w:sz w:val="24"/>
          </w:rPr>
          <w:fldChar w:fldCharType="begin"/>
        </w:r>
        <w:r w:rsidRPr="00B204AF">
          <w:rPr>
            <w:rFonts w:asciiTheme="majorHAnsi" w:hAnsiTheme="majorHAnsi"/>
            <w:sz w:val="24"/>
          </w:rPr>
          <w:instrText xml:space="preserve"> PAGE   \* MERGEFORMAT </w:instrText>
        </w:r>
        <w:r w:rsidRPr="00B204AF">
          <w:rPr>
            <w:rFonts w:asciiTheme="majorHAnsi" w:hAnsiTheme="majorHAnsi"/>
            <w:sz w:val="24"/>
          </w:rPr>
          <w:fldChar w:fldCharType="separate"/>
        </w:r>
        <w:r>
          <w:rPr>
            <w:rFonts w:asciiTheme="majorHAnsi" w:hAnsiTheme="majorHAnsi"/>
            <w:noProof/>
            <w:sz w:val="24"/>
          </w:rPr>
          <w:t>2</w:t>
        </w:r>
        <w:r w:rsidRPr="00B204AF">
          <w:rPr>
            <w:rFonts w:asciiTheme="majorHAnsi" w:hAnsiTheme="majorHAnsi"/>
            <w:noProof/>
            <w:sz w:val="24"/>
          </w:rPr>
          <w:fldChar w:fldCharType="end"/>
        </w:r>
      </w:p>
    </w:sdtContent>
  </w:sdt>
  <w:p w14:paraId="2D8BCCEE" w14:textId="77777777" w:rsidR="00E63995" w:rsidRDefault="00E63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C18CE" w14:textId="77777777" w:rsidR="00E63995" w:rsidRDefault="00E63995" w:rsidP="00110E98">
      <w:pPr>
        <w:spacing w:after="0" w:line="240" w:lineRule="auto"/>
      </w:pPr>
      <w:r>
        <w:separator/>
      </w:r>
    </w:p>
  </w:footnote>
  <w:footnote w:type="continuationSeparator" w:id="0">
    <w:p w14:paraId="7949640F" w14:textId="77777777" w:rsidR="00E63995" w:rsidRDefault="00E63995" w:rsidP="00110E98">
      <w:pPr>
        <w:spacing w:after="0" w:line="240" w:lineRule="auto"/>
      </w:pPr>
      <w:r>
        <w:continuationSeparator/>
      </w:r>
    </w:p>
  </w:footnote>
  <w:footnote w:id="1">
    <w:p w14:paraId="1C1CE427" w14:textId="77777777" w:rsidR="00E63995" w:rsidRPr="00F326BA" w:rsidRDefault="00E63995" w:rsidP="00324CD8">
      <w:pPr>
        <w:spacing w:after="0"/>
        <w:rPr>
          <w:rFonts w:asciiTheme="majorHAnsi" w:hAnsiTheme="majorHAnsi"/>
        </w:rPr>
      </w:pPr>
      <w:r w:rsidRPr="00F326BA">
        <w:rPr>
          <w:rFonts w:asciiTheme="majorHAnsi" w:eastAsia="Times New Roman" w:hAnsiTheme="majorHAnsi"/>
          <w:sz w:val="20"/>
          <w:szCs w:val="20"/>
        </w:rPr>
        <w:footnoteRef/>
      </w:r>
      <w:r w:rsidRPr="00F326BA">
        <w:rPr>
          <w:rFonts w:asciiTheme="majorHAnsi" w:eastAsia="Times New Roman" w:hAnsiTheme="majorHAnsi" w:cs="Times New Roman"/>
          <w:sz w:val="20"/>
          <w:szCs w:val="20"/>
        </w:rPr>
        <w:t xml:space="preserve"> In Massachusetts, the maximum amount of certain credits claimed by a corporate excise taxpayer may not exceed 50% of the taxpayer’s tax liability.</w:t>
      </w:r>
      <w:r w:rsidRPr="003A6C72">
        <w:rPr>
          <w:rFonts w:asciiTheme="majorHAnsi" w:eastAsiaTheme="majorEastAsia" w:hAnsiTheme="majorHAnsi" w:cstheme="majorBidi"/>
          <w:bCs/>
          <w:color w:val="000000" w:themeColor="text1"/>
          <w:sz w:val="24"/>
          <w:szCs w:val="24"/>
        </w:rPr>
        <w:t xml:space="preserve"> </w:t>
      </w:r>
    </w:p>
  </w:footnote>
  <w:footnote w:id="2">
    <w:p w14:paraId="1B695A1A" w14:textId="77777777" w:rsidR="00E63995" w:rsidRDefault="00E63995" w:rsidP="00304366">
      <w:pPr>
        <w:pStyle w:val="FootnoteText"/>
        <w:jc w:val="left"/>
      </w:pPr>
      <w:r>
        <w:rPr>
          <w:rStyle w:val="FootnoteReference"/>
        </w:rPr>
        <w:footnoteRef/>
      </w:r>
      <w:r>
        <w:t xml:space="preserve"> </w:t>
      </w:r>
      <w:r w:rsidRPr="00553268">
        <w:rPr>
          <w:rFonts w:asciiTheme="majorHAnsi" w:hAnsiTheme="majorHAnsi"/>
        </w:rPr>
        <w:t xml:space="preserve">Slide 4 of the following link provides a good illustration of “Multiplier Effect”: </w:t>
      </w:r>
      <w:hyperlink r:id="rId1" w:history="1">
        <w:r w:rsidRPr="00553268">
          <w:rPr>
            <w:rStyle w:val="Hyperlink"/>
            <w:rFonts w:asciiTheme="majorHAnsi" w:hAnsiTheme="majorHAnsi"/>
          </w:rPr>
          <w:t>https://www.ilw.com/seminars/JohnNeillCitation.pdf</w:t>
        </w:r>
      </w:hyperlink>
    </w:p>
  </w:footnote>
  <w:footnote w:id="3">
    <w:p w14:paraId="33B2582F" w14:textId="77777777" w:rsidR="00E63995" w:rsidRDefault="00E63995">
      <w:pPr>
        <w:pStyle w:val="FootnoteText"/>
      </w:pPr>
      <w:r>
        <w:rPr>
          <w:rStyle w:val="FootnoteReference"/>
        </w:rPr>
        <w:footnoteRef/>
      </w:r>
      <w:r>
        <w:t xml:space="preserve"> Including both tax and non-tax revenues.</w:t>
      </w:r>
    </w:p>
  </w:footnote>
  <w:footnote w:id="4">
    <w:p w14:paraId="5BEDDA84" w14:textId="20A6D51C" w:rsidR="00E63995" w:rsidRDefault="00E63995">
      <w:pPr>
        <w:pStyle w:val="FootnoteText"/>
      </w:pPr>
      <w:r w:rsidRPr="00553268">
        <w:rPr>
          <w:rStyle w:val="FootnoteReference"/>
          <w:rFonts w:asciiTheme="majorHAnsi" w:hAnsiTheme="majorHAnsi"/>
        </w:rPr>
        <w:footnoteRef/>
      </w:r>
      <w:r w:rsidRPr="00553268">
        <w:rPr>
          <w:rFonts w:asciiTheme="majorHAnsi" w:hAnsiTheme="majorHAnsi"/>
        </w:rPr>
        <w:t xml:space="preserve"> Tables </w:t>
      </w:r>
      <w:r>
        <w:rPr>
          <w:rFonts w:asciiTheme="majorHAnsi" w:hAnsiTheme="majorHAnsi"/>
        </w:rPr>
        <w:t>5-7</w:t>
      </w:r>
      <w:r w:rsidRPr="00553268">
        <w:rPr>
          <w:rFonts w:asciiTheme="majorHAnsi" w:hAnsiTheme="majorHAnsi"/>
        </w:rPr>
        <w:t xml:space="preserve"> show that there were 2,181 </w:t>
      </w:r>
      <w:r w:rsidRPr="00553268">
        <w:rPr>
          <w:rFonts w:asciiTheme="majorHAnsi" w:hAnsiTheme="majorHAnsi"/>
          <w:i/>
        </w:rPr>
        <w:t>claimants</w:t>
      </w:r>
      <w:r w:rsidRPr="00553268">
        <w:rPr>
          <w:rFonts w:asciiTheme="majorHAnsi" w:hAnsiTheme="majorHAnsi"/>
        </w:rPr>
        <w:t xml:space="preserve"> for the credit in 2017, which</w:t>
      </w:r>
      <w:r w:rsidRPr="00553268">
        <w:rPr>
          <w:rFonts w:asciiTheme="majorHAnsi" w:eastAsiaTheme="majorEastAsia" w:hAnsiTheme="majorHAnsi" w:cstheme="majorBidi"/>
          <w:bCs/>
          <w:color w:val="000000" w:themeColor="text1"/>
        </w:rPr>
        <w:t xml:space="preserve"> is slightly lower than the 2,243 </w:t>
      </w:r>
      <w:r w:rsidRPr="00553268">
        <w:rPr>
          <w:rFonts w:asciiTheme="majorHAnsi" w:eastAsiaTheme="majorEastAsia" w:hAnsiTheme="majorHAnsi" w:cstheme="majorBidi"/>
          <w:bCs/>
          <w:i/>
          <w:color w:val="000000" w:themeColor="text1"/>
          <w:u w:val="single"/>
        </w:rPr>
        <w:t>claims</w:t>
      </w:r>
      <w:r w:rsidRPr="00553268">
        <w:rPr>
          <w:rFonts w:asciiTheme="majorHAnsi" w:eastAsiaTheme="majorEastAsia" w:hAnsiTheme="majorHAnsi" w:cstheme="majorBidi"/>
          <w:bCs/>
          <w:color w:val="000000" w:themeColor="text1"/>
        </w:rPr>
        <w:t xml:space="preserve"> reported in Table </w:t>
      </w:r>
      <w:r w:rsidR="00C237EE">
        <w:rPr>
          <w:rFonts w:asciiTheme="majorHAnsi" w:eastAsiaTheme="majorEastAsia" w:hAnsiTheme="majorHAnsi" w:cstheme="majorBidi"/>
          <w:bCs/>
          <w:color w:val="000000" w:themeColor="text1"/>
        </w:rPr>
        <w:t>2</w:t>
      </w:r>
      <w:r w:rsidRPr="00553268">
        <w:rPr>
          <w:rFonts w:asciiTheme="majorHAnsi" w:eastAsiaTheme="majorEastAsia" w:hAnsiTheme="majorHAnsi" w:cstheme="majorBidi"/>
          <w:bCs/>
          <w:color w:val="000000" w:themeColor="text1"/>
        </w:rPr>
        <w:t>. There are two reasons for this difference. First, for combined reporting corporate tax filers, the data sets for credits include only the parent corporation’s identification number. So, we were not able to match with other data sets that include information on employees, NAICS codes, etc. at the subsidiary company level. Second, there were rare cases in which a claimant had more than one claim. For</w:t>
      </w:r>
      <w:r>
        <w:rPr>
          <w:rFonts w:asciiTheme="majorHAnsi" w:eastAsiaTheme="majorEastAsia" w:hAnsiTheme="majorHAnsi" w:cstheme="majorBidi"/>
          <w:bCs/>
          <w:color w:val="000000" w:themeColor="text1"/>
          <w:sz w:val="24"/>
          <w:szCs w:val="24"/>
        </w:rPr>
        <w:t xml:space="preserve"> </w:t>
      </w:r>
      <w:r w:rsidRPr="00553268">
        <w:rPr>
          <w:rFonts w:asciiTheme="majorHAnsi" w:eastAsiaTheme="majorEastAsia" w:hAnsiTheme="majorHAnsi" w:cstheme="majorBidi"/>
          <w:bCs/>
          <w:color w:val="000000" w:themeColor="text1"/>
        </w:rPr>
        <w:t>example, some taxpayers within a combined group may have taken part of the available</w:t>
      </w:r>
      <w:r>
        <w:rPr>
          <w:rFonts w:asciiTheme="majorHAnsi" w:eastAsiaTheme="majorEastAsia" w:hAnsiTheme="majorHAnsi" w:cstheme="majorBidi"/>
          <w:bCs/>
          <w:color w:val="000000" w:themeColor="text1"/>
          <w:sz w:val="24"/>
          <w:szCs w:val="24"/>
        </w:rPr>
        <w:t xml:space="preserve"> </w:t>
      </w:r>
      <w:r w:rsidRPr="00553268">
        <w:rPr>
          <w:rFonts w:asciiTheme="majorHAnsi" w:eastAsiaTheme="majorEastAsia" w:hAnsiTheme="majorHAnsi" w:cstheme="majorBidi"/>
          <w:bCs/>
          <w:color w:val="000000" w:themeColor="text1"/>
        </w:rPr>
        <w:t>credit and shared</w:t>
      </w:r>
      <w:r>
        <w:rPr>
          <w:rFonts w:asciiTheme="majorHAnsi" w:eastAsiaTheme="majorEastAsia" w:hAnsiTheme="majorHAnsi" w:cstheme="majorBidi"/>
          <w:bCs/>
          <w:color w:val="000000" w:themeColor="text1"/>
          <w:sz w:val="24"/>
          <w:szCs w:val="24"/>
        </w:rPr>
        <w:t xml:space="preserve"> </w:t>
      </w:r>
      <w:r w:rsidRPr="00553268">
        <w:rPr>
          <w:rFonts w:asciiTheme="majorHAnsi" w:eastAsiaTheme="majorEastAsia" w:hAnsiTheme="majorHAnsi" w:cstheme="majorBidi"/>
          <w:bCs/>
          <w:color w:val="000000" w:themeColor="text1"/>
        </w:rPr>
        <w:t>the remainder with other members (all claims are counted under the name of the parent corporation).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024C9" w14:textId="5BD31F78" w:rsidR="00EE0267" w:rsidRDefault="00EE0267">
    <w:pPr>
      <w:pStyle w:val="Header"/>
    </w:pPr>
    <w:r>
      <w:rPr>
        <w:noProof/>
      </w:rPr>
      <w:pict w14:anchorId="4864BD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53532" o:spid="_x0000_s10242"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5FFCE" w14:textId="2716E821" w:rsidR="00E63995" w:rsidRDefault="00EE0267">
    <w:pPr>
      <w:pStyle w:val="Header"/>
    </w:pPr>
    <w:r>
      <w:rPr>
        <w:noProof/>
      </w:rPr>
      <w:pict w14:anchorId="0BF09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53533" o:spid="_x0000_s10243"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50E0A" w14:textId="4232A970" w:rsidR="00EE0267" w:rsidRDefault="00EE0267">
    <w:pPr>
      <w:pStyle w:val="Header"/>
    </w:pPr>
    <w:r>
      <w:rPr>
        <w:noProof/>
      </w:rPr>
      <w:pict w14:anchorId="73A5F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53531" o:spid="_x0000_s1024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0F66D" w14:textId="685DDB68" w:rsidR="00EE0267" w:rsidRDefault="00EE0267">
    <w:pPr>
      <w:pStyle w:val="Header"/>
    </w:pPr>
    <w:r>
      <w:rPr>
        <w:noProof/>
      </w:rPr>
      <w:pict w14:anchorId="068CF3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53535" o:spid="_x0000_s10245"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B48D4" w14:textId="6A45265E" w:rsidR="00EE0267" w:rsidRDefault="00EE0267">
    <w:pPr>
      <w:pStyle w:val="Header"/>
    </w:pPr>
    <w:r>
      <w:rPr>
        <w:noProof/>
      </w:rPr>
      <w:pict w14:anchorId="0FE1F3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53536" o:spid="_x0000_s10246" type="#_x0000_t136" style="position:absolute;margin-left:0;margin-top:0;width:412.4pt;height:247.45pt;rotation:315;z-index:-25164697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95C2E" w14:textId="4FB87380" w:rsidR="00EE0267" w:rsidRDefault="00EE0267">
    <w:pPr>
      <w:pStyle w:val="Header"/>
    </w:pPr>
    <w:r>
      <w:rPr>
        <w:noProof/>
      </w:rPr>
      <w:pict w14:anchorId="35F33E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53534" o:spid="_x0000_s10244"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62837"/>
    <w:multiLevelType w:val="multilevel"/>
    <w:tmpl w:val="0D08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82913"/>
    <w:multiLevelType w:val="hybridMultilevel"/>
    <w:tmpl w:val="0D1C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23B59"/>
    <w:multiLevelType w:val="multilevel"/>
    <w:tmpl w:val="EDB2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DE6CED"/>
    <w:multiLevelType w:val="hybridMultilevel"/>
    <w:tmpl w:val="1408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F1DB1"/>
    <w:multiLevelType w:val="hybridMultilevel"/>
    <w:tmpl w:val="9EA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1580B"/>
    <w:multiLevelType w:val="hybridMultilevel"/>
    <w:tmpl w:val="AC84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7149C6"/>
    <w:multiLevelType w:val="hybridMultilevel"/>
    <w:tmpl w:val="E2C6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7"/>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F3F"/>
    <w:rsid w:val="00000179"/>
    <w:rsid w:val="00003921"/>
    <w:rsid w:val="0000728B"/>
    <w:rsid w:val="00011C7F"/>
    <w:rsid w:val="00017441"/>
    <w:rsid w:val="00024742"/>
    <w:rsid w:val="000279A7"/>
    <w:rsid w:val="00030EED"/>
    <w:rsid w:val="00033774"/>
    <w:rsid w:val="000379B8"/>
    <w:rsid w:val="000411A8"/>
    <w:rsid w:val="0004179B"/>
    <w:rsid w:val="0004275A"/>
    <w:rsid w:val="00045225"/>
    <w:rsid w:val="00046C6A"/>
    <w:rsid w:val="00052381"/>
    <w:rsid w:val="000605A7"/>
    <w:rsid w:val="00066F7A"/>
    <w:rsid w:val="0007731D"/>
    <w:rsid w:val="00080D10"/>
    <w:rsid w:val="00096574"/>
    <w:rsid w:val="0009772E"/>
    <w:rsid w:val="000A7777"/>
    <w:rsid w:val="000B09CA"/>
    <w:rsid w:val="000B33B6"/>
    <w:rsid w:val="000C0361"/>
    <w:rsid w:val="000C3C23"/>
    <w:rsid w:val="000C56D9"/>
    <w:rsid w:val="000C6FB6"/>
    <w:rsid w:val="000D3ABD"/>
    <w:rsid w:val="000D3D82"/>
    <w:rsid w:val="000D5E50"/>
    <w:rsid w:val="000E3178"/>
    <w:rsid w:val="000F370B"/>
    <w:rsid w:val="000F3809"/>
    <w:rsid w:val="000F71BC"/>
    <w:rsid w:val="000F7B86"/>
    <w:rsid w:val="00105390"/>
    <w:rsid w:val="00107420"/>
    <w:rsid w:val="00107835"/>
    <w:rsid w:val="00110B1E"/>
    <w:rsid w:val="00110E98"/>
    <w:rsid w:val="00114097"/>
    <w:rsid w:val="00122D60"/>
    <w:rsid w:val="0013367A"/>
    <w:rsid w:val="00141566"/>
    <w:rsid w:val="00156AAE"/>
    <w:rsid w:val="00162AF1"/>
    <w:rsid w:val="00180E45"/>
    <w:rsid w:val="00183ABF"/>
    <w:rsid w:val="001A418E"/>
    <w:rsid w:val="001A427B"/>
    <w:rsid w:val="001B6468"/>
    <w:rsid w:val="001C66AE"/>
    <w:rsid w:val="001C7789"/>
    <w:rsid w:val="001D112A"/>
    <w:rsid w:val="001E6CEC"/>
    <w:rsid w:val="001E706A"/>
    <w:rsid w:val="00210992"/>
    <w:rsid w:val="002116BE"/>
    <w:rsid w:val="00213087"/>
    <w:rsid w:val="00223B10"/>
    <w:rsid w:val="002279D6"/>
    <w:rsid w:val="00235025"/>
    <w:rsid w:val="00235EBA"/>
    <w:rsid w:val="00245D07"/>
    <w:rsid w:val="00251113"/>
    <w:rsid w:val="00252518"/>
    <w:rsid w:val="0025473D"/>
    <w:rsid w:val="00254BDC"/>
    <w:rsid w:val="00254EDE"/>
    <w:rsid w:val="002605B2"/>
    <w:rsid w:val="002768F2"/>
    <w:rsid w:val="00282EBF"/>
    <w:rsid w:val="00284C8E"/>
    <w:rsid w:val="0028699E"/>
    <w:rsid w:val="00287303"/>
    <w:rsid w:val="00291074"/>
    <w:rsid w:val="002916DE"/>
    <w:rsid w:val="00293A6B"/>
    <w:rsid w:val="0029491A"/>
    <w:rsid w:val="002958F7"/>
    <w:rsid w:val="002970B4"/>
    <w:rsid w:val="002A4E90"/>
    <w:rsid w:val="002A54D6"/>
    <w:rsid w:val="002A71E8"/>
    <w:rsid w:val="002B62D1"/>
    <w:rsid w:val="002C17F9"/>
    <w:rsid w:val="002D40F9"/>
    <w:rsid w:val="002D74AE"/>
    <w:rsid w:val="002F0CD9"/>
    <w:rsid w:val="002F10DB"/>
    <w:rsid w:val="002F16C0"/>
    <w:rsid w:val="002F401E"/>
    <w:rsid w:val="002F5704"/>
    <w:rsid w:val="002F71B7"/>
    <w:rsid w:val="00303B9E"/>
    <w:rsid w:val="00304366"/>
    <w:rsid w:val="00313275"/>
    <w:rsid w:val="003140FC"/>
    <w:rsid w:val="0031506A"/>
    <w:rsid w:val="003164DC"/>
    <w:rsid w:val="003173AE"/>
    <w:rsid w:val="003229C4"/>
    <w:rsid w:val="00324CD8"/>
    <w:rsid w:val="0033760C"/>
    <w:rsid w:val="003442DB"/>
    <w:rsid w:val="00344841"/>
    <w:rsid w:val="00346043"/>
    <w:rsid w:val="00355122"/>
    <w:rsid w:val="00355A51"/>
    <w:rsid w:val="00362524"/>
    <w:rsid w:val="00371FC5"/>
    <w:rsid w:val="00374A10"/>
    <w:rsid w:val="003808A5"/>
    <w:rsid w:val="00380D5D"/>
    <w:rsid w:val="00381B41"/>
    <w:rsid w:val="00383616"/>
    <w:rsid w:val="003929E2"/>
    <w:rsid w:val="00393850"/>
    <w:rsid w:val="0039468F"/>
    <w:rsid w:val="003950EE"/>
    <w:rsid w:val="00395A15"/>
    <w:rsid w:val="003A6C72"/>
    <w:rsid w:val="003B2569"/>
    <w:rsid w:val="003C1362"/>
    <w:rsid w:val="003C4B67"/>
    <w:rsid w:val="003D2F49"/>
    <w:rsid w:val="003D36FB"/>
    <w:rsid w:val="003D5912"/>
    <w:rsid w:val="003D6080"/>
    <w:rsid w:val="003E4FF5"/>
    <w:rsid w:val="003E71AD"/>
    <w:rsid w:val="003E788E"/>
    <w:rsid w:val="004005BE"/>
    <w:rsid w:val="0040172E"/>
    <w:rsid w:val="0041133E"/>
    <w:rsid w:val="00415AC1"/>
    <w:rsid w:val="00426548"/>
    <w:rsid w:val="004351B8"/>
    <w:rsid w:val="00437760"/>
    <w:rsid w:val="0044014D"/>
    <w:rsid w:val="00451871"/>
    <w:rsid w:val="00453E31"/>
    <w:rsid w:val="00454C27"/>
    <w:rsid w:val="00462148"/>
    <w:rsid w:val="0047703C"/>
    <w:rsid w:val="00481819"/>
    <w:rsid w:val="00481E5A"/>
    <w:rsid w:val="00484F13"/>
    <w:rsid w:val="00485FBB"/>
    <w:rsid w:val="00486F3F"/>
    <w:rsid w:val="00497933"/>
    <w:rsid w:val="004A1129"/>
    <w:rsid w:val="004A3B69"/>
    <w:rsid w:val="004A4CF1"/>
    <w:rsid w:val="004A569B"/>
    <w:rsid w:val="004B1182"/>
    <w:rsid w:val="004B14D0"/>
    <w:rsid w:val="004B18FB"/>
    <w:rsid w:val="004B55BA"/>
    <w:rsid w:val="004C0367"/>
    <w:rsid w:val="004C45A3"/>
    <w:rsid w:val="004C4EC4"/>
    <w:rsid w:val="004D54CC"/>
    <w:rsid w:val="004E082D"/>
    <w:rsid w:val="00500265"/>
    <w:rsid w:val="00503DFA"/>
    <w:rsid w:val="00515EE7"/>
    <w:rsid w:val="00517111"/>
    <w:rsid w:val="005230BE"/>
    <w:rsid w:val="00544662"/>
    <w:rsid w:val="00544C3B"/>
    <w:rsid w:val="00552025"/>
    <w:rsid w:val="005529C5"/>
    <w:rsid w:val="00553268"/>
    <w:rsid w:val="00565D22"/>
    <w:rsid w:val="00567D60"/>
    <w:rsid w:val="005714F4"/>
    <w:rsid w:val="00571D96"/>
    <w:rsid w:val="00574416"/>
    <w:rsid w:val="0057465F"/>
    <w:rsid w:val="00576773"/>
    <w:rsid w:val="00586854"/>
    <w:rsid w:val="005909D9"/>
    <w:rsid w:val="0059122E"/>
    <w:rsid w:val="00595A07"/>
    <w:rsid w:val="005962E2"/>
    <w:rsid w:val="005A05D1"/>
    <w:rsid w:val="005A0637"/>
    <w:rsid w:val="005A53F3"/>
    <w:rsid w:val="005B0282"/>
    <w:rsid w:val="005B1BBE"/>
    <w:rsid w:val="005B4C3C"/>
    <w:rsid w:val="005B5E8A"/>
    <w:rsid w:val="005C1621"/>
    <w:rsid w:val="005C518C"/>
    <w:rsid w:val="005D0E2E"/>
    <w:rsid w:val="005E4A6B"/>
    <w:rsid w:val="005F25AF"/>
    <w:rsid w:val="005F6D3F"/>
    <w:rsid w:val="005F74C7"/>
    <w:rsid w:val="006016F3"/>
    <w:rsid w:val="00605204"/>
    <w:rsid w:val="00607194"/>
    <w:rsid w:val="00610071"/>
    <w:rsid w:val="00612D6B"/>
    <w:rsid w:val="00615AC1"/>
    <w:rsid w:val="00617863"/>
    <w:rsid w:val="00617F61"/>
    <w:rsid w:val="00632EF6"/>
    <w:rsid w:val="00640233"/>
    <w:rsid w:val="006501E0"/>
    <w:rsid w:val="006531DF"/>
    <w:rsid w:val="00653319"/>
    <w:rsid w:val="00663EF5"/>
    <w:rsid w:val="00664139"/>
    <w:rsid w:val="006641A5"/>
    <w:rsid w:val="00667215"/>
    <w:rsid w:val="00673DD0"/>
    <w:rsid w:val="00677E44"/>
    <w:rsid w:val="0068069F"/>
    <w:rsid w:val="0068614D"/>
    <w:rsid w:val="00690F77"/>
    <w:rsid w:val="006958A8"/>
    <w:rsid w:val="006A209C"/>
    <w:rsid w:val="006A75D6"/>
    <w:rsid w:val="006C5EDA"/>
    <w:rsid w:val="006D06B4"/>
    <w:rsid w:val="006D2A2B"/>
    <w:rsid w:val="006E592F"/>
    <w:rsid w:val="006E6289"/>
    <w:rsid w:val="006E637C"/>
    <w:rsid w:val="006F4DB1"/>
    <w:rsid w:val="006F7F9E"/>
    <w:rsid w:val="00701CAA"/>
    <w:rsid w:val="007259AF"/>
    <w:rsid w:val="00727582"/>
    <w:rsid w:val="00735033"/>
    <w:rsid w:val="007361C4"/>
    <w:rsid w:val="00737252"/>
    <w:rsid w:val="00740D3D"/>
    <w:rsid w:val="0074239C"/>
    <w:rsid w:val="007444A7"/>
    <w:rsid w:val="00756639"/>
    <w:rsid w:val="007601B1"/>
    <w:rsid w:val="00760FA8"/>
    <w:rsid w:val="00773CA7"/>
    <w:rsid w:val="0077574F"/>
    <w:rsid w:val="00775A35"/>
    <w:rsid w:val="00782F7E"/>
    <w:rsid w:val="007849D9"/>
    <w:rsid w:val="00796258"/>
    <w:rsid w:val="007A3349"/>
    <w:rsid w:val="007B2294"/>
    <w:rsid w:val="007B7F0A"/>
    <w:rsid w:val="007C3ABD"/>
    <w:rsid w:val="007D0AA7"/>
    <w:rsid w:val="007D1B2A"/>
    <w:rsid w:val="007D2105"/>
    <w:rsid w:val="007D230E"/>
    <w:rsid w:val="007D6742"/>
    <w:rsid w:val="007D7B16"/>
    <w:rsid w:val="007E08B7"/>
    <w:rsid w:val="007F1706"/>
    <w:rsid w:val="007F4A86"/>
    <w:rsid w:val="00810202"/>
    <w:rsid w:val="00820ACA"/>
    <w:rsid w:val="00820C6E"/>
    <w:rsid w:val="0082323C"/>
    <w:rsid w:val="00832811"/>
    <w:rsid w:val="008337C2"/>
    <w:rsid w:val="00837692"/>
    <w:rsid w:val="00840862"/>
    <w:rsid w:val="00841240"/>
    <w:rsid w:val="00843C78"/>
    <w:rsid w:val="0085655B"/>
    <w:rsid w:val="00870D97"/>
    <w:rsid w:val="008727BB"/>
    <w:rsid w:val="00880398"/>
    <w:rsid w:val="00881147"/>
    <w:rsid w:val="00892692"/>
    <w:rsid w:val="008937DE"/>
    <w:rsid w:val="0089586A"/>
    <w:rsid w:val="008A5B07"/>
    <w:rsid w:val="008A691C"/>
    <w:rsid w:val="008B3DDE"/>
    <w:rsid w:val="008C2341"/>
    <w:rsid w:val="008C76FF"/>
    <w:rsid w:val="008D21B2"/>
    <w:rsid w:val="008D69C0"/>
    <w:rsid w:val="008E54DA"/>
    <w:rsid w:val="008F432D"/>
    <w:rsid w:val="008F5986"/>
    <w:rsid w:val="0090105B"/>
    <w:rsid w:val="00907C7E"/>
    <w:rsid w:val="009108E2"/>
    <w:rsid w:val="00921525"/>
    <w:rsid w:val="009223DE"/>
    <w:rsid w:val="00955760"/>
    <w:rsid w:val="009665E4"/>
    <w:rsid w:val="00971513"/>
    <w:rsid w:val="00982D94"/>
    <w:rsid w:val="00991479"/>
    <w:rsid w:val="009929FE"/>
    <w:rsid w:val="009B3E6C"/>
    <w:rsid w:val="009B4613"/>
    <w:rsid w:val="009C26C5"/>
    <w:rsid w:val="009C7D4B"/>
    <w:rsid w:val="009D72C8"/>
    <w:rsid w:val="009E356B"/>
    <w:rsid w:val="009E5BA0"/>
    <w:rsid w:val="00A07796"/>
    <w:rsid w:val="00A13D2E"/>
    <w:rsid w:val="00A16073"/>
    <w:rsid w:val="00A23654"/>
    <w:rsid w:val="00A24D0A"/>
    <w:rsid w:val="00A300F0"/>
    <w:rsid w:val="00A410BE"/>
    <w:rsid w:val="00A42DD4"/>
    <w:rsid w:val="00A436C8"/>
    <w:rsid w:val="00A45081"/>
    <w:rsid w:val="00A504B9"/>
    <w:rsid w:val="00A50858"/>
    <w:rsid w:val="00A6097D"/>
    <w:rsid w:val="00A74473"/>
    <w:rsid w:val="00A7505C"/>
    <w:rsid w:val="00A81EF2"/>
    <w:rsid w:val="00A846CA"/>
    <w:rsid w:val="00A90779"/>
    <w:rsid w:val="00A9394D"/>
    <w:rsid w:val="00A94CCD"/>
    <w:rsid w:val="00A97E41"/>
    <w:rsid w:val="00AB2F51"/>
    <w:rsid w:val="00AB6543"/>
    <w:rsid w:val="00AC31F3"/>
    <w:rsid w:val="00AD2A39"/>
    <w:rsid w:val="00AE1839"/>
    <w:rsid w:val="00AE727B"/>
    <w:rsid w:val="00AE753E"/>
    <w:rsid w:val="00AF016C"/>
    <w:rsid w:val="00AF0561"/>
    <w:rsid w:val="00B0313F"/>
    <w:rsid w:val="00B16D56"/>
    <w:rsid w:val="00B204AF"/>
    <w:rsid w:val="00B2223D"/>
    <w:rsid w:val="00B22F9D"/>
    <w:rsid w:val="00B278D8"/>
    <w:rsid w:val="00B31D5A"/>
    <w:rsid w:val="00B346BA"/>
    <w:rsid w:val="00B37DB1"/>
    <w:rsid w:val="00B44D1B"/>
    <w:rsid w:val="00B46921"/>
    <w:rsid w:val="00B50912"/>
    <w:rsid w:val="00B6239F"/>
    <w:rsid w:val="00B739ED"/>
    <w:rsid w:val="00B77D67"/>
    <w:rsid w:val="00B80C28"/>
    <w:rsid w:val="00B84E97"/>
    <w:rsid w:val="00B8543E"/>
    <w:rsid w:val="00B87C19"/>
    <w:rsid w:val="00B95E4E"/>
    <w:rsid w:val="00B9779D"/>
    <w:rsid w:val="00BC3CB2"/>
    <w:rsid w:val="00BC6806"/>
    <w:rsid w:val="00BD3224"/>
    <w:rsid w:val="00BE01E6"/>
    <w:rsid w:val="00C07688"/>
    <w:rsid w:val="00C128E6"/>
    <w:rsid w:val="00C13EC2"/>
    <w:rsid w:val="00C14297"/>
    <w:rsid w:val="00C237EE"/>
    <w:rsid w:val="00C24414"/>
    <w:rsid w:val="00C25B36"/>
    <w:rsid w:val="00C32606"/>
    <w:rsid w:val="00C339BF"/>
    <w:rsid w:val="00C546F4"/>
    <w:rsid w:val="00C55640"/>
    <w:rsid w:val="00C719C2"/>
    <w:rsid w:val="00C71EA0"/>
    <w:rsid w:val="00C868F1"/>
    <w:rsid w:val="00C87445"/>
    <w:rsid w:val="00C90660"/>
    <w:rsid w:val="00C93F09"/>
    <w:rsid w:val="00C95B6E"/>
    <w:rsid w:val="00C97207"/>
    <w:rsid w:val="00C9744F"/>
    <w:rsid w:val="00CA2BBF"/>
    <w:rsid w:val="00CA5596"/>
    <w:rsid w:val="00CA7149"/>
    <w:rsid w:val="00CB100B"/>
    <w:rsid w:val="00CB1A21"/>
    <w:rsid w:val="00CB5581"/>
    <w:rsid w:val="00CC05CE"/>
    <w:rsid w:val="00CC208F"/>
    <w:rsid w:val="00CD4D6B"/>
    <w:rsid w:val="00CE5665"/>
    <w:rsid w:val="00CE59EB"/>
    <w:rsid w:val="00CF41DD"/>
    <w:rsid w:val="00D010CE"/>
    <w:rsid w:val="00D04794"/>
    <w:rsid w:val="00D13A50"/>
    <w:rsid w:val="00D22570"/>
    <w:rsid w:val="00D27042"/>
    <w:rsid w:val="00D31892"/>
    <w:rsid w:val="00D363DB"/>
    <w:rsid w:val="00D4431A"/>
    <w:rsid w:val="00D44B74"/>
    <w:rsid w:val="00D4544F"/>
    <w:rsid w:val="00D513C4"/>
    <w:rsid w:val="00D52091"/>
    <w:rsid w:val="00D52648"/>
    <w:rsid w:val="00D543EC"/>
    <w:rsid w:val="00D65841"/>
    <w:rsid w:val="00D66A8B"/>
    <w:rsid w:val="00D67629"/>
    <w:rsid w:val="00D73F36"/>
    <w:rsid w:val="00D74361"/>
    <w:rsid w:val="00D76F2E"/>
    <w:rsid w:val="00D80D2E"/>
    <w:rsid w:val="00D86111"/>
    <w:rsid w:val="00D92C03"/>
    <w:rsid w:val="00DA23BA"/>
    <w:rsid w:val="00DB797B"/>
    <w:rsid w:val="00DC5EA1"/>
    <w:rsid w:val="00DC6A18"/>
    <w:rsid w:val="00DD1325"/>
    <w:rsid w:val="00DD3969"/>
    <w:rsid w:val="00DD78A7"/>
    <w:rsid w:val="00DE07D6"/>
    <w:rsid w:val="00DE0DA2"/>
    <w:rsid w:val="00DE0F84"/>
    <w:rsid w:val="00DE1471"/>
    <w:rsid w:val="00DE64EC"/>
    <w:rsid w:val="00E06717"/>
    <w:rsid w:val="00E10AB1"/>
    <w:rsid w:val="00E17BA0"/>
    <w:rsid w:val="00E21207"/>
    <w:rsid w:val="00E31246"/>
    <w:rsid w:val="00E36E87"/>
    <w:rsid w:val="00E4532C"/>
    <w:rsid w:val="00E51907"/>
    <w:rsid w:val="00E63995"/>
    <w:rsid w:val="00E65DE4"/>
    <w:rsid w:val="00E671DE"/>
    <w:rsid w:val="00E7272C"/>
    <w:rsid w:val="00E77ACF"/>
    <w:rsid w:val="00E81D0C"/>
    <w:rsid w:val="00E8312A"/>
    <w:rsid w:val="00E8549A"/>
    <w:rsid w:val="00E916E8"/>
    <w:rsid w:val="00E92C1D"/>
    <w:rsid w:val="00E94EC9"/>
    <w:rsid w:val="00EA3910"/>
    <w:rsid w:val="00EB40E2"/>
    <w:rsid w:val="00EB56F2"/>
    <w:rsid w:val="00ED27E6"/>
    <w:rsid w:val="00ED3285"/>
    <w:rsid w:val="00ED4589"/>
    <w:rsid w:val="00ED60DA"/>
    <w:rsid w:val="00ED7BC7"/>
    <w:rsid w:val="00EE0267"/>
    <w:rsid w:val="00EE28C1"/>
    <w:rsid w:val="00EF097D"/>
    <w:rsid w:val="00EF4AAA"/>
    <w:rsid w:val="00F065BC"/>
    <w:rsid w:val="00F06A1C"/>
    <w:rsid w:val="00F076B1"/>
    <w:rsid w:val="00F07F1E"/>
    <w:rsid w:val="00F14FB9"/>
    <w:rsid w:val="00F22DAA"/>
    <w:rsid w:val="00F24AE3"/>
    <w:rsid w:val="00F326BA"/>
    <w:rsid w:val="00F448F1"/>
    <w:rsid w:val="00F461DB"/>
    <w:rsid w:val="00F46B5C"/>
    <w:rsid w:val="00F51224"/>
    <w:rsid w:val="00F5521C"/>
    <w:rsid w:val="00F55279"/>
    <w:rsid w:val="00F627BA"/>
    <w:rsid w:val="00F629CD"/>
    <w:rsid w:val="00F64AD9"/>
    <w:rsid w:val="00F746F2"/>
    <w:rsid w:val="00F7554B"/>
    <w:rsid w:val="00F7586D"/>
    <w:rsid w:val="00F77841"/>
    <w:rsid w:val="00F82F4E"/>
    <w:rsid w:val="00FC200F"/>
    <w:rsid w:val="00FC7795"/>
    <w:rsid w:val="00FD407A"/>
    <w:rsid w:val="00FD52FF"/>
    <w:rsid w:val="00FD55DF"/>
    <w:rsid w:val="00FE3296"/>
    <w:rsid w:val="00FE44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7"/>
    <o:shapelayout v:ext="edit">
      <o:idmap v:ext="edit" data="1"/>
    </o:shapelayout>
  </w:shapeDefaults>
  <w:decimalSymbol w:val="."/>
  <w:listSeparator w:val=","/>
  <w14:docId w14:val="19BD55AF"/>
  <w15:docId w15:val="{2F59111A-465F-4BB7-99BC-212138B8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532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841"/>
    <w:rPr>
      <w:rFonts w:ascii="Tahoma" w:hAnsi="Tahoma" w:cs="Tahoma"/>
      <w:sz w:val="16"/>
      <w:szCs w:val="16"/>
    </w:rPr>
  </w:style>
  <w:style w:type="table" w:styleId="TableGrid">
    <w:name w:val="Table Grid"/>
    <w:basedOn w:val="TableNormal"/>
    <w:uiPriority w:val="59"/>
    <w:rsid w:val="00A8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46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A846C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
    <w:name w:val="Medium Shading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A846C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customStyle="1" w:styleId="Default">
    <w:name w:val="Default"/>
    <w:rsid w:val="00245D07"/>
    <w:pPr>
      <w:autoSpaceDE w:val="0"/>
      <w:autoSpaceDN w:val="0"/>
      <w:adjustRightInd w:val="0"/>
      <w:spacing w:after="0" w:line="240" w:lineRule="auto"/>
    </w:pPr>
    <w:rPr>
      <w:rFonts w:ascii="Sabon LT Std" w:hAnsi="Sabon LT Std" w:cs="Sabon LT Std"/>
      <w:color w:val="000000"/>
      <w:sz w:val="24"/>
      <w:szCs w:val="24"/>
    </w:rPr>
  </w:style>
  <w:style w:type="paragraph" w:styleId="FootnoteText">
    <w:name w:val="footnote text"/>
    <w:basedOn w:val="Normal"/>
    <w:link w:val="FootnoteTextChar"/>
    <w:semiHidden/>
    <w:rsid w:val="00110E98"/>
    <w:pPr>
      <w:tabs>
        <w:tab w:val="left" w:pos="360"/>
        <w:tab w:val="left" w:pos="720"/>
        <w:tab w:val="left" w:pos="1080"/>
        <w:tab w:val="left" w:pos="1440"/>
        <w:tab w:val="right" w:pos="9360"/>
      </w:tabs>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10E98"/>
    <w:rPr>
      <w:rFonts w:ascii="Times New Roman" w:eastAsia="Times New Roman" w:hAnsi="Times New Roman" w:cs="Times New Roman"/>
      <w:sz w:val="20"/>
      <w:szCs w:val="20"/>
    </w:rPr>
  </w:style>
  <w:style w:type="character" w:styleId="FootnoteReference">
    <w:name w:val="footnote reference"/>
    <w:semiHidden/>
    <w:rsid w:val="00110E98"/>
    <w:rPr>
      <w:rFonts w:cs="Times New Roman"/>
      <w:vertAlign w:val="superscript"/>
    </w:rPr>
  </w:style>
  <w:style w:type="character" w:styleId="Hyperlink">
    <w:name w:val="Hyperlink"/>
    <w:rsid w:val="00110E98"/>
    <w:rPr>
      <w:rFonts w:cs="Times New Roman"/>
      <w:color w:val="0000FF"/>
      <w:u w:val="single"/>
    </w:rPr>
  </w:style>
  <w:style w:type="paragraph" w:styleId="ListParagraph">
    <w:name w:val="List Paragraph"/>
    <w:basedOn w:val="Normal"/>
    <w:uiPriority w:val="34"/>
    <w:qFormat/>
    <w:rsid w:val="00D80D2E"/>
    <w:pPr>
      <w:ind w:left="720"/>
      <w:contextualSpacing/>
    </w:pPr>
  </w:style>
  <w:style w:type="paragraph" w:styleId="Header">
    <w:name w:val="header"/>
    <w:basedOn w:val="Normal"/>
    <w:link w:val="HeaderChar"/>
    <w:uiPriority w:val="99"/>
    <w:unhideWhenUsed/>
    <w:rsid w:val="00B2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4AF"/>
  </w:style>
  <w:style w:type="paragraph" w:styleId="Footer">
    <w:name w:val="footer"/>
    <w:basedOn w:val="Normal"/>
    <w:link w:val="FooterChar"/>
    <w:uiPriority w:val="99"/>
    <w:unhideWhenUsed/>
    <w:rsid w:val="00B2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4AF"/>
  </w:style>
  <w:style w:type="character" w:styleId="CommentReference">
    <w:name w:val="annotation reference"/>
    <w:basedOn w:val="DefaultParagraphFont"/>
    <w:uiPriority w:val="99"/>
    <w:semiHidden/>
    <w:unhideWhenUsed/>
    <w:rsid w:val="00A07796"/>
    <w:rPr>
      <w:sz w:val="16"/>
      <w:szCs w:val="16"/>
    </w:rPr>
  </w:style>
  <w:style w:type="paragraph" w:styleId="CommentText">
    <w:name w:val="annotation text"/>
    <w:basedOn w:val="Normal"/>
    <w:link w:val="CommentTextChar"/>
    <w:uiPriority w:val="99"/>
    <w:semiHidden/>
    <w:unhideWhenUsed/>
    <w:rsid w:val="00A07796"/>
    <w:pPr>
      <w:spacing w:line="240" w:lineRule="auto"/>
    </w:pPr>
    <w:rPr>
      <w:sz w:val="20"/>
      <w:szCs w:val="20"/>
    </w:rPr>
  </w:style>
  <w:style w:type="character" w:customStyle="1" w:styleId="CommentTextChar">
    <w:name w:val="Comment Text Char"/>
    <w:basedOn w:val="DefaultParagraphFont"/>
    <w:link w:val="CommentText"/>
    <w:uiPriority w:val="99"/>
    <w:semiHidden/>
    <w:rsid w:val="00A07796"/>
    <w:rPr>
      <w:sz w:val="20"/>
      <w:szCs w:val="20"/>
    </w:rPr>
  </w:style>
  <w:style w:type="paragraph" w:styleId="CommentSubject">
    <w:name w:val="annotation subject"/>
    <w:basedOn w:val="CommentText"/>
    <w:next w:val="CommentText"/>
    <w:link w:val="CommentSubjectChar"/>
    <w:uiPriority w:val="99"/>
    <w:semiHidden/>
    <w:unhideWhenUsed/>
    <w:rsid w:val="00A07796"/>
    <w:rPr>
      <w:b/>
      <w:bCs/>
    </w:rPr>
  </w:style>
  <w:style w:type="character" w:customStyle="1" w:styleId="CommentSubjectChar">
    <w:name w:val="Comment Subject Char"/>
    <w:basedOn w:val="CommentTextChar"/>
    <w:link w:val="CommentSubject"/>
    <w:uiPriority w:val="99"/>
    <w:semiHidden/>
    <w:rsid w:val="00A07796"/>
    <w:rPr>
      <w:b/>
      <w:bCs/>
      <w:sz w:val="20"/>
      <w:szCs w:val="20"/>
    </w:rPr>
  </w:style>
  <w:style w:type="character" w:customStyle="1" w:styleId="Heading1Char">
    <w:name w:val="Heading 1 Char"/>
    <w:basedOn w:val="DefaultParagraphFont"/>
    <w:link w:val="Heading1"/>
    <w:uiPriority w:val="9"/>
    <w:rsid w:val="00E4532C"/>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E4532C"/>
  </w:style>
  <w:style w:type="paragraph" w:styleId="Revision">
    <w:name w:val="Revision"/>
    <w:hidden/>
    <w:uiPriority w:val="99"/>
    <w:semiHidden/>
    <w:rsid w:val="0004179B"/>
    <w:pPr>
      <w:spacing w:after="0" w:line="240" w:lineRule="auto"/>
    </w:pPr>
  </w:style>
  <w:style w:type="paragraph" w:styleId="NormalWeb">
    <w:name w:val="Normal (Web)"/>
    <w:basedOn w:val="Normal"/>
    <w:uiPriority w:val="99"/>
    <w:semiHidden/>
    <w:unhideWhenUsed/>
    <w:rsid w:val="00773C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3CA7"/>
    <w:rPr>
      <w:b/>
      <w:bCs/>
    </w:rPr>
  </w:style>
  <w:style w:type="character" w:styleId="Emphasis">
    <w:name w:val="Emphasis"/>
    <w:basedOn w:val="DefaultParagraphFont"/>
    <w:uiPriority w:val="20"/>
    <w:qFormat/>
    <w:rsid w:val="00773CA7"/>
    <w:rPr>
      <w:i/>
      <w:iCs/>
    </w:rPr>
  </w:style>
  <w:style w:type="character" w:customStyle="1" w:styleId="UnresolvedMention1">
    <w:name w:val="Unresolved Mention1"/>
    <w:basedOn w:val="DefaultParagraphFont"/>
    <w:uiPriority w:val="99"/>
    <w:semiHidden/>
    <w:unhideWhenUsed/>
    <w:rsid w:val="00DC5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3603">
      <w:bodyDiv w:val="1"/>
      <w:marLeft w:val="0"/>
      <w:marRight w:val="0"/>
      <w:marTop w:val="0"/>
      <w:marBottom w:val="0"/>
      <w:divBdr>
        <w:top w:val="none" w:sz="0" w:space="0" w:color="auto"/>
        <w:left w:val="none" w:sz="0" w:space="0" w:color="auto"/>
        <w:bottom w:val="none" w:sz="0" w:space="0" w:color="auto"/>
        <w:right w:val="none" w:sz="0" w:space="0" w:color="auto"/>
      </w:divBdr>
    </w:div>
    <w:div w:id="151217099">
      <w:bodyDiv w:val="1"/>
      <w:marLeft w:val="0"/>
      <w:marRight w:val="0"/>
      <w:marTop w:val="0"/>
      <w:marBottom w:val="0"/>
      <w:divBdr>
        <w:top w:val="none" w:sz="0" w:space="0" w:color="auto"/>
        <w:left w:val="none" w:sz="0" w:space="0" w:color="auto"/>
        <w:bottom w:val="none" w:sz="0" w:space="0" w:color="auto"/>
        <w:right w:val="none" w:sz="0" w:space="0" w:color="auto"/>
      </w:divBdr>
    </w:div>
    <w:div w:id="169948954">
      <w:bodyDiv w:val="1"/>
      <w:marLeft w:val="0"/>
      <w:marRight w:val="0"/>
      <w:marTop w:val="0"/>
      <w:marBottom w:val="0"/>
      <w:divBdr>
        <w:top w:val="none" w:sz="0" w:space="0" w:color="auto"/>
        <w:left w:val="none" w:sz="0" w:space="0" w:color="auto"/>
        <w:bottom w:val="none" w:sz="0" w:space="0" w:color="auto"/>
        <w:right w:val="none" w:sz="0" w:space="0" w:color="auto"/>
      </w:divBdr>
    </w:div>
    <w:div w:id="186792313">
      <w:bodyDiv w:val="1"/>
      <w:marLeft w:val="0"/>
      <w:marRight w:val="0"/>
      <w:marTop w:val="0"/>
      <w:marBottom w:val="0"/>
      <w:divBdr>
        <w:top w:val="none" w:sz="0" w:space="0" w:color="auto"/>
        <w:left w:val="none" w:sz="0" w:space="0" w:color="auto"/>
        <w:bottom w:val="none" w:sz="0" w:space="0" w:color="auto"/>
        <w:right w:val="none" w:sz="0" w:space="0" w:color="auto"/>
      </w:divBdr>
    </w:div>
    <w:div w:id="243152914">
      <w:bodyDiv w:val="1"/>
      <w:marLeft w:val="0"/>
      <w:marRight w:val="0"/>
      <w:marTop w:val="0"/>
      <w:marBottom w:val="0"/>
      <w:divBdr>
        <w:top w:val="none" w:sz="0" w:space="0" w:color="auto"/>
        <w:left w:val="none" w:sz="0" w:space="0" w:color="auto"/>
        <w:bottom w:val="none" w:sz="0" w:space="0" w:color="auto"/>
        <w:right w:val="none" w:sz="0" w:space="0" w:color="auto"/>
      </w:divBdr>
    </w:div>
    <w:div w:id="253440786">
      <w:bodyDiv w:val="1"/>
      <w:marLeft w:val="0"/>
      <w:marRight w:val="0"/>
      <w:marTop w:val="0"/>
      <w:marBottom w:val="0"/>
      <w:divBdr>
        <w:top w:val="none" w:sz="0" w:space="0" w:color="auto"/>
        <w:left w:val="none" w:sz="0" w:space="0" w:color="auto"/>
        <w:bottom w:val="none" w:sz="0" w:space="0" w:color="auto"/>
        <w:right w:val="none" w:sz="0" w:space="0" w:color="auto"/>
      </w:divBdr>
    </w:div>
    <w:div w:id="289046523">
      <w:bodyDiv w:val="1"/>
      <w:marLeft w:val="0"/>
      <w:marRight w:val="0"/>
      <w:marTop w:val="0"/>
      <w:marBottom w:val="0"/>
      <w:divBdr>
        <w:top w:val="none" w:sz="0" w:space="0" w:color="auto"/>
        <w:left w:val="none" w:sz="0" w:space="0" w:color="auto"/>
        <w:bottom w:val="none" w:sz="0" w:space="0" w:color="auto"/>
        <w:right w:val="none" w:sz="0" w:space="0" w:color="auto"/>
      </w:divBdr>
    </w:div>
    <w:div w:id="481434085">
      <w:bodyDiv w:val="1"/>
      <w:marLeft w:val="0"/>
      <w:marRight w:val="0"/>
      <w:marTop w:val="0"/>
      <w:marBottom w:val="0"/>
      <w:divBdr>
        <w:top w:val="none" w:sz="0" w:space="0" w:color="auto"/>
        <w:left w:val="none" w:sz="0" w:space="0" w:color="auto"/>
        <w:bottom w:val="none" w:sz="0" w:space="0" w:color="auto"/>
        <w:right w:val="none" w:sz="0" w:space="0" w:color="auto"/>
      </w:divBdr>
    </w:div>
    <w:div w:id="529563241">
      <w:bodyDiv w:val="1"/>
      <w:marLeft w:val="0"/>
      <w:marRight w:val="0"/>
      <w:marTop w:val="0"/>
      <w:marBottom w:val="0"/>
      <w:divBdr>
        <w:top w:val="none" w:sz="0" w:space="0" w:color="auto"/>
        <w:left w:val="none" w:sz="0" w:space="0" w:color="auto"/>
        <w:bottom w:val="none" w:sz="0" w:space="0" w:color="auto"/>
        <w:right w:val="none" w:sz="0" w:space="0" w:color="auto"/>
      </w:divBdr>
    </w:div>
    <w:div w:id="572740552">
      <w:bodyDiv w:val="1"/>
      <w:marLeft w:val="0"/>
      <w:marRight w:val="0"/>
      <w:marTop w:val="0"/>
      <w:marBottom w:val="0"/>
      <w:divBdr>
        <w:top w:val="none" w:sz="0" w:space="0" w:color="auto"/>
        <w:left w:val="none" w:sz="0" w:space="0" w:color="auto"/>
        <w:bottom w:val="none" w:sz="0" w:space="0" w:color="auto"/>
        <w:right w:val="none" w:sz="0" w:space="0" w:color="auto"/>
      </w:divBdr>
    </w:div>
    <w:div w:id="642083300">
      <w:bodyDiv w:val="1"/>
      <w:marLeft w:val="0"/>
      <w:marRight w:val="0"/>
      <w:marTop w:val="0"/>
      <w:marBottom w:val="0"/>
      <w:divBdr>
        <w:top w:val="none" w:sz="0" w:space="0" w:color="auto"/>
        <w:left w:val="none" w:sz="0" w:space="0" w:color="auto"/>
        <w:bottom w:val="none" w:sz="0" w:space="0" w:color="auto"/>
        <w:right w:val="none" w:sz="0" w:space="0" w:color="auto"/>
      </w:divBdr>
    </w:div>
    <w:div w:id="656374709">
      <w:bodyDiv w:val="1"/>
      <w:marLeft w:val="0"/>
      <w:marRight w:val="0"/>
      <w:marTop w:val="0"/>
      <w:marBottom w:val="0"/>
      <w:divBdr>
        <w:top w:val="none" w:sz="0" w:space="0" w:color="auto"/>
        <w:left w:val="none" w:sz="0" w:space="0" w:color="auto"/>
        <w:bottom w:val="none" w:sz="0" w:space="0" w:color="auto"/>
        <w:right w:val="none" w:sz="0" w:space="0" w:color="auto"/>
      </w:divBdr>
    </w:div>
    <w:div w:id="750395958">
      <w:bodyDiv w:val="1"/>
      <w:marLeft w:val="0"/>
      <w:marRight w:val="0"/>
      <w:marTop w:val="0"/>
      <w:marBottom w:val="0"/>
      <w:divBdr>
        <w:top w:val="none" w:sz="0" w:space="0" w:color="auto"/>
        <w:left w:val="none" w:sz="0" w:space="0" w:color="auto"/>
        <w:bottom w:val="none" w:sz="0" w:space="0" w:color="auto"/>
        <w:right w:val="none" w:sz="0" w:space="0" w:color="auto"/>
      </w:divBdr>
    </w:div>
    <w:div w:id="792331971">
      <w:bodyDiv w:val="1"/>
      <w:marLeft w:val="0"/>
      <w:marRight w:val="0"/>
      <w:marTop w:val="0"/>
      <w:marBottom w:val="0"/>
      <w:divBdr>
        <w:top w:val="none" w:sz="0" w:space="0" w:color="auto"/>
        <w:left w:val="none" w:sz="0" w:space="0" w:color="auto"/>
        <w:bottom w:val="none" w:sz="0" w:space="0" w:color="auto"/>
        <w:right w:val="none" w:sz="0" w:space="0" w:color="auto"/>
      </w:divBdr>
    </w:div>
    <w:div w:id="806161600">
      <w:bodyDiv w:val="1"/>
      <w:marLeft w:val="0"/>
      <w:marRight w:val="0"/>
      <w:marTop w:val="0"/>
      <w:marBottom w:val="0"/>
      <w:divBdr>
        <w:top w:val="none" w:sz="0" w:space="0" w:color="auto"/>
        <w:left w:val="none" w:sz="0" w:space="0" w:color="auto"/>
        <w:bottom w:val="none" w:sz="0" w:space="0" w:color="auto"/>
        <w:right w:val="none" w:sz="0" w:space="0" w:color="auto"/>
      </w:divBdr>
    </w:div>
    <w:div w:id="824782148">
      <w:bodyDiv w:val="1"/>
      <w:marLeft w:val="0"/>
      <w:marRight w:val="0"/>
      <w:marTop w:val="0"/>
      <w:marBottom w:val="0"/>
      <w:divBdr>
        <w:top w:val="none" w:sz="0" w:space="0" w:color="auto"/>
        <w:left w:val="none" w:sz="0" w:space="0" w:color="auto"/>
        <w:bottom w:val="none" w:sz="0" w:space="0" w:color="auto"/>
        <w:right w:val="none" w:sz="0" w:space="0" w:color="auto"/>
      </w:divBdr>
    </w:div>
    <w:div w:id="829443498">
      <w:bodyDiv w:val="1"/>
      <w:marLeft w:val="0"/>
      <w:marRight w:val="0"/>
      <w:marTop w:val="0"/>
      <w:marBottom w:val="0"/>
      <w:divBdr>
        <w:top w:val="none" w:sz="0" w:space="0" w:color="auto"/>
        <w:left w:val="none" w:sz="0" w:space="0" w:color="auto"/>
        <w:bottom w:val="none" w:sz="0" w:space="0" w:color="auto"/>
        <w:right w:val="none" w:sz="0" w:space="0" w:color="auto"/>
      </w:divBdr>
    </w:div>
    <w:div w:id="972834591">
      <w:bodyDiv w:val="1"/>
      <w:marLeft w:val="0"/>
      <w:marRight w:val="0"/>
      <w:marTop w:val="0"/>
      <w:marBottom w:val="0"/>
      <w:divBdr>
        <w:top w:val="none" w:sz="0" w:space="0" w:color="auto"/>
        <w:left w:val="none" w:sz="0" w:space="0" w:color="auto"/>
        <w:bottom w:val="none" w:sz="0" w:space="0" w:color="auto"/>
        <w:right w:val="none" w:sz="0" w:space="0" w:color="auto"/>
      </w:divBdr>
    </w:div>
    <w:div w:id="980304917">
      <w:bodyDiv w:val="1"/>
      <w:marLeft w:val="0"/>
      <w:marRight w:val="0"/>
      <w:marTop w:val="0"/>
      <w:marBottom w:val="0"/>
      <w:divBdr>
        <w:top w:val="none" w:sz="0" w:space="0" w:color="auto"/>
        <w:left w:val="none" w:sz="0" w:space="0" w:color="auto"/>
        <w:bottom w:val="none" w:sz="0" w:space="0" w:color="auto"/>
        <w:right w:val="none" w:sz="0" w:space="0" w:color="auto"/>
      </w:divBdr>
    </w:div>
    <w:div w:id="1013534589">
      <w:bodyDiv w:val="1"/>
      <w:marLeft w:val="0"/>
      <w:marRight w:val="0"/>
      <w:marTop w:val="0"/>
      <w:marBottom w:val="0"/>
      <w:divBdr>
        <w:top w:val="none" w:sz="0" w:space="0" w:color="auto"/>
        <w:left w:val="none" w:sz="0" w:space="0" w:color="auto"/>
        <w:bottom w:val="none" w:sz="0" w:space="0" w:color="auto"/>
        <w:right w:val="none" w:sz="0" w:space="0" w:color="auto"/>
      </w:divBdr>
    </w:div>
    <w:div w:id="1232933633">
      <w:bodyDiv w:val="1"/>
      <w:marLeft w:val="0"/>
      <w:marRight w:val="0"/>
      <w:marTop w:val="0"/>
      <w:marBottom w:val="0"/>
      <w:divBdr>
        <w:top w:val="none" w:sz="0" w:space="0" w:color="auto"/>
        <w:left w:val="none" w:sz="0" w:space="0" w:color="auto"/>
        <w:bottom w:val="none" w:sz="0" w:space="0" w:color="auto"/>
        <w:right w:val="none" w:sz="0" w:space="0" w:color="auto"/>
      </w:divBdr>
    </w:div>
    <w:div w:id="1345551197">
      <w:bodyDiv w:val="1"/>
      <w:marLeft w:val="0"/>
      <w:marRight w:val="0"/>
      <w:marTop w:val="0"/>
      <w:marBottom w:val="0"/>
      <w:divBdr>
        <w:top w:val="none" w:sz="0" w:space="0" w:color="auto"/>
        <w:left w:val="none" w:sz="0" w:space="0" w:color="auto"/>
        <w:bottom w:val="none" w:sz="0" w:space="0" w:color="auto"/>
        <w:right w:val="none" w:sz="0" w:space="0" w:color="auto"/>
      </w:divBdr>
    </w:div>
    <w:div w:id="1415937938">
      <w:bodyDiv w:val="1"/>
      <w:marLeft w:val="0"/>
      <w:marRight w:val="0"/>
      <w:marTop w:val="0"/>
      <w:marBottom w:val="0"/>
      <w:divBdr>
        <w:top w:val="none" w:sz="0" w:space="0" w:color="auto"/>
        <w:left w:val="none" w:sz="0" w:space="0" w:color="auto"/>
        <w:bottom w:val="none" w:sz="0" w:space="0" w:color="auto"/>
        <w:right w:val="none" w:sz="0" w:space="0" w:color="auto"/>
      </w:divBdr>
    </w:div>
    <w:div w:id="201892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ilw.com/seminars/JohnNeillCi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Kei01</b:Tag>
    <b:SourceType>JournalArticle</b:SourceType>
    <b:Guid>{A0843040-038B-436D-B613-D31E48F67D03}</b:Guid>
    <b:Author>
      <b:Author>
        <b:Corporate>Keith R. Ihlanfeldt, David L. Sjoquist</b:Corporate>
      </b:Author>
    </b:Author>
    <b:Title>Conducting an Analysis of Georgia’s Economic Development Tax Incentive Program</b:Title>
    <b:Year>2001</b:Year>
    <b:Month>August</b:Month>
    <b:JournalName>ECONOMIC DEVELOPMENT QUARTERLY</b:JournalName>
    <b:Pages>217-228</b:Pages>
    <b:Publisher>Sage Publications</b:Publisher>
    <b:Volume>15</b:Volume>
    <b:Issue>3</b:Issue>
    <b:RefOrder>2</b:RefOrder>
  </b:Source>
  <b:Source>
    <b:Tag>Fel09</b:Tag>
    <b:SourceType>Report</b:SourceType>
    <b:Guid>{3055E08A-E8F2-4EC1-B5FE-F606D1D5AA11}</b:Guid>
    <b:Title>Do State Corporate Income Taxes Reduce Wages?</b:Title>
    <b:Year>2009</b:Year>
    <b:Author>
      <b:Author>
        <b:NameList>
          <b:Person>
            <b:Last>Felix</b:Last>
            <b:First>R.</b:First>
            <b:Middle>alison</b:Middle>
          </b:Person>
        </b:NameList>
      </b:Author>
    </b:Author>
    <b:Institution>FEDERAL RESERVE BANK OF KANSAS CITY</b:Institution>
    <b:ThesisType>Economic Review</b:ThesisType>
    <b:RefOrder>1</b:RefOrder>
  </b:Source>
  <b:Source>
    <b:Tag>Rao16</b:Tag>
    <b:SourceType>JournalArticle</b:SourceType>
    <b:Guid>{15DE981E-8A44-43BB-93FE-73C3061B361A}</b:Guid>
    <b:Author>
      <b:Author>
        <b:NameList>
          <b:Person>
            <b:Last>Rao</b:Last>
            <b:First>Nirupama</b:First>
          </b:Person>
        </b:NameList>
      </b:Author>
    </b:Author>
    <b:Title>Do tax credits stimulate R&amp;D spending? The effect of the R&amp;D tax credit in its ﬁrst decade</b:Title>
    <b:Year>2016</b:Year>
    <b:JournalName>Journal of Public Economics</b:JournalName>
    <b:Pages>2</b:Pages>
    <b:RefOrder>1</b:RefOrder>
  </b:Source>
  <b:Source>
    <b:Tag>MOD</b:Tag>
    <b:SourceType>InternetSite</b:SourceType>
    <b:Guid>{BCEA689A-4171-43CD-A07E-1F467FC70C08}</b:Guid>
    <b:Title>MODELS: TAX-PI</b:Title>
    <b:InternetSiteTitle>Regional Economic Models, Inc.</b:InternetSiteTitle>
    <b:URL>https://www.remi.com/model/tax-pi/</b:URL>
    <b:RefOrder>1</b:RefOrder>
  </b:Source>
  <b:Source>
    <b:Tag>Tax19</b:Tag>
    <b:SourceType>Report</b:SourceType>
    <b:Guid>{C81271C4-7A5A-2543-9196-0D7DB4C33DE0}</b:Guid>
    <b:Title>Tax Expenditure Report</b:Title>
    <b:Publisher>State of California Department of Finance</b:Publisher>
    <b:City>California</b:City>
    <b:Year>2019</b:Year>
    <b:Author>
      <b:Author>
        <b:Corporate>California Department of Finance</b:Corporate>
      </b:Author>
    </b:Author>
    <b:RefOrder>3</b:RefOrder>
  </b:Source>
  <b:Source>
    <b:Tag>Div19</b:Tag>
    <b:SourceType>Report</b:SourceType>
    <b:Guid>{E05A995B-BCB3-8946-B5F3-81634FEB79A9}</b:Guid>
    <b:Author>
      <b:Author>
        <b:Corporate>Division of the Budget</b:Corporate>
      </b:Author>
    </b:Author>
    <b:Title>New York State Tax Expenditures</b:Title>
    <b:Publisher>Department of Taxation and Finance</b:Publisher>
    <b:City>New York</b:City>
    <b:Year>2019</b:Year>
    <b:RefOrder>5</b:RefOrder>
  </b:Source>
</b:Sources>
</file>

<file path=customXml/itemProps1.xml><?xml version="1.0" encoding="utf-8"?>
<ds:datastoreItem xmlns:ds="http://schemas.openxmlformats.org/officeDocument/2006/customXml" ds:itemID="{2939E099-40B1-44C1-BEC9-13F0D342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3565</Words>
  <Characters>20325</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Commonwealth of MA</Company>
  <LinksUpToDate>false</LinksUpToDate>
  <CharactersWithSpaces>23843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Sunil Pokharel</dc:creator>
  <cp:lastModifiedBy>Scannell, Rachel (DOR)</cp:lastModifiedBy>
  <cp:revision>2</cp:revision>
  <cp:lastPrinted>2020-01-28T19:08:00Z</cp:lastPrinted>
  <dcterms:created xsi:type="dcterms:W3CDTF">2020-09-24T17:20:00Z</dcterms:created>
  <dcterms:modified xsi:type="dcterms:W3CDTF">2020-09-24T17:20:00Z</dcterms:modified>
</cp:coreProperties>
</file>